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FF8F3" w14:textId="77777777" w:rsidR="004A3BF4" w:rsidRPr="00032D7E" w:rsidRDefault="00056601" w:rsidP="004A3BF4">
      <w:pPr>
        <w:rPr>
          <w:sz w:val="24"/>
          <w:szCs w:val="24"/>
          <w:lang w:val="en-GB"/>
        </w:rPr>
      </w:pPr>
      <w:r w:rsidRPr="00032D7E">
        <w:rPr>
          <w:noProof/>
          <w:sz w:val="24"/>
          <w:szCs w:val="24"/>
          <w:lang w:val="en-GB"/>
        </w:rPr>
        <w:drawing>
          <wp:inline distT="0" distB="0" distL="0" distR="0" wp14:anchorId="4ED28FBF" wp14:editId="7EE166AD">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546E5539" w14:textId="77777777" w:rsidR="006B3847" w:rsidRPr="00032D7E" w:rsidRDefault="006B3847" w:rsidP="006B3847">
      <w:pPr>
        <w:rPr>
          <w:sz w:val="24"/>
          <w:szCs w:val="24"/>
          <w:lang w:val="en-GB"/>
        </w:rPr>
      </w:pPr>
    </w:p>
    <w:p w14:paraId="27C84878" w14:textId="5140F341" w:rsidR="006B3847" w:rsidRPr="00032D7E" w:rsidRDefault="006B3847" w:rsidP="006B3847">
      <w:pPr>
        <w:tabs>
          <w:tab w:val="right" w:pos="9356"/>
        </w:tabs>
        <w:rPr>
          <w:b/>
          <w:sz w:val="24"/>
          <w:szCs w:val="24"/>
          <w:lang w:val="en-GB"/>
        </w:rPr>
      </w:pPr>
      <w:r w:rsidRPr="00032D7E">
        <w:rPr>
          <w:b/>
          <w:sz w:val="24"/>
          <w:szCs w:val="24"/>
          <w:lang w:val="en-GB"/>
        </w:rPr>
        <w:tab/>
      </w:r>
      <w:r w:rsidR="006F220B">
        <w:rPr>
          <w:b/>
          <w:sz w:val="24"/>
          <w:szCs w:val="24"/>
          <w:lang w:val="en-GB"/>
        </w:rPr>
        <w:t>24 March 2026</w:t>
      </w:r>
    </w:p>
    <w:p w14:paraId="4990F87D" w14:textId="77777777" w:rsidR="006B3847" w:rsidRPr="00032D7E" w:rsidRDefault="006B3847" w:rsidP="006B3847">
      <w:pPr>
        <w:rPr>
          <w:sz w:val="24"/>
          <w:szCs w:val="24"/>
          <w:lang w:val="en-GB"/>
        </w:rPr>
      </w:pPr>
    </w:p>
    <w:p w14:paraId="5999A588" w14:textId="77777777" w:rsidR="007C5D2A" w:rsidRPr="00032D7E" w:rsidRDefault="007C5D2A" w:rsidP="007C5D2A">
      <w:pPr>
        <w:rPr>
          <w:sz w:val="24"/>
          <w:szCs w:val="24"/>
          <w:lang w:val="en-GB"/>
        </w:rPr>
      </w:pPr>
    </w:p>
    <w:p w14:paraId="76702F3D" w14:textId="77777777" w:rsidR="007C5D2A" w:rsidRPr="00032D7E" w:rsidRDefault="007C5D2A" w:rsidP="007C5D2A">
      <w:pPr>
        <w:rPr>
          <w:sz w:val="24"/>
          <w:szCs w:val="24"/>
          <w:lang w:val="en-GB"/>
        </w:rPr>
      </w:pPr>
    </w:p>
    <w:p w14:paraId="48D13963" w14:textId="77777777" w:rsidR="007C5D2A" w:rsidRPr="00032D7E" w:rsidRDefault="007C5D2A" w:rsidP="007C5D2A">
      <w:pPr>
        <w:jc w:val="center"/>
        <w:rPr>
          <w:b/>
          <w:sz w:val="24"/>
          <w:szCs w:val="24"/>
          <w:lang w:val="en-GB"/>
        </w:rPr>
      </w:pPr>
      <w:bookmarkStart w:id="0" w:name="_Hlk49158549"/>
      <w:r w:rsidRPr="00032D7E">
        <w:rPr>
          <w:b/>
          <w:sz w:val="24"/>
          <w:szCs w:val="24"/>
          <w:lang w:val="en-GB"/>
        </w:rPr>
        <w:t>SUMMARY OF PRODUCT CHARACTERISTICS</w:t>
      </w:r>
    </w:p>
    <w:bookmarkEnd w:id="0"/>
    <w:p w14:paraId="1D93591E" w14:textId="77777777" w:rsidR="007C5D2A" w:rsidRPr="00032D7E" w:rsidRDefault="007C5D2A" w:rsidP="007C5D2A">
      <w:pPr>
        <w:jc w:val="center"/>
        <w:rPr>
          <w:sz w:val="24"/>
          <w:szCs w:val="24"/>
          <w:lang w:val="en-GB"/>
        </w:rPr>
      </w:pPr>
    </w:p>
    <w:p w14:paraId="38CE98AF" w14:textId="77777777" w:rsidR="007C5D2A" w:rsidRPr="00032D7E" w:rsidRDefault="007C5D2A" w:rsidP="007C5D2A">
      <w:pPr>
        <w:jc w:val="center"/>
        <w:rPr>
          <w:b/>
          <w:sz w:val="24"/>
          <w:szCs w:val="24"/>
          <w:lang w:val="en-GB"/>
        </w:rPr>
      </w:pPr>
      <w:r w:rsidRPr="00032D7E">
        <w:rPr>
          <w:b/>
          <w:sz w:val="24"/>
          <w:szCs w:val="24"/>
          <w:lang w:val="en-GB"/>
        </w:rPr>
        <w:t>for</w:t>
      </w:r>
    </w:p>
    <w:p w14:paraId="68C441AC" w14:textId="77777777" w:rsidR="007C5D2A" w:rsidRPr="00032D7E" w:rsidRDefault="007C5D2A" w:rsidP="007C5D2A">
      <w:pPr>
        <w:jc w:val="center"/>
        <w:rPr>
          <w:sz w:val="24"/>
          <w:szCs w:val="24"/>
          <w:lang w:val="en-GB"/>
        </w:rPr>
      </w:pPr>
    </w:p>
    <w:p w14:paraId="4C1843FE" w14:textId="2BAE6BFE" w:rsidR="007C5D2A" w:rsidRPr="00032D7E" w:rsidRDefault="009007B4" w:rsidP="007C5D2A">
      <w:pPr>
        <w:jc w:val="center"/>
        <w:rPr>
          <w:b/>
          <w:sz w:val="24"/>
          <w:szCs w:val="24"/>
          <w:lang w:val="en-GB"/>
        </w:rPr>
      </w:pPr>
      <w:proofErr w:type="spellStart"/>
      <w:r w:rsidRPr="00032D7E">
        <w:rPr>
          <w:b/>
          <w:sz w:val="24"/>
          <w:szCs w:val="24"/>
          <w:lang w:val="en-GB"/>
        </w:rPr>
        <w:t>Perampanel</w:t>
      </w:r>
      <w:proofErr w:type="spellEnd"/>
      <w:r w:rsidRPr="00032D7E">
        <w:rPr>
          <w:b/>
          <w:sz w:val="24"/>
          <w:szCs w:val="24"/>
          <w:lang w:val="en-GB"/>
        </w:rPr>
        <w:t xml:space="preserve"> "Vivanta Generics", film-coated tablets</w:t>
      </w:r>
    </w:p>
    <w:p w14:paraId="59F53F50" w14:textId="77777777" w:rsidR="007C5D2A" w:rsidRPr="00032D7E" w:rsidRDefault="007C5D2A" w:rsidP="007C5D2A">
      <w:pPr>
        <w:jc w:val="both"/>
        <w:rPr>
          <w:sz w:val="24"/>
          <w:szCs w:val="24"/>
          <w:lang w:val="en-GB"/>
        </w:rPr>
      </w:pPr>
    </w:p>
    <w:p w14:paraId="308ACA50" w14:textId="77777777" w:rsidR="0042292D" w:rsidRPr="00032D7E" w:rsidRDefault="0042292D" w:rsidP="007C5D2A">
      <w:pPr>
        <w:jc w:val="both"/>
        <w:rPr>
          <w:sz w:val="24"/>
          <w:szCs w:val="24"/>
          <w:lang w:val="en-GB"/>
        </w:rPr>
      </w:pPr>
    </w:p>
    <w:p w14:paraId="57802844" w14:textId="77777777" w:rsidR="008F2F8C" w:rsidRPr="00032D7E" w:rsidRDefault="008F2F8C" w:rsidP="008F2F8C">
      <w:pPr>
        <w:tabs>
          <w:tab w:val="left" w:pos="8222"/>
        </w:tabs>
        <w:ind w:left="851" w:hanging="851"/>
        <w:rPr>
          <w:b/>
          <w:sz w:val="24"/>
          <w:szCs w:val="24"/>
          <w:lang w:val="en-GB"/>
        </w:rPr>
      </w:pPr>
      <w:r w:rsidRPr="00032D7E">
        <w:rPr>
          <w:b/>
          <w:sz w:val="24"/>
          <w:szCs w:val="24"/>
          <w:lang w:val="en-GB"/>
        </w:rPr>
        <w:t>0.</w:t>
      </w:r>
      <w:r w:rsidRPr="00032D7E">
        <w:rPr>
          <w:b/>
          <w:sz w:val="24"/>
          <w:szCs w:val="24"/>
          <w:lang w:val="en-GB"/>
        </w:rPr>
        <w:tab/>
      </w:r>
      <w:proofErr w:type="gramStart"/>
      <w:r w:rsidRPr="00032D7E">
        <w:rPr>
          <w:b/>
          <w:sz w:val="24"/>
          <w:szCs w:val="24"/>
          <w:lang w:val="en-GB"/>
        </w:rPr>
        <w:t>D.SP.NO</w:t>
      </w:r>
      <w:proofErr w:type="gramEnd"/>
      <w:r w:rsidRPr="00032D7E">
        <w:rPr>
          <w:b/>
          <w:sz w:val="24"/>
          <w:szCs w:val="24"/>
          <w:lang w:val="en-GB"/>
        </w:rPr>
        <w:t>.</w:t>
      </w:r>
    </w:p>
    <w:p w14:paraId="6A95A44C" w14:textId="66E4ECEA" w:rsidR="008F2F8C" w:rsidRPr="00032D7E" w:rsidRDefault="009007B4" w:rsidP="008F2F8C">
      <w:pPr>
        <w:tabs>
          <w:tab w:val="left" w:pos="8222"/>
        </w:tabs>
        <w:ind w:left="851"/>
        <w:rPr>
          <w:sz w:val="24"/>
          <w:szCs w:val="24"/>
          <w:lang w:val="en-GB"/>
        </w:rPr>
      </w:pPr>
      <w:r w:rsidRPr="00032D7E">
        <w:rPr>
          <w:sz w:val="24"/>
          <w:szCs w:val="24"/>
          <w:lang w:val="en-GB"/>
        </w:rPr>
        <w:t>33836</w:t>
      </w:r>
    </w:p>
    <w:p w14:paraId="09CCF185" w14:textId="77777777" w:rsidR="007C5D2A" w:rsidRPr="00032D7E" w:rsidRDefault="007C5D2A" w:rsidP="007C5D2A">
      <w:pPr>
        <w:tabs>
          <w:tab w:val="left" w:pos="851"/>
        </w:tabs>
        <w:jc w:val="both"/>
        <w:rPr>
          <w:sz w:val="24"/>
          <w:szCs w:val="24"/>
          <w:lang w:val="en-GB"/>
        </w:rPr>
      </w:pPr>
    </w:p>
    <w:p w14:paraId="165A431A" w14:textId="77777777" w:rsidR="007C5D2A" w:rsidRPr="00032D7E" w:rsidRDefault="009925C9" w:rsidP="007C5D2A">
      <w:pPr>
        <w:tabs>
          <w:tab w:val="left" w:pos="851"/>
        </w:tabs>
        <w:ind w:left="851" w:hanging="851"/>
        <w:rPr>
          <w:sz w:val="24"/>
          <w:szCs w:val="24"/>
          <w:lang w:val="en-GB"/>
        </w:rPr>
      </w:pPr>
      <w:r w:rsidRPr="00032D7E">
        <w:rPr>
          <w:b/>
          <w:sz w:val="24"/>
          <w:szCs w:val="24"/>
          <w:lang w:val="en-GB"/>
        </w:rPr>
        <w:t>1.</w:t>
      </w:r>
      <w:r w:rsidR="007C5D2A" w:rsidRPr="00032D7E">
        <w:rPr>
          <w:b/>
          <w:sz w:val="24"/>
          <w:szCs w:val="24"/>
          <w:lang w:val="en-GB"/>
        </w:rPr>
        <w:tab/>
        <w:t>NAME OF THE MEDICINAL PRODUCT</w:t>
      </w:r>
    </w:p>
    <w:p w14:paraId="1FCCF05F" w14:textId="31B412A1" w:rsidR="007C5D2A" w:rsidRPr="00032D7E" w:rsidRDefault="009007B4" w:rsidP="004A3BF4">
      <w:pPr>
        <w:tabs>
          <w:tab w:val="left" w:pos="851"/>
        </w:tabs>
        <w:ind w:left="851"/>
        <w:rPr>
          <w:sz w:val="24"/>
          <w:szCs w:val="24"/>
          <w:lang w:val="en-GB"/>
        </w:rPr>
      </w:pPr>
      <w:proofErr w:type="spellStart"/>
      <w:r w:rsidRPr="00032D7E">
        <w:rPr>
          <w:sz w:val="24"/>
          <w:szCs w:val="24"/>
          <w:lang w:val="en-GB"/>
        </w:rPr>
        <w:t>Perampanel</w:t>
      </w:r>
      <w:proofErr w:type="spellEnd"/>
      <w:r w:rsidRPr="00032D7E">
        <w:rPr>
          <w:sz w:val="24"/>
          <w:szCs w:val="24"/>
          <w:lang w:val="en-GB"/>
        </w:rPr>
        <w:t xml:space="preserve"> "Vivanta Generics"</w:t>
      </w:r>
    </w:p>
    <w:p w14:paraId="142E41A2" w14:textId="77777777" w:rsidR="007C5D2A" w:rsidRPr="00032D7E" w:rsidRDefault="007C5D2A" w:rsidP="004A3BF4">
      <w:pPr>
        <w:tabs>
          <w:tab w:val="left" w:pos="851"/>
        </w:tabs>
        <w:ind w:left="851"/>
        <w:rPr>
          <w:sz w:val="24"/>
          <w:szCs w:val="24"/>
          <w:lang w:val="en-GB"/>
        </w:rPr>
      </w:pPr>
    </w:p>
    <w:p w14:paraId="4D98A484" w14:textId="77777777" w:rsidR="007C5D2A" w:rsidRPr="00032D7E" w:rsidRDefault="009925C9" w:rsidP="007C5D2A">
      <w:pPr>
        <w:ind w:left="851" w:hanging="851"/>
        <w:rPr>
          <w:b/>
          <w:sz w:val="24"/>
          <w:szCs w:val="24"/>
          <w:lang w:val="en-GB"/>
        </w:rPr>
      </w:pPr>
      <w:r w:rsidRPr="00032D7E">
        <w:rPr>
          <w:b/>
          <w:sz w:val="24"/>
          <w:szCs w:val="24"/>
          <w:lang w:val="en-GB"/>
        </w:rPr>
        <w:t>2.</w:t>
      </w:r>
      <w:r w:rsidR="007C5D2A" w:rsidRPr="00032D7E">
        <w:rPr>
          <w:b/>
          <w:sz w:val="24"/>
          <w:szCs w:val="24"/>
          <w:lang w:val="en-GB"/>
        </w:rPr>
        <w:tab/>
        <w:t>QUALITATIVE AND QUANTITATIVE COMPOSITION</w:t>
      </w:r>
    </w:p>
    <w:p w14:paraId="3812D5F2" w14:textId="77777777" w:rsidR="00E575A9" w:rsidRPr="00032D7E" w:rsidRDefault="00E575A9" w:rsidP="002D3416">
      <w:pPr>
        <w:ind w:left="851"/>
        <w:rPr>
          <w:sz w:val="24"/>
          <w:szCs w:val="24"/>
          <w:lang w:val="en-IN"/>
        </w:rPr>
      </w:pPr>
      <w:r w:rsidRPr="00032D7E">
        <w:rPr>
          <w:sz w:val="24"/>
          <w:szCs w:val="24"/>
          <w:lang w:val="en-IN"/>
        </w:rPr>
        <w:t xml:space="preserve">Each film-coated tablet contains </w:t>
      </w:r>
      <w:proofErr w:type="spellStart"/>
      <w:r w:rsidRPr="00032D7E">
        <w:rPr>
          <w:sz w:val="24"/>
          <w:szCs w:val="24"/>
          <w:lang w:val="en-IN"/>
        </w:rPr>
        <w:t>perampanel</w:t>
      </w:r>
      <w:proofErr w:type="spellEnd"/>
      <w:r w:rsidRPr="00032D7E">
        <w:rPr>
          <w:sz w:val="24"/>
          <w:szCs w:val="24"/>
          <w:lang w:val="en-IN"/>
        </w:rPr>
        <w:t xml:space="preserve"> 3/4 hydrate equivalent to 2 mg </w:t>
      </w:r>
      <w:proofErr w:type="spellStart"/>
      <w:r w:rsidRPr="00032D7E">
        <w:rPr>
          <w:sz w:val="24"/>
          <w:szCs w:val="24"/>
          <w:lang w:val="en-IN"/>
        </w:rPr>
        <w:t>perampanel</w:t>
      </w:r>
      <w:proofErr w:type="spellEnd"/>
      <w:r w:rsidRPr="00032D7E">
        <w:rPr>
          <w:sz w:val="24"/>
          <w:szCs w:val="24"/>
          <w:lang w:val="en-IN"/>
        </w:rPr>
        <w:t xml:space="preserve">. </w:t>
      </w:r>
    </w:p>
    <w:p w14:paraId="45A664AE" w14:textId="77777777" w:rsidR="00E575A9" w:rsidRPr="00032D7E" w:rsidRDefault="00E575A9" w:rsidP="002D3416">
      <w:pPr>
        <w:ind w:left="851"/>
        <w:rPr>
          <w:sz w:val="24"/>
          <w:szCs w:val="24"/>
          <w:lang w:val="en-IN"/>
        </w:rPr>
      </w:pPr>
      <w:r w:rsidRPr="00032D7E">
        <w:rPr>
          <w:sz w:val="24"/>
          <w:szCs w:val="24"/>
          <w:lang w:val="en-IN"/>
        </w:rPr>
        <w:t xml:space="preserve">Each film-coated tablet contains </w:t>
      </w:r>
      <w:proofErr w:type="spellStart"/>
      <w:r w:rsidRPr="00032D7E">
        <w:rPr>
          <w:sz w:val="24"/>
          <w:szCs w:val="24"/>
          <w:lang w:val="en-IN"/>
        </w:rPr>
        <w:t>perampanel</w:t>
      </w:r>
      <w:proofErr w:type="spellEnd"/>
      <w:r w:rsidRPr="00032D7E">
        <w:rPr>
          <w:sz w:val="24"/>
          <w:szCs w:val="24"/>
          <w:lang w:val="en-IN"/>
        </w:rPr>
        <w:t xml:space="preserve"> 3/4 hydrate equivalent to 4 mg </w:t>
      </w:r>
      <w:proofErr w:type="spellStart"/>
      <w:r w:rsidRPr="00032D7E">
        <w:rPr>
          <w:sz w:val="24"/>
          <w:szCs w:val="24"/>
          <w:lang w:val="en-IN"/>
        </w:rPr>
        <w:t>perampanel</w:t>
      </w:r>
      <w:proofErr w:type="spellEnd"/>
      <w:r w:rsidRPr="00032D7E">
        <w:rPr>
          <w:sz w:val="24"/>
          <w:szCs w:val="24"/>
          <w:lang w:val="en-IN"/>
        </w:rPr>
        <w:t>.</w:t>
      </w:r>
    </w:p>
    <w:p w14:paraId="1B7130CB" w14:textId="77777777" w:rsidR="00E575A9" w:rsidRPr="00032D7E" w:rsidRDefault="00E575A9" w:rsidP="002D3416">
      <w:pPr>
        <w:ind w:left="851"/>
        <w:rPr>
          <w:sz w:val="24"/>
          <w:szCs w:val="24"/>
          <w:lang w:val="en-IN"/>
        </w:rPr>
      </w:pPr>
      <w:r w:rsidRPr="00032D7E">
        <w:rPr>
          <w:sz w:val="24"/>
          <w:szCs w:val="24"/>
          <w:lang w:val="en-IN"/>
        </w:rPr>
        <w:t xml:space="preserve">Each film-coated tablet contains </w:t>
      </w:r>
      <w:proofErr w:type="spellStart"/>
      <w:r w:rsidRPr="00032D7E">
        <w:rPr>
          <w:sz w:val="24"/>
          <w:szCs w:val="24"/>
          <w:lang w:val="en-IN"/>
        </w:rPr>
        <w:t>perampanel</w:t>
      </w:r>
      <w:proofErr w:type="spellEnd"/>
      <w:r w:rsidRPr="00032D7E">
        <w:rPr>
          <w:sz w:val="24"/>
          <w:szCs w:val="24"/>
          <w:lang w:val="en-IN"/>
        </w:rPr>
        <w:t xml:space="preserve"> 3/4 hydrate equivalent to 6 mg </w:t>
      </w:r>
      <w:proofErr w:type="spellStart"/>
      <w:r w:rsidRPr="00032D7E">
        <w:rPr>
          <w:sz w:val="24"/>
          <w:szCs w:val="24"/>
          <w:lang w:val="en-IN"/>
        </w:rPr>
        <w:t>perampanel</w:t>
      </w:r>
      <w:proofErr w:type="spellEnd"/>
      <w:r w:rsidRPr="00032D7E">
        <w:rPr>
          <w:sz w:val="24"/>
          <w:szCs w:val="24"/>
          <w:lang w:val="en-IN"/>
        </w:rPr>
        <w:t>.</w:t>
      </w:r>
    </w:p>
    <w:p w14:paraId="60699D75" w14:textId="77777777" w:rsidR="00E575A9" w:rsidRPr="00032D7E" w:rsidRDefault="00E575A9" w:rsidP="002D3416">
      <w:pPr>
        <w:ind w:left="851"/>
        <w:rPr>
          <w:sz w:val="24"/>
          <w:szCs w:val="24"/>
          <w:lang w:val="en-IN"/>
        </w:rPr>
      </w:pPr>
      <w:r w:rsidRPr="00032D7E">
        <w:rPr>
          <w:sz w:val="24"/>
          <w:szCs w:val="24"/>
          <w:lang w:val="en-IN"/>
        </w:rPr>
        <w:t xml:space="preserve">Each film-coated tablet contains </w:t>
      </w:r>
      <w:proofErr w:type="spellStart"/>
      <w:r w:rsidRPr="00032D7E">
        <w:rPr>
          <w:sz w:val="24"/>
          <w:szCs w:val="24"/>
          <w:lang w:val="en-IN"/>
        </w:rPr>
        <w:t>perampanel</w:t>
      </w:r>
      <w:proofErr w:type="spellEnd"/>
      <w:r w:rsidRPr="00032D7E">
        <w:rPr>
          <w:sz w:val="24"/>
          <w:szCs w:val="24"/>
          <w:lang w:val="en-IN"/>
        </w:rPr>
        <w:t xml:space="preserve"> 3/4 hydrate equivalent to 8 mg </w:t>
      </w:r>
      <w:proofErr w:type="spellStart"/>
      <w:r w:rsidRPr="00032D7E">
        <w:rPr>
          <w:sz w:val="24"/>
          <w:szCs w:val="24"/>
          <w:lang w:val="en-IN"/>
        </w:rPr>
        <w:t>perampanel</w:t>
      </w:r>
      <w:proofErr w:type="spellEnd"/>
      <w:r w:rsidRPr="00032D7E">
        <w:rPr>
          <w:sz w:val="24"/>
          <w:szCs w:val="24"/>
          <w:lang w:val="en-IN"/>
        </w:rPr>
        <w:t>.</w:t>
      </w:r>
    </w:p>
    <w:p w14:paraId="4ECA76CE" w14:textId="77777777" w:rsidR="00E575A9" w:rsidRPr="00032D7E" w:rsidRDefault="00E575A9" w:rsidP="002D3416">
      <w:pPr>
        <w:ind w:left="851"/>
        <w:rPr>
          <w:sz w:val="24"/>
          <w:szCs w:val="24"/>
          <w:lang w:val="en-IN"/>
        </w:rPr>
      </w:pPr>
      <w:r w:rsidRPr="00032D7E">
        <w:rPr>
          <w:sz w:val="24"/>
          <w:szCs w:val="24"/>
          <w:lang w:val="en-IN"/>
        </w:rPr>
        <w:t xml:space="preserve">Each film-coated tablet contains </w:t>
      </w:r>
      <w:proofErr w:type="spellStart"/>
      <w:r w:rsidRPr="00032D7E">
        <w:rPr>
          <w:sz w:val="24"/>
          <w:szCs w:val="24"/>
          <w:lang w:val="en-IN"/>
        </w:rPr>
        <w:t>perampanel</w:t>
      </w:r>
      <w:proofErr w:type="spellEnd"/>
      <w:r w:rsidRPr="00032D7E">
        <w:rPr>
          <w:sz w:val="24"/>
          <w:szCs w:val="24"/>
          <w:lang w:val="en-IN"/>
        </w:rPr>
        <w:t xml:space="preserve"> 3/4 hydrate equivalent to 10 mg </w:t>
      </w:r>
      <w:proofErr w:type="spellStart"/>
      <w:r w:rsidRPr="00032D7E">
        <w:rPr>
          <w:sz w:val="24"/>
          <w:szCs w:val="24"/>
          <w:lang w:val="en-IN"/>
        </w:rPr>
        <w:t>perampanel</w:t>
      </w:r>
      <w:proofErr w:type="spellEnd"/>
      <w:r w:rsidRPr="00032D7E">
        <w:rPr>
          <w:sz w:val="24"/>
          <w:szCs w:val="24"/>
          <w:lang w:val="en-IN"/>
        </w:rPr>
        <w:t>.</w:t>
      </w:r>
    </w:p>
    <w:p w14:paraId="483CACDB" w14:textId="77777777" w:rsidR="00E575A9" w:rsidRPr="00032D7E" w:rsidRDefault="00E575A9" w:rsidP="002D3416">
      <w:pPr>
        <w:ind w:left="851"/>
        <w:rPr>
          <w:sz w:val="24"/>
          <w:szCs w:val="24"/>
          <w:lang w:val="en-IN"/>
        </w:rPr>
      </w:pPr>
      <w:r w:rsidRPr="00032D7E">
        <w:rPr>
          <w:sz w:val="24"/>
          <w:szCs w:val="24"/>
          <w:lang w:val="en-IN"/>
        </w:rPr>
        <w:t xml:space="preserve">Each film-coated tablet contains </w:t>
      </w:r>
      <w:proofErr w:type="spellStart"/>
      <w:r w:rsidRPr="00032D7E">
        <w:rPr>
          <w:sz w:val="24"/>
          <w:szCs w:val="24"/>
          <w:lang w:val="en-IN"/>
        </w:rPr>
        <w:t>perampanel</w:t>
      </w:r>
      <w:proofErr w:type="spellEnd"/>
      <w:r w:rsidRPr="00032D7E">
        <w:rPr>
          <w:sz w:val="24"/>
          <w:szCs w:val="24"/>
          <w:lang w:val="en-IN"/>
        </w:rPr>
        <w:t xml:space="preserve"> 3/4 hydrate equivalent to 12 mg </w:t>
      </w:r>
      <w:proofErr w:type="spellStart"/>
      <w:r w:rsidRPr="00032D7E">
        <w:rPr>
          <w:sz w:val="24"/>
          <w:szCs w:val="24"/>
          <w:lang w:val="en-IN"/>
        </w:rPr>
        <w:t>perampanel</w:t>
      </w:r>
      <w:proofErr w:type="spellEnd"/>
      <w:r w:rsidRPr="00032D7E">
        <w:rPr>
          <w:sz w:val="24"/>
          <w:szCs w:val="24"/>
          <w:lang w:val="en-IN"/>
        </w:rPr>
        <w:t>.</w:t>
      </w:r>
    </w:p>
    <w:p w14:paraId="5AC0163D" w14:textId="77777777" w:rsidR="00E575A9" w:rsidRPr="00032D7E" w:rsidRDefault="00E575A9" w:rsidP="002D3416">
      <w:pPr>
        <w:ind w:left="851"/>
        <w:rPr>
          <w:sz w:val="24"/>
          <w:szCs w:val="24"/>
          <w:lang w:val="en-IN"/>
        </w:rPr>
      </w:pPr>
    </w:p>
    <w:p w14:paraId="16220358" w14:textId="77777777" w:rsidR="00E575A9" w:rsidRPr="00032D7E" w:rsidRDefault="00E575A9" w:rsidP="002D3416">
      <w:pPr>
        <w:ind w:left="851"/>
        <w:rPr>
          <w:sz w:val="24"/>
          <w:szCs w:val="24"/>
          <w:lang w:val="en-IN"/>
        </w:rPr>
      </w:pPr>
      <w:r w:rsidRPr="00032D7E">
        <w:rPr>
          <w:sz w:val="24"/>
          <w:szCs w:val="24"/>
          <w:u w:val="single"/>
          <w:lang w:val="en-IN"/>
        </w:rPr>
        <w:t>Excipients with known effect:</w:t>
      </w:r>
      <w:r w:rsidRPr="00032D7E">
        <w:rPr>
          <w:sz w:val="24"/>
          <w:szCs w:val="24"/>
          <w:lang w:val="en-IN"/>
        </w:rPr>
        <w:t xml:space="preserve"> </w:t>
      </w:r>
    </w:p>
    <w:p w14:paraId="31E71100" w14:textId="77777777" w:rsidR="00E575A9" w:rsidRPr="00032D7E" w:rsidRDefault="00E575A9" w:rsidP="002D3416">
      <w:pPr>
        <w:ind w:left="851"/>
        <w:rPr>
          <w:sz w:val="24"/>
          <w:szCs w:val="24"/>
          <w:lang w:val="en-IN"/>
        </w:rPr>
      </w:pPr>
      <w:r w:rsidRPr="00032D7E">
        <w:rPr>
          <w:sz w:val="24"/>
          <w:szCs w:val="24"/>
          <w:lang w:val="en-IN"/>
        </w:rPr>
        <w:t>Each 2 mg tablet contains 64 mg of lactose monohydrate.</w:t>
      </w:r>
    </w:p>
    <w:p w14:paraId="0883F22A" w14:textId="77777777" w:rsidR="00E575A9" w:rsidRPr="00032D7E" w:rsidRDefault="00E575A9" w:rsidP="002D3416">
      <w:pPr>
        <w:ind w:left="851"/>
        <w:rPr>
          <w:sz w:val="24"/>
          <w:szCs w:val="24"/>
          <w:lang w:val="en-IN"/>
        </w:rPr>
      </w:pPr>
      <w:r w:rsidRPr="00032D7E">
        <w:rPr>
          <w:sz w:val="24"/>
          <w:szCs w:val="24"/>
          <w:lang w:val="en-IN"/>
        </w:rPr>
        <w:t xml:space="preserve">Each 4 mg tablet contains 128 mg of lactose monohydrate. </w:t>
      </w:r>
    </w:p>
    <w:p w14:paraId="48EDDB79" w14:textId="77777777" w:rsidR="00E575A9" w:rsidRPr="00032D7E" w:rsidRDefault="00E575A9" w:rsidP="002D3416">
      <w:pPr>
        <w:ind w:left="851"/>
        <w:rPr>
          <w:sz w:val="24"/>
          <w:szCs w:val="24"/>
          <w:lang w:val="en-IN"/>
        </w:rPr>
      </w:pPr>
      <w:r w:rsidRPr="00032D7E">
        <w:rPr>
          <w:sz w:val="24"/>
          <w:szCs w:val="24"/>
          <w:lang w:val="en-IN"/>
        </w:rPr>
        <w:t xml:space="preserve">Each 6 mg tablet contains 126 mg of lactose monohydrate. </w:t>
      </w:r>
    </w:p>
    <w:p w14:paraId="68097CDB" w14:textId="77777777" w:rsidR="00E575A9" w:rsidRPr="00032D7E" w:rsidRDefault="00E575A9" w:rsidP="002D3416">
      <w:pPr>
        <w:ind w:left="851"/>
        <w:rPr>
          <w:sz w:val="24"/>
          <w:szCs w:val="24"/>
          <w:lang w:val="en-IN"/>
        </w:rPr>
      </w:pPr>
      <w:r w:rsidRPr="00032D7E">
        <w:rPr>
          <w:sz w:val="24"/>
          <w:szCs w:val="24"/>
          <w:lang w:val="en-IN"/>
        </w:rPr>
        <w:t xml:space="preserve">Each 8 mg tablet contains 124 mg of lactose monohydrate. </w:t>
      </w:r>
    </w:p>
    <w:p w14:paraId="4F07DDD6" w14:textId="77777777" w:rsidR="00E575A9" w:rsidRPr="00032D7E" w:rsidRDefault="00E575A9" w:rsidP="002D3416">
      <w:pPr>
        <w:ind w:left="851"/>
        <w:rPr>
          <w:sz w:val="24"/>
          <w:szCs w:val="24"/>
          <w:lang w:val="en-IN"/>
        </w:rPr>
      </w:pPr>
      <w:r w:rsidRPr="00032D7E">
        <w:rPr>
          <w:sz w:val="24"/>
          <w:szCs w:val="24"/>
          <w:lang w:val="en-IN"/>
        </w:rPr>
        <w:t xml:space="preserve">Each 10 mg tablet contains 122 mg of lactose monohydrate. </w:t>
      </w:r>
    </w:p>
    <w:p w14:paraId="7BD63361" w14:textId="77777777" w:rsidR="00E575A9" w:rsidRPr="00032D7E" w:rsidRDefault="00E575A9" w:rsidP="002D3416">
      <w:pPr>
        <w:ind w:left="851"/>
        <w:rPr>
          <w:sz w:val="24"/>
          <w:szCs w:val="24"/>
          <w:lang w:val="en-IN"/>
        </w:rPr>
      </w:pPr>
      <w:r w:rsidRPr="00032D7E">
        <w:rPr>
          <w:sz w:val="24"/>
          <w:szCs w:val="24"/>
          <w:lang w:val="en-IN"/>
        </w:rPr>
        <w:t xml:space="preserve">Each 12 mg tablet contains 120 mg of lactose monohydrate. </w:t>
      </w:r>
    </w:p>
    <w:p w14:paraId="637E0BDE" w14:textId="77777777" w:rsidR="00E575A9" w:rsidRPr="00032D7E" w:rsidRDefault="00E575A9" w:rsidP="002D3416">
      <w:pPr>
        <w:ind w:left="851"/>
        <w:rPr>
          <w:sz w:val="24"/>
          <w:szCs w:val="24"/>
          <w:lang w:val="en-IN"/>
        </w:rPr>
      </w:pPr>
    </w:p>
    <w:p w14:paraId="759A38C2" w14:textId="77777777" w:rsidR="00E575A9" w:rsidRPr="00032D7E" w:rsidRDefault="00E575A9" w:rsidP="002D3416">
      <w:pPr>
        <w:ind w:left="851"/>
        <w:rPr>
          <w:sz w:val="24"/>
          <w:szCs w:val="24"/>
          <w:lang w:val="en-IN"/>
        </w:rPr>
      </w:pPr>
      <w:r w:rsidRPr="00032D7E">
        <w:rPr>
          <w:sz w:val="24"/>
          <w:szCs w:val="24"/>
          <w:lang w:val="en-IN"/>
        </w:rPr>
        <w:t>For the full list of excipients, see section 6.1.</w:t>
      </w:r>
    </w:p>
    <w:p w14:paraId="46712E95" w14:textId="77777777" w:rsidR="007C5D2A" w:rsidRPr="00032D7E" w:rsidRDefault="007C5D2A" w:rsidP="004A3BF4">
      <w:pPr>
        <w:tabs>
          <w:tab w:val="left" w:pos="851"/>
        </w:tabs>
        <w:ind w:left="851"/>
        <w:rPr>
          <w:sz w:val="24"/>
          <w:szCs w:val="24"/>
          <w:lang w:val="en-IN"/>
        </w:rPr>
      </w:pPr>
    </w:p>
    <w:p w14:paraId="7F14F400" w14:textId="77777777" w:rsidR="007C5D2A" w:rsidRPr="00032D7E" w:rsidRDefault="007C5D2A" w:rsidP="007C5D2A">
      <w:pPr>
        <w:tabs>
          <w:tab w:val="left" w:pos="851"/>
        </w:tabs>
        <w:ind w:left="851" w:hanging="851"/>
        <w:rPr>
          <w:b/>
          <w:sz w:val="24"/>
          <w:szCs w:val="24"/>
          <w:lang w:val="en-GB"/>
        </w:rPr>
      </w:pPr>
      <w:r w:rsidRPr="00032D7E">
        <w:rPr>
          <w:b/>
          <w:sz w:val="24"/>
          <w:szCs w:val="24"/>
          <w:lang w:val="en-GB"/>
        </w:rPr>
        <w:t>3.</w:t>
      </w:r>
      <w:r w:rsidRPr="00032D7E">
        <w:rPr>
          <w:b/>
          <w:sz w:val="24"/>
          <w:szCs w:val="24"/>
          <w:lang w:val="en-GB"/>
        </w:rPr>
        <w:tab/>
        <w:t>PHARMACEUTICAL FORM</w:t>
      </w:r>
    </w:p>
    <w:p w14:paraId="368EF5F4" w14:textId="1ACB1C4C" w:rsidR="00E575A9" w:rsidRPr="00032D7E" w:rsidRDefault="00E575A9" w:rsidP="002D3416">
      <w:pPr>
        <w:ind w:left="851"/>
        <w:rPr>
          <w:sz w:val="24"/>
          <w:szCs w:val="24"/>
          <w:lang w:val="en-IN"/>
        </w:rPr>
      </w:pPr>
      <w:r w:rsidRPr="00032D7E">
        <w:rPr>
          <w:sz w:val="24"/>
          <w:szCs w:val="24"/>
          <w:lang w:val="en-IN"/>
        </w:rPr>
        <w:t>Film-coated tablet</w:t>
      </w:r>
      <w:r w:rsidR="00032D7E">
        <w:rPr>
          <w:sz w:val="24"/>
          <w:szCs w:val="24"/>
          <w:lang w:val="en-IN"/>
        </w:rPr>
        <w:t>s</w:t>
      </w:r>
      <w:r w:rsidRPr="00032D7E">
        <w:rPr>
          <w:sz w:val="24"/>
          <w:szCs w:val="24"/>
          <w:lang w:val="en-IN"/>
        </w:rPr>
        <w:t xml:space="preserve"> (tablet)</w:t>
      </w:r>
    </w:p>
    <w:p w14:paraId="257E6736" w14:textId="77777777" w:rsidR="00E575A9" w:rsidRPr="00032D7E" w:rsidRDefault="00E575A9" w:rsidP="002D3416">
      <w:pPr>
        <w:ind w:left="851"/>
        <w:rPr>
          <w:sz w:val="24"/>
          <w:szCs w:val="24"/>
          <w:lang w:val="en-IN"/>
        </w:rPr>
      </w:pPr>
    </w:p>
    <w:p w14:paraId="7D4A46B9" w14:textId="7BB75F5D" w:rsidR="00E575A9" w:rsidRPr="00032D7E" w:rsidRDefault="00E575A9" w:rsidP="00032D7E">
      <w:pPr>
        <w:tabs>
          <w:tab w:val="left" w:pos="1985"/>
        </w:tabs>
        <w:ind w:left="1979" w:hanging="1128"/>
        <w:rPr>
          <w:sz w:val="24"/>
          <w:szCs w:val="24"/>
          <w:lang w:val="en-IN"/>
        </w:rPr>
      </w:pPr>
      <w:r w:rsidRPr="00032D7E">
        <w:rPr>
          <w:sz w:val="24"/>
          <w:szCs w:val="24"/>
          <w:lang w:val="en-IN"/>
        </w:rPr>
        <w:t xml:space="preserve">2 mg: </w:t>
      </w:r>
      <w:r w:rsidR="00032D7E">
        <w:rPr>
          <w:sz w:val="24"/>
          <w:szCs w:val="24"/>
          <w:lang w:val="en-IN"/>
        </w:rPr>
        <w:tab/>
      </w:r>
      <w:r w:rsidRPr="00032D7E">
        <w:rPr>
          <w:sz w:val="24"/>
          <w:szCs w:val="24"/>
          <w:lang w:val="en-IN"/>
        </w:rPr>
        <w:t xml:space="preserve">Orange </w:t>
      </w:r>
      <w:proofErr w:type="spellStart"/>
      <w:r w:rsidRPr="00032D7E">
        <w:rPr>
          <w:sz w:val="24"/>
          <w:szCs w:val="24"/>
          <w:lang w:val="en-IN"/>
        </w:rPr>
        <w:t>colored</w:t>
      </w:r>
      <w:proofErr w:type="spellEnd"/>
      <w:r w:rsidRPr="00032D7E">
        <w:rPr>
          <w:sz w:val="24"/>
          <w:szCs w:val="24"/>
          <w:lang w:val="en-IN"/>
        </w:rPr>
        <w:t xml:space="preserve">, round shaped, biconvex, approximately 7 mm in diameter, film coated tablets, debossed with “P” on one side and “21” on other side. </w:t>
      </w:r>
    </w:p>
    <w:p w14:paraId="655683D4" w14:textId="77777777" w:rsidR="00032D7E" w:rsidRDefault="00032D7E" w:rsidP="00032D7E">
      <w:pPr>
        <w:tabs>
          <w:tab w:val="left" w:pos="1985"/>
        </w:tabs>
        <w:ind w:left="851"/>
        <w:rPr>
          <w:sz w:val="24"/>
          <w:szCs w:val="24"/>
          <w:lang w:val="en-IN"/>
        </w:rPr>
      </w:pPr>
    </w:p>
    <w:p w14:paraId="25882BAF" w14:textId="430C38B4" w:rsidR="00E575A9" w:rsidRPr="00032D7E" w:rsidRDefault="00E575A9" w:rsidP="00032D7E">
      <w:pPr>
        <w:tabs>
          <w:tab w:val="left" w:pos="1985"/>
        </w:tabs>
        <w:ind w:left="1979" w:hanging="1128"/>
        <w:rPr>
          <w:sz w:val="24"/>
          <w:szCs w:val="24"/>
          <w:lang w:val="en-IN"/>
        </w:rPr>
      </w:pPr>
      <w:r w:rsidRPr="00032D7E">
        <w:rPr>
          <w:sz w:val="24"/>
          <w:szCs w:val="24"/>
          <w:lang w:val="en-IN"/>
        </w:rPr>
        <w:t xml:space="preserve">4 mg: </w:t>
      </w:r>
      <w:r w:rsidR="00032D7E">
        <w:rPr>
          <w:sz w:val="24"/>
          <w:szCs w:val="24"/>
          <w:lang w:val="en-IN"/>
        </w:rPr>
        <w:tab/>
      </w:r>
      <w:r w:rsidRPr="00032D7E">
        <w:rPr>
          <w:sz w:val="24"/>
          <w:szCs w:val="24"/>
          <w:lang w:val="en-IN"/>
        </w:rPr>
        <w:t xml:space="preserve">Brick red </w:t>
      </w:r>
      <w:proofErr w:type="spellStart"/>
      <w:r w:rsidRPr="00032D7E">
        <w:rPr>
          <w:sz w:val="24"/>
          <w:szCs w:val="24"/>
          <w:lang w:val="en-IN"/>
        </w:rPr>
        <w:t>colored</w:t>
      </w:r>
      <w:proofErr w:type="spellEnd"/>
      <w:r w:rsidRPr="00032D7E">
        <w:rPr>
          <w:sz w:val="24"/>
          <w:szCs w:val="24"/>
          <w:lang w:val="en-IN"/>
        </w:rPr>
        <w:t xml:space="preserve">, round shaped, biconvex, approximately 8 mm in diameter, film coated tablets, debossed with “P” on one side and “22” on other side. </w:t>
      </w:r>
    </w:p>
    <w:p w14:paraId="2EE55235" w14:textId="77777777" w:rsidR="00032D7E" w:rsidRDefault="00032D7E" w:rsidP="00032D7E">
      <w:pPr>
        <w:tabs>
          <w:tab w:val="left" w:pos="1985"/>
        </w:tabs>
        <w:ind w:left="1979" w:hanging="1128"/>
        <w:rPr>
          <w:sz w:val="24"/>
          <w:szCs w:val="24"/>
          <w:lang w:val="en-IN"/>
        </w:rPr>
      </w:pPr>
    </w:p>
    <w:p w14:paraId="74009171" w14:textId="53C7B130" w:rsidR="00E575A9" w:rsidRPr="00032D7E" w:rsidRDefault="00E575A9" w:rsidP="00032D7E">
      <w:pPr>
        <w:tabs>
          <w:tab w:val="left" w:pos="1985"/>
        </w:tabs>
        <w:ind w:left="1979" w:hanging="1128"/>
        <w:rPr>
          <w:sz w:val="24"/>
          <w:szCs w:val="24"/>
          <w:lang w:val="en-IN"/>
        </w:rPr>
      </w:pPr>
      <w:r w:rsidRPr="00032D7E">
        <w:rPr>
          <w:sz w:val="24"/>
          <w:szCs w:val="24"/>
          <w:lang w:val="en-IN"/>
        </w:rPr>
        <w:t xml:space="preserve">6 mg: </w:t>
      </w:r>
      <w:r w:rsidR="00032D7E">
        <w:rPr>
          <w:sz w:val="24"/>
          <w:szCs w:val="24"/>
          <w:lang w:val="en-IN"/>
        </w:rPr>
        <w:tab/>
      </w:r>
      <w:r w:rsidRPr="00032D7E">
        <w:rPr>
          <w:sz w:val="24"/>
          <w:szCs w:val="24"/>
          <w:lang w:val="en-IN"/>
        </w:rPr>
        <w:t xml:space="preserve">Pink </w:t>
      </w:r>
      <w:proofErr w:type="spellStart"/>
      <w:r w:rsidRPr="00032D7E">
        <w:rPr>
          <w:sz w:val="24"/>
          <w:szCs w:val="24"/>
          <w:lang w:val="en-IN"/>
        </w:rPr>
        <w:t>colored</w:t>
      </w:r>
      <w:proofErr w:type="spellEnd"/>
      <w:r w:rsidRPr="00032D7E">
        <w:rPr>
          <w:sz w:val="24"/>
          <w:szCs w:val="24"/>
          <w:lang w:val="en-IN"/>
        </w:rPr>
        <w:t xml:space="preserve">, round shaped, biconvex, approximately 8 mm in diameter, film coated tablets, debossed with “P” on one side and “23” on other side. </w:t>
      </w:r>
    </w:p>
    <w:p w14:paraId="55C4C67A" w14:textId="77777777" w:rsidR="00032D7E" w:rsidRDefault="00032D7E" w:rsidP="00032D7E">
      <w:pPr>
        <w:tabs>
          <w:tab w:val="left" w:pos="1985"/>
        </w:tabs>
        <w:ind w:left="1979" w:hanging="1128"/>
        <w:rPr>
          <w:sz w:val="24"/>
          <w:szCs w:val="24"/>
          <w:lang w:val="en-IN"/>
        </w:rPr>
      </w:pPr>
    </w:p>
    <w:p w14:paraId="54D89715" w14:textId="2E8F97F1" w:rsidR="00E575A9" w:rsidRPr="00032D7E" w:rsidRDefault="00E575A9" w:rsidP="00032D7E">
      <w:pPr>
        <w:tabs>
          <w:tab w:val="left" w:pos="1985"/>
        </w:tabs>
        <w:ind w:left="1979" w:hanging="1128"/>
        <w:rPr>
          <w:sz w:val="24"/>
          <w:szCs w:val="24"/>
          <w:lang w:val="en-IN"/>
        </w:rPr>
      </w:pPr>
      <w:r w:rsidRPr="00032D7E">
        <w:rPr>
          <w:sz w:val="24"/>
          <w:szCs w:val="24"/>
          <w:lang w:val="en-IN"/>
        </w:rPr>
        <w:t xml:space="preserve">8 mg: </w:t>
      </w:r>
      <w:r w:rsidR="00032D7E">
        <w:rPr>
          <w:sz w:val="24"/>
          <w:szCs w:val="24"/>
          <w:lang w:val="en-IN"/>
        </w:rPr>
        <w:tab/>
      </w:r>
      <w:r w:rsidRPr="00032D7E">
        <w:rPr>
          <w:sz w:val="24"/>
          <w:szCs w:val="24"/>
          <w:lang w:val="en-IN"/>
        </w:rPr>
        <w:t xml:space="preserve">Beige </w:t>
      </w:r>
      <w:proofErr w:type="spellStart"/>
      <w:r w:rsidRPr="00032D7E">
        <w:rPr>
          <w:sz w:val="24"/>
          <w:szCs w:val="24"/>
          <w:lang w:val="en-IN"/>
        </w:rPr>
        <w:t>colored</w:t>
      </w:r>
      <w:proofErr w:type="spellEnd"/>
      <w:r w:rsidRPr="00032D7E">
        <w:rPr>
          <w:sz w:val="24"/>
          <w:szCs w:val="24"/>
          <w:lang w:val="en-IN"/>
        </w:rPr>
        <w:t>, round shaped, biconvex, approximately 8 mm in diameter, film coated tablets, debossed with “P” on one side and “24” on other side.</w:t>
      </w:r>
    </w:p>
    <w:p w14:paraId="6B91CCC6" w14:textId="77777777" w:rsidR="00032D7E" w:rsidRDefault="00032D7E" w:rsidP="00032D7E">
      <w:pPr>
        <w:tabs>
          <w:tab w:val="left" w:pos="1985"/>
        </w:tabs>
        <w:ind w:left="1979" w:hanging="1128"/>
        <w:rPr>
          <w:sz w:val="24"/>
          <w:szCs w:val="24"/>
          <w:lang w:val="en-IN"/>
        </w:rPr>
      </w:pPr>
    </w:p>
    <w:p w14:paraId="1428E45D" w14:textId="78FF0C8F" w:rsidR="00E575A9" w:rsidRPr="00032D7E" w:rsidRDefault="00E575A9" w:rsidP="00032D7E">
      <w:pPr>
        <w:tabs>
          <w:tab w:val="left" w:pos="1985"/>
        </w:tabs>
        <w:ind w:left="1979" w:hanging="1128"/>
        <w:rPr>
          <w:sz w:val="24"/>
          <w:szCs w:val="24"/>
          <w:lang w:val="en-IN"/>
        </w:rPr>
      </w:pPr>
      <w:r w:rsidRPr="00032D7E">
        <w:rPr>
          <w:sz w:val="24"/>
          <w:szCs w:val="24"/>
          <w:lang w:val="en-IN"/>
        </w:rPr>
        <w:t xml:space="preserve">10 mg: </w:t>
      </w:r>
      <w:r w:rsidR="00032D7E">
        <w:rPr>
          <w:sz w:val="24"/>
          <w:szCs w:val="24"/>
          <w:lang w:val="en-IN"/>
        </w:rPr>
        <w:tab/>
      </w:r>
      <w:r w:rsidRPr="00032D7E">
        <w:rPr>
          <w:sz w:val="24"/>
          <w:szCs w:val="24"/>
          <w:lang w:val="en-IN"/>
        </w:rPr>
        <w:t xml:space="preserve">Green </w:t>
      </w:r>
      <w:proofErr w:type="spellStart"/>
      <w:r w:rsidRPr="00032D7E">
        <w:rPr>
          <w:sz w:val="24"/>
          <w:szCs w:val="24"/>
          <w:lang w:val="en-IN"/>
        </w:rPr>
        <w:t>colored</w:t>
      </w:r>
      <w:proofErr w:type="spellEnd"/>
      <w:r w:rsidRPr="00032D7E">
        <w:rPr>
          <w:sz w:val="24"/>
          <w:szCs w:val="24"/>
          <w:lang w:val="en-IN"/>
        </w:rPr>
        <w:t xml:space="preserve">, round shaped, biconvex, approximately 8 mm in diameter, film coated tablets, debossed with “P” on one side and “25” on other side. </w:t>
      </w:r>
    </w:p>
    <w:p w14:paraId="174A4A7D" w14:textId="77777777" w:rsidR="00032D7E" w:rsidRDefault="00032D7E" w:rsidP="00032D7E">
      <w:pPr>
        <w:tabs>
          <w:tab w:val="left" w:pos="1985"/>
        </w:tabs>
        <w:ind w:left="1979" w:hanging="1128"/>
        <w:rPr>
          <w:sz w:val="24"/>
          <w:szCs w:val="24"/>
          <w:lang w:val="en-IN"/>
        </w:rPr>
      </w:pPr>
    </w:p>
    <w:p w14:paraId="7FCD6E31" w14:textId="5369A776" w:rsidR="00E575A9" w:rsidRPr="00032D7E" w:rsidRDefault="00E575A9" w:rsidP="00032D7E">
      <w:pPr>
        <w:tabs>
          <w:tab w:val="left" w:pos="1985"/>
        </w:tabs>
        <w:ind w:left="1979" w:hanging="1128"/>
        <w:rPr>
          <w:sz w:val="24"/>
          <w:szCs w:val="24"/>
          <w:lang w:val="en-IN"/>
        </w:rPr>
      </w:pPr>
      <w:r w:rsidRPr="00032D7E">
        <w:rPr>
          <w:sz w:val="24"/>
          <w:szCs w:val="24"/>
          <w:lang w:val="en-IN"/>
        </w:rPr>
        <w:t xml:space="preserve">12 mg: </w:t>
      </w:r>
      <w:r w:rsidR="00032D7E">
        <w:rPr>
          <w:sz w:val="24"/>
          <w:szCs w:val="24"/>
          <w:lang w:val="en-IN"/>
        </w:rPr>
        <w:tab/>
      </w:r>
      <w:r w:rsidRPr="00032D7E">
        <w:rPr>
          <w:sz w:val="24"/>
          <w:szCs w:val="24"/>
          <w:lang w:val="en-IN"/>
        </w:rPr>
        <w:t xml:space="preserve">Blue </w:t>
      </w:r>
      <w:proofErr w:type="spellStart"/>
      <w:r w:rsidRPr="00032D7E">
        <w:rPr>
          <w:sz w:val="24"/>
          <w:szCs w:val="24"/>
          <w:lang w:val="en-IN"/>
        </w:rPr>
        <w:t>colored</w:t>
      </w:r>
      <w:proofErr w:type="spellEnd"/>
      <w:r w:rsidRPr="00032D7E">
        <w:rPr>
          <w:sz w:val="24"/>
          <w:szCs w:val="24"/>
          <w:lang w:val="en-IN"/>
        </w:rPr>
        <w:t>, round shaped, biconvex, approximately 8 mm in diameter, film coated tablets, debossed with “P” on one side and “26” on other side.</w:t>
      </w:r>
    </w:p>
    <w:p w14:paraId="266E2732" w14:textId="77777777" w:rsidR="007C5D2A" w:rsidRPr="00032D7E" w:rsidRDefault="007C5D2A" w:rsidP="004A3BF4">
      <w:pPr>
        <w:tabs>
          <w:tab w:val="left" w:pos="851"/>
        </w:tabs>
        <w:ind w:left="851"/>
        <w:rPr>
          <w:sz w:val="24"/>
          <w:szCs w:val="24"/>
          <w:lang w:val="en-IN"/>
        </w:rPr>
      </w:pPr>
    </w:p>
    <w:p w14:paraId="6AE27AD5" w14:textId="77777777" w:rsidR="007C5D2A" w:rsidRPr="00032D7E" w:rsidRDefault="007C5D2A" w:rsidP="004A3BF4">
      <w:pPr>
        <w:tabs>
          <w:tab w:val="left" w:pos="851"/>
        </w:tabs>
        <w:ind w:left="851"/>
        <w:rPr>
          <w:sz w:val="24"/>
          <w:szCs w:val="24"/>
          <w:lang w:val="en-GB"/>
        </w:rPr>
      </w:pPr>
    </w:p>
    <w:p w14:paraId="0D8F3D23" w14:textId="77777777" w:rsidR="007C5D2A" w:rsidRPr="00032D7E" w:rsidRDefault="007C5D2A" w:rsidP="007C5D2A">
      <w:pPr>
        <w:ind w:left="851" w:hanging="851"/>
        <w:rPr>
          <w:b/>
          <w:sz w:val="24"/>
          <w:szCs w:val="24"/>
          <w:lang w:val="en-GB"/>
        </w:rPr>
      </w:pPr>
      <w:r w:rsidRPr="00032D7E">
        <w:rPr>
          <w:b/>
          <w:sz w:val="24"/>
          <w:szCs w:val="24"/>
          <w:lang w:val="en-GB"/>
        </w:rPr>
        <w:t>4.</w:t>
      </w:r>
      <w:r w:rsidRPr="00032D7E">
        <w:rPr>
          <w:b/>
          <w:sz w:val="24"/>
          <w:szCs w:val="24"/>
          <w:lang w:val="en-GB"/>
        </w:rPr>
        <w:tab/>
        <w:t>CLINICAL PARTICULARS</w:t>
      </w:r>
    </w:p>
    <w:p w14:paraId="4B290FA7" w14:textId="77777777" w:rsidR="007C5D2A" w:rsidRPr="00032D7E" w:rsidRDefault="007C5D2A" w:rsidP="004A3BF4">
      <w:pPr>
        <w:tabs>
          <w:tab w:val="left" w:pos="851"/>
        </w:tabs>
        <w:ind w:left="851"/>
        <w:rPr>
          <w:sz w:val="24"/>
          <w:szCs w:val="24"/>
          <w:lang w:val="en-GB"/>
        </w:rPr>
      </w:pPr>
    </w:p>
    <w:p w14:paraId="014A4C65" w14:textId="77777777" w:rsidR="007C5D2A" w:rsidRPr="00032D7E" w:rsidRDefault="007C5D2A" w:rsidP="007C5D2A">
      <w:pPr>
        <w:ind w:left="851" w:hanging="851"/>
        <w:rPr>
          <w:b/>
          <w:sz w:val="24"/>
          <w:szCs w:val="24"/>
          <w:u w:val="single"/>
          <w:lang w:val="en-GB"/>
        </w:rPr>
      </w:pPr>
      <w:r w:rsidRPr="00032D7E">
        <w:rPr>
          <w:b/>
          <w:sz w:val="24"/>
          <w:szCs w:val="24"/>
          <w:lang w:val="en-GB"/>
        </w:rPr>
        <w:t>4.1</w:t>
      </w:r>
      <w:r w:rsidRPr="00032D7E">
        <w:rPr>
          <w:b/>
          <w:sz w:val="24"/>
          <w:szCs w:val="24"/>
          <w:lang w:val="en-GB"/>
        </w:rPr>
        <w:tab/>
        <w:t>Therapeutic indications</w:t>
      </w:r>
    </w:p>
    <w:p w14:paraId="2D240AE1" w14:textId="792BC774" w:rsidR="00E575A9" w:rsidRPr="00032D7E" w:rsidRDefault="00032D7E" w:rsidP="002D3416">
      <w:pPr>
        <w:ind w:left="851"/>
        <w:rPr>
          <w:sz w:val="24"/>
          <w:szCs w:val="24"/>
          <w:lang w:val="en-IN"/>
        </w:rPr>
      </w:pPr>
      <w:proofErr w:type="spellStart"/>
      <w:r>
        <w:rPr>
          <w:sz w:val="24"/>
          <w:szCs w:val="24"/>
          <w:lang w:val="en-IN"/>
        </w:rPr>
        <w:t>Perampanel</w:t>
      </w:r>
      <w:proofErr w:type="spellEnd"/>
      <w:r>
        <w:rPr>
          <w:sz w:val="24"/>
          <w:szCs w:val="24"/>
          <w:lang w:val="en-IN"/>
        </w:rPr>
        <w:t xml:space="preserve"> "Vivanta Generics"</w:t>
      </w:r>
      <w:r w:rsidR="00E575A9" w:rsidRPr="00032D7E">
        <w:rPr>
          <w:sz w:val="24"/>
          <w:szCs w:val="24"/>
          <w:lang w:val="en-IN"/>
        </w:rPr>
        <w:t xml:space="preserve"> (</w:t>
      </w:r>
      <w:proofErr w:type="spellStart"/>
      <w:r w:rsidR="00E575A9" w:rsidRPr="00032D7E">
        <w:rPr>
          <w:sz w:val="24"/>
          <w:szCs w:val="24"/>
          <w:lang w:val="en-IN"/>
        </w:rPr>
        <w:t>perampanel</w:t>
      </w:r>
      <w:proofErr w:type="spellEnd"/>
      <w:r w:rsidR="00E575A9" w:rsidRPr="00032D7E">
        <w:rPr>
          <w:sz w:val="24"/>
          <w:szCs w:val="24"/>
          <w:lang w:val="en-IN"/>
        </w:rPr>
        <w:t xml:space="preserve">) is indicated for the adjunctive treatment of </w:t>
      </w:r>
    </w:p>
    <w:p w14:paraId="5AC23560" w14:textId="77777777" w:rsidR="00E575A9" w:rsidRPr="00032D7E" w:rsidRDefault="00E575A9" w:rsidP="00032D7E">
      <w:pPr>
        <w:pStyle w:val="Listeafsnit"/>
        <w:numPr>
          <w:ilvl w:val="0"/>
          <w:numId w:val="7"/>
        </w:numPr>
        <w:ind w:left="1276" w:hanging="425"/>
        <w:rPr>
          <w:sz w:val="24"/>
          <w:szCs w:val="24"/>
          <w:lang w:val="en-IN"/>
        </w:rPr>
      </w:pPr>
      <w:r w:rsidRPr="00032D7E">
        <w:rPr>
          <w:sz w:val="24"/>
          <w:szCs w:val="24"/>
          <w:lang w:val="en-IN"/>
        </w:rPr>
        <w:t>partial-onset seizures (POS) with or without secondarily generalised seizures in patients from 4 years of age and older.</w:t>
      </w:r>
    </w:p>
    <w:p w14:paraId="67868355" w14:textId="77777777" w:rsidR="00E575A9" w:rsidRPr="00032D7E" w:rsidRDefault="00E575A9" w:rsidP="00032D7E">
      <w:pPr>
        <w:pStyle w:val="Listeafsnit"/>
        <w:numPr>
          <w:ilvl w:val="0"/>
          <w:numId w:val="7"/>
        </w:numPr>
        <w:ind w:left="1276" w:hanging="425"/>
        <w:rPr>
          <w:sz w:val="24"/>
          <w:szCs w:val="24"/>
          <w:lang w:val="en-IN"/>
        </w:rPr>
      </w:pPr>
      <w:r w:rsidRPr="00032D7E">
        <w:rPr>
          <w:sz w:val="24"/>
          <w:szCs w:val="24"/>
          <w:lang w:val="en-IN"/>
        </w:rPr>
        <w:t>primary generalised tonic-clonic (PGTC) seizures in patients from 7 years of age and older with idiopathic generalised epilepsy (IGE).</w:t>
      </w:r>
    </w:p>
    <w:p w14:paraId="24B3CC56" w14:textId="77777777" w:rsidR="007C5D2A" w:rsidRPr="00032D7E" w:rsidRDefault="007C5D2A" w:rsidP="00A85D26">
      <w:pPr>
        <w:tabs>
          <w:tab w:val="left" w:pos="851"/>
        </w:tabs>
        <w:ind w:left="851"/>
        <w:rPr>
          <w:sz w:val="24"/>
          <w:szCs w:val="24"/>
          <w:lang w:val="en-IN"/>
        </w:rPr>
      </w:pPr>
    </w:p>
    <w:p w14:paraId="20B2B561" w14:textId="77777777" w:rsidR="007C5D2A" w:rsidRPr="00032D7E" w:rsidRDefault="009925C9" w:rsidP="007C5D2A">
      <w:pPr>
        <w:tabs>
          <w:tab w:val="left" w:pos="851"/>
        </w:tabs>
        <w:ind w:left="851" w:hanging="851"/>
        <w:rPr>
          <w:sz w:val="24"/>
          <w:szCs w:val="24"/>
          <w:lang w:val="en-GB"/>
        </w:rPr>
      </w:pPr>
      <w:r w:rsidRPr="00032D7E">
        <w:rPr>
          <w:b/>
          <w:sz w:val="24"/>
          <w:szCs w:val="24"/>
          <w:lang w:val="en-GB"/>
        </w:rPr>
        <w:t>4.2</w:t>
      </w:r>
      <w:r w:rsidR="007C5D2A" w:rsidRPr="00032D7E">
        <w:rPr>
          <w:b/>
          <w:sz w:val="24"/>
          <w:szCs w:val="24"/>
          <w:lang w:val="en-GB"/>
        </w:rPr>
        <w:tab/>
        <w:t>Posology and method of administration</w:t>
      </w:r>
    </w:p>
    <w:p w14:paraId="3506172C" w14:textId="77777777" w:rsidR="00032D7E" w:rsidRDefault="00032D7E" w:rsidP="002D3416">
      <w:pPr>
        <w:ind w:left="851"/>
        <w:rPr>
          <w:sz w:val="24"/>
          <w:szCs w:val="24"/>
          <w:lang w:val="en-IN"/>
        </w:rPr>
      </w:pPr>
    </w:p>
    <w:p w14:paraId="2E6DFB52" w14:textId="0040122E" w:rsidR="00E575A9" w:rsidRPr="00032D7E" w:rsidRDefault="00E575A9" w:rsidP="002D3416">
      <w:pPr>
        <w:ind w:left="851"/>
        <w:rPr>
          <w:sz w:val="24"/>
          <w:szCs w:val="24"/>
          <w:u w:val="single"/>
          <w:lang w:val="en-IN"/>
        </w:rPr>
      </w:pPr>
      <w:r w:rsidRPr="00032D7E">
        <w:rPr>
          <w:sz w:val="24"/>
          <w:szCs w:val="24"/>
          <w:u w:val="single"/>
          <w:lang w:val="en-IN"/>
        </w:rPr>
        <w:t xml:space="preserve">Posology </w:t>
      </w:r>
    </w:p>
    <w:p w14:paraId="4C4F55ED" w14:textId="77777777" w:rsidR="00E575A9" w:rsidRPr="00032D7E" w:rsidRDefault="00E575A9" w:rsidP="002D3416">
      <w:pPr>
        <w:ind w:left="851"/>
        <w:rPr>
          <w:sz w:val="24"/>
          <w:szCs w:val="24"/>
          <w:lang w:val="en-IN"/>
        </w:rPr>
      </w:pPr>
    </w:p>
    <w:p w14:paraId="1AA03679" w14:textId="47D3E3C7" w:rsidR="00E575A9" w:rsidRPr="00032D7E" w:rsidRDefault="00032D7E" w:rsidP="002D3416">
      <w:pPr>
        <w:ind w:left="851"/>
        <w:rPr>
          <w:sz w:val="24"/>
          <w:szCs w:val="24"/>
          <w:lang w:val="en-IN"/>
        </w:rPr>
      </w:pPr>
      <w:proofErr w:type="spellStart"/>
      <w:r>
        <w:rPr>
          <w:sz w:val="24"/>
          <w:szCs w:val="24"/>
          <w:lang w:val="en-IN"/>
        </w:rPr>
        <w:t>Perampanel</w:t>
      </w:r>
      <w:proofErr w:type="spellEnd"/>
      <w:r>
        <w:rPr>
          <w:sz w:val="24"/>
          <w:szCs w:val="24"/>
          <w:lang w:val="en-IN"/>
        </w:rPr>
        <w:t xml:space="preserve"> "Vivanta Generics"</w:t>
      </w:r>
      <w:r w:rsidR="00E575A9" w:rsidRPr="00032D7E">
        <w:rPr>
          <w:sz w:val="24"/>
          <w:szCs w:val="24"/>
          <w:lang w:val="en-IN"/>
        </w:rPr>
        <w:t xml:space="preserve"> must be titrated, according to individual patient response, </w:t>
      </w:r>
      <w:proofErr w:type="gramStart"/>
      <w:r w:rsidR="00E575A9" w:rsidRPr="00032D7E">
        <w:rPr>
          <w:sz w:val="24"/>
          <w:szCs w:val="24"/>
          <w:lang w:val="en-IN"/>
        </w:rPr>
        <w:t>in order to</w:t>
      </w:r>
      <w:proofErr w:type="gramEnd"/>
      <w:r w:rsidR="00E575A9" w:rsidRPr="00032D7E">
        <w:rPr>
          <w:sz w:val="24"/>
          <w:szCs w:val="24"/>
          <w:lang w:val="en-IN"/>
        </w:rPr>
        <w:t xml:space="preserve"> optimise the balance between efficacy and tolerability. </w:t>
      </w:r>
    </w:p>
    <w:p w14:paraId="0F567D7A" w14:textId="77777777" w:rsidR="00E575A9" w:rsidRPr="00032D7E" w:rsidRDefault="00E575A9" w:rsidP="002D3416">
      <w:pPr>
        <w:ind w:left="851"/>
        <w:rPr>
          <w:sz w:val="24"/>
          <w:szCs w:val="24"/>
          <w:lang w:val="en-IN"/>
        </w:rPr>
      </w:pPr>
      <w:proofErr w:type="spellStart"/>
      <w:r w:rsidRPr="00032D7E">
        <w:rPr>
          <w:sz w:val="24"/>
          <w:szCs w:val="24"/>
          <w:lang w:val="en-IN"/>
        </w:rPr>
        <w:t>Perampanel</w:t>
      </w:r>
      <w:proofErr w:type="spellEnd"/>
      <w:r w:rsidRPr="00032D7E">
        <w:rPr>
          <w:sz w:val="24"/>
          <w:szCs w:val="24"/>
          <w:lang w:val="en-IN"/>
        </w:rPr>
        <w:t xml:space="preserve"> should be taken orally once daily at bedtime. </w:t>
      </w:r>
    </w:p>
    <w:p w14:paraId="041869AC" w14:textId="77777777" w:rsidR="00E575A9" w:rsidRPr="00032D7E" w:rsidRDefault="00E575A9" w:rsidP="002D3416">
      <w:pPr>
        <w:ind w:left="851"/>
        <w:rPr>
          <w:sz w:val="24"/>
          <w:szCs w:val="24"/>
          <w:lang w:val="en-IN"/>
        </w:rPr>
      </w:pPr>
      <w:r w:rsidRPr="00032D7E">
        <w:rPr>
          <w:sz w:val="24"/>
          <w:szCs w:val="24"/>
          <w:lang w:val="en-IN"/>
        </w:rPr>
        <w:t xml:space="preserve">The physician should prescribe the most appropriate formulation and strength according to weight and dose. Alternate formulations of </w:t>
      </w:r>
      <w:proofErr w:type="spellStart"/>
      <w:r w:rsidRPr="00032D7E">
        <w:rPr>
          <w:sz w:val="24"/>
          <w:szCs w:val="24"/>
          <w:lang w:val="en-IN"/>
        </w:rPr>
        <w:t>perampanel</w:t>
      </w:r>
      <w:proofErr w:type="spellEnd"/>
      <w:r w:rsidRPr="00032D7E">
        <w:rPr>
          <w:sz w:val="24"/>
          <w:szCs w:val="24"/>
          <w:lang w:val="en-IN"/>
        </w:rPr>
        <w:t xml:space="preserve"> are available, including oral suspension</w:t>
      </w:r>
    </w:p>
    <w:p w14:paraId="379A8F60" w14:textId="77777777" w:rsidR="00E575A9" w:rsidRPr="00032D7E" w:rsidRDefault="00E575A9" w:rsidP="002D3416">
      <w:pPr>
        <w:ind w:left="851"/>
        <w:rPr>
          <w:sz w:val="24"/>
          <w:szCs w:val="24"/>
          <w:lang w:val="en-IN"/>
        </w:rPr>
      </w:pPr>
    </w:p>
    <w:p w14:paraId="3F7B2FF0" w14:textId="77777777" w:rsidR="00E575A9" w:rsidRPr="00032D7E" w:rsidRDefault="00E575A9" w:rsidP="002D3416">
      <w:pPr>
        <w:ind w:left="851"/>
        <w:rPr>
          <w:i/>
          <w:iCs/>
          <w:sz w:val="24"/>
          <w:szCs w:val="24"/>
          <w:lang w:val="en-IN"/>
        </w:rPr>
      </w:pPr>
      <w:r w:rsidRPr="00032D7E">
        <w:rPr>
          <w:i/>
          <w:iCs/>
          <w:sz w:val="24"/>
          <w:szCs w:val="24"/>
          <w:lang w:val="en-IN"/>
        </w:rPr>
        <w:t xml:space="preserve">Partial-Onset Seizures </w:t>
      </w:r>
    </w:p>
    <w:p w14:paraId="73EAF0C3" w14:textId="77777777" w:rsidR="00E575A9" w:rsidRPr="00032D7E" w:rsidRDefault="00E575A9" w:rsidP="002D3416">
      <w:pPr>
        <w:ind w:left="851"/>
        <w:rPr>
          <w:sz w:val="24"/>
          <w:szCs w:val="24"/>
          <w:lang w:val="en-IN"/>
        </w:rPr>
      </w:pPr>
      <w:proofErr w:type="spellStart"/>
      <w:r w:rsidRPr="00032D7E">
        <w:rPr>
          <w:sz w:val="24"/>
          <w:szCs w:val="24"/>
          <w:lang w:val="en-IN"/>
        </w:rPr>
        <w:t>Perampanel</w:t>
      </w:r>
      <w:proofErr w:type="spellEnd"/>
      <w:r w:rsidRPr="00032D7E">
        <w:rPr>
          <w:sz w:val="24"/>
          <w:szCs w:val="24"/>
          <w:lang w:val="en-IN"/>
        </w:rPr>
        <w:t xml:space="preserve"> at doses of 4 mg/day to 12 mg/day has been shown to be effective therapy in partial-onset seizures. </w:t>
      </w:r>
    </w:p>
    <w:p w14:paraId="17235C3B" w14:textId="77777777" w:rsidR="00E575A9" w:rsidRPr="00032D7E" w:rsidRDefault="00E575A9" w:rsidP="002D3416">
      <w:pPr>
        <w:ind w:left="851"/>
        <w:rPr>
          <w:sz w:val="24"/>
          <w:szCs w:val="24"/>
          <w:lang w:val="en-IN"/>
        </w:rPr>
      </w:pPr>
    </w:p>
    <w:p w14:paraId="429612C8" w14:textId="77777777" w:rsidR="00E575A9" w:rsidRPr="00032D7E" w:rsidRDefault="00E575A9" w:rsidP="002D3416">
      <w:pPr>
        <w:ind w:left="851"/>
        <w:rPr>
          <w:sz w:val="24"/>
          <w:szCs w:val="24"/>
          <w:lang w:val="en-IN"/>
        </w:rPr>
      </w:pPr>
      <w:r w:rsidRPr="00032D7E">
        <w:rPr>
          <w:sz w:val="24"/>
          <w:szCs w:val="24"/>
          <w:lang w:val="en-IN"/>
        </w:rPr>
        <w:t>The following table summarises the recommended posology for adults, adolescents and children from 4 years of age. More details are provided below the table.</w:t>
      </w:r>
    </w:p>
    <w:p w14:paraId="125B6A36" w14:textId="77777777" w:rsidR="00E575A9" w:rsidRPr="00E575A9" w:rsidRDefault="00E575A9" w:rsidP="00E575A9">
      <w:pPr>
        <w:tabs>
          <w:tab w:val="left" w:pos="851"/>
        </w:tabs>
        <w:ind w:left="851"/>
        <w:rPr>
          <w:sz w:val="24"/>
          <w:szCs w:val="24"/>
          <w:lang w:val="en-IN"/>
        </w:rPr>
      </w:pPr>
    </w:p>
    <w:tbl>
      <w:tblPr>
        <w:tblW w:w="5000" w:type="pct"/>
        <w:tblCellMar>
          <w:left w:w="0" w:type="dxa"/>
          <w:right w:w="0" w:type="dxa"/>
        </w:tblCellMar>
        <w:tblLook w:val="01E0" w:firstRow="1" w:lastRow="1" w:firstColumn="1" w:lastColumn="1" w:noHBand="0" w:noVBand="0"/>
      </w:tblPr>
      <w:tblGrid>
        <w:gridCol w:w="2160"/>
        <w:gridCol w:w="2147"/>
        <w:gridCol w:w="1897"/>
        <w:gridCol w:w="1893"/>
        <w:gridCol w:w="1531"/>
      </w:tblGrid>
      <w:tr w:rsidR="00E575A9" w:rsidRPr="00E575A9" w14:paraId="537BDFE8" w14:textId="77777777" w:rsidTr="002D3416">
        <w:trPr>
          <w:trHeight w:val="20"/>
        </w:trPr>
        <w:tc>
          <w:tcPr>
            <w:tcW w:w="1122" w:type="pct"/>
            <w:vMerge w:val="restart"/>
            <w:tcBorders>
              <w:top w:val="single" w:sz="4" w:space="0" w:color="000000"/>
              <w:left w:val="single" w:sz="4" w:space="0" w:color="000000"/>
              <w:bottom w:val="single" w:sz="4" w:space="0" w:color="000000"/>
              <w:right w:val="single" w:sz="4" w:space="0" w:color="000000"/>
            </w:tcBorders>
          </w:tcPr>
          <w:p w14:paraId="58064E24" w14:textId="77777777" w:rsidR="00E575A9" w:rsidRPr="00E575A9" w:rsidRDefault="00E575A9" w:rsidP="002D3416">
            <w:pPr>
              <w:ind w:left="142"/>
              <w:rPr>
                <w:sz w:val="24"/>
                <w:szCs w:val="24"/>
                <w:lang w:val="en-IN"/>
              </w:rPr>
            </w:pPr>
          </w:p>
        </w:tc>
        <w:tc>
          <w:tcPr>
            <w:tcW w:w="1115" w:type="pct"/>
            <w:vMerge w:val="restart"/>
            <w:tcBorders>
              <w:top w:val="single" w:sz="4" w:space="0" w:color="000000"/>
              <w:left w:val="single" w:sz="4" w:space="0" w:color="000000"/>
              <w:bottom w:val="single" w:sz="4" w:space="0" w:color="000000"/>
              <w:right w:val="single" w:sz="4" w:space="0" w:color="000000"/>
            </w:tcBorders>
            <w:hideMark/>
          </w:tcPr>
          <w:p w14:paraId="04F0A195" w14:textId="77777777" w:rsidR="00E575A9" w:rsidRPr="00E575A9" w:rsidRDefault="00E575A9" w:rsidP="00032D7E">
            <w:pPr>
              <w:ind w:left="142"/>
              <w:jc w:val="center"/>
              <w:rPr>
                <w:sz w:val="24"/>
                <w:szCs w:val="24"/>
                <w:lang w:val="en-US"/>
              </w:rPr>
            </w:pPr>
            <w:r w:rsidRPr="00E575A9">
              <w:rPr>
                <w:sz w:val="24"/>
                <w:szCs w:val="24"/>
                <w:lang w:val="en-US"/>
              </w:rPr>
              <w:t>Adult/adolescent (12 years and older)</w:t>
            </w:r>
          </w:p>
        </w:tc>
        <w:tc>
          <w:tcPr>
            <w:tcW w:w="2763" w:type="pct"/>
            <w:gridSpan w:val="3"/>
            <w:tcBorders>
              <w:top w:val="single" w:sz="4" w:space="0" w:color="000000"/>
              <w:left w:val="single" w:sz="4" w:space="0" w:color="000000"/>
              <w:bottom w:val="single" w:sz="4" w:space="0" w:color="000000"/>
              <w:right w:val="single" w:sz="4" w:space="0" w:color="000000"/>
            </w:tcBorders>
            <w:hideMark/>
          </w:tcPr>
          <w:p w14:paraId="1E739730" w14:textId="77777777" w:rsidR="00E575A9" w:rsidRPr="00E575A9" w:rsidRDefault="00E575A9" w:rsidP="00032D7E">
            <w:pPr>
              <w:ind w:left="142"/>
              <w:jc w:val="center"/>
              <w:rPr>
                <w:sz w:val="24"/>
                <w:szCs w:val="24"/>
                <w:lang w:val="en-US"/>
              </w:rPr>
            </w:pPr>
            <w:r w:rsidRPr="00E575A9">
              <w:rPr>
                <w:sz w:val="24"/>
                <w:szCs w:val="24"/>
                <w:lang w:val="en-US"/>
              </w:rPr>
              <w:t>Children (4 – 11 years); weighing:</w:t>
            </w:r>
          </w:p>
        </w:tc>
      </w:tr>
      <w:tr w:rsidR="00E575A9" w:rsidRPr="00E575A9" w14:paraId="454BD1F1" w14:textId="77777777" w:rsidTr="002D3416">
        <w:trPr>
          <w:trHeight w:val="20"/>
        </w:trPr>
        <w:tc>
          <w:tcPr>
            <w:tcW w:w="1122" w:type="pct"/>
            <w:vMerge/>
            <w:tcBorders>
              <w:top w:val="single" w:sz="4" w:space="0" w:color="000000"/>
              <w:left w:val="single" w:sz="4" w:space="0" w:color="000000"/>
              <w:bottom w:val="single" w:sz="4" w:space="0" w:color="000000"/>
              <w:right w:val="single" w:sz="4" w:space="0" w:color="000000"/>
            </w:tcBorders>
            <w:vAlign w:val="center"/>
            <w:hideMark/>
          </w:tcPr>
          <w:p w14:paraId="5249AE75" w14:textId="77777777" w:rsidR="00E575A9" w:rsidRPr="00E575A9" w:rsidRDefault="00E575A9" w:rsidP="002D3416">
            <w:pPr>
              <w:ind w:left="142"/>
              <w:rPr>
                <w:sz w:val="24"/>
                <w:szCs w:val="24"/>
                <w:lang w:val="en-IN"/>
              </w:rPr>
            </w:pPr>
          </w:p>
        </w:tc>
        <w:tc>
          <w:tcPr>
            <w:tcW w:w="1115" w:type="pct"/>
            <w:vMerge/>
            <w:tcBorders>
              <w:top w:val="single" w:sz="4" w:space="0" w:color="000000"/>
              <w:left w:val="single" w:sz="4" w:space="0" w:color="000000"/>
              <w:bottom w:val="single" w:sz="4" w:space="0" w:color="000000"/>
              <w:right w:val="single" w:sz="4" w:space="0" w:color="000000"/>
            </w:tcBorders>
            <w:vAlign w:val="center"/>
            <w:hideMark/>
          </w:tcPr>
          <w:p w14:paraId="6FB69CE9" w14:textId="77777777" w:rsidR="00E575A9" w:rsidRPr="00E575A9" w:rsidRDefault="00E575A9" w:rsidP="002D3416">
            <w:pPr>
              <w:ind w:left="142"/>
              <w:rPr>
                <w:sz w:val="24"/>
                <w:szCs w:val="24"/>
                <w:lang w:val="en-US"/>
              </w:rPr>
            </w:pPr>
          </w:p>
        </w:tc>
        <w:tc>
          <w:tcPr>
            <w:tcW w:w="985" w:type="pct"/>
            <w:tcBorders>
              <w:top w:val="single" w:sz="4" w:space="0" w:color="000000"/>
              <w:left w:val="single" w:sz="4" w:space="0" w:color="000000"/>
              <w:bottom w:val="single" w:sz="4" w:space="0" w:color="000000"/>
              <w:right w:val="single" w:sz="4" w:space="0" w:color="000000"/>
            </w:tcBorders>
            <w:hideMark/>
          </w:tcPr>
          <w:p w14:paraId="4BAE91C0" w14:textId="77777777" w:rsidR="00E575A9" w:rsidRPr="00E575A9" w:rsidRDefault="00E575A9" w:rsidP="00032D7E">
            <w:pPr>
              <w:ind w:left="142"/>
              <w:jc w:val="center"/>
              <w:rPr>
                <w:sz w:val="24"/>
                <w:szCs w:val="24"/>
                <w:lang w:val="en-US"/>
              </w:rPr>
            </w:pPr>
            <w:r w:rsidRPr="00E575A9">
              <w:rPr>
                <w:sz w:val="24"/>
                <w:szCs w:val="24"/>
                <w:lang w:val="en-US"/>
              </w:rPr>
              <w:t>≥ 30 kg</w:t>
            </w:r>
          </w:p>
        </w:tc>
        <w:tc>
          <w:tcPr>
            <w:tcW w:w="983" w:type="pct"/>
            <w:tcBorders>
              <w:top w:val="single" w:sz="4" w:space="0" w:color="000000"/>
              <w:left w:val="single" w:sz="4" w:space="0" w:color="000000"/>
              <w:bottom w:val="single" w:sz="4" w:space="0" w:color="000000"/>
              <w:right w:val="single" w:sz="4" w:space="0" w:color="000000"/>
            </w:tcBorders>
            <w:hideMark/>
          </w:tcPr>
          <w:p w14:paraId="031A5D61" w14:textId="77777777" w:rsidR="00E575A9" w:rsidRPr="00E575A9" w:rsidRDefault="00E575A9" w:rsidP="00032D7E">
            <w:pPr>
              <w:ind w:left="142"/>
              <w:jc w:val="center"/>
              <w:rPr>
                <w:sz w:val="24"/>
                <w:szCs w:val="24"/>
                <w:lang w:val="en-US"/>
              </w:rPr>
            </w:pPr>
            <w:r w:rsidRPr="00E575A9">
              <w:rPr>
                <w:sz w:val="24"/>
                <w:szCs w:val="24"/>
                <w:lang w:val="en-US"/>
              </w:rPr>
              <w:t>20 - &lt; 30 kg</w:t>
            </w:r>
          </w:p>
        </w:tc>
        <w:tc>
          <w:tcPr>
            <w:tcW w:w="795" w:type="pct"/>
            <w:tcBorders>
              <w:top w:val="single" w:sz="4" w:space="0" w:color="000000"/>
              <w:left w:val="single" w:sz="4" w:space="0" w:color="000000"/>
              <w:bottom w:val="single" w:sz="4" w:space="0" w:color="000000"/>
              <w:right w:val="single" w:sz="4" w:space="0" w:color="000000"/>
            </w:tcBorders>
            <w:hideMark/>
          </w:tcPr>
          <w:p w14:paraId="257CF18F" w14:textId="77777777" w:rsidR="00E575A9" w:rsidRPr="00E575A9" w:rsidRDefault="00E575A9" w:rsidP="00032D7E">
            <w:pPr>
              <w:ind w:left="142"/>
              <w:jc w:val="center"/>
              <w:rPr>
                <w:sz w:val="24"/>
                <w:szCs w:val="24"/>
                <w:lang w:val="en-US"/>
              </w:rPr>
            </w:pPr>
            <w:r w:rsidRPr="00E575A9">
              <w:rPr>
                <w:sz w:val="24"/>
                <w:szCs w:val="24"/>
                <w:lang w:val="en-US"/>
              </w:rPr>
              <w:t>&lt; 20 kg</w:t>
            </w:r>
          </w:p>
        </w:tc>
      </w:tr>
      <w:tr w:rsidR="00E575A9" w:rsidRPr="00E575A9" w14:paraId="1F9EA662" w14:textId="77777777" w:rsidTr="002D3416">
        <w:trPr>
          <w:trHeight w:val="20"/>
        </w:trPr>
        <w:tc>
          <w:tcPr>
            <w:tcW w:w="1122" w:type="pct"/>
            <w:tcBorders>
              <w:top w:val="single" w:sz="4" w:space="0" w:color="000000"/>
              <w:left w:val="single" w:sz="4" w:space="0" w:color="000000"/>
              <w:bottom w:val="single" w:sz="4" w:space="0" w:color="000000"/>
              <w:right w:val="single" w:sz="4" w:space="0" w:color="000000"/>
            </w:tcBorders>
            <w:hideMark/>
          </w:tcPr>
          <w:p w14:paraId="08C1F6FA" w14:textId="77777777" w:rsidR="00E575A9" w:rsidRPr="00E575A9" w:rsidRDefault="00E575A9" w:rsidP="002D3416">
            <w:pPr>
              <w:ind w:left="142"/>
              <w:rPr>
                <w:sz w:val="24"/>
                <w:szCs w:val="24"/>
                <w:lang w:val="en-US"/>
              </w:rPr>
            </w:pPr>
            <w:r w:rsidRPr="00E575A9">
              <w:rPr>
                <w:sz w:val="24"/>
                <w:szCs w:val="24"/>
                <w:lang w:val="en-US"/>
              </w:rPr>
              <w:t>Recommended starting dose</w:t>
            </w:r>
          </w:p>
        </w:tc>
        <w:tc>
          <w:tcPr>
            <w:tcW w:w="1115" w:type="pct"/>
            <w:tcBorders>
              <w:top w:val="single" w:sz="4" w:space="0" w:color="000000"/>
              <w:left w:val="single" w:sz="4" w:space="0" w:color="000000"/>
              <w:bottom w:val="single" w:sz="4" w:space="0" w:color="000000"/>
              <w:right w:val="single" w:sz="4" w:space="0" w:color="000000"/>
            </w:tcBorders>
            <w:hideMark/>
          </w:tcPr>
          <w:p w14:paraId="142C81EE" w14:textId="77777777" w:rsidR="00E575A9" w:rsidRPr="00E575A9" w:rsidRDefault="00E575A9" w:rsidP="002D3416">
            <w:pPr>
              <w:ind w:left="142"/>
              <w:rPr>
                <w:sz w:val="24"/>
                <w:szCs w:val="24"/>
                <w:lang w:val="en-US"/>
              </w:rPr>
            </w:pPr>
            <w:r w:rsidRPr="00E575A9">
              <w:rPr>
                <w:sz w:val="24"/>
                <w:szCs w:val="24"/>
                <w:lang w:val="en-US"/>
              </w:rPr>
              <w:t>2 mg/day</w:t>
            </w:r>
          </w:p>
        </w:tc>
        <w:tc>
          <w:tcPr>
            <w:tcW w:w="985" w:type="pct"/>
            <w:tcBorders>
              <w:top w:val="single" w:sz="4" w:space="0" w:color="000000"/>
              <w:left w:val="single" w:sz="4" w:space="0" w:color="000000"/>
              <w:bottom w:val="single" w:sz="4" w:space="0" w:color="000000"/>
              <w:right w:val="single" w:sz="4" w:space="0" w:color="000000"/>
            </w:tcBorders>
            <w:hideMark/>
          </w:tcPr>
          <w:p w14:paraId="0A814847" w14:textId="77777777" w:rsidR="00E575A9" w:rsidRPr="00E575A9" w:rsidRDefault="00E575A9" w:rsidP="002D3416">
            <w:pPr>
              <w:ind w:left="142"/>
              <w:rPr>
                <w:sz w:val="24"/>
                <w:szCs w:val="24"/>
                <w:lang w:val="en-US"/>
              </w:rPr>
            </w:pPr>
            <w:r w:rsidRPr="00E575A9">
              <w:rPr>
                <w:sz w:val="24"/>
                <w:szCs w:val="24"/>
                <w:lang w:val="en-US"/>
              </w:rPr>
              <w:t>2 mg/day</w:t>
            </w:r>
          </w:p>
        </w:tc>
        <w:tc>
          <w:tcPr>
            <w:tcW w:w="983" w:type="pct"/>
            <w:tcBorders>
              <w:top w:val="single" w:sz="4" w:space="0" w:color="000000"/>
              <w:left w:val="single" w:sz="4" w:space="0" w:color="000000"/>
              <w:bottom w:val="single" w:sz="4" w:space="0" w:color="000000"/>
              <w:right w:val="single" w:sz="4" w:space="0" w:color="000000"/>
            </w:tcBorders>
            <w:hideMark/>
          </w:tcPr>
          <w:p w14:paraId="1CBE83D8" w14:textId="77777777" w:rsidR="00E575A9" w:rsidRPr="00E575A9" w:rsidRDefault="00E575A9" w:rsidP="002D3416">
            <w:pPr>
              <w:ind w:left="142"/>
              <w:rPr>
                <w:sz w:val="24"/>
                <w:szCs w:val="24"/>
                <w:lang w:val="en-US"/>
              </w:rPr>
            </w:pPr>
            <w:r w:rsidRPr="00E575A9">
              <w:rPr>
                <w:sz w:val="24"/>
                <w:szCs w:val="24"/>
                <w:lang w:val="en-US"/>
              </w:rPr>
              <w:t>1 mg/day</w:t>
            </w:r>
          </w:p>
        </w:tc>
        <w:tc>
          <w:tcPr>
            <w:tcW w:w="795" w:type="pct"/>
            <w:tcBorders>
              <w:top w:val="single" w:sz="4" w:space="0" w:color="000000"/>
              <w:left w:val="single" w:sz="4" w:space="0" w:color="000000"/>
              <w:bottom w:val="single" w:sz="4" w:space="0" w:color="000000"/>
              <w:right w:val="single" w:sz="4" w:space="0" w:color="000000"/>
            </w:tcBorders>
            <w:hideMark/>
          </w:tcPr>
          <w:p w14:paraId="53D4A3D9" w14:textId="77777777" w:rsidR="00E575A9" w:rsidRPr="00E575A9" w:rsidRDefault="00E575A9" w:rsidP="002D3416">
            <w:pPr>
              <w:ind w:left="142"/>
              <w:rPr>
                <w:sz w:val="24"/>
                <w:szCs w:val="24"/>
                <w:lang w:val="en-US"/>
              </w:rPr>
            </w:pPr>
            <w:r w:rsidRPr="00E575A9">
              <w:rPr>
                <w:sz w:val="24"/>
                <w:szCs w:val="24"/>
                <w:lang w:val="en-US"/>
              </w:rPr>
              <w:t>1 mg/day</w:t>
            </w:r>
          </w:p>
        </w:tc>
      </w:tr>
      <w:tr w:rsidR="00E575A9" w:rsidRPr="006F220B" w14:paraId="6BC10EF5" w14:textId="77777777" w:rsidTr="002D3416">
        <w:trPr>
          <w:trHeight w:val="20"/>
        </w:trPr>
        <w:tc>
          <w:tcPr>
            <w:tcW w:w="1122" w:type="pct"/>
            <w:tcBorders>
              <w:top w:val="single" w:sz="4" w:space="0" w:color="000000"/>
              <w:left w:val="single" w:sz="4" w:space="0" w:color="000000"/>
              <w:bottom w:val="single" w:sz="4" w:space="0" w:color="000000"/>
              <w:right w:val="single" w:sz="4" w:space="0" w:color="000000"/>
            </w:tcBorders>
          </w:tcPr>
          <w:p w14:paraId="2461BC52" w14:textId="77777777" w:rsidR="00E575A9" w:rsidRPr="00E575A9" w:rsidRDefault="00E575A9" w:rsidP="002D3416">
            <w:pPr>
              <w:ind w:left="142"/>
              <w:rPr>
                <w:sz w:val="24"/>
                <w:szCs w:val="24"/>
                <w:lang w:val="en-US"/>
              </w:rPr>
            </w:pPr>
          </w:p>
          <w:p w14:paraId="54824A8A" w14:textId="77777777" w:rsidR="00E575A9" w:rsidRPr="00E575A9" w:rsidRDefault="00E575A9" w:rsidP="002D3416">
            <w:pPr>
              <w:ind w:left="142"/>
              <w:rPr>
                <w:sz w:val="24"/>
                <w:szCs w:val="24"/>
                <w:lang w:val="en-US"/>
              </w:rPr>
            </w:pPr>
            <w:r w:rsidRPr="00E575A9">
              <w:rPr>
                <w:sz w:val="24"/>
                <w:szCs w:val="24"/>
                <w:lang w:val="en-US"/>
              </w:rPr>
              <w:t>Titration (incremental steps)</w:t>
            </w:r>
          </w:p>
        </w:tc>
        <w:tc>
          <w:tcPr>
            <w:tcW w:w="1115" w:type="pct"/>
            <w:tcBorders>
              <w:top w:val="single" w:sz="4" w:space="0" w:color="000000"/>
              <w:left w:val="single" w:sz="4" w:space="0" w:color="000000"/>
              <w:bottom w:val="single" w:sz="4" w:space="0" w:color="000000"/>
              <w:right w:val="single" w:sz="4" w:space="0" w:color="000000"/>
            </w:tcBorders>
            <w:hideMark/>
          </w:tcPr>
          <w:p w14:paraId="2572652E" w14:textId="77777777" w:rsidR="00E575A9" w:rsidRPr="00E575A9" w:rsidRDefault="00E575A9" w:rsidP="002D3416">
            <w:pPr>
              <w:ind w:left="142"/>
              <w:rPr>
                <w:sz w:val="24"/>
                <w:szCs w:val="24"/>
                <w:lang w:val="en-US"/>
              </w:rPr>
            </w:pPr>
            <w:r w:rsidRPr="00E575A9">
              <w:rPr>
                <w:sz w:val="24"/>
                <w:szCs w:val="24"/>
                <w:lang w:val="en-US"/>
              </w:rPr>
              <w:t>2 mg/day</w:t>
            </w:r>
          </w:p>
          <w:p w14:paraId="30A04F68" w14:textId="77777777" w:rsidR="00E575A9" w:rsidRPr="00E575A9" w:rsidRDefault="00E575A9" w:rsidP="002D3416">
            <w:pPr>
              <w:ind w:left="142"/>
              <w:rPr>
                <w:sz w:val="24"/>
                <w:szCs w:val="24"/>
                <w:lang w:val="en-US"/>
              </w:rPr>
            </w:pPr>
            <w:r w:rsidRPr="00E575A9">
              <w:rPr>
                <w:sz w:val="24"/>
                <w:szCs w:val="24"/>
                <w:lang w:val="en-US"/>
              </w:rPr>
              <w:t>(no more frequently than weekly intervals)</w:t>
            </w:r>
          </w:p>
        </w:tc>
        <w:tc>
          <w:tcPr>
            <w:tcW w:w="985" w:type="pct"/>
            <w:tcBorders>
              <w:top w:val="single" w:sz="4" w:space="0" w:color="000000"/>
              <w:left w:val="single" w:sz="4" w:space="0" w:color="000000"/>
              <w:bottom w:val="single" w:sz="4" w:space="0" w:color="000000"/>
              <w:right w:val="single" w:sz="4" w:space="0" w:color="000000"/>
            </w:tcBorders>
            <w:hideMark/>
          </w:tcPr>
          <w:p w14:paraId="11131D61" w14:textId="77777777" w:rsidR="00E575A9" w:rsidRPr="00E575A9" w:rsidRDefault="00E575A9" w:rsidP="002D3416">
            <w:pPr>
              <w:ind w:left="142"/>
              <w:rPr>
                <w:sz w:val="24"/>
                <w:szCs w:val="24"/>
                <w:lang w:val="en-US"/>
              </w:rPr>
            </w:pPr>
            <w:r w:rsidRPr="00E575A9">
              <w:rPr>
                <w:sz w:val="24"/>
                <w:szCs w:val="24"/>
                <w:lang w:val="en-US"/>
              </w:rPr>
              <w:t>2 mg/day (no more</w:t>
            </w:r>
          </w:p>
          <w:p w14:paraId="255AC87D" w14:textId="77777777" w:rsidR="00E575A9" w:rsidRPr="00E575A9" w:rsidRDefault="00E575A9" w:rsidP="002D3416">
            <w:pPr>
              <w:ind w:left="142"/>
              <w:rPr>
                <w:sz w:val="24"/>
                <w:szCs w:val="24"/>
                <w:lang w:val="en-US"/>
              </w:rPr>
            </w:pPr>
            <w:r w:rsidRPr="00E575A9">
              <w:rPr>
                <w:sz w:val="24"/>
                <w:szCs w:val="24"/>
                <w:lang w:val="en-US"/>
              </w:rPr>
              <w:t>frequently than weekly intervals)</w:t>
            </w:r>
          </w:p>
        </w:tc>
        <w:tc>
          <w:tcPr>
            <w:tcW w:w="983" w:type="pct"/>
            <w:tcBorders>
              <w:top w:val="single" w:sz="4" w:space="0" w:color="000000"/>
              <w:left w:val="single" w:sz="4" w:space="0" w:color="000000"/>
              <w:bottom w:val="single" w:sz="4" w:space="0" w:color="000000"/>
              <w:right w:val="single" w:sz="4" w:space="0" w:color="000000"/>
            </w:tcBorders>
            <w:hideMark/>
          </w:tcPr>
          <w:p w14:paraId="26CA2A5E" w14:textId="77777777" w:rsidR="00E575A9" w:rsidRPr="00E575A9" w:rsidRDefault="00E575A9" w:rsidP="002D3416">
            <w:pPr>
              <w:ind w:left="142"/>
              <w:rPr>
                <w:sz w:val="24"/>
                <w:szCs w:val="24"/>
                <w:lang w:val="en-US"/>
              </w:rPr>
            </w:pPr>
            <w:r w:rsidRPr="00E575A9">
              <w:rPr>
                <w:sz w:val="24"/>
                <w:szCs w:val="24"/>
                <w:lang w:val="en-US"/>
              </w:rPr>
              <w:t>1 mg/day (no more</w:t>
            </w:r>
          </w:p>
          <w:p w14:paraId="34C83283" w14:textId="77777777" w:rsidR="00E575A9" w:rsidRPr="00E575A9" w:rsidRDefault="00E575A9" w:rsidP="002D3416">
            <w:pPr>
              <w:ind w:left="142"/>
              <w:rPr>
                <w:sz w:val="24"/>
                <w:szCs w:val="24"/>
                <w:lang w:val="en-US"/>
              </w:rPr>
            </w:pPr>
            <w:r w:rsidRPr="00E575A9">
              <w:rPr>
                <w:sz w:val="24"/>
                <w:szCs w:val="24"/>
                <w:lang w:val="en-US"/>
              </w:rPr>
              <w:t>frequently than weekly intervals)</w:t>
            </w:r>
          </w:p>
        </w:tc>
        <w:tc>
          <w:tcPr>
            <w:tcW w:w="795" w:type="pct"/>
            <w:tcBorders>
              <w:top w:val="single" w:sz="4" w:space="0" w:color="000000"/>
              <w:left w:val="single" w:sz="4" w:space="0" w:color="000000"/>
              <w:bottom w:val="single" w:sz="4" w:space="0" w:color="000000"/>
              <w:right w:val="single" w:sz="4" w:space="0" w:color="000000"/>
            </w:tcBorders>
            <w:hideMark/>
          </w:tcPr>
          <w:p w14:paraId="7F46A7AC" w14:textId="77777777" w:rsidR="00E575A9" w:rsidRPr="00E575A9" w:rsidRDefault="00E575A9" w:rsidP="002D3416">
            <w:pPr>
              <w:ind w:left="142"/>
              <w:rPr>
                <w:sz w:val="24"/>
                <w:szCs w:val="24"/>
                <w:lang w:val="en-US"/>
              </w:rPr>
            </w:pPr>
            <w:r w:rsidRPr="00E575A9">
              <w:rPr>
                <w:sz w:val="24"/>
                <w:szCs w:val="24"/>
                <w:lang w:val="en-US"/>
              </w:rPr>
              <w:t>1 mg/day (no more</w:t>
            </w:r>
          </w:p>
          <w:p w14:paraId="549B7AC1" w14:textId="77777777" w:rsidR="00E575A9" w:rsidRPr="00E575A9" w:rsidRDefault="00E575A9" w:rsidP="002D3416">
            <w:pPr>
              <w:ind w:left="142"/>
              <w:rPr>
                <w:sz w:val="24"/>
                <w:szCs w:val="24"/>
                <w:lang w:val="en-US"/>
              </w:rPr>
            </w:pPr>
            <w:r w:rsidRPr="00E575A9">
              <w:rPr>
                <w:sz w:val="24"/>
                <w:szCs w:val="24"/>
                <w:lang w:val="en-US"/>
              </w:rPr>
              <w:t>frequently than weekly intervals)</w:t>
            </w:r>
          </w:p>
        </w:tc>
      </w:tr>
      <w:tr w:rsidR="00E575A9" w:rsidRPr="00E575A9" w14:paraId="2EFFEEEE" w14:textId="77777777" w:rsidTr="002D3416">
        <w:trPr>
          <w:trHeight w:val="20"/>
        </w:trPr>
        <w:tc>
          <w:tcPr>
            <w:tcW w:w="1122" w:type="pct"/>
            <w:tcBorders>
              <w:top w:val="single" w:sz="4" w:space="0" w:color="000000"/>
              <w:left w:val="single" w:sz="4" w:space="0" w:color="000000"/>
              <w:bottom w:val="single" w:sz="4" w:space="0" w:color="000000"/>
              <w:right w:val="single" w:sz="4" w:space="0" w:color="000000"/>
            </w:tcBorders>
            <w:hideMark/>
          </w:tcPr>
          <w:p w14:paraId="6867CCD4" w14:textId="77777777" w:rsidR="00E575A9" w:rsidRPr="00E575A9" w:rsidRDefault="00E575A9" w:rsidP="002D3416">
            <w:pPr>
              <w:ind w:left="142"/>
              <w:rPr>
                <w:sz w:val="24"/>
                <w:szCs w:val="24"/>
                <w:lang w:val="en-US"/>
              </w:rPr>
            </w:pPr>
            <w:r w:rsidRPr="00E575A9">
              <w:rPr>
                <w:sz w:val="24"/>
                <w:szCs w:val="24"/>
                <w:lang w:val="en-US"/>
              </w:rPr>
              <w:t>Recommended maintenance dose</w:t>
            </w:r>
          </w:p>
        </w:tc>
        <w:tc>
          <w:tcPr>
            <w:tcW w:w="1115" w:type="pct"/>
            <w:tcBorders>
              <w:top w:val="single" w:sz="4" w:space="0" w:color="000000"/>
              <w:left w:val="single" w:sz="4" w:space="0" w:color="000000"/>
              <w:bottom w:val="single" w:sz="4" w:space="0" w:color="000000"/>
              <w:right w:val="single" w:sz="4" w:space="0" w:color="000000"/>
            </w:tcBorders>
            <w:hideMark/>
          </w:tcPr>
          <w:p w14:paraId="7129DCB8" w14:textId="77777777" w:rsidR="00E575A9" w:rsidRPr="00E575A9" w:rsidRDefault="00E575A9" w:rsidP="002D3416">
            <w:pPr>
              <w:ind w:left="142"/>
              <w:rPr>
                <w:sz w:val="24"/>
                <w:szCs w:val="24"/>
                <w:lang w:val="en-US"/>
              </w:rPr>
            </w:pPr>
            <w:r w:rsidRPr="00E575A9">
              <w:rPr>
                <w:sz w:val="24"/>
                <w:szCs w:val="24"/>
                <w:lang w:val="en-US"/>
              </w:rPr>
              <w:t>4 – 8 mg/day</w:t>
            </w:r>
          </w:p>
        </w:tc>
        <w:tc>
          <w:tcPr>
            <w:tcW w:w="985" w:type="pct"/>
            <w:tcBorders>
              <w:top w:val="single" w:sz="4" w:space="0" w:color="000000"/>
              <w:left w:val="single" w:sz="4" w:space="0" w:color="000000"/>
              <w:bottom w:val="single" w:sz="4" w:space="0" w:color="000000"/>
              <w:right w:val="single" w:sz="4" w:space="0" w:color="000000"/>
            </w:tcBorders>
            <w:hideMark/>
          </w:tcPr>
          <w:p w14:paraId="6E057AC6" w14:textId="77777777" w:rsidR="00E575A9" w:rsidRPr="00E575A9" w:rsidRDefault="00E575A9" w:rsidP="002D3416">
            <w:pPr>
              <w:ind w:left="142"/>
              <w:rPr>
                <w:sz w:val="24"/>
                <w:szCs w:val="24"/>
                <w:lang w:val="en-US"/>
              </w:rPr>
            </w:pPr>
            <w:r w:rsidRPr="00E575A9">
              <w:rPr>
                <w:sz w:val="24"/>
                <w:szCs w:val="24"/>
                <w:lang w:val="en-US"/>
              </w:rPr>
              <w:t>4 – 8 mg/day</w:t>
            </w:r>
          </w:p>
        </w:tc>
        <w:tc>
          <w:tcPr>
            <w:tcW w:w="983" w:type="pct"/>
            <w:tcBorders>
              <w:top w:val="single" w:sz="4" w:space="0" w:color="000000"/>
              <w:left w:val="single" w:sz="4" w:space="0" w:color="000000"/>
              <w:bottom w:val="single" w:sz="4" w:space="0" w:color="000000"/>
              <w:right w:val="single" w:sz="4" w:space="0" w:color="000000"/>
            </w:tcBorders>
            <w:hideMark/>
          </w:tcPr>
          <w:p w14:paraId="6343E88D" w14:textId="77777777" w:rsidR="00E575A9" w:rsidRPr="00E575A9" w:rsidRDefault="00E575A9" w:rsidP="002D3416">
            <w:pPr>
              <w:ind w:left="142"/>
              <w:rPr>
                <w:sz w:val="24"/>
                <w:szCs w:val="24"/>
                <w:lang w:val="en-US"/>
              </w:rPr>
            </w:pPr>
            <w:r w:rsidRPr="00E575A9">
              <w:rPr>
                <w:sz w:val="24"/>
                <w:szCs w:val="24"/>
                <w:lang w:val="en-US"/>
              </w:rPr>
              <w:t>4 – 6 mg/day</w:t>
            </w:r>
          </w:p>
        </w:tc>
        <w:tc>
          <w:tcPr>
            <w:tcW w:w="795" w:type="pct"/>
            <w:tcBorders>
              <w:top w:val="single" w:sz="4" w:space="0" w:color="000000"/>
              <w:left w:val="single" w:sz="4" w:space="0" w:color="000000"/>
              <w:bottom w:val="single" w:sz="4" w:space="0" w:color="000000"/>
              <w:right w:val="single" w:sz="4" w:space="0" w:color="000000"/>
            </w:tcBorders>
            <w:hideMark/>
          </w:tcPr>
          <w:p w14:paraId="3F3D5558" w14:textId="77777777" w:rsidR="00E575A9" w:rsidRPr="00E575A9" w:rsidRDefault="00E575A9" w:rsidP="002D3416">
            <w:pPr>
              <w:ind w:left="142"/>
              <w:rPr>
                <w:sz w:val="24"/>
                <w:szCs w:val="24"/>
                <w:lang w:val="en-US"/>
              </w:rPr>
            </w:pPr>
            <w:r w:rsidRPr="00E575A9">
              <w:rPr>
                <w:sz w:val="24"/>
                <w:szCs w:val="24"/>
                <w:lang w:val="en-US"/>
              </w:rPr>
              <w:t>2 – 4 mg/day</w:t>
            </w:r>
          </w:p>
        </w:tc>
      </w:tr>
      <w:tr w:rsidR="00E575A9" w:rsidRPr="006F220B" w14:paraId="5F6D3613" w14:textId="77777777" w:rsidTr="002D3416">
        <w:trPr>
          <w:trHeight w:val="20"/>
        </w:trPr>
        <w:tc>
          <w:tcPr>
            <w:tcW w:w="1122" w:type="pct"/>
            <w:tcBorders>
              <w:top w:val="single" w:sz="4" w:space="0" w:color="000000"/>
              <w:left w:val="single" w:sz="4" w:space="0" w:color="000000"/>
              <w:bottom w:val="single" w:sz="4" w:space="0" w:color="000000"/>
              <w:right w:val="single" w:sz="4" w:space="0" w:color="000000"/>
            </w:tcBorders>
          </w:tcPr>
          <w:p w14:paraId="2B7DF1C2" w14:textId="77777777" w:rsidR="00E575A9" w:rsidRPr="00E575A9" w:rsidRDefault="00E575A9" w:rsidP="002D3416">
            <w:pPr>
              <w:ind w:left="142"/>
              <w:rPr>
                <w:sz w:val="24"/>
                <w:szCs w:val="24"/>
                <w:lang w:val="en-US"/>
              </w:rPr>
            </w:pPr>
          </w:p>
          <w:p w14:paraId="19B07C64" w14:textId="77777777" w:rsidR="00E575A9" w:rsidRPr="00E575A9" w:rsidRDefault="00E575A9" w:rsidP="002D3416">
            <w:pPr>
              <w:ind w:left="142"/>
              <w:rPr>
                <w:sz w:val="24"/>
                <w:szCs w:val="24"/>
                <w:lang w:val="en-US"/>
              </w:rPr>
            </w:pPr>
            <w:r w:rsidRPr="00E575A9">
              <w:rPr>
                <w:sz w:val="24"/>
                <w:szCs w:val="24"/>
                <w:lang w:val="en-US"/>
              </w:rPr>
              <w:lastRenderedPageBreak/>
              <w:t>Titration (incremental steps)</w:t>
            </w:r>
          </w:p>
        </w:tc>
        <w:tc>
          <w:tcPr>
            <w:tcW w:w="1115" w:type="pct"/>
            <w:tcBorders>
              <w:top w:val="single" w:sz="4" w:space="0" w:color="000000"/>
              <w:left w:val="single" w:sz="4" w:space="0" w:color="000000"/>
              <w:bottom w:val="single" w:sz="4" w:space="0" w:color="000000"/>
              <w:right w:val="single" w:sz="4" w:space="0" w:color="000000"/>
            </w:tcBorders>
            <w:hideMark/>
          </w:tcPr>
          <w:p w14:paraId="22A0C4CC" w14:textId="77777777" w:rsidR="00E575A9" w:rsidRPr="00E575A9" w:rsidRDefault="00E575A9" w:rsidP="002D3416">
            <w:pPr>
              <w:ind w:left="142"/>
              <w:rPr>
                <w:sz w:val="24"/>
                <w:szCs w:val="24"/>
                <w:lang w:val="en-US"/>
              </w:rPr>
            </w:pPr>
            <w:r w:rsidRPr="00E575A9">
              <w:rPr>
                <w:sz w:val="24"/>
                <w:szCs w:val="24"/>
                <w:lang w:val="en-US"/>
              </w:rPr>
              <w:lastRenderedPageBreak/>
              <w:t>2 mg/day</w:t>
            </w:r>
          </w:p>
          <w:p w14:paraId="0CAA8FFE" w14:textId="77777777" w:rsidR="00E575A9" w:rsidRPr="00E575A9" w:rsidRDefault="00E575A9" w:rsidP="002D3416">
            <w:pPr>
              <w:ind w:left="142"/>
              <w:rPr>
                <w:sz w:val="24"/>
                <w:szCs w:val="24"/>
                <w:lang w:val="en-US"/>
              </w:rPr>
            </w:pPr>
            <w:r w:rsidRPr="00E575A9">
              <w:rPr>
                <w:sz w:val="24"/>
                <w:szCs w:val="24"/>
                <w:lang w:val="en-US"/>
              </w:rPr>
              <w:lastRenderedPageBreak/>
              <w:t>(no more frequently than weekly intervals)</w:t>
            </w:r>
          </w:p>
        </w:tc>
        <w:tc>
          <w:tcPr>
            <w:tcW w:w="985" w:type="pct"/>
            <w:tcBorders>
              <w:top w:val="single" w:sz="4" w:space="0" w:color="000000"/>
              <w:left w:val="single" w:sz="4" w:space="0" w:color="000000"/>
              <w:bottom w:val="single" w:sz="4" w:space="0" w:color="000000"/>
              <w:right w:val="single" w:sz="4" w:space="0" w:color="000000"/>
            </w:tcBorders>
            <w:hideMark/>
          </w:tcPr>
          <w:p w14:paraId="0662BA80" w14:textId="77777777" w:rsidR="00E575A9" w:rsidRPr="00E575A9" w:rsidRDefault="00E575A9" w:rsidP="002D3416">
            <w:pPr>
              <w:ind w:left="142"/>
              <w:rPr>
                <w:sz w:val="24"/>
                <w:szCs w:val="24"/>
                <w:lang w:val="en-US"/>
              </w:rPr>
            </w:pPr>
            <w:r w:rsidRPr="00E575A9">
              <w:rPr>
                <w:sz w:val="24"/>
                <w:szCs w:val="24"/>
                <w:lang w:val="en-US"/>
              </w:rPr>
              <w:lastRenderedPageBreak/>
              <w:t>2 mg/day (no more</w:t>
            </w:r>
          </w:p>
          <w:p w14:paraId="14996EF5" w14:textId="77777777" w:rsidR="00E575A9" w:rsidRPr="00E575A9" w:rsidRDefault="00E575A9" w:rsidP="002D3416">
            <w:pPr>
              <w:ind w:left="142"/>
              <w:rPr>
                <w:sz w:val="24"/>
                <w:szCs w:val="24"/>
                <w:lang w:val="en-US"/>
              </w:rPr>
            </w:pPr>
            <w:r w:rsidRPr="00E575A9">
              <w:rPr>
                <w:sz w:val="24"/>
                <w:szCs w:val="24"/>
                <w:lang w:val="en-US"/>
              </w:rPr>
              <w:lastRenderedPageBreak/>
              <w:t>frequently than weekly intervals)</w:t>
            </w:r>
          </w:p>
        </w:tc>
        <w:tc>
          <w:tcPr>
            <w:tcW w:w="983" w:type="pct"/>
            <w:tcBorders>
              <w:top w:val="single" w:sz="4" w:space="0" w:color="000000"/>
              <w:left w:val="single" w:sz="4" w:space="0" w:color="000000"/>
              <w:bottom w:val="single" w:sz="4" w:space="0" w:color="000000"/>
              <w:right w:val="single" w:sz="4" w:space="0" w:color="000000"/>
            </w:tcBorders>
            <w:hideMark/>
          </w:tcPr>
          <w:p w14:paraId="5D427828" w14:textId="77777777" w:rsidR="00E575A9" w:rsidRPr="00E575A9" w:rsidRDefault="00E575A9" w:rsidP="002D3416">
            <w:pPr>
              <w:ind w:left="142"/>
              <w:rPr>
                <w:sz w:val="24"/>
                <w:szCs w:val="24"/>
                <w:lang w:val="en-US"/>
              </w:rPr>
            </w:pPr>
            <w:r w:rsidRPr="00E575A9">
              <w:rPr>
                <w:sz w:val="24"/>
                <w:szCs w:val="24"/>
                <w:lang w:val="en-US"/>
              </w:rPr>
              <w:lastRenderedPageBreak/>
              <w:t>1 mg/day (no more</w:t>
            </w:r>
          </w:p>
          <w:p w14:paraId="5A08777D" w14:textId="77777777" w:rsidR="00E575A9" w:rsidRPr="00E575A9" w:rsidRDefault="00E575A9" w:rsidP="002D3416">
            <w:pPr>
              <w:ind w:left="142"/>
              <w:rPr>
                <w:sz w:val="24"/>
                <w:szCs w:val="24"/>
                <w:lang w:val="en-US"/>
              </w:rPr>
            </w:pPr>
            <w:r w:rsidRPr="00E575A9">
              <w:rPr>
                <w:sz w:val="24"/>
                <w:szCs w:val="24"/>
                <w:lang w:val="en-US"/>
              </w:rPr>
              <w:lastRenderedPageBreak/>
              <w:t>frequently than weekly intervals)</w:t>
            </w:r>
          </w:p>
        </w:tc>
        <w:tc>
          <w:tcPr>
            <w:tcW w:w="795" w:type="pct"/>
            <w:tcBorders>
              <w:top w:val="single" w:sz="4" w:space="0" w:color="000000"/>
              <w:left w:val="single" w:sz="4" w:space="0" w:color="000000"/>
              <w:bottom w:val="single" w:sz="4" w:space="0" w:color="000000"/>
              <w:right w:val="single" w:sz="4" w:space="0" w:color="000000"/>
            </w:tcBorders>
            <w:hideMark/>
          </w:tcPr>
          <w:p w14:paraId="11DCD1E7" w14:textId="77777777" w:rsidR="00E575A9" w:rsidRPr="00E575A9" w:rsidRDefault="00E575A9" w:rsidP="002D3416">
            <w:pPr>
              <w:ind w:left="142"/>
              <w:rPr>
                <w:sz w:val="24"/>
                <w:szCs w:val="24"/>
                <w:lang w:val="en-US"/>
              </w:rPr>
            </w:pPr>
            <w:r w:rsidRPr="00E575A9">
              <w:rPr>
                <w:sz w:val="24"/>
                <w:szCs w:val="24"/>
                <w:lang w:val="en-US"/>
              </w:rPr>
              <w:lastRenderedPageBreak/>
              <w:t xml:space="preserve">0.5 mg/day (no more </w:t>
            </w:r>
            <w:r w:rsidRPr="00E575A9">
              <w:rPr>
                <w:sz w:val="24"/>
                <w:szCs w:val="24"/>
                <w:lang w:val="en-US"/>
              </w:rPr>
              <w:lastRenderedPageBreak/>
              <w:t>frequently than weekly intervals)</w:t>
            </w:r>
          </w:p>
        </w:tc>
      </w:tr>
      <w:tr w:rsidR="00E575A9" w:rsidRPr="00E575A9" w14:paraId="4F427F5E" w14:textId="77777777" w:rsidTr="002D3416">
        <w:trPr>
          <w:trHeight w:val="20"/>
        </w:trPr>
        <w:tc>
          <w:tcPr>
            <w:tcW w:w="1122" w:type="pct"/>
            <w:tcBorders>
              <w:top w:val="single" w:sz="4" w:space="0" w:color="000000"/>
              <w:left w:val="single" w:sz="4" w:space="0" w:color="000000"/>
              <w:bottom w:val="single" w:sz="4" w:space="0" w:color="000000"/>
              <w:right w:val="single" w:sz="4" w:space="0" w:color="000000"/>
            </w:tcBorders>
            <w:hideMark/>
          </w:tcPr>
          <w:p w14:paraId="7BC068B7" w14:textId="77777777" w:rsidR="00E575A9" w:rsidRPr="00E575A9" w:rsidRDefault="00E575A9" w:rsidP="002D3416">
            <w:pPr>
              <w:ind w:left="142"/>
              <w:rPr>
                <w:sz w:val="24"/>
                <w:szCs w:val="24"/>
                <w:lang w:val="en-US"/>
              </w:rPr>
            </w:pPr>
            <w:r w:rsidRPr="00E575A9">
              <w:rPr>
                <w:sz w:val="24"/>
                <w:szCs w:val="24"/>
                <w:lang w:val="en-US"/>
              </w:rPr>
              <w:lastRenderedPageBreak/>
              <w:t>Recommended maximum dose</w:t>
            </w:r>
          </w:p>
        </w:tc>
        <w:tc>
          <w:tcPr>
            <w:tcW w:w="1115" w:type="pct"/>
            <w:tcBorders>
              <w:top w:val="single" w:sz="4" w:space="0" w:color="000000"/>
              <w:left w:val="single" w:sz="4" w:space="0" w:color="000000"/>
              <w:bottom w:val="single" w:sz="4" w:space="0" w:color="000000"/>
              <w:right w:val="single" w:sz="4" w:space="0" w:color="000000"/>
            </w:tcBorders>
            <w:hideMark/>
          </w:tcPr>
          <w:p w14:paraId="1F7E3150" w14:textId="77777777" w:rsidR="00E575A9" w:rsidRPr="00E575A9" w:rsidRDefault="00E575A9" w:rsidP="002D3416">
            <w:pPr>
              <w:ind w:left="142"/>
              <w:rPr>
                <w:sz w:val="24"/>
                <w:szCs w:val="24"/>
                <w:lang w:val="en-US"/>
              </w:rPr>
            </w:pPr>
            <w:r w:rsidRPr="00E575A9">
              <w:rPr>
                <w:sz w:val="24"/>
                <w:szCs w:val="24"/>
                <w:lang w:val="en-US"/>
              </w:rPr>
              <w:t>12 mg/day</w:t>
            </w:r>
          </w:p>
        </w:tc>
        <w:tc>
          <w:tcPr>
            <w:tcW w:w="985" w:type="pct"/>
            <w:tcBorders>
              <w:top w:val="single" w:sz="4" w:space="0" w:color="000000"/>
              <w:left w:val="single" w:sz="4" w:space="0" w:color="000000"/>
              <w:bottom w:val="single" w:sz="4" w:space="0" w:color="000000"/>
              <w:right w:val="single" w:sz="4" w:space="0" w:color="000000"/>
            </w:tcBorders>
            <w:hideMark/>
          </w:tcPr>
          <w:p w14:paraId="47369537" w14:textId="77777777" w:rsidR="00E575A9" w:rsidRPr="00E575A9" w:rsidRDefault="00E575A9" w:rsidP="002D3416">
            <w:pPr>
              <w:ind w:left="142"/>
              <w:rPr>
                <w:sz w:val="24"/>
                <w:szCs w:val="24"/>
                <w:lang w:val="en-US"/>
              </w:rPr>
            </w:pPr>
            <w:r w:rsidRPr="00E575A9">
              <w:rPr>
                <w:sz w:val="24"/>
                <w:szCs w:val="24"/>
                <w:lang w:val="en-US"/>
              </w:rPr>
              <w:t>12 mg/day</w:t>
            </w:r>
          </w:p>
        </w:tc>
        <w:tc>
          <w:tcPr>
            <w:tcW w:w="983" w:type="pct"/>
            <w:tcBorders>
              <w:top w:val="single" w:sz="4" w:space="0" w:color="000000"/>
              <w:left w:val="single" w:sz="4" w:space="0" w:color="000000"/>
              <w:bottom w:val="single" w:sz="4" w:space="0" w:color="000000"/>
              <w:right w:val="single" w:sz="4" w:space="0" w:color="000000"/>
            </w:tcBorders>
            <w:hideMark/>
          </w:tcPr>
          <w:p w14:paraId="14073FF1" w14:textId="77777777" w:rsidR="00E575A9" w:rsidRPr="00E575A9" w:rsidRDefault="00E575A9" w:rsidP="002D3416">
            <w:pPr>
              <w:ind w:left="142"/>
              <w:rPr>
                <w:sz w:val="24"/>
                <w:szCs w:val="24"/>
                <w:lang w:val="en-US"/>
              </w:rPr>
            </w:pPr>
            <w:r w:rsidRPr="00E575A9">
              <w:rPr>
                <w:sz w:val="24"/>
                <w:szCs w:val="24"/>
                <w:lang w:val="en-US"/>
              </w:rPr>
              <w:t>8 mg/day</w:t>
            </w:r>
          </w:p>
        </w:tc>
        <w:tc>
          <w:tcPr>
            <w:tcW w:w="795" w:type="pct"/>
            <w:tcBorders>
              <w:top w:val="single" w:sz="4" w:space="0" w:color="000000"/>
              <w:left w:val="single" w:sz="4" w:space="0" w:color="000000"/>
              <w:bottom w:val="single" w:sz="4" w:space="0" w:color="000000"/>
              <w:right w:val="single" w:sz="4" w:space="0" w:color="000000"/>
            </w:tcBorders>
            <w:hideMark/>
          </w:tcPr>
          <w:p w14:paraId="752CB5AC" w14:textId="77777777" w:rsidR="00E575A9" w:rsidRPr="00E575A9" w:rsidRDefault="00E575A9" w:rsidP="002D3416">
            <w:pPr>
              <w:ind w:left="142"/>
              <w:rPr>
                <w:sz w:val="24"/>
                <w:szCs w:val="24"/>
                <w:lang w:val="en-US"/>
              </w:rPr>
            </w:pPr>
            <w:r w:rsidRPr="00E575A9">
              <w:rPr>
                <w:sz w:val="24"/>
                <w:szCs w:val="24"/>
                <w:lang w:val="en-US"/>
              </w:rPr>
              <w:t>6 mg/day</w:t>
            </w:r>
          </w:p>
        </w:tc>
      </w:tr>
    </w:tbl>
    <w:p w14:paraId="451D2AF7" w14:textId="77777777" w:rsidR="00E575A9" w:rsidRPr="00E575A9" w:rsidRDefault="00E575A9" w:rsidP="00E575A9">
      <w:pPr>
        <w:tabs>
          <w:tab w:val="left" w:pos="851"/>
        </w:tabs>
        <w:ind w:left="851"/>
        <w:rPr>
          <w:sz w:val="24"/>
          <w:szCs w:val="24"/>
          <w:lang w:val="en-IN"/>
        </w:rPr>
      </w:pPr>
    </w:p>
    <w:p w14:paraId="0B061C34" w14:textId="77777777" w:rsidR="00E575A9" w:rsidRPr="00032D7E" w:rsidRDefault="00E575A9" w:rsidP="002D3416">
      <w:pPr>
        <w:ind w:left="851"/>
        <w:rPr>
          <w:i/>
          <w:iCs/>
          <w:sz w:val="24"/>
          <w:szCs w:val="24"/>
          <w:lang w:val="en-IN"/>
        </w:rPr>
      </w:pPr>
      <w:r w:rsidRPr="00032D7E">
        <w:rPr>
          <w:i/>
          <w:iCs/>
          <w:sz w:val="24"/>
          <w:szCs w:val="24"/>
          <w:lang w:val="en-IN"/>
        </w:rPr>
        <w:t xml:space="preserve">Adults, adolescents age ≥ 12 years </w:t>
      </w:r>
    </w:p>
    <w:p w14:paraId="04749B89" w14:textId="77777777" w:rsidR="00E575A9" w:rsidRPr="00032D7E" w:rsidRDefault="00E575A9" w:rsidP="002D3416">
      <w:pPr>
        <w:ind w:left="851"/>
        <w:rPr>
          <w:sz w:val="24"/>
          <w:szCs w:val="24"/>
          <w:lang w:val="en-IN"/>
        </w:rPr>
      </w:pPr>
      <w:r w:rsidRPr="00032D7E">
        <w:rPr>
          <w:sz w:val="24"/>
          <w:szCs w:val="24"/>
          <w:lang w:val="en-IN"/>
        </w:rPr>
        <w:t xml:space="preserve">Treatment with </w:t>
      </w:r>
      <w:proofErr w:type="spellStart"/>
      <w:r w:rsidRPr="00032D7E">
        <w:rPr>
          <w:sz w:val="24"/>
          <w:szCs w:val="24"/>
          <w:lang w:val="en-IN"/>
        </w:rPr>
        <w:t>perampanel</w:t>
      </w:r>
      <w:proofErr w:type="spellEnd"/>
      <w:r w:rsidRPr="00032D7E">
        <w:rPr>
          <w:sz w:val="24"/>
          <w:szCs w:val="24"/>
          <w:lang w:val="en-IN"/>
        </w:rPr>
        <w:t xml:space="preserve"> should be initiated with a dose of 2 mg/day. The dose may be increased based on clinical response and tolerability by increments of 2 mg (either weekly or every 2 weeks as per half-life considerations described below) to a maintenance dose of 4 mg/day to 8 mg/day.  Depending upon individual clinical response and tolerability at a dose of 8 mg/day, the dose may be increased by increments of 2 mg/day to 12 mg/day. Patients who are taking concomitant medicinal products that do not shorten the half-life of </w:t>
      </w:r>
      <w:proofErr w:type="spellStart"/>
      <w:r w:rsidRPr="00032D7E">
        <w:rPr>
          <w:sz w:val="24"/>
          <w:szCs w:val="24"/>
          <w:lang w:val="en-IN"/>
        </w:rPr>
        <w:t>perampanel</w:t>
      </w:r>
      <w:proofErr w:type="spellEnd"/>
      <w:r w:rsidRPr="00032D7E">
        <w:rPr>
          <w:sz w:val="24"/>
          <w:szCs w:val="24"/>
          <w:lang w:val="en-IN"/>
        </w:rPr>
        <w:t xml:space="preserve"> (see section 4.5) should be titrated no more frequently than at 2-week intervals. Patients who are taking concomitant medicinal products that shorten the half-life of </w:t>
      </w:r>
      <w:proofErr w:type="spellStart"/>
      <w:r w:rsidRPr="00032D7E">
        <w:rPr>
          <w:sz w:val="24"/>
          <w:szCs w:val="24"/>
          <w:lang w:val="en-IN"/>
        </w:rPr>
        <w:t>perampanel</w:t>
      </w:r>
      <w:proofErr w:type="spellEnd"/>
      <w:r w:rsidRPr="00032D7E">
        <w:rPr>
          <w:sz w:val="24"/>
          <w:szCs w:val="24"/>
          <w:lang w:val="en-IN"/>
        </w:rPr>
        <w:t xml:space="preserve"> (see section 4.5) should be titrated no more frequently than at 1-week intervals. </w:t>
      </w:r>
    </w:p>
    <w:p w14:paraId="087F836E" w14:textId="77777777" w:rsidR="00E575A9" w:rsidRPr="00032D7E" w:rsidRDefault="00E575A9" w:rsidP="002D3416">
      <w:pPr>
        <w:ind w:left="851"/>
        <w:rPr>
          <w:sz w:val="24"/>
          <w:szCs w:val="24"/>
          <w:lang w:val="en-IN"/>
        </w:rPr>
      </w:pPr>
    </w:p>
    <w:p w14:paraId="1EE1D054" w14:textId="77777777" w:rsidR="00E575A9" w:rsidRPr="00032D7E" w:rsidRDefault="00E575A9" w:rsidP="002D3416">
      <w:pPr>
        <w:ind w:left="851"/>
        <w:rPr>
          <w:i/>
          <w:iCs/>
          <w:sz w:val="24"/>
          <w:szCs w:val="24"/>
          <w:lang w:val="en-IN"/>
        </w:rPr>
      </w:pPr>
      <w:r w:rsidRPr="00032D7E">
        <w:rPr>
          <w:i/>
          <w:iCs/>
          <w:sz w:val="24"/>
          <w:szCs w:val="24"/>
          <w:lang w:val="en-IN"/>
        </w:rPr>
        <w:t xml:space="preserve">Children (from 4 to 11 years) weighing ≥ 30 kg </w:t>
      </w:r>
    </w:p>
    <w:p w14:paraId="5801F74A" w14:textId="332A4D20" w:rsidR="00E575A9" w:rsidRPr="00032D7E" w:rsidRDefault="00E575A9" w:rsidP="002D3416">
      <w:pPr>
        <w:ind w:left="851"/>
        <w:rPr>
          <w:sz w:val="24"/>
          <w:szCs w:val="24"/>
          <w:lang w:val="en-IN"/>
        </w:rPr>
      </w:pPr>
      <w:r w:rsidRPr="00032D7E">
        <w:rPr>
          <w:sz w:val="24"/>
          <w:szCs w:val="24"/>
          <w:lang w:val="en-IN"/>
        </w:rPr>
        <w:t xml:space="preserve">Treatment with </w:t>
      </w:r>
      <w:proofErr w:type="spellStart"/>
      <w:r w:rsidR="00032D7E">
        <w:rPr>
          <w:sz w:val="24"/>
          <w:szCs w:val="24"/>
          <w:lang w:val="en-IN"/>
        </w:rPr>
        <w:t>Perampanel</w:t>
      </w:r>
      <w:proofErr w:type="spellEnd"/>
      <w:r w:rsidR="00032D7E">
        <w:rPr>
          <w:sz w:val="24"/>
          <w:szCs w:val="24"/>
          <w:lang w:val="en-IN"/>
        </w:rPr>
        <w:t xml:space="preserve"> "Vivanta Generics"</w:t>
      </w:r>
      <w:r w:rsidRPr="00032D7E">
        <w:rPr>
          <w:sz w:val="24"/>
          <w:szCs w:val="24"/>
          <w:lang w:val="en-IN"/>
        </w:rPr>
        <w:t xml:space="preserve"> should be initiated with a dose of 2</w:t>
      </w:r>
      <w:r w:rsidR="00032D7E">
        <w:rPr>
          <w:sz w:val="24"/>
          <w:szCs w:val="24"/>
          <w:lang w:val="en-IN"/>
        </w:rPr>
        <w:t> </w:t>
      </w:r>
      <w:r w:rsidRPr="00032D7E">
        <w:rPr>
          <w:sz w:val="24"/>
          <w:szCs w:val="24"/>
          <w:lang w:val="en-IN"/>
        </w:rPr>
        <w:t xml:space="preserve">mg/day. The dose may be increased based on clinical response and tolerability by increments of 2 mg (either weekly or every 2 weeks as per half-life considerations described below) to a maintenance dose of 4 mg/day to 8 mg/day. Depending upon individual clinical response and tolerability at a dose of 8 mg/day, the dose may be increased by increments of 2 mg/day to 12 mg/day. Patients who are taking concomitant medicinal products that do not shorten the half-life of </w:t>
      </w:r>
      <w:proofErr w:type="spellStart"/>
      <w:r w:rsidRPr="00032D7E">
        <w:rPr>
          <w:sz w:val="24"/>
          <w:szCs w:val="24"/>
          <w:lang w:val="en-IN"/>
        </w:rPr>
        <w:t>perampanel</w:t>
      </w:r>
      <w:proofErr w:type="spellEnd"/>
      <w:r w:rsidRPr="00032D7E">
        <w:rPr>
          <w:sz w:val="24"/>
          <w:szCs w:val="24"/>
          <w:lang w:val="en-IN"/>
        </w:rPr>
        <w:t xml:space="preserve"> (see section 4.5) should be titrated no more frequently than at 2-week intervals. Patients who are taking concomitant medicinal products that shorten the half-life of </w:t>
      </w:r>
      <w:proofErr w:type="spellStart"/>
      <w:r w:rsidRPr="00032D7E">
        <w:rPr>
          <w:sz w:val="24"/>
          <w:szCs w:val="24"/>
          <w:lang w:val="en-IN"/>
        </w:rPr>
        <w:t>perampanel</w:t>
      </w:r>
      <w:proofErr w:type="spellEnd"/>
      <w:r w:rsidRPr="00032D7E">
        <w:rPr>
          <w:sz w:val="24"/>
          <w:szCs w:val="24"/>
          <w:lang w:val="en-IN"/>
        </w:rPr>
        <w:t xml:space="preserve"> (see section 4.5) should be titrated no more frequently than at 1-week intervals.</w:t>
      </w:r>
    </w:p>
    <w:p w14:paraId="5E78A461" w14:textId="77777777" w:rsidR="00E575A9" w:rsidRPr="00032D7E" w:rsidRDefault="00E575A9" w:rsidP="002D3416">
      <w:pPr>
        <w:ind w:left="851"/>
        <w:rPr>
          <w:sz w:val="24"/>
          <w:szCs w:val="24"/>
          <w:lang w:val="en-IN"/>
        </w:rPr>
      </w:pPr>
    </w:p>
    <w:p w14:paraId="5546F68D" w14:textId="77777777" w:rsidR="00E575A9" w:rsidRPr="00032D7E" w:rsidRDefault="00E575A9" w:rsidP="002D3416">
      <w:pPr>
        <w:ind w:left="851"/>
        <w:rPr>
          <w:i/>
          <w:iCs/>
          <w:sz w:val="24"/>
          <w:szCs w:val="24"/>
          <w:lang w:val="en-IN"/>
        </w:rPr>
      </w:pPr>
      <w:r w:rsidRPr="00032D7E">
        <w:rPr>
          <w:i/>
          <w:iCs/>
          <w:sz w:val="24"/>
          <w:szCs w:val="24"/>
          <w:lang w:val="en-IN"/>
        </w:rPr>
        <w:t xml:space="preserve">Children (from 4 to 11 years of age) weighing 20 kg and &lt; 30 kg </w:t>
      </w:r>
    </w:p>
    <w:p w14:paraId="1E6D6CD8" w14:textId="69264C20" w:rsidR="00E575A9" w:rsidRPr="00032D7E" w:rsidRDefault="00E575A9" w:rsidP="002D3416">
      <w:pPr>
        <w:ind w:left="851"/>
        <w:rPr>
          <w:sz w:val="24"/>
          <w:szCs w:val="24"/>
          <w:lang w:val="en-IN"/>
        </w:rPr>
      </w:pPr>
      <w:r w:rsidRPr="00032D7E">
        <w:rPr>
          <w:sz w:val="24"/>
          <w:szCs w:val="24"/>
          <w:lang w:val="en-IN"/>
        </w:rPr>
        <w:t xml:space="preserve">Treatment with </w:t>
      </w:r>
      <w:proofErr w:type="spellStart"/>
      <w:r w:rsidR="00032D7E">
        <w:rPr>
          <w:sz w:val="24"/>
          <w:szCs w:val="24"/>
          <w:lang w:val="en-IN"/>
        </w:rPr>
        <w:t>Perampanel</w:t>
      </w:r>
      <w:proofErr w:type="spellEnd"/>
      <w:r w:rsidR="00032D7E">
        <w:rPr>
          <w:sz w:val="24"/>
          <w:szCs w:val="24"/>
          <w:lang w:val="en-IN"/>
        </w:rPr>
        <w:t xml:space="preserve"> "Vivanta Generics"</w:t>
      </w:r>
      <w:r w:rsidRPr="00032D7E">
        <w:rPr>
          <w:sz w:val="24"/>
          <w:szCs w:val="24"/>
          <w:lang w:val="en-IN"/>
        </w:rPr>
        <w:t xml:space="preserve"> should be initiated with a dose of 1</w:t>
      </w:r>
      <w:r w:rsidR="00032D7E">
        <w:rPr>
          <w:sz w:val="24"/>
          <w:szCs w:val="24"/>
          <w:lang w:val="en-IN"/>
        </w:rPr>
        <w:t> </w:t>
      </w:r>
      <w:r w:rsidRPr="00032D7E">
        <w:rPr>
          <w:sz w:val="24"/>
          <w:szCs w:val="24"/>
          <w:lang w:val="en-IN"/>
        </w:rPr>
        <w:t xml:space="preserve">mg/day. The dose may be increased based on clinical response and tolerability by increments of 1 mg (either weekly or every 2 weeks as per half-life considerations described below) to a maintenance dose of 4 mg/day to 6 mg/day. Depending upon individual clinical response and tolerability at a dose of 6 mg/day, the dose may be increased by increments of 1 mg/day to 8 mg/day. Patients who are taking concomitant medicinal products that do not shorten the half-life of </w:t>
      </w:r>
      <w:proofErr w:type="spellStart"/>
      <w:r w:rsidRPr="00032D7E">
        <w:rPr>
          <w:sz w:val="24"/>
          <w:szCs w:val="24"/>
          <w:lang w:val="en-IN"/>
        </w:rPr>
        <w:t>perampanel</w:t>
      </w:r>
      <w:proofErr w:type="spellEnd"/>
      <w:r w:rsidRPr="00032D7E">
        <w:rPr>
          <w:sz w:val="24"/>
          <w:szCs w:val="24"/>
          <w:lang w:val="en-IN"/>
        </w:rPr>
        <w:t xml:space="preserve"> (see section 4.5) should be titrated no more frequently than at 2-week intervals. Patients who are taking concomitant medicinal products that shorten the half-life of </w:t>
      </w:r>
      <w:proofErr w:type="spellStart"/>
      <w:r w:rsidRPr="00032D7E">
        <w:rPr>
          <w:sz w:val="24"/>
          <w:szCs w:val="24"/>
          <w:lang w:val="en-IN"/>
        </w:rPr>
        <w:t>perampanel</w:t>
      </w:r>
      <w:proofErr w:type="spellEnd"/>
      <w:r w:rsidRPr="00032D7E">
        <w:rPr>
          <w:sz w:val="24"/>
          <w:szCs w:val="24"/>
          <w:lang w:val="en-IN"/>
        </w:rPr>
        <w:t xml:space="preserve"> (see section 4.5) should be titrated no more frequently than at 1-week intervals. </w:t>
      </w:r>
    </w:p>
    <w:p w14:paraId="66F56A57" w14:textId="77777777" w:rsidR="00E575A9" w:rsidRPr="00032D7E" w:rsidRDefault="00E575A9" w:rsidP="002D3416">
      <w:pPr>
        <w:ind w:left="851"/>
        <w:rPr>
          <w:sz w:val="24"/>
          <w:szCs w:val="24"/>
          <w:lang w:val="en-IN"/>
        </w:rPr>
      </w:pPr>
    </w:p>
    <w:p w14:paraId="6FFD7D92" w14:textId="77777777" w:rsidR="00E575A9" w:rsidRPr="00032D7E" w:rsidRDefault="00E575A9" w:rsidP="002D3416">
      <w:pPr>
        <w:ind w:left="851"/>
        <w:rPr>
          <w:i/>
          <w:iCs/>
          <w:sz w:val="24"/>
          <w:szCs w:val="24"/>
          <w:lang w:val="en-IN"/>
        </w:rPr>
      </w:pPr>
      <w:r w:rsidRPr="00032D7E">
        <w:rPr>
          <w:i/>
          <w:iCs/>
          <w:sz w:val="24"/>
          <w:szCs w:val="24"/>
          <w:lang w:val="en-IN"/>
        </w:rPr>
        <w:t xml:space="preserve">Children (from 4 to 11 years of age) weighing &lt; 20 kg </w:t>
      </w:r>
    </w:p>
    <w:p w14:paraId="6AC72E71" w14:textId="1A2D2D25" w:rsidR="00E575A9" w:rsidRPr="00032D7E" w:rsidRDefault="00E575A9" w:rsidP="002D3416">
      <w:pPr>
        <w:ind w:left="851"/>
        <w:rPr>
          <w:sz w:val="24"/>
          <w:szCs w:val="24"/>
          <w:lang w:val="en-IN"/>
        </w:rPr>
      </w:pPr>
      <w:r w:rsidRPr="00032D7E">
        <w:rPr>
          <w:sz w:val="24"/>
          <w:szCs w:val="24"/>
          <w:lang w:val="en-IN"/>
        </w:rPr>
        <w:t xml:space="preserve">Treatment with </w:t>
      </w:r>
      <w:proofErr w:type="spellStart"/>
      <w:r w:rsidR="00032D7E">
        <w:rPr>
          <w:sz w:val="24"/>
          <w:szCs w:val="24"/>
          <w:lang w:val="en-IN"/>
        </w:rPr>
        <w:t>Perampanel</w:t>
      </w:r>
      <w:proofErr w:type="spellEnd"/>
      <w:r w:rsidR="00032D7E">
        <w:rPr>
          <w:sz w:val="24"/>
          <w:szCs w:val="24"/>
          <w:lang w:val="en-IN"/>
        </w:rPr>
        <w:t xml:space="preserve"> "Vivanta Generics"</w:t>
      </w:r>
      <w:r w:rsidRPr="00032D7E">
        <w:rPr>
          <w:sz w:val="24"/>
          <w:szCs w:val="24"/>
          <w:lang w:val="en-IN"/>
        </w:rPr>
        <w:t xml:space="preserve"> should be initiated with a dose of 1</w:t>
      </w:r>
      <w:r w:rsidR="00032D7E">
        <w:rPr>
          <w:sz w:val="24"/>
          <w:szCs w:val="24"/>
          <w:lang w:val="en-IN"/>
        </w:rPr>
        <w:t> </w:t>
      </w:r>
      <w:r w:rsidRPr="00032D7E">
        <w:rPr>
          <w:sz w:val="24"/>
          <w:szCs w:val="24"/>
          <w:lang w:val="en-IN"/>
        </w:rPr>
        <w:t xml:space="preserve">mg/day. The dose may be increased based on clinical response and tolerability by increments of 1 mg (either weekly or every 2 weeks as per half-life considerations described below) to a maintenance dose of 2 mg/day to 4 mg/day. Depending upon individual clinical response and tolerability at a dose of 4 mg/day, the dose may be increased by increments of 0.5 mg/day to 6 mg/day. Patients who are taking concomitant medicinal products that do not shorten the half-life of </w:t>
      </w:r>
      <w:proofErr w:type="spellStart"/>
      <w:r w:rsidRPr="00032D7E">
        <w:rPr>
          <w:sz w:val="24"/>
          <w:szCs w:val="24"/>
          <w:lang w:val="en-IN"/>
        </w:rPr>
        <w:t>perampanel</w:t>
      </w:r>
      <w:proofErr w:type="spellEnd"/>
      <w:r w:rsidRPr="00032D7E">
        <w:rPr>
          <w:sz w:val="24"/>
          <w:szCs w:val="24"/>
          <w:lang w:val="en-IN"/>
        </w:rPr>
        <w:t xml:space="preserve"> (see section 4.5) should be titrated no more frequently than at 2-week intervals. Patients who are taking concomitant medicinal products that shorten the half-life of </w:t>
      </w:r>
      <w:proofErr w:type="spellStart"/>
      <w:r w:rsidRPr="00032D7E">
        <w:rPr>
          <w:sz w:val="24"/>
          <w:szCs w:val="24"/>
          <w:lang w:val="en-IN"/>
        </w:rPr>
        <w:t>perampanel</w:t>
      </w:r>
      <w:proofErr w:type="spellEnd"/>
      <w:r w:rsidRPr="00032D7E">
        <w:rPr>
          <w:sz w:val="24"/>
          <w:szCs w:val="24"/>
          <w:lang w:val="en-IN"/>
        </w:rPr>
        <w:t xml:space="preserve"> (see section 4.5) should be titrated no more frequently than at 1-week intervals.</w:t>
      </w:r>
    </w:p>
    <w:p w14:paraId="764D8E2C" w14:textId="77777777" w:rsidR="00E575A9" w:rsidRPr="00032D7E" w:rsidRDefault="00E575A9" w:rsidP="002D3416">
      <w:pPr>
        <w:ind w:left="851"/>
        <w:rPr>
          <w:sz w:val="24"/>
          <w:szCs w:val="24"/>
          <w:lang w:val="en-IN"/>
        </w:rPr>
      </w:pPr>
    </w:p>
    <w:p w14:paraId="18542832" w14:textId="77777777" w:rsidR="00E575A9" w:rsidRPr="00032D7E" w:rsidRDefault="00E575A9" w:rsidP="002D3416">
      <w:pPr>
        <w:ind w:left="851"/>
        <w:rPr>
          <w:i/>
          <w:iCs/>
          <w:sz w:val="24"/>
          <w:szCs w:val="24"/>
          <w:lang w:val="en-IN"/>
        </w:rPr>
      </w:pPr>
      <w:r w:rsidRPr="00032D7E">
        <w:rPr>
          <w:i/>
          <w:iCs/>
          <w:sz w:val="24"/>
          <w:szCs w:val="24"/>
          <w:lang w:val="en-IN"/>
        </w:rPr>
        <w:t xml:space="preserve">Primary Generalised Tonic-Clonic Seizures </w:t>
      </w:r>
    </w:p>
    <w:p w14:paraId="6F96C387" w14:textId="77777777" w:rsidR="00E575A9" w:rsidRPr="00032D7E" w:rsidRDefault="00E575A9" w:rsidP="002D3416">
      <w:pPr>
        <w:ind w:left="851"/>
        <w:rPr>
          <w:sz w:val="24"/>
          <w:szCs w:val="24"/>
          <w:lang w:val="en-IN"/>
        </w:rPr>
      </w:pPr>
      <w:proofErr w:type="spellStart"/>
      <w:r w:rsidRPr="00032D7E">
        <w:rPr>
          <w:sz w:val="24"/>
          <w:szCs w:val="24"/>
          <w:lang w:val="en-IN"/>
        </w:rPr>
        <w:t>Perampanel</w:t>
      </w:r>
      <w:proofErr w:type="spellEnd"/>
      <w:r w:rsidRPr="00032D7E">
        <w:rPr>
          <w:sz w:val="24"/>
          <w:szCs w:val="24"/>
          <w:lang w:val="en-IN"/>
        </w:rPr>
        <w:t xml:space="preserve"> at a dose up to 8 mg/day has been shown to be effective in primary generalised tonic-clonic seizures. </w:t>
      </w:r>
    </w:p>
    <w:p w14:paraId="05D8092F" w14:textId="77777777" w:rsidR="00E575A9" w:rsidRPr="00032D7E" w:rsidRDefault="00E575A9" w:rsidP="002D3416">
      <w:pPr>
        <w:ind w:left="851"/>
        <w:rPr>
          <w:sz w:val="24"/>
          <w:szCs w:val="24"/>
          <w:lang w:val="en-IN"/>
        </w:rPr>
      </w:pPr>
    </w:p>
    <w:p w14:paraId="4BE4FC5B" w14:textId="77777777" w:rsidR="00E575A9" w:rsidRPr="00032D7E" w:rsidRDefault="00E575A9" w:rsidP="002D3416">
      <w:pPr>
        <w:ind w:left="851"/>
        <w:rPr>
          <w:sz w:val="24"/>
          <w:szCs w:val="24"/>
          <w:lang w:val="en-IN"/>
        </w:rPr>
      </w:pPr>
      <w:r w:rsidRPr="00032D7E">
        <w:rPr>
          <w:sz w:val="24"/>
          <w:szCs w:val="24"/>
          <w:lang w:val="en-IN"/>
        </w:rPr>
        <w:t>The following table summarises the recommended posology for adults, adolescents and children from 7 years of age. More details are provided below the table.</w:t>
      </w:r>
    </w:p>
    <w:p w14:paraId="2AB21650" w14:textId="77777777" w:rsidR="00E575A9" w:rsidRPr="00E575A9" w:rsidRDefault="00E575A9" w:rsidP="00E575A9">
      <w:pPr>
        <w:tabs>
          <w:tab w:val="left" w:pos="851"/>
        </w:tabs>
        <w:ind w:left="851"/>
        <w:rPr>
          <w:sz w:val="24"/>
          <w:szCs w:val="24"/>
          <w:lang w:val="en-IN"/>
        </w:rPr>
      </w:pPr>
    </w:p>
    <w:tbl>
      <w:tblPr>
        <w:tblW w:w="5000" w:type="pct"/>
        <w:tblCellMar>
          <w:left w:w="0" w:type="dxa"/>
          <w:right w:w="0" w:type="dxa"/>
        </w:tblCellMar>
        <w:tblLook w:val="01E0" w:firstRow="1" w:lastRow="1" w:firstColumn="1" w:lastColumn="1" w:noHBand="0" w:noVBand="0"/>
      </w:tblPr>
      <w:tblGrid>
        <w:gridCol w:w="2116"/>
        <w:gridCol w:w="2091"/>
        <w:gridCol w:w="1876"/>
        <w:gridCol w:w="1876"/>
        <w:gridCol w:w="1669"/>
      </w:tblGrid>
      <w:tr w:rsidR="00E575A9" w:rsidRPr="00E575A9" w14:paraId="5F78B385" w14:textId="77777777" w:rsidTr="002D3416">
        <w:trPr>
          <w:trHeight w:val="20"/>
        </w:trPr>
        <w:tc>
          <w:tcPr>
            <w:tcW w:w="1099" w:type="pct"/>
            <w:vMerge w:val="restart"/>
            <w:tcBorders>
              <w:top w:val="single" w:sz="4" w:space="0" w:color="000000"/>
              <w:left w:val="single" w:sz="4" w:space="0" w:color="000000"/>
              <w:bottom w:val="single" w:sz="4" w:space="0" w:color="000000"/>
              <w:right w:val="single" w:sz="4" w:space="0" w:color="000000"/>
            </w:tcBorders>
          </w:tcPr>
          <w:p w14:paraId="0D0EBA15" w14:textId="77777777" w:rsidR="00E575A9" w:rsidRPr="00E575A9" w:rsidRDefault="00E575A9" w:rsidP="002D3416">
            <w:pPr>
              <w:ind w:left="142"/>
              <w:rPr>
                <w:sz w:val="24"/>
                <w:szCs w:val="24"/>
                <w:lang w:val="en-IN"/>
              </w:rPr>
            </w:pPr>
          </w:p>
        </w:tc>
        <w:tc>
          <w:tcPr>
            <w:tcW w:w="1086" w:type="pct"/>
            <w:vMerge w:val="restart"/>
            <w:tcBorders>
              <w:top w:val="single" w:sz="4" w:space="0" w:color="000000"/>
              <w:left w:val="single" w:sz="4" w:space="0" w:color="000000"/>
              <w:bottom w:val="single" w:sz="4" w:space="0" w:color="000000"/>
              <w:right w:val="single" w:sz="4" w:space="0" w:color="000000"/>
            </w:tcBorders>
            <w:hideMark/>
          </w:tcPr>
          <w:p w14:paraId="090561E4" w14:textId="77777777" w:rsidR="00E575A9" w:rsidRPr="00E575A9" w:rsidRDefault="00E575A9" w:rsidP="002D3416">
            <w:pPr>
              <w:ind w:left="142"/>
              <w:rPr>
                <w:sz w:val="24"/>
                <w:szCs w:val="24"/>
                <w:lang w:val="en-US"/>
              </w:rPr>
            </w:pPr>
            <w:r w:rsidRPr="00E575A9">
              <w:rPr>
                <w:sz w:val="24"/>
                <w:szCs w:val="24"/>
                <w:lang w:val="en-US"/>
              </w:rPr>
              <w:t>Adult/adolescent (12 years and older)</w:t>
            </w:r>
          </w:p>
        </w:tc>
        <w:tc>
          <w:tcPr>
            <w:tcW w:w="2815" w:type="pct"/>
            <w:gridSpan w:val="3"/>
            <w:tcBorders>
              <w:top w:val="single" w:sz="4" w:space="0" w:color="000000"/>
              <w:left w:val="single" w:sz="4" w:space="0" w:color="000000"/>
              <w:bottom w:val="single" w:sz="4" w:space="0" w:color="000000"/>
              <w:right w:val="single" w:sz="4" w:space="0" w:color="000000"/>
            </w:tcBorders>
            <w:hideMark/>
          </w:tcPr>
          <w:p w14:paraId="2E892C64" w14:textId="77777777" w:rsidR="00E575A9" w:rsidRPr="00E575A9" w:rsidRDefault="00E575A9" w:rsidP="002D3416">
            <w:pPr>
              <w:ind w:left="142"/>
              <w:rPr>
                <w:sz w:val="24"/>
                <w:szCs w:val="24"/>
                <w:lang w:val="en-US"/>
              </w:rPr>
            </w:pPr>
            <w:r w:rsidRPr="00E575A9">
              <w:rPr>
                <w:sz w:val="24"/>
                <w:szCs w:val="24"/>
                <w:lang w:val="en-US"/>
              </w:rPr>
              <w:t>Children (7 – 11 years); weighing:</w:t>
            </w:r>
          </w:p>
        </w:tc>
      </w:tr>
      <w:tr w:rsidR="00E575A9" w:rsidRPr="00E575A9" w14:paraId="67D8E94F" w14:textId="77777777" w:rsidTr="002D3416">
        <w:trPr>
          <w:trHeight w:val="20"/>
        </w:trPr>
        <w:tc>
          <w:tcPr>
            <w:tcW w:w="1099" w:type="pct"/>
            <w:vMerge/>
            <w:tcBorders>
              <w:top w:val="single" w:sz="4" w:space="0" w:color="000000"/>
              <w:left w:val="single" w:sz="4" w:space="0" w:color="000000"/>
              <w:bottom w:val="single" w:sz="4" w:space="0" w:color="000000"/>
              <w:right w:val="single" w:sz="4" w:space="0" w:color="000000"/>
            </w:tcBorders>
            <w:vAlign w:val="center"/>
            <w:hideMark/>
          </w:tcPr>
          <w:p w14:paraId="348BE230" w14:textId="77777777" w:rsidR="00E575A9" w:rsidRPr="00E575A9" w:rsidRDefault="00E575A9" w:rsidP="002D3416">
            <w:pPr>
              <w:ind w:left="142"/>
              <w:rPr>
                <w:sz w:val="24"/>
                <w:szCs w:val="24"/>
                <w:lang w:val="en-IN"/>
              </w:rPr>
            </w:pPr>
          </w:p>
        </w:tc>
        <w:tc>
          <w:tcPr>
            <w:tcW w:w="1086" w:type="pct"/>
            <w:vMerge/>
            <w:tcBorders>
              <w:top w:val="single" w:sz="4" w:space="0" w:color="000000"/>
              <w:left w:val="single" w:sz="4" w:space="0" w:color="000000"/>
              <w:bottom w:val="single" w:sz="4" w:space="0" w:color="000000"/>
              <w:right w:val="single" w:sz="4" w:space="0" w:color="000000"/>
            </w:tcBorders>
            <w:vAlign w:val="center"/>
            <w:hideMark/>
          </w:tcPr>
          <w:p w14:paraId="7571225A" w14:textId="77777777" w:rsidR="00E575A9" w:rsidRPr="00E575A9" w:rsidRDefault="00E575A9" w:rsidP="002D3416">
            <w:pPr>
              <w:ind w:left="142"/>
              <w:rPr>
                <w:sz w:val="24"/>
                <w:szCs w:val="24"/>
                <w:lang w:val="en-US"/>
              </w:rPr>
            </w:pPr>
          </w:p>
        </w:tc>
        <w:tc>
          <w:tcPr>
            <w:tcW w:w="974" w:type="pct"/>
            <w:tcBorders>
              <w:top w:val="single" w:sz="4" w:space="0" w:color="000000"/>
              <w:left w:val="single" w:sz="4" w:space="0" w:color="000000"/>
              <w:bottom w:val="single" w:sz="4" w:space="0" w:color="000000"/>
              <w:right w:val="single" w:sz="4" w:space="0" w:color="000000"/>
            </w:tcBorders>
            <w:hideMark/>
          </w:tcPr>
          <w:p w14:paraId="103FCB83" w14:textId="77777777" w:rsidR="00E575A9" w:rsidRPr="00E575A9" w:rsidRDefault="00E575A9" w:rsidP="002D3416">
            <w:pPr>
              <w:ind w:left="142"/>
              <w:rPr>
                <w:sz w:val="24"/>
                <w:szCs w:val="24"/>
                <w:lang w:val="en-US"/>
              </w:rPr>
            </w:pPr>
            <w:r w:rsidRPr="00E575A9">
              <w:rPr>
                <w:sz w:val="24"/>
                <w:szCs w:val="24"/>
                <w:lang w:val="en-US"/>
              </w:rPr>
              <w:t>≥ 30 kg</w:t>
            </w:r>
          </w:p>
        </w:tc>
        <w:tc>
          <w:tcPr>
            <w:tcW w:w="974" w:type="pct"/>
            <w:tcBorders>
              <w:top w:val="single" w:sz="4" w:space="0" w:color="000000"/>
              <w:left w:val="single" w:sz="4" w:space="0" w:color="000000"/>
              <w:bottom w:val="single" w:sz="4" w:space="0" w:color="000000"/>
              <w:right w:val="single" w:sz="4" w:space="0" w:color="000000"/>
            </w:tcBorders>
            <w:hideMark/>
          </w:tcPr>
          <w:p w14:paraId="7A6F1AF5" w14:textId="77777777" w:rsidR="00E575A9" w:rsidRPr="00E575A9" w:rsidRDefault="00E575A9" w:rsidP="002D3416">
            <w:pPr>
              <w:ind w:left="142"/>
              <w:rPr>
                <w:sz w:val="24"/>
                <w:szCs w:val="24"/>
                <w:lang w:val="en-US"/>
              </w:rPr>
            </w:pPr>
            <w:r w:rsidRPr="00E575A9">
              <w:rPr>
                <w:sz w:val="24"/>
                <w:szCs w:val="24"/>
                <w:lang w:val="en-US"/>
              </w:rPr>
              <w:t>20 - &lt; 30 kg</w:t>
            </w:r>
          </w:p>
        </w:tc>
        <w:tc>
          <w:tcPr>
            <w:tcW w:w="866" w:type="pct"/>
            <w:tcBorders>
              <w:top w:val="single" w:sz="4" w:space="0" w:color="000000"/>
              <w:left w:val="single" w:sz="4" w:space="0" w:color="000000"/>
              <w:bottom w:val="single" w:sz="4" w:space="0" w:color="000000"/>
              <w:right w:val="single" w:sz="4" w:space="0" w:color="000000"/>
            </w:tcBorders>
            <w:hideMark/>
          </w:tcPr>
          <w:p w14:paraId="136A15F4" w14:textId="77777777" w:rsidR="00E575A9" w:rsidRPr="00E575A9" w:rsidRDefault="00E575A9" w:rsidP="002D3416">
            <w:pPr>
              <w:ind w:left="142"/>
              <w:rPr>
                <w:sz w:val="24"/>
                <w:szCs w:val="24"/>
                <w:lang w:val="en-US"/>
              </w:rPr>
            </w:pPr>
            <w:r w:rsidRPr="00E575A9">
              <w:rPr>
                <w:sz w:val="24"/>
                <w:szCs w:val="24"/>
                <w:lang w:val="en-US"/>
              </w:rPr>
              <w:t>&lt; 20 kg</w:t>
            </w:r>
          </w:p>
        </w:tc>
      </w:tr>
      <w:tr w:rsidR="00E575A9" w:rsidRPr="00E575A9" w14:paraId="6749D0D3" w14:textId="77777777" w:rsidTr="002D3416">
        <w:trPr>
          <w:trHeight w:val="20"/>
        </w:trPr>
        <w:tc>
          <w:tcPr>
            <w:tcW w:w="1099" w:type="pct"/>
            <w:tcBorders>
              <w:top w:val="single" w:sz="4" w:space="0" w:color="000000"/>
              <w:left w:val="single" w:sz="4" w:space="0" w:color="000000"/>
              <w:bottom w:val="single" w:sz="4" w:space="0" w:color="000000"/>
              <w:right w:val="single" w:sz="4" w:space="0" w:color="000000"/>
            </w:tcBorders>
            <w:hideMark/>
          </w:tcPr>
          <w:p w14:paraId="077B7A55" w14:textId="77777777" w:rsidR="00E575A9" w:rsidRPr="00E575A9" w:rsidRDefault="00E575A9" w:rsidP="002D3416">
            <w:pPr>
              <w:ind w:left="142"/>
              <w:rPr>
                <w:sz w:val="24"/>
                <w:szCs w:val="24"/>
                <w:lang w:val="en-US"/>
              </w:rPr>
            </w:pPr>
            <w:r w:rsidRPr="00E575A9">
              <w:rPr>
                <w:sz w:val="24"/>
                <w:szCs w:val="24"/>
                <w:lang w:val="en-US"/>
              </w:rPr>
              <w:t>Recommended starting dose</w:t>
            </w:r>
          </w:p>
        </w:tc>
        <w:tc>
          <w:tcPr>
            <w:tcW w:w="1086" w:type="pct"/>
            <w:tcBorders>
              <w:top w:val="single" w:sz="4" w:space="0" w:color="000000"/>
              <w:left w:val="single" w:sz="4" w:space="0" w:color="000000"/>
              <w:bottom w:val="single" w:sz="4" w:space="0" w:color="000000"/>
              <w:right w:val="single" w:sz="4" w:space="0" w:color="000000"/>
            </w:tcBorders>
            <w:hideMark/>
          </w:tcPr>
          <w:p w14:paraId="2710C14F" w14:textId="77777777" w:rsidR="00E575A9" w:rsidRPr="00E575A9" w:rsidRDefault="00E575A9" w:rsidP="002D3416">
            <w:pPr>
              <w:ind w:left="142"/>
              <w:rPr>
                <w:sz w:val="24"/>
                <w:szCs w:val="24"/>
                <w:lang w:val="en-US"/>
              </w:rPr>
            </w:pPr>
            <w:r w:rsidRPr="00E575A9">
              <w:rPr>
                <w:sz w:val="24"/>
                <w:szCs w:val="24"/>
                <w:lang w:val="en-US"/>
              </w:rPr>
              <w:t>2 mg/day</w:t>
            </w:r>
          </w:p>
        </w:tc>
        <w:tc>
          <w:tcPr>
            <w:tcW w:w="974" w:type="pct"/>
            <w:tcBorders>
              <w:top w:val="single" w:sz="4" w:space="0" w:color="000000"/>
              <w:left w:val="single" w:sz="4" w:space="0" w:color="000000"/>
              <w:bottom w:val="single" w:sz="4" w:space="0" w:color="000000"/>
              <w:right w:val="single" w:sz="4" w:space="0" w:color="000000"/>
            </w:tcBorders>
            <w:hideMark/>
          </w:tcPr>
          <w:p w14:paraId="48D4B08A" w14:textId="77777777" w:rsidR="00E575A9" w:rsidRPr="00E575A9" w:rsidRDefault="00E575A9" w:rsidP="002D3416">
            <w:pPr>
              <w:ind w:left="142"/>
              <w:rPr>
                <w:sz w:val="24"/>
                <w:szCs w:val="24"/>
                <w:lang w:val="en-US"/>
              </w:rPr>
            </w:pPr>
            <w:r w:rsidRPr="00E575A9">
              <w:rPr>
                <w:sz w:val="24"/>
                <w:szCs w:val="24"/>
                <w:lang w:val="en-US"/>
              </w:rPr>
              <w:t>2 mg/day</w:t>
            </w:r>
          </w:p>
        </w:tc>
        <w:tc>
          <w:tcPr>
            <w:tcW w:w="974" w:type="pct"/>
            <w:tcBorders>
              <w:top w:val="single" w:sz="4" w:space="0" w:color="000000"/>
              <w:left w:val="single" w:sz="4" w:space="0" w:color="000000"/>
              <w:bottom w:val="single" w:sz="4" w:space="0" w:color="000000"/>
              <w:right w:val="single" w:sz="4" w:space="0" w:color="000000"/>
            </w:tcBorders>
            <w:hideMark/>
          </w:tcPr>
          <w:p w14:paraId="22858ADB" w14:textId="77777777" w:rsidR="00E575A9" w:rsidRPr="00E575A9" w:rsidRDefault="00E575A9" w:rsidP="002D3416">
            <w:pPr>
              <w:ind w:left="142"/>
              <w:rPr>
                <w:sz w:val="24"/>
                <w:szCs w:val="24"/>
                <w:lang w:val="en-US"/>
              </w:rPr>
            </w:pPr>
            <w:r w:rsidRPr="00E575A9">
              <w:rPr>
                <w:sz w:val="24"/>
                <w:szCs w:val="24"/>
                <w:lang w:val="en-US"/>
              </w:rPr>
              <w:t>1 mg/day</w:t>
            </w:r>
          </w:p>
        </w:tc>
        <w:tc>
          <w:tcPr>
            <w:tcW w:w="866" w:type="pct"/>
            <w:tcBorders>
              <w:top w:val="single" w:sz="4" w:space="0" w:color="000000"/>
              <w:left w:val="single" w:sz="4" w:space="0" w:color="000000"/>
              <w:bottom w:val="single" w:sz="4" w:space="0" w:color="000000"/>
              <w:right w:val="single" w:sz="4" w:space="0" w:color="000000"/>
            </w:tcBorders>
            <w:hideMark/>
          </w:tcPr>
          <w:p w14:paraId="782CBC89" w14:textId="77777777" w:rsidR="00E575A9" w:rsidRPr="00E575A9" w:rsidRDefault="00E575A9" w:rsidP="002D3416">
            <w:pPr>
              <w:ind w:left="142"/>
              <w:rPr>
                <w:sz w:val="24"/>
                <w:szCs w:val="24"/>
                <w:lang w:val="en-US"/>
              </w:rPr>
            </w:pPr>
            <w:r w:rsidRPr="00E575A9">
              <w:rPr>
                <w:sz w:val="24"/>
                <w:szCs w:val="24"/>
                <w:lang w:val="en-US"/>
              </w:rPr>
              <w:t>1 mg/day</w:t>
            </w:r>
          </w:p>
        </w:tc>
      </w:tr>
      <w:tr w:rsidR="00E575A9" w:rsidRPr="006F220B" w14:paraId="4E9DE305" w14:textId="77777777" w:rsidTr="002D3416">
        <w:trPr>
          <w:trHeight w:val="20"/>
        </w:trPr>
        <w:tc>
          <w:tcPr>
            <w:tcW w:w="1099" w:type="pct"/>
            <w:tcBorders>
              <w:top w:val="single" w:sz="4" w:space="0" w:color="000000"/>
              <w:left w:val="single" w:sz="4" w:space="0" w:color="000000"/>
              <w:bottom w:val="single" w:sz="4" w:space="0" w:color="000000"/>
              <w:right w:val="single" w:sz="4" w:space="0" w:color="000000"/>
            </w:tcBorders>
          </w:tcPr>
          <w:p w14:paraId="15DD0EA3" w14:textId="77777777" w:rsidR="00E575A9" w:rsidRPr="00E575A9" w:rsidRDefault="00E575A9" w:rsidP="002D3416">
            <w:pPr>
              <w:ind w:left="142"/>
              <w:rPr>
                <w:sz w:val="24"/>
                <w:szCs w:val="24"/>
                <w:lang w:val="en-US"/>
              </w:rPr>
            </w:pPr>
          </w:p>
          <w:p w14:paraId="5C8750D7" w14:textId="77777777" w:rsidR="00E575A9" w:rsidRPr="00E575A9" w:rsidRDefault="00E575A9" w:rsidP="002D3416">
            <w:pPr>
              <w:ind w:left="142"/>
              <w:rPr>
                <w:sz w:val="24"/>
                <w:szCs w:val="24"/>
                <w:lang w:val="en-US"/>
              </w:rPr>
            </w:pPr>
            <w:r w:rsidRPr="00E575A9">
              <w:rPr>
                <w:sz w:val="24"/>
                <w:szCs w:val="24"/>
                <w:lang w:val="en-US"/>
              </w:rPr>
              <w:t>Titration (incremental steps)</w:t>
            </w:r>
          </w:p>
        </w:tc>
        <w:tc>
          <w:tcPr>
            <w:tcW w:w="1086" w:type="pct"/>
            <w:tcBorders>
              <w:top w:val="single" w:sz="4" w:space="0" w:color="000000"/>
              <w:left w:val="single" w:sz="4" w:space="0" w:color="000000"/>
              <w:bottom w:val="single" w:sz="4" w:space="0" w:color="000000"/>
              <w:right w:val="single" w:sz="4" w:space="0" w:color="000000"/>
            </w:tcBorders>
            <w:hideMark/>
          </w:tcPr>
          <w:p w14:paraId="4E3528D6" w14:textId="77777777" w:rsidR="00E575A9" w:rsidRPr="00E575A9" w:rsidRDefault="00E575A9" w:rsidP="002D3416">
            <w:pPr>
              <w:ind w:left="142"/>
              <w:rPr>
                <w:sz w:val="24"/>
                <w:szCs w:val="24"/>
                <w:lang w:val="en-US"/>
              </w:rPr>
            </w:pPr>
            <w:r w:rsidRPr="00E575A9">
              <w:rPr>
                <w:sz w:val="24"/>
                <w:szCs w:val="24"/>
                <w:lang w:val="en-US"/>
              </w:rPr>
              <w:t>2 mg/day</w:t>
            </w:r>
          </w:p>
          <w:p w14:paraId="686C86B0" w14:textId="77777777" w:rsidR="00E575A9" w:rsidRPr="00E575A9" w:rsidRDefault="00E575A9" w:rsidP="002D3416">
            <w:pPr>
              <w:ind w:left="142"/>
              <w:rPr>
                <w:sz w:val="24"/>
                <w:szCs w:val="24"/>
                <w:lang w:val="en-US"/>
              </w:rPr>
            </w:pPr>
            <w:r w:rsidRPr="00E575A9">
              <w:rPr>
                <w:sz w:val="24"/>
                <w:szCs w:val="24"/>
                <w:lang w:val="en-US"/>
              </w:rPr>
              <w:t>(no more frequently than weekly intervals)</w:t>
            </w:r>
          </w:p>
        </w:tc>
        <w:tc>
          <w:tcPr>
            <w:tcW w:w="974" w:type="pct"/>
            <w:tcBorders>
              <w:top w:val="single" w:sz="4" w:space="0" w:color="000000"/>
              <w:left w:val="single" w:sz="4" w:space="0" w:color="000000"/>
              <w:bottom w:val="single" w:sz="4" w:space="0" w:color="000000"/>
              <w:right w:val="single" w:sz="4" w:space="0" w:color="000000"/>
            </w:tcBorders>
            <w:hideMark/>
          </w:tcPr>
          <w:p w14:paraId="2677EBD3" w14:textId="77777777" w:rsidR="00E575A9" w:rsidRPr="00E575A9" w:rsidRDefault="00E575A9" w:rsidP="002D3416">
            <w:pPr>
              <w:ind w:left="142"/>
              <w:rPr>
                <w:sz w:val="24"/>
                <w:szCs w:val="24"/>
                <w:lang w:val="en-US"/>
              </w:rPr>
            </w:pPr>
            <w:r w:rsidRPr="00E575A9">
              <w:rPr>
                <w:sz w:val="24"/>
                <w:szCs w:val="24"/>
                <w:lang w:val="en-US"/>
              </w:rPr>
              <w:t>2 mg/day (no more</w:t>
            </w:r>
          </w:p>
          <w:p w14:paraId="619EC7FB" w14:textId="77777777" w:rsidR="00E575A9" w:rsidRPr="00E575A9" w:rsidRDefault="00E575A9" w:rsidP="002D3416">
            <w:pPr>
              <w:ind w:left="142"/>
              <w:rPr>
                <w:sz w:val="24"/>
                <w:szCs w:val="24"/>
                <w:lang w:val="en-US"/>
              </w:rPr>
            </w:pPr>
            <w:r w:rsidRPr="00E575A9">
              <w:rPr>
                <w:sz w:val="24"/>
                <w:szCs w:val="24"/>
                <w:lang w:val="en-US"/>
              </w:rPr>
              <w:t>frequently than weekly intervals)</w:t>
            </w:r>
          </w:p>
        </w:tc>
        <w:tc>
          <w:tcPr>
            <w:tcW w:w="974" w:type="pct"/>
            <w:tcBorders>
              <w:top w:val="single" w:sz="4" w:space="0" w:color="000000"/>
              <w:left w:val="single" w:sz="4" w:space="0" w:color="000000"/>
              <w:bottom w:val="single" w:sz="4" w:space="0" w:color="000000"/>
              <w:right w:val="single" w:sz="4" w:space="0" w:color="000000"/>
            </w:tcBorders>
            <w:hideMark/>
          </w:tcPr>
          <w:p w14:paraId="236AC938" w14:textId="77777777" w:rsidR="00E575A9" w:rsidRPr="00E575A9" w:rsidRDefault="00E575A9" w:rsidP="002D3416">
            <w:pPr>
              <w:ind w:left="142"/>
              <w:rPr>
                <w:sz w:val="24"/>
                <w:szCs w:val="24"/>
                <w:lang w:val="en-US"/>
              </w:rPr>
            </w:pPr>
            <w:r w:rsidRPr="00E575A9">
              <w:rPr>
                <w:sz w:val="24"/>
                <w:szCs w:val="24"/>
                <w:lang w:val="en-US"/>
              </w:rPr>
              <w:t>1 mg/day (no more</w:t>
            </w:r>
          </w:p>
          <w:p w14:paraId="52B6256F" w14:textId="77777777" w:rsidR="00E575A9" w:rsidRPr="00E575A9" w:rsidRDefault="00E575A9" w:rsidP="002D3416">
            <w:pPr>
              <w:ind w:left="142"/>
              <w:rPr>
                <w:sz w:val="24"/>
                <w:szCs w:val="24"/>
                <w:lang w:val="en-US"/>
              </w:rPr>
            </w:pPr>
            <w:r w:rsidRPr="00E575A9">
              <w:rPr>
                <w:sz w:val="24"/>
                <w:szCs w:val="24"/>
                <w:lang w:val="en-US"/>
              </w:rPr>
              <w:t>frequently than weekly intervals)</w:t>
            </w:r>
          </w:p>
        </w:tc>
        <w:tc>
          <w:tcPr>
            <w:tcW w:w="866" w:type="pct"/>
            <w:tcBorders>
              <w:top w:val="single" w:sz="4" w:space="0" w:color="000000"/>
              <w:left w:val="single" w:sz="4" w:space="0" w:color="000000"/>
              <w:bottom w:val="single" w:sz="4" w:space="0" w:color="000000"/>
              <w:right w:val="single" w:sz="4" w:space="0" w:color="000000"/>
            </w:tcBorders>
            <w:hideMark/>
          </w:tcPr>
          <w:p w14:paraId="30C70717" w14:textId="77777777" w:rsidR="00E575A9" w:rsidRPr="00E575A9" w:rsidRDefault="00E575A9" w:rsidP="002D3416">
            <w:pPr>
              <w:ind w:left="142"/>
              <w:rPr>
                <w:sz w:val="24"/>
                <w:szCs w:val="24"/>
                <w:lang w:val="en-US"/>
              </w:rPr>
            </w:pPr>
            <w:r w:rsidRPr="00E575A9">
              <w:rPr>
                <w:sz w:val="24"/>
                <w:szCs w:val="24"/>
                <w:lang w:val="en-US"/>
              </w:rPr>
              <w:t>1 mg/day (no more</w:t>
            </w:r>
          </w:p>
          <w:p w14:paraId="5E67C92E" w14:textId="77777777" w:rsidR="00E575A9" w:rsidRPr="00E575A9" w:rsidRDefault="00E575A9" w:rsidP="002D3416">
            <w:pPr>
              <w:ind w:left="142"/>
              <w:rPr>
                <w:sz w:val="24"/>
                <w:szCs w:val="24"/>
                <w:lang w:val="en-US"/>
              </w:rPr>
            </w:pPr>
            <w:r w:rsidRPr="00E575A9">
              <w:rPr>
                <w:sz w:val="24"/>
                <w:szCs w:val="24"/>
                <w:lang w:val="en-US"/>
              </w:rPr>
              <w:t>frequently than weekly intervals)</w:t>
            </w:r>
          </w:p>
        </w:tc>
      </w:tr>
      <w:tr w:rsidR="00E575A9" w:rsidRPr="00E575A9" w14:paraId="6A69F1E3" w14:textId="77777777" w:rsidTr="002D3416">
        <w:trPr>
          <w:trHeight w:val="20"/>
        </w:trPr>
        <w:tc>
          <w:tcPr>
            <w:tcW w:w="1099" w:type="pct"/>
            <w:tcBorders>
              <w:top w:val="single" w:sz="4" w:space="0" w:color="000000"/>
              <w:left w:val="single" w:sz="4" w:space="0" w:color="000000"/>
              <w:bottom w:val="single" w:sz="4" w:space="0" w:color="000000"/>
              <w:right w:val="single" w:sz="4" w:space="0" w:color="000000"/>
            </w:tcBorders>
            <w:hideMark/>
          </w:tcPr>
          <w:p w14:paraId="1A1B1395" w14:textId="77777777" w:rsidR="00E575A9" w:rsidRPr="00E575A9" w:rsidRDefault="00E575A9" w:rsidP="002D3416">
            <w:pPr>
              <w:ind w:left="142"/>
              <w:rPr>
                <w:sz w:val="24"/>
                <w:szCs w:val="24"/>
                <w:lang w:val="en-US"/>
              </w:rPr>
            </w:pPr>
            <w:r w:rsidRPr="00E575A9">
              <w:rPr>
                <w:sz w:val="24"/>
                <w:szCs w:val="24"/>
                <w:lang w:val="en-US"/>
              </w:rPr>
              <w:t>Recommended maintenance dose</w:t>
            </w:r>
          </w:p>
        </w:tc>
        <w:tc>
          <w:tcPr>
            <w:tcW w:w="1086" w:type="pct"/>
            <w:tcBorders>
              <w:top w:val="single" w:sz="4" w:space="0" w:color="000000"/>
              <w:left w:val="single" w:sz="4" w:space="0" w:color="000000"/>
              <w:bottom w:val="single" w:sz="4" w:space="0" w:color="000000"/>
              <w:right w:val="single" w:sz="4" w:space="0" w:color="000000"/>
            </w:tcBorders>
            <w:hideMark/>
          </w:tcPr>
          <w:p w14:paraId="1BCAE9A9" w14:textId="77777777" w:rsidR="00E575A9" w:rsidRPr="00E575A9" w:rsidRDefault="00E575A9" w:rsidP="002D3416">
            <w:pPr>
              <w:ind w:left="142"/>
              <w:rPr>
                <w:sz w:val="24"/>
                <w:szCs w:val="24"/>
                <w:lang w:val="en-US"/>
              </w:rPr>
            </w:pPr>
            <w:r w:rsidRPr="00E575A9">
              <w:rPr>
                <w:sz w:val="24"/>
                <w:szCs w:val="24"/>
                <w:lang w:val="en-US"/>
              </w:rPr>
              <w:t>Up to 8 mg/day</w:t>
            </w:r>
          </w:p>
        </w:tc>
        <w:tc>
          <w:tcPr>
            <w:tcW w:w="974" w:type="pct"/>
            <w:tcBorders>
              <w:top w:val="single" w:sz="4" w:space="0" w:color="000000"/>
              <w:left w:val="single" w:sz="4" w:space="0" w:color="000000"/>
              <w:bottom w:val="single" w:sz="4" w:space="0" w:color="000000"/>
              <w:right w:val="single" w:sz="4" w:space="0" w:color="000000"/>
            </w:tcBorders>
            <w:hideMark/>
          </w:tcPr>
          <w:p w14:paraId="5272CA84" w14:textId="77777777" w:rsidR="00E575A9" w:rsidRPr="00E575A9" w:rsidRDefault="00E575A9" w:rsidP="002D3416">
            <w:pPr>
              <w:ind w:left="142"/>
              <w:rPr>
                <w:sz w:val="24"/>
                <w:szCs w:val="24"/>
                <w:lang w:val="en-US"/>
              </w:rPr>
            </w:pPr>
            <w:r w:rsidRPr="00E575A9">
              <w:rPr>
                <w:sz w:val="24"/>
                <w:szCs w:val="24"/>
                <w:lang w:val="en-US"/>
              </w:rPr>
              <w:t>4 – 8 mg/day</w:t>
            </w:r>
          </w:p>
        </w:tc>
        <w:tc>
          <w:tcPr>
            <w:tcW w:w="974" w:type="pct"/>
            <w:tcBorders>
              <w:top w:val="single" w:sz="4" w:space="0" w:color="000000"/>
              <w:left w:val="single" w:sz="4" w:space="0" w:color="000000"/>
              <w:bottom w:val="single" w:sz="4" w:space="0" w:color="000000"/>
              <w:right w:val="single" w:sz="4" w:space="0" w:color="000000"/>
            </w:tcBorders>
            <w:hideMark/>
          </w:tcPr>
          <w:p w14:paraId="18D006CB" w14:textId="77777777" w:rsidR="00E575A9" w:rsidRPr="00E575A9" w:rsidRDefault="00E575A9" w:rsidP="002D3416">
            <w:pPr>
              <w:ind w:left="142"/>
              <w:rPr>
                <w:sz w:val="24"/>
                <w:szCs w:val="24"/>
                <w:lang w:val="en-US"/>
              </w:rPr>
            </w:pPr>
            <w:r w:rsidRPr="00E575A9">
              <w:rPr>
                <w:sz w:val="24"/>
                <w:szCs w:val="24"/>
                <w:lang w:val="en-US"/>
              </w:rPr>
              <w:t>4 – 6 mg/day</w:t>
            </w:r>
          </w:p>
        </w:tc>
        <w:tc>
          <w:tcPr>
            <w:tcW w:w="866" w:type="pct"/>
            <w:tcBorders>
              <w:top w:val="single" w:sz="4" w:space="0" w:color="000000"/>
              <w:left w:val="single" w:sz="4" w:space="0" w:color="000000"/>
              <w:bottom w:val="single" w:sz="4" w:space="0" w:color="000000"/>
              <w:right w:val="single" w:sz="4" w:space="0" w:color="000000"/>
            </w:tcBorders>
            <w:hideMark/>
          </w:tcPr>
          <w:p w14:paraId="7FA14F3E" w14:textId="77777777" w:rsidR="00E575A9" w:rsidRPr="00E575A9" w:rsidRDefault="00E575A9" w:rsidP="002D3416">
            <w:pPr>
              <w:ind w:left="142"/>
              <w:rPr>
                <w:sz w:val="24"/>
                <w:szCs w:val="24"/>
                <w:lang w:val="en-US"/>
              </w:rPr>
            </w:pPr>
            <w:r w:rsidRPr="00E575A9">
              <w:rPr>
                <w:sz w:val="24"/>
                <w:szCs w:val="24"/>
                <w:lang w:val="en-US"/>
              </w:rPr>
              <w:t>2 – 4 mg/day</w:t>
            </w:r>
          </w:p>
        </w:tc>
      </w:tr>
      <w:tr w:rsidR="00E575A9" w:rsidRPr="006F220B" w14:paraId="3D5B4D72" w14:textId="77777777" w:rsidTr="002D3416">
        <w:trPr>
          <w:trHeight w:val="20"/>
        </w:trPr>
        <w:tc>
          <w:tcPr>
            <w:tcW w:w="1099" w:type="pct"/>
            <w:tcBorders>
              <w:top w:val="single" w:sz="4" w:space="0" w:color="000000"/>
              <w:left w:val="single" w:sz="4" w:space="0" w:color="000000"/>
              <w:bottom w:val="single" w:sz="4" w:space="0" w:color="000000"/>
              <w:right w:val="single" w:sz="4" w:space="0" w:color="000000"/>
            </w:tcBorders>
          </w:tcPr>
          <w:p w14:paraId="7D716EBF" w14:textId="77777777" w:rsidR="00E575A9" w:rsidRPr="00E575A9" w:rsidRDefault="00E575A9" w:rsidP="002D3416">
            <w:pPr>
              <w:ind w:left="142"/>
              <w:rPr>
                <w:sz w:val="24"/>
                <w:szCs w:val="24"/>
                <w:lang w:val="en-US"/>
              </w:rPr>
            </w:pPr>
          </w:p>
          <w:p w14:paraId="03B29B10" w14:textId="77777777" w:rsidR="00E575A9" w:rsidRPr="00E575A9" w:rsidRDefault="00E575A9" w:rsidP="002D3416">
            <w:pPr>
              <w:ind w:left="142"/>
              <w:rPr>
                <w:sz w:val="24"/>
                <w:szCs w:val="24"/>
                <w:lang w:val="en-US"/>
              </w:rPr>
            </w:pPr>
            <w:r w:rsidRPr="00E575A9">
              <w:rPr>
                <w:sz w:val="24"/>
                <w:szCs w:val="24"/>
                <w:lang w:val="en-US"/>
              </w:rPr>
              <w:t>Titration (incremental steps)</w:t>
            </w:r>
          </w:p>
        </w:tc>
        <w:tc>
          <w:tcPr>
            <w:tcW w:w="1086" w:type="pct"/>
            <w:tcBorders>
              <w:top w:val="single" w:sz="4" w:space="0" w:color="000000"/>
              <w:left w:val="single" w:sz="4" w:space="0" w:color="000000"/>
              <w:bottom w:val="single" w:sz="4" w:space="0" w:color="000000"/>
              <w:right w:val="single" w:sz="4" w:space="0" w:color="000000"/>
            </w:tcBorders>
            <w:hideMark/>
          </w:tcPr>
          <w:p w14:paraId="75F36A15" w14:textId="77777777" w:rsidR="00E575A9" w:rsidRPr="00E575A9" w:rsidRDefault="00E575A9" w:rsidP="002D3416">
            <w:pPr>
              <w:ind w:left="142"/>
              <w:rPr>
                <w:sz w:val="24"/>
                <w:szCs w:val="24"/>
                <w:lang w:val="en-US"/>
              </w:rPr>
            </w:pPr>
            <w:r w:rsidRPr="00E575A9">
              <w:rPr>
                <w:sz w:val="24"/>
                <w:szCs w:val="24"/>
                <w:lang w:val="en-US"/>
              </w:rPr>
              <w:t>2 mg/day</w:t>
            </w:r>
          </w:p>
          <w:p w14:paraId="1639AD74" w14:textId="77777777" w:rsidR="00E575A9" w:rsidRPr="00E575A9" w:rsidRDefault="00E575A9" w:rsidP="002D3416">
            <w:pPr>
              <w:ind w:left="142"/>
              <w:rPr>
                <w:sz w:val="24"/>
                <w:szCs w:val="24"/>
                <w:lang w:val="en-US"/>
              </w:rPr>
            </w:pPr>
            <w:r w:rsidRPr="00E575A9">
              <w:rPr>
                <w:sz w:val="24"/>
                <w:szCs w:val="24"/>
                <w:lang w:val="en-US"/>
              </w:rPr>
              <w:t>(no more frequently than weekly intervals)</w:t>
            </w:r>
          </w:p>
        </w:tc>
        <w:tc>
          <w:tcPr>
            <w:tcW w:w="974" w:type="pct"/>
            <w:tcBorders>
              <w:top w:val="single" w:sz="4" w:space="0" w:color="000000"/>
              <w:left w:val="single" w:sz="4" w:space="0" w:color="000000"/>
              <w:bottom w:val="single" w:sz="4" w:space="0" w:color="000000"/>
              <w:right w:val="single" w:sz="4" w:space="0" w:color="000000"/>
            </w:tcBorders>
            <w:hideMark/>
          </w:tcPr>
          <w:p w14:paraId="3DBFFE80" w14:textId="77777777" w:rsidR="00E575A9" w:rsidRPr="00E575A9" w:rsidRDefault="00E575A9" w:rsidP="002D3416">
            <w:pPr>
              <w:ind w:left="142"/>
              <w:rPr>
                <w:sz w:val="24"/>
                <w:szCs w:val="24"/>
                <w:lang w:val="en-US"/>
              </w:rPr>
            </w:pPr>
            <w:r w:rsidRPr="00E575A9">
              <w:rPr>
                <w:sz w:val="24"/>
                <w:szCs w:val="24"/>
                <w:lang w:val="en-US"/>
              </w:rPr>
              <w:t>2 mg/day (no more</w:t>
            </w:r>
          </w:p>
          <w:p w14:paraId="099359A8" w14:textId="77777777" w:rsidR="00E575A9" w:rsidRPr="00E575A9" w:rsidRDefault="00E575A9" w:rsidP="002D3416">
            <w:pPr>
              <w:ind w:left="142"/>
              <w:rPr>
                <w:sz w:val="24"/>
                <w:szCs w:val="24"/>
                <w:lang w:val="en-US"/>
              </w:rPr>
            </w:pPr>
            <w:r w:rsidRPr="00E575A9">
              <w:rPr>
                <w:sz w:val="24"/>
                <w:szCs w:val="24"/>
                <w:lang w:val="en-US"/>
              </w:rPr>
              <w:t>frequently than weekly intervals)</w:t>
            </w:r>
          </w:p>
        </w:tc>
        <w:tc>
          <w:tcPr>
            <w:tcW w:w="974" w:type="pct"/>
            <w:tcBorders>
              <w:top w:val="single" w:sz="4" w:space="0" w:color="000000"/>
              <w:left w:val="single" w:sz="4" w:space="0" w:color="000000"/>
              <w:bottom w:val="single" w:sz="4" w:space="0" w:color="000000"/>
              <w:right w:val="single" w:sz="4" w:space="0" w:color="000000"/>
            </w:tcBorders>
            <w:hideMark/>
          </w:tcPr>
          <w:p w14:paraId="74E33DBF" w14:textId="77777777" w:rsidR="00E575A9" w:rsidRPr="00E575A9" w:rsidRDefault="00E575A9" w:rsidP="002D3416">
            <w:pPr>
              <w:ind w:left="142"/>
              <w:rPr>
                <w:sz w:val="24"/>
                <w:szCs w:val="24"/>
                <w:lang w:val="en-US"/>
              </w:rPr>
            </w:pPr>
            <w:r w:rsidRPr="00E575A9">
              <w:rPr>
                <w:sz w:val="24"/>
                <w:szCs w:val="24"/>
                <w:lang w:val="en-US"/>
              </w:rPr>
              <w:t>1 mg/day (no more</w:t>
            </w:r>
          </w:p>
          <w:p w14:paraId="4CC4BFAC" w14:textId="77777777" w:rsidR="00E575A9" w:rsidRPr="00E575A9" w:rsidRDefault="00E575A9" w:rsidP="002D3416">
            <w:pPr>
              <w:ind w:left="142"/>
              <w:rPr>
                <w:sz w:val="24"/>
                <w:szCs w:val="24"/>
                <w:lang w:val="en-US"/>
              </w:rPr>
            </w:pPr>
            <w:r w:rsidRPr="00E575A9">
              <w:rPr>
                <w:sz w:val="24"/>
                <w:szCs w:val="24"/>
                <w:lang w:val="en-US"/>
              </w:rPr>
              <w:t>frequently than weekly intervals)</w:t>
            </w:r>
          </w:p>
        </w:tc>
        <w:tc>
          <w:tcPr>
            <w:tcW w:w="866" w:type="pct"/>
            <w:tcBorders>
              <w:top w:val="single" w:sz="4" w:space="0" w:color="000000"/>
              <w:left w:val="single" w:sz="4" w:space="0" w:color="000000"/>
              <w:bottom w:val="single" w:sz="4" w:space="0" w:color="000000"/>
              <w:right w:val="single" w:sz="4" w:space="0" w:color="000000"/>
            </w:tcBorders>
            <w:hideMark/>
          </w:tcPr>
          <w:p w14:paraId="32FA09EB" w14:textId="77777777" w:rsidR="00E575A9" w:rsidRPr="00E575A9" w:rsidRDefault="00E575A9" w:rsidP="002D3416">
            <w:pPr>
              <w:ind w:left="142"/>
              <w:rPr>
                <w:sz w:val="24"/>
                <w:szCs w:val="24"/>
                <w:lang w:val="en-US"/>
              </w:rPr>
            </w:pPr>
            <w:r w:rsidRPr="00E575A9">
              <w:rPr>
                <w:sz w:val="24"/>
                <w:szCs w:val="24"/>
                <w:lang w:val="en-US"/>
              </w:rPr>
              <w:t>0.5 mg/day (no more frequently than weekly intervals)</w:t>
            </w:r>
          </w:p>
        </w:tc>
      </w:tr>
      <w:tr w:rsidR="00E575A9" w:rsidRPr="00E575A9" w14:paraId="5FA5CB35" w14:textId="77777777" w:rsidTr="002D3416">
        <w:trPr>
          <w:trHeight w:val="20"/>
        </w:trPr>
        <w:tc>
          <w:tcPr>
            <w:tcW w:w="1099" w:type="pct"/>
            <w:tcBorders>
              <w:top w:val="single" w:sz="4" w:space="0" w:color="000000"/>
              <w:left w:val="single" w:sz="4" w:space="0" w:color="000000"/>
              <w:bottom w:val="single" w:sz="4" w:space="0" w:color="000000"/>
              <w:right w:val="single" w:sz="4" w:space="0" w:color="000000"/>
            </w:tcBorders>
            <w:hideMark/>
          </w:tcPr>
          <w:p w14:paraId="72B6D66B" w14:textId="77777777" w:rsidR="00E575A9" w:rsidRPr="00E575A9" w:rsidRDefault="00E575A9" w:rsidP="002D3416">
            <w:pPr>
              <w:ind w:left="142"/>
              <w:rPr>
                <w:sz w:val="24"/>
                <w:szCs w:val="24"/>
                <w:lang w:val="en-US"/>
              </w:rPr>
            </w:pPr>
            <w:r w:rsidRPr="00E575A9">
              <w:rPr>
                <w:sz w:val="24"/>
                <w:szCs w:val="24"/>
                <w:lang w:val="en-US"/>
              </w:rPr>
              <w:t>Recommended maximum dose</w:t>
            </w:r>
          </w:p>
        </w:tc>
        <w:tc>
          <w:tcPr>
            <w:tcW w:w="1086" w:type="pct"/>
            <w:tcBorders>
              <w:top w:val="single" w:sz="4" w:space="0" w:color="000000"/>
              <w:left w:val="single" w:sz="4" w:space="0" w:color="000000"/>
              <w:bottom w:val="single" w:sz="4" w:space="0" w:color="000000"/>
              <w:right w:val="single" w:sz="4" w:space="0" w:color="000000"/>
            </w:tcBorders>
            <w:hideMark/>
          </w:tcPr>
          <w:p w14:paraId="6B4CB610" w14:textId="77777777" w:rsidR="00E575A9" w:rsidRPr="00E575A9" w:rsidRDefault="00E575A9" w:rsidP="002D3416">
            <w:pPr>
              <w:ind w:left="142"/>
              <w:rPr>
                <w:sz w:val="24"/>
                <w:szCs w:val="24"/>
                <w:lang w:val="en-US"/>
              </w:rPr>
            </w:pPr>
            <w:r w:rsidRPr="00E575A9">
              <w:rPr>
                <w:sz w:val="24"/>
                <w:szCs w:val="24"/>
                <w:lang w:val="en-US"/>
              </w:rPr>
              <w:t>12 mg/day</w:t>
            </w:r>
          </w:p>
        </w:tc>
        <w:tc>
          <w:tcPr>
            <w:tcW w:w="974" w:type="pct"/>
            <w:tcBorders>
              <w:top w:val="single" w:sz="4" w:space="0" w:color="000000"/>
              <w:left w:val="single" w:sz="4" w:space="0" w:color="000000"/>
              <w:bottom w:val="single" w:sz="4" w:space="0" w:color="000000"/>
              <w:right w:val="single" w:sz="4" w:space="0" w:color="000000"/>
            </w:tcBorders>
            <w:hideMark/>
          </w:tcPr>
          <w:p w14:paraId="78F172EE" w14:textId="77777777" w:rsidR="00E575A9" w:rsidRPr="00E575A9" w:rsidRDefault="00E575A9" w:rsidP="002D3416">
            <w:pPr>
              <w:ind w:left="142"/>
              <w:rPr>
                <w:sz w:val="24"/>
                <w:szCs w:val="24"/>
                <w:lang w:val="en-US"/>
              </w:rPr>
            </w:pPr>
            <w:r w:rsidRPr="00E575A9">
              <w:rPr>
                <w:sz w:val="24"/>
                <w:szCs w:val="24"/>
                <w:lang w:val="en-US"/>
              </w:rPr>
              <w:t>12 mg/day</w:t>
            </w:r>
          </w:p>
        </w:tc>
        <w:tc>
          <w:tcPr>
            <w:tcW w:w="974" w:type="pct"/>
            <w:tcBorders>
              <w:top w:val="single" w:sz="4" w:space="0" w:color="000000"/>
              <w:left w:val="single" w:sz="4" w:space="0" w:color="000000"/>
              <w:bottom w:val="single" w:sz="4" w:space="0" w:color="000000"/>
              <w:right w:val="single" w:sz="4" w:space="0" w:color="000000"/>
            </w:tcBorders>
            <w:hideMark/>
          </w:tcPr>
          <w:p w14:paraId="61D2FCAF" w14:textId="77777777" w:rsidR="00E575A9" w:rsidRPr="00E575A9" w:rsidRDefault="00E575A9" w:rsidP="002D3416">
            <w:pPr>
              <w:ind w:left="142"/>
              <w:rPr>
                <w:sz w:val="24"/>
                <w:szCs w:val="24"/>
                <w:lang w:val="en-US"/>
              </w:rPr>
            </w:pPr>
            <w:r w:rsidRPr="00E575A9">
              <w:rPr>
                <w:sz w:val="24"/>
                <w:szCs w:val="24"/>
                <w:lang w:val="en-US"/>
              </w:rPr>
              <w:t>8 mg/day</w:t>
            </w:r>
          </w:p>
        </w:tc>
        <w:tc>
          <w:tcPr>
            <w:tcW w:w="866" w:type="pct"/>
            <w:tcBorders>
              <w:top w:val="single" w:sz="4" w:space="0" w:color="000000"/>
              <w:left w:val="single" w:sz="4" w:space="0" w:color="000000"/>
              <w:bottom w:val="single" w:sz="4" w:space="0" w:color="000000"/>
              <w:right w:val="single" w:sz="4" w:space="0" w:color="000000"/>
            </w:tcBorders>
            <w:hideMark/>
          </w:tcPr>
          <w:p w14:paraId="7634B8E3" w14:textId="77777777" w:rsidR="00E575A9" w:rsidRPr="00E575A9" w:rsidRDefault="00E575A9" w:rsidP="002D3416">
            <w:pPr>
              <w:ind w:left="142"/>
              <w:rPr>
                <w:sz w:val="24"/>
                <w:szCs w:val="24"/>
                <w:lang w:val="en-US"/>
              </w:rPr>
            </w:pPr>
            <w:r w:rsidRPr="00E575A9">
              <w:rPr>
                <w:sz w:val="24"/>
                <w:szCs w:val="24"/>
                <w:lang w:val="en-US"/>
              </w:rPr>
              <w:t>6 mg/day</w:t>
            </w:r>
          </w:p>
        </w:tc>
      </w:tr>
    </w:tbl>
    <w:p w14:paraId="76719C13" w14:textId="77777777" w:rsidR="00E575A9" w:rsidRPr="00E575A9" w:rsidRDefault="00E575A9" w:rsidP="00E575A9">
      <w:pPr>
        <w:tabs>
          <w:tab w:val="left" w:pos="851"/>
        </w:tabs>
        <w:ind w:left="851"/>
        <w:rPr>
          <w:i/>
          <w:iCs/>
          <w:sz w:val="24"/>
          <w:szCs w:val="24"/>
          <w:lang w:val="en-IN"/>
        </w:rPr>
      </w:pPr>
    </w:p>
    <w:p w14:paraId="7F7D6D59" w14:textId="77777777" w:rsidR="00E575A9" w:rsidRPr="00032D7E" w:rsidRDefault="00E575A9" w:rsidP="002D3416">
      <w:pPr>
        <w:ind w:left="851"/>
        <w:rPr>
          <w:i/>
          <w:iCs/>
          <w:sz w:val="24"/>
          <w:szCs w:val="24"/>
          <w:lang w:val="en-IN"/>
        </w:rPr>
      </w:pPr>
      <w:r w:rsidRPr="00032D7E">
        <w:rPr>
          <w:i/>
          <w:iCs/>
          <w:sz w:val="24"/>
          <w:szCs w:val="24"/>
          <w:lang w:val="en-IN"/>
        </w:rPr>
        <w:t xml:space="preserve">Adults, adolescents age ≥ 12 years </w:t>
      </w:r>
    </w:p>
    <w:p w14:paraId="09D8F7A1" w14:textId="21345E5B" w:rsidR="00E575A9" w:rsidRPr="00032D7E" w:rsidRDefault="00E575A9" w:rsidP="002D3416">
      <w:pPr>
        <w:ind w:left="851"/>
        <w:rPr>
          <w:sz w:val="24"/>
          <w:szCs w:val="24"/>
          <w:lang w:val="en-IN"/>
        </w:rPr>
      </w:pPr>
      <w:r w:rsidRPr="00032D7E">
        <w:rPr>
          <w:sz w:val="24"/>
          <w:szCs w:val="24"/>
          <w:lang w:val="en-IN"/>
        </w:rPr>
        <w:t xml:space="preserve">Treatment with </w:t>
      </w:r>
      <w:proofErr w:type="spellStart"/>
      <w:r w:rsidR="00032D7E">
        <w:rPr>
          <w:sz w:val="24"/>
          <w:szCs w:val="24"/>
          <w:lang w:val="en-IN"/>
        </w:rPr>
        <w:t>Perampanel</w:t>
      </w:r>
      <w:proofErr w:type="spellEnd"/>
      <w:r w:rsidR="00032D7E">
        <w:rPr>
          <w:sz w:val="24"/>
          <w:szCs w:val="24"/>
          <w:lang w:val="en-IN"/>
        </w:rPr>
        <w:t xml:space="preserve"> "Vivanta Generics"</w:t>
      </w:r>
      <w:r w:rsidRPr="00032D7E">
        <w:rPr>
          <w:sz w:val="24"/>
          <w:szCs w:val="24"/>
          <w:lang w:val="en-IN"/>
        </w:rPr>
        <w:t xml:space="preserve"> should be initiated at a dose of 2 mg/day. The dose may be increased based on clinical response and tolerability by increments of 2</w:t>
      </w:r>
      <w:r w:rsidR="00032D7E">
        <w:rPr>
          <w:sz w:val="24"/>
          <w:szCs w:val="24"/>
          <w:lang w:val="en-IN"/>
        </w:rPr>
        <w:t> </w:t>
      </w:r>
      <w:r w:rsidRPr="00032D7E">
        <w:rPr>
          <w:sz w:val="24"/>
          <w:szCs w:val="24"/>
          <w:lang w:val="en-IN"/>
        </w:rPr>
        <w:t xml:space="preserve">mg (either weekly or every 2 weeks, as per half-life considerations described below) to a maintenance dose of up to 8 mg/day. Depending upon individual clinical response and tolerability at a dose of 8 mg/day, the dose may be increased up to 12 mg/day, which may be effective in some patients (see section 4.4). Patients who are taking concomitant medicinal products that do not shorten the half-life of </w:t>
      </w:r>
      <w:proofErr w:type="spellStart"/>
      <w:r w:rsidRPr="00032D7E">
        <w:rPr>
          <w:sz w:val="24"/>
          <w:szCs w:val="24"/>
          <w:lang w:val="en-IN"/>
        </w:rPr>
        <w:t>perampanel</w:t>
      </w:r>
      <w:proofErr w:type="spellEnd"/>
      <w:r w:rsidRPr="00032D7E">
        <w:rPr>
          <w:sz w:val="24"/>
          <w:szCs w:val="24"/>
          <w:lang w:val="en-IN"/>
        </w:rPr>
        <w:t xml:space="preserve"> (see section 4.5) should be titrated no more frequently than at 2-week intervals. Patients who are taking concomitant medicinal products that shorten the half-life of </w:t>
      </w:r>
      <w:proofErr w:type="spellStart"/>
      <w:r w:rsidRPr="00032D7E">
        <w:rPr>
          <w:sz w:val="24"/>
          <w:szCs w:val="24"/>
          <w:lang w:val="en-IN"/>
        </w:rPr>
        <w:t>perampanel</w:t>
      </w:r>
      <w:proofErr w:type="spellEnd"/>
      <w:r w:rsidRPr="00032D7E">
        <w:rPr>
          <w:sz w:val="24"/>
          <w:szCs w:val="24"/>
          <w:lang w:val="en-IN"/>
        </w:rPr>
        <w:t xml:space="preserve"> (see section 4.5) should be titrated no more frequently than at 1-week intervals. </w:t>
      </w:r>
    </w:p>
    <w:p w14:paraId="63A09E8C" w14:textId="77777777" w:rsidR="00E575A9" w:rsidRPr="00032D7E" w:rsidRDefault="00E575A9" w:rsidP="002D3416">
      <w:pPr>
        <w:ind w:left="851"/>
        <w:rPr>
          <w:sz w:val="24"/>
          <w:szCs w:val="24"/>
          <w:lang w:val="en-IN"/>
        </w:rPr>
      </w:pPr>
    </w:p>
    <w:p w14:paraId="23EF5081" w14:textId="77777777" w:rsidR="00E575A9" w:rsidRPr="00032D7E" w:rsidRDefault="00E575A9" w:rsidP="002D3416">
      <w:pPr>
        <w:ind w:left="851"/>
        <w:rPr>
          <w:i/>
          <w:iCs/>
          <w:sz w:val="24"/>
          <w:szCs w:val="24"/>
          <w:lang w:val="en-IN"/>
        </w:rPr>
      </w:pPr>
      <w:r w:rsidRPr="00032D7E">
        <w:rPr>
          <w:i/>
          <w:iCs/>
          <w:sz w:val="24"/>
          <w:szCs w:val="24"/>
          <w:lang w:val="en-IN"/>
        </w:rPr>
        <w:t xml:space="preserve">Children (from 7 to 11 years) weighing ≥ 30 kg </w:t>
      </w:r>
    </w:p>
    <w:p w14:paraId="2EF03111" w14:textId="3B7B941D" w:rsidR="00E575A9" w:rsidRPr="00032D7E" w:rsidRDefault="00E575A9" w:rsidP="002D3416">
      <w:pPr>
        <w:ind w:left="851"/>
        <w:rPr>
          <w:sz w:val="24"/>
          <w:szCs w:val="24"/>
          <w:lang w:val="en-IN"/>
        </w:rPr>
      </w:pPr>
      <w:r w:rsidRPr="00032D7E">
        <w:rPr>
          <w:sz w:val="24"/>
          <w:szCs w:val="24"/>
          <w:lang w:val="en-IN"/>
        </w:rPr>
        <w:t xml:space="preserve">Treatment with </w:t>
      </w:r>
      <w:proofErr w:type="spellStart"/>
      <w:r w:rsidR="00032D7E">
        <w:rPr>
          <w:sz w:val="24"/>
          <w:szCs w:val="24"/>
          <w:lang w:val="en-IN"/>
        </w:rPr>
        <w:t>Perampanel</w:t>
      </w:r>
      <w:proofErr w:type="spellEnd"/>
      <w:r w:rsidR="00032D7E">
        <w:rPr>
          <w:sz w:val="24"/>
          <w:szCs w:val="24"/>
          <w:lang w:val="en-IN"/>
        </w:rPr>
        <w:t xml:space="preserve"> "Vivanta Generics"</w:t>
      </w:r>
      <w:r w:rsidRPr="00032D7E">
        <w:rPr>
          <w:sz w:val="24"/>
          <w:szCs w:val="24"/>
          <w:lang w:val="en-IN"/>
        </w:rPr>
        <w:t xml:space="preserve"> should be initiated with a dose of 2</w:t>
      </w:r>
      <w:r w:rsidR="00032D7E">
        <w:rPr>
          <w:sz w:val="24"/>
          <w:szCs w:val="24"/>
          <w:lang w:val="en-IN"/>
        </w:rPr>
        <w:t> </w:t>
      </w:r>
      <w:r w:rsidRPr="00032D7E">
        <w:rPr>
          <w:sz w:val="24"/>
          <w:szCs w:val="24"/>
          <w:lang w:val="en-IN"/>
        </w:rPr>
        <w:t xml:space="preserve">mg/day. The dose may be increased based on clinical response and tolerability by increments of 2 mg (either weekly or every 2 weeks as per half-life considerations described below) to a maintenance dose of 4 mg/day to 8 mg/day. Depending upon individual clinical response and tolerability at a dose of 8 mg/day, the dose may be increased by increments of 2 mg/day to 12 mg/day. Patients who are taking concomitant medicinal products that do not shorten the half-life of </w:t>
      </w:r>
      <w:proofErr w:type="spellStart"/>
      <w:r w:rsidRPr="00032D7E">
        <w:rPr>
          <w:sz w:val="24"/>
          <w:szCs w:val="24"/>
          <w:lang w:val="en-IN"/>
        </w:rPr>
        <w:t>perampanel</w:t>
      </w:r>
      <w:proofErr w:type="spellEnd"/>
      <w:r w:rsidRPr="00032D7E">
        <w:rPr>
          <w:sz w:val="24"/>
          <w:szCs w:val="24"/>
          <w:lang w:val="en-IN"/>
        </w:rPr>
        <w:t xml:space="preserve"> (see section 4.5) should be titrated no more frequently than at 2-week intervals. Patients who are taking concomitant medicinal products that shorten the half-life of </w:t>
      </w:r>
      <w:proofErr w:type="spellStart"/>
      <w:r w:rsidRPr="00032D7E">
        <w:rPr>
          <w:sz w:val="24"/>
          <w:szCs w:val="24"/>
          <w:lang w:val="en-IN"/>
        </w:rPr>
        <w:t>perampanel</w:t>
      </w:r>
      <w:proofErr w:type="spellEnd"/>
      <w:r w:rsidRPr="00032D7E">
        <w:rPr>
          <w:sz w:val="24"/>
          <w:szCs w:val="24"/>
          <w:lang w:val="en-IN"/>
        </w:rPr>
        <w:t xml:space="preserve"> (see section 4.5) should be titrated no more frequently than at 1-week intervals. </w:t>
      </w:r>
    </w:p>
    <w:p w14:paraId="4F972899" w14:textId="77777777" w:rsidR="00E575A9" w:rsidRPr="00032D7E" w:rsidRDefault="00E575A9" w:rsidP="002D3416">
      <w:pPr>
        <w:ind w:left="851"/>
        <w:rPr>
          <w:sz w:val="24"/>
          <w:szCs w:val="24"/>
          <w:lang w:val="en-IN"/>
        </w:rPr>
      </w:pPr>
    </w:p>
    <w:p w14:paraId="74FD6419" w14:textId="77777777" w:rsidR="00E575A9" w:rsidRPr="00032D7E" w:rsidRDefault="00E575A9" w:rsidP="002D3416">
      <w:pPr>
        <w:ind w:left="851"/>
        <w:rPr>
          <w:i/>
          <w:iCs/>
          <w:sz w:val="24"/>
          <w:szCs w:val="24"/>
          <w:lang w:val="en-IN"/>
        </w:rPr>
      </w:pPr>
      <w:r w:rsidRPr="00032D7E">
        <w:rPr>
          <w:i/>
          <w:iCs/>
          <w:sz w:val="24"/>
          <w:szCs w:val="24"/>
          <w:lang w:val="en-IN"/>
        </w:rPr>
        <w:t xml:space="preserve">Children (from 7 to 11 years of age) weighing 20 kg and &lt; 30 kg </w:t>
      </w:r>
    </w:p>
    <w:p w14:paraId="37F61037" w14:textId="57BBAD72" w:rsidR="00E575A9" w:rsidRPr="00032D7E" w:rsidRDefault="00E575A9" w:rsidP="002D3416">
      <w:pPr>
        <w:ind w:left="851"/>
        <w:rPr>
          <w:sz w:val="24"/>
          <w:szCs w:val="24"/>
          <w:lang w:val="en-IN"/>
        </w:rPr>
      </w:pPr>
      <w:r w:rsidRPr="00032D7E">
        <w:rPr>
          <w:sz w:val="24"/>
          <w:szCs w:val="24"/>
          <w:lang w:val="en-IN"/>
        </w:rPr>
        <w:t xml:space="preserve">Treatment with </w:t>
      </w:r>
      <w:proofErr w:type="spellStart"/>
      <w:r w:rsidR="00032D7E">
        <w:rPr>
          <w:sz w:val="24"/>
          <w:szCs w:val="24"/>
          <w:lang w:val="en-IN"/>
        </w:rPr>
        <w:t>Perampanel</w:t>
      </w:r>
      <w:proofErr w:type="spellEnd"/>
      <w:r w:rsidR="00032D7E">
        <w:rPr>
          <w:sz w:val="24"/>
          <w:szCs w:val="24"/>
          <w:lang w:val="en-IN"/>
        </w:rPr>
        <w:t xml:space="preserve"> "Vivanta Generics"</w:t>
      </w:r>
      <w:r w:rsidRPr="00032D7E">
        <w:rPr>
          <w:sz w:val="24"/>
          <w:szCs w:val="24"/>
          <w:lang w:val="en-IN"/>
        </w:rPr>
        <w:t xml:space="preserve"> should be initiated with a dose of 1</w:t>
      </w:r>
      <w:r w:rsidR="00032D7E">
        <w:rPr>
          <w:sz w:val="24"/>
          <w:szCs w:val="24"/>
          <w:lang w:val="en-IN"/>
        </w:rPr>
        <w:t> </w:t>
      </w:r>
      <w:r w:rsidRPr="00032D7E">
        <w:rPr>
          <w:sz w:val="24"/>
          <w:szCs w:val="24"/>
          <w:lang w:val="en-IN"/>
        </w:rPr>
        <w:t xml:space="preserve">mg/day. The dose may be increased based on clinical response and tolerability by increments of 1 mg (either weekly or every 2 weeks as per half-life considerations described below) to a maintenance dose of 4 mg/day to 6 mg/day. Depending upon individual clinical response and tolerability at a dose of 6 mg/day, the dose may be increased by increments of 1 mg/day to 8 mg/day. Patients who are taking concomitant medicinal products that do not shorten the half-life of </w:t>
      </w:r>
      <w:proofErr w:type="spellStart"/>
      <w:r w:rsidRPr="00032D7E">
        <w:rPr>
          <w:sz w:val="24"/>
          <w:szCs w:val="24"/>
          <w:lang w:val="en-IN"/>
        </w:rPr>
        <w:t>perampanel</w:t>
      </w:r>
      <w:proofErr w:type="spellEnd"/>
      <w:r w:rsidRPr="00032D7E">
        <w:rPr>
          <w:sz w:val="24"/>
          <w:szCs w:val="24"/>
          <w:lang w:val="en-IN"/>
        </w:rPr>
        <w:t xml:space="preserve"> (see section 4.5) should be titrated no more frequently than at 2-week intervals. Patients who are taking concomitant medicinal products that shorten the half-life of </w:t>
      </w:r>
      <w:proofErr w:type="spellStart"/>
      <w:r w:rsidRPr="00032D7E">
        <w:rPr>
          <w:sz w:val="24"/>
          <w:szCs w:val="24"/>
          <w:lang w:val="en-IN"/>
        </w:rPr>
        <w:t>perampanel</w:t>
      </w:r>
      <w:proofErr w:type="spellEnd"/>
      <w:r w:rsidRPr="00032D7E">
        <w:rPr>
          <w:sz w:val="24"/>
          <w:szCs w:val="24"/>
          <w:lang w:val="en-IN"/>
        </w:rPr>
        <w:t xml:space="preserve"> (see section 4.5) should be titrated no more frequently than at 1-week intervals.</w:t>
      </w:r>
    </w:p>
    <w:p w14:paraId="75D8CEA4" w14:textId="77777777" w:rsidR="00E575A9" w:rsidRPr="00032D7E" w:rsidRDefault="00E575A9" w:rsidP="002D3416">
      <w:pPr>
        <w:ind w:left="851"/>
        <w:rPr>
          <w:sz w:val="24"/>
          <w:szCs w:val="24"/>
          <w:lang w:val="en-IN"/>
        </w:rPr>
      </w:pPr>
    </w:p>
    <w:p w14:paraId="197C606B" w14:textId="77777777" w:rsidR="00E575A9" w:rsidRPr="00032D7E" w:rsidRDefault="00E575A9" w:rsidP="002D3416">
      <w:pPr>
        <w:ind w:left="851"/>
        <w:rPr>
          <w:i/>
          <w:iCs/>
          <w:sz w:val="24"/>
          <w:szCs w:val="24"/>
          <w:lang w:val="en-IN"/>
        </w:rPr>
      </w:pPr>
      <w:r w:rsidRPr="00032D7E">
        <w:rPr>
          <w:i/>
          <w:iCs/>
          <w:sz w:val="24"/>
          <w:szCs w:val="24"/>
          <w:lang w:val="en-IN"/>
        </w:rPr>
        <w:t xml:space="preserve">Children (from 7 to 11 years of age) weighing &lt; 20 kg </w:t>
      </w:r>
    </w:p>
    <w:p w14:paraId="538B9FA5" w14:textId="6C6CE14C" w:rsidR="00E575A9" w:rsidRPr="00032D7E" w:rsidRDefault="00E575A9" w:rsidP="002D3416">
      <w:pPr>
        <w:ind w:left="851"/>
        <w:rPr>
          <w:sz w:val="24"/>
          <w:szCs w:val="24"/>
          <w:lang w:val="en-IN"/>
        </w:rPr>
      </w:pPr>
      <w:r w:rsidRPr="00032D7E">
        <w:rPr>
          <w:sz w:val="24"/>
          <w:szCs w:val="24"/>
          <w:lang w:val="en-IN"/>
        </w:rPr>
        <w:t xml:space="preserve">Treatment with </w:t>
      </w:r>
      <w:proofErr w:type="spellStart"/>
      <w:r w:rsidR="00032D7E">
        <w:rPr>
          <w:sz w:val="24"/>
          <w:szCs w:val="24"/>
          <w:lang w:val="en-IN"/>
        </w:rPr>
        <w:t>Perampanel</w:t>
      </w:r>
      <w:proofErr w:type="spellEnd"/>
      <w:r w:rsidR="00032D7E">
        <w:rPr>
          <w:sz w:val="24"/>
          <w:szCs w:val="24"/>
          <w:lang w:val="en-IN"/>
        </w:rPr>
        <w:t xml:space="preserve"> "Vivanta Generics"</w:t>
      </w:r>
      <w:r w:rsidRPr="00032D7E">
        <w:rPr>
          <w:sz w:val="24"/>
          <w:szCs w:val="24"/>
          <w:lang w:val="en-IN"/>
        </w:rPr>
        <w:t xml:space="preserve"> should be initiated with a dose of 1</w:t>
      </w:r>
      <w:r w:rsidR="00032D7E">
        <w:rPr>
          <w:sz w:val="24"/>
          <w:szCs w:val="24"/>
          <w:lang w:val="en-IN"/>
        </w:rPr>
        <w:t> </w:t>
      </w:r>
      <w:r w:rsidRPr="00032D7E">
        <w:rPr>
          <w:sz w:val="24"/>
          <w:szCs w:val="24"/>
          <w:lang w:val="en-IN"/>
        </w:rPr>
        <w:t xml:space="preserve">mg/day. The dose may be increased based on clinical response and tolerability by increments of 1 mg (either weekly or every 2 weeks as per half-life considerations described below) to a maintenance dose of 2 mg/day to 4 mg/day. Depending upon individual clinical response and tolerability at a dose of 4 mg/day, the dose may be increased by increments of 0.5 mg/day to 6 mg/day. Patients who are taking concomitant medicinal products that do not shorten the half-life of </w:t>
      </w:r>
      <w:proofErr w:type="spellStart"/>
      <w:r w:rsidRPr="00032D7E">
        <w:rPr>
          <w:sz w:val="24"/>
          <w:szCs w:val="24"/>
          <w:lang w:val="en-IN"/>
        </w:rPr>
        <w:t>perampanel</w:t>
      </w:r>
      <w:proofErr w:type="spellEnd"/>
      <w:r w:rsidRPr="00032D7E">
        <w:rPr>
          <w:sz w:val="24"/>
          <w:szCs w:val="24"/>
          <w:lang w:val="en-IN"/>
        </w:rPr>
        <w:t xml:space="preserve"> (see section 4.5) should be titrated no more frequently than at 2-week intervals. Patients who are taking concomitant medicinal products that shorten the half-life of </w:t>
      </w:r>
      <w:proofErr w:type="spellStart"/>
      <w:r w:rsidRPr="00032D7E">
        <w:rPr>
          <w:sz w:val="24"/>
          <w:szCs w:val="24"/>
          <w:lang w:val="en-IN"/>
        </w:rPr>
        <w:t>perampanel</w:t>
      </w:r>
      <w:proofErr w:type="spellEnd"/>
      <w:r w:rsidRPr="00032D7E">
        <w:rPr>
          <w:sz w:val="24"/>
          <w:szCs w:val="24"/>
          <w:lang w:val="en-IN"/>
        </w:rPr>
        <w:t xml:space="preserve"> (see section 4.5) should be titrated no more frequently than at 1-week intervals. </w:t>
      </w:r>
    </w:p>
    <w:p w14:paraId="2E784E51" w14:textId="77777777" w:rsidR="00E575A9" w:rsidRPr="00032D7E" w:rsidRDefault="00E575A9" w:rsidP="002D3416">
      <w:pPr>
        <w:ind w:left="851"/>
        <w:rPr>
          <w:sz w:val="24"/>
          <w:szCs w:val="24"/>
          <w:lang w:val="en-IN"/>
        </w:rPr>
      </w:pPr>
    </w:p>
    <w:p w14:paraId="586136F1" w14:textId="77777777" w:rsidR="00E575A9" w:rsidRPr="00032D7E" w:rsidRDefault="00E575A9" w:rsidP="002D3416">
      <w:pPr>
        <w:ind w:left="851"/>
        <w:rPr>
          <w:i/>
          <w:iCs/>
          <w:sz w:val="24"/>
          <w:szCs w:val="24"/>
          <w:lang w:val="en-IN"/>
        </w:rPr>
      </w:pPr>
      <w:r w:rsidRPr="00032D7E">
        <w:rPr>
          <w:i/>
          <w:iCs/>
          <w:sz w:val="24"/>
          <w:szCs w:val="24"/>
          <w:lang w:val="en-IN"/>
        </w:rPr>
        <w:t xml:space="preserve">Withdrawal </w:t>
      </w:r>
    </w:p>
    <w:p w14:paraId="24859A43" w14:textId="77777777" w:rsidR="00E575A9" w:rsidRPr="00032D7E" w:rsidRDefault="00E575A9" w:rsidP="002D3416">
      <w:pPr>
        <w:ind w:left="851"/>
        <w:rPr>
          <w:sz w:val="24"/>
          <w:szCs w:val="24"/>
          <w:lang w:val="en-IN"/>
        </w:rPr>
      </w:pPr>
      <w:r w:rsidRPr="00032D7E">
        <w:rPr>
          <w:sz w:val="24"/>
          <w:szCs w:val="24"/>
          <w:lang w:val="en-IN"/>
        </w:rPr>
        <w:t xml:space="preserve">It is recommended that discontinuation be undertaken gradually to minimise the potential for rebound seizures. However, due to its long half-life and subsequent slow decline in plasma concentrations, </w:t>
      </w:r>
      <w:proofErr w:type="spellStart"/>
      <w:r w:rsidRPr="00032D7E">
        <w:rPr>
          <w:sz w:val="24"/>
          <w:szCs w:val="24"/>
          <w:lang w:val="en-IN"/>
        </w:rPr>
        <w:t>perampanel</w:t>
      </w:r>
      <w:proofErr w:type="spellEnd"/>
      <w:r w:rsidRPr="00032D7E">
        <w:rPr>
          <w:sz w:val="24"/>
          <w:szCs w:val="24"/>
          <w:lang w:val="en-IN"/>
        </w:rPr>
        <w:t xml:space="preserve"> can be discontinued abruptly if absolutely needed. </w:t>
      </w:r>
    </w:p>
    <w:p w14:paraId="347BC698" w14:textId="77777777" w:rsidR="00E575A9" w:rsidRPr="00032D7E" w:rsidRDefault="00E575A9" w:rsidP="002D3416">
      <w:pPr>
        <w:ind w:left="851"/>
        <w:rPr>
          <w:sz w:val="24"/>
          <w:szCs w:val="24"/>
          <w:lang w:val="en-IN"/>
        </w:rPr>
      </w:pPr>
    </w:p>
    <w:p w14:paraId="0B7E8F49" w14:textId="77777777" w:rsidR="00E575A9" w:rsidRPr="00032D7E" w:rsidRDefault="00E575A9" w:rsidP="002D3416">
      <w:pPr>
        <w:ind w:left="851"/>
        <w:rPr>
          <w:i/>
          <w:iCs/>
          <w:sz w:val="24"/>
          <w:szCs w:val="24"/>
          <w:lang w:val="en-IN"/>
        </w:rPr>
      </w:pPr>
      <w:r w:rsidRPr="00032D7E">
        <w:rPr>
          <w:i/>
          <w:iCs/>
          <w:sz w:val="24"/>
          <w:szCs w:val="24"/>
          <w:lang w:val="en-IN"/>
        </w:rPr>
        <w:t xml:space="preserve">Missed doses </w:t>
      </w:r>
    </w:p>
    <w:p w14:paraId="114BA3BC" w14:textId="77777777" w:rsidR="00E575A9" w:rsidRPr="00032D7E" w:rsidRDefault="00E575A9" w:rsidP="002D3416">
      <w:pPr>
        <w:ind w:left="851"/>
        <w:rPr>
          <w:sz w:val="24"/>
          <w:szCs w:val="24"/>
          <w:lang w:val="en-IN"/>
        </w:rPr>
      </w:pPr>
      <w:r w:rsidRPr="00032D7E">
        <w:rPr>
          <w:sz w:val="24"/>
          <w:szCs w:val="24"/>
          <w:lang w:val="en-IN"/>
        </w:rPr>
        <w:t xml:space="preserve">Single missed dose: As </w:t>
      </w:r>
      <w:proofErr w:type="spellStart"/>
      <w:r w:rsidRPr="00032D7E">
        <w:rPr>
          <w:sz w:val="24"/>
          <w:szCs w:val="24"/>
          <w:lang w:val="en-IN"/>
        </w:rPr>
        <w:t>perampanel</w:t>
      </w:r>
      <w:proofErr w:type="spellEnd"/>
      <w:r w:rsidRPr="00032D7E">
        <w:rPr>
          <w:sz w:val="24"/>
          <w:szCs w:val="24"/>
          <w:lang w:val="en-IN"/>
        </w:rPr>
        <w:t xml:space="preserve"> has a long half-life, the patient should wait and take their next dose as scheduled. </w:t>
      </w:r>
    </w:p>
    <w:p w14:paraId="1DD53053" w14:textId="359ADC4A" w:rsidR="00E575A9" w:rsidRPr="00032D7E" w:rsidRDefault="00E575A9" w:rsidP="002D3416">
      <w:pPr>
        <w:ind w:left="851"/>
        <w:rPr>
          <w:sz w:val="24"/>
          <w:szCs w:val="24"/>
          <w:lang w:val="en-IN"/>
        </w:rPr>
      </w:pPr>
      <w:r w:rsidRPr="00032D7E">
        <w:rPr>
          <w:sz w:val="24"/>
          <w:szCs w:val="24"/>
          <w:lang w:val="en-IN"/>
        </w:rPr>
        <w:t>If more than 1 dose has been missed, for a continuous period of less than 5 half-lives (3</w:t>
      </w:r>
      <w:r w:rsidR="00FE0AD1">
        <w:rPr>
          <w:sz w:val="24"/>
          <w:szCs w:val="24"/>
          <w:lang w:val="en-IN"/>
        </w:rPr>
        <w:t> </w:t>
      </w:r>
      <w:r w:rsidRPr="00032D7E">
        <w:rPr>
          <w:sz w:val="24"/>
          <w:szCs w:val="24"/>
          <w:lang w:val="en-IN"/>
        </w:rPr>
        <w:t xml:space="preserve">weeks for patients not taking </w:t>
      </w:r>
      <w:proofErr w:type="spellStart"/>
      <w:r w:rsidRPr="00032D7E">
        <w:rPr>
          <w:sz w:val="24"/>
          <w:szCs w:val="24"/>
          <w:lang w:val="en-IN"/>
        </w:rPr>
        <w:t>perampanel</w:t>
      </w:r>
      <w:proofErr w:type="spellEnd"/>
      <w:r w:rsidRPr="00032D7E">
        <w:rPr>
          <w:sz w:val="24"/>
          <w:szCs w:val="24"/>
          <w:lang w:val="en-IN"/>
        </w:rPr>
        <w:t xml:space="preserve"> metabolism-inducing anti-epileptic drugs (AED), 1 week for patients taking </w:t>
      </w:r>
      <w:proofErr w:type="spellStart"/>
      <w:r w:rsidRPr="00032D7E">
        <w:rPr>
          <w:sz w:val="24"/>
          <w:szCs w:val="24"/>
          <w:lang w:val="en-IN"/>
        </w:rPr>
        <w:t>perampanel</w:t>
      </w:r>
      <w:proofErr w:type="spellEnd"/>
      <w:r w:rsidRPr="00032D7E">
        <w:rPr>
          <w:sz w:val="24"/>
          <w:szCs w:val="24"/>
          <w:lang w:val="en-IN"/>
        </w:rPr>
        <w:t xml:space="preserve"> metabolism-inducing AEDs (see section 4.5)), consideration should be given to re-start treatment from the last dose level.</w:t>
      </w:r>
    </w:p>
    <w:p w14:paraId="16ABAF81" w14:textId="77777777" w:rsidR="00E575A9" w:rsidRPr="00032D7E" w:rsidRDefault="00E575A9" w:rsidP="002D3416">
      <w:pPr>
        <w:ind w:left="851"/>
        <w:rPr>
          <w:sz w:val="24"/>
          <w:szCs w:val="24"/>
          <w:lang w:val="en-IN"/>
        </w:rPr>
      </w:pPr>
    </w:p>
    <w:p w14:paraId="5378A90D" w14:textId="77777777" w:rsidR="00E575A9" w:rsidRPr="00032D7E" w:rsidRDefault="00E575A9" w:rsidP="002D3416">
      <w:pPr>
        <w:ind w:left="851"/>
        <w:rPr>
          <w:sz w:val="24"/>
          <w:szCs w:val="24"/>
          <w:lang w:val="en-IN"/>
        </w:rPr>
      </w:pPr>
      <w:r w:rsidRPr="00032D7E">
        <w:rPr>
          <w:sz w:val="24"/>
          <w:szCs w:val="24"/>
          <w:lang w:val="en-IN"/>
        </w:rPr>
        <w:t xml:space="preserve">If a patient has discontinued </w:t>
      </w:r>
      <w:proofErr w:type="spellStart"/>
      <w:r w:rsidRPr="00032D7E">
        <w:rPr>
          <w:sz w:val="24"/>
          <w:szCs w:val="24"/>
          <w:lang w:val="en-IN"/>
        </w:rPr>
        <w:t>perampanel</w:t>
      </w:r>
      <w:proofErr w:type="spellEnd"/>
      <w:r w:rsidRPr="00032D7E">
        <w:rPr>
          <w:sz w:val="24"/>
          <w:szCs w:val="24"/>
          <w:lang w:val="en-IN"/>
        </w:rPr>
        <w:t xml:space="preserve"> for a continuous period of more than 5 half-lives, it is recommended that initial dosing recommendations given above should be followed. </w:t>
      </w:r>
    </w:p>
    <w:p w14:paraId="56FA329C" w14:textId="77777777" w:rsidR="00E575A9" w:rsidRPr="00032D7E" w:rsidRDefault="00E575A9" w:rsidP="002D3416">
      <w:pPr>
        <w:ind w:left="851"/>
        <w:rPr>
          <w:sz w:val="24"/>
          <w:szCs w:val="24"/>
          <w:lang w:val="en-IN"/>
        </w:rPr>
      </w:pPr>
    </w:p>
    <w:p w14:paraId="5774712C" w14:textId="77777777" w:rsidR="00E575A9" w:rsidRPr="00032D7E" w:rsidRDefault="00E575A9" w:rsidP="002D3416">
      <w:pPr>
        <w:ind w:left="851"/>
        <w:rPr>
          <w:i/>
          <w:iCs/>
          <w:sz w:val="24"/>
          <w:szCs w:val="24"/>
          <w:lang w:val="en-IN"/>
        </w:rPr>
      </w:pPr>
      <w:r w:rsidRPr="00032D7E">
        <w:rPr>
          <w:i/>
          <w:iCs/>
          <w:sz w:val="24"/>
          <w:szCs w:val="24"/>
          <w:lang w:val="en-IN"/>
        </w:rPr>
        <w:t xml:space="preserve">Elderly (65 years of age and above) </w:t>
      </w:r>
    </w:p>
    <w:p w14:paraId="29269168" w14:textId="77777777" w:rsidR="00E575A9" w:rsidRPr="00032D7E" w:rsidRDefault="00E575A9" w:rsidP="002D3416">
      <w:pPr>
        <w:ind w:left="851"/>
        <w:rPr>
          <w:sz w:val="24"/>
          <w:szCs w:val="24"/>
          <w:lang w:val="en-IN"/>
        </w:rPr>
      </w:pPr>
      <w:r w:rsidRPr="00032D7E">
        <w:rPr>
          <w:sz w:val="24"/>
          <w:szCs w:val="24"/>
          <w:lang w:val="en-IN"/>
        </w:rPr>
        <w:t xml:space="preserve">Clinical studies of </w:t>
      </w:r>
      <w:proofErr w:type="spellStart"/>
      <w:r w:rsidRPr="00032D7E">
        <w:rPr>
          <w:sz w:val="24"/>
          <w:szCs w:val="24"/>
          <w:lang w:val="en-IN"/>
        </w:rPr>
        <w:t>perampanel</w:t>
      </w:r>
      <w:proofErr w:type="spellEnd"/>
      <w:r w:rsidRPr="00032D7E">
        <w:rPr>
          <w:sz w:val="24"/>
          <w:szCs w:val="24"/>
          <w:lang w:val="en-IN"/>
        </w:rPr>
        <w:t xml:space="preserve"> in epilepsy did not include </w:t>
      </w:r>
      <w:proofErr w:type="gramStart"/>
      <w:r w:rsidRPr="00032D7E">
        <w:rPr>
          <w:sz w:val="24"/>
          <w:szCs w:val="24"/>
          <w:lang w:val="en-IN"/>
        </w:rPr>
        <w:t>sufficient numbers of</w:t>
      </w:r>
      <w:proofErr w:type="gramEnd"/>
      <w:r w:rsidRPr="00032D7E">
        <w:rPr>
          <w:sz w:val="24"/>
          <w:szCs w:val="24"/>
          <w:lang w:val="en-IN"/>
        </w:rPr>
        <w:t xml:space="preserve"> patients aged 65 and over to determine whether they respond differently from younger patients. Analysis of safety information in 905 </w:t>
      </w:r>
      <w:proofErr w:type="spellStart"/>
      <w:r w:rsidRPr="00032D7E">
        <w:rPr>
          <w:sz w:val="24"/>
          <w:szCs w:val="24"/>
          <w:lang w:val="en-IN"/>
        </w:rPr>
        <w:t>perampanel</w:t>
      </w:r>
      <w:proofErr w:type="spellEnd"/>
      <w:r w:rsidRPr="00032D7E">
        <w:rPr>
          <w:sz w:val="24"/>
          <w:szCs w:val="24"/>
          <w:lang w:val="en-IN"/>
        </w:rPr>
        <w:t xml:space="preserve">-treated elderly patients (in double-blind studies conducted in non-epilepsy indications) revealed no age-related differences in the safety profile. In combination with the lack of age-related difference in </w:t>
      </w:r>
      <w:proofErr w:type="spellStart"/>
      <w:r w:rsidRPr="00032D7E">
        <w:rPr>
          <w:sz w:val="24"/>
          <w:szCs w:val="24"/>
          <w:lang w:val="en-IN"/>
        </w:rPr>
        <w:t>perampanel</w:t>
      </w:r>
      <w:proofErr w:type="spellEnd"/>
      <w:r w:rsidRPr="00032D7E">
        <w:rPr>
          <w:sz w:val="24"/>
          <w:szCs w:val="24"/>
          <w:lang w:val="en-IN"/>
        </w:rPr>
        <w:t xml:space="preserve"> exposure, the results indicate that dose-adjustment in the elderly is not required. </w:t>
      </w:r>
      <w:proofErr w:type="spellStart"/>
      <w:r w:rsidRPr="00032D7E">
        <w:rPr>
          <w:sz w:val="24"/>
          <w:szCs w:val="24"/>
          <w:lang w:val="en-IN"/>
        </w:rPr>
        <w:t>perampanel</w:t>
      </w:r>
      <w:proofErr w:type="spellEnd"/>
      <w:r w:rsidRPr="00032D7E">
        <w:rPr>
          <w:sz w:val="24"/>
          <w:szCs w:val="24"/>
          <w:lang w:val="en-IN"/>
        </w:rPr>
        <w:t xml:space="preserve"> should be used with caution in elderly </w:t>
      </w:r>
      <w:proofErr w:type="gramStart"/>
      <w:r w:rsidRPr="00032D7E">
        <w:rPr>
          <w:sz w:val="24"/>
          <w:szCs w:val="24"/>
          <w:lang w:val="en-IN"/>
        </w:rPr>
        <w:t>taking into account</w:t>
      </w:r>
      <w:proofErr w:type="gramEnd"/>
      <w:r w:rsidRPr="00032D7E">
        <w:rPr>
          <w:sz w:val="24"/>
          <w:szCs w:val="24"/>
          <w:lang w:val="en-IN"/>
        </w:rPr>
        <w:t xml:space="preserve"> the drug interaction potential in </w:t>
      </w:r>
      <w:proofErr w:type="spellStart"/>
      <w:r w:rsidRPr="00032D7E">
        <w:rPr>
          <w:sz w:val="24"/>
          <w:szCs w:val="24"/>
          <w:lang w:val="en-IN"/>
        </w:rPr>
        <w:t>polymedicated</w:t>
      </w:r>
      <w:proofErr w:type="spellEnd"/>
      <w:r w:rsidRPr="00032D7E">
        <w:rPr>
          <w:sz w:val="24"/>
          <w:szCs w:val="24"/>
          <w:lang w:val="en-IN"/>
        </w:rPr>
        <w:t xml:space="preserve"> patients (see section 4.4). </w:t>
      </w:r>
    </w:p>
    <w:p w14:paraId="47A51640" w14:textId="77777777" w:rsidR="00E575A9" w:rsidRPr="00032D7E" w:rsidRDefault="00E575A9" w:rsidP="002D3416">
      <w:pPr>
        <w:ind w:left="851"/>
        <w:rPr>
          <w:sz w:val="24"/>
          <w:szCs w:val="24"/>
          <w:lang w:val="en-IN"/>
        </w:rPr>
      </w:pPr>
    </w:p>
    <w:p w14:paraId="23537C6E" w14:textId="77777777" w:rsidR="00E575A9" w:rsidRPr="00032D7E" w:rsidRDefault="00E575A9" w:rsidP="002D3416">
      <w:pPr>
        <w:ind w:left="851"/>
        <w:rPr>
          <w:i/>
          <w:iCs/>
          <w:sz w:val="24"/>
          <w:szCs w:val="24"/>
          <w:lang w:val="en-IN"/>
        </w:rPr>
      </w:pPr>
      <w:r w:rsidRPr="00032D7E">
        <w:rPr>
          <w:i/>
          <w:iCs/>
          <w:sz w:val="24"/>
          <w:szCs w:val="24"/>
          <w:lang w:val="en-IN"/>
        </w:rPr>
        <w:t xml:space="preserve">Renal impairment </w:t>
      </w:r>
    </w:p>
    <w:p w14:paraId="54D94002" w14:textId="77777777" w:rsidR="00E575A9" w:rsidRPr="00032D7E" w:rsidRDefault="00E575A9" w:rsidP="002D3416">
      <w:pPr>
        <w:ind w:left="851"/>
        <w:rPr>
          <w:sz w:val="24"/>
          <w:szCs w:val="24"/>
          <w:lang w:val="en-IN"/>
        </w:rPr>
      </w:pPr>
      <w:r w:rsidRPr="00032D7E">
        <w:rPr>
          <w:sz w:val="24"/>
          <w:szCs w:val="24"/>
          <w:lang w:val="en-IN"/>
        </w:rPr>
        <w:t xml:space="preserve">Dose adjustment is not required in patients with mild renal impairment. Use in patients with moderate or severe renal impairment or patients undergoing haemodialysis is not recommended. </w:t>
      </w:r>
    </w:p>
    <w:p w14:paraId="2D796179" w14:textId="77777777" w:rsidR="00E575A9" w:rsidRPr="00032D7E" w:rsidRDefault="00E575A9" w:rsidP="002D3416">
      <w:pPr>
        <w:ind w:left="851"/>
        <w:rPr>
          <w:sz w:val="24"/>
          <w:szCs w:val="24"/>
          <w:lang w:val="en-IN"/>
        </w:rPr>
      </w:pPr>
    </w:p>
    <w:p w14:paraId="249D2325" w14:textId="77777777" w:rsidR="00E575A9" w:rsidRPr="00032D7E" w:rsidRDefault="00E575A9" w:rsidP="002D3416">
      <w:pPr>
        <w:ind w:left="851"/>
        <w:rPr>
          <w:i/>
          <w:iCs/>
          <w:sz w:val="24"/>
          <w:szCs w:val="24"/>
          <w:lang w:val="en-IN"/>
        </w:rPr>
      </w:pPr>
      <w:r w:rsidRPr="00032D7E">
        <w:rPr>
          <w:i/>
          <w:iCs/>
          <w:sz w:val="24"/>
          <w:szCs w:val="24"/>
          <w:lang w:val="en-IN"/>
        </w:rPr>
        <w:t xml:space="preserve">Hepatic impairment </w:t>
      </w:r>
    </w:p>
    <w:p w14:paraId="3B5A0128" w14:textId="77777777" w:rsidR="00E575A9" w:rsidRPr="00032D7E" w:rsidRDefault="00E575A9" w:rsidP="002D3416">
      <w:pPr>
        <w:ind w:left="851"/>
        <w:rPr>
          <w:sz w:val="24"/>
          <w:szCs w:val="24"/>
          <w:lang w:val="en-IN"/>
        </w:rPr>
      </w:pPr>
      <w:r w:rsidRPr="00032D7E">
        <w:rPr>
          <w:sz w:val="24"/>
          <w:szCs w:val="24"/>
          <w:lang w:val="en-IN"/>
        </w:rPr>
        <w:t xml:space="preserve">Dose increases in patients with mild and moderate hepatic impairment should be based on clinical response and tolerability. For patients with mild or moderate hepatic impairment, dosing can be initiated at 2 mg. Patients should be </w:t>
      </w:r>
      <w:proofErr w:type="gramStart"/>
      <w:r w:rsidRPr="00032D7E">
        <w:rPr>
          <w:sz w:val="24"/>
          <w:szCs w:val="24"/>
          <w:lang w:val="en-IN"/>
        </w:rPr>
        <w:t>up-titrated</w:t>
      </w:r>
      <w:proofErr w:type="gramEnd"/>
      <w:r w:rsidRPr="00032D7E">
        <w:rPr>
          <w:sz w:val="24"/>
          <w:szCs w:val="24"/>
          <w:lang w:val="en-IN"/>
        </w:rPr>
        <w:t xml:space="preserve"> using 2 mg doses no faster than every 2 weeks based on tolerability and effectiveness. </w:t>
      </w:r>
    </w:p>
    <w:p w14:paraId="06EB36A6" w14:textId="72C12F6A" w:rsidR="00E575A9" w:rsidRPr="00032D7E" w:rsidRDefault="00E575A9" w:rsidP="002D3416">
      <w:pPr>
        <w:ind w:left="851"/>
        <w:rPr>
          <w:sz w:val="24"/>
          <w:szCs w:val="24"/>
          <w:lang w:val="en-IN"/>
        </w:rPr>
      </w:pPr>
      <w:proofErr w:type="spellStart"/>
      <w:r w:rsidRPr="00032D7E">
        <w:rPr>
          <w:sz w:val="24"/>
          <w:szCs w:val="24"/>
          <w:lang w:val="en-IN"/>
        </w:rPr>
        <w:t>Perampanel</w:t>
      </w:r>
      <w:proofErr w:type="spellEnd"/>
      <w:r w:rsidRPr="00032D7E">
        <w:rPr>
          <w:sz w:val="24"/>
          <w:szCs w:val="24"/>
          <w:lang w:val="en-IN"/>
        </w:rPr>
        <w:t xml:space="preserve"> dosing for patients with mild and moderate impairment should not exceed 8</w:t>
      </w:r>
      <w:r w:rsidR="00032D7E">
        <w:rPr>
          <w:sz w:val="24"/>
          <w:szCs w:val="24"/>
          <w:lang w:val="en-IN"/>
        </w:rPr>
        <w:t> </w:t>
      </w:r>
      <w:r w:rsidRPr="00032D7E">
        <w:rPr>
          <w:sz w:val="24"/>
          <w:szCs w:val="24"/>
          <w:lang w:val="en-IN"/>
        </w:rPr>
        <w:t xml:space="preserve">mg. </w:t>
      </w:r>
    </w:p>
    <w:p w14:paraId="089C2CFD" w14:textId="77777777" w:rsidR="00E575A9" w:rsidRPr="00032D7E" w:rsidRDefault="00E575A9" w:rsidP="002D3416">
      <w:pPr>
        <w:ind w:left="851"/>
        <w:rPr>
          <w:sz w:val="24"/>
          <w:szCs w:val="24"/>
          <w:lang w:val="en-IN"/>
        </w:rPr>
      </w:pPr>
      <w:r w:rsidRPr="00032D7E">
        <w:rPr>
          <w:sz w:val="24"/>
          <w:szCs w:val="24"/>
          <w:lang w:val="en-IN"/>
        </w:rPr>
        <w:t>Use in patients with severe hepatic impairment is not recommended.</w:t>
      </w:r>
    </w:p>
    <w:p w14:paraId="6A769F9A" w14:textId="77777777" w:rsidR="00E575A9" w:rsidRPr="00032D7E" w:rsidRDefault="00E575A9" w:rsidP="002D3416">
      <w:pPr>
        <w:ind w:left="851"/>
        <w:rPr>
          <w:sz w:val="24"/>
          <w:szCs w:val="24"/>
          <w:lang w:val="en-IN"/>
        </w:rPr>
      </w:pPr>
    </w:p>
    <w:p w14:paraId="63D5D1E7" w14:textId="77777777" w:rsidR="00E575A9" w:rsidRPr="00032D7E" w:rsidRDefault="00E575A9" w:rsidP="002D3416">
      <w:pPr>
        <w:ind w:left="851"/>
        <w:rPr>
          <w:i/>
          <w:iCs/>
          <w:sz w:val="24"/>
          <w:szCs w:val="24"/>
          <w:lang w:val="en-IN"/>
        </w:rPr>
      </w:pPr>
      <w:r w:rsidRPr="00032D7E">
        <w:rPr>
          <w:i/>
          <w:iCs/>
          <w:sz w:val="24"/>
          <w:szCs w:val="24"/>
          <w:lang w:val="en-IN"/>
        </w:rPr>
        <w:t xml:space="preserve">Paediatric population </w:t>
      </w:r>
    </w:p>
    <w:p w14:paraId="1CE26788" w14:textId="0BC8E18F" w:rsidR="00E575A9" w:rsidRPr="00032D7E" w:rsidRDefault="00E575A9" w:rsidP="002D3416">
      <w:pPr>
        <w:ind w:left="851"/>
        <w:rPr>
          <w:sz w:val="24"/>
          <w:szCs w:val="24"/>
          <w:lang w:val="en-IN"/>
        </w:rPr>
      </w:pPr>
      <w:r w:rsidRPr="00032D7E">
        <w:rPr>
          <w:sz w:val="24"/>
          <w:szCs w:val="24"/>
          <w:lang w:val="en-IN"/>
        </w:rPr>
        <w:t xml:space="preserve">The safety and efficacy of </w:t>
      </w:r>
      <w:proofErr w:type="spellStart"/>
      <w:r w:rsidRPr="00032D7E">
        <w:rPr>
          <w:sz w:val="24"/>
          <w:szCs w:val="24"/>
          <w:lang w:val="en-IN"/>
        </w:rPr>
        <w:t>perampanel</w:t>
      </w:r>
      <w:proofErr w:type="spellEnd"/>
      <w:r w:rsidRPr="00032D7E">
        <w:rPr>
          <w:sz w:val="24"/>
          <w:szCs w:val="24"/>
          <w:lang w:val="en-IN"/>
        </w:rPr>
        <w:t xml:space="preserve"> have not yet been established in children below 4</w:t>
      </w:r>
      <w:r w:rsidR="00FE0AD1">
        <w:rPr>
          <w:sz w:val="24"/>
          <w:szCs w:val="24"/>
          <w:lang w:val="en-IN"/>
        </w:rPr>
        <w:t> </w:t>
      </w:r>
      <w:r w:rsidRPr="00032D7E">
        <w:rPr>
          <w:sz w:val="24"/>
          <w:szCs w:val="24"/>
          <w:lang w:val="en-IN"/>
        </w:rPr>
        <w:t>years of age in the POS indication or in children below 7 years of age in the PGTCS indication.</w:t>
      </w:r>
    </w:p>
    <w:p w14:paraId="34AA935D" w14:textId="77777777" w:rsidR="00E575A9" w:rsidRPr="00032D7E" w:rsidRDefault="00E575A9" w:rsidP="002D3416">
      <w:pPr>
        <w:ind w:left="851"/>
        <w:rPr>
          <w:sz w:val="24"/>
          <w:szCs w:val="24"/>
          <w:lang w:val="en-IN"/>
        </w:rPr>
      </w:pPr>
    </w:p>
    <w:p w14:paraId="0EE43127" w14:textId="77777777" w:rsidR="00E575A9" w:rsidRPr="00032D7E" w:rsidRDefault="00E575A9" w:rsidP="002D3416">
      <w:pPr>
        <w:ind w:left="851"/>
        <w:rPr>
          <w:sz w:val="24"/>
          <w:szCs w:val="24"/>
          <w:u w:val="single"/>
          <w:lang w:val="en-IN"/>
        </w:rPr>
      </w:pPr>
      <w:r w:rsidRPr="00032D7E">
        <w:rPr>
          <w:sz w:val="24"/>
          <w:szCs w:val="24"/>
          <w:u w:val="single"/>
          <w:lang w:val="en-IN"/>
        </w:rPr>
        <w:t xml:space="preserve">Method of administration </w:t>
      </w:r>
    </w:p>
    <w:p w14:paraId="633E5AE4" w14:textId="77777777" w:rsidR="00E575A9" w:rsidRPr="00032D7E" w:rsidRDefault="00E575A9" w:rsidP="002D3416">
      <w:pPr>
        <w:ind w:left="851"/>
        <w:rPr>
          <w:sz w:val="24"/>
          <w:szCs w:val="24"/>
          <w:u w:val="single"/>
          <w:lang w:val="en-IN"/>
        </w:rPr>
      </w:pPr>
    </w:p>
    <w:p w14:paraId="6A31BFBB" w14:textId="77777777" w:rsidR="00E575A9" w:rsidRPr="00032D7E" w:rsidRDefault="00E575A9" w:rsidP="002D3416">
      <w:pPr>
        <w:ind w:left="851"/>
        <w:rPr>
          <w:sz w:val="24"/>
          <w:szCs w:val="24"/>
          <w:lang w:val="en-IN"/>
        </w:rPr>
      </w:pPr>
      <w:proofErr w:type="spellStart"/>
      <w:r w:rsidRPr="00032D7E">
        <w:rPr>
          <w:sz w:val="24"/>
          <w:szCs w:val="24"/>
          <w:lang w:val="en-IN"/>
        </w:rPr>
        <w:t>Perampanel</w:t>
      </w:r>
      <w:proofErr w:type="spellEnd"/>
      <w:r w:rsidRPr="00032D7E">
        <w:rPr>
          <w:sz w:val="24"/>
          <w:szCs w:val="24"/>
          <w:lang w:val="en-IN"/>
        </w:rPr>
        <w:t xml:space="preserve"> should be taken as single oral dose at bedtime. It may be taken with or without food (see section 5.2). The tablet should be swallowed whole with a glass of water. It should not be chewed, crushed or split. The tablets cannot be split accurately as there is no break line.</w:t>
      </w:r>
    </w:p>
    <w:p w14:paraId="2A206676" w14:textId="77777777" w:rsidR="007C5D2A" w:rsidRPr="00032D7E" w:rsidRDefault="007C5D2A" w:rsidP="00A85D26">
      <w:pPr>
        <w:tabs>
          <w:tab w:val="left" w:pos="851"/>
        </w:tabs>
        <w:ind w:left="851"/>
        <w:rPr>
          <w:sz w:val="24"/>
          <w:szCs w:val="24"/>
          <w:lang w:val="en-IN"/>
        </w:rPr>
      </w:pPr>
    </w:p>
    <w:p w14:paraId="38079865" w14:textId="77777777" w:rsidR="007C5D2A" w:rsidRPr="00032D7E" w:rsidRDefault="007C5D2A" w:rsidP="007C5D2A">
      <w:pPr>
        <w:tabs>
          <w:tab w:val="left" w:pos="851"/>
        </w:tabs>
        <w:ind w:left="851" w:hanging="851"/>
        <w:rPr>
          <w:b/>
          <w:sz w:val="24"/>
          <w:szCs w:val="24"/>
          <w:lang w:val="en-GB"/>
        </w:rPr>
      </w:pPr>
      <w:r w:rsidRPr="00032D7E">
        <w:rPr>
          <w:b/>
          <w:sz w:val="24"/>
          <w:szCs w:val="24"/>
          <w:lang w:val="en-GB"/>
        </w:rPr>
        <w:t>4.3</w:t>
      </w:r>
      <w:r w:rsidRPr="00032D7E">
        <w:rPr>
          <w:b/>
          <w:sz w:val="24"/>
          <w:szCs w:val="24"/>
          <w:lang w:val="en-GB"/>
        </w:rPr>
        <w:tab/>
        <w:t>Contraindications</w:t>
      </w:r>
    </w:p>
    <w:p w14:paraId="2FAADAAC" w14:textId="77777777" w:rsidR="00E575A9" w:rsidRPr="00E575A9" w:rsidRDefault="00E575A9" w:rsidP="002D3416">
      <w:pPr>
        <w:ind w:left="851"/>
        <w:rPr>
          <w:sz w:val="24"/>
          <w:szCs w:val="24"/>
          <w:lang w:val="en-IN"/>
        </w:rPr>
      </w:pPr>
      <w:r w:rsidRPr="00E575A9">
        <w:rPr>
          <w:sz w:val="24"/>
          <w:szCs w:val="24"/>
          <w:lang w:val="en-IN"/>
        </w:rPr>
        <w:t>Hypersensitivity to the active substance or to any of the excipients listed in section 6.1.</w:t>
      </w:r>
    </w:p>
    <w:p w14:paraId="1CBB48CA" w14:textId="77777777" w:rsidR="007C5D2A" w:rsidRPr="00032D7E" w:rsidRDefault="007C5D2A" w:rsidP="003E0341">
      <w:pPr>
        <w:tabs>
          <w:tab w:val="left" w:pos="851"/>
        </w:tabs>
        <w:ind w:left="851"/>
        <w:rPr>
          <w:sz w:val="24"/>
          <w:szCs w:val="24"/>
          <w:lang w:val="en-IN"/>
        </w:rPr>
      </w:pPr>
    </w:p>
    <w:p w14:paraId="57E42E32" w14:textId="77777777" w:rsidR="007C5D2A" w:rsidRPr="00032D7E" w:rsidRDefault="007C5D2A" w:rsidP="007C5D2A">
      <w:pPr>
        <w:tabs>
          <w:tab w:val="left" w:pos="851"/>
        </w:tabs>
        <w:rPr>
          <w:b/>
          <w:sz w:val="24"/>
          <w:szCs w:val="24"/>
          <w:lang w:val="en-GB"/>
        </w:rPr>
      </w:pPr>
      <w:r w:rsidRPr="00032D7E">
        <w:rPr>
          <w:b/>
          <w:sz w:val="24"/>
          <w:szCs w:val="24"/>
          <w:lang w:val="en-GB"/>
        </w:rPr>
        <w:t>4.4</w:t>
      </w:r>
      <w:r w:rsidRPr="00032D7E">
        <w:rPr>
          <w:b/>
          <w:sz w:val="24"/>
          <w:szCs w:val="24"/>
          <w:lang w:val="en-GB"/>
        </w:rPr>
        <w:tab/>
        <w:t>Special warnings and precautions for use</w:t>
      </w:r>
    </w:p>
    <w:p w14:paraId="0406ED52" w14:textId="77777777" w:rsidR="00032D7E" w:rsidRDefault="00032D7E" w:rsidP="002D3416">
      <w:pPr>
        <w:ind w:left="851"/>
        <w:rPr>
          <w:sz w:val="24"/>
          <w:szCs w:val="24"/>
          <w:lang w:val="en-IN"/>
        </w:rPr>
      </w:pPr>
    </w:p>
    <w:p w14:paraId="65745E23" w14:textId="7844D75C" w:rsidR="00E575A9" w:rsidRPr="00032D7E" w:rsidRDefault="00E575A9" w:rsidP="002D3416">
      <w:pPr>
        <w:ind w:left="851"/>
        <w:rPr>
          <w:sz w:val="24"/>
          <w:szCs w:val="24"/>
          <w:u w:val="single"/>
          <w:lang w:val="en-IN"/>
        </w:rPr>
      </w:pPr>
      <w:r w:rsidRPr="00032D7E">
        <w:rPr>
          <w:sz w:val="24"/>
          <w:szCs w:val="24"/>
          <w:u w:val="single"/>
          <w:lang w:val="en-IN"/>
        </w:rPr>
        <w:t>Suicidal ideation</w:t>
      </w:r>
    </w:p>
    <w:p w14:paraId="3C4C490B" w14:textId="77777777" w:rsidR="00E575A9" w:rsidRPr="00032D7E" w:rsidRDefault="00E575A9" w:rsidP="002D3416">
      <w:pPr>
        <w:ind w:left="851"/>
        <w:rPr>
          <w:sz w:val="24"/>
          <w:szCs w:val="24"/>
          <w:lang w:val="en-IN"/>
        </w:rPr>
      </w:pPr>
    </w:p>
    <w:p w14:paraId="559B0D27" w14:textId="77777777" w:rsidR="00E575A9" w:rsidRPr="00032D7E" w:rsidRDefault="00E575A9" w:rsidP="002D3416">
      <w:pPr>
        <w:ind w:left="851"/>
        <w:rPr>
          <w:sz w:val="24"/>
          <w:szCs w:val="24"/>
          <w:lang w:val="en-IN"/>
        </w:rPr>
      </w:pPr>
      <w:r w:rsidRPr="00032D7E">
        <w:rPr>
          <w:sz w:val="24"/>
          <w:szCs w:val="24"/>
          <w:lang w:val="en-IN"/>
        </w:rPr>
        <w:t xml:space="preserve">Suicidal ideation and behaviour have been reported in patients treated with anti-epileptic medicinal products in several indications. A meta-analysis of randomised placebo-controlled trials of anti-epileptic medicinal products has also shown a small increased risk of suicidal ideation and behaviour. The mechanism of this risk is not </w:t>
      </w:r>
      <w:proofErr w:type="gramStart"/>
      <w:r w:rsidRPr="00032D7E">
        <w:rPr>
          <w:sz w:val="24"/>
          <w:szCs w:val="24"/>
          <w:lang w:val="en-IN"/>
        </w:rPr>
        <w:t>known</w:t>
      </w:r>
      <w:proofErr w:type="gramEnd"/>
      <w:r w:rsidRPr="00032D7E">
        <w:rPr>
          <w:sz w:val="24"/>
          <w:szCs w:val="24"/>
          <w:lang w:val="en-IN"/>
        </w:rPr>
        <w:t xml:space="preserve"> and the available data do not exclude the possibility of an increased risk for </w:t>
      </w:r>
      <w:proofErr w:type="spellStart"/>
      <w:r w:rsidRPr="00032D7E">
        <w:rPr>
          <w:sz w:val="24"/>
          <w:szCs w:val="24"/>
          <w:lang w:val="en-IN"/>
        </w:rPr>
        <w:t>perampanel</w:t>
      </w:r>
      <w:proofErr w:type="spellEnd"/>
      <w:r w:rsidRPr="00032D7E">
        <w:rPr>
          <w:sz w:val="24"/>
          <w:szCs w:val="24"/>
          <w:lang w:val="en-IN"/>
        </w:rPr>
        <w:t>.</w:t>
      </w:r>
    </w:p>
    <w:p w14:paraId="3854690F" w14:textId="77777777" w:rsidR="00E575A9" w:rsidRPr="00032D7E" w:rsidRDefault="00E575A9" w:rsidP="002D3416">
      <w:pPr>
        <w:ind w:left="851"/>
        <w:rPr>
          <w:sz w:val="24"/>
          <w:szCs w:val="24"/>
          <w:lang w:val="en-IN"/>
        </w:rPr>
      </w:pPr>
      <w:r w:rsidRPr="00032D7E">
        <w:rPr>
          <w:sz w:val="24"/>
          <w:szCs w:val="24"/>
          <w:lang w:val="en-IN"/>
        </w:rPr>
        <w:t xml:space="preserve">Therefore, patients (children, adolescents, and adults) should be monitored for signs of suicidal ideation and </w:t>
      </w:r>
      <w:proofErr w:type="gramStart"/>
      <w:r w:rsidRPr="00032D7E">
        <w:rPr>
          <w:sz w:val="24"/>
          <w:szCs w:val="24"/>
          <w:lang w:val="en-IN"/>
        </w:rPr>
        <w:t>behaviours</w:t>
      </w:r>
      <w:proofErr w:type="gramEnd"/>
      <w:r w:rsidRPr="00032D7E">
        <w:rPr>
          <w:sz w:val="24"/>
          <w:szCs w:val="24"/>
          <w:lang w:val="en-IN"/>
        </w:rPr>
        <w:t xml:space="preserve"> and appropriate treatment should be considered. Patients (and caregivers of patients) should be advised to seek medical advice should signs of suicidal ideation or behaviour emerge.</w:t>
      </w:r>
    </w:p>
    <w:p w14:paraId="194F40C3" w14:textId="77777777" w:rsidR="00E575A9" w:rsidRPr="00032D7E" w:rsidRDefault="00E575A9" w:rsidP="002D3416">
      <w:pPr>
        <w:ind w:left="851"/>
        <w:rPr>
          <w:sz w:val="24"/>
          <w:szCs w:val="24"/>
          <w:lang w:val="en-IN"/>
        </w:rPr>
      </w:pPr>
    </w:p>
    <w:p w14:paraId="10744A4A" w14:textId="77777777" w:rsidR="00E575A9" w:rsidRPr="00032D7E" w:rsidRDefault="00E575A9" w:rsidP="002D3416">
      <w:pPr>
        <w:ind w:left="851"/>
        <w:rPr>
          <w:sz w:val="24"/>
          <w:szCs w:val="24"/>
          <w:u w:val="single"/>
          <w:lang w:val="en-IN"/>
        </w:rPr>
      </w:pPr>
      <w:r w:rsidRPr="00032D7E">
        <w:rPr>
          <w:sz w:val="24"/>
          <w:szCs w:val="24"/>
          <w:u w:val="single"/>
          <w:lang w:val="en-IN"/>
        </w:rPr>
        <w:t>Severe cutaneous adverse reactions (SCARs)</w:t>
      </w:r>
    </w:p>
    <w:p w14:paraId="5852BD5E" w14:textId="77777777" w:rsidR="00E575A9" w:rsidRPr="00032D7E" w:rsidRDefault="00E575A9" w:rsidP="002D3416">
      <w:pPr>
        <w:ind w:left="851"/>
        <w:rPr>
          <w:sz w:val="24"/>
          <w:szCs w:val="24"/>
          <w:lang w:val="en-IN"/>
        </w:rPr>
      </w:pPr>
    </w:p>
    <w:p w14:paraId="793799BC" w14:textId="77777777" w:rsidR="00E575A9" w:rsidRPr="00032D7E" w:rsidRDefault="00E575A9" w:rsidP="002D3416">
      <w:pPr>
        <w:ind w:left="851"/>
        <w:rPr>
          <w:sz w:val="24"/>
          <w:szCs w:val="24"/>
          <w:lang w:val="en-IN"/>
        </w:rPr>
      </w:pPr>
      <w:r w:rsidRPr="00032D7E">
        <w:rPr>
          <w:sz w:val="24"/>
          <w:szCs w:val="24"/>
          <w:lang w:val="en-IN"/>
        </w:rPr>
        <w:t>Severe cutaneous adverse reactions (SCARs) including drug reaction with eosinophilia and systemic symptoms (DRESS</w:t>
      </w:r>
      <w:r w:rsidRPr="00032D7E">
        <w:rPr>
          <w:b/>
          <w:bCs/>
          <w:sz w:val="24"/>
          <w:szCs w:val="24"/>
          <w:lang w:val="en-IN"/>
        </w:rPr>
        <w:t xml:space="preserve">) </w:t>
      </w:r>
      <w:r w:rsidRPr="00032D7E">
        <w:rPr>
          <w:sz w:val="24"/>
          <w:szCs w:val="24"/>
          <w:lang w:val="en-IN"/>
        </w:rPr>
        <w:t xml:space="preserve">and Stevens - Johnson Syndrome (SJS), which can be life-threatening or fatal, have been reported (frequency unknown; see section 4.8) in association with </w:t>
      </w:r>
      <w:proofErr w:type="spellStart"/>
      <w:r w:rsidRPr="00032D7E">
        <w:rPr>
          <w:sz w:val="24"/>
          <w:szCs w:val="24"/>
          <w:lang w:val="en-IN"/>
        </w:rPr>
        <w:t>perampanel</w:t>
      </w:r>
      <w:proofErr w:type="spellEnd"/>
      <w:r w:rsidRPr="00032D7E">
        <w:rPr>
          <w:sz w:val="24"/>
          <w:szCs w:val="24"/>
          <w:lang w:val="en-IN"/>
        </w:rPr>
        <w:t xml:space="preserve"> treatment.</w:t>
      </w:r>
    </w:p>
    <w:p w14:paraId="6511B249" w14:textId="77777777" w:rsidR="00E575A9" w:rsidRPr="00032D7E" w:rsidRDefault="00E575A9" w:rsidP="002D3416">
      <w:pPr>
        <w:ind w:left="851"/>
        <w:rPr>
          <w:sz w:val="24"/>
          <w:szCs w:val="24"/>
          <w:lang w:val="en-IN"/>
        </w:rPr>
      </w:pPr>
    </w:p>
    <w:p w14:paraId="72F1976C" w14:textId="77777777" w:rsidR="00E575A9" w:rsidRPr="00032D7E" w:rsidRDefault="00E575A9" w:rsidP="002D3416">
      <w:pPr>
        <w:ind w:left="851"/>
        <w:rPr>
          <w:sz w:val="24"/>
          <w:szCs w:val="24"/>
          <w:lang w:val="en-IN"/>
        </w:rPr>
      </w:pPr>
      <w:r w:rsidRPr="00032D7E">
        <w:rPr>
          <w:sz w:val="24"/>
          <w:szCs w:val="24"/>
          <w:lang w:val="en-IN"/>
        </w:rPr>
        <w:t>At the time of prescription patients should be advised of the signs and symptoms and monitored closely for skin reactions.</w:t>
      </w:r>
    </w:p>
    <w:p w14:paraId="394B0292" w14:textId="77777777" w:rsidR="00E575A9" w:rsidRPr="00032D7E" w:rsidRDefault="00E575A9" w:rsidP="002D3416">
      <w:pPr>
        <w:ind w:left="851"/>
        <w:rPr>
          <w:sz w:val="24"/>
          <w:szCs w:val="24"/>
          <w:lang w:val="en-IN"/>
        </w:rPr>
      </w:pPr>
      <w:r w:rsidRPr="00032D7E">
        <w:rPr>
          <w:sz w:val="24"/>
          <w:szCs w:val="24"/>
          <w:lang w:val="en-IN"/>
        </w:rPr>
        <w:t>Symptoms of DRESS include typically, although not exclusively, fever, rash associated with other organ system involvement, lymphadenopathy, liver function tests abnormalities and eosinophilia. It is important to note that early manifestations of hypersensitivity, such as fever or lymphadenopathy, may be present even though rash is not evident.</w:t>
      </w:r>
    </w:p>
    <w:p w14:paraId="0DAE6A18" w14:textId="77777777" w:rsidR="00E575A9" w:rsidRPr="00032D7E" w:rsidRDefault="00E575A9" w:rsidP="002D3416">
      <w:pPr>
        <w:ind w:left="851"/>
        <w:rPr>
          <w:sz w:val="24"/>
          <w:szCs w:val="24"/>
          <w:lang w:val="en-IN"/>
        </w:rPr>
      </w:pPr>
    </w:p>
    <w:p w14:paraId="7728C008" w14:textId="77777777" w:rsidR="00E575A9" w:rsidRPr="00032D7E" w:rsidRDefault="00E575A9" w:rsidP="002D3416">
      <w:pPr>
        <w:ind w:left="851"/>
        <w:rPr>
          <w:sz w:val="24"/>
          <w:szCs w:val="24"/>
          <w:lang w:val="en-IN"/>
        </w:rPr>
      </w:pPr>
      <w:r w:rsidRPr="00032D7E">
        <w:rPr>
          <w:sz w:val="24"/>
          <w:szCs w:val="24"/>
          <w:lang w:val="en-IN"/>
        </w:rPr>
        <w:t>Symptoms of SJS include typically although not exclusively, skin detachment (epidermal necrosis/blister) &lt; 10%, erythematous skin (confluent), rapid progression, painful atypical target-like lesions and/or purpuric macules in wide dissemination or large erythema (confluent), bullous/erosive involvement of more than 2 mucous membranes.</w:t>
      </w:r>
    </w:p>
    <w:p w14:paraId="715BDE47" w14:textId="77777777" w:rsidR="00E575A9" w:rsidRPr="00032D7E" w:rsidRDefault="00E575A9" w:rsidP="002D3416">
      <w:pPr>
        <w:ind w:left="851"/>
        <w:rPr>
          <w:sz w:val="24"/>
          <w:szCs w:val="24"/>
          <w:lang w:val="en-IN"/>
        </w:rPr>
      </w:pPr>
    </w:p>
    <w:p w14:paraId="6C6B2EDE" w14:textId="77777777" w:rsidR="00E575A9" w:rsidRPr="00032D7E" w:rsidRDefault="00E575A9" w:rsidP="002D3416">
      <w:pPr>
        <w:ind w:left="851"/>
        <w:rPr>
          <w:sz w:val="24"/>
          <w:szCs w:val="24"/>
          <w:lang w:val="en-IN"/>
        </w:rPr>
      </w:pPr>
      <w:r w:rsidRPr="00032D7E">
        <w:rPr>
          <w:sz w:val="24"/>
          <w:szCs w:val="24"/>
          <w:lang w:val="en-IN"/>
        </w:rPr>
        <w:t xml:space="preserve">If signs and symptoms suggestive of these reactions appear, </w:t>
      </w:r>
      <w:proofErr w:type="spellStart"/>
      <w:r w:rsidRPr="00032D7E">
        <w:rPr>
          <w:sz w:val="24"/>
          <w:szCs w:val="24"/>
          <w:lang w:val="en-IN"/>
        </w:rPr>
        <w:t>perampanel</w:t>
      </w:r>
      <w:proofErr w:type="spellEnd"/>
      <w:r w:rsidRPr="00032D7E">
        <w:rPr>
          <w:sz w:val="24"/>
          <w:szCs w:val="24"/>
          <w:lang w:val="en-IN"/>
        </w:rPr>
        <w:t xml:space="preserve"> should be withdrawn immediately and an alternative treatment considered (as appropriate).</w:t>
      </w:r>
    </w:p>
    <w:p w14:paraId="66F1FC33" w14:textId="77777777" w:rsidR="00E575A9" w:rsidRPr="00032D7E" w:rsidRDefault="00E575A9" w:rsidP="002D3416">
      <w:pPr>
        <w:ind w:left="851"/>
        <w:rPr>
          <w:sz w:val="24"/>
          <w:szCs w:val="24"/>
          <w:lang w:val="en-IN"/>
        </w:rPr>
      </w:pPr>
    </w:p>
    <w:p w14:paraId="6C650C9D" w14:textId="77777777" w:rsidR="00E575A9" w:rsidRPr="00032D7E" w:rsidRDefault="00E575A9" w:rsidP="002D3416">
      <w:pPr>
        <w:ind w:left="851"/>
        <w:rPr>
          <w:sz w:val="24"/>
          <w:szCs w:val="24"/>
          <w:lang w:val="en-IN"/>
        </w:rPr>
      </w:pPr>
      <w:r w:rsidRPr="00032D7E">
        <w:rPr>
          <w:sz w:val="24"/>
          <w:szCs w:val="24"/>
          <w:lang w:val="en-IN"/>
        </w:rPr>
        <w:t xml:space="preserve">If the patient has developed a serious reaction such as SJS or DRESS with the use of </w:t>
      </w:r>
      <w:proofErr w:type="spellStart"/>
      <w:r w:rsidRPr="00032D7E">
        <w:rPr>
          <w:sz w:val="24"/>
          <w:szCs w:val="24"/>
          <w:lang w:val="en-IN"/>
        </w:rPr>
        <w:t>perampanel</w:t>
      </w:r>
      <w:proofErr w:type="spellEnd"/>
      <w:r w:rsidRPr="00032D7E">
        <w:rPr>
          <w:sz w:val="24"/>
          <w:szCs w:val="24"/>
          <w:lang w:val="en-IN"/>
        </w:rPr>
        <w:t xml:space="preserve">, treatment with </w:t>
      </w:r>
      <w:proofErr w:type="spellStart"/>
      <w:r w:rsidRPr="00032D7E">
        <w:rPr>
          <w:sz w:val="24"/>
          <w:szCs w:val="24"/>
          <w:lang w:val="en-IN"/>
        </w:rPr>
        <w:t>perampanel</w:t>
      </w:r>
      <w:proofErr w:type="spellEnd"/>
      <w:r w:rsidRPr="00032D7E">
        <w:rPr>
          <w:sz w:val="24"/>
          <w:szCs w:val="24"/>
          <w:lang w:val="en-IN"/>
        </w:rPr>
        <w:t xml:space="preserve"> must not be restarted in this patient at any time.</w:t>
      </w:r>
    </w:p>
    <w:p w14:paraId="7BA1C5F0" w14:textId="77777777" w:rsidR="00E575A9" w:rsidRPr="00032D7E" w:rsidRDefault="00E575A9" w:rsidP="002D3416">
      <w:pPr>
        <w:ind w:left="851"/>
        <w:rPr>
          <w:sz w:val="24"/>
          <w:szCs w:val="24"/>
          <w:lang w:val="en-IN"/>
        </w:rPr>
      </w:pPr>
    </w:p>
    <w:p w14:paraId="08337F67" w14:textId="77777777" w:rsidR="00E575A9" w:rsidRPr="00032D7E" w:rsidRDefault="00E575A9" w:rsidP="002D3416">
      <w:pPr>
        <w:ind w:left="851"/>
        <w:rPr>
          <w:sz w:val="24"/>
          <w:szCs w:val="24"/>
          <w:u w:val="single"/>
          <w:lang w:val="en-IN"/>
        </w:rPr>
      </w:pPr>
      <w:r w:rsidRPr="00032D7E">
        <w:rPr>
          <w:sz w:val="24"/>
          <w:szCs w:val="24"/>
          <w:u w:val="single"/>
          <w:lang w:val="en-IN"/>
        </w:rPr>
        <w:t xml:space="preserve">Absence and myoclonic seizures </w:t>
      </w:r>
    </w:p>
    <w:p w14:paraId="3AAB4598" w14:textId="77777777" w:rsidR="00E575A9" w:rsidRPr="00032D7E" w:rsidRDefault="00E575A9" w:rsidP="002D3416">
      <w:pPr>
        <w:ind w:left="851"/>
        <w:rPr>
          <w:sz w:val="24"/>
          <w:szCs w:val="24"/>
          <w:lang w:val="en-IN"/>
        </w:rPr>
      </w:pPr>
    </w:p>
    <w:p w14:paraId="5799B461" w14:textId="77777777" w:rsidR="00E575A9" w:rsidRPr="00032D7E" w:rsidRDefault="00E575A9" w:rsidP="002D3416">
      <w:pPr>
        <w:ind w:left="851"/>
        <w:rPr>
          <w:sz w:val="24"/>
          <w:szCs w:val="24"/>
          <w:lang w:val="en-IN"/>
        </w:rPr>
      </w:pPr>
      <w:r w:rsidRPr="00032D7E">
        <w:rPr>
          <w:sz w:val="24"/>
          <w:szCs w:val="24"/>
          <w:lang w:val="en-IN"/>
        </w:rPr>
        <w:t xml:space="preserve">Absence and myoclonic seizures are two common generalised seizure types that frequently occur in IGE patients. Other AEDs are known to induce or aggravate these seizure types. Patients with myoclonic seizures and absence seizures should be monitored while on </w:t>
      </w:r>
      <w:proofErr w:type="spellStart"/>
      <w:r w:rsidRPr="00032D7E">
        <w:rPr>
          <w:sz w:val="24"/>
          <w:szCs w:val="24"/>
          <w:lang w:val="en-IN"/>
        </w:rPr>
        <w:t>perampanel</w:t>
      </w:r>
      <w:proofErr w:type="spellEnd"/>
      <w:r w:rsidRPr="00032D7E">
        <w:rPr>
          <w:sz w:val="24"/>
          <w:szCs w:val="24"/>
          <w:lang w:val="en-IN"/>
        </w:rPr>
        <w:t xml:space="preserve">. </w:t>
      </w:r>
    </w:p>
    <w:p w14:paraId="3EA9D71D" w14:textId="77777777" w:rsidR="00E575A9" w:rsidRPr="00032D7E" w:rsidRDefault="00E575A9" w:rsidP="002D3416">
      <w:pPr>
        <w:ind w:left="851"/>
        <w:rPr>
          <w:sz w:val="24"/>
          <w:szCs w:val="24"/>
          <w:lang w:val="en-IN"/>
        </w:rPr>
      </w:pPr>
    </w:p>
    <w:p w14:paraId="14AE4044" w14:textId="77777777" w:rsidR="00E575A9" w:rsidRPr="00032D7E" w:rsidRDefault="00E575A9" w:rsidP="002D3416">
      <w:pPr>
        <w:ind w:left="851"/>
        <w:rPr>
          <w:sz w:val="24"/>
          <w:szCs w:val="24"/>
          <w:u w:val="single"/>
          <w:lang w:val="en-IN"/>
        </w:rPr>
      </w:pPr>
      <w:r w:rsidRPr="00032D7E">
        <w:rPr>
          <w:sz w:val="24"/>
          <w:szCs w:val="24"/>
          <w:u w:val="single"/>
          <w:lang w:val="en-IN"/>
        </w:rPr>
        <w:t xml:space="preserve">Nervous system disorders </w:t>
      </w:r>
    </w:p>
    <w:p w14:paraId="7BE4242D" w14:textId="77777777" w:rsidR="00E575A9" w:rsidRPr="00032D7E" w:rsidRDefault="00E575A9" w:rsidP="002D3416">
      <w:pPr>
        <w:ind w:left="851"/>
        <w:rPr>
          <w:sz w:val="24"/>
          <w:szCs w:val="24"/>
          <w:lang w:val="en-IN"/>
        </w:rPr>
      </w:pPr>
    </w:p>
    <w:p w14:paraId="7A4CCA61" w14:textId="77777777" w:rsidR="00E575A9" w:rsidRPr="00032D7E" w:rsidRDefault="00E575A9" w:rsidP="002D3416">
      <w:pPr>
        <w:ind w:left="851"/>
        <w:rPr>
          <w:sz w:val="24"/>
          <w:szCs w:val="24"/>
          <w:lang w:val="en-IN"/>
        </w:rPr>
      </w:pPr>
      <w:proofErr w:type="spellStart"/>
      <w:r w:rsidRPr="00032D7E">
        <w:rPr>
          <w:sz w:val="24"/>
          <w:szCs w:val="24"/>
          <w:lang w:val="en-IN"/>
        </w:rPr>
        <w:t>Perampanel</w:t>
      </w:r>
      <w:proofErr w:type="spellEnd"/>
      <w:r w:rsidRPr="00032D7E">
        <w:rPr>
          <w:sz w:val="24"/>
          <w:szCs w:val="24"/>
          <w:lang w:val="en-IN"/>
        </w:rPr>
        <w:t xml:space="preserve"> may cause dizziness and somnolence and therefore may influence the ability to drive or use machines (see section 4.7). </w:t>
      </w:r>
    </w:p>
    <w:p w14:paraId="6EFCEB23" w14:textId="77777777" w:rsidR="00E575A9" w:rsidRPr="00032D7E" w:rsidRDefault="00E575A9" w:rsidP="002D3416">
      <w:pPr>
        <w:ind w:left="851"/>
        <w:rPr>
          <w:sz w:val="24"/>
          <w:szCs w:val="24"/>
          <w:lang w:val="en-IN"/>
        </w:rPr>
      </w:pPr>
    </w:p>
    <w:p w14:paraId="77D5A050" w14:textId="77777777" w:rsidR="00E575A9" w:rsidRPr="00032D7E" w:rsidRDefault="00E575A9" w:rsidP="002D3416">
      <w:pPr>
        <w:ind w:left="851"/>
        <w:rPr>
          <w:sz w:val="24"/>
          <w:szCs w:val="24"/>
          <w:u w:val="single"/>
          <w:lang w:val="en-IN"/>
        </w:rPr>
      </w:pPr>
      <w:r w:rsidRPr="00032D7E">
        <w:rPr>
          <w:sz w:val="24"/>
          <w:szCs w:val="24"/>
          <w:u w:val="single"/>
          <w:lang w:val="en-IN"/>
        </w:rPr>
        <w:t xml:space="preserve">Hormonal contraceptives </w:t>
      </w:r>
    </w:p>
    <w:p w14:paraId="59740DFA" w14:textId="77777777" w:rsidR="00E575A9" w:rsidRPr="00032D7E" w:rsidRDefault="00E575A9" w:rsidP="002D3416">
      <w:pPr>
        <w:ind w:left="851"/>
        <w:rPr>
          <w:sz w:val="24"/>
          <w:szCs w:val="24"/>
          <w:lang w:val="en-IN"/>
        </w:rPr>
      </w:pPr>
    </w:p>
    <w:p w14:paraId="544925D5" w14:textId="77777777" w:rsidR="00E575A9" w:rsidRPr="00032D7E" w:rsidRDefault="00E575A9" w:rsidP="002D3416">
      <w:pPr>
        <w:ind w:left="851"/>
        <w:rPr>
          <w:sz w:val="24"/>
          <w:szCs w:val="24"/>
          <w:lang w:val="en-IN"/>
        </w:rPr>
      </w:pPr>
      <w:r w:rsidRPr="00032D7E">
        <w:rPr>
          <w:sz w:val="24"/>
          <w:szCs w:val="24"/>
          <w:lang w:val="en-IN"/>
        </w:rPr>
        <w:t xml:space="preserve">At doses of 12 mg/day </w:t>
      </w:r>
      <w:proofErr w:type="spellStart"/>
      <w:r w:rsidRPr="00032D7E">
        <w:rPr>
          <w:sz w:val="24"/>
          <w:szCs w:val="24"/>
          <w:lang w:val="en-IN"/>
        </w:rPr>
        <w:t>perampanel</w:t>
      </w:r>
      <w:proofErr w:type="spellEnd"/>
      <w:r w:rsidRPr="00032D7E">
        <w:rPr>
          <w:sz w:val="24"/>
          <w:szCs w:val="24"/>
          <w:lang w:val="en-IN"/>
        </w:rPr>
        <w:t xml:space="preserve"> may decrease the effectiveness of </w:t>
      </w:r>
      <w:proofErr w:type="spellStart"/>
      <w:r w:rsidRPr="00032D7E">
        <w:rPr>
          <w:sz w:val="24"/>
          <w:szCs w:val="24"/>
          <w:lang w:val="en-IN"/>
        </w:rPr>
        <w:t>progestative</w:t>
      </w:r>
      <w:proofErr w:type="spellEnd"/>
      <w:r w:rsidRPr="00032D7E">
        <w:rPr>
          <w:sz w:val="24"/>
          <w:szCs w:val="24"/>
          <w:lang w:val="en-IN"/>
        </w:rPr>
        <w:t xml:space="preserve">-containing hormonal contraceptives; in this circumstance additional non-hormonal forms of contraception are recommended when using </w:t>
      </w:r>
      <w:proofErr w:type="spellStart"/>
      <w:r w:rsidRPr="00032D7E">
        <w:rPr>
          <w:sz w:val="24"/>
          <w:szCs w:val="24"/>
          <w:lang w:val="en-IN"/>
        </w:rPr>
        <w:t>perampanel</w:t>
      </w:r>
      <w:proofErr w:type="spellEnd"/>
      <w:r w:rsidRPr="00032D7E">
        <w:rPr>
          <w:sz w:val="24"/>
          <w:szCs w:val="24"/>
          <w:lang w:val="en-IN"/>
        </w:rPr>
        <w:t xml:space="preserve"> (see sections 4.5 and 4.6). </w:t>
      </w:r>
    </w:p>
    <w:p w14:paraId="153D3971" w14:textId="77777777" w:rsidR="00E575A9" w:rsidRPr="00032D7E" w:rsidRDefault="00E575A9" w:rsidP="002D3416">
      <w:pPr>
        <w:ind w:left="851"/>
        <w:rPr>
          <w:sz w:val="24"/>
          <w:szCs w:val="24"/>
          <w:lang w:val="en-IN"/>
        </w:rPr>
      </w:pPr>
    </w:p>
    <w:p w14:paraId="68D16E74" w14:textId="77777777" w:rsidR="00E575A9" w:rsidRPr="00032D7E" w:rsidRDefault="00E575A9" w:rsidP="002D3416">
      <w:pPr>
        <w:ind w:left="851"/>
        <w:rPr>
          <w:sz w:val="24"/>
          <w:szCs w:val="24"/>
          <w:u w:val="single"/>
          <w:lang w:val="en-IN"/>
        </w:rPr>
      </w:pPr>
      <w:r w:rsidRPr="00032D7E">
        <w:rPr>
          <w:sz w:val="24"/>
          <w:szCs w:val="24"/>
          <w:u w:val="single"/>
          <w:lang w:val="en-IN"/>
        </w:rPr>
        <w:t xml:space="preserve">Falls </w:t>
      </w:r>
    </w:p>
    <w:p w14:paraId="45874024" w14:textId="77777777" w:rsidR="00E575A9" w:rsidRPr="00032D7E" w:rsidRDefault="00E575A9" w:rsidP="002D3416">
      <w:pPr>
        <w:ind w:left="851"/>
        <w:rPr>
          <w:sz w:val="24"/>
          <w:szCs w:val="24"/>
          <w:lang w:val="en-IN"/>
        </w:rPr>
      </w:pPr>
    </w:p>
    <w:p w14:paraId="70B48369" w14:textId="77777777" w:rsidR="00E575A9" w:rsidRPr="00032D7E" w:rsidRDefault="00E575A9" w:rsidP="002D3416">
      <w:pPr>
        <w:ind w:left="851"/>
        <w:rPr>
          <w:sz w:val="24"/>
          <w:szCs w:val="24"/>
          <w:lang w:val="en-IN"/>
        </w:rPr>
      </w:pPr>
      <w:r w:rsidRPr="00032D7E">
        <w:rPr>
          <w:sz w:val="24"/>
          <w:szCs w:val="24"/>
          <w:lang w:val="en-IN"/>
        </w:rPr>
        <w:t xml:space="preserve">There appears to be an increased risk of falls, particularly in the elderly; the underlying reason is unclear. </w:t>
      </w:r>
    </w:p>
    <w:p w14:paraId="58224748" w14:textId="77777777" w:rsidR="00E575A9" w:rsidRPr="00032D7E" w:rsidRDefault="00E575A9" w:rsidP="002D3416">
      <w:pPr>
        <w:ind w:left="851"/>
        <w:rPr>
          <w:sz w:val="24"/>
          <w:szCs w:val="24"/>
          <w:lang w:val="en-IN"/>
        </w:rPr>
      </w:pPr>
    </w:p>
    <w:p w14:paraId="361583FA" w14:textId="77777777" w:rsidR="00E575A9" w:rsidRPr="00032D7E" w:rsidRDefault="00E575A9" w:rsidP="002D3416">
      <w:pPr>
        <w:ind w:left="851"/>
        <w:rPr>
          <w:sz w:val="24"/>
          <w:szCs w:val="24"/>
          <w:u w:val="single"/>
          <w:lang w:val="en-IN"/>
        </w:rPr>
      </w:pPr>
      <w:r w:rsidRPr="00032D7E">
        <w:rPr>
          <w:sz w:val="24"/>
          <w:szCs w:val="24"/>
          <w:u w:val="single"/>
          <w:lang w:val="en-IN"/>
        </w:rPr>
        <w:t>Aggression, psychotic disorder</w:t>
      </w:r>
    </w:p>
    <w:p w14:paraId="7274DA18" w14:textId="77777777" w:rsidR="00E575A9" w:rsidRPr="00032D7E" w:rsidRDefault="00E575A9" w:rsidP="002D3416">
      <w:pPr>
        <w:ind w:left="851"/>
        <w:rPr>
          <w:sz w:val="24"/>
          <w:szCs w:val="24"/>
          <w:lang w:val="en-IN"/>
        </w:rPr>
      </w:pPr>
    </w:p>
    <w:p w14:paraId="07DFC77A" w14:textId="77777777" w:rsidR="00E575A9" w:rsidRPr="00032D7E" w:rsidRDefault="00E575A9" w:rsidP="002D3416">
      <w:pPr>
        <w:ind w:left="851"/>
        <w:rPr>
          <w:sz w:val="24"/>
          <w:szCs w:val="24"/>
          <w:lang w:val="en-IN"/>
        </w:rPr>
      </w:pPr>
      <w:r w:rsidRPr="00032D7E">
        <w:rPr>
          <w:sz w:val="24"/>
          <w:szCs w:val="24"/>
          <w:lang w:val="en-IN"/>
        </w:rPr>
        <w:t xml:space="preserve">Aggressive, hostile, and abnormal behaviours have been reported in patients receiving </w:t>
      </w:r>
      <w:proofErr w:type="spellStart"/>
      <w:r w:rsidRPr="00032D7E">
        <w:rPr>
          <w:sz w:val="24"/>
          <w:szCs w:val="24"/>
          <w:lang w:val="en-IN"/>
        </w:rPr>
        <w:t>perampanel</w:t>
      </w:r>
      <w:proofErr w:type="spellEnd"/>
      <w:r w:rsidRPr="00032D7E">
        <w:rPr>
          <w:sz w:val="24"/>
          <w:szCs w:val="24"/>
          <w:lang w:val="en-IN"/>
        </w:rPr>
        <w:t xml:space="preserve"> therapy. In </w:t>
      </w:r>
      <w:proofErr w:type="spellStart"/>
      <w:r w:rsidRPr="00032D7E">
        <w:rPr>
          <w:sz w:val="24"/>
          <w:szCs w:val="24"/>
          <w:lang w:val="en-IN"/>
        </w:rPr>
        <w:t>perampanel</w:t>
      </w:r>
      <w:proofErr w:type="spellEnd"/>
      <w:r w:rsidRPr="00032D7E">
        <w:rPr>
          <w:sz w:val="24"/>
          <w:szCs w:val="24"/>
          <w:lang w:val="en-IN"/>
        </w:rPr>
        <w:t xml:space="preserve">-treated patients in clinical trials, aggression, anger, irritability, and psychotic </w:t>
      </w:r>
      <w:r w:rsidRPr="00032D7E">
        <w:rPr>
          <w:sz w:val="24"/>
          <w:szCs w:val="24"/>
          <w:u w:val="single"/>
          <w:lang w:val="en-IN"/>
        </w:rPr>
        <w:t>disorder</w:t>
      </w:r>
      <w:r w:rsidRPr="00032D7E">
        <w:rPr>
          <w:sz w:val="24"/>
          <w:szCs w:val="24"/>
          <w:lang w:val="en-IN"/>
        </w:rPr>
        <w:t xml:space="preserve"> were reported more frequently at higher doses. Most of the reported events were either mild or moderate, and patients recovered either spontaneously or with dose adjustment. However, thoughts of harming others, physical assault, or threatening behaviour were observed in some patients (&lt;1% in </w:t>
      </w:r>
      <w:proofErr w:type="spellStart"/>
      <w:r w:rsidRPr="00032D7E">
        <w:rPr>
          <w:sz w:val="24"/>
          <w:szCs w:val="24"/>
          <w:lang w:val="en-IN"/>
        </w:rPr>
        <w:t>perampanel</w:t>
      </w:r>
      <w:proofErr w:type="spellEnd"/>
      <w:r w:rsidRPr="00032D7E">
        <w:rPr>
          <w:sz w:val="24"/>
          <w:szCs w:val="24"/>
          <w:lang w:val="en-IN"/>
        </w:rPr>
        <w:t xml:space="preserve"> clinical trials). Homicidal ideation has been reported in patients. Patients and caregivers should be counselled to alert a healthcare professional immediately if significant changes in mood or patterns of behaviour are noted. The dosage of </w:t>
      </w:r>
      <w:proofErr w:type="spellStart"/>
      <w:r w:rsidRPr="00032D7E">
        <w:rPr>
          <w:sz w:val="24"/>
          <w:szCs w:val="24"/>
          <w:lang w:val="en-IN"/>
        </w:rPr>
        <w:t>perampanel</w:t>
      </w:r>
      <w:proofErr w:type="spellEnd"/>
      <w:r w:rsidRPr="00032D7E">
        <w:rPr>
          <w:sz w:val="24"/>
          <w:szCs w:val="24"/>
          <w:lang w:val="en-IN"/>
        </w:rPr>
        <w:t xml:space="preserve"> should be reduced if such symptoms occur and discontinuation should be considered if symptoms are severe (see section 4.2). </w:t>
      </w:r>
    </w:p>
    <w:p w14:paraId="2EF4576E" w14:textId="77777777" w:rsidR="00E575A9" w:rsidRPr="00032D7E" w:rsidRDefault="00E575A9" w:rsidP="002D3416">
      <w:pPr>
        <w:ind w:left="851"/>
        <w:rPr>
          <w:sz w:val="24"/>
          <w:szCs w:val="24"/>
          <w:lang w:val="en-IN"/>
        </w:rPr>
      </w:pPr>
    </w:p>
    <w:p w14:paraId="6ECAF511" w14:textId="77777777" w:rsidR="00E575A9" w:rsidRPr="00032D7E" w:rsidRDefault="00E575A9" w:rsidP="002D3416">
      <w:pPr>
        <w:ind w:left="851"/>
        <w:rPr>
          <w:sz w:val="24"/>
          <w:szCs w:val="24"/>
          <w:u w:val="single"/>
          <w:lang w:val="en-IN"/>
        </w:rPr>
      </w:pPr>
      <w:r w:rsidRPr="00032D7E">
        <w:rPr>
          <w:sz w:val="24"/>
          <w:szCs w:val="24"/>
          <w:u w:val="single"/>
          <w:lang w:val="en-IN"/>
        </w:rPr>
        <w:t xml:space="preserve">Abuse potential </w:t>
      </w:r>
    </w:p>
    <w:p w14:paraId="7B2892C5" w14:textId="77777777" w:rsidR="00E575A9" w:rsidRPr="00032D7E" w:rsidRDefault="00E575A9" w:rsidP="002D3416">
      <w:pPr>
        <w:ind w:left="851"/>
        <w:rPr>
          <w:sz w:val="24"/>
          <w:szCs w:val="24"/>
          <w:lang w:val="en-IN"/>
        </w:rPr>
      </w:pPr>
    </w:p>
    <w:p w14:paraId="5E938AAC" w14:textId="77777777" w:rsidR="00E575A9" w:rsidRPr="00032D7E" w:rsidRDefault="00E575A9" w:rsidP="002D3416">
      <w:pPr>
        <w:ind w:left="851"/>
        <w:rPr>
          <w:sz w:val="24"/>
          <w:szCs w:val="24"/>
          <w:lang w:val="en-IN"/>
        </w:rPr>
      </w:pPr>
      <w:r w:rsidRPr="00032D7E">
        <w:rPr>
          <w:sz w:val="24"/>
          <w:szCs w:val="24"/>
          <w:lang w:val="en-IN"/>
        </w:rPr>
        <w:t xml:space="preserve">Caution should be exercised in patients with a history of substance </w:t>
      </w:r>
      <w:proofErr w:type="gramStart"/>
      <w:r w:rsidRPr="00032D7E">
        <w:rPr>
          <w:sz w:val="24"/>
          <w:szCs w:val="24"/>
          <w:lang w:val="en-IN"/>
        </w:rPr>
        <w:t>abuse</w:t>
      </w:r>
      <w:proofErr w:type="gramEnd"/>
      <w:r w:rsidRPr="00032D7E">
        <w:rPr>
          <w:sz w:val="24"/>
          <w:szCs w:val="24"/>
          <w:lang w:val="en-IN"/>
        </w:rPr>
        <w:t xml:space="preserve"> and the patient should be monitored for symptoms of </w:t>
      </w:r>
      <w:proofErr w:type="spellStart"/>
      <w:r w:rsidRPr="00032D7E">
        <w:rPr>
          <w:sz w:val="24"/>
          <w:szCs w:val="24"/>
          <w:lang w:val="en-IN"/>
        </w:rPr>
        <w:t>perampanel</w:t>
      </w:r>
      <w:proofErr w:type="spellEnd"/>
      <w:r w:rsidRPr="00032D7E">
        <w:rPr>
          <w:sz w:val="24"/>
          <w:szCs w:val="24"/>
          <w:lang w:val="en-IN"/>
        </w:rPr>
        <w:t xml:space="preserve"> abuse. </w:t>
      </w:r>
    </w:p>
    <w:p w14:paraId="5D3BD31B" w14:textId="77777777" w:rsidR="00E575A9" w:rsidRPr="00032D7E" w:rsidRDefault="00E575A9" w:rsidP="002D3416">
      <w:pPr>
        <w:ind w:left="851"/>
        <w:rPr>
          <w:sz w:val="24"/>
          <w:szCs w:val="24"/>
          <w:lang w:val="en-IN"/>
        </w:rPr>
      </w:pPr>
    </w:p>
    <w:p w14:paraId="5B1E9EDB" w14:textId="77777777" w:rsidR="00E575A9" w:rsidRPr="00032D7E" w:rsidRDefault="00E575A9" w:rsidP="002D3416">
      <w:pPr>
        <w:ind w:left="851"/>
        <w:rPr>
          <w:sz w:val="24"/>
          <w:szCs w:val="24"/>
          <w:u w:val="single"/>
          <w:lang w:val="en-IN"/>
        </w:rPr>
      </w:pPr>
      <w:r w:rsidRPr="00032D7E">
        <w:rPr>
          <w:sz w:val="24"/>
          <w:szCs w:val="24"/>
          <w:u w:val="single"/>
          <w:lang w:val="en-IN"/>
        </w:rPr>
        <w:t xml:space="preserve">Concomitant CYP 3A inducing anti-epileptic medicinal products </w:t>
      </w:r>
    </w:p>
    <w:p w14:paraId="40C10E8D" w14:textId="77777777" w:rsidR="00E575A9" w:rsidRPr="00032D7E" w:rsidRDefault="00E575A9" w:rsidP="002D3416">
      <w:pPr>
        <w:ind w:left="851"/>
        <w:rPr>
          <w:sz w:val="24"/>
          <w:szCs w:val="24"/>
          <w:lang w:val="en-IN"/>
        </w:rPr>
      </w:pPr>
    </w:p>
    <w:p w14:paraId="49580CA4" w14:textId="77777777" w:rsidR="00E575A9" w:rsidRPr="00032D7E" w:rsidRDefault="00E575A9" w:rsidP="002D3416">
      <w:pPr>
        <w:ind w:left="851"/>
        <w:rPr>
          <w:sz w:val="24"/>
          <w:szCs w:val="24"/>
          <w:lang w:val="en-IN"/>
        </w:rPr>
      </w:pPr>
      <w:r w:rsidRPr="00032D7E">
        <w:rPr>
          <w:sz w:val="24"/>
          <w:szCs w:val="24"/>
          <w:lang w:val="en-IN"/>
        </w:rPr>
        <w:t xml:space="preserve">Response rates after addition of </w:t>
      </w:r>
      <w:proofErr w:type="spellStart"/>
      <w:r w:rsidRPr="00032D7E">
        <w:rPr>
          <w:sz w:val="24"/>
          <w:szCs w:val="24"/>
          <w:lang w:val="en-IN"/>
        </w:rPr>
        <w:t>perampanel</w:t>
      </w:r>
      <w:proofErr w:type="spellEnd"/>
      <w:r w:rsidRPr="00032D7E">
        <w:rPr>
          <w:sz w:val="24"/>
          <w:szCs w:val="24"/>
          <w:lang w:val="en-IN"/>
        </w:rPr>
        <w:t xml:space="preserve"> at fixed doses were less when patients received concomitant CYP3A enzyme-inducing anti-epileptic medicinal products (carbamazepine, phenytoin, oxcarbazepine) as compared to response rates in patient who received concomitant non-enzyme-inducing anti-epileptic medicinal products. Patients’ response should be monitored when they are switching from concomitant non-inducer anti-epileptic medicinal products to enzyme inducing medicinal products and vice versa. Depending upon individual clinical response and tolerability, the dose may be increased or decreased 2 mg at a time (see section 4.2). </w:t>
      </w:r>
    </w:p>
    <w:p w14:paraId="51E9CC1D" w14:textId="77777777" w:rsidR="00E575A9" w:rsidRPr="00032D7E" w:rsidRDefault="00E575A9" w:rsidP="002D3416">
      <w:pPr>
        <w:ind w:left="851"/>
        <w:rPr>
          <w:sz w:val="24"/>
          <w:szCs w:val="24"/>
          <w:lang w:val="en-IN"/>
        </w:rPr>
      </w:pPr>
    </w:p>
    <w:p w14:paraId="11485AE4" w14:textId="77777777" w:rsidR="00E575A9" w:rsidRPr="00032D7E" w:rsidRDefault="00E575A9" w:rsidP="002D3416">
      <w:pPr>
        <w:ind w:left="851"/>
        <w:rPr>
          <w:sz w:val="24"/>
          <w:szCs w:val="24"/>
          <w:u w:val="single"/>
          <w:lang w:val="en-IN"/>
        </w:rPr>
      </w:pPr>
      <w:r w:rsidRPr="00032D7E">
        <w:rPr>
          <w:sz w:val="24"/>
          <w:szCs w:val="24"/>
          <w:u w:val="single"/>
          <w:lang w:val="en-IN"/>
        </w:rPr>
        <w:t xml:space="preserve">Other concomitant (non- anti-epileptic) cytochrome P450 inducing or inhibiting medicinal products </w:t>
      </w:r>
    </w:p>
    <w:p w14:paraId="1FD394F4" w14:textId="77777777" w:rsidR="00E575A9" w:rsidRPr="00032D7E" w:rsidRDefault="00E575A9" w:rsidP="002D3416">
      <w:pPr>
        <w:ind w:left="851"/>
        <w:rPr>
          <w:sz w:val="24"/>
          <w:szCs w:val="24"/>
          <w:lang w:val="en-IN"/>
        </w:rPr>
      </w:pPr>
    </w:p>
    <w:p w14:paraId="130609FE" w14:textId="77777777" w:rsidR="00E575A9" w:rsidRPr="00032D7E" w:rsidRDefault="00E575A9" w:rsidP="002D3416">
      <w:pPr>
        <w:ind w:left="851"/>
        <w:rPr>
          <w:sz w:val="24"/>
          <w:szCs w:val="24"/>
          <w:lang w:val="en-IN"/>
        </w:rPr>
      </w:pPr>
      <w:r w:rsidRPr="00032D7E">
        <w:rPr>
          <w:sz w:val="24"/>
          <w:szCs w:val="24"/>
          <w:lang w:val="en-IN"/>
        </w:rPr>
        <w:t xml:space="preserve">Patients should be closely monitored for tolerability and clinical response when adding or removing cytochrome P450 inducers or inhibitors, since </w:t>
      </w:r>
      <w:proofErr w:type="spellStart"/>
      <w:r w:rsidRPr="00032D7E">
        <w:rPr>
          <w:sz w:val="24"/>
          <w:szCs w:val="24"/>
          <w:lang w:val="en-IN"/>
        </w:rPr>
        <w:t>perampanel</w:t>
      </w:r>
      <w:proofErr w:type="spellEnd"/>
      <w:r w:rsidRPr="00032D7E">
        <w:rPr>
          <w:sz w:val="24"/>
          <w:szCs w:val="24"/>
          <w:lang w:val="en-IN"/>
        </w:rPr>
        <w:t xml:space="preserve"> plasma levels can be decreased or increased; the dose of </w:t>
      </w:r>
      <w:proofErr w:type="spellStart"/>
      <w:r w:rsidRPr="00032D7E">
        <w:rPr>
          <w:sz w:val="24"/>
          <w:szCs w:val="24"/>
          <w:lang w:val="en-IN"/>
        </w:rPr>
        <w:t>perampanel</w:t>
      </w:r>
      <w:proofErr w:type="spellEnd"/>
      <w:r w:rsidRPr="00032D7E">
        <w:rPr>
          <w:sz w:val="24"/>
          <w:szCs w:val="24"/>
          <w:lang w:val="en-IN"/>
        </w:rPr>
        <w:t xml:space="preserve"> may need to be adjusted accordingly.</w:t>
      </w:r>
    </w:p>
    <w:p w14:paraId="69BA1556" w14:textId="77777777" w:rsidR="00E575A9" w:rsidRPr="00032D7E" w:rsidRDefault="00E575A9" w:rsidP="002D3416">
      <w:pPr>
        <w:ind w:left="851"/>
        <w:rPr>
          <w:sz w:val="24"/>
          <w:szCs w:val="24"/>
          <w:lang w:val="en-IN"/>
        </w:rPr>
      </w:pPr>
    </w:p>
    <w:p w14:paraId="22D169B2" w14:textId="77777777" w:rsidR="00E575A9" w:rsidRPr="00032D7E" w:rsidRDefault="00E575A9" w:rsidP="002D3416">
      <w:pPr>
        <w:ind w:left="851"/>
        <w:rPr>
          <w:sz w:val="24"/>
          <w:szCs w:val="24"/>
          <w:u w:val="single"/>
          <w:lang w:val="en-IN"/>
        </w:rPr>
      </w:pPr>
      <w:r w:rsidRPr="00032D7E">
        <w:rPr>
          <w:sz w:val="24"/>
          <w:szCs w:val="24"/>
          <w:u w:val="single"/>
          <w:lang w:val="en-IN"/>
        </w:rPr>
        <w:t xml:space="preserve">Hepatotoxicity </w:t>
      </w:r>
    </w:p>
    <w:p w14:paraId="56D0A941" w14:textId="77777777" w:rsidR="00E575A9" w:rsidRPr="00032D7E" w:rsidRDefault="00E575A9" w:rsidP="002D3416">
      <w:pPr>
        <w:ind w:left="851"/>
        <w:rPr>
          <w:sz w:val="24"/>
          <w:szCs w:val="24"/>
          <w:lang w:val="en-IN"/>
        </w:rPr>
      </w:pPr>
    </w:p>
    <w:p w14:paraId="1DFA096B" w14:textId="77777777" w:rsidR="00E575A9" w:rsidRPr="00032D7E" w:rsidRDefault="00E575A9" w:rsidP="002D3416">
      <w:pPr>
        <w:ind w:left="851"/>
        <w:rPr>
          <w:sz w:val="24"/>
          <w:szCs w:val="24"/>
          <w:lang w:val="en-IN"/>
        </w:rPr>
      </w:pPr>
      <w:r w:rsidRPr="00032D7E">
        <w:rPr>
          <w:sz w:val="24"/>
          <w:szCs w:val="24"/>
          <w:lang w:val="en-IN"/>
        </w:rPr>
        <w:t xml:space="preserve">Cases of hepatotoxicity (mainly hepatic enzyme increased) with </w:t>
      </w:r>
      <w:proofErr w:type="spellStart"/>
      <w:r w:rsidRPr="00032D7E">
        <w:rPr>
          <w:sz w:val="24"/>
          <w:szCs w:val="24"/>
          <w:lang w:val="en-IN"/>
        </w:rPr>
        <w:t>perampanel</w:t>
      </w:r>
      <w:proofErr w:type="spellEnd"/>
      <w:r w:rsidRPr="00032D7E">
        <w:rPr>
          <w:sz w:val="24"/>
          <w:szCs w:val="24"/>
          <w:lang w:val="en-IN"/>
        </w:rPr>
        <w:t xml:space="preserve"> in combination with other antiepileptic drugs have been reported. If hepatic enzymes elevation is observed, monitoring of liver function should be considered. </w:t>
      </w:r>
    </w:p>
    <w:p w14:paraId="1C480971" w14:textId="77777777" w:rsidR="00E575A9" w:rsidRPr="00032D7E" w:rsidRDefault="00E575A9" w:rsidP="002D3416">
      <w:pPr>
        <w:ind w:left="851"/>
        <w:rPr>
          <w:sz w:val="24"/>
          <w:szCs w:val="24"/>
          <w:lang w:val="en-IN"/>
        </w:rPr>
      </w:pPr>
    </w:p>
    <w:p w14:paraId="129EF70A" w14:textId="77777777" w:rsidR="00E575A9" w:rsidRPr="00032D7E" w:rsidRDefault="00E575A9" w:rsidP="002D3416">
      <w:pPr>
        <w:ind w:left="851"/>
        <w:rPr>
          <w:sz w:val="24"/>
          <w:szCs w:val="24"/>
          <w:u w:val="single"/>
          <w:lang w:val="en-IN"/>
        </w:rPr>
      </w:pPr>
      <w:r w:rsidRPr="00032D7E">
        <w:rPr>
          <w:sz w:val="24"/>
          <w:szCs w:val="24"/>
          <w:u w:val="single"/>
          <w:lang w:val="en-IN"/>
        </w:rPr>
        <w:t xml:space="preserve">Excipients </w:t>
      </w:r>
    </w:p>
    <w:p w14:paraId="7777FCF1" w14:textId="77777777" w:rsidR="00E575A9" w:rsidRPr="00032D7E" w:rsidRDefault="00E575A9" w:rsidP="002D3416">
      <w:pPr>
        <w:ind w:left="851"/>
        <w:rPr>
          <w:sz w:val="24"/>
          <w:szCs w:val="24"/>
          <w:lang w:val="en-IN"/>
        </w:rPr>
      </w:pPr>
    </w:p>
    <w:p w14:paraId="512FA03D" w14:textId="77777777" w:rsidR="00E575A9" w:rsidRPr="00032D7E" w:rsidRDefault="00E575A9" w:rsidP="002D3416">
      <w:pPr>
        <w:ind w:left="851"/>
        <w:rPr>
          <w:sz w:val="24"/>
          <w:szCs w:val="24"/>
          <w:lang w:val="en-IN"/>
        </w:rPr>
      </w:pPr>
      <w:proofErr w:type="spellStart"/>
      <w:r w:rsidRPr="00032D7E">
        <w:rPr>
          <w:sz w:val="24"/>
          <w:szCs w:val="24"/>
          <w:lang w:val="en-IN"/>
        </w:rPr>
        <w:t>Perampanel</w:t>
      </w:r>
      <w:proofErr w:type="spellEnd"/>
      <w:r w:rsidRPr="00032D7E">
        <w:rPr>
          <w:sz w:val="24"/>
          <w:szCs w:val="24"/>
          <w:lang w:val="en-IN"/>
        </w:rPr>
        <w:t xml:space="preserve"> tablets contains lactose, therefore patients with rare hereditary problems of galactose intolerance, the total lactase deficiency or glucose-galactose malabsorption should not take this medicine. </w:t>
      </w:r>
    </w:p>
    <w:p w14:paraId="414E6626" w14:textId="77777777" w:rsidR="007C5D2A" w:rsidRPr="00032D7E" w:rsidRDefault="007C5D2A" w:rsidP="003E0341">
      <w:pPr>
        <w:tabs>
          <w:tab w:val="left" w:pos="851"/>
        </w:tabs>
        <w:ind w:left="851"/>
        <w:rPr>
          <w:sz w:val="24"/>
          <w:szCs w:val="24"/>
          <w:lang w:val="en-IN"/>
        </w:rPr>
      </w:pPr>
    </w:p>
    <w:p w14:paraId="77B183FD" w14:textId="77777777" w:rsidR="007C5D2A" w:rsidRPr="00032D7E" w:rsidRDefault="007C5D2A" w:rsidP="007C5D2A">
      <w:pPr>
        <w:ind w:left="851" w:hanging="851"/>
        <w:rPr>
          <w:b/>
          <w:sz w:val="24"/>
          <w:szCs w:val="24"/>
          <w:lang w:val="en-GB"/>
        </w:rPr>
      </w:pPr>
      <w:r w:rsidRPr="00032D7E">
        <w:rPr>
          <w:b/>
          <w:sz w:val="24"/>
          <w:szCs w:val="24"/>
          <w:lang w:val="en-GB"/>
        </w:rPr>
        <w:t>4.5</w:t>
      </w:r>
      <w:r w:rsidRPr="00032D7E">
        <w:rPr>
          <w:b/>
          <w:sz w:val="24"/>
          <w:szCs w:val="24"/>
          <w:lang w:val="en-GB"/>
        </w:rPr>
        <w:tab/>
        <w:t>Interaction with other medicinal products and other forms of interaction</w:t>
      </w:r>
    </w:p>
    <w:p w14:paraId="717E0A5A" w14:textId="77777777" w:rsidR="00E575A9" w:rsidRPr="00E575A9" w:rsidRDefault="00E575A9" w:rsidP="002D3416">
      <w:pPr>
        <w:ind w:left="851"/>
        <w:rPr>
          <w:sz w:val="24"/>
          <w:szCs w:val="24"/>
          <w:lang w:val="en-IN"/>
        </w:rPr>
      </w:pPr>
      <w:proofErr w:type="spellStart"/>
      <w:r w:rsidRPr="00E575A9">
        <w:rPr>
          <w:sz w:val="24"/>
          <w:szCs w:val="24"/>
          <w:lang w:val="en-IN"/>
        </w:rPr>
        <w:t>Perampanel</w:t>
      </w:r>
      <w:proofErr w:type="spellEnd"/>
      <w:r w:rsidRPr="00E575A9">
        <w:rPr>
          <w:sz w:val="24"/>
          <w:szCs w:val="24"/>
          <w:lang w:val="en-IN"/>
        </w:rPr>
        <w:t xml:space="preserve"> is not considered a strong inducer or inhibitor of cytochrome P450 or UGT enzymes (see section 5.2). </w:t>
      </w:r>
    </w:p>
    <w:p w14:paraId="0B601A1B" w14:textId="77777777" w:rsidR="00E575A9" w:rsidRPr="00E575A9" w:rsidRDefault="00E575A9" w:rsidP="002D3416">
      <w:pPr>
        <w:ind w:left="851"/>
        <w:rPr>
          <w:sz w:val="24"/>
          <w:szCs w:val="24"/>
          <w:lang w:val="en-IN"/>
        </w:rPr>
      </w:pPr>
    </w:p>
    <w:p w14:paraId="00D63795" w14:textId="77777777" w:rsidR="00E575A9" w:rsidRPr="00E575A9" w:rsidRDefault="00E575A9" w:rsidP="002D3416">
      <w:pPr>
        <w:ind w:left="851"/>
        <w:rPr>
          <w:sz w:val="24"/>
          <w:szCs w:val="24"/>
          <w:u w:val="single"/>
          <w:lang w:val="en-IN"/>
        </w:rPr>
      </w:pPr>
      <w:r w:rsidRPr="00E575A9">
        <w:rPr>
          <w:sz w:val="24"/>
          <w:szCs w:val="24"/>
          <w:u w:val="single"/>
          <w:lang w:val="en-IN"/>
        </w:rPr>
        <w:t xml:space="preserve">Hormonal contraceptives </w:t>
      </w:r>
    </w:p>
    <w:p w14:paraId="351F0454" w14:textId="77777777" w:rsidR="00E575A9" w:rsidRPr="00E575A9" w:rsidRDefault="00E575A9" w:rsidP="002D3416">
      <w:pPr>
        <w:ind w:left="851"/>
        <w:rPr>
          <w:sz w:val="24"/>
          <w:szCs w:val="24"/>
          <w:u w:val="single"/>
          <w:lang w:val="en-IN"/>
        </w:rPr>
      </w:pPr>
    </w:p>
    <w:p w14:paraId="01F5E303" w14:textId="77777777" w:rsidR="00E575A9" w:rsidRPr="00E575A9" w:rsidRDefault="00E575A9" w:rsidP="002D3416">
      <w:pPr>
        <w:ind w:left="851"/>
        <w:rPr>
          <w:sz w:val="24"/>
          <w:szCs w:val="24"/>
          <w:lang w:val="en-IN"/>
        </w:rPr>
      </w:pPr>
      <w:r w:rsidRPr="00E575A9">
        <w:rPr>
          <w:sz w:val="24"/>
          <w:szCs w:val="24"/>
          <w:lang w:val="en-IN"/>
        </w:rPr>
        <w:t xml:space="preserve">In healthy women receiving 12 mg (but not 4 or 8 mg/day) for 21 days concomitantly with a combined oral contraceptive, </w:t>
      </w:r>
      <w:proofErr w:type="spellStart"/>
      <w:r w:rsidRPr="00E575A9">
        <w:rPr>
          <w:sz w:val="24"/>
          <w:szCs w:val="24"/>
          <w:lang w:val="en-IN"/>
        </w:rPr>
        <w:t>perampanel</w:t>
      </w:r>
      <w:proofErr w:type="spellEnd"/>
      <w:r w:rsidRPr="00E575A9">
        <w:rPr>
          <w:sz w:val="24"/>
          <w:szCs w:val="24"/>
          <w:lang w:val="en-IN"/>
        </w:rPr>
        <w:t xml:space="preserve"> was shown to decrease the levonorgestrel exposure (mean C</w:t>
      </w:r>
      <w:r w:rsidRPr="00E575A9">
        <w:rPr>
          <w:sz w:val="24"/>
          <w:szCs w:val="24"/>
          <w:vertAlign w:val="subscript"/>
          <w:lang w:val="en-IN"/>
        </w:rPr>
        <w:t>max</w:t>
      </w:r>
      <w:r w:rsidRPr="00E575A9">
        <w:rPr>
          <w:sz w:val="24"/>
          <w:szCs w:val="24"/>
          <w:lang w:val="en-IN"/>
        </w:rPr>
        <w:t xml:space="preserve"> and AUC values were each decreased by 40%). </w:t>
      </w:r>
      <w:proofErr w:type="spellStart"/>
      <w:r w:rsidRPr="00E575A9">
        <w:rPr>
          <w:sz w:val="24"/>
          <w:szCs w:val="24"/>
          <w:lang w:val="en-IN"/>
        </w:rPr>
        <w:t>Ethinylestradiol</w:t>
      </w:r>
      <w:proofErr w:type="spellEnd"/>
      <w:r w:rsidRPr="00E575A9">
        <w:rPr>
          <w:sz w:val="24"/>
          <w:szCs w:val="24"/>
          <w:lang w:val="en-IN"/>
        </w:rPr>
        <w:t xml:space="preserve"> AUC was not affected by </w:t>
      </w:r>
      <w:proofErr w:type="spellStart"/>
      <w:r w:rsidRPr="00E575A9">
        <w:rPr>
          <w:sz w:val="24"/>
          <w:szCs w:val="24"/>
          <w:lang w:val="en-IN"/>
        </w:rPr>
        <w:t>perampanel</w:t>
      </w:r>
      <w:proofErr w:type="spellEnd"/>
      <w:r w:rsidRPr="00E575A9">
        <w:rPr>
          <w:sz w:val="24"/>
          <w:szCs w:val="24"/>
          <w:lang w:val="en-IN"/>
        </w:rPr>
        <w:t xml:space="preserve"> 12 mg whereas C</w:t>
      </w:r>
      <w:r w:rsidRPr="00E575A9">
        <w:rPr>
          <w:sz w:val="24"/>
          <w:szCs w:val="24"/>
          <w:vertAlign w:val="subscript"/>
          <w:lang w:val="en-IN"/>
        </w:rPr>
        <w:t>max</w:t>
      </w:r>
      <w:r w:rsidRPr="00E575A9">
        <w:rPr>
          <w:sz w:val="24"/>
          <w:szCs w:val="24"/>
          <w:lang w:val="en-IN"/>
        </w:rPr>
        <w:t xml:space="preserve"> was decreased by 18%. Therefore, the possibility of decreased efficacy of hormonal </w:t>
      </w:r>
      <w:proofErr w:type="spellStart"/>
      <w:r w:rsidRPr="00E575A9">
        <w:rPr>
          <w:sz w:val="24"/>
          <w:szCs w:val="24"/>
          <w:lang w:val="en-IN"/>
        </w:rPr>
        <w:t>progestative</w:t>
      </w:r>
      <w:proofErr w:type="spellEnd"/>
      <w:r w:rsidRPr="00E575A9">
        <w:rPr>
          <w:sz w:val="24"/>
          <w:szCs w:val="24"/>
          <w:lang w:val="en-IN"/>
        </w:rPr>
        <w:t xml:space="preserve">-containing contraceptives should be considered for women needing </w:t>
      </w:r>
      <w:proofErr w:type="spellStart"/>
      <w:r w:rsidRPr="00E575A9">
        <w:rPr>
          <w:sz w:val="24"/>
          <w:szCs w:val="24"/>
          <w:lang w:val="en-IN"/>
        </w:rPr>
        <w:t>perampanel</w:t>
      </w:r>
      <w:proofErr w:type="spellEnd"/>
      <w:r w:rsidRPr="00E575A9">
        <w:rPr>
          <w:sz w:val="24"/>
          <w:szCs w:val="24"/>
          <w:lang w:val="en-IN"/>
        </w:rPr>
        <w:t xml:space="preserve"> 12 mg/day and an additional reliable method (intra-uterine device (IUD), condom) is to be used (see section 4.4). </w:t>
      </w:r>
    </w:p>
    <w:p w14:paraId="5112968F" w14:textId="77777777" w:rsidR="00E575A9" w:rsidRPr="00E575A9" w:rsidRDefault="00E575A9" w:rsidP="002D3416">
      <w:pPr>
        <w:ind w:left="851"/>
        <w:rPr>
          <w:sz w:val="24"/>
          <w:szCs w:val="24"/>
          <w:lang w:val="en-IN"/>
        </w:rPr>
      </w:pPr>
    </w:p>
    <w:p w14:paraId="5126D171" w14:textId="77777777" w:rsidR="00E575A9" w:rsidRPr="00E575A9" w:rsidRDefault="00E575A9" w:rsidP="002D3416">
      <w:pPr>
        <w:ind w:left="851"/>
        <w:rPr>
          <w:sz w:val="24"/>
          <w:szCs w:val="24"/>
          <w:u w:val="single"/>
          <w:lang w:val="en-IN"/>
        </w:rPr>
      </w:pPr>
      <w:r w:rsidRPr="00E575A9">
        <w:rPr>
          <w:sz w:val="24"/>
          <w:szCs w:val="24"/>
          <w:u w:val="single"/>
          <w:lang w:val="en-IN"/>
        </w:rPr>
        <w:t xml:space="preserve">Interactions between </w:t>
      </w:r>
      <w:proofErr w:type="spellStart"/>
      <w:r w:rsidRPr="00E575A9">
        <w:rPr>
          <w:sz w:val="24"/>
          <w:szCs w:val="24"/>
          <w:u w:val="single"/>
          <w:lang w:val="en-IN"/>
        </w:rPr>
        <w:t>perampanel</w:t>
      </w:r>
      <w:proofErr w:type="spellEnd"/>
      <w:r w:rsidRPr="00E575A9">
        <w:rPr>
          <w:sz w:val="24"/>
          <w:szCs w:val="24"/>
          <w:u w:val="single"/>
          <w:lang w:val="en-IN"/>
        </w:rPr>
        <w:t xml:space="preserve"> and other anti-epileptic medicinal products </w:t>
      </w:r>
    </w:p>
    <w:p w14:paraId="593DBAE9" w14:textId="77777777" w:rsidR="00E575A9" w:rsidRPr="00E575A9" w:rsidRDefault="00E575A9" w:rsidP="002D3416">
      <w:pPr>
        <w:ind w:left="851"/>
        <w:rPr>
          <w:sz w:val="24"/>
          <w:szCs w:val="24"/>
          <w:u w:val="single"/>
          <w:lang w:val="en-IN"/>
        </w:rPr>
      </w:pPr>
    </w:p>
    <w:p w14:paraId="303854D6" w14:textId="77777777" w:rsidR="00E575A9" w:rsidRPr="00E575A9" w:rsidRDefault="00E575A9" w:rsidP="002D3416">
      <w:pPr>
        <w:ind w:left="851"/>
        <w:rPr>
          <w:sz w:val="24"/>
          <w:szCs w:val="24"/>
          <w:lang w:val="en-IN"/>
        </w:rPr>
      </w:pPr>
      <w:r w:rsidRPr="00E575A9">
        <w:rPr>
          <w:sz w:val="24"/>
          <w:szCs w:val="24"/>
          <w:lang w:val="en-IN"/>
        </w:rPr>
        <w:t xml:space="preserve">Potential interactions between </w:t>
      </w:r>
      <w:proofErr w:type="spellStart"/>
      <w:r w:rsidRPr="00E575A9">
        <w:rPr>
          <w:sz w:val="24"/>
          <w:szCs w:val="24"/>
          <w:lang w:val="en-IN"/>
        </w:rPr>
        <w:t>perampanel</w:t>
      </w:r>
      <w:proofErr w:type="spellEnd"/>
      <w:r w:rsidRPr="00E575A9">
        <w:rPr>
          <w:sz w:val="24"/>
          <w:szCs w:val="24"/>
          <w:lang w:val="en-IN"/>
        </w:rPr>
        <w:t xml:space="preserve"> and other anti-epileptic drugs (AEDs) were assessed in clinical studies. A population PK analysis of three pooled Phase 3 studies in adolescent and adult patients with partial-onset seizures evaluated the effect of </w:t>
      </w:r>
      <w:proofErr w:type="spellStart"/>
      <w:r w:rsidRPr="00E575A9">
        <w:rPr>
          <w:sz w:val="24"/>
          <w:szCs w:val="24"/>
          <w:lang w:val="en-IN"/>
        </w:rPr>
        <w:t>perampanel</w:t>
      </w:r>
      <w:proofErr w:type="spellEnd"/>
      <w:r w:rsidRPr="00E575A9">
        <w:rPr>
          <w:sz w:val="24"/>
          <w:szCs w:val="24"/>
          <w:lang w:val="en-IN"/>
        </w:rPr>
        <w:t xml:space="preserve"> (up to 12 mg once daily) on the PK of other AEDs. In another population PK analysis of pooled data from twenty Phase 1 studies in healthy subjects, with </w:t>
      </w:r>
      <w:proofErr w:type="spellStart"/>
      <w:r w:rsidRPr="00E575A9">
        <w:rPr>
          <w:sz w:val="24"/>
          <w:szCs w:val="24"/>
          <w:lang w:val="en-IN"/>
        </w:rPr>
        <w:t>perampanel</w:t>
      </w:r>
      <w:proofErr w:type="spellEnd"/>
      <w:r w:rsidRPr="00E575A9">
        <w:rPr>
          <w:sz w:val="24"/>
          <w:szCs w:val="24"/>
          <w:lang w:val="en-IN"/>
        </w:rPr>
        <w:t xml:space="preserve"> up to 36 mg, and one </w:t>
      </w:r>
      <w:proofErr w:type="gramStart"/>
      <w:r w:rsidRPr="00E575A9">
        <w:rPr>
          <w:sz w:val="24"/>
          <w:szCs w:val="24"/>
          <w:lang w:val="en-IN"/>
        </w:rPr>
        <w:t>Phase</w:t>
      </w:r>
      <w:proofErr w:type="gramEnd"/>
      <w:r w:rsidRPr="00E575A9">
        <w:rPr>
          <w:sz w:val="24"/>
          <w:szCs w:val="24"/>
          <w:lang w:val="en-IN"/>
        </w:rPr>
        <w:t xml:space="preserve"> 2 and six Phase 3 studies in paediatric, adolescent, and adult patients with partial-onset seizures or primary generalised tonic-clonic seizures, with </w:t>
      </w:r>
      <w:proofErr w:type="spellStart"/>
      <w:r w:rsidRPr="00E575A9">
        <w:rPr>
          <w:sz w:val="24"/>
          <w:szCs w:val="24"/>
          <w:lang w:val="en-IN"/>
        </w:rPr>
        <w:t>perampanel</w:t>
      </w:r>
      <w:proofErr w:type="spellEnd"/>
      <w:r w:rsidRPr="00E575A9">
        <w:rPr>
          <w:sz w:val="24"/>
          <w:szCs w:val="24"/>
          <w:lang w:val="en-IN"/>
        </w:rPr>
        <w:t xml:space="preserve"> up to 16 mg once daily, evaluated the effect of concomitant AEDs of </w:t>
      </w:r>
      <w:proofErr w:type="spellStart"/>
      <w:r w:rsidRPr="00E575A9">
        <w:rPr>
          <w:sz w:val="24"/>
          <w:szCs w:val="24"/>
          <w:lang w:val="en-IN"/>
        </w:rPr>
        <w:t>perampanel</w:t>
      </w:r>
      <w:proofErr w:type="spellEnd"/>
      <w:r w:rsidRPr="00E575A9">
        <w:rPr>
          <w:sz w:val="24"/>
          <w:szCs w:val="24"/>
          <w:lang w:val="en-IN"/>
        </w:rPr>
        <w:t xml:space="preserve"> clearance. The effect of these interactions on average steady state concentration is summarised in the following table.</w:t>
      </w:r>
    </w:p>
    <w:p w14:paraId="7C1B678F" w14:textId="77777777" w:rsidR="00E575A9" w:rsidRPr="00E575A9" w:rsidRDefault="00E575A9" w:rsidP="002D3416">
      <w:pPr>
        <w:ind w:left="851"/>
        <w:rPr>
          <w:sz w:val="24"/>
          <w:szCs w:val="24"/>
          <w:lang w:val="en-IN"/>
        </w:rPr>
      </w:pPr>
    </w:p>
    <w:tbl>
      <w:tblPr>
        <w:tblW w:w="5000" w:type="pct"/>
        <w:tblCellMar>
          <w:left w:w="0" w:type="dxa"/>
          <w:right w:w="0" w:type="dxa"/>
        </w:tblCellMar>
        <w:tblLook w:val="01E0" w:firstRow="1" w:lastRow="1" w:firstColumn="1" w:lastColumn="1" w:noHBand="0" w:noVBand="0"/>
      </w:tblPr>
      <w:tblGrid>
        <w:gridCol w:w="2201"/>
        <w:gridCol w:w="3460"/>
        <w:gridCol w:w="3967"/>
      </w:tblGrid>
      <w:tr w:rsidR="00E575A9" w:rsidRPr="006F220B" w14:paraId="55880729" w14:textId="77777777" w:rsidTr="002D3416">
        <w:trPr>
          <w:trHeight w:val="20"/>
        </w:trPr>
        <w:tc>
          <w:tcPr>
            <w:tcW w:w="1143" w:type="pct"/>
            <w:tcBorders>
              <w:top w:val="single" w:sz="4" w:space="0" w:color="000000"/>
              <w:left w:val="single" w:sz="4" w:space="0" w:color="000000"/>
              <w:bottom w:val="single" w:sz="4" w:space="0" w:color="000000"/>
              <w:right w:val="single" w:sz="4" w:space="0" w:color="000000"/>
            </w:tcBorders>
            <w:hideMark/>
          </w:tcPr>
          <w:p w14:paraId="4260E6A4" w14:textId="77777777" w:rsidR="00E575A9" w:rsidRPr="00E575A9" w:rsidRDefault="00E575A9" w:rsidP="002D3416">
            <w:pPr>
              <w:ind w:left="142"/>
              <w:rPr>
                <w:sz w:val="24"/>
                <w:szCs w:val="24"/>
                <w:lang w:val="en-US"/>
              </w:rPr>
            </w:pPr>
            <w:r w:rsidRPr="00E575A9">
              <w:rPr>
                <w:b/>
                <w:sz w:val="24"/>
                <w:szCs w:val="24"/>
                <w:lang w:val="en-US"/>
              </w:rPr>
              <w:t>AED</w:t>
            </w:r>
          </w:p>
          <w:p w14:paraId="1A7CE7A4" w14:textId="77777777" w:rsidR="00E575A9" w:rsidRPr="00E575A9" w:rsidRDefault="00E575A9" w:rsidP="002D3416">
            <w:pPr>
              <w:ind w:left="142"/>
              <w:rPr>
                <w:sz w:val="24"/>
                <w:szCs w:val="24"/>
                <w:lang w:val="en-US"/>
              </w:rPr>
            </w:pPr>
            <w:r w:rsidRPr="00E575A9">
              <w:rPr>
                <w:b/>
                <w:sz w:val="24"/>
                <w:szCs w:val="24"/>
                <w:lang w:val="en-US"/>
              </w:rPr>
              <w:t>Co-administered</w:t>
            </w:r>
          </w:p>
        </w:tc>
        <w:tc>
          <w:tcPr>
            <w:tcW w:w="1797" w:type="pct"/>
            <w:tcBorders>
              <w:top w:val="single" w:sz="4" w:space="0" w:color="000000"/>
              <w:left w:val="single" w:sz="4" w:space="0" w:color="000000"/>
              <w:bottom w:val="single" w:sz="4" w:space="0" w:color="000000"/>
              <w:right w:val="single" w:sz="4" w:space="0" w:color="000000"/>
            </w:tcBorders>
            <w:hideMark/>
          </w:tcPr>
          <w:p w14:paraId="44CF2BAF" w14:textId="77777777" w:rsidR="00E575A9" w:rsidRPr="00E575A9" w:rsidRDefault="00E575A9" w:rsidP="002D3416">
            <w:pPr>
              <w:ind w:left="142"/>
              <w:rPr>
                <w:sz w:val="24"/>
                <w:szCs w:val="24"/>
                <w:lang w:val="en-US"/>
              </w:rPr>
            </w:pPr>
            <w:r w:rsidRPr="00E575A9">
              <w:rPr>
                <w:b/>
                <w:sz w:val="24"/>
                <w:szCs w:val="24"/>
                <w:lang w:val="en-US"/>
              </w:rPr>
              <w:t xml:space="preserve">Influence of AED on </w:t>
            </w:r>
            <w:proofErr w:type="spellStart"/>
            <w:r w:rsidRPr="00E575A9">
              <w:rPr>
                <w:b/>
                <w:sz w:val="24"/>
                <w:szCs w:val="24"/>
                <w:lang w:val="en-US"/>
              </w:rPr>
              <w:t>perampanel</w:t>
            </w:r>
            <w:proofErr w:type="spellEnd"/>
            <w:r w:rsidRPr="00E575A9">
              <w:rPr>
                <w:b/>
                <w:sz w:val="24"/>
                <w:szCs w:val="24"/>
                <w:lang w:val="en-US"/>
              </w:rPr>
              <w:t xml:space="preserve"> concentration</w:t>
            </w:r>
          </w:p>
        </w:tc>
        <w:tc>
          <w:tcPr>
            <w:tcW w:w="2060" w:type="pct"/>
            <w:tcBorders>
              <w:top w:val="single" w:sz="4" w:space="0" w:color="000000"/>
              <w:left w:val="single" w:sz="4" w:space="0" w:color="000000"/>
              <w:bottom w:val="single" w:sz="4" w:space="0" w:color="000000"/>
              <w:right w:val="single" w:sz="4" w:space="0" w:color="000000"/>
            </w:tcBorders>
            <w:hideMark/>
          </w:tcPr>
          <w:p w14:paraId="5ACBBFC0" w14:textId="77777777" w:rsidR="00E575A9" w:rsidRPr="00E575A9" w:rsidRDefault="00E575A9" w:rsidP="002D3416">
            <w:pPr>
              <w:ind w:left="142"/>
              <w:rPr>
                <w:sz w:val="24"/>
                <w:szCs w:val="24"/>
                <w:lang w:val="en-US"/>
              </w:rPr>
            </w:pPr>
            <w:r w:rsidRPr="00E575A9">
              <w:rPr>
                <w:b/>
                <w:sz w:val="24"/>
                <w:szCs w:val="24"/>
                <w:lang w:val="en-US"/>
              </w:rPr>
              <w:t xml:space="preserve">Influence of </w:t>
            </w:r>
            <w:proofErr w:type="spellStart"/>
            <w:r w:rsidRPr="00E575A9">
              <w:rPr>
                <w:b/>
                <w:sz w:val="24"/>
                <w:szCs w:val="24"/>
                <w:lang w:val="en-US"/>
              </w:rPr>
              <w:t>perampanel</w:t>
            </w:r>
            <w:proofErr w:type="spellEnd"/>
            <w:r w:rsidRPr="00E575A9">
              <w:rPr>
                <w:b/>
                <w:sz w:val="24"/>
                <w:szCs w:val="24"/>
                <w:lang w:val="en-US"/>
              </w:rPr>
              <w:t xml:space="preserve"> on AED concentration</w:t>
            </w:r>
          </w:p>
        </w:tc>
      </w:tr>
      <w:tr w:rsidR="00E575A9" w:rsidRPr="00E575A9" w14:paraId="081C7E7D" w14:textId="77777777" w:rsidTr="002D3416">
        <w:trPr>
          <w:trHeight w:val="20"/>
        </w:trPr>
        <w:tc>
          <w:tcPr>
            <w:tcW w:w="1143" w:type="pct"/>
            <w:tcBorders>
              <w:top w:val="single" w:sz="4" w:space="0" w:color="000000"/>
              <w:left w:val="single" w:sz="4" w:space="0" w:color="000000"/>
              <w:bottom w:val="single" w:sz="4" w:space="0" w:color="000000"/>
              <w:right w:val="single" w:sz="4" w:space="0" w:color="000000"/>
            </w:tcBorders>
            <w:hideMark/>
          </w:tcPr>
          <w:p w14:paraId="5E8784A3" w14:textId="77777777" w:rsidR="00E575A9" w:rsidRPr="00E575A9" w:rsidRDefault="00E575A9" w:rsidP="002D3416">
            <w:pPr>
              <w:ind w:left="142"/>
              <w:rPr>
                <w:sz w:val="24"/>
                <w:szCs w:val="24"/>
                <w:lang w:val="en-US"/>
              </w:rPr>
            </w:pPr>
            <w:r w:rsidRPr="00E575A9">
              <w:rPr>
                <w:sz w:val="24"/>
                <w:szCs w:val="24"/>
                <w:lang w:val="en-US"/>
              </w:rPr>
              <w:t>Carbamazepine</w:t>
            </w:r>
          </w:p>
        </w:tc>
        <w:tc>
          <w:tcPr>
            <w:tcW w:w="1797" w:type="pct"/>
            <w:tcBorders>
              <w:top w:val="single" w:sz="4" w:space="0" w:color="000000"/>
              <w:left w:val="single" w:sz="4" w:space="0" w:color="000000"/>
              <w:bottom w:val="single" w:sz="4" w:space="0" w:color="000000"/>
              <w:right w:val="single" w:sz="4" w:space="0" w:color="000000"/>
            </w:tcBorders>
            <w:hideMark/>
          </w:tcPr>
          <w:p w14:paraId="0FF84BC4" w14:textId="77777777" w:rsidR="00E575A9" w:rsidRPr="00E575A9" w:rsidRDefault="00E575A9" w:rsidP="002D3416">
            <w:pPr>
              <w:ind w:left="142"/>
              <w:rPr>
                <w:sz w:val="24"/>
                <w:szCs w:val="24"/>
                <w:lang w:val="en-US"/>
              </w:rPr>
            </w:pPr>
            <w:proofErr w:type="gramStart"/>
            <w:r w:rsidRPr="00E575A9">
              <w:rPr>
                <w:sz w:val="24"/>
                <w:szCs w:val="24"/>
                <w:lang w:val="en-US"/>
              </w:rPr>
              <w:t>3 fold</w:t>
            </w:r>
            <w:proofErr w:type="gramEnd"/>
            <w:r w:rsidRPr="00E575A9">
              <w:rPr>
                <w:sz w:val="24"/>
                <w:szCs w:val="24"/>
                <w:lang w:val="en-US"/>
              </w:rPr>
              <w:t xml:space="preserve"> decrease</w:t>
            </w:r>
          </w:p>
        </w:tc>
        <w:tc>
          <w:tcPr>
            <w:tcW w:w="2060" w:type="pct"/>
            <w:tcBorders>
              <w:top w:val="single" w:sz="4" w:space="0" w:color="000000"/>
              <w:left w:val="single" w:sz="4" w:space="0" w:color="000000"/>
              <w:bottom w:val="single" w:sz="4" w:space="0" w:color="000000"/>
              <w:right w:val="single" w:sz="4" w:space="0" w:color="000000"/>
            </w:tcBorders>
            <w:hideMark/>
          </w:tcPr>
          <w:p w14:paraId="437F5CEB" w14:textId="77777777" w:rsidR="00E575A9" w:rsidRPr="00E575A9" w:rsidRDefault="00E575A9" w:rsidP="002D3416">
            <w:pPr>
              <w:ind w:left="142"/>
              <w:rPr>
                <w:sz w:val="24"/>
                <w:szCs w:val="24"/>
                <w:lang w:val="en-US"/>
              </w:rPr>
            </w:pPr>
            <w:r w:rsidRPr="00E575A9">
              <w:rPr>
                <w:sz w:val="24"/>
                <w:szCs w:val="24"/>
                <w:lang w:val="en-US"/>
              </w:rPr>
              <w:t>&lt;10% decrease</w:t>
            </w:r>
          </w:p>
        </w:tc>
      </w:tr>
      <w:tr w:rsidR="00E575A9" w:rsidRPr="00E575A9" w14:paraId="78658F0E" w14:textId="77777777" w:rsidTr="002D3416">
        <w:trPr>
          <w:trHeight w:val="20"/>
        </w:trPr>
        <w:tc>
          <w:tcPr>
            <w:tcW w:w="1143" w:type="pct"/>
            <w:tcBorders>
              <w:top w:val="single" w:sz="4" w:space="0" w:color="000000"/>
              <w:left w:val="single" w:sz="4" w:space="0" w:color="000000"/>
              <w:bottom w:val="single" w:sz="4" w:space="0" w:color="000000"/>
              <w:right w:val="single" w:sz="4" w:space="0" w:color="000000"/>
            </w:tcBorders>
            <w:hideMark/>
          </w:tcPr>
          <w:p w14:paraId="482D3017" w14:textId="77777777" w:rsidR="00E575A9" w:rsidRPr="00E575A9" w:rsidRDefault="00E575A9" w:rsidP="002D3416">
            <w:pPr>
              <w:ind w:left="142"/>
              <w:rPr>
                <w:sz w:val="24"/>
                <w:szCs w:val="24"/>
                <w:lang w:val="en-US"/>
              </w:rPr>
            </w:pPr>
            <w:r w:rsidRPr="00E575A9">
              <w:rPr>
                <w:sz w:val="24"/>
                <w:szCs w:val="24"/>
                <w:lang w:val="en-US"/>
              </w:rPr>
              <w:t>Clobazam</w:t>
            </w:r>
          </w:p>
        </w:tc>
        <w:tc>
          <w:tcPr>
            <w:tcW w:w="1797" w:type="pct"/>
            <w:tcBorders>
              <w:top w:val="single" w:sz="4" w:space="0" w:color="000000"/>
              <w:left w:val="single" w:sz="4" w:space="0" w:color="000000"/>
              <w:bottom w:val="single" w:sz="4" w:space="0" w:color="000000"/>
              <w:right w:val="single" w:sz="4" w:space="0" w:color="000000"/>
            </w:tcBorders>
            <w:hideMark/>
          </w:tcPr>
          <w:p w14:paraId="089AC26B" w14:textId="77777777" w:rsidR="00E575A9" w:rsidRPr="00E575A9" w:rsidRDefault="00E575A9" w:rsidP="002D3416">
            <w:pPr>
              <w:ind w:left="142"/>
              <w:rPr>
                <w:sz w:val="24"/>
                <w:szCs w:val="24"/>
                <w:lang w:val="en-US"/>
              </w:rPr>
            </w:pPr>
            <w:r w:rsidRPr="00E575A9">
              <w:rPr>
                <w:sz w:val="24"/>
                <w:szCs w:val="24"/>
                <w:lang w:val="en-US"/>
              </w:rPr>
              <w:t>No influence</w:t>
            </w:r>
          </w:p>
        </w:tc>
        <w:tc>
          <w:tcPr>
            <w:tcW w:w="2060" w:type="pct"/>
            <w:tcBorders>
              <w:top w:val="single" w:sz="4" w:space="0" w:color="000000"/>
              <w:left w:val="single" w:sz="4" w:space="0" w:color="000000"/>
              <w:bottom w:val="single" w:sz="4" w:space="0" w:color="000000"/>
              <w:right w:val="single" w:sz="4" w:space="0" w:color="000000"/>
            </w:tcBorders>
            <w:hideMark/>
          </w:tcPr>
          <w:p w14:paraId="3421311A" w14:textId="77777777" w:rsidR="00E575A9" w:rsidRPr="00E575A9" w:rsidRDefault="00E575A9" w:rsidP="002D3416">
            <w:pPr>
              <w:ind w:left="142"/>
              <w:rPr>
                <w:sz w:val="24"/>
                <w:szCs w:val="24"/>
                <w:lang w:val="en-US"/>
              </w:rPr>
            </w:pPr>
            <w:r w:rsidRPr="00E575A9">
              <w:rPr>
                <w:sz w:val="24"/>
                <w:szCs w:val="24"/>
                <w:lang w:val="en-US"/>
              </w:rPr>
              <w:t>&lt;10% decrease</w:t>
            </w:r>
          </w:p>
        </w:tc>
      </w:tr>
      <w:tr w:rsidR="00E575A9" w:rsidRPr="00E575A9" w14:paraId="2FD59FB6" w14:textId="77777777" w:rsidTr="002D3416">
        <w:trPr>
          <w:trHeight w:val="20"/>
        </w:trPr>
        <w:tc>
          <w:tcPr>
            <w:tcW w:w="1143" w:type="pct"/>
            <w:tcBorders>
              <w:top w:val="single" w:sz="4" w:space="0" w:color="000000"/>
              <w:left w:val="single" w:sz="4" w:space="0" w:color="000000"/>
              <w:bottom w:val="single" w:sz="4" w:space="0" w:color="000000"/>
              <w:right w:val="single" w:sz="4" w:space="0" w:color="000000"/>
            </w:tcBorders>
            <w:hideMark/>
          </w:tcPr>
          <w:p w14:paraId="6B2DF967" w14:textId="77777777" w:rsidR="00E575A9" w:rsidRPr="00E575A9" w:rsidRDefault="00E575A9" w:rsidP="002D3416">
            <w:pPr>
              <w:ind w:left="142"/>
              <w:rPr>
                <w:sz w:val="24"/>
                <w:szCs w:val="24"/>
                <w:lang w:val="en-US"/>
              </w:rPr>
            </w:pPr>
            <w:r w:rsidRPr="00E575A9">
              <w:rPr>
                <w:sz w:val="24"/>
                <w:szCs w:val="24"/>
                <w:lang w:val="en-US"/>
              </w:rPr>
              <w:t>Clonazepam</w:t>
            </w:r>
          </w:p>
        </w:tc>
        <w:tc>
          <w:tcPr>
            <w:tcW w:w="1797" w:type="pct"/>
            <w:tcBorders>
              <w:top w:val="single" w:sz="4" w:space="0" w:color="000000"/>
              <w:left w:val="single" w:sz="4" w:space="0" w:color="000000"/>
              <w:bottom w:val="single" w:sz="4" w:space="0" w:color="000000"/>
              <w:right w:val="single" w:sz="4" w:space="0" w:color="000000"/>
            </w:tcBorders>
            <w:hideMark/>
          </w:tcPr>
          <w:p w14:paraId="5DC5E538" w14:textId="77777777" w:rsidR="00E575A9" w:rsidRPr="00E575A9" w:rsidRDefault="00E575A9" w:rsidP="002D3416">
            <w:pPr>
              <w:ind w:left="142"/>
              <w:rPr>
                <w:sz w:val="24"/>
                <w:szCs w:val="24"/>
                <w:lang w:val="en-US"/>
              </w:rPr>
            </w:pPr>
            <w:r w:rsidRPr="00E575A9">
              <w:rPr>
                <w:sz w:val="24"/>
                <w:szCs w:val="24"/>
                <w:lang w:val="en-US"/>
              </w:rPr>
              <w:t>No influence</w:t>
            </w:r>
          </w:p>
        </w:tc>
        <w:tc>
          <w:tcPr>
            <w:tcW w:w="2060" w:type="pct"/>
            <w:tcBorders>
              <w:top w:val="single" w:sz="4" w:space="0" w:color="000000"/>
              <w:left w:val="single" w:sz="4" w:space="0" w:color="000000"/>
              <w:bottom w:val="single" w:sz="4" w:space="0" w:color="000000"/>
              <w:right w:val="single" w:sz="4" w:space="0" w:color="000000"/>
            </w:tcBorders>
            <w:hideMark/>
          </w:tcPr>
          <w:p w14:paraId="0BF7787A" w14:textId="77777777" w:rsidR="00E575A9" w:rsidRPr="00E575A9" w:rsidRDefault="00E575A9" w:rsidP="002D3416">
            <w:pPr>
              <w:ind w:left="142"/>
              <w:rPr>
                <w:sz w:val="24"/>
                <w:szCs w:val="24"/>
                <w:lang w:val="en-US"/>
              </w:rPr>
            </w:pPr>
            <w:r w:rsidRPr="00E575A9">
              <w:rPr>
                <w:sz w:val="24"/>
                <w:szCs w:val="24"/>
                <w:lang w:val="en-US"/>
              </w:rPr>
              <w:t>No influence</w:t>
            </w:r>
          </w:p>
        </w:tc>
      </w:tr>
      <w:tr w:rsidR="00E575A9" w:rsidRPr="00E575A9" w14:paraId="398ECFEA" w14:textId="77777777" w:rsidTr="002D3416">
        <w:trPr>
          <w:trHeight w:val="20"/>
        </w:trPr>
        <w:tc>
          <w:tcPr>
            <w:tcW w:w="1143" w:type="pct"/>
            <w:tcBorders>
              <w:top w:val="single" w:sz="4" w:space="0" w:color="000000"/>
              <w:left w:val="single" w:sz="4" w:space="0" w:color="000000"/>
              <w:bottom w:val="single" w:sz="4" w:space="0" w:color="000000"/>
              <w:right w:val="single" w:sz="4" w:space="0" w:color="000000"/>
            </w:tcBorders>
            <w:hideMark/>
          </w:tcPr>
          <w:p w14:paraId="315CD638" w14:textId="77777777" w:rsidR="00E575A9" w:rsidRPr="00E575A9" w:rsidRDefault="00E575A9" w:rsidP="002D3416">
            <w:pPr>
              <w:ind w:left="142"/>
              <w:rPr>
                <w:sz w:val="24"/>
                <w:szCs w:val="24"/>
                <w:lang w:val="en-US"/>
              </w:rPr>
            </w:pPr>
            <w:r w:rsidRPr="00E575A9">
              <w:rPr>
                <w:sz w:val="24"/>
                <w:szCs w:val="24"/>
                <w:lang w:val="en-US"/>
              </w:rPr>
              <w:t>Lamotrigine</w:t>
            </w:r>
          </w:p>
        </w:tc>
        <w:tc>
          <w:tcPr>
            <w:tcW w:w="1797" w:type="pct"/>
            <w:tcBorders>
              <w:top w:val="single" w:sz="4" w:space="0" w:color="000000"/>
              <w:left w:val="single" w:sz="4" w:space="0" w:color="000000"/>
              <w:bottom w:val="single" w:sz="4" w:space="0" w:color="000000"/>
              <w:right w:val="single" w:sz="4" w:space="0" w:color="000000"/>
            </w:tcBorders>
            <w:hideMark/>
          </w:tcPr>
          <w:p w14:paraId="5192F8A9" w14:textId="77777777" w:rsidR="00E575A9" w:rsidRPr="00E575A9" w:rsidRDefault="00E575A9" w:rsidP="002D3416">
            <w:pPr>
              <w:ind w:left="142"/>
              <w:rPr>
                <w:sz w:val="24"/>
                <w:szCs w:val="24"/>
                <w:lang w:val="en-US"/>
              </w:rPr>
            </w:pPr>
            <w:r w:rsidRPr="00E575A9">
              <w:rPr>
                <w:sz w:val="24"/>
                <w:szCs w:val="24"/>
                <w:lang w:val="en-US"/>
              </w:rPr>
              <w:t>No influence</w:t>
            </w:r>
          </w:p>
        </w:tc>
        <w:tc>
          <w:tcPr>
            <w:tcW w:w="2060" w:type="pct"/>
            <w:tcBorders>
              <w:top w:val="single" w:sz="4" w:space="0" w:color="000000"/>
              <w:left w:val="single" w:sz="4" w:space="0" w:color="000000"/>
              <w:bottom w:val="single" w:sz="4" w:space="0" w:color="000000"/>
              <w:right w:val="single" w:sz="4" w:space="0" w:color="000000"/>
            </w:tcBorders>
            <w:hideMark/>
          </w:tcPr>
          <w:p w14:paraId="0E5A4ED4" w14:textId="77777777" w:rsidR="00E575A9" w:rsidRPr="00E575A9" w:rsidRDefault="00E575A9" w:rsidP="002D3416">
            <w:pPr>
              <w:ind w:left="142"/>
              <w:rPr>
                <w:sz w:val="24"/>
                <w:szCs w:val="24"/>
                <w:lang w:val="en-US"/>
              </w:rPr>
            </w:pPr>
            <w:r w:rsidRPr="00E575A9">
              <w:rPr>
                <w:sz w:val="24"/>
                <w:szCs w:val="24"/>
                <w:lang w:val="en-US"/>
              </w:rPr>
              <w:t>&lt;10% decrease</w:t>
            </w:r>
          </w:p>
        </w:tc>
      </w:tr>
      <w:tr w:rsidR="00E575A9" w:rsidRPr="00E575A9" w14:paraId="6FAF9193" w14:textId="77777777" w:rsidTr="002D3416">
        <w:trPr>
          <w:trHeight w:val="20"/>
        </w:trPr>
        <w:tc>
          <w:tcPr>
            <w:tcW w:w="1143" w:type="pct"/>
            <w:tcBorders>
              <w:top w:val="single" w:sz="4" w:space="0" w:color="000000"/>
              <w:left w:val="single" w:sz="4" w:space="0" w:color="000000"/>
              <w:bottom w:val="single" w:sz="4" w:space="0" w:color="000000"/>
              <w:right w:val="single" w:sz="4" w:space="0" w:color="000000"/>
            </w:tcBorders>
            <w:hideMark/>
          </w:tcPr>
          <w:p w14:paraId="36CB26FD" w14:textId="77777777" w:rsidR="00E575A9" w:rsidRPr="00E575A9" w:rsidRDefault="00E575A9" w:rsidP="002D3416">
            <w:pPr>
              <w:ind w:left="142"/>
              <w:rPr>
                <w:sz w:val="24"/>
                <w:szCs w:val="24"/>
                <w:lang w:val="en-US"/>
              </w:rPr>
            </w:pPr>
            <w:r w:rsidRPr="00E575A9">
              <w:rPr>
                <w:sz w:val="24"/>
                <w:szCs w:val="24"/>
                <w:lang w:val="en-US"/>
              </w:rPr>
              <w:t>Levetiracetam</w:t>
            </w:r>
          </w:p>
        </w:tc>
        <w:tc>
          <w:tcPr>
            <w:tcW w:w="1797" w:type="pct"/>
            <w:tcBorders>
              <w:top w:val="single" w:sz="4" w:space="0" w:color="000000"/>
              <w:left w:val="single" w:sz="4" w:space="0" w:color="000000"/>
              <w:bottom w:val="single" w:sz="4" w:space="0" w:color="000000"/>
              <w:right w:val="single" w:sz="4" w:space="0" w:color="000000"/>
            </w:tcBorders>
            <w:hideMark/>
          </w:tcPr>
          <w:p w14:paraId="2AA38FBA" w14:textId="77777777" w:rsidR="00E575A9" w:rsidRPr="00E575A9" w:rsidRDefault="00E575A9" w:rsidP="002D3416">
            <w:pPr>
              <w:ind w:left="142"/>
              <w:rPr>
                <w:sz w:val="24"/>
                <w:szCs w:val="24"/>
                <w:lang w:val="en-US"/>
              </w:rPr>
            </w:pPr>
            <w:r w:rsidRPr="00E575A9">
              <w:rPr>
                <w:sz w:val="24"/>
                <w:szCs w:val="24"/>
                <w:lang w:val="en-US"/>
              </w:rPr>
              <w:t>No influence</w:t>
            </w:r>
          </w:p>
        </w:tc>
        <w:tc>
          <w:tcPr>
            <w:tcW w:w="2060" w:type="pct"/>
            <w:tcBorders>
              <w:top w:val="single" w:sz="4" w:space="0" w:color="000000"/>
              <w:left w:val="single" w:sz="4" w:space="0" w:color="000000"/>
              <w:bottom w:val="single" w:sz="4" w:space="0" w:color="000000"/>
              <w:right w:val="single" w:sz="4" w:space="0" w:color="000000"/>
            </w:tcBorders>
            <w:hideMark/>
          </w:tcPr>
          <w:p w14:paraId="5FCDA7E9" w14:textId="77777777" w:rsidR="00E575A9" w:rsidRPr="00E575A9" w:rsidRDefault="00E575A9" w:rsidP="002D3416">
            <w:pPr>
              <w:ind w:left="142"/>
              <w:rPr>
                <w:sz w:val="24"/>
                <w:szCs w:val="24"/>
                <w:lang w:val="en-US"/>
              </w:rPr>
            </w:pPr>
            <w:r w:rsidRPr="00E575A9">
              <w:rPr>
                <w:sz w:val="24"/>
                <w:szCs w:val="24"/>
                <w:lang w:val="en-US"/>
              </w:rPr>
              <w:t>No influence</w:t>
            </w:r>
          </w:p>
        </w:tc>
      </w:tr>
      <w:tr w:rsidR="00E575A9" w:rsidRPr="00E575A9" w14:paraId="680E69B7" w14:textId="77777777" w:rsidTr="002D3416">
        <w:trPr>
          <w:trHeight w:val="20"/>
        </w:trPr>
        <w:tc>
          <w:tcPr>
            <w:tcW w:w="1143" w:type="pct"/>
            <w:tcBorders>
              <w:top w:val="single" w:sz="4" w:space="0" w:color="000000"/>
              <w:left w:val="single" w:sz="4" w:space="0" w:color="000000"/>
              <w:bottom w:val="single" w:sz="4" w:space="0" w:color="000000"/>
              <w:right w:val="single" w:sz="4" w:space="0" w:color="000000"/>
            </w:tcBorders>
            <w:hideMark/>
          </w:tcPr>
          <w:p w14:paraId="3D709EE0" w14:textId="77777777" w:rsidR="00E575A9" w:rsidRPr="00E575A9" w:rsidRDefault="00E575A9" w:rsidP="002D3416">
            <w:pPr>
              <w:ind w:left="142"/>
              <w:rPr>
                <w:sz w:val="24"/>
                <w:szCs w:val="24"/>
                <w:lang w:val="en-US"/>
              </w:rPr>
            </w:pPr>
            <w:r w:rsidRPr="00E575A9">
              <w:rPr>
                <w:sz w:val="24"/>
                <w:szCs w:val="24"/>
                <w:lang w:val="en-US"/>
              </w:rPr>
              <w:t>Oxcarbazepine</w:t>
            </w:r>
          </w:p>
        </w:tc>
        <w:tc>
          <w:tcPr>
            <w:tcW w:w="1797" w:type="pct"/>
            <w:tcBorders>
              <w:top w:val="single" w:sz="4" w:space="0" w:color="000000"/>
              <w:left w:val="single" w:sz="4" w:space="0" w:color="000000"/>
              <w:bottom w:val="single" w:sz="4" w:space="0" w:color="000000"/>
              <w:right w:val="single" w:sz="4" w:space="0" w:color="000000"/>
            </w:tcBorders>
            <w:hideMark/>
          </w:tcPr>
          <w:p w14:paraId="248BD590" w14:textId="77777777" w:rsidR="00E575A9" w:rsidRPr="00E575A9" w:rsidRDefault="00E575A9" w:rsidP="002D3416">
            <w:pPr>
              <w:ind w:left="142"/>
              <w:rPr>
                <w:sz w:val="24"/>
                <w:szCs w:val="24"/>
                <w:lang w:val="en-US"/>
              </w:rPr>
            </w:pPr>
            <w:proofErr w:type="gramStart"/>
            <w:r w:rsidRPr="00E575A9">
              <w:rPr>
                <w:sz w:val="24"/>
                <w:szCs w:val="24"/>
                <w:lang w:val="en-US"/>
              </w:rPr>
              <w:t>2 fold</w:t>
            </w:r>
            <w:proofErr w:type="gramEnd"/>
            <w:r w:rsidRPr="00E575A9">
              <w:rPr>
                <w:sz w:val="24"/>
                <w:szCs w:val="24"/>
                <w:lang w:val="en-US"/>
              </w:rPr>
              <w:t xml:space="preserve"> decrease</w:t>
            </w:r>
          </w:p>
        </w:tc>
        <w:tc>
          <w:tcPr>
            <w:tcW w:w="2060" w:type="pct"/>
            <w:tcBorders>
              <w:top w:val="single" w:sz="4" w:space="0" w:color="000000"/>
              <w:left w:val="single" w:sz="4" w:space="0" w:color="000000"/>
              <w:bottom w:val="single" w:sz="4" w:space="0" w:color="000000"/>
              <w:right w:val="single" w:sz="4" w:space="0" w:color="000000"/>
            </w:tcBorders>
            <w:hideMark/>
          </w:tcPr>
          <w:p w14:paraId="238CB527" w14:textId="77777777" w:rsidR="00E575A9" w:rsidRPr="00E575A9" w:rsidRDefault="00E575A9" w:rsidP="002D3416">
            <w:pPr>
              <w:ind w:left="142"/>
              <w:rPr>
                <w:sz w:val="24"/>
                <w:szCs w:val="24"/>
                <w:lang w:val="en-US"/>
              </w:rPr>
            </w:pPr>
            <w:r w:rsidRPr="00E575A9">
              <w:rPr>
                <w:sz w:val="24"/>
                <w:szCs w:val="24"/>
                <w:lang w:val="en-US"/>
              </w:rPr>
              <w:t>35% increase</w:t>
            </w:r>
            <w:r w:rsidRPr="00E575A9">
              <w:rPr>
                <w:sz w:val="24"/>
                <w:szCs w:val="24"/>
                <w:vertAlign w:val="superscript"/>
                <w:lang w:val="en-US"/>
              </w:rPr>
              <w:t>1)</w:t>
            </w:r>
          </w:p>
        </w:tc>
      </w:tr>
      <w:tr w:rsidR="00E575A9" w:rsidRPr="00E575A9" w14:paraId="3FBDAF93" w14:textId="77777777" w:rsidTr="002D3416">
        <w:trPr>
          <w:trHeight w:val="20"/>
        </w:trPr>
        <w:tc>
          <w:tcPr>
            <w:tcW w:w="1143" w:type="pct"/>
            <w:tcBorders>
              <w:top w:val="single" w:sz="4" w:space="0" w:color="000000"/>
              <w:left w:val="single" w:sz="4" w:space="0" w:color="000000"/>
              <w:bottom w:val="single" w:sz="4" w:space="0" w:color="000000"/>
              <w:right w:val="single" w:sz="4" w:space="0" w:color="000000"/>
            </w:tcBorders>
            <w:hideMark/>
          </w:tcPr>
          <w:p w14:paraId="0BFA7570" w14:textId="77777777" w:rsidR="00E575A9" w:rsidRPr="00E575A9" w:rsidRDefault="00E575A9" w:rsidP="002D3416">
            <w:pPr>
              <w:ind w:left="142"/>
              <w:rPr>
                <w:sz w:val="24"/>
                <w:szCs w:val="24"/>
                <w:lang w:val="en-US"/>
              </w:rPr>
            </w:pPr>
            <w:r w:rsidRPr="00E575A9">
              <w:rPr>
                <w:sz w:val="24"/>
                <w:szCs w:val="24"/>
                <w:lang w:val="en-US"/>
              </w:rPr>
              <w:t>Phenobarbital</w:t>
            </w:r>
          </w:p>
        </w:tc>
        <w:tc>
          <w:tcPr>
            <w:tcW w:w="1797" w:type="pct"/>
            <w:tcBorders>
              <w:top w:val="single" w:sz="4" w:space="0" w:color="000000"/>
              <w:left w:val="single" w:sz="4" w:space="0" w:color="000000"/>
              <w:bottom w:val="single" w:sz="4" w:space="0" w:color="000000"/>
              <w:right w:val="single" w:sz="4" w:space="0" w:color="000000"/>
            </w:tcBorders>
            <w:hideMark/>
          </w:tcPr>
          <w:p w14:paraId="22780901" w14:textId="77777777" w:rsidR="00E575A9" w:rsidRPr="00E575A9" w:rsidRDefault="00E575A9" w:rsidP="002D3416">
            <w:pPr>
              <w:ind w:left="142"/>
              <w:rPr>
                <w:sz w:val="24"/>
                <w:szCs w:val="24"/>
                <w:lang w:val="en-US"/>
              </w:rPr>
            </w:pPr>
            <w:r w:rsidRPr="00E575A9">
              <w:rPr>
                <w:sz w:val="24"/>
                <w:szCs w:val="24"/>
                <w:lang w:val="en-US"/>
              </w:rPr>
              <w:t>20% decrease</w:t>
            </w:r>
          </w:p>
        </w:tc>
        <w:tc>
          <w:tcPr>
            <w:tcW w:w="2060" w:type="pct"/>
            <w:tcBorders>
              <w:top w:val="single" w:sz="4" w:space="0" w:color="000000"/>
              <w:left w:val="single" w:sz="4" w:space="0" w:color="000000"/>
              <w:bottom w:val="single" w:sz="4" w:space="0" w:color="000000"/>
              <w:right w:val="single" w:sz="4" w:space="0" w:color="000000"/>
            </w:tcBorders>
            <w:hideMark/>
          </w:tcPr>
          <w:p w14:paraId="71FE317E" w14:textId="77777777" w:rsidR="00E575A9" w:rsidRPr="00E575A9" w:rsidRDefault="00E575A9" w:rsidP="002D3416">
            <w:pPr>
              <w:ind w:left="142"/>
              <w:rPr>
                <w:sz w:val="24"/>
                <w:szCs w:val="24"/>
                <w:lang w:val="en-US"/>
              </w:rPr>
            </w:pPr>
            <w:r w:rsidRPr="00E575A9">
              <w:rPr>
                <w:sz w:val="24"/>
                <w:szCs w:val="24"/>
                <w:lang w:val="en-US"/>
              </w:rPr>
              <w:t>No influence</w:t>
            </w:r>
          </w:p>
        </w:tc>
      </w:tr>
      <w:tr w:rsidR="00E575A9" w:rsidRPr="00E575A9" w14:paraId="002F89B3" w14:textId="77777777" w:rsidTr="002D3416">
        <w:trPr>
          <w:trHeight w:val="20"/>
        </w:trPr>
        <w:tc>
          <w:tcPr>
            <w:tcW w:w="1143" w:type="pct"/>
            <w:tcBorders>
              <w:top w:val="single" w:sz="4" w:space="0" w:color="000000"/>
              <w:left w:val="single" w:sz="4" w:space="0" w:color="000000"/>
              <w:bottom w:val="single" w:sz="4" w:space="0" w:color="000000"/>
              <w:right w:val="single" w:sz="4" w:space="0" w:color="000000"/>
            </w:tcBorders>
            <w:hideMark/>
          </w:tcPr>
          <w:p w14:paraId="6B057D88" w14:textId="77777777" w:rsidR="00E575A9" w:rsidRPr="00E575A9" w:rsidRDefault="00E575A9" w:rsidP="002D3416">
            <w:pPr>
              <w:ind w:left="142"/>
              <w:rPr>
                <w:sz w:val="24"/>
                <w:szCs w:val="24"/>
                <w:lang w:val="en-US"/>
              </w:rPr>
            </w:pPr>
            <w:r w:rsidRPr="00E575A9">
              <w:rPr>
                <w:sz w:val="24"/>
                <w:szCs w:val="24"/>
                <w:lang w:val="en-US"/>
              </w:rPr>
              <w:t>Phenytoin</w:t>
            </w:r>
          </w:p>
        </w:tc>
        <w:tc>
          <w:tcPr>
            <w:tcW w:w="1797" w:type="pct"/>
            <w:tcBorders>
              <w:top w:val="single" w:sz="4" w:space="0" w:color="000000"/>
              <w:left w:val="single" w:sz="4" w:space="0" w:color="000000"/>
              <w:bottom w:val="single" w:sz="4" w:space="0" w:color="000000"/>
              <w:right w:val="single" w:sz="4" w:space="0" w:color="000000"/>
            </w:tcBorders>
            <w:hideMark/>
          </w:tcPr>
          <w:p w14:paraId="4CADB029" w14:textId="77777777" w:rsidR="00E575A9" w:rsidRPr="00E575A9" w:rsidRDefault="00E575A9" w:rsidP="002D3416">
            <w:pPr>
              <w:ind w:left="142"/>
              <w:rPr>
                <w:sz w:val="24"/>
                <w:szCs w:val="24"/>
                <w:lang w:val="en-US"/>
              </w:rPr>
            </w:pPr>
            <w:proofErr w:type="gramStart"/>
            <w:r w:rsidRPr="00E575A9">
              <w:rPr>
                <w:sz w:val="24"/>
                <w:szCs w:val="24"/>
                <w:lang w:val="en-US"/>
              </w:rPr>
              <w:t>2 fold</w:t>
            </w:r>
            <w:proofErr w:type="gramEnd"/>
            <w:r w:rsidRPr="00E575A9">
              <w:rPr>
                <w:sz w:val="24"/>
                <w:szCs w:val="24"/>
                <w:lang w:val="en-US"/>
              </w:rPr>
              <w:t xml:space="preserve"> decrease</w:t>
            </w:r>
          </w:p>
        </w:tc>
        <w:tc>
          <w:tcPr>
            <w:tcW w:w="2060" w:type="pct"/>
            <w:tcBorders>
              <w:top w:val="single" w:sz="4" w:space="0" w:color="000000"/>
              <w:left w:val="single" w:sz="4" w:space="0" w:color="000000"/>
              <w:bottom w:val="single" w:sz="4" w:space="0" w:color="000000"/>
              <w:right w:val="single" w:sz="4" w:space="0" w:color="000000"/>
            </w:tcBorders>
            <w:hideMark/>
          </w:tcPr>
          <w:p w14:paraId="3E4BE225" w14:textId="77777777" w:rsidR="00E575A9" w:rsidRPr="00E575A9" w:rsidRDefault="00E575A9" w:rsidP="002D3416">
            <w:pPr>
              <w:ind w:left="142"/>
              <w:rPr>
                <w:sz w:val="24"/>
                <w:szCs w:val="24"/>
                <w:lang w:val="en-US"/>
              </w:rPr>
            </w:pPr>
            <w:r w:rsidRPr="00E575A9">
              <w:rPr>
                <w:sz w:val="24"/>
                <w:szCs w:val="24"/>
                <w:lang w:val="en-US"/>
              </w:rPr>
              <w:t>No influence</w:t>
            </w:r>
          </w:p>
        </w:tc>
      </w:tr>
      <w:tr w:rsidR="00E575A9" w:rsidRPr="00E575A9" w14:paraId="4BCE07F0" w14:textId="77777777" w:rsidTr="002D3416">
        <w:trPr>
          <w:trHeight w:val="20"/>
        </w:trPr>
        <w:tc>
          <w:tcPr>
            <w:tcW w:w="1143" w:type="pct"/>
            <w:tcBorders>
              <w:top w:val="single" w:sz="4" w:space="0" w:color="000000"/>
              <w:left w:val="single" w:sz="4" w:space="0" w:color="000000"/>
              <w:bottom w:val="single" w:sz="4" w:space="0" w:color="000000"/>
              <w:right w:val="single" w:sz="4" w:space="0" w:color="000000"/>
            </w:tcBorders>
            <w:hideMark/>
          </w:tcPr>
          <w:p w14:paraId="3AC24CDA" w14:textId="77777777" w:rsidR="00E575A9" w:rsidRPr="00E575A9" w:rsidRDefault="00E575A9" w:rsidP="002D3416">
            <w:pPr>
              <w:ind w:left="142"/>
              <w:rPr>
                <w:sz w:val="24"/>
                <w:szCs w:val="24"/>
                <w:lang w:val="en-US"/>
              </w:rPr>
            </w:pPr>
            <w:r w:rsidRPr="00E575A9">
              <w:rPr>
                <w:sz w:val="24"/>
                <w:szCs w:val="24"/>
                <w:lang w:val="en-US"/>
              </w:rPr>
              <w:t>Topiramate</w:t>
            </w:r>
          </w:p>
        </w:tc>
        <w:tc>
          <w:tcPr>
            <w:tcW w:w="1797" w:type="pct"/>
            <w:tcBorders>
              <w:top w:val="single" w:sz="4" w:space="0" w:color="000000"/>
              <w:left w:val="single" w:sz="4" w:space="0" w:color="000000"/>
              <w:bottom w:val="single" w:sz="4" w:space="0" w:color="000000"/>
              <w:right w:val="single" w:sz="4" w:space="0" w:color="000000"/>
            </w:tcBorders>
            <w:hideMark/>
          </w:tcPr>
          <w:p w14:paraId="4B0B2335" w14:textId="77777777" w:rsidR="00E575A9" w:rsidRPr="00E575A9" w:rsidRDefault="00E575A9" w:rsidP="002D3416">
            <w:pPr>
              <w:ind w:left="142"/>
              <w:rPr>
                <w:sz w:val="24"/>
                <w:szCs w:val="24"/>
                <w:lang w:val="en-US"/>
              </w:rPr>
            </w:pPr>
            <w:r w:rsidRPr="00E575A9">
              <w:rPr>
                <w:sz w:val="24"/>
                <w:szCs w:val="24"/>
                <w:lang w:val="en-US"/>
              </w:rPr>
              <w:t>20% decrease</w:t>
            </w:r>
          </w:p>
        </w:tc>
        <w:tc>
          <w:tcPr>
            <w:tcW w:w="2060" w:type="pct"/>
            <w:tcBorders>
              <w:top w:val="single" w:sz="4" w:space="0" w:color="000000"/>
              <w:left w:val="single" w:sz="4" w:space="0" w:color="000000"/>
              <w:bottom w:val="single" w:sz="4" w:space="0" w:color="000000"/>
              <w:right w:val="single" w:sz="4" w:space="0" w:color="000000"/>
            </w:tcBorders>
            <w:hideMark/>
          </w:tcPr>
          <w:p w14:paraId="05529295" w14:textId="77777777" w:rsidR="00E575A9" w:rsidRPr="00E575A9" w:rsidRDefault="00E575A9" w:rsidP="002D3416">
            <w:pPr>
              <w:ind w:left="142"/>
              <w:rPr>
                <w:sz w:val="24"/>
                <w:szCs w:val="24"/>
                <w:lang w:val="en-US"/>
              </w:rPr>
            </w:pPr>
            <w:r w:rsidRPr="00E575A9">
              <w:rPr>
                <w:sz w:val="24"/>
                <w:szCs w:val="24"/>
                <w:lang w:val="en-US"/>
              </w:rPr>
              <w:t>No influence</w:t>
            </w:r>
          </w:p>
        </w:tc>
      </w:tr>
      <w:tr w:rsidR="00E575A9" w:rsidRPr="00E575A9" w14:paraId="1E7984A5" w14:textId="77777777" w:rsidTr="002D3416">
        <w:trPr>
          <w:trHeight w:val="20"/>
        </w:trPr>
        <w:tc>
          <w:tcPr>
            <w:tcW w:w="1143" w:type="pct"/>
            <w:tcBorders>
              <w:top w:val="single" w:sz="4" w:space="0" w:color="000000"/>
              <w:left w:val="single" w:sz="4" w:space="0" w:color="000000"/>
              <w:bottom w:val="single" w:sz="4" w:space="0" w:color="000000"/>
              <w:right w:val="single" w:sz="4" w:space="0" w:color="000000"/>
            </w:tcBorders>
            <w:hideMark/>
          </w:tcPr>
          <w:p w14:paraId="3A1369AA" w14:textId="77777777" w:rsidR="00E575A9" w:rsidRPr="00E575A9" w:rsidRDefault="00E575A9" w:rsidP="002D3416">
            <w:pPr>
              <w:ind w:left="142"/>
              <w:rPr>
                <w:sz w:val="24"/>
                <w:szCs w:val="24"/>
                <w:lang w:val="en-US"/>
              </w:rPr>
            </w:pPr>
            <w:r w:rsidRPr="00E575A9">
              <w:rPr>
                <w:sz w:val="24"/>
                <w:szCs w:val="24"/>
                <w:lang w:val="en-US"/>
              </w:rPr>
              <w:t>Valproic Acid</w:t>
            </w:r>
          </w:p>
        </w:tc>
        <w:tc>
          <w:tcPr>
            <w:tcW w:w="1797" w:type="pct"/>
            <w:tcBorders>
              <w:top w:val="single" w:sz="4" w:space="0" w:color="000000"/>
              <w:left w:val="single" w:sz="4" w:space="0" w:color="000000"/>
              <w:bottom w:val="single" w:sz="4" w:space="0" w:color="000000"/>
              <w:right w:val="single" w:sz="4" w:space="0" w:color="000000"/>
            </w:tcBorders>
            <w:hideMark/>
          </w:tcPr>
          <w:p w14:paraId="15C972AE" w14:textId="77777777" w:rsidR="00E575A9" w:rsidRPr="00E575A9" w:rsidRDefault="00E575A9" w:rsidP="002D3416">
            <w:pPr>
              <w:ind w:left="142"/>
              <w:rPr>
                <w:sz w:val="24"/>
                <w:szCs w:val="24"/>
                <w:lang w:val="en-US"/>
              </w:rPr>
            </w:pPr>
            <w:r w:rsidRPr="00E575A9">
              <w:rPr>
                <w:sz w:val="24"/>
                <w:szCs w:val="24"/>
                <w:lang w:val="en-US"/>
              </w:rPr>
              <w:t>No influence</w:t>
            </w:r>
          </w:p>
        </w:tc>
        <w:tc>
          <w:tcPr>
            <w:tcW w:w="2060" w:type="pct"/>
            <w:tcBorders>
              <w:top w:val="single" w:sz="4" w:space="0" w:color="000000"/>
              <w:left w:val="single" w:sz="4" w:space="0" w:color="000000"/>
              <w:bottom w:val="single" w:sz="4" w:space="0" w:color="000000"/>
              <w:right w:val="single" w:sz="4" w:space="0" w:color="000000"/>
            </w:tcBorders>
            <w:hideMark/>
          </w:tcPr>
          <w:p w14:paraId="6C414178" w14:textId="77777777" w:rsidR="00E575A9" w:rsidRPr="00E575A9" w:rsidRDefault="00E575A9" w:rsidP="002D3416">
            <w:pPr>
              <w:ind w:left="142"/>
              <w:rPr>
                <w:sz w:val="24"/>
                <w:szCs w:val="24"/>
                <w:lang w:val="en-US"/>
              </w:rPr>
            </w:pPr>
            <w:r w:rsidRPr="00E575A9">
              <w:rPr>
                <w:sz w:val="24"/>
                <w:szCs w:val="24"/>
                <w:lang w:val="en-US"/>
              </w:rPr>
              <w:t>&lt;10% decrease</w:t>
            </w:r>
          </w:p>
        </w:tc>
      </w:tr>
      <w:tr w:rsidR="00E575A9" w:rsidRPr="00E575A9" w14:paraId="1D2A7365" w14:textId="77777777" w:rsidTr="002D3416">
        <w:trPr>
          <w:trHeight w:val="20"/>
        </w:trPr>
        <w:tc>
          <w:tcPr>
            <w:tcW w:w="1143" w:type="pct"/>
            <w:tcBorders>
              <w:top w:val="single" w:sz="4" w:space="0" w:color="000000"/>
              <w:left w:val="single" w:sz="4" w:space="0" w:color="000000"/>
              <w:bottom w:val="single" w:sz="4" w:space="0" w:color="000000"/>
              <w:right w:val="single" w:sz="4" w:space="0" w:color="000000"/>
            </w:tcBorders>
            <w:hideMark/>
          </w:tcPr>
          <w:p w14:paraId="36E25EB8" w14:textId="77777777" w:rsidR="00E575A9" w:rsidRPr="00E575A9" w:rsidRDefault="00E575A9" w:rsidP="002D3416">
            <w:pPr>
              <w:ind w:left="142"/>
              <w:rPr>
                <w:sz w:val="24"/>
                <w:szCs w:val="24"/>
                <w:lang w:val="en-US"/>
              </w:rPr>
            </w:pPr>
            <w:r w:rsidRPr="00E575A9">
              <w:rPr>
                <w:sz w:val="24"/>
                <w:szCs w:val="24"/>
                <w:lang w:val="en-US"/>
              </w:rPr>
              <w:t>Zonisamide</w:t>
            </w:r>
          </w:p>
        </w:tc>
        <w:tc>
          <w:tcPr>
            <w:tcW w:w="1797" w:type="pct"/>
            <w:tcBorders>
              <w:top w:val="single" w:sz="4" w:space="0" w:color="000000"/>
              <w:left w:val="single" w:sz="4" w:space="0" w:color="000000"/>
              <w:bottom w:val="single" w:sz="4" w:space="0" w:color="000000"/>
              <w:right w:val="single" w:sz="4" w:space="0" w:color="000000"/>
            </w:tcBorders>
            <w:hideMark/>
          </w:tcPr>
          <w:p w14:paraId="25589C33" w14:textId="77777777" w:rsidR="00E575A9" w:rsidRPr="00E575A9" w:rsidRDefault="00E575A9" w:rsidP="002D3416">
            <w:pPr>
              <w:ind w:left="142"/>
              <w:rPr>
                <w:sz w:val="24"/>
                <w:szCs w:val="24"/>
                <w:lang w:val="en-US"/>
              </w:rPr>
            </w:pPr>
            <w:r w:rsidRPr="00E575A9">
              <w:rPr>
                <w:sz w:val="24"/>
                <w:szCs w:val="24"/>
                <w:lang w:val="en-US"/>
              </w:rPr>
              <w:t>No influence</w:t>
            </w:r>
          </w:p>
        </w:tc>
        <w:tc>
          <w:tcPr>
            <w:tcW w:w="2060" w:type="pct"/>
            <w:tcBorders>
              <w:top w:val="single" w:sz="4" w:space="0" w:color="000000"/>
              <w:left w:val="single" w:sz="4" w:space="0" w:color="000000"/>
              <w:bottom w:val="single" w:sz="4" w:space="0" w:color="000000"/>
              <w:right w:val="single" w:sz="4" w:space="0" w:color="000000"/>
            </w:tcBorders>
            <w:hideMark/>
          </w:tcPr>
          <w:p w14:paraId="536D24D2" w14:textId="77777777" w:rsidR="00E575A9" w:rsidRPr="00E575A9" w:rsidRDefault="00E575A9" w:rsidP="002D3416">
            <w:pPr>
              <w:ind w:left="142"/>
              <w:rPr>
                <w:sz w:val="24"/>
                <w:szCs w:val="24"/>
                <w:lang w:val="en-US"/>
              </w:rPr>
            </w:pPr>
            <w:r w:rsidRPr="00E575A9">
              <w:rPr>
                <w:sz w:val="24"/>
                <w:szCs w:val="24"/>
                <w:lang w:val="en-US"/>
              </w:rPr>
              <w:t>No influence</w:t>
            </w:r>
          </w:p>
        </w:tc>
      </w:tr>
    </w:tbl>
    <w:p w14:paraId="00999AC6" w14:textId="115C6BFA" w:rsidR="00E575A9" w:rsidRPr="00E575A9" w:rsidRDefault="00E575A9" w:rsidP="002D3416">
      <w:pPr>
        <w:ind w:left="284" w:hanging="284"/>
        <w:rPr>
          <w:sz w:val="24"/>
          <w:szCs w:val="24"/>
          <w:u w:val="single"/>
          <w:lang w:val="en-IN"/>
        </w:rPr>
      </w:pPr>
      <w:r w:rsidRPr="00E575A9">
        <w:rPr>
          <w:sz w:val="24"/>
          <w:szCs w:val="24"/>
          <w:lang w:val="en-IN"/>
        </w:rPr>
        <w:t>1)</w:t>
      </w:r>
      <w:r w:rsidR="002D3416" w:rsidRPr="00032D7E">
        <w:rPr>
          <w:sz w:val="24"/>
          <w:szCs w:val="24"/>
          <w:lang w:val="en-IN"/>
        </w:rPr>
        <w:tab/>
      </w:r>
      <w:r w:rsidRPr="00E575A9">
        <w:rPr>
          <w:sz w:val="24"/>
          <w:szCs w:val="24"/>
          <w:lang w:val="en-IN"/>
        </w:rPr>
        <w:t xml:space="preserve">Active metabolite </w:t>
      </w:r>
      <w:proofErr w:type="spellStart"/>
      <w:r w:rsidRPr="00E575A9">
        <w:rPr>
          <w:sz w:val="24"/>
          <w:szCs w:val="24"/>
          <w:lang w:val="en-IN"/>
        </w:rPr>
        <w:t>monohydroxycarbazepine</w:t>
      </w:r>
      <w:proofErr w:type="spellEnd"/>
      <w:r w:rsidRPr="00E575A9">
        <w:rPr>
          <w:sz w:val="24"/>
          <w:szCs w:val="24"/>
          <w:lang w:val="en-IN"/>
        </w:rPr>
        <w:t xml:space="preserve"> was not assessed.</w:t>
      </w:r>
    </w:p>
    <w:p w14:paraId="1FD3506F" w14:textId="77777777" w:rsidR="00E575A9" w:rsidRPr="00032D7E" w:rsidRDefault="00E575A9" w:rsidP="002D3416">
      <w:pPr>
        <w:ind w:left="851"/>
        <w:rPr>
          <w:sz w:val="24"/>
          <w:szCs w:val="24"/>
          <w:lang w:val="en-IN"/>
        </w:rPr>
      </w:pPr>
    </w:p>
    <w:p w14:paraId="08C17624" w14:textId="77777777" w:rsidR="00E575A9" w:rsidRPr="00032D7E" w:rsidRDefault="00E575A9" w:rsidP="002D3416">
      <w:pPr>
        <w:ind w:left="851"/>
        <w:rPr>
          <w:sz w:val="24"/>
          <w:szCs w:val="24"/>
          <w:lang w:val="en-IN"/>
        </w:rPr>
      </w:pPr>
      <w:r w:rsidRPr="00032D7E">
        <w:rPr>
          <w:sz w:val="24"/>
          <w:szCs w:val="24"/>
          <w:lang w:val="en-IN"/>
        </w:rPr>
        <w:t xml:space="preserve">Based on the results from the population pharmacokinetic analysis of patients with partial-onset seizures and patients with primary generalised tonic-clonic seizures the total clearance of </w:t>
      </w:r>
      <w:proofErr w:type="spellStart"/>
      <w:r w:rsidRPr="00032D7E">
        <w:rPr>
          <w:sz w:val="24"/>
          <w:szCs w:val="24"/>
          <w:lang w:val="en-IN"/>
        </w:rPr>
        <w:t>perampanel</w:t>
      </w:r>
      <w:proofErr w:type="spellEnd"/>
      <w:r w:rsidRPr="00032D7E">
        <w:rPr>
          <w:sz w:val="24"/>
          <w:szCs w:val="24"/>
          <w:lang w:val="en-IN"/>
        </w:rPr>
        <w:t xml:space="preserve"> was increased when co-administered with carbamazepine (3-fold), and phenytoin or oxcarbazepine (2-fold), which are known inducers of enzymes of metabolism (see section 5.2). This effect should be </w:t>
      </w:r>
      <w:proofErr w:type="gramStart"/>
      <w:r w:rsidRPr="00032D7E">
        <w:rPr>
          <w:sz w:val="24"/>
          <w:szCs w:val="24"/>
          <w:lang w:val="en-IN"/>
        </w:rPr>
        <w:t>taken into account</w:t>
      </w:r>
      <w:proofErr w:type="gramEnd"/>
      <w:r w:rsidRPr="00032D7E">
        <w:rPr>
          <w:sz w:val="24"/>
          <w:szCs w:val="24"/>
          <w:lang w:val="en-IN"/>
        </w:rPr>
        <w:t xml:space="preserve"> and managed when adding or withdrawing these anti-epileptic drugs from a patient’s treatment regimen. Clonazepam, levetiracetam, phenobarbital, topiramate, zonisamide, clobazam, lamotrigine and valproic acid did not affect to a clinically relevant manner the clearance of </w:t>
      </w:r>
      <w:proofErr w:type="spellStart"/>
      <w:r w:rsidRPr="00032D7E">
        <w:rPr>
          <w:sz w:val="24"/>
          <w:szCs w:val="24"/>
          <w:lang w:val="en-IN"/>
        </w:rPr>
        <w:t>perampanel</w:t>
      </w:r>
      <w:proofErr w:type="spellEnd"/>
      <w:r w:rsidRPr="00032D7E">
        <w:rPr>
          <w:sz w:val="24"/>
          <w:szCs w:val="24"/>
          <w:lang w:val="en-IN"/>
        </w:rPr>
        <w:t xml:space="preserve">. </w:t>
      </w:r>
    </w:p>
    <w:p w14:paraId="00DDEA75" w14:textId="77777777" w:rsidR="00E575A9" w:rsidRPr="00032D7E" w:rsidRDefault="00E575A9" w:rsidP="002D3416">
      <w:pPr>
        <w:ind w:left="851"/>
        <w:rPr>
          <w:sz w:val="24"/>
          <w:szCs w:val="24"/>
          <w:lang w:val="en-IN"/>
        </w:rPr>
      </w:pPr>
    </w:p>
    <w:p w14:paraId="5C783C24" w14:textId="77C2B04C" w:rsidR="00E575A9" w:rsidRPr="00032D7E" w:rsidRDefault="00E575A9" w:rsidP="002D3416">
      <w:pPr>
        <w:ind w:left="851"/>
        <w:rPr>
          <w:sz w:val="24"/>
          <w:szCs w:val="24"/>
          <w:lang w:val="en-IN"/>
        </w:rPr>
      </w:pPr>
      <w:r w:rsidRPr="00032D7E">
        <w:rPr>
          <w:sz w:val="24"/>
          <w:szCs w:val="24"/>
          <w:lang w:val="en-IN"/>
        </w:rPr>
        <w:t xml:space="preserve">In a population pharmacokinetic analysis of patients with partial-onset seizures, </w:t>
      </w:r>
      <w:proofErr w:type="spellStart"/>
      <w:r w:rsidRPr="00032D7E">
        <w:rPr>
          <w:sz w:val="24"/>
          <w:szCs w:val="24"/>
          <w:lang w:val="en-IN"/>
        </w:rPr>
        <w:t>perampanel</w:t>
      </w:r>
      <w:proofErr w:type="spellEnd"/>
      <w:r w:rsidRPr="00032D7E">
        <w:rPr>
          <w:sz w:val="24"/>
          <w:szCs w:val="24"/>
          <w:lang w:val="en-IN"/>
        </w:rPr>
        <w:t xml:space="preserve"> did not affect to a clinically relevant manner the clearance of clonazepam, levetiracetam, phenobarbital, phenytoin, topiramate, zonisamide, carbamazepine, clobazam, lamotrigine and valproic acid, at the highest </w:t>
      </w:r>
      <w:proofErr w:type="spellStart"/>
      <w:r w:rsidRPr="00032D7E">
        <w:rPr>
          <w:sz w:val="24"/>
          <w:szCs w:val="24"/>
          <w:lang w:val="en-IN"/>
        </w:rPr>
        <w:t>perampanel</w:t>
      </w:r>
      <w:proofErr w:type="spellEnd"/>
      <w:r w:rsidRPr="00032D7E">
        <w:rPr>
          <w:sz w:val="24"/>
          <w:szCs w:val="24"/>
          <w:lang w:val="en-IN"/>
        </w:rPr>
        <w:t xml:space="preserve"> dose evaluated (12</w:t>
      </w:r>
      <w:r w:rsidR="00FE0AD1">
        <w:rPr>
          <w:sz w:val="24"/>
          <w:szCs w:val="24"/>
          <w:lang w:val="en-IN"/>
        </w:rPr>
        <w:t> </w:t>
      </w:r>
      <w:r w:rsidRPr="00032D7E">
        <w:rPr>
          <w:sz w:val="24"/>
          <w:szCs w:val="24"/>
          <w:lang w:val="en-IN"/>
        </w:rPr>
        <w:t xml:space="preserve">mg/day). </w:t>
      </w:r>
    </w:p>
    <w:p w14:paraId="0BA82B07" w14:textId="77777777" w:rsidR="00E575A9" w:rsidRPr="00032D7E" w:rsidRDefault="00E575A9" w:rsidP="002D3416">
      <w:pPr>
        <w:ind w:left="851"/>
        <w:rPr>
          <w:sz w:val="24"/>
          <w:szCs w:val="24"/>
          <w:lang w:val="en-IN"/>
        </w:rPr>
      </w:pPr>
    </w:p>
    <w:p w14:paraId="4D876F21" w14:textId="77777777" w:rsidR="00E575A9" w:rsidRPr="00032D7E" w:rsidRDefault="00E575A9" w:rsidP="002D3416">
      <w:pPr>
        <w:ind w:left="851"/>
        <w:rPr>
          <w:sz w:val="24"/>
          <w:szCs w:val="24"/>
          <w:lang w:val="en-IN"/>
        </w:rPr>
      </w:pPr>
      <w:proofErr w:type="spellStart"/>
      <w:r w:rsidRPr="00032D7E">
        <w:rPr>
          <w:sz w:val="24"/>
          <w:szCs w:val="24"/>
          <w:lang w:val="en-IN"/>
        </w:rPr>
        <w:t>Perampanel</w:t>
      </w:r>
      <w:proofErr w:type="spellEnd"/>
      <w:r w:rsidRPr="00032D7E">
        <w:rPr>
          <w:sz w:val="24"/>
          <w:szCs w:val="24"/>
          <w:lang w:val="en-IN"/>
        </w:rPr>
        <w:t xml:space="preserve"> was found to decrease the clearance of oxcarbazepine by 26%. Oxcarbazepine is rapidly metabolised by cytosolic reductase enzyme to the active metabolite, </w:t>
      </w:r>
      <w:proofErr w:type="spellStart"/>
      <w:r w:rsidRPr="00032D7E">
        <w:rPr>
          <w:sz w:val="24"/>
          <w:szCs w:val="24"/>
          <w:lang w:val="en-IN"/>
        </w:rPr>
        <w:t>monohydroxycarbazepine</w:t>
      </w:r>
      <w:proofErr w:type="spellEnd"/>
      <w:r w:rsidRPr="00032D7E">
        <w:rPr>
          <w:sz w:val="24"/>
          <w:szCs w:val="24"/>
          <w:lang w:val="en-IN"/>
        </w:rPr>
        <w:t xml:space="preserve">. The effect of </w:t>
      </w:r>
      <w:proofErr w:type="spellStart"/>
      <w:r w:rsidRPr="00032D7E">
        <w:rPr>
          <w:sz w:val="24"/>
          <w:szCs w:val="24"/>
          <w:lang w:val="en-IN"/>
        </w:rPr>
        <w:t>perampanel</w:t>
      </w:r>
      <w:proofErr w:type="spellEnd"/>
      <w:r w:rsidRPr="00032D7E">
        <w:rPr>
          <w:sz w:val="24"/>
          <w:szCs w:val="24"/>
          <w:lang w:val="en-IN"/>
        </w:rPr>
        <w:t xml:space="preserve"> on </w:t>
      </w:r>
      <w:proofErr w:type="spellStart"/>
      <w:r w:rsidRPr="00032D7E">
        <w:rPr>
          <w:sz w:val="24"/>
          <w:szCs w:val="24"/>
          <w:lang w:val="en-IN"/>
        </w:rPr>
        <w:t>monohydroxycarbazepine</w:t>
      </w:r>
      <w:proofErr w:type="spellEnd"/>
      <w:r w:rsidRPr="00032D7E">
        <w:rPr>
          <w:sz w:val="24"/>
          <w:szCs w:val="24"/>
          <w:lang w:val="en-IN"/>
        </w:rPr>
        <w:t xml:space="preserve"> concentrations is not known. </w:t>
      </w:r>
    </w:p>
    <w:p w14:paraId="5FBF18AE" w14:textId="77777777" w:rsidR="00E575A9" w:rsidRPr="00032D7E" w:rsidRDefault="00E575A9" w:rsidP="002D3416">
      <w:pPr>
        <w:ind w:left="851"/>
        <w:rPr>
          <w:sz w:val="24"/>
          <w:szCs w:val="24"/>
          <w:lang w:val="en-IN"/>
        </w:rPr>
      </w:pPr>
    </w:p>
    <w:p w14:paraId="4122C74B" w14:textId="77777777" w:rsidR="00E575A9" w:rsidRPr="00032D7E" w:rsidRDefault="00E575A9" w:rsidP="002D3416">
      <w:pPr>
        <w:ind w:left="851"/>
        <w:rPr>
          <w:sz w:val="24"/>
          <w:szCs w:val="24"/>
          <w:lang w:val="en-IN"/>
        </w:rPr>
      </w:pPr>
      <w:proofErr w:type="spellStart"/>
      <w:r w:rsidRPr="00032D7E">
        <w:rPr>
          <w:sz w:val="24"/>
          <w:szCs w:val="24"/>
          <w:lang w:val="en-IN"/>
        </w:rPr>
        <w:t>Perampanel</w:t>
      </w:r>
      <w:proofErr w:type="spellEnd"/>
      <w:r w:rsidRPr="00032D7E">
        <w:rPr>
          <w:sz w:val="24"/>
          <w:szCs w:val="24"/>
          <w:lang w:val="en-IN"/>
        </w:rPr>
        <w:t xml:space="preserve"> is dosed to clinical effect regardless of other AEDs. </w:t>
      </w:r>
    </w:p>
    <w:p w14:paraId="6E445A4A" w14:textId="77777777" w:rsidR="00E575A9" w:rsidRPr="00032D7E" w:rsidRDefault="00E575A9" w:rsidP="002D3416">
      <w:pPr>
        <w:ind w:left="851"/>
        <w:rPr>
          <w:sz w:val="24"/>
          <w:szCs w:val="24"/>
          <w:lang w:val="en-IN"/>
        </w:rPr>
      </w:pPr>
    </w:p>
    <w:p w14:paraId="4F48C51D" w14:textId="77777777" w:rsidR="00E575A9" w:rsidRPr="00032D7E" w:rsidRDefault="00E575A9" w:rsidP="002D3416">
      <w:pPr>
        <w:ind w:left="851"/>
        <w:rPr>
          <w:sz w:val="24"/>
          <w:szCs w:val="24"/>
          <w:u w:val="single"/>
          <w:lang w:val="en-IN"/>
        </w:rPr>
      </w:pPr>
      <w:r w:rsidRPr="00032D7E">
        <w:rPr>
          <w:sz w:val="24"/>
          <w:szCs w:val="24"/>
          <w:u w:val="single"/>
          <w:lang w:val="en-IN"/>
        </w:rPr>
        <w:t xml:space="preserve">Effect of </w:t>
      </w:r>
      <w:proofErr w:type="spellStart"/>
      <w:r w:rsidRPr="00032D7E">
        <w:rPr>
          <w:sz w:val="24"/>
          <w:szCs w:val="24"/>
          <w:u w:val="single"/>
          <w:lang w:val="en-IN"/>
        </w:rPr>
        <w:t>perampanel</w:t>
      </w:r>
      <w:proofErr w:type="spellEnd"/>
      <w:r w:rsidRPr="00032D7E">
        <w:rPr>
          <w:sz w:val="24"/>
          <w:szCs w:val="24"/>
          <w:u w:val="single"/>
          <w:lang w:val="en-IN"/>
        </w:rPr>
        <w:t xml:space="preserve"> on CYP3A substrates </w:t>
      </w:r>
    </w:p>
    <w:p w14:paraId="35BEC9AB" w14:textId="77777777" w:rsidR="00E575A9" w:rsidRPr="00032D7E" w:rsidRDefault="00E575A9" w:rsidP="002D3416">
      <w:pPr>
        <w:ind w:left="851"/>
        <w:rPr>
          <w:sz w:val="24"/>
          <w:szCs w:val="24"/>
          <w:lang w:val="en-IN"/>
        </w:rPr>
      </w:pPr>
    </w:p>
    <w:p w14:paraId="734B80AE" w14:textId="77777777" w:rsidR="00E575A9" w:rsidRPr="00032D7E" w:rsidRDefault="00E575A9" w:rsidP="002D3416">
      <w:pPr>
        <w:ind w:left="851"/>
        <w:rPr>
          <w:sz w:val="24"/>
          <w:szCs w:val="24"/>
          <w:lang w:val="en-IN"/>
        </w:rPr>
      </w:pPr>
      <w:r w:rsidRPr="00032D7E">
        <w:rPr>
          <w:sz w:val="24"/>
          <w:szCs w:val="24"/>
          <w:lang w:val="en-IN"/>
        </w:rPr>
        <w:t xml:space="preserve">In healthy subjects, </w:t>
      </w:r>
      <w:proofErr w:type="spellStart"/>
      <w:r w:rsidRPr="00032D7E">
        <w:rPr>
          <w:sz w:val="24"/>
          <w:szCs w:val="24"/>
          <w:lang w:val="en-IN"/>
        </w:rPr>
        <w:t>perampanel</w:t>
      </w:r>
      <w:proofErr w:type="spellEnd"/>
      <w:r w:rsidRPr="00032D7E">
        <w:rPr>
          <w:sz w:val="24"/>
          <w:szCs w:val="24"/>
          <w:lang w:val="en-IN"/>
        </w:rPr>
        <w:t xml:space="preserve"> (6 mg once daily for 20 days) decreased midazolam AUC by 13%. A larger decrease in exposure of midazolam (or other sensitive CYP3A substrates) at higher </w:t>
      </w:r>
      <w:proofErr w:type="spellStart"/>
      <w:r w:rsidRPr="00032D7E">
        <w:rPr>
          <w:sz w:val="24"/>
          <w:szCs w:val="24"/>
          <w:lang w:val="en-IN"/>
        </w:rPr>
        <w:t>perampanel</w:t>
      </w:r>
      <w:proofErr w:type="spellEnd"/>
      <w:r w:rsidRPr="00032D7E">
        <w:rPr>
          <w:sz w:val="24"/>
          <w:szCs w:val="24"/>
          <w:lang w:val="en-IN"/>
        </w:rPr>
        <w:t xml:space="preserve"> doses cannot be excluded. </w:t>
      </w:r>
    </w:p>
    <w:p w14:paraId="32949211" w14:textId="77777777" w:rsidR="00E575A9" w:rsidRPr="00032D7E" w:rsidRDefault="00E575A9" w:rsidP="002D3416">
      <w:pPr>
        <w:ind w:left="851"/>
        <w:rPr>
          <w:sz w:val="24"/>
          <w:szCs w:val="24"/>
          <w:u w:val="single"/>
          <w:lang w:val="en-IN"/>
        </w:rPr>
      </w:pPr>
    </w:p>
    <w:p w14:paraId="08B45D96" w14:textId="77777777" w:rsidR="00E575A9" w:rsidRPr="00032D7E" w:rsidRDefault="00E575A9" w:rsidP="002D3416">
      <w:pPr>
        <w:ind w:left="851"/>
        <w:rPr>
          <w:sz w:val="24"/>
          <w:szCs w:val="24"/>
          <w:u w:val="single"/>
          <w:lang w:val="en-IN"/>
        </w:rPr>
      </w:pPr>
      <w:r w:rsidRPr="00032D7E">
        <w:rPr>
          <w:sz w:val="24"/>
          <w:szCs w:val="24"/>
          <w:u w:val="single"/>
          <w:lang w:val="en-IN"/>
        </w:rPr>
        <w:t xml:space="preserve">Effect of cytochrome P450 inducers on </w:t>
      </w:r>
      <w:proofErr w:type="spellStart"/>
      <w:r w:rsidRPr="00032D7E">
        <w:rPr>
          <w:sz w:val="24"/>
          <w:szCs w:val="24"/>
          <w:u w:val="single"/>
          <w:lang w:val="en-IN"/>
        </w:rPr>
        <w:t>perampanel</w:t>
      </w:r>
      <w:proofErr w:type="spellEnd"/>
      <w:r w:rsidRPr="00032D7E">
        <w:rPr>
          <w:sz w:val="24"/>
          <w:szCs w:val="24"/>
          <w:u w:val="single"/>
          <w:lang w:val="en-IN"/>
        </w:rPr>
        <w:t xml:space="preserve"> pharmacokinetics </w:t>
      </w:r>
    </w:p>
    <w:p w14:paraId="0A76FAF1" w14:textId="77777777" w:rsidR="00E575A9" w:rsidRPr="00032D7E" w:rsidRDefault="00E575A9" w:rsidP="002D3416">
      <w:pPr>
        <w:ind w:left="851"/>
        <w:rPr>
          <w:sz w:val="24"/>
          <w:szCs w:val="24"/>
          <w:lang w:val="en-IN"/>
        </w:rPr>
      </w:pPr>
    </w:p>
    <w:p w14:paraId="1185B2EA" w14:textId="77777777" w:rsidR="00E575A9" w:rsidRPr="00032D7E" w:rsidRDefault="00E575A9" w:rsidP="002D3416">
      <w:pPr>
        <w:ind w:left="851"/>
        <w:rPr>
          <w:sz w:val="24"/>
          <w:szCs w:val="24"/>
          <w:lang w:val="en-IN"/>
        </w:rPr>
      </w:pPr>
      <w:r w:rsidRPr="00032D7E">
        <w:rPr>
          <w:sz w:val="24"/>
          <w:szCs w:val="24"/>
          <w:lang w:val="en-IN"/>
        </w:rPr>
        <w:t xml:space="preserve">Strong inducers of cytochrome P450, such as rifampicin and hypericum, are expected to decrease </w:t>
      </w:r>
      <w:proofErr w:type="spellStart"/>
      <w:r w:rsidRPr="00032D7E">
        <w:rPr>
          <w:sz w:val="24"/>
          <w:szCs w:val="24"/>
          <w:lang w:val="en-IN"/>
        </w:rPr>
        <w:t>perampanel</w:t>
      </w:r>
      <w:proofErr w:type="spellEnd"/>
      <w:r w:rsidRPr="00032D7E">
        <w:rPr>
          <w:sz w:val="24"/>
          <w:szCs w:val="24"/>
          <w:lang w:val="en-IN"/>
        </w:rPr>
        <w:t xml:space="preserve"> concentrations and the potential for higher plasma concentrations of reactive metabolites in their presence has not been excluded. Felbamate has been shown to decrease the concentrations of some medicinal products and may also reduce </w:t>
      </w:r>
      <w:proofErr w:type="spellStart"/>
      <w:r w:rsidRPr="00032D7E">
        <w:rPr>
          <w:sz w:val="24"/>
          <w:szCs w:val="24"/>
          <w:lang w:val="en-IN"/>
        </w:rPr>
        <w:t>perampanel</w:t>
      </w:r>
      <w:proofErr w:type="spellEnd"/>
      <w:r w:rsidRPr="00032D7E">
        <w:rPr>
          <w:sz w:val="24"/>
          <w:szCs w:val="24"/>
          <w:lang w:val="en-IN"/>
        </w:rPr>
        <w:t xml:space="preserve"> concentrations. </w:t>
      </w:r>
    </w:p>
    <w:p w14:paraId="512D79CC" w14:textId="77777777" w:rsidR="00E575A9" w:rsidRPr="00032D7E" w:rsidRDefault="00E575A9" w:rsidP="002D3416">
      <w:pPr>
        <w:ind w:left="851"/>
        <w:rPr>
          <w:sz w:val="24"/>
          <w:szCs w:val="24"/>
          <w:lang w:val="en-IN"/>
        </w:rPr>
      </w:pPr>
    </w:p>
    <w:p w14:paraId="58A66930" w14:textId="77777777" w:rsidR="00E575A9" w:rsidRPr="00032D7E" w:rsidRDefault="00E575A9" w:rsidP="002D3416">
      <w:pPr>
        <w:ind w:left="851"/>
        <w:rPr>
          <w:sz w:val="24"/>
          <w:szCs w:val="24"/>
          <w:u w:val="single"/>
          <w:lang w:val="en-IN"/>
        </w:rPr>
      </w:pPr>
      <w:r w:rsidRPr="00032D7E">
        <w:rPr>
          <w:sz w:val="24"/>
          <w:szCs w:val="24"/>
          <w:u w:val="single"/>
          <w:lang w:val="en-IN"/>
        </w:rPr>
        <w:t xml:space="preserve">Effect of cytochrome P450 inhibitors on </w:t>
      </w:r>
      <w:proofErr w:type="spellStart"/>
      <w:r w:rsidRPr="00032D7E">
        <w:rPr>
          <w:sz w:val="24"/>
          <w:szCs w:val="24"/>
          <w:u w:val="single"/>
          <w:lang w:val="en-IN"/>
        </w:rPr>
        <w:t>perampanel</w:t>
      </w:r>
      <w:proofErr w:type="spellEnd"/>
      <w:r w:rsidRPr="00032D7E">
        <w:rPr>
          <w:sz w:val="24"/>
          <w:szCs w:val="24"/>
          <w:u w:val="single"/>
          <w:lang w:val="en-IN"/>
        </w:rPr>
        <w:t xml:space="preserve"> pharmacokinetics </w:t>
      </w:r>
    </w:p>
    <w:p w14:paraId="031E4DBA" w14:textId="77777777" w:rsidR="00E575A9" w:rsidRPr="00032D7E" w:rsidRDefault="00E575A9" w:rsidP="002D3416">
      <w:pPr>
        <w:ind w:left="851"/>
        <w:rPr>
          <w:sz w:val="24"/>
          <w:szCs w:val="24"/>
          <w:u w:val="single"/>
          <w:lang w:val="en-IN"/>
        </w:rPr>
      </w:pPr>
    </w:p>
    <w:p w14:paraId="3C9892A4" w14:textId="77777777" w:rsidR="00E575A9" w:rsidRPr="00032D7E" w:rsidRDefault="00E575A9" w:rsidP="002D3416">
      <w:pPr>
        <w:ind w:left="851"/>
        <w:rPr>
          <w:sz w:val="24"/>
          <w:szCs w:val="24"/>
          <w:lang w:val="en-IN"/>
        </w:rPr>
      </w:pPr>
      <w:r w:rsidRPr="00032D7E">
        <w:rPr>
          <w:sz w:val="24"/>
          <w:szCs w:val="24"/>
          <w:lang w:val="en-IN"/>
        </w:rPr>
        <w:t xml:space="preserve">In healthy subjects, the CYP3A4 inhibitor ketoconazole (400 mg once daily for 10 days) increased </w:t>
      </w:r>
      <w:proofErr w:type="spellStart"/>
      <w:r w:rsidRPr="00032D7E">
        <w:rPr>
          <w:sz w:val="24"/>
          <w:szCs w:val="24"/>
          <w:lang w:val="en-IN"/>
        </w:rPr>
        <w:t>perampanel</w:t>
      </w:r>
      <w:proofErr w:type="spellEnd"/>
      <w:r w:rsidRPr="00032D7E">
        <w:rPr>
          <w:sz w:val="24"/>
          <w:szCs w:val="24"/>
          <w:lang w:val="en-IN"/>
        </w:rPr>
        <w:t xml:space="preserve"> AUC by 20% and prolonged </w:t>
      </w:r>
      <w:proofErr w:type="spellStart"/>
      <w:r w:rsidRPr="00032D7E">
        <w:rPr>
          <w:sz w:val="24"/>
          <w:szCs w:val="24"/>
          <w:lang w:val="en-IN"/>
        </w:rPr>
        <w:t>perampanel</w:t>
      </w:r>
      <w:proofErr w:type="spellEnd"/>
      <w:r w:rsidRPr="00032D7E">
        <w:rPr>
          <w:sz w:val="24"/>
          <w:szCs w:val="24"/>
          <w:lang w:val="en-IN"/>
        </w:rPr>
        <w:t xml:space="preserve"> half-life by 15% (67.8 h vs 58.4 h). Larger effects cannot be excluded when </w:t>
      </w:r>
      <w:proofErr w:type="spellStart"/>
      <w:r w:rsidRPr="00032D7E">
        <w:rPr>
          <w:sz w:val="24"/>
          <w:szCs w:val="24"/>
          <w:lang w:val="en-IN"/>
        </w:rPr>
        <w:t>perampanel</w:t>
      </w:r>
      <w:proofErr w:type="spellEnd"/>
      <w:r w:rsidRPr="00032D7E">
        <w:rPr>
          <w:sz w:val="24"/>
          <w:szCs w:val="24"/>
          <w:lang w:val="en-IN"/>
        </w:rPr>
        <w:t xml:space="preserve"> is combined with a CYP3A inhibitor with longer half-life than ketoconazole or when the inhibitor is given for a longer treatment duration.</w:t>
      </w:r>
    </w:p>
    <w:p w14:paraId="443E6EA7" w14:textId="77777777" w:rsidR="00E575A9" w:rsidRPr="00032D7E" w:rsidRDefault="00E575A9" w:rsidP="002D3416">
      <w:pPr>
        <w:ind w:left="851"/>
        <w:rPr>
          <w:sz w:val="24"/>
          <w:szCs w:val="24"/>
          <w:lang w:val="en-IN"/>
        </w:rPr>
      </w:pPr>
    </w:p>
    <w:p w14:paraId="2A27DBAE" w14:textId="77777777" w:rsidR="00E575A9" w:rsidRPr="00032D7E" w:rsidRDefault="00E575A9" w:rsidP="002D3416">
      <w:pPr>
        <w:ind w:left="851"/>
        <w:rPr>
          <w:sz w:val="24"/>
          <w:szCs w:val="24"/>
          <w:lang w:val="en-IN"/>
        </w:rPr>
      </w:pPr>
      <w:r w:rsidRPr="00032D7E">
        <w:rPr>
          <w:i/>
          <w:iCs/>
          <w:sz w:val="24"/>
          <w:szCs w:val="24"/>
          <w:lang w:val="en-IN"/>
        </w:rPr>
        <w:t xml:space="preserve">Levodopa </w:t>
      </w:r>
    </w:p>
    <w:p w14:paraId="562361F9" w14:textId="77777777" w:rsidR="00E575A9" w:rsidRPr="00032D7E" w:rsidRDefault="00E575A9" w:rsidP="002D3416">
      <w:pPr>
        <w:ind w:left="851"/>
        <w:rPr>
          <w:sz w:val="24"/>
          <w:szCs w:val="24"/>
          <w:lang w:val="en-IN"/>
        </w:rPr>
      </w:pPr>
      <w:r w:rsidRPr="00032D7E">
        <w:rPr>
          <w:sz w:val="24"/>
          <w:szCs w:val="24"/>
          <w:lang w:val="en-IN"/>
        </w:rPr>
        <w:t xml:space="preserve">In healthy subjects, </w:t>
      </w:r>
      <w:proofErr w:type="spellStart"/>
      <w:r w:rsidRPr="00032D7E">
        <w:rPr>
          <w:sz w:val="24"/>
          <w:szCs w:val="24"/>
          <w:lang w:val="en-IN"/>
        </w:rPr>
        <w:t>Perampanel</w:t>
      </w:r>
      <w:proofErr w:type="spellEnd"/>
      <w:r w:rsidRPr="00032D7E">
        <w:rPr>
          <w:sz w:val="24"/>
          <w:szCs w:val="24"/>
          <w:lang w:val="en-IN"/>
        </w:rPr>
        <w:t xml:space="preserve"> (4 mg once daily for 19 days) had no effect on C</w:t>
      </w:r>
      <w:r w:rsidRPr="00032D7E">
        <w:rPr>
          <w:sz w:val="24"/>
          <w:szCs w:val="24"/>
          <w:vertAlign w:val="subscript"/>
          <w:lang w:val="en-IN"/>
        </w:rPr>
        <w:t>max</w:t>
      </w:r>
      <w:r w:rsidRPr="00032D7E">
        <w:rPr>
          <w:sz w:val="24"/>
          <w:szCs w:val="24"/>
          <w:lang w:val="en-IN"/>
        </w:rPr>
        <w:t xml:space="preserve"> or AUC of levodopa. </w:t>
      </w:r>
    </w:p>
    <w:p w14:paraId="26727D67" w14:textId="77777777" w:rsidR="00E575A9" w:rsidRPr="00032D7E" w:rsidRDefault="00E575A9" w:rsidP="002D3416">
      <w:pPr>
        <w:ind w:left="851"/>
        <w:rPr>
          <w:sz w:val="24"/>
          <w:szCs w:val="24"/>
          <w:lang w:val="en-IN"/>
        </w:rPr>
      </w:pPr>
    </w:p>
    <w:p w14:paraId="11419A22" w14:textId="77777777" w:rsidR="00E575A9" w:rsidRPr="00032D7E" w:rsidRDefault="00E575A9" w:rsidP="002D3416">
      <w:pPr>
        <w:ind w:left="851"/>
        <w:rPr>
          <w:sz w:val="24"/>
          <w:szCs w:val="24"/>
          <w:u w:val="single"/>
          <w:lang w:val="en-IN"/>
        </w:rPr>
      </w:pPr>
      <w:r w:rsidRPr="00032D7E">
        <w:rPr>
          <w:sz w:val="24"/>
          <w:szCs w:val="24"/>
          <w:u w:val="single"/>
          <w:lang w:val="en-IN"/>
        </w:rPr>
        <w:t xml:space="preserve">Alcohol </w:t>
      </w:r>
    </w:p>
    <w:p w14:paraId="1CC2C94B" w14:textId="77777777" w:rsidR="00E575A9" w:rsidRPr="00032D7E" w:rsidRDefault="00E575A9" w:rsidP="002D3416">
      <w:pPr>
        <w:ind w:left="851"/>
        <w:rPr>
          <w:sz w:val="24"/>
          <w:szCs w:val="24"/>
          <w:u w:val="single"/>
          <w:lang w:val="en-IN"/>
        </w:rPr>
      </w:pPr>
    </w:p>
    <w:p w14:paraId="77B10BE6" w14:textId="2518E93A" w:rsidR="00E575A9" w:rsidRPr="00032D7E" w:rsidRDefault="00E575A9" w:rsidP="002D3416">
      <w:pPr>
        <w:ind w:left="851"/>
        <w:rPr>
          <w:sz w:val="24"/>
          <w:szCs w:val="24"/>
          <w:lang w:val="en-IN"/>
        </w:rPr>
      </w:pPr>
      <w:r w:rsidRPr="00032D7E">
        <w:rPr>
          <w:sz w:val="24"/>
          <w:szCs w:val="24"/>
          <w:lang w:val="en-IN"/>
        </w:rPr>
        <w:t xml:space="preserve">The effects of </w:t>
      </w:r>
      <w:proofErr w:type="spellStart"/>
      <w:r w:rsidRPr="00032D7E">
        <w:rPr>
          <w:sz w:val="24"/>
          <w:szCs w:val="24"/>
          <w:lang w:val="en-IN"/>
        </w:rPr>
        <w:t>perampanel</w:t>
      </w:r>
      <w:proofErr w:type="spellEnd"/>
      <w:r w:rsidRPr="00032D7E">
        <w:rPr>
          <w:sz w:val="24"/>
          <w:szCs w:val="24"/>
          <w:lang w:val="en-IN"/>
        </w:rPr>
        <w:t xml:space="preserve"> on tasks involving alertness and vigilance such as driving ability were additive or supra-additive to the effects of alcohol itself, as found in a pharmacodynamic interaction study in healthy subjects. Multiple dosing of </w:t>
      </w:r>
      <w:proofErr w:type="spellStart"/>
      <w:r w:rsidRPr="00032D7E">
        <w:rPr>
          <w:sz w:val="24"/>
          <w:szCs w:val="24"/>
          <w:lang w:val="en-IN"/>
        </w:rPr>
        <w:t>perampanel</w:t>
      </w:r>
      <w:proofErr w:type="spellEnd"/>
      <w:r w:rsidRPr="00032D7E">
        <w:rPr>
          <w:sz w:val="24"/>
          <w:szCs w:val="24"/>
          <w:lang w:val="en-IN"/>
        </w:rPr>
        <w:t xml:space="preserve"> 12</w:t>
      </w:r>
      <w:r w:rsidR="00FE0AD1">
        <w:rPr>
          <w:sz w:val="24"/>
          <w:szCs w:val="24"/>
          <w:lang w:val="en-IN"/>
        </w:rPr>
        <w:t> </w:t>
      </w:r>
      <w:r w:rsidRPr="00032D7E">
        <w:rPr>
          <w:sz w:val="24"/>
          <w:szCs w:val="24"/>
          <w:lang w:val="en-IN"/>
        </w:rPr>
        <w:t xml:space="preserve">mg/day increased levels of anger, confusion, and depression as assessed using the Profile of Mood State 5-point rating scale (see section 5.1). These effects may also be seen when </w:t>
      </w:r>
      <w:proofErr w:type="spellStart"/>
      <w:r w:rsidRPr="00032D7E">
        <w:rPr>
          <w:sz w:val="24"/>
          <w:szCs w:val="24"/>
          <w:lang w:val="en-IN"/>
        </w:rPr>
        <w:t>perampanel</w:t>
      </w:r>
      <w:proofErr w:type="spellEnd"/>
      <w:r w:rsidRPr="00032D7E">
        <w:rPr>
          <w:sz w:val="24"/>
          <w:szCs w:val="24"/>
          <w:lang w:val="en-IN"/>
        </w:rPr>
        <w:t xml:space="preserve"> is used in combination with other central nervous system (CNS) depressants.</w:t>
      </w:r>
    </w:p>
    <w:p w14:paraId="5E226599" w14:textId="77777777" w:rsidR="00E575A9" w:rsidRPr="00032D7E" w:rsidRDefault="00E575A9" w:rsidP="002D3416">
      <w:pPr>
        <w:ind w:left="851"/>
        <w:rPr>
          <w:sz w:val="24"/>
          <w:szCs w:val="24"/>
          <w:lang w:val="en-IN"/>
        </w:rPr>
      </w:pPr>
    </w:p>
    <w:p w14:paraId="68A07FE9" w14:textId="77777777" w:rsidR="00E575A9" w:rsidRPr="00032D7E" w:rsidRDefault="00E575A9" w:rsidP="002D3416">
      <w:pPr>
        <w:ind w:left="851"/>
        <w:rPr>
          <w:sz w:val="24"/>
          <w:szCs w:val="24"/>
          <w:u w:val="single"/>
          <w:lang w:val="en-IN"/>
        </w:rPr>
      </w:pPr>
      <w:r w:rsidRPr="00032D7E">
        <w:rPr>
          <w:sz w:val="24"/>
          <w:szCs w:val="24"/>
          <w:u w:val="single"/>
          <w:lang w:val="en-IN"/>
        </w:rPr>
        <w:t xml:space="preserve">Paediatric population </w:t>
      </w:r>
    </w:p>
    <w:p w14:paraId="70580BF9" w14:textId="77777777" w:rsidR="00E575A9" w:rsidRPr="00032D7E" w:rsidRDefault="00E575A9" w:rsidP="002D3416">
      <w:pPr>
        <w:ind w:left="851"/>
        <w:rPr>
          <w:sz w:val="24"/>
          <w:szCs w:val="24"/>
          <w:u w:val="single"/>
          <w:lang w:val="en-IN"/>
        </w:rPr>
      </w:pPr>
    </w:p>
    <w:p w14:paraId="7CD032BC" w14:textId="77777777" w:rsidR="00E575A9" w:rsidRPr="00032D7E" w:rsidRDefault="00E575A9" w:rsidP="002D3416">
      <w:pPr>
        <w:ind w:left="851"/>
        <w:rPr>
          <w:sz w:val="24"/>
          <w:szCs w:val="24"/>
          <w:lang w:val="en-IN"/>
        </w:rPr>
      </w:pPr>
      <w:r w:rsidRPr="00032D7E">
        <w:rPr>
          <w:sz w:val="24"/>
          <w:szCs w:val="24"/>
          <w:lang w:val="en-IN"/>
        </w:rPr>
        <w:t xml:space="preserve">Interaction studies have only been performed in adults. </w:t>
      </w:r>
    </w:p>
    <w:p w14:paraId="5A374A0F" w14:textId="77777777" w:rsidR="00E575A9" w:rsidRPr="00032D7E" w:rsidRDefault="00E575A9" w:rsidP="002D3416">
      <w:pPr>
        <w:ind w:left="851"/>
        <w:rPr>
          <w:sz w:val="24"/>
          <w:szCs w:val="24"/>
          <w:lang w:val="en-IN"/>
        </w:rPr>
      </w:pPr>
      <w:r w:rsidRPr="00032D7E">
        <w:rPr>
          <w:sz w:val="24"/>
          <w:szCs w:val="24"/>
          <w:lang w:val="en-IN"/>
        </w:rPr>
        <w:t>In a population pharmacokinetic analysis of adolescent patients age ≥ 12 years and children age 4 to 11 years, there were no notable differences compared to the adult population.</w:t>
      </w:r>
    </w:p>
    <w:p w14:paraId="4C527619" w14:textId="47B81337" w:rsidR="00FE0AD1" w:rsidRDefault="00FE0AD1">
      <w:pPr>
        <w:rPr>
          <w:sz w:val="24"/>
          <w:szCs w:val="24"/>
          <w:lang w:val="en-IN"/>
        </w:rPr>
      </w:pPr>
      <w:r>
        <w:rPr>
          <w:sz w:val="24"/>
          <w:szCs w:val="24"/>
          <w:lang w:val="en-IN"/>
        </w:rPr>
        <w:br w:type="page"/>
      </w:r>
    </w:p>
    <w:p w14:paraId="7BC5F7D9" w14:textId="77777777" w:rsidR="007C5D2A" w:rsidRPr="00032D7E" w:rsidRDefault="007C5D2A" w:rsidP="003E0341">
      <w:pPr>
        <w:tabs>
          <w:tab w:val="left" w:pos="851"/>
        </w:tabs>
        <w:ind w:left="851"/>
        <w:rPr>
          <w:sz w:val="24"/>
          <w:szCs w:val="24"/>
          <w:lang w:val="en-IN"/>
        </w:rPr>
      </w:pPr>
    </w:p>
    <w:p w14:paraId="1289792C" w14:textId="77777777" w:rsidR="007C5D2A" w:rsidRPr="00032D7E" w:rsidRDefault="007C5D2A" w:rsidP="007C5D2A">
      <w:pPr>
        <w:tabs>
          <w:tab w:val="left" w:pos="851"/>
        </w:tabs>
        <w:ind w:left="851" w:hanging="851"/>
        <w:rPr>
          <w:b/>
          <w:sz w:val="24"/>
          <w:szCs w:val="24"/>
          <w:lang w:val="en-GB"/>
        </w:rPr>
      </w:pPr>
      <w:r w:rsidRPr="00032D7E">
        <w:rPr>
          <w:b/>
          <w:sz w:val="24"/>
          <w:szCs w:val="24"/>
          <w:lang w:val="en-GB"/>
        </w:rPr>
        <w:t>4.6</w:t>
      </w:r>
      <w:r w:rsidRPr="00032D7E">
        <w:rPr>
          <w:b/>
          <w:sz w:val="24"/>
          <w:szCs w:val="24"/>
          <w:lang w:val="en-GB"/>
        </w:rPr>
        <w:tab/>
      </w:r>
      <w:r w:rsidR="004860D3" w:rsidRPr="00032D7E">
        <w:rPr>
          <w:b/>
          <w:sz w:val="24"/>
          <w:szCs w:val="24"/>
          <w:lang w:val="en-GB"/>
        </w:rPr>
        <w:t>Fertility, p</w:t>
      </w:r>
      <w:r w:rsidRPr="00032D7E">
        <w:rPr>
          <w:b/>
          <w:sz w:val="24"/>
          <w:szCs w:val="24"/>
          <w:lang w:val="en-GB"/>
        </w:rPr>
        <w:t>regnancy and lactation</w:t>
      </w:r>
    </w:p>
    <w:p w14:paraId="415309B0" w14:textId="77777777" w:rsidR="00032D7E" w:rsidRDefault="00032D7E" w:rsidP="002D3416">
      <w:pPr>
        <w:ind w:left="851"/>
        <w:rPr>
          <w:sz w:val="24"/>
          <w:szCs w:val="24"/>
          <w:lang w:val="en-IN"/>
        </w:rPr>
      </w:pPr>
    </w:p>
    <w:p w14:paraId="40C0A5CE" w14:textId="18CB10DF" w:rsidR="00E575A9" w:rsidRPr="00032D7E" w:rsidRDefault="00E575A9" w:rsidP="002D3416">
      <w:pPr>
        <w:ind w:left="851"/>
        <w:rPr>
          <w:sz w:val="24"/>
          <w:szCs w:val="24"/>
          <w:u w:val="single"/>
          <w:lang w:val="en-IN"/>
        </w:rPr>
      </w:pPr>
      <w:r w:rsidRPr="00032D7E">
        <w:rPr>
          <w:sz w:val="24"/>
          <w:szCs w:val="24"/>
          <w:u w:val="single"/>
          <w:lang w:val="en-IN"/>
        </w:rPr>
        <w:t xml:space="preserve">Women of childbearing potential and contraception in males and females </w:t>
      </w:r>
    </w:p>
    <w:p w14:paraId="39A5B750" w14:textId="77777777" w:rsidR="00E575A9" w:rsidRPr="00032D7E" w:rsidRDefault="00E575A9" w:rsidP="002D3416">
      <w:pPr>
        <w:ind w:left="851"/>
        <w:rPr>
          <w:sz w:val="24"/>
          <w:szCs w:val="24"/>
          <w:lang w:val="en-IN"/>
        </w:rPr>
      </w:pPr>
    </w:p>
    <w:p w14:paraId="25764BFC" w14:textId="5A843200" w:rsidR="00E575A9" w:rsidRPr="00032D7E" w:rsidRDefault="00E575A9" w:rsidP="002D3416">
      <w:pPr>
        <w:ind w:left="851"/>
        <w:rPr>
          <w:sz w:val="24"/>
          <w:szCs w:val="24"/>
          <w:lang w:val="en-IN"/>
        </w:rPr>
      </w:pPr>
      <w:proofErr w:type="spellStart"/>
      <w:r w:rsidRPr="00032D7E">
        <w:rPr>
          <w:sz w:val="24"/>
          <w:szCs w:val="24"/>
          <w:lang w:val="en-IN"/>
        </w:rPr>
        <w:t>Perampanel</w:t>
      </w:r>
      <w:proofErr w:type="spellEnd"/>
      <w:r w:rsidRPr="00032D7E">
        <w:rPr>
          <w:sz w:val="24"/>
          <w:szCs w:val="24"/>
          <w:lang w:val="en-IN"/>
        </w:rPr>
        <w:t xml:space="preserve"> is not recommended in women of childbearing potential not using contraception unless clearly necessary. </w:t>
      </w:r>
      <w:proofErr w:type="spellStart"/>
      <w:r w:rsidR="00FE0AD1">
        <w:rPr>
          <w:sz w:val="24"/>
          <w:szCs w:val="24"/>
          <w:lang w:val="en-IN"/>
        </w:rPr>
        <w:t>P</w:t>
      </w:r>
      <w:r w:rsidRPr="00032D7E">
        <w:rPr>
          <w:sz w:val="24"/>
          <w:szCs w:val="24"/>
          <w:lang w:val="en-IN"/>
        </w:rPr>
        <w:t>erampanel</w:t>
      </w:r>
      <w:proofErr w:type="spellEnd"/>
      <w:r w:rsidRPr="00032D7E">
        <w:rPr>
          <w:sz w:val="24"/>
          <w:szCs w:val="24"/>
          <w:lang w:val="en-IN"/>
        </w:rPr>
        <w:t xml:space="preserve"> may decrease the effectiveness of </w:t>
      </w:r>
      <w:proofErr w:type="spellStart"/>
      <w:r w:rsidRPr="00032D7E">
        <w:rPr>
          <w:sz w:val="24"/>
          <w:szCs w:val="24"/>
          <w:lang w:val="en-IN"/>
        </w:rPr>
        <w:t>progestative</w:t>
      </w:r>
      <w:proofErr w:type="spellEnd"/>
      <w:r w:rsidRPr="00032D7E">
        <w:rPr>
          <w:sz w:val="24"/>
          <w:szCs w:val="24"/>
          <w:lang w:val="en-IN"/>
        </w:rPr>
        <w:t xml:space="preserve">-containing hormonal contraceptives. An additional non-hormonal form of contraception is, therefore recommended (see sections 4.4 and 4.5). </w:t>
      </w:r>
    </w:p>
    <w:p w14:paraId="464DC6CE" w14:textId="77777777" w:rsidR="00E575A9" w:rsidRPr="00032D7E" w:rsidRDefault="00E575A9" w:rsidP="002D3416">
      <w:pPr>
        <w:ind w:left="851"/>
        <w:rPr>
          <w:sz w:val="24"/>
          <w:szCs w:val="24"/>
          <w:lang w:val="en-IN"/>
        </w:rPr>
      </w:pPr>
    </w:p>
    <w:p w14:paraId="30D0B8E2" w14:textId="77777777" w:rsidR="00E575A9" w:rsidRPr="00032D7E" w:rsidRDefault="00E575A9" w:rsidP="002D3416">
      <w:pPr>
        <w:ind w:left="851"/>
        <w:rPr>
          <w:sz w:val="24"/>
          <w:szCs w:val="24"/>
          <w:u w:val="single"/>
          <w:lang w:val="en-IN"/>
        </w:rPr>
      </w:pPr>
      <w:r w:rsidRPr="00032D7E">
        <w:rPr>
          <w:sz w:val="24"/>
          <w:szCs w:val="24"/>
          <w:u w:val="single"/>
          <w:lang w:val="en-IN"/>
        </w:rPr>
        <w:t xml:space="preserve">Pregnancy </w:t>
      </w:r>
    </w:p>
    <w:p w14:paraId="52518D18" w14:textId="77777777" w:rsidR="00E575A9" w:rsidRPr="00032D7E" w:rsidRDefault="00E575A9" w:rsidP="002D3416">
      <w:pPr>
        <w:ind w:left="851"/>
        <w:rPr>
          <w:sz w:val="24"/>
          <w:szCs w:val="24"/>
          <w:lang w:val="en-IN"/>
        </w:rPr>
      </w:pPr>
    </w:p>
    <w:p w14:paraId="1D9EA724" w14:textId="77777777" w:rsidR="00E575A9" w:rsidRPr="00032D7E" w:rsidRDefault="00E575A9" w:rsidP="002D3416">
      <w:pPr>
        <w:ind w:left="851"/>
        <w:rPr>
          <w:sz w:val="24"/>
          <w:szCs w:val="24"/>
          <w:lang w:val="en-IN"/>
        </w:rPr>
      </w:pPr>
      <w:r w:rsidRPr="00032D7E">
        <w:rPr>
          <w:sz w:val="24"/>
          <w:szCs w:val="24"/>
          <w:lang w:val="en-IN"/>
        </w:rPr>
        <w:t xml:space="preserve">There are limited amounts of data (less than 300 pregnancy outcomes) from the use of </w:t>
      </w:r>
      <w:proofErr w:type="spellStart"/>
      <w:r w:rsidRPr="00032D7E">
        <w:rPr>
          <w:sz w:val="24"/>
          <w:szCs w:val="24"/>
          <w:lang w:val="en-IN"/>
        </w:rPr>
        <w:t>perampanel</w:t>
      </w:r>
      <w:proofErr w:type="spellEnd"/>
      <w:r w:rsidRPr="00032D7E">
        <w:rPr>
          <w:sz w:val="24"/>
          <w:szCs w:val="24"/>
          <w:lang w:val="en-IN"/>
        </w:rPr>
        <w:t xml:space="preserve"> in pregnant women. Studies in animals did not indicate any teratogenic effects in rats or rabbits, but embryotoxicity was observed in rats at maternally toxic doses (see section 5.3). </w:t>
      </w:r>
      <w:proofErr w:type="spellStart"/>
      <w:r w:rsidRPr="00032D7E">
        <w:rPr>
          <w:sz w:val="24"/>
          <w:szCs w:val="24"/>
          <w:lang w:val="en-IN"/>
        </w:rPr>
        <w:t>perampanel</w:t>
      </w:r>
      <w:proofErr w:type="spellEnd"/>
      <w:r w:rsidRPr="00032D7E">
        <w:rPr>
          <w:sz w:val="24"/>
          <w:szCs w:val="24"/>
          <w:lang w:val="en-IN"/>
        </w:rPr>
        <w:t xml:space="preserve"> is not recommended during pregnancy. </w:t>
      </w:r>
    </w:p>
    <w:p w14:paraId="6A7EC640" w14:textId="77777777" w:rsidR="00E575A9" w:rsidRPr="00032D7E" w:rsidRDefault="00E575A9" w:rsidP="002D3416">
      <w:pPr>
        <w:ind w:left="851"/>
        <w:rPr>
          <w:sz w:val="24"/>
          <w:szCs w:val="24"/>
          <w:lang w:val="en-IN"/>
        </w:rPr>
      </w:pPr>
    </w:p>
    <w:p w14:paraId="1C886B9B" w14:textId="77777777" w:rsidR="00E575A9" w:rsidRPr="00032D7E" w:rsidRDefault="00E575A9" w:rsidP="002D3416">
      <w:pPr>
        <w:ind w:left="851"/>
        <w:rPr>
          <w:sz w:val="24"/>
          <w:szCs w:val="24"/>
          <w:u w:val="single"/>
          <w:lang w:val="en-IN"/>
        </w:rPr>
      </w:pPr>
      <w:r w:rsidRPr="00032D7E">
        <w:rPr>
          <w:sz w:val="24"/>
          <w:szCs w:val="24"/>
          <w:u w:val="single"/>
          <w:lang w:val="en-IN"/>
        </w:rPr>
        <w:t xml:space="preserve">Breast-feeding </w:t>
      </w:r>
    </w:p>
    <w:p w14:paraId="3894D16E" w14:textId="77777777" w:rsidR="00E575A9" w:rsidRPr="00032D7E" w:rsidRDefault="00E575A9" w:rsidP="002D3416">
      <w:pPr>
        <w:ind w:left="851"/>
        <w:rPr>
          <w:sz w:val="24"/>
          <w:szCs w:val="24"/>
          <w:lang w:val="en-IN"/>
        </w:rPr>
      </w:pPr>
    </w:p>
    <w:p w14:paraId="403344AC" w14:textId="1C7F02CB" w:rsidR="00E575A9" w:rsidRPr="00032D7E" w:rsidRDefault="00E575A9" w:rsidP="002D3416">
      <w:pPr>
        <w:ind w:left="851"/>
        <w:rPr>
          <w:sz w:val="24"/>
          <w:szCs w:val="24"/>
          <w:lang w:val="en-IN"/>
        </w:rPr>
      </w:pPr>
      <w:r w:rsidRPr="00032D7E">
        <w:rPr>
          <w:sz w:val="24"/>
          <w:szCs w:val="24"/>
          <w:lang w:val="en-IN"/>
        </w:rPr>
        <w:t xml:space="preserve">Studies in lactating rats have shown excretion of </w:t>
      </w:r>
      <w:proofErr w:type="spellStart"/>
      <w:r w:rsidRPr="00032D7E">
        <w:rPr>
          <w:sz w:val="24"/>
          <w:szCs w:val="24"/>
          <w:lang w:val="en-IN"/>
        </w:rPr>
        <w:t>perampanel</w:t>
      </w:r>
      <w:proofErr w:type="spellEnd"/>
      <w:r w:rsidRPr="00032D7E">
        <w:rPr>
          <w:sz w:val="24"/>
          <w:szCs w:val="24"/>
          <w:lang w:val="en-IN"/>
        </w:rPr>
        <w:t xml:space="preserve"> and/or its metabolites in milk (for details see section 5.3). It is not known whether </w:t>
      </w:r>
      <w:proofErr w:type="spellStart"/>
      <w:r w:rsidRPr="00032D7E">
        <w:rPr>
          <w:sz w:val="24"/>
          <w:szCs w:val="24"/>
          <w:lang w:val="en-IN"/>
        </w:rPr>
        <w:t>perampanel</w:t>
      </w:r>
      <w:proofErr w:type="spellEnd"/>
      <w:r w:rsidRPr="00032D7E">
        <w:rPr>
          <w:sz w:val="24"/>
          <w:szCs w:val="24"/>
          <w:lang w:val="en-IN"/>
        </w:rPr>
        <w:t xml:space="preserve"> is excreted in human milk. A risk to the newborns/infants cannot be excluded. A decision must be made whether to discontinue breast-feeding or to discontinue/abstain from </w:t>
      </w:r>
      <w:proofErr w:type="spellStart"/>
      <w:r w:rsidRPr="00032D7E">
        <w:rPr>
          <w:sz w:val="24"/>
          <w:szCs w:val="24"/>
          <w:lang w:val="en-IN"/>
        </w:rPr>
        <w:t>perampanel</w:t>
      </w:r>
      <w:proofErr w:type="spellEnd"/>
      <w:r w:rsidRPr="00032D7E">
        <w:rPr>
          <w:sz w:val="24"/>
          <w:szCs w:val="24"/>
          <w:lang w:val="en-IN"/>
        </w:rPr>
        <w:t xml:space="preserve"> therapy </w:t>
      </w:r>
      <w:proofErr w:type="gramStart"/>
      <w:r w:rsidRPr="00032D7E">
        <w:rPr>
          <w:sz w:val="24"/>
          <w:szCs w:val="24"/>
          <w:lang w:val="en-IN"/>
        </w:rPr>
        <w:t>taking into account</w:t>
      </w:r>
      <w:proofErr w:type="gramEnd"/>
      <w:r w:rsidRPr="00032D7E">
        <w:rPr>
          <w:sz w:val="24"/>
          <w:szCs w:val="24"/>
          <w:lang w:val="en-IN"/>
        </w:rPr>
        <w:t xml:space="preserve"> the benefit of breast-feeding for the child and the benefit of therapy for the woman. </w:t>
      </w:r>
    </w:p>
    <w:p w14:paraId="09DE60EA" w14:textId="77777777" w:rsidR="00E575A9" w:rsidRPr="00032D7E" w:rsidRDefault="00E575A9" w:rsidP="002D3416">
      <w:pPr>
        <w:ind w:left="851"/>
        <w:rPr>
          <w:sz w:val="24"/>
          <w:szCs w:val="24"/>
          <w:lang w:val="en-IN"/>
        </w:rPr>
      </w:pPr>
    </w:p>
    <w:p w14:paraId="3338B019" w14:textId="77777777" w:rsidR="00E575A9" w:rsidRPr="00032D7E" w:rsidRDefault="00E575A9" w:rsidP="002D3416">
      <w:pPr>
        <w:ind w:left="851"/>
        <w:rPr>
          <w:sz w:val="24"/>
          <w:szCs w:val="24"/>
          <w:u w:val="single"/>
          <w:lang w:val="en-IN"/>
        </w:rPr>
      </w:pPr>
      <w:r w:rsidRPr="00032D7E">
        <w:rPr>
          <w:sz w:val="24"/>
          <w:szCs w:val="24"/>
          <w:u w:val="single"/>
          <w:lang w:val="en-IN"/>
        </w:rPr>
        <w:t xml:space="preserve">Fertility </w:t>
      </w:r>
    </w:p>
    <w:p w14:paraId="20C886AD" w14:textId="77777777" w:rsidR="00E575A9" w:rsidRPr="00032D7E" w:rsidRDefault="00E575A9" w:rsidP="002D3416">
      <w:pPr>
        <w:ind w:left="851"/>
        <w:rPr>
          <w:sz w:val="24"/>
          <w:szCs w:val="24"/>
          <w:lang w:val="en-IN"/>
        </w:rPr>
      </w:pPr>
    </w:p>
    <w:p w14:paraId="47E35B49" w14:textId="77777777" w:rsidR="00E575A9" w:rsidRPr="00032D7E" w:rsidRDefault="00E575A9" w:rsidP="002D3416">
      <w:pPr>
        <w:ind w:left="851"/>
        <w:rPr>
          <w:sz w:val="24"/>
          <w:szCs w:val="24"/>
          <w:lang w:val="en-IN"/>
        </w:rPr>
      </w:pPr>
      <w:r w:rsidRPr="00032D7E">
        <w:rPr>
          <w:sz w:val="24"/>
          <w:szCs w:val="24"/>
          <w:lang w:val="en-IN"/>
        </w:rPr>
        <w:t xml:space="preserve">In the fertility study in rats, prolonged and irregular oestrous cycles were observed at </w:t>
      </w:r>
      <w:proofErr w:type="gramStart"/>
      <w:r w:rsidRPr="00032D7E">
        <w:rPr>
          <w:sz w:val="24"/>
          <w:szCs w:val="24"/>
          <w:lang w:val="en-IN"/>
        </w:rPr>
        <w:t>high-dose</w:t>
      </w:r>
      <w:proofErr w:type="gramEnd"/>
      <w:r w:rsidRPr="00032D7E">
        <w:rPr>
          <w:sz w:val="24"/>
          <w:szCs w:val="24"/>
          <w:lang w:val="en-IN"/>
        </w:rPr>
        <w:t xml:space="preserve"> (30 mg/kg) in females; however, these changes did not affect the fertility and early embryonic development. There were no effects on male fertility (see section 5.3). The effect of </w:t>
      </w:r>
      <w:proofErr w:type="spellStart"/>
      <w:r w:rsidRPr="00032D7E">
        <w:rPr>
          <w:sz w:val="24"/>
          <w:szCs w:val="24"/>
          <w:lang w:val="en-IN"/>
        </w:rPr>
        <w:t>perampanel</w:t>
      </w:r>
      <w:proofErr w:type="spellEnd"/>
      <w:r w:rsidRPr="00032D7E">
        <w:rPr>
          <w:sz w:val="24"/>
          <w:szCs w:val="24"/>
          <w:lang w:val="en-IN"/>
        </w:rPr>
        <w:t xml:space="preserve"> on human fertility has not been established.</w:t>
      </w:r>
    </w:p>
    <w:p w14:paraId="22E390E5" w14:textId="77777777" w:rsidR="007C5D2A" w:rsidRPr="00032D7E" w:rsidRDefault="007C5D2A" w:rsidP="003E0341">
      <w:pPr>
        <w:tabs>
          <w:tab w:val="left" w:pos="851"/>
        </w:tabs>
        <w:ind w:left="851"/>
        <w:rPr>
          <w:sz w:val="24"/>
          <w:szCs w:val="24"/>
          <w:lang w:val="en-IN"/>
        </w:rPr>
      </w:pPr>
    </w:p>
    <w:p w14:paraId="0F3A544C" w14:textId="77777777" w:rsidR="007C5D2A" w:rsidRPr="00032D7E" w:rsidRDefault="007C5D2A" w:rsidP="007C5D2A">
      <w:pPr>
        <w:tabs>
          <w:tab w:val="left" w:pos="851"/>
        </w:tabs>
        <w:ind w:left="851" w:hanging="851"/>
        <w:rPr>
          <w:b/>
          <w:sz w:val="24"/>
          <w:szCs w:val="24"/>
          <w:lang w:val="en-GB"/>
        </w:rPr>
      </w:pPr>
      <w:r w:rsidRPr="00032D7E">
        <w:rPr>
          <w:b/>
          <w:sz w:val="24"/>
          <w:szCs w:val="24"/>
          <w:lang w:val="en-GB"/>
        </w:rPr>
        <w:t>4.7</w:t>
      </w:r>
      <w:r w:rsidRPr="00032D7E">
        <w:rPr>
          <w:b/>
          <w:sz w:val="24"/>
          <w:szCs w:val="24"/>
          <w:lang w:val="en-GB"/>
        </w:rPr>
        <w:tab/>
        <w:t>Effects on ability to drive and use machines</w:t>
      </w:r>
    </w:p>
    <w:p w14:paraId="2EAF61A6" w14:textId="77777777" w:rsidR="003C1B3B" w:rsidRDefault="003C1B3B" w:rsidP="002D3416">
      <w:pPr>
        <w:ind w:left="851"/>
        <w:rPr>
          <w:sz w:val="24"/>
          <w:szCs w:val="24"/>
          <w:lang w:val="en-GB"/>
        </w:rPr>
      </w:pPr>
      <w:r>
        <w:rPr>
          <w:sz w:val="24"/>
          <w:szCs w:val="24"/>
          <w:lang w:val="en-GB"/>
        </w:rPr>
        <w:t>Traffic warning.</w:t>
      </w:r>
    </w:p>
    <w:p w14:paraId="544D156E" w14:textId="54B7EA96" w:rsidR="00E575A9" w:rsidRPr="00032D7E" w:rsidRDefault="00E575A9" w:rsidP="002D3416">
      <w:pPr>
        <w:ind w:left="851"/>
        <w:rPr>
          <w:sz w:val="24"/>
          <w:szCs w:val="24"/>
          <w:lang w:val="en-IN"/>
        </w:rPr>
      </w:pPr>
      <w:proofErr w:type="spellStart"/>
      <w:r w:rsidRPr="00032D7E">
        <w:rPr>
          <w:sz w:val="24"/>
          <w:szCs w:val="24"/>
          <w:lang w:val="en-IN"/>
        </w:rPr>
        <w:t>Perampanel</w:t>
      </w:r>
      <w:proofErr w:type="spellEnd"/>
      <w:r w:rsidRPr="00032D7E">
        <w:rPr>
          <w:sz w:val="24"/>
          <w:szCs w:val="24"/>
          <w:lang w:val="en-IN"/>
        </w:rPr>
        <w:t xml:space="preserve"> has moderate influence on the ability to drive and use machines. </w:t>
      </w:r>
    </w:p>
    <w:p w14:paraId="2C3BFC32" w14:textId="77777777" w:rsidR="00E575A9" w:rsidRPr="00032D7E" w:rsidRDefault="00E575A9" w:rsidP="002D3416">
      <w:pPr>
        <w:ind w:left="851"/>
        <w:rPr>
          <w:sz w:val="24"/>
          <w:szCs w:val="24"/>
          <w:lang w:val="en-IN"/>
        </w:rPr>
      </w:pPr>
      <w:proofErr w:type="spellStart"/>
      <w:r w:rsidRPr="00032D7E">
        <w:rPr>
          <w:sz w:val="24"/>
          <w:szCs w:val="24"/>
          <w:lang w:val="en-IN"/>
        </w:rPr>
        <w:t>Perampanel</w:t>
      </w:r>
      <w:proofErr w:type="spellEnd"/>
      <w:r w:rsidRPr="00032D7E">
        <w:rPr>
          <w:sz w:val="24"/>
          <w:szCs w:val="24"/>
          <w:lang w:val="en-IN"/>
        </w:rPr>
        <w:t xml:space="preserve"> may cause dizziness and somnolence and, therefore, may influence the ability to drive or use machines. Patients are advised not to drive a vehicle, operate complex machinery or engage in other potentially hazardous activities until it is known whether </w:t>
      </w:r>
      <w:proofErr w:type="spellStart"/>
      <w:r w:rsidRPr="00032D7E">
        <w:rPr>
          <w:sz w:val="24"/>
          <w:szCs w:val="24"/>
          <w:lang w:val="en-IN"/>
        </w:rPr>
        <w:t>perampanel</w:t>
      </w:r>
      <w:proofErr w:type="spellEnd"/>
      <w:r w:rsidRPr="00032D7E">
        <w:rPr>
          <w:sz w:val="24"/>
          <w:szCs w:val="24"/>
          <w:lang w:val="en-IN"/>
        </w:rPr>
        <w:t xml:space="preserve"> affects their ability to perform these tasks (see sections 4.4 and 4.5). </w:t>
      </w:r>
    </w:p>
    <w:p w14:paraId="365834AF" w14:textId="77777777" w:rsidR="007C5D2A" w:rsidRPr="00032D7E" w:rsidRDefault="007C5D2A" w:rsidP="003E0341">
      <w:pPr>
        <w:tabs>
          <w:tab w:val="left" w:pos="851"/>
        </w:tabs>
        <w:ind w:left="851"/>
        <w:rPr>
          <w:sz w:val="24"/>
          <w:szCs w:val="24"/>
          <w:lang w:val="en-IN"/>
        </w:rPr>
      </w:pPr>
    </w:p>
    <w:p w14:paraId="70E9E9EC" w14:textId="77777777" w:rsidR="007C5D2A" w:rsidRPr="00032D7E" w:rsidRDefault="007C5D2A" w:rsidP="007C5D2A">
      <w:pPr>
        <w:tabs>
          <w:tab w:val="left" w:pos="851"/>
        </w:tabs>
        <w:ind w:left="851" w:hanging="851"/>
        <w:rPr>
          <w:b/>
          <w:sz w:val="24"/>
          <w:szCs w:val="24"/>
          <w:lang w:val="en-GB"/>
        </w:rPr>
      </w:pPr>
      <w:r w:rsidRPr="00032D7E">
        <w:rPr>
          <w:b/>
          <w:sz w:val="24"/>
          <w:szCs w:val="24"/>
          <w:lang w:val="en-GB"/>
        </w:rPr>
        <w:t>4.8</w:t>
      </w:r>
      <w:r w:rsidRPr="00032D7E">
        <w:rPr>
          <w:b/>
          <w:sz w:val="24"/>
          <w:szCs w:val="24"/>
          <w:lang w:val="en-GB"/>
        </w:rPr>
        <w:tab/>
        <w:t>Undesirable effects</w:t>
      </w:r>
    </w:p>
    <w:p w14:paraId="0E2F8C1B" w14:textId="77777777" w:rsidR="003C1B3B" w:rsidRDefault="003C1B3B" w:rsidP="00896A75">
      <w:pPr>
        <w:ind w:left="851"/>
        <w:rPr>
          <w:sz w:val="24"/>
          <w:szCs w:val="24"/>
          <w:lang w:val="en-IN"/>
        </w:rPr>
      </w:pPr>
    </w:p>
    <w:p w14:paraId="3C90BD57" w14:textId="1941D906" w:rsidR="00E575A9" w:rsidRPr="003C1B3B" w:rsidRDefault="00E575A9" w:rsidP="00896A75">
      <w:pPr>
        <w:ind w:left="851"/>
        <w:rPr>
          <w:sz w:val="24"/>
          <w:szCs w:val="24"/>
          <w:u w:val="single"/>
          <w:lang w:val="en-IN"/>
        </w:rPr>
      </w:pPr>
      <w:r w:rsidRPr="003C1B3B">
        <w:rPr>
          <w:sz w:val="24"/>
          <w:szCs w:val="24"/>
          <w:u w:val="single"/>
          <w:lang w:val="en-IN"/>
        </w:rPr>
        <w:t xml:space="preserve">Summary of the safety profile </w:t>
      </w:r>
    </w:p>
    <w:p w14:paraId="17BC84A8" w14:textId="77777777" w:rsidR="00E575A9" w:rsidRPr="00032D7E" w:rsidRDefault="00E575A9" w:rsidP="00896A75">
      <w:pPr>
        <w:ind w:left="851"/>
        <w:rPr>
          <w:sz w:val="24"/>
          <w:szCs w:val="24"/>
          <w:lang w:val="en-IN"/>
        </w:rPr>
      </w:pPr>
    </w:p>
    <w:p w14:paraId="3639D089" w14:textId="77777777" w:rsidR="00E575A9" w:rsidRPr="00032D7E" w:rsidRDefault="00E575A9" w:rsidP="00896A75">
      <w:pPr>
        <w:ind w:left="851"/>
        <w:rPr>
          <w:sz w:val="24"/>
          <w:szCs w:val="24"/>
          <w:lang w:val="en-IN"/>
        </w:rPr>
      </w:pPr>
      <w:r w:rsidRPr="00032D7E">
        <w:rPr>
          <w:sz w:val="24"/>
          <w:szCs w:val="24"/>
          <w:lang w:val="en-IN"/>
        </w:rPr>
        <w:t xml:space="preserve">In all controlled and uncontrolled trials in patients with partial-onset seizures, 1,639 patients have received </w:t>
      </w:r>
      <w:proofErr w:type="spellStart"/>
      <w:r w:rsidRPr="00032D7E">
        <w:rPr>
          <w:sz w:val="24"/>
          <w:szCs w:val="24"/>
          <w:lang w:val="en-IN"/>
        </w:rPr>
        <w:t>perampanel</w:t>
      </w:r>
      <w:proofErr w:type="spellEnd"/>
      <w:r w:rsidRPr="00032D7E">
        <w:rPr>
          <w:sz w:val="24"/>
          <w:szCs w:val="24"/>
          <w:lang w:val="en-IN"/>
        </w:rPr>
        <w:t xml:space="preserve"> of whom 1,147 have been treated for 6 months and 703 for longer than 12 months. </w:t>
      </w:r>
    </w:p>
    <w:p w14:paraId="6301F7C0" w14:textId="77777777" w:rsidR="00E575A9" w:rsidRPr="00032D7E" w:rsidRDefault="00E575A9" w:rsidP="00896A75">
      <w:pPr>
        <w:ind w:left="851"/>
        <w:rPr>
          <w:sz w:val="24"/>
          <w:szCs w:val="24"/>
          <w:lang w:val="en-IN"/>
        </w:rPr>
      </w:pPr>
    </w:p>
    <w:p w14:paraId="5D8A74BD" w14:textId="77777777" w:rsidR="00E575A9" w:rsidRPr="00032D7E" w:rsidRDefault="00E575A9" w:rsidP="00896A75">
      <w:pPr>
        <w:ind w:left="851"/>
        <w:rPr>
          <w:sz w:val="24"/>
          <w:szCs w:val="24"/>
          <w:lang w:val="en-IN"/>
        </w:rPr>
      </w:pPr>
      <w:r w:rsidRPr="00032D7E">
        <w:rPr>
          <w:sz w:val="24"/>
          <w:szCs w:val="24"/>
          <w:lang w:val="en-IN"/>
        </w:rPr>
        <w:t xml:space="preserve">In the controlled and uncontrolled study in patients with primary generalised tonic-clonic seizures, 114 patients have received </w:t>
      </w:r>
      <w:proofErr w:type="spellStart"/>
      <w:r w:rsidRPr="00032D7E">
        <w:rPr>
          <w:sz w:val="24"/>
          <w:szCs w:val="24"/>
          <w:lang w:val="en-IN"/>
        </w:rPr>
        <w:t>perampanel</w:t>
      </w:r>
      <w:proofErr w:type="spellEnd"/>
      <w:r w:rsidRPr="00032D7E">
        <w:rPr>
          <w:sz w:val="24"/>
          <w:szCs w:val="24"/>
          <w:lang w:val="en-IN"/>
        </w:rPr>
        <w:t xml:space="preserve"> of whom 68 have been treated for 6 months and 36 for longer than 12 months.</w:t>
      </w:r>
    </w:p>
    <w:p w14:paraId="23AD5765" w14:textId="77777777" w:rsidR="00E575A9" w:rsidRPr="00032D7E" w:rsidRDefault="00E575A9" w:rsidP="00896A75">
      <w:pPr>
        <w:ind w:left="851"/>
        <w:rPr>
          <w:sz w:val="24"/>
          <w:szCs w:val="24"/>
          <w:lang w:val="en-IN"/>
        </w:rPr>
      </w:pPr>
    </w:p>
    <w:p w14:paraId="4BFE8446" w14:textId="77777777" w:rsidR="00E575A9" w:rsidRPr="00032D7E" w:rsidRDefault="00E575A9" w:rsidP="00896A75">
      <w:pPr>
        <w:ind w:left="851"/>
        <w:rPr>
          <w:sz w:val="24"/>
          <w:szCs w:val="24"/>
          <w:lang w:val="en-IN"/>
        </w:rPr>
      </w:pPr>
      <w:r w:rsidRPr="00032D7E">
        <w:rPr>
          <w:sz w:val="24"/>
          <w:szCs w:val="24"/>
          <w:lang w:val="en-IN"/>
        </w:rPr>
        <w:t xml:space="preserve">Adverse reactions leading to discontinuation: </w:t>
      </w:r>
    </w:p>
    <w:p w14:paraId="7E254F50" w14:textId="77777777" w:rsidR="00E575A9" w:rsidRPr="00032D7E" w:rsidRDefault="00E575A9" w:rsidP="00896A75">
      <w:pPr>
        <w:ind w:left="851"/>
        <w:rPr>
          <w:sz w:val="24"/>
          <w:szCs w:val="24"/>
          <w:lang w:val="en-IN"/>
        </w:rPr>
      </w:pPr>
      <w:r w:rsidRPr="00032D7E">
        <w:rPr>
          <w:sz w:val="24"/>
          <w:szCs w:val="24"/>
          <w:lang w:val="en-IN"/>
        </w:rPr>
        <w:t xml:space="preserve">In the controlled Phase 3 partial-onset seizures clinical trials, the rate of discontinuation as a result of an adverse reaction was 1.7% (3/172), 4.2% (18/431) and 13.7% (35/255) in patients randomised to receive </w:t>
      </w:r>
      <w:proofErr w:type="spellStart"/>
      <w:r w:rsidRPr="00032D7E">
        <w:rPr>
          <w:sz w:val="24"/>
          <w:szCs w:val="24"/>
          <w:lang w:val="en-IN"/>
        </w:rPr>
        <w:t>perampanel</w:t>
      </w:r>
      <w:proofErr w:type="spellEnd"/>
      <w:r w:rsidRPr="00032D7E">
        <w:rPr>
          <w:sz w:val="24"/>
          <w:szCs w:val="24"/>
          <w:lang w:val="en-IN"/>
        </w:rPr>
        <w:t xml:space="preserve"> at the recommended doses of 4 mg, 8 mg and 12 mg/day, respectively, and 1.4% (6/442) in patients randomised to receive placebo. The adverse reactions most commonly (≥ 1% in the total </w:t>
      </w:r>
      <w:proofErr w:type="spellStart"/>
      <w:r w:rsidRPr="00032D7E">
        <w:rPr>
          <w:sz w:val="24"/>
          <w:szCs w:val="24"/>
          <w:lang w:val="en-IN"/>
        </w:rPr>
        <w:t>perampanel</w:t>
      </w:r>
      <w:proofErr w:type="spellEnd"/>
      <w:r w:rsidRPr="00032D7E">
        <w:rPr>
          <w:sz w:val="24"/>
          <w:szCs w:val="24"/>
          <w:lang w:val="en-IN"/>
        </w:rPr>
        <w:t xml:space="preserve"> group and greater than placebo) leading to discontinuation were dizziness and somnolence. </w:t>
      </w:r>
    </w:p>
    <w:p w14:paraId="7860A0C0" w14:textId="77777777" w:rsidR="00E575A9" w:rsidRPr="00032D7E" w:rsidRDefault="00E575A9" w:rsidP="00896A75">
      <w:pPr>
        <w:ind w:left="851"/>
        <w:rPr>
          <w:sz w:val="24"/>
          <w:szCs w:val="24"/>
          <w:lang w:val="en-IN"/>
        </w:rPr>
      </w:pPr>
    </w:p>
    <w:p w14:paraId="2E03ED26" w14:textId="77777777" w:rsidR="00E575A9" w:rsidRPr="00032D7E" w:rsidRDefault="00E575A9" w:rsidP="00896A75">
      <w:pPr>
        <w:ind w:left="851"/>
        <w:rPr>
          <w:sz w:val="24"/>
          <w:szCs w:val="24"/>
          <w:lang w:val="en-IN"/>
        </w:rPr>
      </w:pPr>
      <w:r w:rsidRPr="00032D7E">
        <w:rPr>
          <w:sz w:val="24"/>
          <w:szCs w:val="24"/>
          <w:lang w:val="en-IN"/>
        </w:rPr>
        <w:t xml:space="preserve">In the controlled Phase 3 primary generalised tonic-clonic seizures clinical trial, the rate of discontinuation </w:t>
      </w:r>
      <w:proofErr w:type="gramStart"/>
      <w:r w:rsidRPr="00032D7E">
        <w:rPr>
          <w:sz w:val="24"/>
          <w:szCs w:val="24"/>
          <w:lang w:val="en-IN"/>
        </w:rPr>
        <w:t>as a result of</w:t>
      </w:r>
      <w:proofErr w:type="gramEnd"/>
      <w:r w:rsidRPr="00032D7E">
        <w:rPr>
          <w:sz w:val="24"/>
          <w:szCs w:val="24"/>
          <w:lang w:val="en-IN"/>
        </w:rPr>
        <w:t xml:space="preserve"> an adverse reaction was 4.9% (4/81) in patients randomised to receive </w:t>
      </w:r>
      <w:proofErr w:type="spellStart"/>
      <w:r w:rsidRPr="00032D7E">
        <w:rPr>
          <w:sz w:val="24"/>
          <w:szCs w:val="24"/>
          <w:lang w:val="en-IN"/>
        </w:rPr>
        <w:t>perampanel</w:t>
      </w:r>
      <w:proofErr w:type="spellEnd"/>
      <w:r w:rsidRPr="00032D7E">
        <w:rPr>
          <w:sz w:val="24"/>
          <w:szCs w:val="24"/>
          <w:lang w:val="en-IN"/>
        </w:rPr>
        <w:t xml:space="preserve"> 8 mg, and 1.2% (1/82) in patients randomised to receive placebo. The adverse reaction most commonly leading to discontinuation (≥ 2% in the </w:t>
      </w:r>
      <w:proofErr w:type="spellStart"/>
      <w:r w:rsidRPr="00032D7E">
        <w:rPr>
          <w:sz w:val="24"/>
          <w:szCs w:val="24"/>
          <w:lang w:val="en-IN"/>
        </w:rPr>
        <w:t>perampanel</w:t>
      </w:r>
      <w:proofErr w:type="spellEnd"/>
      <w:r w:rsidRPr="00032D7E">
        <w:rPr>
          <w:sz w:val="24"/>
          <w:szCs w:val="24"/>
          <w:lang w:val="en-IN"/>
        </w:rPr>
        <w:t xml:space="preserve"> group and greater than placebo) was dizziness. </w:t>
      </w:r>
    </w:p>
    <w:p w14:paraId="67AD86F8" w14:textId="77777777" w:rsidR="00E575A9" w:rsidRPr="00032D7E" w:rsidRDefault="00E575A9" w:rsidP="00896A75">
      <w:pPr>
        <w:ind w:left="851"/>
        <w:rPr>
          <w:sz w:val="24"/>
          <w:szCs w:val="24"/>
          <w:lang w:val="en-IN"/>
        </w:rPr>
      </w:pPr>
    </w:p>
    <w:p w14:paraId="071FD2D5" w14:textId="77777777" w:rsidR="00E575A9" w:rsidRPr="003C1B3B" w:rsidRDefault="00E575A9" w:rsidP="00896A75">
      <w:pPr>
        <w:ind w:left="851"/>
        <w:rPr>
          <w:sz w:val="24"/>
          <w:szCs w:val="24"/>
          <w:u w:val="single"/>
          <w:lang w:val="en-IN"/>
        </w:rPr>
      </w:pPr>
      <w:r w:rsidRPr="003C1B3B">
        <w:rPr>
          <w:sz w:val="24"/>
          <w:szCs w:val="24"/>
          <w:u w:val="single"/>
          <w:lang w:val="en-IN"/>
        </w:rPr>
        <w:t xml:space="preserve">Post-marketing use </w:t>
      </w:r>
    </w:p>
    <w:p w14:paraId="6AE7D6B8" w14:textId="77777777" w:rsidR="00E575A9" w:rsidRPr="00032D7E" w:rsidRDefault="00E575A9" w:rsidP="00896A75">
      <w:pPr>
        <w:ind w:left="851"/>
        <w:rPr>
          <w:sz w:val="24"/>
          <w:szCs w:val="24"/>
          <w:lang w:val="en-IN"/>
        </w:rPr>
      </w:pPr>
    </w:p>
    <w:p w14:paraId="5B254A87" w14:textId="77777777" w:rsidR="00E575A9" w:rsidRPr="00032D7E" w:rsidRDefault="00E575A9" w:rsidP="00896A75">
      <w:pPr>
        <w:ind w:left="851"/>
        <w:rPr>
          <w:sz w:val="24"/>
          <w:szCs w:val="24"/>
          <w:lang w:val="en-IN"/>
        </w:rPr>
      </w:pPr>
      <w:r w:rsidRPr="00032D7E">
        <w:rPr>
          <w:sz w:val="24"/>
          <w:szCs w:val="24"/>
          <w:lang w:val="en-IN"/>
        </w:rPr>
        <w:t xml:space="preserve">Severe cutaneous adverse reactions (SCARs) including drug reaction with eosinophilia and systemic symptoms (DRESS) have been reported in association with </w:t>
      </w:r>
      <w:proofErr w:type="spellStart"/>
      <w:r w:rsidRPr="00032D7E">
        <w:rPr>
          <w:sz w:val="24"/>
          <w:szCs w:val="24"/>
          <w:lang w:val="en-IN"/>
        </w:rPr>
        <w:t>perampanel</w:t>
      </w:r>
      <w:proofErr w:type="spellEnd"/>
      <w:r w:rsidRPr="00032D7E">
        <w:rPr>
          <w:sz w:val="24"/>
          <w:szCs w:val="24"/>
          <w:lang w:val="en-IN"/>
        </w:rPr>
        <w:t xml:space="preserve"> treatment (see section 4.4).</w:t>
      </w:r>
    </w:p>
    <w:p w14:paraId="40A8F648" w14:textId="77777777" w:rsidR="00E575A9" w:rsidRPr="00032D7E" w:rsidRDefault="00E575A9" w:rsidP="00896A75">
      <w:pPr>
        <w:ind w:left="851"/>
        <w:rPr>
          <w:sz w:val="24"/>
          <w:szCs w:val="24"/>
          <w:lang w:val="en-IN"/>
        </w:rPr>
      </w:pPr>
    </w:p>
    <w:p w14:paraId="2CFD0ECF" w14:textId="77777777" w:rsidR="00E575A9" w:rsidRPr="003C1B3B" w:rsidRDefault="00E575A9" w:rsidP="00896A75">
      <w:pPr>
        <w:ind w:left="851"/>
        <w:rPr>
          <w:sz w:val="24"/>
          <w:szCs w:val="24"/>
          <w:u w:val="single"/>
          <w:lang w:val="en-IN"/>
        </w:rPr>
      </w:pPr>
      <w:r w:rsidRPr="003C1B3B">
        <w:rPr>
          <w:sz w:val="24"/>
          <w:szCs w:val="24"/>
          <w:u w:val="single"/>
          <w:lang w:val="en-IN"/>
        </w:rPr>
        <w:t xml:space="preserve">Tabulated list of adverse reactions </w:t>
      </w:r>
    </w:p>
    <w:p w14:paraId="032DEF33" w14:textId="77777777" w:rsidR="00E575A9" w:rsidRPr="00032D7E" w:rsidRDefault="00E575A9" w:rsidP="00896A75">
      <w:pPr>
        <w:ind w:left="851"/>
        <w:rPr>
          <w:sz w:val="24"/>
          <w:szCs w:val="24"/>
          <w:lang w:val="en-IN"/>
        </w:rPr>
      </w:pPr>
    </w:p>
    <w:p w14:paraId="143E1C65" w14:textId="03F38138" w:rsidR="00E575A9" w:rsidRPr="00032D7E" w:rsidRDefault="00E575A9" w:rsidP="00896A75">
      <w:pPr>
        <w:ind w:left="851"/>
        <w:rPr>
          <w:sz w:val="24"/>
          <w:szCs w:val="24"/>
          <w:lang w:val="en-IN"/>
        </w:rPr>
      </w:pPr>
      <w:r w:rsidRPr="00032D7E">
        <w:rPr>
          <w:sz w:val="24"/>
          <w:szCs w:val="24"/>
          <w:lang w:val="en-IN"/>
        </w:rPr>
        <w:t xml:space="preserve">In the table below, adverse reactions, which were identified based on review of the full </w:t>
      </w:r>
      <w:proofErr w:type="spellStart"/>
      <w:r w:rsidRPr="00032D7E">
        <w:rPr>
          <w:sz w:val="24"/>
          <w:szCs w:val="24"/>
          <w:lang w:val="en-IN"/>
        </w:rPr>
        <w:t>perampanel</w:t>
      </w:r>
      <w:proofErr w:type="spellEnd"/>
      <w:r w:rsidRPr="00032D7E">
        <w:rPr>
          <w:sz w:val="24"/>
          <w:szCs w:val="24"/>
          <w:lang w:val="en-IN"/>
        </w:rPr>
        <w:t xml:space="preserve"> clinical studies safety database, are listed by System Organ Class and frequency. The following convention has been used for the classification of adverse reactions: very common (≥ 1/10), common (≥ 1/100 to &lt; 1/10), uncommon (≥ 1/1,000 to &lt;</w:t>
      </w:r>
      <w:r w:rsidR="00FE0AD1">
        <w:rPr>
          <w:sz w:val="24"/>
          <w:szCs w:val="24"/>
          <w:lang w:val="en-IN"/>
        </w:rPr>
        <w:t> </w:t>
      </w:r>
      <w:r w:rsidRPr="00032D7E">
        <w:rPr>
          <w:sz w:val="24"/>
          <w:szCs w:val="24"/>
          <w:lang w:val="en-IN"/>
        </w:rPr>
        <w:t>1/100), not known (cannot be estimated from the available data).</w:t>
      </w:r>
    </w:p>
    <w:p w14:paraId="2DD41042" w14:textId="77777777" w:rsidR="00E575A9" w:rsidRPr="00032D7E" w:rsidRDefault="00E575A9" w:rsidP="00896A75">
      <w:pPr>
        <w:ind w:left="851"/>
        <w:rPr>
          <w:sz w:val="24"/>
          <w:szCs w:val="24"/>
          <w:lang w:val="en-IN"/>
        </w:rPr>
      </w:pPr>
    </w:p>
    <w:p w14:paraId="3B807BFC" w14:textId="77777777" w:rsidR="00E575A9" w:rsidRPr="00032D7E" w:rsidRDefault="00E575A9" w:rsidP="00896A75">
      <w:pPr>
        <w:ind w:left="851"/>
        <w:rPr>
          <w:sz w:val="24"/>
          <w:szCs w:val="24"/>
          <w:lang w:val="en-IN"/>
        </w:rPr>
      </w:pPr>
      <w:r w:rsidRPr="00032D7E">
        <w:rPr>
          <w:sz w:val="24"/>
          <w:szCs w:val="24"/>
          <w:lang w:val="en-IN"/>
        </w:rPr>
        <w:t>Within each frequency category, adverse reactions are presented in order of decreasing seriousness.</w:t>
      </w:r>
    </w:p>
    <w:p w14:paraId="4B213B60" w14:textId="77777777" w:rsidR="00E575A9" w:rsidRPr="00E575A9" w:rsidRDefault="00E575A9" w:rsidP="00E575A9">
      <w:pPr>
        <w:tabs>
          <w:tab w:val="left" w:pos="851"/>
        </w:tabs>
        <w:ind w:left="851"/>
        <w:rPr>
          <w:sz w:val="24"/>
          <w:szCs w:val="24"/>
          <w:lang w:val="en-IN"/>
        </w:rPr>
      </w:pPr>
    </w:p>
    <w:tbl>
      <w:tblPr>
        <w:tblW w:w="5000" w:type="pct"/>
        <w:tblCellMar>
          <w:left w:w="0" w:type="dxa"/>
          <w:right w:w="0" w:type="dxa"/>
        </w:tblCellMar>
        <w:tblLook w:val="01E0" w:firstRow="1" w:lastRow="1" w:firstColumn="1" w:lastColumn="1" w:noHBand="0" w:noVBand="0"/>
      </w:tblPr>
      <w:tblGrid>
        <w:gridCol w:w="2557"/>
        <w:gridCol w:w="1656"/>
        <w:gridCol w:w="2107"/>
        <w:gridCol w:w="1806"/>
        <w:gridCol w:w="1502"/>
      </w:tblGrid>
      <w:tr w:rsidR="00E575A9" w:rsidRPr="00E575A9" w14:paraId="002C8ADB" w14:textId="77777777" w:rsidTr="00896A75">
        <w:trPr>
          <w:trHeight w:val="20"/>
        </w:trPr>
        <w:tc>
          <w:tcPr>
            <w:tcW w:w="1328" w:type="pct"/>
            <w:tcBorders>
              <w:top w:val="single" w:sz="4" w:space="0" w:color="000000"/>
              <w:left w:val="single" w:sz="4" w:space="0" w:color="000000"/>
              <w:bottom w:val="single" w:sz="4" w:space="0" w:color="000000"/>
              <w:right w:val="single" w:sz="4" w:space="0" w:color="000000"/>
            </w:tcBorders>
            <w:hideMark/>
          </w:tcPr>
          <w:p w14:paraId="54EFC0FE" w14:textId="77777777" w:rsidR="00E575A9" w:rsidRPr="00E575A9" w:rsidRDefault="00E575A9" w:rsidP="00896A75">
            <w:pPr>
              <w:ind w:left="142"/>
              <w:rPr>
                <w:sz w:val="22"/>
                <w:szCs w:val="22"/>
                <w:lang w:val="en-US"/>
              </w:rPr>
            </w:pPr>
            <w:r w:rsidRPr="00E575A9">
              <w:rPr>
                <w:b/>
                <w:sz w:val="22"/>
                <w:szCs w:val="22"/>
                <w:lang w:val="en-US"/>
              </w:rPr>
              <w:t>System Organ Class</w:t>
            </w:r>
          </w:p>
        </w:tc>
        <w:tc>
          <w:tcPr>
            <w:tcW w:w="860" w:type="pct"/>
            <w:tcBorders>
              <w:top w:val="single" w:sz="4" w:space="0" w:color="000000"/>
              <w:left w:val="single" w:sz="4" w:space="0" w:color="000000"/>
              <w:bottom w:val="single" w:sz="4" w:space="0" w:color="000000"/>
              <w:right w:val="single" w:sz="4" w:space="0" w:color="000000"/>
            </w:tcBorders>
            <w:hideMark/>
          </w:tcPr>
          <w:p w14:paraId="0CCBB86D" w14:textId="77777777" w:rsidR="00E575A9" w:rsidRPr="00E575A9" w:rsidRDefault="00E575A9" w:rsidP="00896A75">
            <w:pPr>
              <w:ind w:left="142"/>
              <w:rPr>
                <w:sz w:val="22"/>
                <w:szCs w:val="22"/>
                <w:lang w:val="en-US"/>
              </w:rPr>
            </w:pPr>
            <w:r w:rsidRPr="00E575A9">
              <w:rPr>
                <w:b/>
                <w:sz w:val="22"/>
                <w:szCs w:val="22"/>
                <w:lang w:val="en-US"/>
              </w:rPr>
              <w:t>Very common</w:t>
            </w:r>
          </w:p>
        </w:tc>
        <w:tc>
          <w:tcPr>
            <w:tcW w:w="1094" w:type="pct"/>
            <w:tcBorders>
              <w:top w:val="single" w:sz="4" w:space="0" w:color="000000"/>
              <w:left w:val="single" w:sz="4" w:space="0" w:color="000000"/>
              <w:bottom w:val="single" w:sz="4" w:space="0" w:color="000000"/>
              <w:right w:val="single" w:sz="4" w:space="0" w:color="000000"/>
            </w:tcBorders>
            <w:hideMark/>
          </w:tcPr>
          <w:p w14:paraId="7E6EF381" w14:textId="77777777" w:rsidR="00E575A9" w:rsidRPr="00E575A9" w:rsidRDefault="00E575A9" w:rsidP="00896A75">
            <w:pPr>
              <w:ind w:left="142"/>
              <w:rPr>
                <w:sz w:val="22"/>
                <w:szCs w:val="22"/>
                <w:lang w:val="en-US"/>
              </w:rPr>
            </w:pPr>
            <w:r w:rsidRPr="00E575A9">
              <w:rPr>
                <w:b/>
                <w:sz w:val="22"/>
                <w:szCs w:val="22"/>
                <w:lang w:val="en-US"/>
              </w:rPr>
              <w:t>Common</w:t>
            </w:r>
          </w:p>
        </w:tc>
        <w:tc>
          <w:tcPr>
            <w:tcW w:w="938" w:type="pct"/>
            <w:tcBorders>
              <w:top w:val="single" w:sz="4" w:space="0" w:color="000000"/>
              <w:left w:val="single" w:sz="4" w:space="0" w:color="000000"/>
              <w:bottom w:val="single" w:sz="4" w:space="0" w:color="000000"/>
              <w:right w:val="single" w:sz="4" w:space="0" w:color="000000"/>
            </w:tcBorders>
            <w:hideMark/>
          </w:tcPr>
          <w:p w14:paraId="018087C4" w14:textId="77777777" w:rsidR="00E575A9" w:rsidRPr="00E575A9" w:rsidRDefault="00E575A9" w:rsidP="00896A75">
            <w:pPr>
              <w:ind w:left="142"/>
              <w:rPr>
                <w:sz w:val="22"/>
                <w:szCs w:val="22"/>
                <w:lang w:val="en-US"/>
              </w:rPr>
            </w:pPr>
            <w:r w:rsidRPr="00E575A9">
              <w:rPr>
                <w:b/>
                <w:sz w:val="22"/>
                <w:szCs w:val="22"/>
                <w:lang w:val="en-US"/>
              </w:rPr>
              <w:t>Uncommon</w:t>
            </w:r>
          </w:p>
        </w:tc>
        <w:tc>
          <w:tcPr>
            <w:tcW w:w="781" w:type="pct"/>
            <w:tcBorders>
              <w:top w:val="single" w:sz="4" w:space="0" w:color="000000"/>
              <w:left w:val="single" w:sz="4" w:space="0" w:color="000000"/>
              <w:bottom w:val="single" w:sz="4" w:space="0" w:color="000000"/>
              <w:right w:val="single" w:sz="4" w:space="0" w:color="000000"/>
            </w:tcBorders>
            <w:hideMark/>
          </w:tcPr>
          <w:p w14:paraId="3AE50CE5" w14:textId="77777777" w:rsidR="00E575A9" w:rsidRPr="00E575A9" w:rsidRDefault="00E575A9" w:rsidP="00896A75">
            <w:pPr>
              <w:ind w:left="142"/>
              <w:rPr>
                <w:sz w:val="22"/>
                <w:szCs w:val="22"/>
                <w:lang w:val="en-US"/>
              </w:rPr>
            </w:pPr>
            <w:r w:rsidRPr="00E575A9">
              <w:rPr>
                <w:b/>
                <w:sz w:val="22"/>
                <w:szCs w:val="22"/>
                <w:lang w:val="en-US"/>
              </w:rPr>
              <w:t>Not known</w:t>
            </w:r>
          </w:p>
        </w:tc>
      </w:tr>
      <w:tr w:rsidR="00E575A9" w:rsidRPr="00E575A9" w14:paraId="28872386" w14:textId="77777777" w:rsidTr="00896A75">
        <w:trPr>
          <w:trHeight w:val="20"/>
        </w:trPr>
        <w:tc>
          <w:tcPr>
            <w:tcW w:w="1328" w:type="pct"/>
            <w:tcBorders>
              <w:top w:val="single" w:sz="4" w:space="0" w:color="000000"/>
              <w:left w:val="single" w:sz="4" w:space="0" w:color="000000"/>
              <w:bottom w:val="single" w:sz="4" w:space="0" w:color="000000"/>
              <w:right w:val="single" w:sz="4" w:space="0" w:color="000000"/>
            </w:tcBorders>
            <w:hideMark/>
          </w:tcPr>
          <w:p w14:paraId="47D7B472" w14:textId="77777777" w:rsidR="00E575A9" w:rsidRPr="00E575A9" w:rsidRDefault="00E575A9" w:rsidP="00896A75">
            <w:pPr>
              <w:ind w:left="142"/>
              <w:rPr>
                <w:sz w:val="22"/>
                <w:szCs w:val="22"/>
                <w:lang w:val="en-US"/>
              </w:rPr>
            </w:pPr>
            <w:r w:rsidRPr="00E575A9">
              <w:rPr>
                <w:b/>
                <w:sz w:val="22"/>
                <w:szCs w:val="22"/>
                <w:lang w:val="en-US"/>
              </w:rPr>
              <w:t xml:space="preserve">Metabolism and </w:t>
            </w:r>
            <w:proofErr w:type="gramStart"/>
            <w:r w:rsidRPr="00E575A9">
              <w:rPr>
                <w:b/>
                <w:sz w:val="22"/>
                <w:szCs w:val="22"/>
                <w:lang w:val="en-US"/>
              </w:rPr>
              <w:t>nutrition</w:t>
            </w:r>
            <w:proofErr w:type="gramEnd"/>
            <w:r w:rsidRPr="00E575A9">
              <w:rPr>
                <w:b/>
                <w:sz w:val="22"/>
                <w:szCs w:val="22"/>
                <w:lang w:val="en-US"/>
              </w:rPr>
              <w:t xml:space="preserve"> disorders</w:t>
            </w:r>
          </w:p>
        </w:tc>
        <w:tc>
          <w:tcPr>
            <w:tcW w:w="860" w:type="pct"/>
            <w:tcBorders>
              <w:top w:val="single" w:sz="4" w:space="0" w:color="000000"/>
              <w:left w:val="single" w:sz="4" w:space="0" w:color="000000"/>
              <w:bottom w:val="single" w:sz="4" w:space="0" w:color="000000"/>
              <w:right w:val="single" w:sz="4" w:space="0" w:color="000000"/>
            </w:tcBorders>
          </w:tcPr>
          <w:p w14:paraId="39325ECB" w14:textId="77777777" w:rsidR="00E575A9" w:rsidRPr="00E575A9" w:rsidRDefault="00E575A9" w:rsidP="00896A75">
            <w:pPr>
              <w:ind w:left="142"/>
              <w:rPr>
                <w:sz w:val="22"/>
                <w:szCs w:val="22"/>
                <w:lang w:val="en-IN"/>
              </w:rPr>
            </w:pPr>
          </w:p>
        </w:tc>
        <w:tc>
          <w:tcPr>
            <w:tcW w:w="1094" w:type="pct"/>
            <w:tcBorders>
              <w:top w:val="single" w:sz="4" w:space="0" w:color="000000"/>
              <w:left w:val="single" w:sz="4" w:space="0" w:color="000000"/>
              <w:bottom w:val="single" w:sz="4" w:space="0" w:color="000000"/>
              <w:right w:val="single" w:sz="4" w:space="0" w:color="000000"/>
            </w:tcBorders>
            <w:hideMark/>
          </w:tcPr>
          <w:p w14:paraId="5C6B70C1" w14:textId="77777777" w:rsidR="00E575A9" w:rsidRPr="00E575A9" w:rsidRDefault="00E575A9" w:rsidP="00896A75">
            <w:pPr>
              <w:ind w:left="142"/>
              <w:rPr>
                <w:sz w:val="22"/>
                <w:szCs w:val="22"/>
                <w:lang w:val="en-US"/>
              </w:rPr>
            </w:pPr>
            <w:r w:rsidRPr="00E575A9">
              <w:rPr>
                <w:sz w:val="22"/>
                <w:szCs w:val="22"/>
                <w:lang w:val="en-US"/>
              </w:rPr>
              <w:t>Decreased appetite Increased appetite</w:t>
            </w:r>
          </w:p>
        </w:tc>
        <w:tc>
          <w:tcPr>
            <w:tcW w:w="938" w:type="pct"/>
            <w:tcBorders>
              <w:top w:val="single" w:sz="4" w:space="0" w:color="000000"/>
              <w:left w:val="single" w:sz="4" w:space="0" w:color="000000"/>
              <w:bottom w:val="single" w:sz="4" w:space="0" w:color="000000"/>
              <w:right w:val="single" w:sz="4" w:space="0" w:color="000000"/>
            </w:tcBorders>
          </w:tcPr>
          <w:p w14:paraId="20D1823E" w14:textId="77777777" w:rsidR="00E575A9" w:rsidRPr="00E575A9" w:rsidRDefault="00E575A9" w:rsidP="00896A75">
            <w:pPr>
              <w:ind w:left="142"/>
              <w:rPr>
                <w:sz w:val="22"/>
                <w:szCs w:val="22"/>
                <w:lang w:val="en-IN"/>
              </w:rPr>
            </w:pPr>
          </w:p>
        </w:tc>
        <w:tc>
          <w:tcPr>
            <w:tcW w:w="781" w:type="pct"/>
            <w:tcBorders>
              <w:top w:val="single" w:sz="4" w:space="0" w:color="000000"/>
              <w:left w:val="single" w:sz="4" w:space="0" w:color="000000"/>
              <w:bottom w:val="single" w:sz="4" w:space="0" w:color="000000"/>
              <w:right w:val="single" w:sz="4" w:space="0" w:color="000000"/>
            </w:tcBorders>
          </w:tcPr>
          <w:p w14:paraId="207E4E1B" w14:textId="77777777" w:rsidR="00E575A9" w:rsidRPr="00E575A9" w:rsidRDefault="00E575A9" w:rsidP="00896A75">
            <w:pPr>
              <w:ind w:left="142"/>
              <w:rPr>
                <w:sz w:val="22"/>
                <w:szCs w:val="22"/>
                <w:lang w:val="en-IN"/>
              </w:rPr>
            </w:pPr>
          </w:p>
        </w:tc>
      </w:tr>
      <w:tr w:rsidR="00E575A9" w:rsidRPr="006F220B" w14:paraId="67B8CAC8" w14:textId="77777777" w:rsidTr="00896A75">
        <w:trPr>
          <w:trHeight w:val="20"/>
        </w:trPr>
        <w:tc>
          <w:tcPr>
            <w:tcW w:w="1328" w:type="pct"/>
            <w:tcBorders>
              <w:top w:val="single" w:sz="4" w:space="0" w:color="000000"/>
              <w:left w:val="single" w:sz="4" w:space="0" w:color="000000"/>
              <w:bottom w:val="single" w:sz="4" w:space="0" w:color="000000"/>
              <w:right w:val="single" w:sz="4" w:space="0" w:color="000000"/>
            </w:tcBorders>
            <w:hideMark/>
          </w:tcPr>
          <w:p w14:paraId="636A8A9E" w14:textId="77777777" w:rsidR="00E575A9" w:rsidRPr="00E575A9" w:rsidRDefault="00E575A9" w:rsidP="00896A75">
            <w:pPr>
              <w:ind w:left="142"/>
              <w:rPr>
                <w:sz w:val="22"/>
                <w:szCs w:val="22"/>
                <w:lang w:val="en-US"/>
              </w:rPr>
            </w:pPr>
            <w:r w:rsidRPr="00E575A9">
              <w:rPr>
                <w:b/>
                <w:sz w:val="22"/>
                <w:szCs w:val="22"/>
                <w:lang w:val="en-US"/>
              </w:rPr>
              <w:t>Psychiatric disorders</w:t>
            </w:r>
          </w:p>
        </w:tc>
        <w:tc>
          <w:tcPr>
            <w:tcW w:w="860" w:type="pct"/>
            <w:tcBorders>
              <w:top w:val="single" w:sz="4" w:space="0" w:color="000000"/>
              <w:left w:val="single" w:sz="4" w:space="0" w:color="000000"/>
              <w:bottom w:val="single" w:sz="4" w:space="0" w:color="000000"/>
              <w:right w:val="single" w:sz="4" w:space="0" w:color="000000"/>
            </w:tcBorders>
          </w:tcPr>
          <w:p w14:paraId="0954BF6B" w14:textId="77777777" w:rsidR="00E575A9" w:rsidRPr="00E575A9" w:rsidRDefault="00E575A9" w:rsidP="00896A75">
            <w:pPr>
              <w:ind w:left="142"/>
              <w:rPr>
                <w:sz w:val="22"/>
                <w:szCs w:val="22"/>
                <w:lang w:val="en-IN"/>
              </w:rPr>
            </w:pPr>
          </w:p>
        </w:tc>
        <w:tc>
          <w:tcPr>
            <w:tcW w:w="1094" w:type="pct"/>
            <w:tcBorders>
              <w:top w:val="single" w:sz="4" w:space="0" w:color="000000"/>
              <w:left w:val="single" w:sz="4" w:space="0" w:color="000000"/>
              <w:bottom w:val="single" w:sz="4" w:space="0" w:color="000000"/>
              <w:right w:val="single" w:sz="4" w:space="0" w:color="000000"/>
            </w:tcBorders>
            <w:hideMark/>
          </w:tcPr>
          <w:p w14:paraId="1340348E" w14:textId="77777777" w:rsidR="00E575A9" w:rsidRPr="00E575A9" w:rsidRDefault="00E575A9" w:rsidP="00896A75">
            <w:pPr>
              <w:ind w:left="142"/>
              <w:rPr>
                <w:sz w:val="22"/>
                <w:szCs w:val="22"/>
                <w:lang w:val="en-US"/>
              </w:rPr>
            </w:pPr>
            <w:r w:rsidRPr="00E575A9">
              <w:rPr>
                <w:sz w:val="22"/>
                <w:szCs w:val="22"/>
                <w:lang w:val="en-US"/>
              </w:rPr>
              <w:t>Aggression Anger Anxiety</w:t>
            </w:r>
          </w:p>
          <w:p w14:paraId="212CE668" w14:textId="77777777" w:rsidR="00E575A9" w:rsidRPr="00E575A9" w:rsidRDefault="00E575A9" w:rsidP="00896A75">
            <w:pPr>
              <w:ind w:left="142"/>
              <w:rPr>
                <w:sz w:val="22"/>
                <w:szCs w:val="22"/>
                <w:lang w:val="en-US"/>
              </w:rPr>
            </w:pPr>
            <w:r w:rsidRPr="00E575A9">
              <w:rPr>
                <w:sz w:val="22"/>
                <w:szCs w:val="22"/>
                <w:lang w:val="en-US"/>
              </w:rPr>
              <w:t>Confusional state</w:t>
            </w:r>
          </w:p>
        </w:tc>
        <w:tc>
          <w:tcPr>
            <w:tcW w:w="938" w:type="pct"/>
            <w:tcBorders>
              <w:top w:val="single" w:sz="4" w:space="0" w:color="000000"/>
              <w:left w:val="single" w:sz="4" w:space="0" w:color="000000"/>
              <w:bottom w:val="single" w:sz="4" w:space="0" w:color="000000"/>
              <w:right w:val="single" w:sz="4" w:space="0" w:color="000000"/>
            </w:tcBorders>
            <w:hideMark/>
          </w:tcPr>
          <w:p w14:paraId="528FEDCF" w14:textId="77777777" w:rsidR="00E575A9" w:rsidRPr="00E575A9" w:rsidRDefault="00E575A9" w:rsidP="00896A75">
            <w:pPr>
              <w:ind w:left="142"/>
              <w:rPr>
                <w:sz w:val="22"/>
                <w:szCs w:val="22"/>
                <w:lang w:val="en-US"/>
              </w:rPr>
            </w:pPr>
            <w:r w:rsidRPr="00E575A9">
              <w:rPr>
                <w:sz w:val="22"/>
                <w:szCs w:val="22"/>
                <w:lang w:val="en-US"/>
              </w:rPr>
              <w:t>Suicidal ideation Suicide attempt Hallucinations Psychotic disorder</w:t>
            </w:r>
          </w:p>
        </w:tc>
        <w:tc>
          <w:tcPr>
            <w:tcW w:w="781" w:type="pct"/>
            <w:tcBorders>
              <w:top w:val="single" w:sz="4" w:space="0" w:color="000000"/>
              <w:left w:val="single" w:sz="4" w:space="0" w:color="000000"/>
              <w:bottom w:val="single" w:sz="4" w:space="0" w:color="000000"/>
              <w:right w:val="single" w:sz="4" w:space="0" w:color="000000"/>
            </w:tcBorders>
          </w:tcPr>
          <w:p w14:paraId="76A309B8" w14:textId="77777777" w:rsidR="00E575A9" w:rsidRPr="00E575A9" w:rsidRDefault="00E575A9" w:rsidP="00896A75">
            <w:pPr>
              <w:ind w:left="142"/>
              <w:rPr>
                <w:sz w:val="22"/>
                <w:szCs w:val="22"/>
                <w:lang w:val="en-IN"/>
              </w:rPr>
            </w:pPr>
          </w:p>
        </w:tc>
      </w:tr>
      <w:tr w:rsidR="00E575A9" w:rsidRPr="006F220B" w14:paraId="3062D5A7" w14:textId="77777777" w:rsidTr="00896A75">
        <w:trPr>
          <w:trHeight w:val="20"/>
        </w:trPr>
        <w:tc>
          <w:tcPr>
            <w:tcW w:w="1328" w:type="pct"/>
            <w:tcBorders>
              <w:top w:val="single" w:sz="4" w:space="0" w:color="000000"/>
              <w:left w:val="single" w:sz="4" w:space="0" w:color="000000"/>
              <w:bottom w:val="single" w:sz="4" w:space="0" w:color="000000"/>
              <w:right w:val="single" w:sz="4" w:space="0" w:color="000000"/>
            </w:tcBorders>
            <w:hideMark/>
          </w:tcPr>
          <w:p w14:paraId="37484D13" w14:textId="77777777" w:rsidR="00E575A9" w:rsidRPr="00E575A9" w:rsidRDefault="00E575A9" w:rsidP="00896A75">
            <w:pPr>
              <w:ind w:left="142"/>
              <w:rPr>
                <w:sz w:val="22"/>
                <w:szCs w:val="22"/>
                <w:lang w:val="en-US"/>
              </w:rPr>
            </w:pPr>
            <w:r w:rsidRPr="00E575A9">
              <w:rPr>
                <w:b/>
                <w:sz w:val="22"/>
                <w:szCs w:val="22"/>
                <w:lang w:val="en-US"/>
              </w:rPr>
              <w:t>Nervous system disorders</w:t>
            </w:r>
          </w:p>
        </w:tc>
        <w:tc>
          <w:tcPr>
            <w:tcW w:w="860" w:type="pct"/>
            <w:tcBorders>
              <w:top w:val="single" w:sz="4" w:space="0" w:color="000000"/>
              <w:left w:val="single" w:sz="4" w:space="0" w:color="000000"/>
              <w:bottom w:val="single" w:sz="4" w:space="0" w:color="000000"/>
              <w:right w:val="single" w:sz="4" w:space="0" w:color="000000"/>
            </w:tcBorders>
            <w:hideMark/>
          </w:tcPr>
          <w:p w14:paraId="6BC19363" w14:textId="77777777" w:rsidR="00E575A9" w:rsidRPr="00E575A9" w:rsidRDefault="00E575A9" w:rsidP="00896A75">
            <w:pPr>
              <w:ind w:left="142"/>
              <w:rPr>
                <w:sz w:val="22"/>
                <w:szCs w:val="22"/>
                <w:lang w:val="en-US"/>
              </w:rPr>
            </w:pPr>
            <w:r w:rsidRPr="00E575A9">
              <w:rPr>
                <w:sz w:val="22"/>
                <w:szCs w:val="22"/>
                <w:lang w:val="en-US"/>
              </w:rPr>
              <w:t>Dizziness Somnolence</w:t>
            </w:r>
          </w:p>
        </w:tc>
        <w:tc>
          <w:tcPr>
            <w:tcW w:w="1094" w:type="pct"/>
            <w:tcBorders>
              <w:top w:val="single" w:sz="4" w:space="0" w:color="000000"/>
              <w:left w:val="single" w:sz="4" w:space="0" w:color="000000"/>
              <w:bottom w:val="single" w:sz="4" w:space="0" w:color="000000"/>
              <w:right w:val="single" w:sz="4" w:space="0" w:color="000000"/>
            </w:tcBorders>
            <w:hideMark/>
          </w:tcPr>
          <w:p w14:paraId="7C4033B9" w14:textId="77777777" w:rsidR="00E575A9" w:rsidRPr="00E575A9" w:rsidRDefault="00E575A9" w:rsidP="00896A75">
            <w:pPr>
              <w:ind w:left="142"/>
              <w:rPr>
                <w:sz w:val="22"/>
                <w:szCs w:val="22"/>
                <w:lang w:val="en-US"/>
              </w:rPr>
            </w:pPr>
            <w:r w:rsidRPr="00E575A9">
              <w:rPr>
                <w:sz w:val="22"/>
                <w:szCs w:val="22"/>
                <w:lang w:val="en-US"/>
              </w:rPr>
              <w:t>Ataxia Dysarthria Balance disorder Irritability</w:t>
            </w:r>
          </w:p>
        </w:tc>
        <w:tc>
          <w:tcPr>
            <w:tcW w:w="938" w:type="pct"/>
            <w:tcBorders>
              <w:top w:val="single" w:sz="4" w:space="0" w:color="000000"/>
              <w:left w:val="single" w:sz="4" w:space="0" w:color="000000"/>
              <w:bottom w:val="single" w:sz="4" w:space="0" w:color="000000"/>
              <w:right w:val="single" w:sz="4" w:space="0" w:color="000000"/>
            </w:tcBorders>
          </w:tcPr>
          <w:p w14:paraId="460D3CAA" w14:textId="77777777" w:rsidR="00E575A9" w:rsidRPr="00E575A9" w:rsidRDefault="00E575A9" w:rsidP="00896A75">
            <w:pPr>
              <w:ind w:left="142"/>
              <w:rPr>
                <w:sz w:val="22"/>
                <w:szCs w:val="22"/>
                <w:lang w:val="en-IN"/>
              </w:rPr>
            </w:pPr>
          </w:p>
        </w:tc>
        <w:tc>
          <w:tcPr>
            <w:tcW w:w="781" w:type="pct"/>
            <w:tcBorders>
              <w:top w:val="single" w:sz="4" w:space="0" w:color="000000"/>
              <w:left w:val="single" w:sz="4" w:space="0" w:color="000000"/>
              <w:bottom w:val="single" w:sz="4" w:space="0" w:color="000000"/>
              <w:right w:val="single" w:sz="4" w:space="0" w:color="000000"/>
            </w:tcBorders>
          </w:tcPr>
          <w:p w14:paraId="04DD145D" w14:textId="77777777" w:rsidR="00E575A9" w:rsidRPr="00E575A9" w:rsidRDefault="00E575A9" w:rsidP="00896A75">
            <w:pPr>
              <w:ind w:left="142"/>
              <w:rPr>
                <w:sz w:val="22"/>
                <w:szCs w:val="22"/>
                <w:lang w:val="en-IN"/>
              </w:rPr>
            </w:pPr>
          </w:p>
        </w:tc>
      </w:tr>
      <w:tr w:rsidR="00E575A9" w:rsidRPr="00E575A9" w14:paraId="3D6B1362" w14:textId="77777777" w:rsidTr="00896A75">
        <w:trPr>
          <w:trHeight w:val="20"/>
        </w:trPr>
        <w:tc>
          <w:tcPr>
            <w:tcW w:w="1328" w:type="pct"/>
            <w:tcBorders>
              <w:top w:val="single" w:sz="4" w:space="0" w:color="000000"/>
              <w:left w:val="single" w:sz="4" w:space="0" w:color="000000"/>
              <w:bottom w:val="single" w:sz="4" w:space="0" w:color="000000"/>
              <w:right w:val="single" w:sz="4" w:space="0" w:color="000000"/>
            </w:tcBorders>
            <w:hideMark/>
          </w:tcPr>
          <w:p w14:paraId="5AAB4567" w14:textId="77777777" w:rsidR="00E575A9" w:rsidRPr="00E575A9" w:rsidRDefault="00E575A9" w:rsidP="00896A75">
            <w:pPr>
              <w:ind w:left="142"/>
              <w:rPr>
                <w:sz w:val="22"/>
                <w:szCs w:val="22"/>
                <w:lang w:val="en-US"/>
              </w:rPr>
            </w:pPr>
            <w:r w:rsidRPr="00E575A9">
              <w:rPr>
                <w:b/>
                <w:sz w:val="22"/>
                <w:szCs w:val="22"/>
                <w:lang w:val="en-US"/>
              </w:rPr>
              <w:t>Eye disorders</w:t>
            </w:r>
          </w:p>
        </w:tc>
        <w:tc>
          <w:tcPr>
            <w:tcW w:w="860" w:type="pct"/>
            <w:tcBorders>
              <w:top w:val="single" w:sz="4" w:space="0" w:color="000000"/>
              <w:left w:val="single" w:sz="4" w:space="0" w:color="000000"/>
              <w:bottom w:val="single" w:sz="4" w:space="0" w:color="000000"/>
              <w:right w:val="single" w:sz="4" w:space="0" w:color="000000"/>
            </w:tcBorders>
          </w:tcPr>
          <w:p w14:paraId="7792632C" w14:textId="77777777" w:rsidR="00E575A9" w:rsidRPr="00E575A9" w:rsidRDefault="00E575A9" w:rsidP="00896A75">
            <w:pPr>
              <w:ind w:left="142"/>
              <w:rPr>
                <w:sz w:val="22"/>
                <w:szCs w:val="22"/>
                <w:lang w:val="en-IN"/>
              </w:rPr>
            </w:pPr>
          </w:p>
        </w:tc>
        <w:tc>
          <w:tcPr>
            <w:tcW w:w="1094" w:type="pct"/>
            <w:tcBorders>
              <w:top w:val="single" w:sz="4" w:space="0" w:color="000000"/>
              <w:left w:val="single" w:sz="4" w:space="0" w:color="000000"/>
              <w:bottom w:val="single" w:sz="4" w:space="0" w:color="000000"/>
              <w:right w:val="single" w:sz="4" w:space="0" w:color="000000"/>
            </w:tcBorders>
            <w:hideMark/>
          </w:tcPr>
          <w:p w14:paraId="45F37842" w14:textId="77777777" w:rsidR="00E575A9" w:rsidRPr="00E575A9" w:rsidRDefault="00E575A9" w:rsidP="00896A75">
            <w:pPr>
              <w:ind w:left="142"/>
              <w:rPr>
                <w:sz w:val="22"/>
                <w:szCs w:val="22"/>
                <w:lang w:val="en-US"/>
              </w:rPr>
            </w:pPr>
            <w:r w:rsidRPr="00E575A9">
              <w:rPr>
                <w:sz w:val="22"/>
                <w:szCs w:val="22"/>
                <w:lang w:val="en-US"/>
              </w:rPr>
              <w:t>Diplopia Vision blurred</w:t>
            </w:r>
          </w:p>
        </w:tc>
        <w:tc>
          <w:tcPr>
            <w:tcW w:w="938" w:type="pct"/>
            <w:tcBorders>
              <w:top w:val="single" w:sz="4" w:space="0" w:color="000000"/>
              <w:left w:val="single" w:sz="4" w:space="0" w:color="000000"/>
              <w:bottom w:val="single" w:sz="4" w:space="0" w:color="000000"/>
              <w:right w:val="single" w:sz="4" w:space="0" w:color="000000"/>
            </w:tcBorders>
          </w:tcPr>
          <w:p w14:paraId="28595DC2" w14:textId="77777777" w:rsidR="00E575A9" w:rsidRPr="00E575A9" w:rsidRDefault="00E575A9" w:rsidP="00896A75">
            <w:pPr>
              <w:ind w:left="142"/>
              <w:rPr>
                <w:sz w:val="22"/>
                <w:szCs w:val="22"/>
                <w:lang w:val="en-IN"/>
              </w:rPr>
            </w:pPr>
          </w:p>
        </w:tc>
        <w:tc>
          <w:tcPr>
            <w:tcW w:w="781" w:type="pct"/>
            <w:tcBorders>
              <w:top w:val="single" w:sz="4" w:space="0" w:color="000000"/>
              <w:left w:val="single" w:sz="4" w:space="0" w:color="000000"/>
              <w:bottom w:val="single" w:sz="4" w:space="0" w:color="000000"/>
              <w:right w:val="single" w:sz="4" w:space="0" w:color="000000"/>
            </w:tcBorders>
          </w:tcPr>
          <w:p w14:paraId="076EB6E5" w14:textId="77777777" w:rsidR="00E575A9" w:rsidRPr="00E575A9" w:rsidRDefault="00E575A9" w:rsidP="00896A75">
            <w:pPr>
              <w:ind w:left="142"/>
              <w:rPr>
                <w:sz w:val="22"/>
                <w:szCs w:val="22"/>
                <w:lang w:val="en-IN"/>
              </w:rPr>
            </w:pPr>
          </w:p>
        </w:tc>
      </w:tr>
      <w:tr w:rsidR="00E575A9" w:rsidRPr="00E575A9" w14:paraId="69C23B6F" w14:textId="77777777" w:rsidTr="00896A75">
        <w:trPr>
          <w:trHeight w:val="20"/>
        </w:trPr>
        <w:tc>
          <w:tcPr>
            <w:tcW w:w="1328" w:type="pct"/>
            <w:tcBorders>
              <w:top w:val="single" w:sz="4" w:space="0" w:color="000000"/>
              <w:left w:val="single" w:sz="4" w:space="0" w:color="000000"/>
              <w:bottom w:val="single" w:sz="4" w:space="0" w:color="000000"/>
              <w:right w:val="single" w:sz="4" w:space="0" w:color="000000"/>
            </w:tcBorders>
            <w:hideMark/>
          </w:tcPr>
          <w:p w14:paraId="4FD3662D" w14:textId="77777777" w:rsidR="00E575A9" w:rsidRPr="00E575A9" w:rsidRDefault="00E575A9" w:rsidP="00896A75">
            <w:pPr>
              <w:ind w:left="142"/>
              <w:rPr>
                <w:sz w:val="22"/>
                <w:szCs w:val="22"/>
                <w:lang w:val="en-US"/>
              </w:rPr>
            </w:pPr>
            <w:r w:rsidRPr="00E575A9">
              <w:rPr>
                <w:b/>
                <w:sz w:val="22"/>
                <w:szCs w:val="22"/>
                <w:lang w:val="en-US"/>
              </w:rPr>
              <w:t>Ear and labyrinth disorders</w:t>
            </w:r>
          </w:p>
        </w:tc>
        <w:tc>
          <w:tcPr>
            <w:tcW w:w="860" w:type="pct"/>
            <w:tcBorders>
              <w:top w:val="single" w:sz="4" w:space="0" w:color="000000"/>
              <w:left w:val="single" w:sz="4" w:space="0" w:color="000000"/>
              <w:bottom w:val="single" w:sz="4" w:space="0" w:color="000000"/>
              <w:right w:val="single" w:sz="4" w:space="0" w:color="000000"/>
            </w:tcBorders>
          </w:tcPr>
          <w:p w14:paraId="7C03A270" w14:textId="77777777" w:rsidR="00E575A9" w:rsidRPr="00E575A9" w:rsidRDefault="00E575A9" w:rsidP="00896A75">
            <w:pPr>
              <w:ind w:left="142"/>
              <w:rPr>
                <w:sz w:val="22"/>
                <w:szCs w:val="22"/>
                <w:lang w:val="en-IN"/>
              </w:rPr>
            </w:pPr>
          </w:p>
        </w:tc>
        <w:tc>
          <w:tcPr>
            <w:tcW w:w="1094" w:type="pct"/>
            <w:tcBorders>
              <w:top w:val="single" w:sz="4" w:space="0" w:color="000000"/>
              <w:left w:val="single" w:sz="4" w:space="0" w:color="000000"/>
              <w:bottom w:val="single" w:sz="4" w:space="0" w:color="000000"/>
              <w:right w:val="single" w:sz="4" w:space="0" w:color="000000"/>
            </w:tcBorders>
            <w:hideMark/>
          </w:tcPr>
          <w:p w14:paraId="327B9794" w14:textId="77777777" w:rsidR="00E575A9" w:rsidRPr="00E575A9" w:rsidRDefault="00E575A9" w:rsidP="00896A75">
            <w:pPr>
              <w:ind w:left="142"/>
              <w:rPr>
                <w:sz w:val="22"/>
                <w:szCs w:val="22"/>
                <w:lang w:val="en-US"/>
              </w:rPr>
            </w:pPr>
            <w:r w:rsidRPr="00E575A9">
              <w:rPr>
                <w:sz w:val="22"/>
                <w:szCs w:val="22"/>
                <w:lang w:val="en-US"/>
              </w:rPr>
              <w:t>Vertigo</w:t>
            </w:r>
          </w:p>
        </w:tc>
        <w:tc>
          <w:tcPr>
            <w:tcW w:w="938" w:type="pct"/>
            <w:tcBorders>
              <w:top w:val="single" w:sz="4" w:space="0" w:color="000000"/>
              <w:left w:val="single" w:sz="4" w:space="0" w:color="000000"/>
              <w:bottom w:val="single" w:sz="4" w:space="0" w:color="000000"/>
              <w:right w:val="single" w:sz="4" w:space="0" w:color="000000"/>
            </w:tcBorders>
          </w:tcPr>
          <w:p w14:paraId="4A72CA07" w14:textId="77777777" w:rsidR="00E575A9" w:rsidRPr="00E575A9" w:rsidRDefault="00E575A9" w:rsidP="00896A75">
            <w:pPr>
              <w:ind w:left="142"/>
              <w:rPr>
                <w:sz w:val="22"/>
                <w:szCs w:val="22"/>
                <w:lang w:val="en-IN"/>
              </w:rPr>
            </w:pPr>
          </w:p>
        </w:tc>
        <w:tc>
          <w:tcPr>
            <w:tcW w:w="781" w:type="pct"/>
            <w:tcBorders>
              <w:top w:val="single" w:sz="4" w:space="0" w:color="000000"/>
              <w:left w:val="single" w:sz="4" w:space="0" w:color="000000"/>
              <w:bottom w:val="single" w:sz="4" w:space="0" w:color="000000"/>
              <w:right w:val="single" w:sz="4" w:space="0" w:color="000000"/>
            </w:tcBorders>
          </w:tcPr>
          <w:p w14:paraId="30BD5067" w14:textId="77777777" w:rsidR="00E575A9" w:rsidRPr="00E575A9" w:rsidRDefault="00E575A9" w:rsidP="00896A75">
            <w:pPr>
              <w:ind w:left="142"/>
              <w:rPr>
                <w:sz w:val="22"/>
                <w:szCs w:val="22"/>
                <w:lang w:val="en-IN"/>
              </w:rPr>
            </w:pPr>
          </w:p>
        </w:tc>
      </w:tr>
      <w:tr w:rsidR="00E575A9" w:rsidRPr="00E575A9" w14:paraId="055AA239" w14:textId="77777777" w:rsidTr="00896A75">
        <w:trPr>
          <w:trHeight w:val="20"/>
        </w:trPr>
        <w:tc>
          <w:tcPr>
            <w:tcW w:w="1328" w:type="pct"/>
            <w:tcBorders>
              <w:top w:val="single" w:sz="4" w:space="0" w:color="000000"/>
              <w:left w:val="single" w:sz="4" w:space="0" w:color="000000"/>
              <w:bottom w:val="single" w:sz="4" w:space="0" w:color="000000"/>
              <w:right w:val="single" w:sz="4" w:space="0" w:color="000000"/>
            </w:tcBorders>
            <w:hideMark/>
          </w:tcPr>
          <w:p w14:paraId="5B6EFE1E" w14:textId="77777777" w:rsidR="00E575A9" w:rsidRPr="00E575A9" w:rsidRDefault="00E575A9" w:rsidP="00896A75">
            <w:pPr>
              <w:ind w:left="142"/>
              <w:rPr>
                <w:sz w:val="22"/>
                <w:szCs w:val="22"/>
                <w:lang w:val="en-US"/>
              </w:rPr>
            </w:pPr>
            <w:r w:rsidRPr="00E575A9">
              <w:rPr>
                <w:b/>
                <w:sz w:val="22"/>
                <w:szCs w:val="22"/>
                <w:lang w:val="en-US"/>
              </w:rPr>
              <w:t>Gastrointestinal disorders</w:t>
            </w:r>
          </w:p>
        </w:tc>
        <w:tc>
          <w:tcPr>
            <w:tcW w:w="860" w:type="pct"/>
            <w:tcBorders>
              <w:top w:val="single" w:sz="4" w:space="0" w:color="000000"/>
              <w:left w:val="single" w:sz="4" w:space="0" w:color="000000"/>
              <w:bottom w:val="single" w:sz="4" w:space="0" w:color="000000"/>
              <w:right w:val="single" w:sz="4" w:space="0" w:color="000000"/>
            </w:tcBorders>
          </w:tcPr>
          <w:p w14:paraId="4C17BB36" w14:textId="77777777" w:rsidR="00E575A9" w:rsidRPr="00E575A9" w:rsidRDefault="00E575A9" w:rsidP="00896A75">
            <w:pPr>
              <w:ind w:left="142"/>
              <w:rPr>
                <w:sz w:val="22"/>
                <w:szCs w:val="22"/>
                <w:lang w:val="en-IN"/>
              </w:rPr>
            </w:pPr>
          </w:p>
        </w:tc>
        <w:tc>
          <w:tcPr>
            <w:tcW w:w="1094" w:type="pct"/>
            <w:tcBorders>
              <w:top w:val="single" w:sz="4" w:space="0" w:color="000000"/>
              <w:left w:val="single" w:sz="4" w:space="0" w:color="000000"/>
              <w:bottom w:val="single" w:sz="4" w:space="0" w:color="000000"/>
              <w:right w:val="single" w:sz="4" w:space="0" w:color="000000"/>
            </w:tcBorders>
            <w:hideMark/>
          </w:tcPr>
          <w:p w14:paraId="4575D930" w14:textId="77777777" w:rsidR="00E575A9" w:rsidRPr="00E575A9" w:rsidRDefault="00E575A9" w:rsidP="00896A75">
            <w:pPr>
              <w:ind w:left="142"/>
              <w:rPr>
                <w:sz w:val="22"/>
                <w:szCs w:val="22"/>
                <w:lang w:val="en-US"/>
              </w:rPr>
            </w:pPr>
            <w:r w:rsidRPr="00E575A9">
              <w:rPr>
                <w:sz w:val="22"/>
                <w:szCs w:val="22"/>
                <w:lang w:val="en-US"/>
              </w:rPr>
              <w:t>Nausea</w:t>
            </w:r>
          </w:p>
        </w:tc>
        <w:tc>
          <w:tcPr>
            <w:tcW w:w="938" w:type="pct"/>
            <w:tcBorders>
              <w:top w:val="single" w:sz="4" w:space="0" w:color="000000"/>
              <w:left w:val="single" w:sz="4" w:space="0" w:color="000000"/>
              <w:bottom w:val="single" w:sz="4" w:space="0" w:color="000000"/>
              <w:right w:val="single" w:sz="4" w:space="0" w:color="000000"/>
            </w:tcBorders>
          </w:tcPr>
          <w:p w14:paraId="5519E6B8" w14:textId="77777777" w:rsidR="00E575A9" w:rsidRPr="00E575A9" w:rsidRDefault="00E575A9" w:rsidP="00896A75">
            <w:pPr>
              <w:ind w:left="142"/>
              <w:rPr>
                <w:sz w:val="22"/>
                <w:szCs w:val="22"/>
                <w:lang w:val="en-IN"/>
              </w:rPr>
            </w:pPr>
          </w:p>
        </w:tc>
        <w:tc>
          <w:tcPr>
            <w:tcW w:w="781" w:type="pct"/>
            <w:tcBorders>
              <w:top w:val="single" w:sz="4" w:space="0" w:color="000000"/>
              <w:left w:val="single" w:sz="4" w:space="0" w:color="000000"/>
              <w:bottom w:val="single" w:sz="4" w:space="0" w:color="000000"/>
              <w:right w:val="single" w:sz="4" w:space="0" w:color="000000"/>
            </w:tcBorders>
          </w:tcPr>
          <w:p w14:paraId="5DB50A57" w14:textId="77777777" w:rsidR="00E575A9" w:rsidRPr="00E575A9" w:rsidRDefault="00E575A9" w:rsidP="00896A75">
            <w:pPr>
              <w:ind w:left="142"/>
              <w:rPr>
                <w:sz w:val="22"/>
                <w:szCs w:val="22"/>
                <w:lang w:val="en-IN"/>
              </w:rPr>
            </w:pPr>
          </w:p>
        </w:tc>
      </w:tr>
      <w:tr w:rsidR="00E575A9" w:rsidRPr="006F220B" w14:paraId="28ADB9CA" w14:textId="77777777" w:rsidTr="00896A75">
        <w:trPr>
          <w:trHeight w:val="20"/>
        </w:trPr>
        <w:tc>
          <w:tcPr>
            <w:tcW w:w="1328" w:type="pct"/>
            <w:tcBorders>
              <w:top w:val="single" w:sz="4" w:space="0" w:color="000000"/>
              <w:left w:val="single" w:sz="4" w:space="0" w:color="000000"/>
              <w:bottom w:val="single" w:sz="4" w:space="0" w:color="000000"/>
              <w:right w:val="single" w:sz="4" w:space="0" w:color="000000"/>
            </w:tcBorders>
            <w:hideMark/>
          </w:tcPr>
          <w:p w14:paraId="010E066E" w14:textId="77777777" w:rsidR="00E575A9" w:rsidRPr="00E575A9" w:rsidRDefault="00E575A9" w:rsidP="00896A75">
            <w:pPr>
              <w:ind w:left="142"/>
              <w:rPr>
                <w:sz w:val="22"/>
                <w:szCs w:val="22"/>
                <w:lang w:val="en-US"/>
              </w:rPr>
            </w:pPr>
            <w:r w:rsidRPr="00E575A9">
              <w:rPr>
                <w:b/>
                <w:sz w:val="22"/>
                <w:szCs w:val="22"/>
                <w:lang w:val="en-US"/>
              </w:rPr>
              <w:t>Skin and subcutaneous tissue disorders</w:t>
            </w:r>
          </w:p>
        </w:tc>
        <w:tc>
          <w:tcPr>
            <w:tcW w:w="860" w:type="pct"/>
            <w:tcBorders>
              <w:top w:val="single" w:sz="4" w:space="0" w:color="000000"/>
              <w:left w:val="single" w:sz="4" w:space="0" w:color="000000"/>
              <w:bottom w:val="single" w:sz="4" w:space="0" w:color="000000"/>
              <w:right w:val="single" w:sz="4" w:space="0" w:color="000000"/>
            </w:tcBorders>
          </w:tcPr>
          <w:p w14:paraId="12195366" w14:textId="77777777" w:rsidR="00E575A9" w:rsidRPr="00E575A9" w:rsidRDefault="00E575A9" w:rsidP="00896A75">
            <w:pPr>
              <w:ind w:left="142"/>
              <w:rPr>
                <w:sz w:val="22"/>
                <w:szCs w:val="22"/>
                <w:lang w:val="en-IN"/>
              </w:rPr>
            </w:pPr>
          </w:p>
        </w:tc>
        <w:tc>
          <w:tcPr>
            <w:tcW w:w="1094" w:type="pct"/>
            <w:tcBorders>
              <w:top w:val="single" w:sz="4" w:space="0" w:color="000000"/>
              <w:left w:val="single" w:sz="4" w:space="0" w:color="000000"/>
              <w:bottom w:val="single" w:sz="4" w:space="0" w:color="000000"/>
              <w:right w:val="single" w:sz="4" w:space="0" w:color="000000"/>
            </w:tcBorders>
          </w:tcPr>
          <w:p w14:paraId="70A134B0" w14:textId="77777777" w:rsidR="00E575A9" w:rsidRPr="00E575A9" w:rsidRDefault="00E575A9" w:rsidP="00896A75">
            <w:pPr>
              <w:ind w:left="142"/>
              <w:rPr>
                <w:sz w:val="22"/>
                <w:szCs w:val="22"/>
                <w:lang w:val="en-IN"/>
              </w:rPr>
            </w:pPr>
          </w:p>
        </w:tc>
        <w:tc>
          <w:tcPr>
            <w:tcW w:w="938" w:type="pct"/>
            <w:tcBorders>
              <w:top w:val="single" w:sz="4" w:space="0" w:color="000000"/>
              <w:left w:val="single" w:sz="4" w:space="0" w:color="000000"/>
              <w:bottom w:val="single" w:sz="4" w:space="0" w:color="000000"/>
              <w:right w:val="single" w:sz="4" w:space="0" w:color="000000"/>
            </w:tcBorders>
          </w:tcPr>
          <w:p w14:paraId="736F37F6" w14:textId="77777777" w:rsidR="00E575A9" w:rsidRPr="00E575A9" w:rsidRDefault="00E575A9" w:rsidP="00896A75">
            <w:pPr>
              <w:ind w:left="142"/>
              <w:rPr>
                <w:sz w:val="22"/>
                <w:szCs w:val="22"/>
                <w:lang w:val="en-IN"/>
              </w:rPr>
            </w:pPr>
          </w:p>
        </w:tc>
        <w:tc>
          <w:tcPr>
            <w:tcW w:w="781" w:type="pct"/>
            <w:tcBorders>
              <w:top w:val="single" w:sz="4" w:space="0" w:color="000000"/>
              <w:left w:val="single" w:sz="4" w:space="0" w:color="000000"/>
              <w:bottom w:val="single" w:sz="4" w:space="0" w:color="000000"/>
              <w:right w:val="single" w:sz="4" w:space="0" w:color="000000"/>
            </w:tcBorders>
            <w:hideMark/>
          </w:tcPr>
          <w:p w14:paraId="0CC2CFE2" w14:textId="77777777" w:rsidR="00E575A9" w:rsidRPr="00E575A9" w:rsidRDefault="00E575A9" w:rsidP="00896A75">
            <w:pPr>
              <w:ind w:left="142"/>
              <w:rPr>
                <w:sz w:val="22"/>
                <w:szCs w:val="22"/>
                <w:lang w:val="en-US"/>
              </w:rPr>
            </w:pPr>
            <w:r w:rsidRPr="00E575A9">
              <w:rPr>
                <w:sz w:val="22"/>
                <w:szCs w:val="22"/>
                <w:lang w:val="en-US"/>
              </w:rPr>
              <w:t xml:space="preserve">Drug Reaction with Eosinophilia and Systemic Symptoms (DRESS)* Stevens </w:t>
            </w:r>
            <w:proofErr w:type="gramStart"/>
            <w:r w:rsidRPr="00E575A9">
              <w:rPr>
                <w:sz w:val="22"/>
                <w:szCs w:val="22"/>
                <w:lang w:val="en-US"/>
              </w:rPr>
              <w:t>-  Johnson</w:t>
            </w:r>
            <w:proofErr w:type="gramEnd"/>
            <w:r w:rsidRPr="00E575A9">
              <w:rPr>
                <w:sz w:val="22"/>
                <w:szCs w:val="22"/>
                <w:lang w:val="en-US"/>
              </w:rPr>
              <w:t xml:space="preserve"> Syndrome (SJS)*</w:t>
            </w:r>
          </w:p>
        </w:tc>
      </w:tr>
      <w:tr w:rsidR="00E575A9" w:rsidRPr="00E575A9" w14:paraId="29BE4454" w14:textId="77777777" w:rsidTr="00896A75">
        <w:trPr>
          <w:trHeight w:val="20"/>
        </w:trPr>
        <w:tc>
          <w:tcPr>
            <w:tcW w:w="1328" w:type="pct"/>
            <w:tcBorders>
              <w:top w:val="single" w:sz="4" w:space="0" w:color="000000"/>
              <w:left w:val="single" w:sz="4" w:space="0" w:color="000000"/>
              <w:bottom w:val="single" w:sz="4" w:space="0" w:color="000000"/>
              <w:right w:val="single" w:sz="4" w:space="0" w:color="000000"/>
            </w:tcBorders>
            <w:hideMark/>
          </w:tcPr>
          <w:p w14:paraId="2BBD4610" w14:textId="77777777" w:rsidR="00E575A9" w:rsidRPr="00E575A9" w:rsidRDefault="00E575A9" w:rsidP="00896A75">
            <w:pPr>
              <w:ind w:left="142"/>
              <w:rPr>
                <w:sz w:val="22"/>
                <w:szCs w:val="22"/>
                <w:lang w:val="en-US"/>
              </w:rPr>
            </w:pPr>
            <w:r w:rsidRPr="00E575A9">
              <w:rPr>
                <w:b/>
                <w:sz w:val="22"/>
                <w:szCs w:val="22"/>
                <w:lang w:val="en-US"/>
              </w:rPr>
              <w:t>Musculoskeletal and connective tissue disorders</w:t>
            </w:r>
          </w:p>
        </w:tc>
        <w:tc>
          <w:tcPr>
            <w:tcW w:w="860" w:type="pct"/>
            <w:tcBorders>
              <w:top w:val="single" w:sz="4" w:space="0" w:color="000000"/>
              <w:left w:val="single" w:sz="4" w:space="0" w:color="000000"/>
              <w:bottom w:val="single" w:sz="4" w:space="0" w:color="000000"/>
              <w:right w:val="single" w:sz="4" w:space="0" w:color="000000"/>
            </w:tcBorders>
          </w:tcPr>
          <w:p w14:paraId="173598D3" w14:textId="77777777" w:rsidR="00E575A9" w:rsidRPr="00E575A9" w:rsidRDefault="00E575A9" w:rsidP="00896A75">
            <w:pPr>
              <w:ind w:left="142"/>
              <w:rPr>
                <w:sz w:val="22"/>
                <w:szCs w:val="22"/>
                <w:lang w:val="en-IN"/>
              </w:rPr>
            </w:pPr>
          </w:p>
        </w:tc>
        <w:tc>
          <w:tcPr>
            <w:tcW w:w="1094" w:type="pct"/>
            <w:tcBorders>
              <w:top w:val="single" w:sz="4" w:space="0" w:color="000000"/>
              <w:left w:val="single" w:sz="4" w:space="0" w:color="000000"/>
              <w:bottom w:val="single" w:sz="4" w:space="0" w:color="000000"/>
              <w:right w:val="single" w:sz="4" w:space="0" w:color="000000"/>
            </w:tcBorders>
            <w:hideMark/>
          </w:tcPr>
          <w:p w14:paraId="7E34954A" w14:textId="77777777" w:rsidR="00E575A9" w:rsidRPr="00E575A9" w:rsidRDefault="00E575A9" w:rsidP="00896A75">
            <w:pPr>
              <w:ind w:left="142"/>
              <w:rPr>
                <w:sz w:val="22"/>
                <w:szCs w:val="22"/>
                <w:lang w:val="en-US"/>
              </w:rPr>
            </w:pPr>
            <w:r w:rsidRPr="00E575A9">
              <w:rPr>
                <w:sz w:val="22"/>
                <w:szCs w:val="22"/>
                <w:lang w:val="en-US"/>
              </w:rPr>
              <w:t>Back pain</w:t>
            </w:r>
          </w:p>
        </w:tc>
        <w:tc>
          <w:tcPr>
            <w:tcW w:w="938" w:type="pct"/>
            <w:tcBorders>
              <w:top w:val="single" w:sz="4" w:space="0" w:color="000000"/>
              <w:left w:val="single" w:sz="4" w:space="0" w:color="000000"/>
              <w:bottom w:val="single" w:sz="4" w:space="0" w:color="000000"/>
              <w:right w:val="single" w:sz="4" w:space="0" w:color="000000"/>
            </w:tcBorders>
          </w:tcPr>
          <w:p w14:paraId="42503264" w14:textId="77777777" w:rsidR="00E575A9" w:rsidRPr="00E575A9" w:rsidRDefault="00E575A9" w:rsidP="00896A75">
            <w:pPr>
              <w:ind w:left="142"/>
              <w:rPr>
                <w:sz w:val="22"/>
                <w:szCs w:val="22"/>
                <w:lang w:val="en-IN"/>
              </w:rPr>
            </w:pPr>
          </w:p>
        </w:tc>
        <w:tc>
          <w:tcPr>
            <w:tcW w:w="781" w:type="pct"/>
            <w:tcBorders>
              <w:top w:val="single" w:sz="4" w:space="0" w:color="000000"/>
              <w:left w:val="single" w:sz="4" w:space="0" w:color="000000"/>
              <w:bottom w:val="single" w:sz="4" w:space="0" w:color="000000"/>
              <w:right w:val="single" w:sz="4" w:space="0" w:color="000000"/>
            </w:tcBorders>
          </w:tcPr>
          <w:p w14:paraId="19A9FF92" w14:textId="77777777" w:rsidR="00E575A9" w:rsidRPr="00E575A9" w:rsidRDefault="00E575A9" w:rsidP="00896A75">
            <w:pPr>
              <w:ind w:left="142"/>
              <w:rPr>
                <w:sz w:val="22"/>
                <w:szCs w:val="22"/>
                <w:lang w:val="en-US"/>
              </w:rPr>
            </w:pPr>
          </w:p>
        </w:tc>
      </w:tr>
      <w:tr w:rsidR="00E575A9" w:rsidRPr="00E575A9" w14:paraId="49630AFB" w14:textId="77777777" w:rsidTr="00896A75">
        <w:trPr>
          <w:trHeight w:val="20"/>
        </w:trPr>
        <w:tc>
          <w:tcPr>
            <w:tcW w:w="1328" w:type="pct"/>
            <w:tcBorders>
              <w:top w:val="single" w:sz="4" w:space="0" w:color="000000"/>
              <w:left w:val="single" w:sz="4" w:space="0" w:color="000000"/>
              <w:bottom w:val="single" w:sz="4" w:space="0" w:color="000000"/>
              <w:right w:val="single" w:sz="4" w:space="0" w:color="000000"/>
            </w:tcBorders>
            <w:hideMark/>
          </w:tcPr>
          <w:p w14:paraId="03501E84" w14:textId="77777777" w:rsidR="00E575A9" w:rsidRPr="00E575A9" w:rsidRDefault="00E575A9" w:rsidP="00896A75">
            <w:pPr>
              <w:ind w:left="142"/>
              <w:rPr>
                <w:sz w:val="22"/>
                <w:szCs w:val="22"/>
                <w:lang w:val="en-US"/>
              </w:rPr>
            </w:pPr>
            <w:r w:rsidRPr="00E575A9">
              <w:rPr>
                <w:b/>
                <w:sz w:val="22"/>
                <w:szCs w:val="22"/>
                <w:lang w:val="en-US"/>
              </w:rPr>
              <w:t>General disorders</w:t>
            </w:r>
          </w:p>
        </w:tc>
        <w:tc>
          <w:tcPr>
            <w:tcW w:w="860" w:type="pct"/>
            <w:tcBorders>
              <w:top w:val="single" w:sz="4" w:space="0" w:color="000000"/>
              <w:left w:val="single" w:sz="4" w:space="0" w:color="000000"/>
              <w:bottom w:val="single" w:sz="4" w:space="0" w:color="000000"/>
              <w:right w:val="single" w:sz="4" w:space="0" w:color="000000"/>
            </w:tcBorders>
          </w:tcPr>
          <w:p w14:paraId="33AF52D2" w14:textId="77777777" w:rsidR="00E575A9" w:rsidRPr="00E575A9" w:rsidRDefault="00E575A9" w:rsidP="00896A75">
            <w:pPr>
              <w:ind w:left="142"/>
              <w:rPr>
                <w:sz w:val="22"/>
                <w:szCs w:val="22"/>
                <w:lang w:val="en-IN"/>
              </w:rPr>
            </w:pPr>
          </w:p>
        </w:tc>
        <w:tc>
          <w:tcPr>
            <w:tcW w:w="1094" w:type="pct"/>
            <w:tcBorders>
              <w:top w:val="single" w:sz="4" w:space="0" w:color="000000"/>
              <w:left w:val="single" w:sz="4" w:space="0" w:color="000000"/>
              <w:bottom w:val="single" w:sz="4" w:space="0" w:color="000000"/>
              <w:right w:val="single" w:sz="4" w:space="0" w:color="000000"/>
            </w:tcBorders>
            <w:hideMark/>
          </w:tcPr>
          <w:p w14:paraId="680903DA" w14:textId="77777777" w:rsidR="00E575A9" w:rsidRPr="00E575A9" w:rsidRDefault="00E575A9" w:rsidP="00896A75">
            <w:pPr>
              <w:ind w:left="142"/>
              <w:rPr>
                <w:sz w:val="22"/>
                <w:szCs w:val="22"/>
                <w:lang w:val="en-US"/>
              </w:rPr>
            </w:pPr>
            <w:r w:rsidRPr="00E575A9">
              <w:rPr>
                <w:sz w:val="22"/>
                <w:szCs w:val="22"/>
                <w:lang w:val="en-US"/>
              </w:rPr>
              <w:t>Gait disturbance Fatigue</w:t>
            </w:r>
          </w:p>
        </w:tc>
        <w:tc>
          <w:tcPr>
            <w:tcW w:w="938" w:type="pct"/>
            <w:tcBorders>
              <w:top w:val="single" w:sz="4" w:space="0" w:color="000000"/>
              <w:left w:val="single" w:sz="4" w:space="0" w:color="000000"/>
              <w:bottom w:val="single" w:sz="4" w:space="0" w:color="000000"/>
              <w:right w:val="single" w:sz="4" w:space="0" w:color="000000"/>
            </w:tcBorders>
          </w:tcPr>
          <w:p w14:paraId="3CE5B091" w14:textId="77777777" w:rsidR="00E575A9" w:rsidRPr="00E575A9" w:rsidRDefault="00E575A9" w:rsidP="00896A75">
            <w:pPr>
              <w:ind w:left="142"/>
              <w:rPr>
                <w:sz w:val="22"/>
                <w:szCs w:val="22"/>
                <w:lang w:val="en-IN"/>
              </w:rPr>
            </w:pPr>
          </w:p>
        </w:tc>
        <w:tc>
          <w:tcPr>
            <w:tcW w:w="781" w:type="pct"/>
            <w:tcBorders>
              <w:top w:val="single" w:sz="4" w:space="0" w:color="000000"/>
              <w:left w:val="single" w:sz="4" w:space="0" w:color="000000"/>
              <w:bottom w:val="single" w:sz="4" w:space="0" w:color="000000"/>
              <w:right w:val="single" w:sz="4" w:space="0" w:color="000000"/>
            </w:tcBorders>
          </w:tcPr>
          <w:p w14:paraId="52B37381" w14:textId="77777777" w:rsidR="00E575A9" w:rsidRPr="00E575A9" w:rsidRDefault="00E575A9" w:rsidP="00896A75">
            <w:pPr>
              <w:ind w:left="142"/>
              <w:rPr>
                <w:sz w:val="22"/>
                <w:szCs w:val="22"/>
                <w:lang w:val="en-US"/>
              </w:rPr>
            </w:pPr>
          </w:p>
        </w:tc>
      </w:tr>
      <w:tr w:rsidR="00E575A9" w:rsidRPr="00E575A9" w14:paraId="62F4C2E4" w14:textId="77777777" w:rsidTr="00896A75">
        <w:trPr>
          <w:trHeight w:val="20"/>
        </w:trPr>
        <w:tc>
          <w:tcPr>
            <w:tcW w:w="1328" w:type="pct"/>
            <w:tcBorders>
              <w:top w:val="single" w:sz="4" w:space="0" w:color="000000"/>
              <w:left w:val="single" w:sz="4" w:space="0" w:color="000000"/>
              <w:bottom w:val="single" w:sz="4" w:space="0" w:color="000000"/>
              <w:right w:val="single" w:sz="4" w:space="0" w:color="000000"/>
            </w:tcBorders>
            <w:hideMark/>
          </w:tcPr>
          <w:p w14:paraId="77A92755" w14:textId="77777777" w:rsidR="00E575A9" w:rsidRPr="00E575A9" w:rsidRDefault="00E575A9" w:rsidP="00896A75">
            <w:pPr>
              <w:ind w:left="142"/>
              <w:rPr>
                <w:sz w:val="22"/>
                <w:szCs w:val="22"/>
                <w:lang w:val="en-US"/>
              </w:rPr>
            </w:pPr>
            <w:r w:rsidRPr="00E575A9">
              <w:rPr>
                <w:b/>
                <w:sz w:val="22"/>
                <w:szCs w:val="22"/>
                <w:lang w:val="en-US"/>
              </w:rPr>
              <w:t>Investigations</w:t>
            </w:r>
          </w:p>
        </w:tc>
        <w:tc>
          <w:tcPr>
            <w:tcW w:w="860" w:type="pct"/>
            <w:tcBorders>
              <w:top w:val="single" w:sz="4" w:space="0" w:color="000000"/>
              <w:left w:val="single" w:sz="4" w:space="0" w:color="000000"/>
              <w:bottom w:val="single" w:sz="4" w:space="0" w:color="000000"/>
              <w:right w:val="single" w:sz="4" w:space="0" w:color="000000"/>
            </w:tcBorders>
          </w:tcPr>
          <w:p w14:paraId="2F56D427" w14:textId="77777777" w:rsidR="00E575A9" w:rsidRPr="00E575A9" w:rsidRDefault="00E575A9" w:rsidP="00896A75">
            <w:pPr>
              <w:ind w:left="142"/>
              <w:rPr>
                <w:sz w:val="22"/>
                <w:szCs w:val="22"/>
                <w:lang w:val="en-IN"/>
              </w:rPr>
            </w:pPr>
          </w:p>
        </w:tc>
        <w:tc>
          <w:tcPr>
            <w:tcW w:w="1094" w:type="pct"/>
            <w:tcBorders>
              <w:top w:val="single" w:sz="4" w:space="0" w:color="000000"/>
              <w:left w:val="single" w:sz="4" w:space="0" w:color="000000"/>
              <w:bottom w:val="single" w:sz="4" w:space="0" w:color="000000"/>
              <w:right w:val="single" w:sz="4" w:space="0" w:color="000000"/>
            </w:tcBorders>
            <w:hideMark/>
          </w:tcPr>
          <w:p w14:paraId="3115A1C7" w14:textId="77777777" w:rsidR="00E575A9" w:rsidRPr="00E575A9" w:rsidRDefault="00E575A9" w:rsidP="00896A75">
            <w:pPr>
              <w:ind w:left="142"/>
              <w:rPr>
                <w:sz w:val="22"/>
                <w:szCs w:val="22"/>
                <w:lang w:val="en-US"/>
              </w:rPr>
            </w:pPr>
            <w:r w:rsidRPr="00E575A9">
              <w:rPr>
                <w:sz w:val="22"/>
                <w:szCs w:val="22"/>
                <w:lang w:val="en-US"/>
              </w:rPr>
              <w:t>Weight increased</w:t>
            </w:r>
          </w:p>
        </w:tc>
        <w:tc>
          <w:tcPr>
            <w:tcW w:w="938" w:type="pct"/>
            <w:tcBorders>
              <w:top w:val="single" w:sz="4" w:space="0" w:color="000000"/>
              <w:left w:val="single" w:sz="4" w:space="0" w:color="000000"/>
              <w:bottom w:val="single" w:sz="4" w:space="0" w:color="000000"/>
              <w:right w:val="single" w:sz="4" w:space="0" w:color="000000"/>
            </w:tcBorders>
          </w:tcPr>
          <w:p w14:paraId="25EC1F51" w14:textId="77777777" w:rsidR="00E575A9" w:rsidRPr="00E575A9" w:rsidRDefault="00E575A9" w:rsidP="00896A75">
            <w:pPr>
              <w:ind w:left="142"/>
              <w:rPr>
                <w:sz w:val="22"/>
                <w:szCs w:val="22"/>
                <w:lang w:val="en-IN"/>
              </w:rPr>
            </w:pPr>
          </w:p>
        </w:tc>
        <w:tc>
          <w:tcPr>
            <w:tcW w:w="781" w:type="pct"/>
            <w:tcBorders>
              <w:top w:val="single" w:sz="4" w:space="0" w:color="000000"/>
              <w:left w:val="single" w:sz="4" w:space="0" w:color="000000"/>
              <w:bottom w:val="single" w:sz="4" w:space="0" w:color="000000"/>
              <w:right w:val="single" w:sz="4" w:space="0" w:color="000000"/>
            </w:tcBorders>
          </w:tcPr>
          <w:p w14:paraId="6E7A3FF6" w14:textId="77777777" w:rsidR="00E575A9" w:rsidRPr="00E575A9" w:rsidRDefault="00E575A9" w:rsidP="00896A75">
            <w:pPr>
              <w:ind w:left="142"/>
              <w:rPr>
                <w:sz w:val="22"/>
                <w:szCs w:val="22"/>
                <w:lang w:val="en-US"/>
              </w:rPr>
            </w:pPr>
          </w:p>
        </w:tc>
      </w:tr>
      <w:tr w:rsidR="00E575A9" w:rsidRPr="00E575A9" w14:paraId="0E5A411C" w14:textId="77777777" w:rsidTr="00896A75">
        <w:trPr>
          <w:trHeight w:val="20"/>
        </w:trPr>
        <w:tc>
          <w:tcPr>
            <w:tcW w:w="1328" w:type="pct"/>
            <w:tcBorders>
              <w:top w:val="single" w:sz="4" w:space="0" w:color="000000"/>
              <w:left w:val="single" w:sz="4" w:space="0" w:color="000000"/>
              <w:bottom w:val="single" w:sz="4" w:space="0" w:color="000000"/>
              <w:right w:val="single" w:sz="4" w:space="0" w:color="000000"/>
            </w:tcBorders>
            <w:hideMark/>
          </w:tcPr>
          <w:p w14:paraId="62E58EDA" w14:textId="77777777" w:rsidR="00E575A9" w:rsidRPr="00E575A9" w:rsidRDefault="00E575A9" w:rsidP="00896A75">
            <w:pPr>
              <w:ind w:left="142"/>
              <w:rPr>
                <w:sz w:val="22"/>
                <w:szCs w:val="22"/>
                <w:lang w:val="en-US"/>
              </w:rPr>
            </w:pPr>
            <w:r w:rsidRPr="00E575A9">
              <w:rPr>
                <w:b/>
                <w:sz w:val="22"/>
                <w:szCs w:val="22"/>
                <w:lang w:val="en-US"/>
              </w:rPr>
              <w:t>Injury, poisoning and procedural complications</w:t>
            </w:r>
          </w:p>
        </w:tc>
        <w:tc>
          <w:tcPr>
            <w:tcW w:w="860" w:type="pct"/>
            <w:tcBorders>
              <w:top w:val="single" w:sz="4" w:space="0" w:color="000000"/>
              <w:left w:val="single" w:sz="4" w:space="0" w:color="000000"/>
              <w:bottom w:val="single" w:sz="4" w:space="0" w:color="000000"/>
              <w:right w:val="single" w:sz="4" w:space="0" w:color="000000"/>
            </w:tcBorders>
          </w:tcPr>
          <w:p w14:paraId="1BA61BDC" w14:textId="77777777" w:rsidR="00E575A9" w:rsidRPr="00E575A9" w:rsidRDefault="00E575A9" w:rsidP="00896A75">
            <w:pPr>
              <w:ind w:left="142"/>
              <w:rPr>
                <w:sz w:val="22"/>
                <w:szCs w:val="22"/>
                <w:lang w:val="en-IN"/>
              </w:rPr>
            </w:pPr>
          </w:p>
        </w:tc>
        <w:tc>
          <w:tcPr>
            <w:tcW w:w="1094" w:type="pct"/>
            <w:tcBorders>
              <w:top w:val="single" w:sz="4" w:space="0" w:color="000000"/>
              <w:left w:val="single" w:sz="4" w:space="0" w:color="000000"/>
              <w:bottom w:val="single" w:sz="4" w:space="0" w:color="000000"/>
              <w:right w:val="single" w:sz="4" w:space="0" w:color="000000"/>
            </w:tcBorders>
            <w:hideMark/>
          </w:tcPr>
          <w:p w14:paraId="4E879885" w14:textId="77777777" w:rsidR="00E575A9" w:rsidRPr="00E575A9" w:rsidRDefault="00E575A9" w:rsidP="00896A75">
            <w:pPr>
              <w:ind w:left="142"/>
              <w:rPr>
                <w:sz w:val="22"/>
                <w:szCs w:val="22"/>
                <w:lang w:val="en-US"/>
              </w:rPr>
            </w:pPr>
            <w:r w:rsidRPr="00E575A9">
              <w:rPr>
                <w:sz w:val="22"/>
                <w:szCs w:val="22"/>
                <w:lang w:val="en-US"/>
              </w:rPr>
              <w:t>Fall</w:t>
            </w:r>
          </w:p>
        </w:tc>
        <w:tc>
          <w:tcPr>
            <w:tcW w:w="938" w:type="pct"/>
            <w:tcBorders>
              <w:top w:val="single" w:sz="4" w:space="0" w:color="000000"/>
              <w:left w:val="single" w:sz="4" w:space="0" w:color="000000"/>
              <w:bottom w:val="single" w:sz="4" w:space="0" w:color="000000"/>
              <w:right w:val="single" w:sz="4" w:space="0" w:color="000000"/>
            </w:tcBorders>
          </w:tcPr>
          <w:p w14:paraId="42F2F8BD" w14:textId="77777777" w:rsidR="00E575A9" w:rsidRPr="00E575A9" w:rsidRDefault="00E575A9" w:rsidP="00896A75">
            <w:pPr>
              <w:ind w:left="142"/>
              <w:rPr>
                <w:sz w:val="22"/>
                <w:szCs w:val="22"/>
                <w:lang w:val="en-IN"/>
              </w:rPr>
            </w:pPr>
          </w:p>
        </w:tc>
        <w:tc>
          <w:tcPr>
            <w:tcW w:w="781" w:type="pct"/>
            <w:tcBorders>
              <w:top w:val="single" w:sz="4" w:space="0" w:color="000000"/>
              <w:left w:val="single" w:sz="4" w:space="0" w:color="000000"/>
              <w:bottom w:val="single" w:sz="4" w:space="0" w:color="000000"/>
              <w:right w:val="single" w:sz="4" w:space="0" w:color="000000"/>
            </w:tcBorders>
          </w:tcPr>
          <w:p w14:paraId="7E3D3D01" w14:textId="77777777" w:rsidR="00E575A9" w:rsidRPr="00E575A9" w:rsidRDefault="00E575A9" w:rsidP="00896A75">
            <w:pPr>
              <w:ind w:left="142"/>
              <w:rPr>
                <w:sz w:val="22"/>
                <w:szCs w:val="22"/>
                <w:lang w:val="en-US"/>
              </w:rPr>
            </w:pPr>
          </w:p>
        </w:tc>
      </w:tr>
    </w:tbl>
    <w:p w14:paraId="37807875" w14:textId="11C3843F" w:rsidR="00E575A9" w:rsidRPr="00E575A9" w:rsidRDefault="00E575A9" w:rsidP="003C1B3B">
      <w:pPr>
        <w:ind w:left="284" w:hanging="284"/>
        <w:rPr>
          <w:sz w:val="24"/>
          <w:szCs w:val="24"/>
          <w:lang w:val="en-IN"/>
        </w:rPr>
      </w:pPr>
      <w:r w:rsidRPr="00E575A9">
        <w:rPr>
          <w:sz w:val="24"/>
          <w:szCs w:val="24"/>
          <w:lang w:val="en-IN"/>
        </w:rPr>
        <w:t xml:space="preserve">* </w:t>
      </w:r>
      <w:r w:rsidR="003C1B3B">
        <w:rPr>
          <w:sz w:val="24"/>
          <w:szCs w:val="24"/>
          <w:lang w:val="en-IN"/>
        </w:rPr>
        <w:tab/>
      </w:r>
      <w:r w:rsidRPr="00E575A9">
        <w:rPr>
          <w:sz w:val="24"/>
          <w:szCs w:val="24"/>
          <w:lang w:val="en-IN"/>
        </w:rPr>
        <w:t>See section 4.4</w:t>
      </w:r>
    </w:p>
    <w:p w14:paraId="5699FD90" w14:textId="77777777" w:rsidR="00E575A9" w:rsidRPr="00032D7E" w:rsidRDefault="00E575A9" w:rsidP="00896A75">
      <w:pPr>
        <w:ind w:left="851"/>
        <w:rPr>
          <w:sz w:val="24"/>
          <w:szCs w:val="24"/>
          <w:lang w:val="en-IN"/>
        </w:rPr>
      </w:pPr>
    </w:p>
    <w:p w14:paraId="6CA16E14" w14:textId="77777777" w:rsidR="00E575A9" w:rsidRPr="00032D7E" w:rsidRDefault="00E575A9" w:rsidP="00896A75">
      <w:pPr>
        <w:ind w:left="851"/>
        <w:rPr>
          <w:sz w:val="24"/>
          <w:szCs w:val="24"/>
          <w:u w:val="single"/>
          <w:lang w:val="en-IN"/>
        </w:rPr>
      </w:pPr>
      <w:r w:rsidRPr="00032D7E">
        <w:rPr>
          <w:sz w:val="24"/>
          <w:szCs w:val="24"/>
          <w:u w:val="single"/>
          <w:lang w:val="en-IN"/>
        </w:rPr>
        <w:t xml:space="preserve">Paediatric population </w:t>
      </w:r>
    </w:p>
    <w:p w14:paraId="0808DD45" w14:textId="77777777" w:rsidR="00E575A9" w:rsidRPr="00032D7E" w:rsidRDefault="00E575A9" w:rsidP="00896A75">
      <w:pPr>
        <w:ind w:left="851"/>
        <w:rPr>
          <w:sz w:val="24"/>
          <w:szCs w:val="24"/>
          <w:lang w:val="en-IN"/>
        </w:rPr>
      </w:pPr>
    </w:p>
    <w:p w14:paraId="571D5809" w14:textId="77777777" w:rsidR="00E575A9" w:rsidRPr="00032D7E" w:rsidRDefault="00E575A9" w:rsidP="00896A75">
      <w:pPr>
        <w:ind w:left="851"/>
        <w:rPr>
          <w:sz w:val="24"/>
          <w:szCs w:val="24"/>
          <w:lang w:val="en-IN"/>
        </w:rPr>
      </w:pPr>
      <w:r w:rsidRPr="00032D7E">
        <w:rPr>
          <w:sz w:val="24"/>
          <w:szCs w:val="24"/>
          <w:lang w:val="en-IN"/>
        </w:rPr>
        <w:t xml:space="preserve">Based on the clinical trial database of 196 adolescents exposed to </w:t>
      </w:r>
      <w:proofErr w:type="spellStart"/>
      <w:r w:rsidRPr="00032D7E">
        <w:rPr>
          <w:sz w:val="24"/>
          <w:szCs w:val="24"/>
          <w:lang w:val="en-IN"/>
        </w:rPr>
        <w:t>perampanel</w:t>
      </w:r>
      <w:proofErr w:type="spellEnd"/>
      <w:r w:rsidRPr="00032D7E">
        <w:rPr>
          <w:sz w:val="24"/>
          <w:szCs w:val="24"/>
          <w:lang w:val="en-IN"/>
        </w:rPr>
        <w:t xml:space="preserve"> from double-blind studies for partial-onset seizures and primary generalised tonic-clonic seizures, the overall safety profile in adolescents was </w:t>
      </w:r>
      <w:proofErr w:type="gramStart"/>
      <w:r w:rsidRPr="00032D7E">
        <w:rPr>
          <w:sz w:val="24"/>
          <w:szCs w:val="24"/>
          <w:lang w:val="en-IN"/>
        </w:rPr>
        <w:t>similar to</w:t>
      </w:r>
      <w:proofErr w:type="gramEnd"/>
      <w:r w:rsidRPr="00032D7E">
        <w:rPr>
          <w:sz w:val="24"/>
          <w:szCs w:val="24"/>
          <w:lang w:val="en-IN"/>
        </w:rPr>
        <w:t xml:space="preserve"> that of adults, except for aggression, which was observed more frequently in adolescents than in adults. </w:t>
      </w:r>
    </w:p>
    <w:p w14:paraId="1BC74569" w14:textId="77777777" w:rsidR="00E575A9" w:rsidRPr="00032D7E" w:rsidRDefault="00E575A9" w:rsidP="00896A75">
      <w:pPr>
        <w:ind w:left="851"/>
        <w:rPr>
          <w:sz w:val="24"/>
          <w:szCs w:val="24"/>
          <w:lang w:val="en-IN"/>
        </w:rPr>
      </w:pPr>
    </w:p>
    <w:p w14:paraId="46BE9573" w14:textId="77777777" w:rsidR="00E575A9" w:rsidRPr="00032D7E" w:rsidRDefault="00E575A9" w:rsidP="00896A75">
      <w:pPr>
        <w:ind w:left="851"/>
        <w:rPr>
          <w:sz w:val="24"/>
          <w:szCs w:val="24"/>
          <w:lang w:val="en-IN"/>
        </w:rPr>
      </w:pPr>
      <w:r w:rsidRPr="00032D7E">
        <w:rPr>
          <w:sz w:val="24"/>
          <w:szCs w:val="24"/>
          <w:lang w:val="en-IN"/>
        </w:rPr>
        <w:t xml:space="preserve">Based on the clinical trial database of 180 paediatric patients exposed to </w:t>
      </w:r>
      <w:proofErr w:type="spellStart"/>
      <w:r w:rsidRPr="00032D7E">
        <w:rPr>
          <w:sz w:val="24"/>
          <w:szCs w:val="24"/>
          <w:lang w:val="en-IN"/>
        </w:rPr>
        <w:t>perampanel</w:t>
      </w:r>
      <w:proofErr w:type="spellEnd"/>
      <w:r w:rsidRPr="00032D7E">
        <w:rPr>
          <w:sz w:val="24"/>
          <w:szCs w:val="24"/>
          <w:lang w:val="en-IN"/>
        </w:rPr>
        <w:t xml:space="preserve"> from a multicentre, open label study, the overall safety profile in children was </w:t>
      </w:r>
      <w:proofErr w:type="gramStart"/>
      <w:r w:rsidRPr="00032D7E">
        <w:rPr>
          <w:sz w:val="24"/>
          <w:szCs w:val="24"/>
          <w:lang w:val="en-IN"/>
        </w:rPr>
        <w:t>similar to</w:t>
      </w:r>
      <w:proofErr w:type="gramEnd"/>
      <w:r w:rsidRPr="00032D7E">
        <w:rPr>
          <w:sz w:val="24"/>
          <w:szCs w:val="24"/>
          <w:lang w:val="en-IN"/>
        </w:rPr>
        <w:t xml:space="preserve"> that established for adolescents and adults, except for somnolence, irritability, aggression, and agitation which were observed more frequently in the paediatric study compared to studies in adolescents and adults. </w:t>
      </w:r>
    </w:p>
    <w:p w14:paraId="1878417C" w14:textId="77777777" w:rsidR="00E575A9" w:rsidRPr="00032D7E" w:rsidRDefault="00E575A9" w:rsidP="00896A75">
      <w:pPr>
        <w:ind w:left="851"/>
        <w:rPr>
          <w:sz w:val="24"/>
          <w:szCs w:val="24"/>
          <w:lang w:val="en-IN"/>
        </w:rPr>
      </w:pPr>
    </w:p>
    <w:p w14:paraId="5874EA51" w14:textId="77777777" w:rsidR="00E575A9" w:rsidRPr="00032D7E" w:rsidRDefault="00E575A9" w:rsidP="00896A75">
      <w:pPr>
        <w:ind w:left="851"/>
        <w:rPr>
          <w:sz w:val="24"/>
          <w:szCs w:val="24"/>
          <w:lang w:val="en-IN"/>
        </w:rPr>
      </w:pPr>
      <w:r w:rsidRPr="00032D7E">
        <w:rPr>
          <w:sz w:val="24"/>
          <w:szCs w:val="24"/>
          <w:lang w:val="en-IN"/>
        </w:rPr>
        <w:t xml:space="preserve">Available data in children did not suggest any clinically significant effects of </w:t>
      </w:r>
      <w:proofErr w:type="spellStart"/>
      <w:r w:rsidRPr="00032D7E">
        <w:rPr>
          <w:sz w:val="24"/>
          <w:szCs w:val="24"/>
          <w:lang w:val="en-IN"/>
        </w:rPr>
        <w:t>perampanel</w:t>
      </w:r>
      <w:proofErr w:type="spellEnd"/>
      <w:r w:rsidRPr="00032D7E">
        <w:rPr>
          <w:sz w:val="24"/>
          <w:szCs w:val="24"/>
          <w:lang w:val="en-IN"/>
        </w:rPr>
        <w:t xml:space="preserve"> on growth and development parameters including body weight, height, thyroid function, insulin-like growth factor-1 (IGF-1) level, cognition (as assessed by Aldenkamp-Baker neuropsychological assessment schedule [ABNAS]), behaviour (as assessed by Child </w:t>
      </w:r>
      <w:proofErr w:type="spellStart"/>
      <w:r w:rsidRPr="00032D7E">
        <w:rPr>
          <w:sz w:val="24"/>
          <w:szCs w:val="24"/>
          <w:lang w:val="en-IN"/>
        </w:rPr>
        <w:t>Behavior</w:t>
      </w:r>
      <w:proofErr w:type="spellEnd"/>
      <w:r w:rsidRPr="00032D7E">
        <w:rPr>
          <w:sz w:val="24"/>
          <w:szCs w:val="24"/>
          <w:lang w:val="en-IN"/>
        </w:rPr>
        <w:t xml:space="preserve"> Checklist [CBCL]), and dexterity (as assessed by Lafayette Grooved Pegboard Test [LGPT]). However, long term effects [greater than 1 year] on learning, intelligence, growth, endocrine function, and puberty in children remain unknown. </w:t>
      </w:r>
    </w:p>
    <w:p w14:paraId="184E0F14" w14:textId="77777777" w:rsidR="00E575A9" w:rsidRPr="00032D7E" w:rsidRDefault="00E575A9" w:rsidP="00896A75">
      <w:pPr>
        <w:ind w:left="851"/>
        <w:rPr>
          <w:sz w:val="24"/>
          <w:szCs w:val="24"/>
          <w:lang w:val="en-IN"/>
        </w:rPr>
      </w:pPr>
    </w:p>
    <w:p w14:paraId="6A42E00D" w14:textId="77777777" w:rsidR="00FA3EAA" w:rsidRPr="00FA3EAA" w:rsidRDefault="00FA3EAA" w:rsidP="00FA3EAA">
      <w:pPr>
        <w:tabs>
          <w:tab w:val="left" w:pos="851"/>
        </w:tabs>
        <w:ind w:left="851"/>
        <w:rPr>
          <w:sz w:val="24"/>
          <w:szCs w:val="24"/>
          <w:u w:val="single"/>
          <w:lang w:val="en-GB"/>
        </w:rPr>
      </w:pPr>
      <w:r w:rsidRPr="00FA3EAA">
        <w:rPr>
          <w:sz w:val="24"/>
          <w:szCs w:val="24"/>
          <w:u w:val="single"/>
          <w:lang w:val="en-GB"/>
        </w:rPr>
        <w:t>Reporting of suspected adverse reactions</w:t>
      </w:r>
    </w:p>
    <w:p w14:paraId="229A3EC5" w14:textId="77777777" w:rsidR="00FA3EAA" w:rsidRPr="00FA3EAA" w:rsidRDefault="00FA3EAA" w:rsidP="00FA3EAA">
      <w:pPr>
        <w:tabs>
          <w:tab w:val="left" w:pos="851"/>
        </w:tabs>
        <w:ind w:left="851"/>
        <w:rPr>
          <w:sz w:val="24"/>
          <w:szCs w:val="24"/>
          <w:lang w:val="en-GB"/>
        </w:rPr>
      </w:pPr>
      <w:r w:rsidRPr="00FA3EAA">
        <w:rPr>
          <w:sz w:val="24"/>
          <w:szCs w:val="24"/>
          <w:lang w:val="en-GB"/>
        </w:rPr>
        <w:t>Reporting suspected adverse reactions after authorisation of the medicinal product is important. It allows continued monitoring of the benefit/risk balance of the medicinal product. Healthcare professionals are asked to report any suspected adverse reactions via:</w:t>
      </w:r>
    </w:p>
    <w:p w14:paraId="1266E290" w14:textId="77777777" w:rsidR="00FA3EAA" w:rsidRPr="00FA3EAA" w:rsidRDefault="00FA3EAA" w:rsidP="00FA3EAA">
      <w:pPr>
        <w:tabs>
          <w:tab w:val="left" w:pos="851"/>
        </w:tabs>
        <w:ind w:left="851"/>
        <w:rPr>
          <w:sz w:val="24"/>
          <w:szCs w:val="24"/>
          <w:lang w:val="en-GB"/>
        </w:rPr>
      </w:pPr>
    </w:p>
    <w:p w14:paraId="100E5D5F" w14:textId="77777777" w:rsidR="00FA3EAA" w:rsidRPr="00FA3EAA" w:rsidRDefault="00FA3EAA" w:rsidP="00FA3EAA">
      <w:pPr>
        <w:tabs>
          <w:tab w:val="left" w:pos="851"/>
        </w:tabs>
        <w:ind w:left="851"/>
        <w:rPr>
          <w:sz w:val="24"/>
          <w:szCs w:val="24"/>
        </w:rPr>
      </w:pPr>
      <w:r w:rsidRPr="00FA3EAA">
        <w:rPr>
          <w:sz w:val="24"/>
          <w:szCs w:val="24"/>
        </w:rPr>
        <w:t>Lægemiddelstyrelsen</w:t>
      </w:r>
    </w:p>
    <w:p w14:paraId="1220BBB0" w14:textId="77777777" w:rsidR="00FA3EAA" w:rsidRPr="00FA3EAA" w:rsidRDefault="00FA3EAA" w:rsidP="00FA3EAA">
      <w:pPr>
        <w:tabs>
          <w:tab w:val="left" w:pos="851"/>
        </w:tabs>
        <w:ind w:left="851"/>
        <w:rPr>
          <w:sz w:val="24"/>
          <w:szCs w:val="24"/>
        </w:rPr>
      </w:pPr>
      <w:r w:rsidRPr="00FA3EAA">
        <w:rPr>
          <w:sz w:val="24"/>
          <w:szCs w:val="24"/>
        </w:rPr>
        <w:t>Axel Heides Gade 1</w:t>
      </w:r>
    </w:p>
    <w:p w14:paraId="0CCD0EEE" w14:textId="77777777" w:rsidR="00FA3EAA" w:rsidRPr="00FA3EAA" w:rsidRDefault="00FA3EAA" w:rsidP="00FA3EAA">
      <w:pPr>
        <w:tabs>
          <w:tab w:val="left" w:pos="851"/>
        </w:tabs>
        <w:ind w:left="851"/>
        <w:rPr>
          <w:sz w:val="24"/>
          <w:szCs w:val="24"/>
        </w:rPr>
      </w:pPr>
      <w:r w:rsidRPr="00FA3EAA">
        <w:rPr>
          <w:sz w:val="24"/>
          <w:szCs w:val="24"/>
        </w:rPr>
        <w:t>DK-2300 København S</w:t>
      </w:r>
    </w:p>
    <w:p w14:paraId="31C27895" w14:textId="77777777" w:rsidR="00FA3EAA" w:rsidRPr="006F220B" w:rsidRDefault="00FA3EAA" w:rsidP="00FA3EAA">
      <w:pPr>
        <w:tabs>
          <w:tab w:val="left" w:pos="851"/>
        </w:tabs>
        <w:ind w:left="851"/>
        <w:rPr>
          <w:sz w:val="24"/>
          <w:szCs w:val="24"/>
          <w:lang w:val="en-US"/>
        </w:rPr>
      </w:pPr>
      <w:r w:rsidRPr="006F220B">
        <w:rPr>
          <w:sz w:val="24"/>
          <w:szCs w:val="24"/>
          <w:lang w:val="en-US"/>
        </w:rPr>
        <w:t>Website: www.meldenbivirkning.dk</w:t>
      </w:r>
    </w:p>
    <w:p w14:paraId="59C49CEE" w14:textId="2FB0E3F6" w:rsidR="00FE0AD1" w:rsidRDefault="00FE0AD1">
      <w:pPr>
        <w:rPr>
          <w:sz w:val="24"/>
          <w:szCs w:val="24"/>
          <w:lang w:val="en-IN"/>
        </w:rPr>
      </w:pPr>
      <w:r>
        <w:rPr>
          <w:sz w:val="24"/>
          <w:szCs w:val="24"/>
          <w:lang w:val="en-IN"/>
        </w:rPr>
        <w:br w:type="page"/>
      </w:r>
    </w:p>
    <w:p w14:paraId="30262B0F" w14:textId="77777777" w:rsidR="007C5D2A" w:rsidRPr="00032D7E" w:rsidRDefault="007C5D2A" w:rsidP="007A4CC6">
      <w:pPr>
        <w:tabs>
          <w:tab w:val="left" w:pos="851"/>
        </w:tabs>
        <w:ind w:left="851"/>
        <w:rPr>
          <w:sz w:val="24"/>
          <w:szCs w:val="24"/>
          <w:lang w:val="en-IN"/>
        </w:rPr>
      </w:pPr>
    </w:p>
    <w:p w14:paraId="66C53BE9" w14:textId="77777777" w:rsidR="007C5D2A" w:rsidRPr="00032D7E" w:rsidRDefault="007C5D2A" w:rsidP="007C5D2A">
      <w:pPr>
        <w:tabs>
          <w:tab w:val="left" w:pos="851"/>
        </w:tabs>
        <w:ind w:left="851" w:hanging="851"/>
        <w:rPr>
          <w:b/>
          <w:sz w:val="24"/>
          <w:szCs w:val="24"/>
          <w:lang w:val="en-GB"/>
        </w:rPr>
      </w:pPr>
      <w:r w:rsidRPr="00032D7E">
        <w:rPr>
          <w:b/>
          <w:sz w:val="24"/>
          <w:szCs w:val="24"/>
          <w:lang w:val="en-GB"/>
        </w:rPr>
        <w:t>4.9</w:t>
      </w:r>
      <w:r w:rsidRPr="00032D7E">
        <w:rPr>
          <w:b/>
          <w:sz w:val="24"/>
          <w:szCs w:val="24"/>
          <w:lang w:val="en-GB"/>
        </w:rPr>
        <w:tab/>
        <w:t>Overdose</w:t>
      </w:r>
    </w:p>
    <w:p w14:paraId="78019CEB" w14:textId="3EE99614" w:rsidR="00E575A9" w:rsidRPr="00032D7E" w:rsidRDefault="00E575A9" w:rsidP="00FA3EAA">
      <w:pPr>
        <w:ind w:left="851"/>
        <w:rPr>
          <w:sz w:val="24"/>
          <w:szCs w:val="24"/>
          <w:lang w:val="en-IN"/>
        </w:rPr>
      </w:pPr>
      <w:r w:rsidRPr="00032D7E">
        <w:rPr>
          <w:sz w:val="24"/>
          <w:szCs w:val="24"/>
          <w:lang w:val="en-IN"/>
        </w:rPr>
        <w:t xml:space="preserve">There have been post-marketing cases of intentional and accidental overdose in paediatric patients with doses of </w:t>
      </w:r>
      <w:proofErr w:type="spellStart"/>
      <w:r w:rsidRPr="00032D7E">
        <w:rPr>
          <w:sz w:val="24"/>
          <w:szCs w:val="24"/>
          <w:lang w:val="en-IN"/>
        </w:rPr>
        <w:t>perampanel</w:t>
      </w:r>
      <w:proofErr w:type="spellEnd"/>
      <w:r w:rsidRPr="00032D7E">
        <w:rPr>
          <w:sz w:val="24"/>
          <w:szCs w:val="24"/>
          <w:lang w:val="en-IN"/>
        </w:rPr>
        <w:t xml:space="preserve"> up to 36 mg and in adult patients with doses up to 300</w:t>
      </w:r>
      <w:r w:rsidR="00FE0AD1">
        <w:rPr>
          <w:sz w:val="24"/>
          <w:szCs w:val="24"/>
          <w:lang w:val="en-IN"/>
        </w:rPr>
        <w:t> </w:t>
      </w:r>
      <w:r w:rsidRPr="00032D7E">
        <w:rPr>
          <w:sz w:val="24"/>
          <w:szCs w:val="24"/>
          <w:lang w:val="en-IN"/>
        </w:rPr>
        <w:t xml:space="preserve">mg. The adverse reactions observed included altered mental status, agitation, aggressive behaviour, coma and depressed level of consciousness. The patients recovered without sequelae. </w:t>
      </w:r>
    </w:p>
    <w:p w14:paraId="70EDDE8D" w14:textId="77777777" w:rsidR="00E575A9" w:rsidRPr="00032D7E" w:rsidRDefault="00E575A9" w:rsidP="00FA3EAA">
      <w:pPr>
        <w:ind w:left="851"/>
        <w:rPr>
          <w:sz w:val="24"/>
          <w:szCs w:val="24"/>
          <w:lang w:val="en-IN"/>
        </w:rPr>
      </w:pPr>
      <w:r w:rsidRPr="00032D7E">
        <w:rPr>
          <w:sz w:val="24"/>
          <w:szCs w:val="24"/>
          <w:lang w:val="en-IN"/>
        </w:rPr>
        <w:t xml:space="preserve">There is no available specific antidote to the effects of </w:t>
      </w:r>
      <w:proofErr w:type="spellStart"/>
      <w:r w:rsidRPr="00032D7E">
        <w:rPr>
          <w:sz w:val="24"/>
          <w:szCs w:val="24"/>
          <w:lang w:val="en-IN"/>
        </w:rPr>
        <w:t>perampanel</w:t>
      </w:r>
      <w:proofErr w:type="spellEnd"/>
      <w:r w:rsidRPr="00032D7E">
        <w:rPr>
          <w:sz w:val="24"/>
          <w:szCs w:val="24"/>
          <w:lang w:val="en-IN"/>
        </w:rPr>
        <w:t xml:space="preserve">. </w:t>
      </w:r>
    </w:p>
    <w:p w14:paraId="707FB8BD" w14:textId="77777777" w:rsidR="00E575A9" w:rsidRPr="00032D7E" w:rsidRDefault="00E575A9" w:rsidP="00FA3EAA">
      <w:pPr>
        <w:ind w:left="851"/>
        <w:rPr>
          <w:sz w:val="24"/>
          <w:szCs w:val="24"/>
          <w:lang w:val="en-IN"/>
        </w:rPr>
      </w:pPr>
    </w:p>
    <w:p w14:paraId="6EDF0BB1" w14:textId="77777777" w:rsidR="00E575A9" w:rsidRPr="00032D7E" w:rsidRDefault="00E575A9" w:rsidP="00FA3EAA">
      <w:pPr>
        <w:ind w:left="851"/>
        <w:rPr>
          <w:sz w:val="24"/>
          <w:szCs w:val="24"/>
          <w:lang w:val="en-IN"/>
        </w:rPr>
      </w:pPr>
      <w:r w:rsidRPr="00032D7E">
        <w:rPr>
          <w:sz w:val="24"/>
          <w:szCs w:val="24"/>
          <w:lang w:val="en-IN"/>
        </w:rPr>
        <w:t xml:space="preserve">General supportive care of the patient is indicated including monitoring of vital signs and observation of the clinical status of the patient. In view of its long half-life, the effects caused by </w:t>
      </w:r>
      <w:proofErr w:type="spellStart"/>
      <w:r w:rsidRPr="00032D7E">
        <w:rPr>
          <w:sz w:val="24"/>
          <w:szCs w:val="24"/>
          <w:lang w:val="en-IN"/>
        </w:rPr>
        <w:t>perampanel</w:t>
      </w:r>
      <w:proofErr w:type="spellEnd"/>
      <w:r w:rsidRPr="00032D7E">
        <w:rPr>
          <w:sz w:val="24"/>
          <w:szCs w:val="24"/>
          <w:lang w:val="en-IN"/>
        </w:rPr>
        <w:t xml:space="preserve"> could be prolonged. Because of low renal clearance special interventions such as forced diuresis, dialysis or </w:t>
      </w:r>
      <w:proofErr w:type="spellStart"/>
      <w:r w:rsidRPr="00032D7E">
        <w:rPr>
          <w:sz w:val="24"/>
          <w:szCs w:val="24"/>
          <w:lang w:val="en-IN"/>
        </w:rPr>
        <w:t>haemoperfusion</w:t>
      </w:r>
      <w:proofErr w:type="spellEnd"/>
      <w:r w:rsidRPr="00032D7E">
        <w:rPr>
          <w:sz w:val="24"/>
          <w:szCs w:val="24"/>
          <w:lang w:val="en-IN"/>
        </w:rPr>
        <w:t xml:space="preserve"> are unlikely to be of value.</w:t>
      </w:r>
    </w:p>
    <w:p w14:paraId="6A656F62" w14:textId="77777777" w:rsidR="007C5D2A" w:rsidRPr="00032D7E" w:rsidRDefault="007C5D2A" w:rsidP="003E0341">
      <w:pPr>
        <w:tabs>
          <w:tab w:val="left" w:pos="851"/>
        </w:tabs>
        <w:ind w:left="851"/>
        <w:rPr>
          <w:sz w:val="24"/>
          <w:szCs w:val="24"/>
          <w:lang w:val="en-IN"/>
        </w:rPr>
      </w:pPr>
    </w:p>
    <w:p w14:paraId="506EE488" w14:textId="77777777" w:rsidR="008F2F8C" w:rsidRPr="00032D7E" w:rsidRDefault="0042292D" w:rsidP="0042292D">
      <w:pPr>
        <w:tabs>
          <w:tab w:val="left" w:pos="851"/>
        </w:tabs>
        <w:rPr>
          <w:b/>
          <w:sz w:val="24"/>
          <w:szCs w:val="24"/>
          <w:lang w:val="en-GB"/>
        </w:rPr>
      </w:pPr>
      <w:r w:rsidRPr="00032D7E">
        <w:rPr>
          <w:b/>
          <w:sz w:val="24"/>
          <w:szCs w:val="24"/>
          <w:lang w:val="en-GB"/>
        </w:rPr>
        <w:t>4.10</w:t>
      </w:r>
      <w:r w:rsidRPr="00032D7E">
        <w:rPr>
          <w:b/>
          <w:sz w:val="24"/>
          <w:szCs w:val="24"/>
          <w:lang w:val="en-GB"/>
        </w:rPr>
        <w:tab/>
        <w:t>Legal status</w:t>
      </w:r>
    </w:p>
    <w:p w14:paraId="49421EC1" w14:textId="06557CB7" w:rsidR="00AD2E36" w:rsidRPr="00032D7E" w:rsidRDefault="00032D7E" w:rsidP="00AD2E36">
      <w:pPr>
        <w:tabs>
          <w:tab w:val="left" w:pos="851"/>
        </w:tabs>
        <w:ind w:left="851"/>
        <w:rPr>
          <w:sz w:val="24"/>
          <w:szCs w:val="24"/>
          <w:lang w:val="en-GB"/>
        </w:rPr>
      </w:pPr>
      <w:r w:rsidRPr="00032D7E">
        <w:rPr>
          <w:sz w:val="24"/>
          <w:szCs w:val="24"/>
          <w:lang w:val="en-GB"/>
        </w:rPr>
        <w:t>B</w:t>
      </w:r>
    </w:p>
    <w:p w14:paraId="08A2BACB" w14:textId="77777777" w:rsidR="007C5D2A" w:rsidRPr="00032D7E" w:rsidRDefault="007C5D2A" w:rsidP="003E0341">
      <w:pPr>
        <w:tabs>
          <w:tab w:val="left" w:pos="851"/>
        </w:tabs>
        <w:ind w:left="851"/>
        <w:rPr>
          <w:sz w:val="24"/>
          <w:szCs w:val="24"/>
          <w:lang w:val="en-GB"/>
        </w:rPr>
      </w:pPr>
    </w:p>
    <w:p w14:paraId="65E4A7B4" w14:textId="77777777" w:rsidR="00AD2E36" w:rsidRPr="00032D7E" w:rsidRDefault="00AD2E36" w:rsidP="003E0341">
      <w:pPr>
        <w:tabs>
          <w:tab w:val="left" w:pos="851"/>
        </w:tabs>
        <w:ind w:left="851"/>
        <w:rPr>
          <w:sz w:val="24"/>
          <w:szCs w:val="24"/>
          <w:lang w:val="en-GB"/>
        </w:rPr>
      </w:pPr>
    </w:p>
    <w:p w14:paraId="100299CE" w14:textId="77777777" w:rsidR="007C5D2A" w:rsidRPr="00032D7E" w:rsidRDefault="007C5D2A" w:rsidP="007C5D2A">
      <w:pPr>
        <w:tabs>
          <w:tab w:val="left" w:pos="851"/>
        </w:tabs>
        <w:rPr>
          <w:b/>
          <w:sz w:val="24"/>
          <w:szCs w:val="24"/>
          <w:lang w:val="en-GB"/>
        </w:rPr>
      </w:pPr>
      <w:r w:rsidRPr="00032D7E">
        <w:rPr>
          <w:b/>
          <w:sz w:val="24"/>
          <w:szCs w:val="24"/>
          <w:lang w:val="en-GB"/>
        </w:rPr>
        <w:t>5.</w:t>
      </w:r>
      <w:r w:rsidRPr="00032D7E">
        <w:rPr>
          <w:b/>
          <w:sz w:val="24"/>
          <w:szCs w:val="24"/>
          <w:lang w:val="en-GB"/>
        </w:rPr>
        <w:tab/>
        <w:t>PHARMACOLOGICAL PROPERTIES</w:t>
      </w:r>
    </w:p>
    <w:p w14:paraId="4ED33F83" w14:textId="77777777" w:rsidR="007C5D2A" w:rsidRPr="00032D7E" w:rsidRDefault="007C5D2A" w:rsidP="003E0341">
      <w:pPr>
        <w:tabs>
          <w:tab w:val="left" w:pos="851"/>
        </w:tabs>
        <w:ind w:left="851"/>
        <w:rPr>
          <w:sz w:val="24"/>
          <w:szCs w:val="24"/>
          <w:lang w:val="en-GB"/>
        </w:rPr>
      </w:pPr>
    </w:p>
    <w:p w14:paraId="19386FF7" w14:textId="77777777" w:rsidR="007C5D2A" w:rsidRPr="00032D7E" w:rsidRDefault="007C5D2A" w:rsidP="007C5D2A">
      <w:pPr>
        <w:tabs>
          <w:tab w:val="left" w:pos="851"/>
        </w:tabs>
        <w:ind w:left="851" w:hanging="851"/>
        <w:rPr>
          <w:b/>
          <w:sz w:val="24"/>
          <w:szCs w:val="24"/>
          <w:lang w:val="en-GB"/>
        </w:rPr>
      </w:pPr>
      <w:r w:rsidRPr="00032D7E">
        <w:rPr>
          <w:b/>
          <w:sz w:val="24"/>
          <w:szCs w:val="24"/>
          <w:lang w:val="en-GB"/>
        </w:rPr>
        <w:t>5.1</w:t>
      </w:r>
      <w:r w:rsidRPr="00032D7E">
        <w:rPr>
          <w:b/>
          <w:sz w:val="24"/>
          <w:szCs w:val="24"/>
          <w:lang w:val="en-GB"/>
        </w:rPr>
        <w:tab/>
        <w:t>Pharmacodynamic properties</w:t>
      </w:r>
      <w:r w:rsidRPr="00032D7E">
        <w:rPr>
          <w:b/>
          <w:sz w:val="24"/>
          <w:szCs w:val="24"/>
          <w:lang w:val="en-GB"/>
        </w:rPr>
        <w:tab/>
      </w:r>
    </w:p>
    <w:p w14:paraId="45D418AF" w14:textId="77777777" w:rsidR="00E575A9" w:rsidRPr="00032D7E" w:rsidRDefault="00E575A9" w:rsidP="00032D7E">
      <w:pPr>
        <w:ind w:left="851"/>
        <w:rPr>
          <w:sz w:val="24"/>
          <w:szCs w:val="24"/>
          <w:lang w:val="en-IN"/>
        </w:rPr>
      </w:pPr>
      <w:r w:rsidRPr="00032D7E">
        <w:rPr>
          <w:sz w:val="24"/>
          <w:szCs w:val="24"/>
          <w:lang w:val="en-IN"/>
        </w:rPr>
        <w:t xml:space="preserve">Pharmacotherapeutic group: antiepileptics, other antiepileptics, ATC code: N03AX22 </w:t>
      </w:r>
    </w:p>
    <w:p w14:paraId="74C3C079" w14:textId="77777777" w:rsidR="00E575A9" w:rsidRPr="00032D7E" w:rsidRDefault="00E575A9" w:rsidP="00032D7E">
      <w:pPr>
        <w:ind w:left="851"/>
        <w:rPr>
          <w:sz w:val="24"/>
          <w:szCs w:val="24"/>
          <w:lang w:val="en-IN"/>
        </w:rPr>
      </w:pPr>
    </w:p>
    <w:p w14:paraId="14BBC610" w14:textId="77777777" w:rsidR="00E575A9" w:rsidRPr="00032D7E" w:rsidRDefault="00E575A9" w:rsidP="00032D7E">
      <w:pPr>
        <w:ind w:left="851"/>
        <w:rPr>
          <w:sz w:val="24"/>
          <w:szCs w:val="24"/>
          <w:u w:val="single"/>
          <w:lang w:val="en-IN"/>
        </w:rPr>
      </w:pPr>
      <w:r w:rsidRPr="00032D7E">
        <w:rPr>
          <w:sz w:val="24"/>
          <w:szCs w:val="24"/>
          <w:u w:val="single"/>
          <w:lang w:val="en-IN"/>
        </w:rPr>
        <w:t xml:space="preserve">Mechanism of action </w:t>
      </w:r>
    </w:p>
    <w:p w14:paraId="02AA2111" w14:textId="77777777" w:rsidR="00E575A9" w:rsidRPr="00032D7E" w:rsidRDefault="00E575A9" w:rsidP="00032D7E">
      <w:pPr>
        <w:ind w:left="851"/>
        <w:rPr>
          <w:sz w:val="24"/>
          <w:szCs w:val="24"/>
          <w:u w:val="single"/>
          <w:lang w:val="en-IN"/>
        </w:rPr>
      </w:pPr>
    </w:p>
    <w:p w14:paraId="53C34711" w14:textId="77777777" w:rsidR="00E575A9" w:rsidRPr="00032D7E" w:rsidRDefault="00E575A9" w:rsidP="00032D7E">
      <w:pPr>
        <w:ind w:left="851"/>
        <w:rPr>
          <w:sz w:val="24"/>
          <w:szCs w:val="24"/>
          <w:lang w:val="en-IN"/>
        </w:rPr>
      </w:pPr>
      <w:proofErr w:type="spellStart"/>
      <w:r w:rsidRPr="00032D7E">
        <w:rPr>
          <w:sz w:val="24"/>
          <w:szCs w:val="24"/>
          <w:lang w:val="en-IN"/>
        </w:rPr>
        <w:t>Perampanel</w:t>
      </w:r>
      <w:proofErr w:type="spellEnd"/>
      <w:r w:rsidRPr="00032D7E">
        <w:rPr>
          <w:sz w:val="24"/>
          <w:szCs w:val="24"/>
          <w:lang w:val="en-IN"/>
        </w:rPr>
        <w:t xml:space="preserve"> is a first-in-class selective, non-competitive antagonist of the ionotropic α-amino-3-hydroxy-5-methyl-4-isoxazolepropionic acid (AMPA) glutamate receptor on post-synaptic neurons. Glutamate is the primary excitatory neurotransmitter in the central nervous system and is implicated in </w:t>
      </w:r>
      <w:proofErr w:type="gramStart"/>
      <w:r w:rsidRPr="00032D7E">
        <w:rPr>
          <w:sz w:val="24"/>
          <w:szCs w:val="24"/>
          <w:lang w:val="en-IN"/>
        </w:rPr>
        <w:t>a number of</w:t>
      </w:r>
      <w:proofErr w:type="gramEnd"/>
      <w:r w:rsidRPr="00032D7E">
        <w:rPr>
          <w:sz w:val="24"/>
          <w:szCs w:val="24"/>
          <w:lang w:val="en-IN"/>
        </w:rPr>
        <w:t xml:space="preserve"> neurological disorders caused by neuronal overexcitation. Activation of AMPA receptors by glutamate is thought to be responsible for most fast excitatory synaptic transmission in the brain. In </w:t>
      </w:r>
      <w:r w:rsidRPr="00032D7E">
        <w:rPr>
          <w:i/>
          <w:iCs/>
          <w:sz w:val="24"/>
          <w:szCs w:val="24"/>
          <w:lang w:val="en-IN"/>
        </w:rPr>
        <w:t xml:space="preserve">in vitro </w:t>
      </w:r>
      <w:r w:rsidRPr="00032D7E">
        <w:rPr>
          <w:sz w:val="24"/>
          <w:szCs w:val="24"/>
          <w:lang w:val="en-IN"/>
        </w:rPr>
        <w:t xml:space="preserve">studies, </w:t>
      </w:r>
      <w:proofErr w:type="spellStart"/>
      <w:r w:rsidRPr="00032D7E">
        <w:rPr>
          <w:sz w:val="24"/>
          <w:szCs w:val="24"/>
          <w:lang w:val="en-IN"/>
        </w:rPr>
        <w:t>perampanel</w:t>
      </w:r>
      <w:proofErr w:type="spellEnd"/>
      <w:r w:rsidRPr="00032D7E">
        <w:rPr>
          <w:sz w:val="24"/>
          <w:szCs w:val="24"/>
          <w:lang w:val="en-IN"/>
        </w:rPr>
        <w:t xml:space="preserve"> did not compete with AMPA for binding to the AMPA receptor, but </w:t>
      </w:r>
      <w:proofErr w:type="spellStart"/>
      <w:r w:rsidRPr="00032D7E">
        <w:rPr>
          <w:sz w:val="24"/>
          <w:szCs w:val="24"/>
          <w:lang w:val="en-IN"/>
        </w:rPr>
        <w:t>perampanel</w:t>
      </w:r>
      <w:proofErr w:type="spellEnd"/>
      <w:r w:rsidRPr="00032D7E">
        <w:rPr>
          <w:sz w:val="24"/>
          <w:szCs w:val="24"/>
          <w:lang w:val="en-IN"/>
        </w:rPr>
        <w:t xml:space="preserve"> binding was displaced by noncompetitive AMPA receptor antagonists, indicating that </w:t>
      </w:r>
      <w:proofErr w:type="spellStart"/>
      <w:r w:rsidRPr="00032D7E">
        <w:rPr>
          <w:sz w:val="24"/>
          <w:szCs w:val="24"/>
          <w:lang w:val="en-IN"/>
        </w:rPr>
        <w:t>perampanel</w:t>
      </w:r>
      <w:proofErr w:type="spellEnd"/>
      <w:r w:rsidRPr="00032D7E">
        <w:rPr>
          <w:sz w:val="24"/>
          <w:szCs w:val="24"/>
          <w:lang w:val="en-IN"/>
        </w:rPr>
        <w:t xml:space="preserve"> is a noncompetitive AMPA receptor antagonist. </w:t>
      </w:r>
      <w:r w:rsidRPr="00032D7E">
        <w:rPr>
          <w:i/>
          <w:iCs/>
          <w:sz w:val="24"/>
          <w:szCs w:val="24"/>
          <w:lang w:val="en-IN"/>
        </w:rPr>
        <w:t>In vitro</w:t>
      </w:r>
      <w:r w:rsidRPr="00032D7E">
        <w:rPr>
          <w:sz w:val="24"/>
          <w:szCs w:val="24"/>
          <w:lang w:val="en-IN"/>
        </w:rPr>
        <w:t xml:space="preserve">, </w:t>
      </w:r>
      <w:proofErr w:type="spellStart"/>
      <w:r w:rsidRPr="00032D7E">
        <w:rPr>
          <w:sz w:val="24"/>
          <w:szCs w:val="24"/>
          <w:lang w:val="en-IN"/>
        </w:rPr>
        <w:t>perampanel</w:t>
      </w:r>
      <w:proofErr w:type="spellEnd"/>
      <w:r w:rsidRPr="00032D7E">
        <w:rPr>
          <w:sz w:val="24"/>
          <w:szCs w:val="24"/>
          <w:lang w:val="en-IN"/>
        </w:rPr>
        <w:t xml:space="preserve"> inhibited AMPA-induced (but not NMDA-induced) increase in intracellular calcium. </w:t>
      </w:r>
      <w:r w:rsidRPr="00032D7E">
        <w:rPr>
          <w:i/>
          <w:iCs/>
          <w:sz w:val="24"/>
          <w:szCs w:val="24"/>
          <w:lang w:val="en-IN"/>
        </w:rPr>
        <w:t>In vivo</w:t>
      </w:r>
      <w:r w:rsidRPr="00032D7E">
        <w:rPr>
          <w:sz w:val="24"/>
          <w:szCs w:val="24"/>
          <w:lang w:val="en-IN"/>
        </w:rPr>
        <w:t xml:space="preserve">, </w:t>
      </w:r>
      <w:proofErr w:type="spellStart"/>
      <w:r w:rsidRPr="00032D7E">
        <w:rPr>
          <w:sz w:val="24"/>
          <w:szCs w:val="24"/>
          <w:lang w:val="en-IN"/>
        </w:rPr>
        <w:t>perampanel</w:t>
      </w:r>
      <w:proofErr w:type="spellEnd"/>
      <w:r w:rsidRPr="00032D7E">
        <w:rPr>
          <w:sz w:val="24"/>
          <w:szCs w:val="24"/>
          <w:lang w:val="en-IN"/>
        </w:rPr>
        <w:t xml:space="preserve"> significantly prolonged seizure latency in an AMPA-induced seizure model. </w:t>
      </w:r>
    </w:p>
    <w:p w14:paraId="058A325F" w14:textId="77777777" w:rsidR="00E575A9" w:rsidRPr="00032D7E" w:rsidRDefault="00E575A9" w:rsidP="00032D7E">
      <w:pPr>
        <w:ind w:left="851"/>
        <w:rPr>
          <w:sz w:val="24"/>
          <w:szCs w:val="24"/>
          <w:lang w:val="en-IN"/>
        </w:rPr>
      </w:pPr>
    </w:p>
    <w:p w14:paraId="21BB0CCD" w14:textId="77777777" w:rsidR="00E575A9" w:rsidRPr="00032D7E" w:rsidRDefault="00E575A9" w:rsidP="00032D7E">
      <w:pPr>
        <w:ind w:left="851"/>
        <w:rPr>
          <w:sz w:val="24"/>
          <w:szCs w:val="24"/>
          <w:lang w:val="en-IN"/>
        </w:rPr>
      </w:pPr>
      <w:r w:rsidRPr="00032D7E">
        <w:rPr>
          <w:sz w:val="24"/>
          <w:szCs w:val="24"/>
          <w:lang w:val="en-IN"/>
        </w:rPr>
        <w:t xml:space="preserve">The precise mechanism by which </w:t>
      </w:r>
      <w:proofErr w:type="spellStart"/>
      <w:r w:rsidRPr="00032D7E">
        <w:rPr>
          <w:sz w:val="24"/>
          <w:szCs w:val="24"/>
          <w:lang w:val="en-IN"/>
        </w:rPr>
        <w:t>perampanel</w:t>
      </w:r>
      <w:proofErr w:type="spellEnd"/>
      <w:r w:rsidRPr="00032D7E">
        <w:rPr>
          <w:sz w:val="24"/>
          <w:szCs w:val="24"/>
          <w:lang w:val="en-IN"/>
        </w:rPr>
        <w:t xml:space="preserve"> exerts its antiepileptic effects in humans remains to be fully elucidated. </w:t>
      </w:r>
    </w:p>
    <w:p w14:paraId="1FE6E758" w14:textId="77777777" w:rsidR="00E575A9" w:rsidRPr="00032D7E" w:rsidRDefault="00E575A9" w:rsidP="00032D7E">
      <w:pPr>
        <w:ind w:left="851"/>
        <w:rPr>
          <w:sz w:val="24"/>
          <w:szCs w:val="24"/>
          <w:lang w:val="en-IN"/>
        </w:rPr>
      </w:pPr>
    </w:p>
    <w:p w14:paraId="7845F0C2" w14:textId="77777777" w:rsidR="00E575A9" w:rsidRPr="00032D7E" w:rsidRDefault="00E575A9" w:rsidP="00032D7E">
      <w:pPr>
        <w:ind w:left="851"/>
        <w:rPr>
          <w:sz w:val="24"/>
          <w:szCs w:val="24"/>
          <w:u w:val="single"/>
          <w:lang w:val="en-IN"/>
        </w:rPr>
      </w:pPr>
      <w:r w:rsidRPr="00032D7E">
        <w:rPr>
          <w:sz w:val="24"/>
          <w:szCs w:val="24"/>
          <w:u w:val="single"/>
          <w:lang w:val="en-IN"/>
        </w:rPr>
        <w:t xml:space="preserve">Pharmacodynamic effects </w:t>
      </w:r>
    </w:p>
    <w:p w14:paraId="2E3241DB" w14:textId="77777777" w:rsidR="00E575A9" w:rsidRPr="00032D7E" w:rsidRDefault="00E575A9" w:rsidP="00032D7E">
      <w:pPr>
        <w:ind w:left="851"/>
        <w:rPr>
          <w:sz w:val="24"/>
          <w:szCs w:val="24"/>
          <w:u w:val="single"/>
          <w:lang w:val="en-IN"/>
        </w:rPr>
      </w:pPr>
    </w:p>
    <w:p w14:paraId="5915404E" w14:textId="77777777" w:rsidR="00E575A9" w:rsidRPr="00032D7E" w:rsidRDefault="00E575A9" w:rsidP="00032D7E">
      <w:pPr>
        <w:ind w:left="851"/>
        <w:rPr>
          <w:sz w:val="24"/>
          <w:szCs w:val="24"/>
          <w:lang w:val="en-IN"/>
        </w:rPr>
      </w:pPr>
      <w:r w:rsidRPr="00032D7E">
        <w:rPr>
          <w:sz w:val="24"/>
          <w:szCs w:val="24"/>
          <w:lang w:val="en-IN"/>
        </w:rPr>
        <w:t xml:space="preserve">A pharmacokinetic-pharmacodynamic (efficacy) analysis was performed based on the pooled data from the 3 efficacy trials for partial-onset seizures. In addition, a pharmacokinetic-pharmacodynamic (efficacy) analysis was performed in one efficacy trial for primary generalised tonic-clonic seizures. In both analyses, </w:t>
      </w:r>
      <w:proofErr w:type="spellStart"/>
      <w:r w:rsidRPr="00032D7E">
        <w:rPr>
          <w:sz w:val="24"/>
          <w:szCs w:val="24"/>
          <w:lang w:val="en-IN"/>
        </w:rPr>
        <w:t>perampanel</w:t>
      </w:r>
      <w:proofErr w:type="spellEnd"/>
      <w:r w:rsidRPr="00032D7E">
        <w:rPr>
          <w:sz w:val="24"/>
          <w:szCs w:val="24"/>
          <w:lang w:val="en-IN"/>
        </w:rPr>
        <w:t xml:space="preserve"> exposure is correlated with reduction in seizure frequency. </w:t>
      </w:r>
    </w:p>
    <w:p w14:paraId="1F50D0B2" w14:textId="222F621F" w:rsidR="00FE0AD1" w:rsidRDefault="00FE0AD1">
      <w:pPr>
        <w:rPr>
          <w:sz w:val="24"/>
          <w:szCs w:val="24"/>
          <w:lang w:val="en-IN"/>
        </w:rPr>
      </w:pPr>
      <w:r>
        <w:rPr>
          <w:sz w:val="24"/>
          <w:szCs w:val="24"/>
          <w:lang w:val="en-IN"/>
        </w:rPr>
        <w:br w:type="page"/>
      </w:r>
    </w:p>
    <w:p w14:paraId="0ED40579" w14:textId="77777777" w:rsidR="00E575A9" w:rsidRPr="00032D7E" w:rsidRDefault="00E575A9" w:rsidP="00032D7E">
      <w:pPr>
        <w:ind w:left="851"/>
        <w:rPr>
          <w:sz w:val="24"/>
          <w:szCs w:val="24"/>
          <w:lang w:val="en-IN"/>
        </w:rPr>
      </w:pPr>
    </w:p>
    <w:p w14:paraId="7A6306C4" w14:textId="77777777" w:rsidR="00E575A9" w:rsidRPr="00032D7E" w:rsidRDefault="00E575A9" w:rsidP="00032D7E">
      <w:pPr>
        <w:ind w:left="851"/>
        <w:rPr>
          <w:sz w:val="24"/>
          <w:szCs w:val="24"/>
          <w:lang w:val="en-IN"/>
        </w:rPr>
      </w:pPr>
      <w:r w:rsidRPr="00032D7E">
        <w:rPr>
          <w:i/>
          <w:iCs/>
          <w:sz w:val="24"/>
          <w:szCs w:val="24"/>
          <w:lang w:val="en-IN"/>
        </w:rPr>
        <w:t xml:space="preserve">Psychomotor performance </w:t>
      </w:r>
    </w:p>
    <w:p w14:paraId="44077FB2" w14:textId="77777777" w:rsidR="00E575A9" w:rsidRPr="00032D7E" w:rsidRDefault="00E575A9" w:rsidP="00032D7E">
      <w:pPr>
        <w:ind w:left="851"/>
        <w:rPr>
          <w:sz w:val="24"/>
          <w:szCs w:val="24"/>
          <w:lang w:val="en-IN"/>
        </w:rPr>
      </w:pPr>
      <w:r w:rsidRPr="00032D7E">
        <w:rPr>
          <w:sz w:val="24"/>
          <w:szCs w:val="24"/>
          <w:lang w:val="en-IN"/>
        </w:rPr>
        <w:t xml:space="preserve">Single and multiple doses of 8 mg and 12 mg impaired psychomotor performance in healthy volunteers in a dose-related manner. The effects of </w:t>
      </w:r>
      <w:proofErr w:type="spellStart"/>
      <w:r w:rsidRPr="00032D7E">
        <w:rPr>
          <w:sz w:val="24"/>
          <w:szCs w:val="24"/>
          <w:lang w:val="en-IN"/>
        </w:rPr>
        <w:t>perampanel</w:t>
      </w:r>
      <w:proofErr w:type="spellEnd"/>
      <w:r w:rsidRPr="00032D7E">
        <w:rPr>
          <w:sz w:val="24"/>
          <w:szCs w:val="24"/>
          <w:lang w:val="en-IN"/>
        </w:rPr>
        <w:t xml:space="preserve"> on complex tasks such as driving ability were additive or supra-additive to the impairment effects of alcohol. Psychomotor performance testing returned to baseline within 2 weeks of cessation of </w:t>
      </w:r>
      <w:proofErr w:type="spellStart"/>
      <w:r w:rsidRPr="00032D7E">
        <w:rPr>
          <w:sz w:val="24"/>
          <w:szCs w:val="24"/>
          <w:lang w:val="en-IN"/>
        </w:rPr>
        <w:t>perampanel</w:t>
      </w:r>
      <w:proofErr w:type="spellEnd"/>
      <w:r w:rsidRPr="00032D7E">
        <w:rPr>
          <w:sz w:val="24"/>
          <w:szCs w:val="24"/>
          <w:lang w:val="en-IN"/>
        </w:rPr>
        <w:t xml:space="preserve"> dosing. </w:t>
      </w:r>
    </w:p>
    <w:p w14:paraId="6EBA981E" w14:textId="77777777" w:rsidR="00E575A9" w:rsidRPr="00032D7E" w:rsidRDefault="00E575A9" w:rsidP="00032D7E">
      <w:pPr>
        <w:ind w:left="851"/>
        <w:rPr>
          <w:sz w:val="24"/>
          <w:szCs w:val="24"/>
          <w:lang w:val="en-IN"/>
        </w:rPr>
      </w:pPr>
    </w:p>
    <w:p w14:paraId="076AA98B" w14:textId="77777777" w:rsidR="00E575A9" w:rsidRPr="00032D7E" w:rsidRDefault="00E575A9" w:rsidP="00032D7E">
      <w:pPr>
        <w:ind w:left="851"/>
        <w:rPr>
          <w:i/>
          <w:iCs/>
          <w:sz w:val="24"/>
          <w:szCs w:val="24"/>
          <w:lang w:val="en-IN"/>
        </w:rPr>
      </w:pPr>
      <w:r w:rsidRPr="00032D7E">
        <w:rPr>
          <w:i/>
          <w:iCs/>
          <w:sz w:val="24"/>
          <w:szCs w:val="24"/>
          <w:lang w:val="en-IN"/>
        </w:rPr>
        <w:t xml:space="preserve">Cognitive function </w:t>
      </w:r>
    </w:p>
    <w:p w14:paraId="21F6E9AD" w14:textId="77777777" w:rsidR="00E575A9" w:rsidRPr="00032D7E" w:rsidRDefault="00E575A9" w:rsidP="00032D7E">
      <w:pPr>
        <w:ind w:left="851"/>
        <w:rPr>
          <w:sz w:val="24"/>
          <w:szCs w:val="24"/>
          <w:lang w:val="en-IN"/>
        </w:rPr>
      </w:pPr>
      <w:r w:rsidRPr="00032D7E">
        <w:rPr>
          <w:sz w:val="24"/>
          <w:szCs w:val="24"/>
          <w:lang w:val="en-IN"/>
        </w:rPr>
        <w:t xml:space="preserve">In a healthy volunteer study to assess the effects of </w:t>
      </w:r>
      <w:proofErr w:type="spellStart"/>
      <w:r w:rsidRPr="00032D7E">
        <w:rPr>
          <w:sz w:val="24"/>
          <w:szCs w:val="24"/>
          <w:lang w:val="en-IN"/>
        </w:rPr>
        <w:t>perampanel</w:t>
      </w:r>
      <w:proofErr w:type="spellEnd"/>
      <w:r w:rsidRPr="00032D7E">
        <w:rPr>
          <w:sz w:val="24"/>
          <w:szCs w:val="24"/>
          <w:lang w:val="en-IN"/>
        </w:rPr>
        <w:t xml:space="preserve"> on alertness, and memory using a standard battery of assessments, no effects of </w:t>
      </w:r>
      <w:proofErr w:type="spellStart"/>
      <w:r w:rsidRPr="00032D7E">
        <w:rPr>
          <w:sz w:val="24"/>
          <w:szCs w:val="24"/>
          <w:lang w:val="en-IN"/>
        </w:rPr>
        <w:t>perampanel</w:t>
      </w:r>
      <w:proofErr w:type="spellEnd"/>
      <w:r w:rsidRPr="00032D7E">
        <w:rPr>
          <w:sz w:val="24"/>
          <w:szCs w:val="24"/>
          <w:lang w:val="en-IN"/>
        </w:rPr>
        <w:t xml:space="preserve"> were found following single and multiple doses of </w:t>
      </w:r>
      <w:proofErr w:type="spellStart"/>
      <w:r w:rsidRPr="00032D7E">
        <w:rPr>
          <w:sz w:val="24"/>
          <w:szCs w:val="24"/>
          <w:lang w:val="en-IN"/>
        </w:rPr>
        <w:t>perampanel</w:t>
      </w:r>
      <w:proofErr w:type="spellEnd"/>
      <w:r w:rsidRPr="00032D7E">
        <w:rPr>
          <w:sz w:val="24"/>
          <w:szCs w:val="24"/>
          <w:lang w:val="en-IN"/>
        </w:rPr>
        <w:t xml:space="preserve"> up to 12 mg/day. </w:t>
      </w:r>
    </w:p>
    <w:p w14:paraId="186F63D2" w14:textId="77777777" w:rsidR="00E575A9" w:rsidRPr="00032D7E" w:rsidRDefault="00E575A9" w:rsidP="00032D7E">
      <w:pPr>
        <w:ind w:left="851"/>
        <w:rPr>
          <w:sz w:val="24"/>
          <w:szCs w:val="24"/>
          <w:lang w:val="en-IN"/>
        </w:rPr>
      </w:pPr>
    </w:p>
    <w:p w14:paraId="04553E31" w14:textId="77777777" w:rsidR="00E575A9" w:rsidRPr="00032D7E" w:rsidRDefault="00E575A9" w:rsidP="00032D7E">
      <w:pPr>
        <w:ind w:left="851"/>
        <w:rPr>
          <w:sz w:val="24"/>
          <w:szCs w:val="24"/>
          <w:lang w:val="en-IN"/>
        </w:rPr>
      </w:pPr>
      <w:r w:rsidRPr="00032D7E">
        <w:rPr>
          <w:sz w:val="24"/>
          <w:szCs w:val="24"/>
          <w:lang w:val="en-IN"/>
        </w:rPr>
        <w:t xml:space="preserve">In a placebo-controlled study conducted in adolescent patients, no significant changes in cognition relative to placebo as measured by Cognitive Drug Research (CDR) System Global Cognition Score were observed for </w:t>
      </w:r>
      <w:proofErr w:type="spellStart"/>
      <w:r w:rsidRPr="00032D7E">
        <w:rPr>
          <w:sz w:val="24"/>
          <w:szCs w:val="24"/>
          <w:lang w:val="en-IN"/>
        </w:rPr>
        <w:t>perampanel</w:t>
      </w:r>
      <w:proofErr w:type="spellEnd"/>
      <w:r w:rsidRPr="00032D7E">
        <w:rPr>
          <w:sz w:val="24"/>
          <w:szCs w:val="24"/>
          <w:lang w:val="en-IN"/>
        </w:rPr>
        <w:t xml:space="preserve">. In the open label extension, no significant changes were observed in global CDR system score after 52 weeks of </w:t>
      </w:r>
      <w:proofErr w:type="spellStart"/>
      <w:r w:rsidRPr="00032D7E">
        <w:rPr>
          <w:sz w:val="24"/>
          <w:szCs w:val="24"/>
          <w:lang w:val="en-IN"/>
        </w:rPr>
        <w:t>perampanel</w:t>
      </w:r>
      <w:proofErr w:type="spellEnd"/>
      <w:r w:rsidRPr="00032D7E">
        <w:rPr>
          <w:sz w:val="24"/>
          <w:szCs w:val="24"/>
          <w:lang w:val="en-IN"/>
        </w:rPr>
        <w:t xml:space="preserve"> treatment (see section 5.1 Paediatric population). </w:t>
      </w:r>
    </w:p>
    <w:p w14:paraId="553F9B8A" w14:textId="77777777" w:rsidR="00E575A9" w:rsidRPr="00032D7E" w:rsidRDefault="00E575A9" w:rsidP="00032D7E">
      <w:pPr>
        <w:ind w:left="851"/>
        <w:rPr>
          <w:sz w:val="24"/>
          <w:szCs w:val="24"/>
          <w:lang w:val="en-IN"/>
        </w:rPr>
      </w:pPr>
    </w:p>
    <w:p w14:paraId="043EF0C0" w14:textId="77777777" w:rsidR="00E575A9" w:rsidRDefault="00E575A9" w:rsidP="00032D7E">
      <w:pPr>
        <w:ind w:left="851"/>
        <w:rPr>
          <w:sz w:val="24"/>
          <w:szCs w:val="24"/>
          <w:lang w:val="en-IN"/>
        </w:rPr>
      </w:pPr>
      <w:r w:rsidRPr="00032D7E">
        <w:rPr>
          <w:sz w:val="24"/>
          <w:szCs w:val="24"/>
          <w:lang w:val="en-IN"/>
        </w:rPr>
        <w:t xml:space="preserve">In an open-label uncontrolled study conducted in paediatric patients, no clinically important changes in cognition relative to baseline as measured by ABNAS were observed following adjunctive </w:t>
      </w:r>
      <w:proofErr w:type="spellStart"/>
      <w:r w:rsidRPr="00032D7E">
        <w:rPr>
          <w:sz w:val="24"/>
          <w:szCs w:val="24"/>
          <w:lang w:val="en-IN"/>
        </w:rPr>
        <w:t>perampanel</w:t>
      </w:r>
      <w:proofErr w:type="spellEnd"/>
      <w:r w:rsidRPr="00032D7E">
        <w:rPr>
          <w:sz w:val="24"/>
          <w:szCs w:val="24"/>
          <w:lang w:val="en-IN"/>
        </w:rPr>
        <w:t xml:space="preserve"> therapy (see section 5.1 Paediatric population). </w:t>
      </w:r>
    </w:p>
    <w:p w14:paraId="03015320" w14:textId="77777777" w:rsidR="003C1B3B" w:rsidRPr="00032D7E" w:rsidRDefault="003C1B3B" w:rsidP="00032D7E">
      <w:pPr>
        <w:ind w:left="851"/>
        <w:rPr>
          <w:sz w:val="24"/>
          <w:szCs w:val="24"/>
          <w:lang w:val="en-IN"/>
        </w:rPr>
      </w:pPr>
    </w:p>
    <w:p w14:paraId="7DA6B3A3" w14:textId="77777777" w:rsidR="00E575A9" w:rsidRPr="00032D7E" w:rsidRDefault="00E575A9" w:rsidP="00032D7E">
      <w:pPr>
        <w:ind w:left="851"/>
        <w:rPr>
          <w:sz w:val="24"/>
          <w:szCs w:val="24"/>
          <w:lang w:val="en-IN"/>
        </w:rPr>
      </w:pPr>
      <w:r w:rsidRPr="00032D7E">
        <w:rPr>
          <w:i/>
          <w:iCs/>
          <w:sz w:val="24"/>
          <w:szCs w:val="24"/>
          <w:lang w:val="en-IN"/>
        </w:rPr>
        <w:t xml:space="preserve">Alertness and mood </w:t>
      </w:r>
    </w:p>
    <w:p w14:paraId="7F4675C3" w14:textId="77777777" w:rsidR="00E575A9" w:rsidRPr="00032D7E" w:rsidRDefault="00E575A9" w:rsidP="00032D7E">
      <w:pPr>
        <w:ind w:left="851"/>
        <w:rPr>
          <w:sz w:val="24"/>
          <w:szCs w:val="24"/>
          <w:lang w:val="en-IN"/>
        </w:rPr>
      </w:pPr>
      <w:r w:rsidRPr="00032D7E">
        <w:rPr>
          <w:sz w:val="24"/>
          <w:szCs w:val="24"/>
          <w:lang w:val="en-IN"/>
        </w:rPr>
        <w:t xml:space="preserve">Levels of alertness (arousal) decreased in a dose-related manner in healthy subjects dosed with </w:t>
      </w:r>
      <w:proofErr w:type="spellStart"/>
      <w:r w:rsidRPr="00032D7E">
        <w:rPr>
          <w:sz w:val="24"/>
          <w:szCs w:val="24"/>
          <w:lang w:val="en-IN"/>
        </w:rPr>
        <w:t>perampanel</w:t>
      </w:r>
      <w:proofErr w:type="spellEnd"/>
      <w:r w:rsidRPr="00032D7E">
        <w:rPr>
          <w:sz w:val="24"/>
          <w:szCs w:val="24"/>
          <w:lang w:val="en-IN"/>
        </w:rPr>
        <w:t xml:space="preserve"> from 4 to 12 mg/day. Mood deteriorated following dosing of 12 mg/day only; the changes in mood were small and reflected a general lowering of alertness. Multiple dosing of </w:t>
      </w:r>
      <w:proofErr w:type="spellStart"/>
      <w:r w:rsidRPr="00032D7E">
        <w:rPr>
          <w:sz w:val="24"/>
          <w:szCs w:val="24"/>
          <w:lang w:val="en-IN"/>
        </w:rPr>
        <w:t>perampanel</w:t>
      </w:r>
      <w:proofErr w:type="spellEnd"/>
      <w:r w:rsidRPr="00032D7E">
        <w:rPr>
          <w:sz w:val="24"/>
          <w:szCs w:val="24"/>
          <w:lang w:val="en-IN"/>
        </w:rPr>
        <w:t xml:space="preserve"> 12 mg/day also enhanced the effects of alcohol on vigilance and alertness, and increased levels of anger, confusion and depression as assessed using the Profile of Mood State 5-point rating scale.</w:t>
      </w:r>
    </w:p>
    <w:p w14:paraId="4D20BC4A" w14:textId="77777777" w:rsidR="00E575A9" w:rsidRPr="00032D7E" w:rsidRDefault="00E575A9" w:rsidP="00032D7E">
      <w:pPr>
        <w:ind w:left="851"/>
        <w:rPr>
          <w:sz w:val="24"/>
          <w:szCs w:val="24"/>
          <w:lang w:val="en-IN"/>
        </w:rPr>
      </w:pPr>
    </w:p>
    <w:p w14:paraId="7BE445DC" w14:textId="77777777" w:rsidR="00E575A9" w:rsidRPr="00032D7E" w:rsidRDefault="00E575A9" w:rsidP="00032D7E">
      <w:pPr>
        <w:ind w:left="851"/>
        <w:rPr>
          <w:sz w:val="24"/>
          <w:szCs w:val="24"/>
          <w:lang w:val="en-IN"/>
        </w:rPr>
      </w:pPr>
      <w:r w:rsidRPr="00032D7E">
        <w:rPr>
          <w:i/>
          <w:iCs/>
          <w:sz w:val="24"/>
          <w:szCs w:val="24"/>
          <w:lang w:val="en-IN"/>
        </w:rPr>
        <w:t xml:space="preserve">Cardiac electrophysiology </w:t>
      </w:r>
    </w:p>
    <w:p w14:paraId="7F590719" w14:textId="1BE3EDB6" w:rsidR="00E575A9" w:rsidRPr="00032D7E" w:rsidRDefault="00E575A9" w:rsidP="00032D7E">
      <w:pPr>
        <w:ind w:left="851"/>
        <w:rPr>
          <w:sz w:val="24"/>
          <w:szCs w:val="24"/>
          <w:lang w:val="en-IN"/>
        </w:rPr>
      </w:pPr>
      <w:proofErr w:type="spellStart"/>
      <w:r w:rsidRPr="00032D7E">
        <w:rPr>
          <w:sz w:val="24"/>
          <w:szCs w:val="24"/>
          <w:lang w:val="en-IN"/>
        </w:rPr>
        <w:t>Perampanel</w:t>
      </w:r>
      <w:proofErr w:type="spellEnd"/>
      <w:r w:rsidRPr="00032D7E">
        <w:rPr>
          <w:sz w:val="24"/>
          <w:szCs w:val="24"/>
          <w:lang w:val="en-IN"/>
        </w:rPr>
        <w:t xml:space="preserve"> did not prolong the QTc interval when administered in daily doses up to 12</w:t>
      </w:r>
      <w:r w:rsidR="003C1B3B">
        <w:rPr>
          <w:sz w:val="24"/>
          <w:szCs w:val="24"/>
          <w:lang w:val="en-IN"/>
        </w:rPr>
        <w:t> </w:t>
      </w:r>
      <w:r w:rsidRPr="00032D7E">
        <w:rPr>
          <w:sz w:val="24"/>
          <w:szCs w:val="24"/>
          <w:lang w:val="en-IN"/>
        </w:rPr>
        <w:t>mg/day and did not have a dose-related or clinically important effect on QRS duration.</w:t>
      </w:r>
    </w:p>
    <w:p w14:paraId="157245CB" w14:textId="77777777" w:rsidR="00E575A9" w:rsidRPr="00032D7E" w:rsidRDefault="00E575A9" w:rsidP="00032D7E">
      <w:pPr>
        <w:ind w:left="851"/>
        <w:rPr>
          <w:sz w:val="24"/>
          <w:szCs w:val="24"/>
          <w:lang w:val="en-IN"/>
        </w:rPr>
      </w:pPr>
    </w:p>
    <w:p w14:paraId="5BEC2C06" w14:textId="77777777" w:rsidR="00E575A9" w:rsidRPr="00032D7E" w:rsidRDefault="00E575A9" w:rsidP="00032D7E">
      <w:pPr>
        <w:ind w:left="851"/>
        <w:rPr>
          <w:sz w:val="24"/>
          <w:szCs w:val="24"/>
          <w:u w:val="single"/>
          <w:lang w:val="en-IN"/>
        </w:rPr>
      </w:pPr>
      <w:r w:rsidRPr="00032D7E">
        <w:rPr>
          <w:sz w:val="24"/>
          <w:szCs w:val="24"/>
          <w:u w:val="single"/>
          <w:lang w:val="en-IN"/>
        </w:rPr>
        <w:t xml:space="preserve">Clinical efficacy and safety </w:t>
      </w:r>
    </w:p>
    <w:p w14:paraId="0E61D3A0" w14:textId="77777777" w:rsidR="00E575A9" w:rsidRPr="00032D7E" w:rsidRDefault="00E575A9" w:rsidP="00032D7E">
      <w:pPr>
        <w:ind w:left="851"/>
        <w:rPr>
          <w:sz w:val="24"/>
          <w:szCs w:val="24"/>
          <w:u w:val="single"/>
          <w:lang w:val="en-IN"/>
        </w:rPr>
      </w:pPr>
    </w:p>
    <w:p w14:paraId="5A0054C0" w14:textId="77777777" w:rsidR="00E575A9" w:rsidRPr="00032D7E" w:rsidRDefault="00E575A9" w:rsidP="00032D7E">
      <w:pPr>
        <w:ind w:left="851"/>
        <w:rPr>
          <w:sz w:val="24"/>
          <w:szCs w:val="24"/>
          <w:lang w:val="en-IN"/>
        </w:rPr>
      </w:pPr>
      <w:r w:rsidRPr="00032D7E">
        <w:rPr>
          <w:i/>
          <w:iCs/>
          <w:sz w:val="24"/>
          <w:szCs w:val="24"/>
          <w:lang w:val="en-IN"/>
        </w:rPr>
        <w:t xml:space="preserve">Partial-Onset Seizures </w:t>
      </w:r>
    </w:p>
    <w:p w14:paraId="59C0295B" w14:textId="77777777" w:rsidR="00E575A9" w:rsidRPr="00032D7E" w:rsidRDefault="00E575A9" w:rsidP="00032D7E">
      <w:pPr>
        <w:ind w:left="851"/>
        <w:rPr>
          <w:sz w:val="24"/>
          <w:szCs w:val="24"/>
          <w:lang w:val="en-IN"/>
        </w:rPr>
      </w:pPr>
      <w:r w:rsidRPr="00032D7E">
        <w:rPr>
          <w:sz w:val="24"/>
          <w:szCs w:val="24"/>
          <w:lang w:val="en-IN"/>
        </w:rPr>
        <w:t xml:space="preserve">The efficacy of </w:t>
      </w:r>
      <w:proofErr w:type="spellStart"/>
      <w:r w:rsidRPr="00032D7E">
        <w:rPr>
          <w:sz w:val="24"/>
          <w:szCs w:val="24"/>
          <w:lang w:val="en-IN"/>
        </w:rPr>
        <w:t>perampanel</w:t>
      </w:r>
      <w:proofErr w:type="spellEnd"/>
      <w:r w:rsidRPr="00032D7E">
        <w:rPr>
          <w:sz w:val="24"/>
          <w:szCs w:val="24"/>
          <w:lang w:val="en-IN"/>
        </w:rPr>
        <w:t xml:space="preserve"> in partial-onset seizures was established in three adjunctive therapy 19 week, randomised, double-blind, placebo-controlled, multicentre trials in adult and adolescent patients. Patients had partial-onset seizures with or without secondary generalisation and were not adequately controlled with one to three concomitant AEDs. During a 6-week baseline period, patients were required to have more than five seizures with no seizure-free period exceeding 25 days. In these three trials, patients had a mean duration of epilepsy of approximately 21.06 years. Between 85.3% and 89.1% of patients were taking two to three concomitant AEDs with or without concurrent vagal nerve stimulation. </w:t>
      </w:r>
    </w:p>
    <w:p w14:paraId="3BFF7F92" w14:textId="77777777" w:rsidR="00E575A9" w:rsidRPr="00032D7E" w:rsidRDefault="00E575A9" w:rsidP="00032D7E">
      <w:pPr>
        <w:ind w:left="851"/>
        <w:rPr>
          <w:sz w:val="24"/>
          <w:szCs w:val="24"/>
          <w:lang w:val="en-IN"/>
        </w:rPr>
      </w:pPr>
    </w:p>
    <w:p w14:paraId="53CDD303" w14:textId="77777777" w:rsidR="00E575A9" w:rsidRPr="00032D7E" w:rsidRDefault="00E575A9" w:rsidP="00032D7E">
      <w:pPr>
        <w:ind w:left="851"/>
        <w:rPr>
          <w:sz w:val="24"/>
          <w:szCs w:val="24"/>
          <w:lang w:val="en-IN"/>
        </w:rPr>
      </w:pPr>
      <w:r w:rsidRPr="00032D7E">
        <w:rPr>
          <w:sz w:val="24"/>
          <w:szCs w:val="24"/>
          <w:lang w:val="en-IN"/>
        </w:rPr>
        <w:t xml:space="preserve">Two studies (studies 304 and 305) compared doses of </w:t>
      </w:r>
      <w:proofErr w:type="spellStart"/>
      <w:r w:rsidRPr="00032D7E">
        <w:rPr>
          <w:sz w:val="24"/>
          <w:szCs w:val="24"/>
          <w:lang w:val="en-IN"/>
        </w:rPr>
        <w:t>perampanel</w:t>
      </w:r>
      <w:proofErr w:type="spellEnd"/>
      <w:r w:rsidRPr="00032D7E">
        <w:rPr>
          <w:sz w:val="24"/>
          <w:szCs w:val="24"/>
          <w:lang w:val="en-IN"/>
        </w:rPr>
        <w:t xml:space="preserve"> 8 and 12 mg/day with placebo and the third study (study 306) compared doses of </w:t>
      </w:r>
      <w:proofErr w:type="spellStart"/>
      <w:r w:rsidRPr="00032D7E">
        <w:rPr>
          <w:sz w:val="24"/>
          <w:szCs w:val="24"/>
          <w:lang w:val="en-IN"/>
        </w:rPr>
        <w:t>perampanel</w:t>
      </w:r>
      <w:proofErr w:type="spellEnd"/>
      <w:r w:rsidRPr="00032D7E">
        <w:rPr>
          <w:sz w:val="24"/>
          <w:szCs w:val="24"/>
          <w:lang w:val="en-IN"/>
        </w:rPr>
        <w:t xml:space="preserve"> 2, 4 and 8 mg/day with placebo. In all three trials, following a 6-week Baseline Phase to establish baseline seizure frequency prior to randomisation, patients were randomised and titrated to the randomised dose. During the Titration Phase in all three trials, treatment was initiated at 2 mg/day and increased in weekly increments of 2 mg/day to the target dose. Patients experiencing intolerable adverse events could remain on the same dose or have their dose decreased to the previously tolerated dose. In all three trials, the Titration Phase was followed by a Maintenance Phase that lasted 13 weeks, during which patients were to remain on a stable dose of </w:t>
      </w:r>
      <w:proofErr w:type="spellStart"/>
      <w:r w:rsidRPr="00032D7E">
        <w:rPr>
          <w:sz w:val="24"/>
          <w:szCs w:val="24"/>
          <w:lang w:val="en-IN"/>
        </w:rPr>
        <w:t>perampanel</w:t>
      </w:r>
      <w:proofErr w:type="spellEnd"/>
      <w:r w:rsidRPr="00032D7E">
        <w:rPr>
          <w:sz w:val="24"/>
          <w:szCs w:val="24"/>
          <w:lang w:val="en-IN"/>
        </w:rPr>
        <w:t xml:space="preserve">. </w:t>
      </w:r>
    </w:p>
    <w:p w14:paraId="1A25052A" w14:textId="77777777" w:rsidR="00E575A9" w:rsidRPr="00032D7E" w:rsidRDefault="00E575A9" w:rsidP="00032D7E">
      <w:pPr>
        <w:ind w:left="851"/>
        <w:rPr>
          <w:sz w:val="24"/>
          <w:szCs w:val="24"/>
          <w:lang w:val="en-IN"/>
        </w:rPr>
      </w:pPr>
    </w:p>
    <w:p w14:paraId="1943E564" w14:textId="187CD14A" w:rsidR="00E575A9" w:rsidRPr="00032D7E" w:rsidRDefault="00E575A9" w:rsidP="00032D7E">
      <w:pPr>
        <w:ind w:left="851"/>
        <w:rPr>
          <w:sz w:val="24"/>
          <w:szCs w:val="24"/>
          <w:lang w:val="en-IN"/>
        </w:rPr>
      </w:pPr>
      <w:r w:rsidRPr="00032D7E">
        <w:rPr>
          <w:sz w:val="24"/>
          <w:szCs w:val="24"/>
          <w:lang w:val="en-IN"/>
        </w:rPr>
        <w:t xml:space="preserve">The pooled 50% responder rates were placebo 19%, 4 mg 29%, 8 mg 35% and 12 mg 35%. A statistically significant effect on the reduction in 28-day seizure frequency (Baseline to Treatment Phase) as compared to the placebo group was observed with </w:t>
      </w:r>
      <w:proofErr w:type="spellStart"/>
      <w:r w:rsidRPr="00032D7E">
        <w:rPr>
          <w:sz w:val="24"/>
          <w:szCs w:val="24"/>
          <w:lang w:val="en-IN"/>
        </w:rPr>
        <w:t>perampanel</w:t>
      </w:r>
      <w:proofErr w:type="spellEnd"/>
      <w:r w:rsidRPr="00032D7E">
        <w:rPr>
          <w:sz w:val="24"/>
          <w:szCs w:val="24"/>
          <w:lang w:val="en-IN"/>
        </w:rPr>
        <w:t xml:space="preserve"> treatment at doses of 4 mg/day (Study 306), 8 mg/day (Studies 304, 305 and 306), and 12</w:t>
      </w:r>
      <w:r w:rsidR="003C1B3B">
        <w:rPr>
          <w:sz w:val="24"/>
          <w:szCs w:val="24"/>
          <w:lang w:val="en-IN"/>
        </w:rPr>
        <w:t> </w:t>
      </w:r>
      <w:r w:rsidRPr="00032D7E">
        <w:rPr>
          <w:sz w:val="24"/>
          <w:szCs w:val="24"/>
          <w:lang w:val="en-IN"/>
        </w:rPr>
        <w:t xml:space="preserve">mg/day (Studies 304 and 305). The 50% responder rates in the 4 mg, 8 mg and 12 mg groups were respectively 23.0%, 31.5%, and 30.0% in combination with enzyme-inducing anti-epileptic medicinal products and were 33.3%, 46.5% and 50.0% when </w:t>
      </w:r>
      <w:proofErr w:type="spellStart"/>
      <w:r w:rsidRPr="00032D7E">
        <w:rPr>
          <w:sz w:val="24"/>
          <w:szCs w:val="24"/>
          <w:lang w:val="en-IN"/>
        </w:rPr>
        <w:t>perampanel</w:t>
      </w:r>
      <w:proofErr w:type="spellEnd"/>
      <w:r w:rsidRPr="00032D7E">
        <w:rPr>
          <w:sz w:val="24"/>
          <w:szCs w:val="24"/>
          <w:lang w:val="en-IN"/>
        </w:rPr>
        <w:t xml:space="preserve"> was given in combination with non-enzyme-inducing anti-epileptic medicinal products. These studies show that once-daily administration of </w:t>
      </w:r>
      <w:proofErr w:type="spellStart"/>
      <w:r w:rsidRPr="00032D7E">
        <w:rPr>
          <w:sz w:val="24"/>
          <w:szCs w:val="24"/>
          <w:lang w:val="en-IN"/>
        </w:rPr>
        <w:t>perampanel</w:t>
      </w:r>
      <w:proofErr w:type="spellEnd"/>
      <w:r w:rsidRPr="00032D7E">
        <w:rPr>
          <w:sz w:val="24"/>
          <w:szCs w:val="24"/>
          <w:lang w:val="en-IN"/>
        </w:rPr>
        <w:t xml:space="preserve"> at doses of 4 mg to 12</w:t>
      </w:r>
      <w:r w:rsidR="003C1B3B">
        <w:rPr>
          <w:sz w:val="24"/>
          <w:szCs w:val="24"/>
          <w:lang w:val="en-IN"/>
        </w:rPr>
        <w:t> </w:t>
      </w:r>
      <w:r w:rsidRPr="00032D7E">
        <w:rPr>
          <w:sz w:val="24"/>
          <w:szCs w:val="24"/>
          <w:lang w:val="en-IN"/>
        </w:rPr>
        <w:t>mg was significantly more efficacious than placebo as adjunctive treatment in this population.</w:t>
      </w:r>
    </w:p>
    <w:p w14:paraId="5CC3EB98" w14:textId="77777777" w:rsidR="00E575A9" w:rsidRPr="00032D7E" w:rsidRDefault="00E575A9" w:rsidP="00032D7E">
      <w:pPr>
        <w:ind w:left="851"/>
        <w:rPr>
          <w:sz w:val="24"/>
          <w:szCs w:val="24"/>
          <w:lang w:val="en-IN"/>
        </w:rPr>
      </w:pPr>
      <w:r w:rsidRPr="00032D7E">
        <w:rPr>
          <w:sz w:val="24"/>
          <w:szCs w:val="24"/>
          <w:lang w:val="en-IN"/>
        </w:rPr>
        <w:t xml:space="preserve"> </w:t>
      </w:r>
    </w:p>
    <w:p w14:paraId="6331FDE2" w14:textId="77777777" w:rsidR="00E575A9" w:rsidRPr="00032D7E" w:rsidRDefault="00E575A9" w:rsidP="00032D7E">
      <w:pPr>
        <w:ind w:left="851"/>
        <w:rPr>
          <w:sz w:val="24"/>
          <w:szCs w:val="24"/>
          <w:lang w:val="en-IN"/>
        </w:rPr>
      </w:pPr>
      <w:r w:rsidRPr="00032D7E">
        <w:rPr>
          <w:sz w:val="24"/>
          <w:szCs w:val="24"/>
          <w:lang w:val="en-IN"/>
        </w:rPr>
        <w:t xml:space="preserve">Data from placebo-controlled studies demonstrate that improvement in seizure control is observed with a once-daily </w:t>
      </w:r>
      <w:proofErr w:type="spellStart"/>
      <w:r w:rsidRPr="00032D7E">
        <w:rPr>
          <w:sz w:val="24"/>
          <w:szCs w:val="24"/>
          <w:lang w:val="en-IN"/>
        </w:rPr>
        <w:t>perampanel</w:t>
      </w:r>
      <w:proofErr w:type="spellEnd"/>
      <w:r w:rsidRPr="00032D7E">
        <w:rPr>
          <w:sz w:val="24"/>
          <w:szCs w:val="24"/>
          <w:lang w:val="en-IN"/>
        </w:rPr>
        <w:t xml:space="preserve"> dose of 4 mg and this benefit is enhanced as the dose is increased to 8 mg/day. No efficacy benefit was observed at the dose of 12 mg as compared to the dose of 8 mg in the overall population. Benefit at the dose of 12 mg was observed in some patients who tolerate the dose of 8 mg and when the clinical response to that dose was insufficient. A clinically meaningful reduction in seizure frequency relative to placebo was achieved as early as the second week of dosing when patients reached a daily dose of 4 mg. </w:t>
      </w:r>
    </w:p>
    <w:p w14:paraId="0FE5B4E0" w14:textId="77777777" w:rsidR="00E575A9" w:rsidRPr="00032D7E" w:rsidRDefault="00E575A9" w:rsidP="00032D7E">
      <w:pPr>
        <w:ind w:left="851"/>
        <w:rPr>
          <w:sz w:val="24"/>
          <w:szCs w:val="24"/>
          <w:lang w:val="en-IN"/>
        </w:rPr>
      </w:pPr>
    </w:p>
    <w:p w14:paraId="7A58ACD2" w14:textId="77777777" w:rsidR="00E575A9" w:rsidRPr="00032D7E" w:rsidRDefault="00E575A9" w:rsidP="00032D7E">
      <w:pPr>
        <w:ind w:left="851"/>
        <w:rPr>
          <w:sz w:val="24"/>
          <w:szCs w:val="24"/>
          <w:lang w:val="en-IN"/>
        </w:rPr>
      </w:pPr>
      <w:r w:rsidRPr="00032D7E">
        <w:rPr>
          <w:sz w:val="24"/>
          <w:szCs w:val="24"/>
          <w:lang w:val="en-IN"/>
        </w:rPr>
        <w:t xml:space="preserve">1.7 to 5.8% of the patients on </w:t>
      </w:r>
      <w:proofErr w:type="spellStart"/>
      <w:r w:rsidRPr="00032D7E">
        <w:rPr>
          <w:sz w:val="24"/>
          <w:szCs w:val="24"/>
          <w:lang w:val="en-IN"/>
        </w:rPr>
        <w:t>perampanel</w:t>
      </w:r>
      <w:proofErr w:type="spellEnd"/>
      <w:r w:rsidRPr="00032D7E">
        <w:rPr>
          <w:sz w:val="24"/>
          <w:szCs w:val="24"/>
          <w:lang w:val="en-IN"/>
        </w:rPr>
        <w:t xml:space="preserve"> in the clinical studies became seizure free during the </w:t>
      </w:r>
      <w:proofErr w:type="gramStart"/>
      <w:r w:rsidRPr="00032D7E">
        <w:rPr>
          <w:sz w:val="24"/>
          <w:szCs w:val="24"/>
          <w:lang w:val="en-IN"/>
        </w:rPr>
        <w:t>3 month</w:t>
      </w:r>
      <w:proofErr w:type="gramEnd"/>
      <w:r w:rsidRPr="00032D7E">
        <w:rPr>
          <w:sz w:val="24"/>
          <w:szCs w:val="24"/>
          <w:lang w:val="en-IN"/>
        </w:rPr>
        <w:t xml:space="preserve"> maintenance period compared with 0%-1.0% on placebo.</w:t>
      </w:r>
    </w:p>
    <w:p w14:paraId="36EADE04" w14:textId="0775D1AA" w:rsidR="00E575A9" w:rsidRPr="00032D7E" w:rsidRDefault="00E575A9" w:rsidP="00032D7E">
      <w:pPr>
        <w:ind w:left="851"/>
        <w:rPr>
          <w:sz w:val="24"/>
          <w:szCs w:val="24"/>
          <w:lang w:val="en-IN"/>
        </w:rPr>
      </w:pPr>
    </w:p>
    <w:p w14:paraId="6B53FE51" w14:textId="77777777" w:rsidR="00E575A9" w:rsidRPr="00032D7E" w:rsidRDefault="00E575A9" w:rsidP="00032D7E">
      <w:pPr>
        <w:ind w:left="851"/>
        <w:rPr>
          <w:sz w:val="24"/>
          <w:szCs w:val="24"/>
          <w:lang w:val="en-IN"/>
        </w:rPr>
      </w:pPr>
      <w:r w:rsidRPr="00032D7E">
        <w:rPr>
          <w:i/>
          <w:iCs/>
          <w:sz w:val="24"/>
          <w:szCs w:val="24"/>
          <w:lang w:val="en-IN"/>
        </w:rPr>
        <w:t xml:space="preserve">Open label extension study </w:t>
      </w:r>
    </w:p>
    <w:p w14:paraId="1050527A" w14:textId="77777777" w:rsidR="00E575A9" w:rsidRPr="00032D7E" w:rsidRDefault="00E575A9" w:rsidP="00032D7E">
      <w:pPr>
        <w:ind w:left="851"/>
        <w:rPr>
          <w:sz w:val="24"/>
          <w:szCs w:val="24"/>
          <w:lang w:val="en-IN"/>
        </w:rPr>
      </w:pPr>
      <w:r w:rsidRPr="00032D7E">
        <w:rPr>
          <w:sz w:val="24"/>
          <w:szCs w:val="24"/>
          <w:lang w:val="en-IN"/>
        </w:rPr>
        <w:t xml:space="preserve">Ninety-seven percent of the patients who completed the randomised trials in patients with partial-onset seizures were enrolled in the open label extension study (n = 1186). Patients from the randomised trial were converted to </w:t>
      </w:r>
      <w:proofErr w:type="spellStart"/>
      <w:r w:rsidRPr="00032D7E">
        <w:rPr>
          <w:sz w:val="24"/>
          <w:szCs w:val="24"/>
          <w:lang w:val="en-IN"/>
        </w:rPr>
        <w:t>perampanel</w:t>
      </w:r>
      <w:proofErr w:type="spellEnd"/>
      <w:r w:rsidRPr="00032D7E">
        <w:rPr>
          <w:sz w:val="24"/>
          <w:szCs w:val="24"/>
          <w:lang w:val="en-IN"/>
        </w:rPr>
        <w:t xml:space="preserve"> over 16 weeks followed by a long-term maintenance period (≥ 1 year). The mean average daily dose was 10.05 mg. </w:t>
      </w:r>
    </w:p>
    <w:p w14:paraId="7478DF45" w14:textId="77777777" w:rsidR="00E575A9" w:rsidRPr="00032D7E" w:rsidRDefault="00E575A9" w:rsidP="00032D7E">
      <w:pPr>
        <w:ind w:left="851"/>
        <w:rPr>
          <w:sz w:val="24"/>
          <w:szCs w:val="24"/>
          <w:lang w:val="en-IN"/>
        </w:rPr>
      </w:pPr>
    </w:p>
    <w:p w14:paraId="5C1A48CF" w14:textId="77777777" w:rsidR="00E575A9" w:rsidRPr="00032D7E" w:rsidRDefault="00E575A9" w:rsidP="00032D7E">
      <w:pPr>
        <w:ind w:left="851"/>
        <w:rPr>
          <w:sz w:val="24"/>
          <w:szCs w:val="24"/>
          <w:lang w:val="en-IN"/>
        </w:rPr>
      </w:pPr>
      <w:r w:rsidRPr="00032D7E">
        <w:rPr>
          <w:i/>
          <w:iCs/>
          <w:sz w:val="24"/>
          <w:szCs w:val="24"/>
          <w:lang w:val="en-IN"/>
        </w:rPr>
        <w:t xml:space="preserve">Primary Generalised Tonic-Clonic Seizures </w:t>
      </w:r>
    </w:p>
    <w:p w14:paraId="77681905" w14:textId="77777777" w:rsidR="00E575A9" w:rsidRPr="00032D7E" w:rsidRDefault="00E575A9" w:rsidP="00032D7E">
      <w:pPr>
        <w:ind w:left="851"/>
        <w:rPr>
          <w:sz w:val="24"/>
          <w:szCs w:val="24"/>
          <w:lang w:val="en-IN"/>
        </w:rPr>
      </w:pPr>
      <w:proofErr w:type="spellStart"/>
      <w:r w:rsidRPr="00032D7E">
        <w:rPr>
          <w:sz w:val="24"/>
          <w:szCs w:val="24"/>
          <w:lang w:val="en-IN"/>
        </w:rPr>
        <w:t>Perampanel</w:t>
      </w:r>
      <w:proofErr w:type="spellEnd"/>
      <w:r w:rsidRPr="00032D7E">
        <w:rPr>
          <w:sz w:val="24"/>
          <w:szCs w:val="24"/>
          <w:lang w:val="en-IN"/>
        </w:rPr>
        <w:t xml:space="preserve"> as adjunctive therapy in patients 12 years of age and older with idiopathic generalised epilepsy experiencing primary generalised tonic-clonic seizures was established in a multicentre, randomised, double-blind, placebo-controlled study (Study 332). Eligible patients on a stable dose of 1 to 3 AEDs experiencing at least 3 primary generalised tonic-clonic seizures during the 8-week baseline period were randomised to either </w:t>
      </w:r>
      <w:proofErr w:type="spellStart"/>
      <w:r w:rsidRPr="00032D7E">
        <w:rPr>
          <w:sz w:val="24"/>
          <w:szCs w:val="24"/>
          <w:lang w:val="en-IN"/>
        </w:rPr>
        <w:t>perampanel</w:t>
      </w:r>
      <w:proofErr w:type="spellEnd"/>
      <w:r w:rsidRPr="00032D7E">
        <w:rPr>
          <w:sz w:val="24"/>
          <w:szCs w:val="24"/>
          <w:lang w:val="en-IN"/>
        </w:rPr>
        <w:t xml:space="preserve"> or placebo. The population included 164 patients (</w:t>
      </w:r>
      <w:proofErr w:type="spellStart"/>
      <w:r w:rsidRPr="00032D7E">
        <w:rPr>
          <w:sz w:val="24"/>
          <w:szCs w:val="24"/>
          <w:lang w:val="en-IN"/>
        </w:rPr>
        <w:t>perampanel</w:t>
      </w:r>
      <w:proofErr w:type="spellEnd"/>
      <w:r w:rsidRPr="00032D7E">
        <w:rPr>
          <w:sz w:val="24"/>
          <w:szCs w:val="24"/>
          <w:lang w:val="en-IN"/>
        </w:rPr>
        <w:t xml:space="preserve"> N = 82, placebo N = 82). Patients were titrated over four weeks to a target dose of 8 mg per day or the highest tolerated dose and treated for an additional 13 weeks on the last dose level achieved at the end of the titration period. The total treatment period was 17 weeks. Study drug was given once per day.</w:t>
      </w:r>
    </w:p>
    <w:p w14:paraId="6F94BD44" w14:textId="77777777" w:rsidR="00E575A9" w:rsidRPr="00032D7E" w:rsidRDefault="00E575A9" w:rsidP="00032D7E">
      <w:pPr>
        <w:ind w:left="851"/>
        <w:rPr>
          <w:sz w:val="24"/>
          <w:szCs w:val="24"/>
          <w:lang w:val="en-IN"/>
        </w:rPr>
      </w:pPr>
    </w:p>
    <w:p w14:paraId="382DBBA3" w14:textId="693CB831" w:rsidR="00E575A9" w:rsidRPr="00032D7E" w:rsidRDefault="00E575A9" w:rsidP="00032D7E">
      <w:pPr>
        <w:ind w:left="851"/>
        <w:rPr>
          <w:sz w:val="24"/>
          <w:szCs w:val="24"/>
          <w:lang w:val="en-IN"/>
        </w:rPr>
      </w:pPr>
      <w:r w:rsidRPr="00032D7E">
        <w:rPr>
          <w:sz w:val="24"/>
          <w:szCs w:val="24"/>
          <w:lang w:val="en-IN"/>
        </w:rPr>
        <w:t xml:space="preserve">The 50% primary generalised tonic-clonic seizures responder rate during the Maintenance Period was significantly higher in the </w:t>
      </w:r>
      <w:proofErr w:type="spellStart"/>
      <w:r w:rsidRPr="00032D7E">
        <w:rPr>
          <w:sz w:val="24"/>
          <w:szCs w:val="24"/>
          <w:lang w:val="en-IN"/>
        </w:rPr>
        <w:t>perampanel</w:t>
      </w:r>
      <w:proofErr w:type="spellEnd"/>
      <w:r w:rsidRPr="00032D7E">
        <w:rPr>
          <w:sz w:val="24"/>
          <w:szCs w:val="24"/>
          <w:lang w:val="en-IN"/>
        </w:rPr>
        <w:t xml:space="preserve"> group (58.0%) than in the placebo group (35.8%), P = 0.0059. The 50% responder rate was 22.2% in combination with enzyme-inducing anti-epileptic medicinal products and was 69.4% when </w:t>
      </w:r>
      <w:proofErr w:type="spellStart"/>
      <w:r w:rsidRPr="00032D7E">
        <w:rPr>
          <w:sz w:val="24"/>
          <w:szCs w:val="24"/>
          <w:lang w:val="en-IN"/>
        </w:rPr>
        <w:t>perampanel</w:t>
      </w:r>
      <w:proofErr w:type="spellEnd"/>
      <w:r w:rsidRPr="00032D7E">
        <w:rPr>
          <w:sz w:val="24"/>
          <w:szCs w:val="24"/>
          <w:lang w:val="en-IN"/>
        </w:rPr>
        <w:t xml:space="preserve"> was given in combination with non-enzyme-inducing anti-epileptic medicinal products. The number of </w:t>
      </w:r>
      <w:proofErr w:type="spellStart"/>
      <w:r w:rsidRPr="00032D7E">
        <w:rPr>
          <w:sz w:val="24"/>
          <w:szCs w:val="24"/>
          <w:lang w:val="en-IN"/>
        </w:rPr>
        <w:t>perampanel</w:t>
      </w:r>
      <w:proofErr w:type="spellEnd"/>
      <w:r w:rsidRPr="00032D7E">
        <w:rPr>
          <w:sz w:val="24"/>
          <w:szCs w:val="24"/>
          <w:lang w:val="en-IN"/>
        </w:rPr>
        <w:t xml:space="preserve"> patients taking enzyme-inducing anti-epileptic medicinal products was small (n = 9). The median percent change in primary generalised tonic-clonic seizure frequency per 28 days during the Titration and Maintenance Periods (combined) relative to </w:t>
      </w:r>
      <w:proofErr w:type="spellStart"/>
      <w:r w:rsidRPr="00032D7E">
        <w:rPr>
          <w:sz w:val="24"/>
          <w:szCs w:val="24"/>
          <w:lang w:val="en-IN"/>
        </w:rPr>
        <w:t>Prerandomisation</w:t>
      </w:r>
      <w:proofErr w:type="spellEnd"/>
      <w:r w:rsidRPr="00032D7E">
        <w:rPr>
          <w:sz w:val="24"/>
          <w:szCs w:val="24"/>
          <w:lang w:val="en-IN"/>
        </w:rPr>
        <w:t xml:space="preserve"> was greater with </w:t>
      </w:r>
      <w:proofErr w:type="spellStart"/>
      <w:r w:rsidRPr="00032D7E">
        <w:rPr>
          <w:sz w:val="24"/>
          <w:szCs w:val="24"/>
          <w:lang w:val="en-IN"/>
        </w:rPr>
        <w:t>perampanel</w:t>
      </w:r>
      <w:proofErr w:type="spellEnd"/>
      <w:r w:rsidRPr="00032D7E">
        <w:rPr>
          <w:sz w:val="24"/>
          <w:szCs w:val="24"/>
          <w:lang w:val="en-IN"/>
        </w:rPr>
        <w:t xml:space="preserve"> (-76.5%) than with placebo (-38.4%), P</w:t>
      </w:r>
      <w:r w:rsidR="00FE0AD1">
        <w:rPr>
          <w:sz w:val="24"/>
          <w:szCs w:val="24"/>
          <w:lang w:val="en-IN"/>
        </w:rPr>
        <w:t> </w:t>
      </w:r>
      <w:r w:rsidRPr="00032D7E">
        <w:rPr>
          <w:sz w:val="24"/>
          <w:szCs w:val="24"/>
          <w:lang w:val="en-IN"/>
        </w:rPr>
        <w:t>&lt;</w:t>
      </w:r>
      <w:r w:rsidR="00FE0AD1">
        <w:rPr>
          <w:sz w:val="24"/>
          <w:szCs w:val="24"/>
          <w:lang w:val="en-IN"/>
        </w:rPr>
        <w:t> </w:t>
      </w:r>
      <w:r w:rsidRPr="00032D7E">
        <w:rPr>
          <w:sz w:val="24"/>
          <w:szCs w:val="24"/>
          <w:lang w:val="en-IN"/>
        </w:rPr>
        <w:t xml:space="preserve">0.0001. During the 3 months maintenance period, 30.9% (25/81) of the patients on </w:t>
      </w:r>
      <w:proofErr w:type="spellStart"/>
      <w:r w:rsidRPr="00032D7E">
        <w:rPr>
          <w:sz w:val="24"/>
          <w:szCs w:val="24"/>
          <w:lang w:val="en-IN"/>
        </w:rPr>
        <w:t>perampanel</w:t>
      </w:r>
      <w:proofErr w:type="spellEnd"/>
      <w:r w:rsidRPr="00032D7E">
        <w:rPr>
          <w:sz w:val="24"/>
          <w:szCs w:val="24"/>
          <w:lang w:val="en-IN"/>
        </w:rPr>
        <w:t xml:space="preserve"> in the clinical studies became free of PGTC seizures compared with 12.3% (10/81) on placebo. </w:t>
      </w:r>
    </w:p>
    <w:p w14:paraId="4D841F46" w14:textId="77777777" w:rsidR="00E575A9" w:rsidRPr="00032D7E" w:rsidRDefault="00E575A9" w:rsidP="00032D7E">
      <w:pPr>
        <w:ind w:left="851"/>
        <w:rPr>
          <w:sz w:val="24"/>
          <w:szCs w:val="24"/>
          <w:lang w:val="en-IN"/>
        </w:rPr>
      </w:pPr>
    </w:p>
    <w:p w14:paraId="60B0B012" w14:textId="77777777" w:rsidR="00E575A9" w:rsidRPr="00032D7E" w:rsidRDefault="00E575A9" w:rsidP="00032D7E">
      <w:pPr>
        <w:ind w:left="851"/>
        <w:rPr>
          <w:sz w:val="24"/>
          <w:szCs w:val="24"/>
          <w:lang w:val="en-IN"/>
        </w:rPr>
      </w:pPr>
      <w:r w:rsidRPr="00032D7E">
        <w:rPr>
          <w:i/>
          <w:iCs/>
          <w:sz w:val="24"/>
          <w:szCs w:val="24"/>
          <w:lang w:val="en-IN"/>
        </w:rPr>
        <w:t xml:space="preserve">Other subtypes of idiopathic generalised seizure </w:t>
      </w:r>
    </w:p>
    <w:p w14:paraId="755F951A" w14:textId="77777777" w:rsidR="00E575A9" w:rsidRPr="00032D7E" w:rsidRDefault="00E575A9" w:rsidP="00032D7E">
      <w:pPr>
        <w:ind w:left="851"/>
        <w:rPr>
          <w:sz w:val="24"/>
          <w:szCs w:val="24"/>
          <w:lang w:val="en-IN"/>
        </w:rPr>
      </w:pPr>
      <w:r w:rsidRPr="00032D7E">
        <w:rPr>
          <w:sz w:val="24"/>
          <w:szCs w:val="24"/>
          <w:lang w:val="en-IN"/>
        </w:rPr>
        <w:t xml:space="preserve">The efficacy and safety of </w:t>
      </w:r>
      <w:proofErr w:type="spellStart"/>
      <w:r w:rsidRPr="00032D7E">
        <w:rPr>
          <w:sz w:val="24"/>
          <w:szCs w:val="24"/>
          <w:lang w:val="en-IN"/>
        </w:rPr>
        <w:t>perampanel</w:t>
      </w:r>
      <w:proofErr w:type="spellEnd"/>
      <w:r w:rsidRPr="00032D7E">
        <w:rPr>
          <w:sz w:val="24"/>
          <w:szCs w:val="24"/>
          <w:lang w:val="en-IN"/>
        </w:rPr>
        <w:t xml:space="preserve"> in patients with myoclonic seizures have not been established. The available data are insufficient to reach any conclusions. </w:t>
      </w:r>
    </w:p>
    <w:p w14:paraId="6EE7FC3B" w14:textId="77777777" w:rsidR="00E575A9" w:rsidRPr="00032D7E" w:rsidRDefault="00E575A9" w:rsidP="00032D7E">
      <w:pPr>
        <w:ind w:left="851"/>
        <w:rPr>
          <w:sz w:val="24"/>
          <w:szCs w:val="24"/>
          <w:lang w:val="en-IN"/>
        </w:rPr>
      </w:pPr>
      <w:r w:rsidRPr="00032D7E">
        <w:rPr>
          <w:sz w:val="24"/>
          <w:szCs w:val="24"/>
          <w:lang w:val="en-IN"/>
        </w:rPr>
        <w:t xml:space="preserve">The efficacy of </w:t>
      </w:r>
      <w:proofErr w:type="spellStart"/>
      <w:r w:rsidRPr="00032D7E">
        <w:rPr>
          <w:sz w:val="24"/>
          <w:szCs w:val="24"/>
          <w:lang w:val="en-IN"/>
        </w:rPr>
        <w:t>perampanel</w:t>
      </w:r>
      <w:proofErr w:type="spellEnd"/>
      <w:r w:rsidRPr="00032D7E">
        <w:rPr>
          <w:sz w:val="24"/>
          <w:szCs w:val="24"/>
          <w:lang w:val="en-IN"/>
        </w:rPr>
        <w:t xml:space="preserve"> in the treatment of absence seizures has not been demonstrated. </w:t>
      </w:r>
    </w:p>
    <w:p w14:paraId="54C451F4" w14:textId="77777777" w:rsidR="00E575A9" w:rsidRPr="00032D7E" w:rsidRDefault="00E575A9" w:rsidP="00032D7E">
      <w:pPr>
        <w:ind w:left="851"/>
        <w:rPr>
          <w:sz w:val="24"/>
          <w:szCs w:val="24"/>
          <w:lang w:val="en-IN"/>
        </w:rPr>
      </w:pPr>
      <w:r w:rsidRPr="00032D7E">
        <w:rPr>
          <w:sz w:val="24"/>
          <w:szCs w:val="24"/>
          <w:lang w:val="en-IN"/>
        </w:rPr>
        <w:t xml:space="preserve">In Study 332, in patients with PGTC seizures who also had concomitant myoclonic seizures, freedom from seizures was achieved in 16.7% (4/24) on </w:t>
      </w:r>
      <w:proofErr w:type="spellStart"/>
      <w:r w:rsidRPr="00032D7E">
        <w:rPr>
          <w:sz w:val="24"/>
          <w:szCs w:val="24"/>
          <w:lang w:val="en-IN"/>
        </w:rPr>
        <w:t>perampanel</w:t>
      </w:r>
      <w:proofErr w:type="spellEnd"/>
      <w:r w:rsidRPr="00032D7E">
        <w:rPr>
          <w:sz w:val="24"/>
          <w:szCs w:val="24"/>
          <w:lang w:val="en-IN"/>
        </w:rPr>
        <w:t xml:space="preserve"> compared to 13.0% (3/23) in those on placebo. In patients with concomitant absence seizures, freedom from seizures was achieved in 22.2% (6/27) on </w:t>
      </w:r>
      <w:proofErr w:type="spellStart"/>
      <w:r w:rsidRPr="00032D7E">
        <w:rPr>
          <w:sz w:val="24"/>
          <w:szCs w:val="24"/>
          <w:lang w:val="en-IN"/>
        </w:rPr>
        <w:t>perampanel</w:t>
      </w:r>
      <w:proofErr w:type="spellEnd"/>
      <w:r w:rsidRPr="00032D7E">
        <w:rPr>
          <w:sz w:val="24"/>
          <w:szCs w:val="24"/>
          <w:lang w:val="en-IN"/>
        </w:rPr>
        <w:t xml:space="preserve"> compared to 12.1% (4/33) on placebo. Freedom from all seizures was achieved in 23.5% (19/81) of patients on </w:t>
      </w:r>
      <w:proofErr w:type="spellStart"/>
      <w:r w:rsidRPr="00032D7E">
        <w:rPr>
          <w:sz w:val="24"/>
          <w:szCs w:val="24"/>
          <w:lang w:val="en-IN"/>
        </w:rPr>
        <w:t>perampanel</w:t>
      </w:r>
      <w:proofErr w:type="spellEnd"/>
      <w:r w:rsidRPr="00032D7E">
        <w:rPr>
          <w:sz w:val="24"/>
          <w:szCs w:val="24"/>
          <w:lang w:val="en-IN"/>
        </w:rPr>
        <w:t xml:space="preserve"> compared to 4.9% (4/81) of patients on placebo. </w:t>
      </w:r>
    </w:p>
    <w:p w14:paraId="0A88D47C" w14:textId="77777777" w:rsidR="00E575A9" w:rsidRPr="00032D7E" w:rsidRDefault="00E575A9" w:rsidP="00032D7E">
      <w:pPr>
        <w:ind w:left="851"/>
        <w:rPr>
          <w:sz w:val="24"/>
          <w:szCs w:val="24"/>
          <w:lang w:val="en-IN"/>
        </w:rPr>
      </w:pPr>
    </w:p>
    <w:p w14:paraId="3E4C6087" w14:textId="77777777" w:rsidR="00E575A9" w:rsidRPr="00032D7E" w:rsidRDefault="00E575A9" w:rsidP="00032D7E">
      <w:pPr>
        <w:ind w:left="851"/>
        <w:rPr>
          <w:sz w:val="24"/>
          <w:szCs w:val="24"/>
          <w:lang w:val="en-IN"/>
        </w:rPr>
      </w:pPr>
      <w:r w:rsidRPr="00032D7E">
        <w:rPr>
          <w:i/>
          <w:iCs/>
          <w:sz w:val="24"/>
          <w:szCs w:val="24"/>
          <w:lang w:val="en-IN"/>
        </w:rPr>
        <w:t xml:space="preserve">Open label extension phase </w:t>
      </w:r>
    </w:p>
    <w:p w14:paraId="131FFFD3" w14:textId="2FC6AD69" w:rsidR="00E575A9" w:rsidRPr="00032D7E" w:rsidRDefault="00E575A9" w:rsidP="00032D7E">
      <w:pPr>
        <w:ind w:left="851"/>
        <w:rPr>
          <w:sz w:val="24"/>
          <w:szCs w:val="24"/>
          <w:lang w:val="en-IN"/>
        </w:rPr>
      </w:pPr>
      <w:r w:rsidRPr="00032D7E">
        <w:rPr>
          <w:sz w:val="24"/>
          <w:szCs w:val="24"/>
          <w:lang w:val="en-IN"/>
        </w:rPr>
        <w:t xml:space="preserve">Of the 140 patients who completed the Study 332, 114 patients (81.4%) had entered the Extension phase. Patients from the randomised trial were converted to </w:t>
      </w:r>
      <w:proofErr w:type="spellStart"/>
      <w:r w:rsidRPr="00032D7E">
        <w:rPr>
          <w:sz w:val="24"/>
          <w:szCs w:val="24"/>
          <w:lang w:val="en-IN"/>
        </w:rPr>
        <w:t>perampanel</w:t>
      </w:r>
      <w:proofErr w:type="spellEnd"/>
      <w:r w:rsidRPr="00032D7E">
        <w:rPr>
          <w:sz w:val="24"/>
          <w:szCs w:val="24"/>
          <w:lang w:val="en-IN"/>
        </w:rPr>
        <w:t xml:space="preserve"> over 6 weeks followed by a long-term maintenance period (≥ 1 year). In the Extension Phase, 73.7% (84/114) of patients have a modal daily </w:t>
      </w:r>
      <w:proofErr w:type="spellStart"/>
      <w:r w:rsidRPr="00032D7E">
        <w:rPr>
          <w:sz w:val="24"/>
          <w:szCs w:val="24"/>
          <w:lang w:val="en-IN"/>
        </w:rPr>
        <w:t>perampanel</w:t>
      </w:r>
      <w:proofErr w:type="spellEnd"/>
      <w:r w:rsidRPr="00032D7E">
        <w:rPr>
          <w:sz w:val="24"/>
          <w:szCs w:val="24"/>
          <w:lang w:val="en-IN"/>
        </w:rPr>
        <w:t xml:space="preserve"> dose of greater than 4 to 8</w:t>
      </w:r>
      <w:r w:rsidR="00FE0AD1">
        <w:rPr>
          <w:sz w:val="24"/>
          <w:szCs w:val="24"/>
          <w:lang w:val="en-IN"/>
        </w:rPr>
        <w:t> </w:t>
      </w:r>
      <w:r w:rsidRPr="00032D7E">
        <w:rPr>
          <w:sz w:val="24"/>
          <w:szCs w:val="24"/>
          <w:lang w:val="en-IN"/>
        </w:rPr>
        <w:t>mg/day and 16.7% (19/114) had a modal daily dose of greater than 8 to 12 mg/day. A decrease in PGTC seizure frequency of at least 50% was seen in 65.9% (29/44) of patients after 1 year of treatment during the Extension Phase (relative to their pre-</w:t>
      </w:r>
      <w:proofErr w:type="spellStart"/>
      <w:r w:rsidRPr="00032D7E">
        <w:rPr>
          <w:sz w:val="24"/>
          <w:szCs w:val="24"/>
          <w:lang w:val="en-IN"/>
        </w:rPr>
        <w:t>perampanel</w:t>
      </w:r>
      <w:proofErr w:type="spellEnd"/>
      <w:r w:rsidRPr="00032D7E">
        <w:rPr>
          <w:sz w:val="24"/>
          <w:szCs w:val="24"/>
          <w:lang w:val="en-IN"/>
        </w:rPr>
        <w:t xml:space="preserve"> baseline seizure frequency). These data were consistent with those for percent change in seizure frequency and showed that the PGTC 50% responder rate was generally stable across time from about week 26 through the end of year 2. Similar results were seen when all seizures and absence vs. myoclonic seizures were evaluated over time. </w:t>
      </w:r>
    </w:p>
    <w:p w14:paraId="4DA600E4" w14:textId="77777777" w:rsidR="00E575A9" w:rsidRPr="00032D7E" w:rsidRDefault="00E575A9" w:rsidP="00032D7E">
      <w:pPr>
        <w:ind w:left="851"/>
        <w:rPr>
          <w:i/>
          <w:iCs/>
          <w:sz w:val="24"/>
          <w:szCs w:val="24"/>
          <w:lang w:val="en-IN"/>
        </w:rPr>
      </w:pPr>
    </w:p>
    <w:p w14:paraId="747D105A" w14:textId="77777777" w:rsidR="00E575A9" w:rsidRPr="00032D7E" w:rsidRDefault="00E575A9" w:rsidP="00032D7E">
      <w:pPr>
        <w:ind w:left="851"/>
        <w:rPr>
          <w:sz w:val="24"/>
          <w:szCs w:val="24"/>
          <w:lang w:val="en-IN"/>
        </w:rPr>
      </w:pPr>
      <w:r w:rsidRPr="00032D7E">
        <w:rPr>
          <w:i/>
          <w:iCs/>
          <w:sz w:val="24"/>
          <w:szCs w:val="24"/>
          <w:lang w:val="en-IN"/>
        </w:rPr>
        <w:t xml:space="preserve">Conversion to monotherapy </w:t>
      </w:r>
    </w:p>
    <w:p w14:paraId="7CE9519D" w14:textId="77777777" w:rsidR="00E575A9" w:rsidRPr="00032D7E" w:rsidRDefault="00E575A9" w:rsidP="00032D7E">
      <w:pPr>
        <w:ind w:left="851"/>
        <w:rPr>
          <w:sz w:val="24"/>
          <w:szCs w:val="24"/>
          <w:lang w:val="en-IN"/>
        </w:rPr>
      </w:pPr>
      <w:r w:rsidRPr="00032D7E">
        <w:rPr>
          <w:sz w:val="24"/>
          <w:szCs w:val="24"/>
          <w:lang w:val="en-IN"/>
        </w:rPr>
        <w:t xml:space="preserve">In a retrospective study of clinical practice, 51 patients with epilepsy who received </w:t>
      </w:r>
      <w:proofErr w:type="spellStart"/>
      <w:r w:rsidRPr="00032D7E">
        <w:rPr>
          <w:sz w:val="24"/>
          <w:szCs w:val="24"/>
          <w:lang w:val="en-IN"/>
        </w:rPr>
        <w:t>perampanel</w:t>
      </w:r>
      <w:proofErr w:type="spellEnd"/>
      <w:r w:rsidRPr="00032D7E">
        <w:rPr>
          <w:sz w:val="24"/>
          <w:szCs w:val="24"/>
          <w:lang w:val="en-IN"/>
        </w:rPr>
        <w:t xml:space="preserve"> as adjunctive treatment converted to </w:t>
      </w:r>
      <w:proofErr w:type="spellStart"/>
      <w:r w:rsidRPr="00032D7E">
        <w:rPr>
          <w:sz w:val="24"/>
          <w:szCs w:val="24"/>
          <w:lang w:val="en-IN"/>
        </w:rPr>
        <w:t>perampanel</w:t>
      </w:r>
      <w:proofErr w:type="spellEnd"/>
      <w:r w:rsidRPr="00032D7E">
        <w:rPr>
          <w:sz w:val="24"/>
          <w:szCs w:val="24"/>
          <w:lang w:val="en-IN"/>
        </w:rPr>
        <w:t xml:space="preserve"> monotherapy. </w:t>
      </w:r>
      <w:proofErr w:type="gramStart"/>
      <w:r w:rsidRPr="00032D7E">
        <w:rPr>
          <w:sz w:val="24"/>
          <w:szCs w:val="24"/>
          <w:lang w:val="en-IN"/>
        </w:rPr>
        <w:t>The majority of</w:t>
      </w:r>
      <w:proofErr w:type="gramEnd"/>
      <w:r w:rsidRPr="00032D7E">
        <w:rPr>
          <w:sz w:val="24"/>
          <w:szCs w:val="24"/>
          <w:lang w:val="en-IN"/>
        </w:rPr>
        <w:t xml:space="preserve"> these patients had a history of partial onset seizures. Of these, 14 patients (27%) reverted to adjunctive therapy in the following months. </w:t>
      </w:r>
      <w:proofErr w:type="gramStart"/>
      <w:r w:rsidRPr="00032D7E">
        <w:rPr>
          <w:sz w:val="24"/>
          <w:szCs w:val="24"/>
          <w:lang w:val="en-IN"/>
        </w:rPr>
        <w:t>Thirty four</w:t>
      </w:r>
      <w:proofErr w:type="gramEnd"/>
      <w:r w:rsidRPr="00032D7E">
        <w:rPr>
          <w:sz w:val="24"/>
          <w:szCs w:val="24"/>
          <w:lang w:val="en-IN"/>
        </w:rPr>
        <w:t xml:space="preserve"> (34) patients were followed up for at least 6 months and, of these, 24 patients (71%) remained on </w:t>
      </w:r>
      <w:proofErr w:type="spellStart"/>
      <w:r w:rsidRPr="00032D7E">
        <w:rPr>
          <w:sz w:val="24"/>
          <w:szCs w:val="24"/>
          <w:lang w:val="en-IN"/>
        </w:rPr>
        <w:t>perampanel</w:t>
      </w:r>
      <w:proofErr w:type="spellEnd"/>
      <w:r w:rsidRPr="00032D7E">
        <w:rPr>
          <w:sz w:val="24"/>
          <w:szCs w:val="24"/>
          <w:lang w:val="en-IN"/>
        </w:rPr>
        <w:t xml:space="preserve"> monotherapy for at least 6 months. Ten (10) patients were followed up for at least 18 months and, of these, 3 patients (30%) remained on </w:t>
      </w:r>
      <w:proofErr w:type="spellStart"/>
      <w:r w:rsidRPr="00032D7E">
        <w:rPr>
          <w:sz w:val="24"/>
          <w:szCs w:val="24"/>
          <w:lang w:val="en-IN"/>
        </w:rPr>
        <w:t>perampanel</w:t>
      </w:r>
      <w:proofErr w:type="spellEnd"/>
      <w:r w:rsidRPr="00032D7E">
        <w:rPr>
          <w:sz w:val="24"/>
          <w:szCs w:val="24"/>
          <w:lang w:val="en-IN"/>
        </w:rPr>
        <w:t xml:space="preserve"> monotherapy for at least 18 months.</w:t>
      </w:r>
    </w:p>
    <w:p w14:paraId="1DECFD3B" w14:textId="77777777" w:rsidR="00E575A9" w:rsidRPr="00032D7E" w:rsidRDefault="00E575A9" w:rsidP="00032D7E">
      <w:pPr>
        <w:ind w:left="851"/>
        <w:rPr>
          <w:sz w:val="24"/>
          <w:szCs w:val="24"/>
          <w:u w:val="single"/>
          <w:lang w:val="en-IN"/>
        </w:rPr>
      </w:pPr>
    </w:p>
    <w:p w14:paraId="27BB8A64" w14:textId="77777777" w:rsidR="00E575A9" w:rsidRPr="00032D7E" w:rsidRDefault="00E575A9" w:rsidP="00032D7E">
      <w:pPr>
        <w:ind w:left="851"/>
        <w:rPr>
          <w:sz w:val="24"/>
          <w:szCs w:val="24"/>
          <w:u w:val="single"/>
          <w:lang w:val="en-IN"/>
        </w:rPr>
      </w:pPr>
      <w:r w:rsidRPr="00032D7E">
        <w:rPr>
          <w:sz w:val="24"/>
          <w:szCs w:val="24"/>
          <w:u w:val="single"/>
          <w:lang w:val="en-IN"/>
        </w:rPr>
        <w:t xml:space="preserve">Paediatric population </w:t>
      </w:r>
    </w:p>
    <w:p w14:paraId="60B8DC84" w14:textId="77777777" w:rsidR="00E575A9" w:rsidRPr="00032D7E" w:rsidRDefault="00E575A9" w:rsidP="00032D7E">
      <w:pPr>
        <w:ind w:left="851"/>
        <w:rPr>
          <w:sz w:val="24"/>
          <w:szCs w:val="24"/>
          <w:lang w:val="en-IN"/>
        </w:rPr>
      </w:pPr>
      <w:r w:rsidRPr="00032D7E">
        <w:rPr>
          <w:sz w:val="24"/>
          <w:szCs w:val="24"/>
          <w:lang w:val="en-IN"/>
        </w:rPr>
        <w:t xml:space="preserve">The European Medicines Agency has deferred the obligation to submit the results of studies with </w:t>
      </w:r>
      <w:proofErr w:type="spellStart"/>
      <w:r w:rsidRPr="00032D7E">
        <w:rPr>
          <w:sz w:val="24"/>
          <w:szCs w:val="24"/>
          <w:lang w:val="en-IN"/>
        </w:rPr>
        <w:t>Perampanel</w:t>
      </w:r>
      <w:proofErr w:type="spellEnd"/>
      <w:r w:rsidRPr="00032D7E">
        <w:rPr>
          <w:sz w:val="24"/>
          <w:szCs w:val="24"/>
          <w:lang w:val="en-IN"/>
        </w:rPr>
        <w:t xml:space="preserve"> in one or more subsets of the paediatric population in treatment-resistant epilepsies (localisation-related and age-related epilepsy syndromes) (see section 4.2 for information on adolescent and paediatric use).</w:t>
      </w:r>
    </w:p>
    <w:p w14:paraId="2EF0AB04" w14:textId="77777777" w:rsidR="00E575A9" w:rsidRPr="00032D7E" w:rsidRDefault="00E575A9" w:rsidP="00032D7E">
      <w:pPr>
        <w:ind w:left="851"/>
        <w:rPr>
          <w:sz w:val="24"/>
          <w:szCs w:val="24"/>
          <w:lang w:val="en-IN"/>
        </w:rPr>
      </w:pPr>
    </w:p>
    <w:p w14:paraId="61DD83FB" w14:textId="77777777" w:rsidR="00E575A9" w:rsidRPr="00032D7E" w:rsidRDefault="00E575A9" w:rsidP="00032D7E">
      <w:pPr>
        <w:ind w:left="851"/>
        <w:rPr>
          <w:sz w:val="24"/>
          <w:szCs w:val="24"/>
          <w:lang w:val="en-IN"/>
        </w:rPr>
      </w:pPr>
      <w:r w:rsidRPr="00032D7E">
        <w:rPr>
          <w:sz w:val="24"/>
          <w:szCs w:val="24"/>
          <w:lang w:val="en-IN"/>
        </w:rPr>
        <w:t xml:space="preserve">The three pivotal double-blind placebo-controlled phase 3 studies included 143 adolescents between the ages of 12 and 18. The results in these adolescents were </w:t>
      </w:r>
      <w:proofErr w:type="gramStart"/>
      <w:r w:rsidRPr="00032D7E">
        <w:rPr>
          <w:sz w:val="24"/>
          <w:szCs w:val="24"/>
          <w:lang w:val="en-IN"/>
        </w:rPr>
        <w:t>similar to</w:t>
      </w:r>
      <w:proofErr w:type="gramEnd"/>
      <w:r w:rsidRPr="00032D7E">
        <w:rPr>
          <w:sz w:val="24"/>
          <w:szCs w:val="24"/>
          <w:lang w:val="en-IN"/>
        </w:rPr>
        <w:t xml:space="preserve"> those seen in the adult population. </w:t>
      </w:r>
    </w:p>
    <w:p w14:paraId="0A1D119F" w14:textId="77777777" w:rsidR="00E575A9" w:rsidRPr="00032D7E" w:rsidRDefault="00E575A9" w:rsidP="00032D7E">
      <w:pPr>
        <w:ind w:left="851"/>
        <w:rPr>
          <w:sz w:val="24"/>
          <w:szCs w:val="24"/>
          <w:lang w:val="en-IN"/>
        </w:rPr>
      </w:pPr>
    </w:p>
    <w:p w14:paraId="1839C7A6" w14:textId="77777777" w:rsidR="00E575A9" w:rsidRPr="00032D7E" w:rsidRDefault="00E575A9" w:rsidP="00032D7E">
      <w:pPr>
        <w:ind w:left="851"/>
        <w:rPr>
          <w:sz w:val="24"/>
          <w:szCs w:val="24"/>
          <w:lang w:val="en-IN"/>
        </w:rPr>
      </w:pPr>
      <w:r w:rsidRPr="00032D7E">
        <w:rPr>
          <w:sz w:val="24"/>
          <w:szCs w:val="24"/>
          <w:lang w:val="en-IN"/>
        </w:rPr>
        <w:t xml:space="preserve">Study 332 included 22 adolescents between the ages of 12 and 18. The results in these adolescents were </w:t>
      </w:r>
      <w:proofErr w:type="gramStart"/>
      <w:r w:rsidRPr="00032D7E">
        <w:rPr>
          <w:sz w:val="24"/>
          <w:szCs w:val="24"/>
          <w:lang w:val="en-IN"/>
        </w:rPr>
        <w:t>similar to</w:t>
      </w:r>
      <w:proofErr w:type="gramEnd"/>
      <w:r w:rsidRPr="00032D7E">
        <w:rPr>
          <w:sz w:val="24"/>
          <w:szCs w:val="24"/>
          <w:lang w:val="en-IN"/>
        </w:rPr>
        <w:t xml:space="preserve"> those seen in the adult population. </w:t>
      </w:r>
    </w:p>
    <w:p w14:paraId="7BACD855" w14:textId="77777777" w:rsidR="00E575A9" w:rsidRPr="00032D7E" w:rsidRDefault="00E575A9" w:rsidP="00032D7E">
      <w:pPr>
        <w:ind w:left="851"/>
        <w:rPr>
          <w:sz w:val="24"/>
          <w:szCs w:val="24"/>
          <w:lang w:val="en-IN"/>
        </w:rPr>
      </w:pPr>
    </w:p>
    <w:p w14:paraId="30F43B74" w14:textId="77777777" w:rsidR="00E575A9" w:rsidRPr="00032D7E" w:rsidRDefault="00E575A9" w:rsidP="00032D7E">
      <w:pPr>
        <w:ind w:left="851"/>
        <w:rPr>
          <w:sz w:val="24"/>
          <w:szCs w:val="24"/>
          <w:lang w:val="en-IN"/>
        </w:rPr>
      </w:pPr>
      <w:r w:rsidRPr="00032D7E">
        <w:rPr>
          <w:sz w:val="24"/>
          <w:szCs w:val="24"/>
          <w:lang w:val="en-IN"/>
        </w:rPr>
        <w:t xml:space="preserve">A 19-week, randomised, double-blind, placebo-controlled study with an open-label extension phase (Study 235) was performed to assess the short-term effects on cognition of </w:t>
      </w:r>
      <w:proofErr w:type="spellStart"/>
      <w:r w:rsidRPr="00032D7E">
        <w:rPr>
          <w:sz w:val="24"/>
          <w:szCs w:val="24"/>
          <w:lang w:val="en-IN"/>
        </w:rPr>
        <w:t>perampanel</w:t>
      </w:r>
      <w:proofErr w:type="spellEnd"/>
      <w:r w:rsidRPr="00032D7E">
        <w:rPr>
          <w:sz w:val="24"/>
          <w:szCs w:val="24"/>
          <w:lang w:val="en-IN"/>
        </w:rPr>
        <w:t xml:space="preserve"> (target dose range of 8 to 12 mg once daily) as adjunctive therapy in 133 (</w:t>
      </w:r>
      <w:proofErr w:type="spellStart"/>
      <w:r w:rsidRPr="00032D7E">
        <w:rPr>
          <w:sz w:val="24"/>
          <w:szCs w:val="24"/>
          <w:lang w:val="en-IN"/>
        </w:rPr>
        <w:t>perampanel</w:t>
      </w:r>
      <w:proofErr w:type="spellEnd"/>
      <w:r w:rsidRPr="00032D7E">
        <w:rPr>
          <w:sz w:val="24"/>
          <w:szCs w:val="24"/>
          <w:lang w:val="en-IN"/>
        </w:rPr>
        <w:t xml:space="preserve"> n = 85, placebo n = 48) adolescent patients, aged 12 to less than 18 years old, with inadequately controlled partial-onset seizures. Cognitive function was assessed by the Cognitive Drug Research (CDR) System Global Cognition t-Score, which is a composite score derived from 5 domains testing Power of Attention, Continuity of Attention, Quality of Episodic Secondary Memory, Quality of Working Memory, and Speed of Memory. The mean change (SD) from baseline to end of double-blind treatment (19 weeks) in CDR System Global Cognition t-Score was 1.1 (7.14) in the placebo group and (minus) –1.0 (8.86) in the </w:t>
      </w:r>
      <w:proofErr w:type="spellStart"/>
      <w:r w:rsidRPr="00032D7E">
        <w:rPr>
          <w:sz w:val="24"/>
          <w:szCs w:val="24"/>
          <w:lang w:val="en-IN"/>
        </w:rPr>
        <w:t>perampanel</w:t>
      </w:r>
      <w:proofErr w:type="spellEnd"/>
      <w:r w:rsidRPr="00032D7E">
        <w:rPr>
          <w:sz w:val="24"/>
          <w:szCs w:val="24"/>
          <w:lang w:val="en-IN"/>
        </w:rPr>
        <w:t xml:space="preserve"> group, with the difference between the treatment groups in LS means (95% CI) = (minus) -2.2 (-5.2, 0.8). There was no statistically significant difference between the treatment groups (p = 0.145). CDR System Global Cognition t-Scores for placebo and </w:t>
      </w:r>
      <w:proofErr w:type="spellStart"/>
      <w:r w:rsidRPr="00032D7E">
        <w:rPr>
          <w:sz w:val="24"/>
          <w:szCs w:val="24"/>
          <w:lang w:val="en-IN"/>
        </w:rPr>
        <w:t>perampanel</w:t>
      </w:r>
      <w:proofErr w:type="spellEnd"/>
      <w:r w:rsidRPr="00032D7E">
        <w:rPr>
          <w:sz w:val="24"/>
          <w:szCs w:val="24"/>
          <w:lang w:val="en-IN"/>
        </w:rPr>
        <w:t xml:space="preserve"> were 41.2 (10.7) and 40.8 (13.0), respectively at the baseline. For patients with </w:t>
      </w:r>
      <w:proofErr w:type="spellStart"/>
      <w:r w:rsidRPr="00032D7E">
        <w:rPr>
          <w:sz w:val="24"/>
          <w:szCs w:val="24"/>
          <w:lang w:val="en-IN"/>
        </w:rPr>
        <w:t>perampanel</w:t>
      </w:r>
      <w:proofErr w:type="spellEnd"/>
      <w:r w:rsidRPr="00032D7E">
        <w:rPr>
          <w:sz w:val="24"/>
          <w:szCs w:val="24"/>
          <w:lang w:val="en-IN"/>
        </w:rPr>
        <w:t xml:space="preserve"> in the open label extension (n = 112), the mean change (SD) from baseline to end of open-label treatment (52 weeks) in CDR System Global Cognition t-Score was (minus) -1.0 (9.91). This was not statistically significant (p = 0.96). After up to 52 weeks of treatment with </w:t>
      </w:r>
      <w:proofErr w:type="spellStart"/>
      <w:r w:rsidRPr="00032D7E">
        <w:rPr>
          <w:sz w:val="24"/>
          <w:szCs w:val="24"/>
          <w:lang w:val="en-IN"/>
        </w:rPr>
        <w:t>perampanel</w:t>
      </w:r>
      <w:proofErr w:type="spellEnd"/>
      <w:r w:rsidRPr="00032D7E">
        <w:rPr>
          <w:sz w:val="24"/>
          <w:szCs w:val="24"/>
          <w:lang w:val="en-IN"/>
        </w:rPr>
        <w:t xml:space="preserve"> (n = 114), no effect on bone growth was observed. No effects on weight, height and sexual development were seen following up to 104 weeks of treatment (n = 114). </w:t>
      </w:r>
    </w:p>
    <w:p w14:paraId="24998D4F" w14:textId="77777777" w:rsidR="00E575A9" w:rsidRPr="00032D7E" w:rsidRDefault="00E575A9" w:rsidP="00032D7E">
      <w:pPr>
        <w:ind w:left="851"/>
        <w:rPr>
          <w:sz w:val="24"/>
          <w:szCs w:val="24"/>
          <w:lang w:val="en-IN"/>
        </w:rPr>
      </w:pPr>
    </w:p>
    <w:p w14:paraId="31CEE412" w14:textId="77777777" w:rsidR="00E575A9" w:rsidRPr="00032D7E" w:rsidRDefault="00E575A9" w:rsidP="00032D7E">
      <w:pPr>
        <w:ind w:left="851"/>
        <w:rPr>
          <w:sz w:val="24"/>
          <w:szCs w:val="24"/>
          <w:lang w:val="en-IN"/>
        </w:rPr>
      </w:pPr>
      <w:r w:rsidRPr="00032D7E">
        <w:rPr>
          <w:sz w:val="24"/>
          <w:szCs w:val="24"/>
          <w:lang w:val="en-IN"/>
        </w:rPr>
        <w:t xml:space="preserve">An open-label, uncontrolled study (Study 311) was performed to assess the exposure-efficacy relationship of </w:t>
      </w:r>
      <w:proofErr w:type="spellStart"/>
      <w:r w:rsidRPr="00032D7E">
        <w:rPr>
          <w:sz w:val="24"/>
          <w:szCs w:val="24"/>
          <w:lang w:val="en-IN"/>
        </w:rPr>
        <w:t>perampanel</w:t>
      </w:r>
      <w:proofErr w:type="spellEnd"/>
      <w:r w:rsidRPr="00032D7E">
        <w:rPr>
          <w:sz w:val="24"/>
          <w:szCs w:val="24"/>
          <w:lang w:val="en-IN"/>
        </w:rPr>
        <w:t xml:space="preserve"> as adjunctive therapy in 180 paediatric patients (aged 4 to 11 years old) with inadequately controlled partial-onset seizures or primary generalised tonic-clonic seizures. Patients were titrated over 11 weeks to a target dose of 8 mg/day or the maximum tolerated dose (not to exceed 12 mg/day) for patients not taking concomitant CYP3A-inducing antiepileptic drugs (carbamazepine, oxcarbazepine, </w:t>
      </w:r>
      <w:proofErr w:type="spellStart"/>
      <w:r w:rsidRPr="00032D7E">
        <w:rPr>
          <w:sz w:val="24"/>
          <w:szCs w:val="24"/>
          <w:lang w:val="en-IN"/>
        </w:rPr>
        <w:t>eslicarbazepine</w:t>
      </w:r>
      <w:proofErr w:type="spellEnd"/>
      <w:r w:rsidRPr="00032D7E">
        <w:rPr>
          <w:sz w:val="24"/>
          <w:szCs w:val="24"/>
          <w:lang w:val="en-IN"/>
        </w:rPr>
        <w:t xml:space="preserve"> and phenytoin) or 12 mg/day or the maximum tolerated dose (not to exceed 16 mg/day) for patients taking a concomitant CYP3A-inducing antiepileptic drug. </w:t>
      </w:r>
      <w:proofErr w:type="spellStart"/>
      <w:r w:rsidRPr="00032D7E">
        <w:rPr>
          <w:sz w:val="24"/>
          <w:szCs w:val="24"/>
          <w:lang w:val="en-IN"/>
        </w:rPr>
        <w:t>perampanel</w:t>
      </w:r>
      <w:proofErr w:type="spellEnd"/>
      <w:r w:rsidRPr="00032D7E">
        <w:rPr>
          <w:sz w:val="24"/>
          <w:szCs w:val="24"/>
          <w:lang w:val="en-IN"/>
        </w:rPr>
        <w:t xml:space="preserve"> dose achieved at the end of titration was maintained for 12 weeks (for a total of 23 weeks of exposure) at the completion of the core study. Patients who </w:t>
      </w:r>
      <w:proofErr w:type="gramStart"/>
      <w:r w:rsidRPr="00032D7E">
        <w:rPr>
          <w:sz w:val="24"/>
          <w:szCs w:val="24"/>
          <w:lang w:val="en-IN"/>
        </w:rPr>
        <w:t>entered into</w:t>
      </w:r>
      <w:proofErr w:type="gramEnd"/>
      <w:r w:rsidRPr="00032D7E">
        <w:rPr>
          <w:sz w:val="24"/>
          <w:szCs w:val="24"/>
          <w:lang w:val="en-IN"/>
        </w:rPr>
        <w:t xml:space="preserve"> Extension Phase were treated for an additional 29 weeks for a total exposure duration of 52 weeks. </w:t>
      </w:r>
    </w:p>
    <w:p w14:paraId="69104E3E" w14:textId="77777777" w:rsidR="00E575A9" w:rsidRPr="00032D7E" w:rsidRDefault="00E575A9" w:rsidP="00032D7E">
      <w:pPr>
        <w:ind w:left="851"/>
        <w:rPr>
          <w:sz w:val="24"/>
          <w:szCs w:val="24"/>
          <w:lang w:val="en-IN"/>
        </w:rPr>
      </w:pPr>
    </w:p>
    <w:p w14:paraId="31969A35" w14:textId="77777777" w:rsidR="00E575A9" w:rsidRPr="00032D7E" w:rsidRDefault="00E575A9" w:rsidP="00032D7E">
      <w:pPr>
        <w:ind w:left="851"/>
        <w:rPr>
          <w:sz w:val="24"/>
          <w:szCs w:val="24"/>
          <w:lang w:val="en-IN"/>
        </w:rPr>
      </w:pPr>
      <w:r w:rsidRPr="00032D7E">
        <w:rPr>
          <w:sz w:val="24"/>
          <w:szCs w:val="24"/>
          <w:lang w:val="en-IN"/>
        </w:rPr>
        <w:t xml:space="preserve">In patients with partial-onset seizures (n = 148 patients), the median change in seizure frequency per 28 days, the 50% or greater responder rate, and seizure-free rate following 23 weeks of </w:t>
      </w:r>
      <w:proofErr w:type="spellStart"/>
      <w:r w:rsidRPr="00032D7E">
        <w:rPr>
          <w:sz w:val="24"/>
          <w:szCs w:val="24"/>
          <w:lang w:val="en-IN"/>
        </w:rPr>
        <w:t>perampanel</w:t>
      </w:r>
      <w:proofErr w:type="spellEnd"/>
      <w:r w:rsidRPr="00032D7E">
        <w:rPr>
          <w:sz w:val="24"/>
          <w:szCs w:val="24"/>
          <w:lang w:val="en-IN"/>
        </w:rPr>
        <w:t xml:space="preserve"> treatment were -40.1%, 46.6% (n = 69/148), and 11.5% (n = 17/148), respectively, for total partial-onset seizures. The treatment effects on the median reduction in seizure frequency (Weeks 40-52: n = 108 patients, -69.4%), 50% responder rate (Weeks 40-52: 62.0%, n = 67/108), and seizure-free rate (Weeks 40-52: 13.0%, n = 14/108) were sustained following 52 weeks of </w:t>
      </w:r>
      <w:proofErr w:type="spellStart"/>
      <w:r w:rsidRPr="00032D7E">
        <w:rPr>
          <w:sz w:val="24"/>
          <w:szCs w:val="24"/>
          <w:lang w:val="en-IN"/>
        </w:rPr>
        <w:t>perampanel</w:t>
      </w:r>
      <w:proofErr w:type="spellEnd"/>
      <w:r w:rsidRPr="00032D7E">
        <w:rPr>
          <w:sz w:val="24"/>
          <w:szCs w:val="24"/>
          <w:lang w:val="en-IN"/>
        </w:rPr>
        <w:t xml:space="preserve"> treatment.</w:t>
      </w:r>
    </w:p>
    <w:p w14:paraId="79A6BC7E" w14:textId="77777777" w:rsidR="00E575A9" w:rsidRPr="00032D7E" w:rsidRDefault="00E575A9" w:rsidP="00032D7E">
      <w:pPr>
        <w:ind w:left="851"/>
        <w:rPr>
          <w:sz w:val="24"/>
          <w:szCs w:val="24"/>
          <w:lang w:val="en-IN"/>
        </w:rPr>
      </w:pPr>
    </w:p>
    <w:p w14:paraId="0C9A146E" w14:textId="7960EB2E" w:rsidR="00E575A9" w:rsidRPr="00032D7E" w:rsidRDefault="00E575A9" w:rsidP="00032D7E">
      <w:pPr>
        <w:ind w:left="851"/>
        <w:rPr>
          <w:sz w:val="24"/>
          <w:szCs w:val="24"/>
          <w:lang w:val="en-IN"/>
        </w:rPr>
      </w:pPr>
      <w:r w:rsidRPr="00032D7E">
        <w:rPr>
          <w:sz w:val="24"/>
          <w:szCs w:val="24"/>
          <w:lang w:val="en-IN"/>
        </w:rPr>
        <w:t>In a subset of partial-onset seizure patients with secondarily generalised seizures (n</w:t>
      </w:r>
      <w:r w:rsidR="000E6698">
        <w:rPr>
          <w:sz w:val="24"/>
          <w:szCs w:val="24"/>
          <w:lang w:val="en-IN"/>
        </w:rPr>
        <w:t> </w:t>
      </w:r>
      <w:r w:rsidRPr="00032D7E">
        <w:rPr>
          <w:sz w:val="24"/>
          <w:szCs w:val="24"/>
          <w:lang w:val="en-IN"/>
        </w:rPr>
        <w:t>=</w:t>
      </w:r>
      <w:r w:rsidR="000E6698">
        <w:rPr>
          <w:sz w:val="24"/>
          <w:szCs w:val="24"/>
          <w:lang w:val="en-IN"/>
        </w:rPr>
        <w:t> </w:t>
      </w:r>
      <w:r w:rsidRPr="00032D7E">
        <w:rPr>
          <w:sz w:val="24"/>
          <w:szCs w:val="24"/>
          <w:lang w:val="en-IN"/>
        </w:rPr>
        <w:t>54</w:t>
      </w:r>
      <w:r w:rsidR="000E6698">
        <w:rPr>
          <w:sz w:val="24"/>
          <w:szCs w:val="24"/>
          <w:lang w:val="en-IN"/>
        </w:rPr>
        <w:t> </w:t>
      </w:r>
      <w:r w:rsidRPr="00032D7E">
        <w:rPr>
          <w:sz w:val="24"/>
          <w:szCs w:val="24"/>
          <w:lang w:val="en-IN"/>
        </w:rPr>
        <w:t>patients), the corresponding values were -58.7%, 64.8% (n = 35/54), and 18.5% (n</w:t>
      </w:r>
      <w:r w:rsidR="000E6698">
        <w:rPr>
          <w:sz w:val="24"/>
          <w:szCs w:val="24"/>
          <w:lang w:val="en-IN"/>
        </w:rPr>
        <w:t> </w:t>
      </w:r>
      <w:r w:rsidRPr="00032D7E">
        <w:rPr>
          <w:sz w:val="24"/>
          <w:szCs w:val="24"/>
          <w:lang w:val="en-IN"/>
        </w:rPr>
        <w:t>=</w:t>
      </w:r>
      <w:r w:rsidR="000E6698">
        <w:rPr>
          <w:sz w:val="24"/>
          <w:szCs w:val="24"/>
          <w:lang w:val="en-IN"/>
        </w:rPr>
        <w:t> </w:t>
      </w:r>
      <w:r w:rsidRPr="00032D7E">
        <w:rPr>
          <w:sz w:val="24"/>
          <w:szCs w:val="24"/>
          <w:lang w:val="en-IN"/>
        </w:rPr>
        <w:t xml:space="preserve">10/54), respectively, for secondarily generalised tonic-clonic seizures. The treatment effects on the median reduction in seizure frequency (Weeks 40-52: n = 41 patients, -73.8%), 50% responder rate (Weeks 40-52: 80.5%, n = 33/41), and seizure-free rate (Weeks 40-52: 24.4%, n = 10/41) were sustained following 52 weeks of </w:t>
      </w:r>
      <w:proofErr w:type="spellStart"/>
      <w:r w:rsidRPr="00032D7E">
        <w:rPr>
          <w:sz w:val="24"/>
          <w:szCs w:val="24"/>
          <w:lang w:val="en-IN"/>
        </w:rPr>
        <w:t>perampanel</w:t>
      </w:r>
      <w:proofErr w:type="spellEnd"/>
      <w:r w:rsidRPr="00032D7E">
        <w:rPr>
          <w:sz w:val="24"/>
          <w:szCs w:val="24"/>
          <w:lang w:val="en-IN"/>
        </w:rPr>
        <w:t xml:space="preserve"> treatment. </w:t>
      </w:r>
    </w:p>
    <w:p w14:paraId="0E0E6DBF" w14:textId="77777777" w:rsidR="00E575A9" w:rsidRPr="00032D7E" w:rsidRDefault="00E575A9" w:rsidP="00032D7E">
      <w:pPr>
        <w:ind w:left="851"/>
        <w:rPr>
          <w:sz w:val="24"/>
          <w:szCs w:val="24"/>
          <w:lang w:val="en-IN"/>
        </w:rPr>
      </w:pPr>
    </w:p>
    <w:p w14:paraId="5A94EB30" w14:textId="77777777" w:rsidR="00E575A9" w:rsidRPr="00032D7E" w:rsidRDefault="00E575A9" w:rsidP="00032D7E">
      <w:pPr>
        <w:ind w:left="851"/>
        <w:rPr>
          <w:sz w:val="24"/>
          <w:szCs w:val="24"/>
          <w:lang w:val="en-IN"/>
        </w:rPr>
      </w:pPr>
      <w:r w:rsidRPr="00032D7E">
        <w:rPr>
          <w:sz w:val="24"/>
          <w:szCs w:val="24"/>
          <w:lang w:val="en-IN"/>
        </w:rPr>
        <w:t xml:space="preserve">In patients with primary generalised tonic-clonic seizures (n = 22 patients, with 19 patients aged 7-&lt;12 years and 3 patients aged 4-&lt;7 years), the median change in seizure frequency per 28 days, the 50% or greater responder rate, and seizure-free rate were -69.2%, 63.6% (n = 14/22), and 54.5% (n = 12/22), respectively. The treatment effects on the median reduction in seizure frequency (Weeks 40-52: n = 13 patients, -100.0%), 50% responder rate (Weeks 40-52: 61.5%, n = 8/13), and seizure-free rate (Weeks 40-52: 38.5%, n = 5/13) were sustained following 52 weeks of </w:t>
      </w:r>
      <w:proofErr w:type="spellStart"/>
      <w:r w:rsidRPr="00032D7E">
        <w:rPr>
          <w:sz w:val="24"/>
          <w:szCs w:val="24"/>
          <w:lang w:val="en-IN"/>
        </w:rPr>
        <w:t>perampanel</w:t>
      </w:r>
      <w:proofErr w:type="spellEnd"/>
      <w:r w:rsidRPr="00032D7E">
        <w:rPr>
          <w:sz w:val="24"/>
          <w:szCs w:val="24"/>
          <w:lang w:val="en-IN"/>
        </w:rPr>
        <w:t xml:space="preserve"> treatment. These results should be considered cautiously as the number of patients is very small. </w:t>
      </w:r>
    </w:p>
    <w:p w14:paraId="1E0F7020" w14:textId="77777777" w:rsidR="00E575A9" w:rsidRPr="00032D7E" w:rsidRDefault="00E575A9" w:rsidP="00032D7E">
      <w:pPr>
        <w:ind w:left="851"/>
        <w:rPr>
          <w:sz w:val="24"/>
          <w:szCs w:val="24"/>
          <w:lang w:val="en-IN"/>
        </w:rPr>
      </w:pPr>
    </w:p>
    <w:p w14:paraId="514D2D60" w14:textId="643C4F53" w:rsidR="00E575A9" w:rsidRPr="00032D7E" w:rsidRDefault="00E575A9" w:rsidP="00032D7E">
      <w:pPr>
        <w:ind w:left="851"/>
        <w:rPr>
          <w:sz w:val="24"/>
          <w:szCs w:val="24"/>
          <w:lang w:val="en-IN"/>
        </w:rPr>
      </w:pPr>
      <w:r w:rsidRPr="00032D7E">
        <w:rPr>
          <w:sz w:val="24"/>
          <w:szCs w:val="24"/>
          <w:lang w:val="en-IN"/>
        </w:rPr>
        <w:t>Similar results were obtained in a subset of patients with primary generalised tonic-clonic seizures of idiopathic generalised epilepsy (IGE) (n = 19 patients, with 17 patients aged 7-&lt;12 years and 2 patients aged 4-&lt;7 years; the corresponding values were -56.5%, 63.2% (n</w:t>
      </w:r>
      <w:r w:rsidR="003C1B3B">
        <w:rPr>
          <w:sz w:val="24"/>
          <w:szCs w:val="24"/>
          <w:lang w:val="en-IN"/>
        </w:rPr>
        <w:t> </w:t>
      </w:r>
      <w:r w:rsidRPr="00032D7E">
        <w:rPr>
          <w:sz w:val="24"/>
          <w:szCs w:val="24"/>
          <w:lang w:val="en-IN"/>
        </w:rPr>
        <w:t>=</w:t>
      </w:r>
      <w:r w:rsidR="003C1B3B">
        <w:rPr>
          <w:sz w:val="24"/>
          <w:szCs w:val="24"/>
          <w:lang w:val="en-IN"/>
        </w:rPr>
        <w:t> </w:t>
      </w:r>
      <w:r w:rsidRPr="00032D7E">
        <w:rPr>
          <w:sz w:val="24"/>
          <w:szCs w:val="24"/>
          <w:lang w:val="en-IN"/>
        </w:rPr>
        <w:t xml:space="preserve">12/19), and 52.6% (n = 10/19), respectively. The treatment effects on the median reduction in seizure frequency (Weeks 40-52: n = 11 patients, -100.0%), 50% responder rate (Weeks 40-52: 54.5%, n = 6/11), and seizure-free rate (Weeks 40-52: 36.4%, n = 4/11) were sustained following 52 weeks of </w:t>
      </w:r>
      <w:proofErr w:type="spellStart"/>
      <w:r w:rsidRPr="00032D7E">
        <w:rPr>
          <w:sz w:val="24"/>
          <w:szCs w:val="24"/>
          <w:lang w:val="en-IN"/>
        </w:rPr>
        <w:t>perampanel</w:t>
      </w:r>
      <w:proofErr w:type="spellEnd"/>
      <w:r w:rsidRPr="00032D7E">
        <w:rPr>
          <w:sz w:val="24"/>
          <w:szCs w:val="24"/>
          <w:lang w:val="en-IN"/>
        </w:rPr>
        <w:t xml:space="preserve"> treatment. These results should be considered cautiously as the number of patients is very small.</w:t>
      </w:r>
    </w:p>
    <w:p w14:paraId="273CB1A8" w14:textId="77777777" w:rsidR="007C5D2A" w:rsidRPr="00032D7E" w:rsidRDefault="007C5D2A" w:rsidP="003E0341">
      <w:pPr>
        <w:tabs>
          <w:tab w:val="left" w:pos="851"/>
        </w:tabs>
        <w:ind w:left="851"/>
        <w:rPr>
          <w:sz w:val="24"/>
          <w:szCs w:val="24"/>
          <w:lang w:val="en-IN"/>
        </w:rPr>
      </w:pPr>
    </w:p>
    <w:p w14:paraId="5E785332" w14:textId="78BC0156" w:rsidR="007C5D2A" w:rsidRPr="00032D7E" w:rsidRDefault="007C5D2A" w:rsidP="007C5D2A">
      <w:pPr>
        <w:tabs>
          <w:tab w:val="left" w:pos="851"/>
        </w:tabs>
        <w:ind w:left="851" w:hanging="851"/>
        <w:rPr>
          <w:b/>
          <w:sz w:val="24"/>
          <w:szCs w:val="24"/>
          <w:lang w:val="en-GB"/>
        </w:rPr>
      </w:pPr>
      <w:r w:rsidRPr="00032D7E">
        <w:rPr>
          <w:b/>
          <w:sz w:val="24"/>
          <w:szCs w:val="24"/>
          <w:lang w:val="en-GB"/>
        </w:rPr>
        <w:t>5.2</w:t>
      </w:r>
      <w:r w:rsidRPr="00032D7E">
        <w:rPr>
          <w:b/>
          <w:sz w:val="24"/>
          <w:szCs w:val="24"/>
          <w:lang w:val="en-GB"/>
        </w:rPr>
        <w:tab/>
        <w:t>Pharmacokinetic properties</w:t>
      </w:r>
    </w:p>
    <w:p w14:paraId="0AF77CD9" w14:textId="77777777" w:rsidR="00E575A9" w:rsidRPr="00032D7E" w:rsidRDefault="00E575A9" w:rsidP="00032D7E">
      <w:pPr>
        <w:ind w:left="851"/>
        <w:rPr>
          <w:sz w:val="24"/>
          <w:szCs w:val="24"/>
          <w:lang w:val="en-IN"/>
        </w:rPr>
      </w:pPr>
      <w:r w:rsidRPr="00032D7E">
        <w:rPr>
          <w:sz w:val="24"/>
          <w:szCs w:val="24"/>
          <w:lang w:val="en-IN"/>
        </w:rPr>
        <w:t xml:space="preserve">The pharmacokinetics of </w:t>
      </w:r>
      <w:proofErr w:type="spellStart"/>
      <w:r w:rsidRPr="00032D7E">
        <w:rPr>
          <w:sz w:val="24"/>
          <w:szCs w:val="24"/>
          <w:lang w:val="en-IN"/>
        </w:rPr>
        <w:t>perampanel</w:t>
      </w:r>
      <w:proofErr w:type="spellEnd"/>
      <w:r w:rsidRPr="00032D7E">
        <w:rPr>
          <w:sz w:val="24"/>
          <w:szCs w:val="24"/>
          <w:lang w:val="en-IN"/>
        </w:rPr>
        <w:t xml:space="preserve"> have been studied in healthy adult subjects (age range 18 to 79), adults, adolescents, and paediatric patients with partial-onset seizures and primary generalised tonic-clonic seizures, adults with Parkinson’s disease, adults with diabetic neuropathy, adults with multiple sclerosis, and patients with hepatic impairment. </w:t>
      </w:r>
    </w:p>
    <w:p w14:paraId="537D59E3" w14:textId="77777777" w:rsidR="00E575A9" w:rsidRPr="00032D7E" w:rsidRDefault="00E575A9" w:rsidP="00032D7E">
      <w:pPr>
        <w:ind w:left="851"/>
        <w:rPr>
          <w:sz w:val="24"/>
          <w:szCs w:val="24"/>
          <w:lang w:val="en-IN"/>
        </w:rPr>
      </w:pPr>
    </w:p>
    <w:p w14:paraId="0AEE3721" w14:textId="77777777" w:rsidR="00E575A9" w:rsidRPr="00032D7E" w:rsidRDefault="00E575A9" w:rsidP="00032D7E">
      <w:pPr>
        <w:ind w:left="851"/>
        <w:rPr>
          <w:sz w:val="24"/>
          <w:szCs w:val="24"/>
          <w:u w:val="single"/>
          <w:lang w:val="en-IN"/>
        </w:rPr>
      </w:pPr>
      <w:r w:rsidRPr="00032D7E">
        <w:rPr>
          <w:sz w:val="24"/>
          <w:szCs w:val="24"/>
          <w:u w:val="single"/>
          <w:lang w:val="en-IN"/>
        </w:rPr>
        <w:t xml:space="preserve">Absorption </w:t>
      </w:r>
    </w:p>
    <w:p w14:paraId="6FC5A269" w14:textId="77777777" w:rsidR="00E575A9" w:rsidRPr="00032D7E" w:rsidRDefault="00E575A9" w:rsidP="00032D7E">
      <w:pPr>
        <w:ind w:left="851"/>
        <w:rPr>
          <w:sz w:val="24"/>
          <w:szCs w:val="24"/>
          <w:u w:val="single"/>
          <w:lang w:val="en-IN"/>
        </w:rPr>
      </w:pPr>
    </w:p>
    <w:p w14:paraId="0BF4838B" w14:textId="5F8C2671" w:rsidR="00E575A9" w:rsidRPr="00032D7E" w:rsidRDefault="00E575A9" w:rsidP="00032D7E">
      <w:pPr>
        <w:ind w:left="851"/>
        <w:rPr>
          <w:sz w:val="24"/>
          <w:szCs w:val="24"/>
          <w:lang w:val="en-IN"/>
        </w:rPr>
      </w:pPr>
      <w:proofErr w:type="spellStart"/>
      <w:r w:rsidRPr="00032D7E">
        <w:rPr>
          <w:sz w:val="24"/>
          <w:szCs w:val="24"/>
          <w:lang w:val="en-IN"/>
        </w:rPr>
        <w:t>Perampanel</w:t>
      </w:r>
      <w:proofErr w:type="spellEnd"/>
      <w:r w:rsidRPr="00032D7E">
        <w:rPr>
          <w:sz w:val="24"/>
          <w:szCs w:val="24"/>
          <w:lang w:val="en-IN"/>
        </w:rPr>
        <w:t xml:space="preserve"> is readily absorbed after oral administration with no evidence of marked first-pass metabolism. Co-administration of </w:t>
      </w:r>
      <w:proofErr w:type="spellStart"/>
      <w:r w:rsidRPr="00032D7E">
        <w:rPr>
          <w:sz w:val="24"/>
          <w:szCs w:val="24"/>
          <w:lang w:val="en-IN"/>
        </w:rPr>
        <w:t>perampanel</w:t>
      </w:r>
      <w:proofErr w:type="spellEnd"/>
      <w:r w:rsidRPr="00032D7E">
        <w:rPr>
          <w:sz w:val="24"/>
          <w:szCs w:val="24"/>
          <w:lang w:val="en-IN"/>
        </w:rPr>
        <w:t xml:space="preserve"> tablets with a high fat meal had no impact on the peak plasma exposure (C</w:t>
      </w:r>
      <w:r w:rsidRPr="00032D7E">
        <w:rPr>
          <w:sz w:val="24"/>
          <w:szCs w:val="24"/>
          <w:vertAlign w:val="subscript"/>
          <w:lang w:val="en-IN"/>
        </w:rPr>
        <w:t>max</w:t>
      </w:r>
      <w:r w:rsidRPr="00032D7E">
        <w:rPr>
          <w:sz w:val="24"/>
          <w:szCs w:val="24"/>
          <w:lang w:val="en-IN"/>
        </w:rPr>
        <w:t>) or total exposure (AUC</w:t>
      </w:r>
      <w:r w:rsidRPr="00032D7E">
        <w:rPr>
          <w:sz w:val="24"/>
          <w:szCs w:val="24"/>
          <w:vertAlign w:val="subscript"/>
          <w:lang w:val="en-IN"/>
        </w:rPr>
        <w:t>0-inf</w:t>
      </w:r>
      <w:r w:rsidRPr="00032D7E">
        <w:rPr>
          <w:sz w:val="24"/>
          <w:szCs w:val="24"/>
          <w:lang w:val="en-IN"/>
        </w:rPr>
        <w:t xml:space="preserve">) of </w:t>
      </w:r>
      <w:proofErr w:type="spellStart"/>
      <w:r w:rsidRPr="00032D7E">
        <w:rPr>
          <w:sz w:val="24"/>
          <w:szCs w:val="24"/>
          <w:lang w:val="en-IN"/>
        </w:rPr>
        <w:t>perampanel</w:t>
      </w:r>
      <w:proofErr w:type="spellEnd"/>
      <w:r w:rsidRPr="00032D7E">
        <w:rPr>
          <w:sz w:val="24"/>
          <w:szCs w:val="24"/>
          <w:lang w:val="en-IN"/>
        </w:rPr>
        <w:t xml:space="preserve">. The </w:t>
      </w:r>
      <w:proofErr w:type="spellStart"/>
      <w:r w:rsidRPr="00032D7E">
        <w:rPr>
          <w:sz w:val="24"/>
          <w:szCs w:val="24"/>
          <w:lang w:val="en-IN"/>
        </w:rPr>
        <w:t>t</w:t>
      </w:r>
      <w:r w:rsidRPr="00032D7E">
        <w:rPr>
          <w:sz w:val="24"/>
          <w:szCs w:val="24"/>
          <w:vertAlign w:val="subscript"/>
          <w:lang w:val="en-IN"/>
        </w:rPr>
        <w:t>max</w:t>
      </w:r>
      <w:proofErr w:type="spellEnd"/>
      <w:r w:rsidRPr="00032D7E">
        <w:rPr>
          <w:sz w:val="24"/>
          <w:szCs w:val="24"/>
          <w:lang w:val="en-IN"/>
        </w:rPr>
        <w:t xml:space="preserve"> was delayed by approximately 1 hour compared to that under fasted conditions. </w:t>
      </w:r>
    </w:p>
    <w:p w14:paraId="3E672677" w14:textId="77777777" w:rsidR="00E575A9" w:rsidRPr="00032D7E" w:rsidRDefault="00E575A9" w:rsidP="00032D7E">
      <w:pPr>
        <w:ind w:left="851"/>
        <w:rPr>
          <w:sz w:val="24"/>
          <w:szCs w:val="24"/>
          <w:lang w:val="en-IN"/>
        </w:rPr>
      </w:pPr>
    </w:p>
    <w:p w14:paraId="163B7B33" w14:textId="77777777" w:rsidR="00E575A9" w:rsidRPr="00032D7E" w:rsidRDefault="00E575A9" w:rsidP="00032D7E">
      <w:pPr>
        <w:ind w:left="851"/>
        <w:rPr>
          <w:sz w:val="24"/>
          <w:szCs w:val="24"/>
          <w:u w:val="single"/>
          <w:lang w:val="en-IN"/>
        </w:rPr>
      </w:pPr>
      <w:r w:rsidRPr="00032D7E">
        <w:rPr>
          <w:sz w:val="24"/>
          <w:szCs w:val="24"/>
          <w:u w:val="single"/>
          <w:lang w:val="en-IN"/>
        </w:rPr>
        <w:t xml:space="preserve">Distribution </w:t>
      </w:r>
    </w:p>
    <w:p w14:paraId="02F21073" w14:textId="77777777" w:rsidR="00E575A9" w:rsidRPr="00032D7E" w:rsidRDefault="00E575A9" w:rsidP="00032D7E">
      <w:pPr>
        <w:ind w:left="851"/>
        <w:rPr>
          <w:sz w:val="24"/>
          <w:szCs w:val="24"/>
          <w:u w:val="single"/>
          <w:lang w:val="en-IN"/>
        </w:rPr>
      </w:pPr>
    </w:p>
    <w:p w14:paraId="1B6DB2BE" w14:textId="77777777" w:rsidR="00E575A9" w:rsidRPr="00032D7E" w:rsidRDefault="00E575A9" w:rsidP="00032D7E">
      <w:pPr>
        <w:ind w:left="851"/>
        <w:rPr>
          <w:sz w:val="24"/>
          <w:szCs w:val="24"/>
          <w:lang w:val="en-IN"/>
        </w:rPr>
      </w:pPr>
      <w:r w:rsidRPr="00032D7E">
        <w:rPr>
          <w:sz w:val="24"/>
          <w:szCs w:val="24"/>
          <w:lang w:val="en-IN"/>
        </w:rPr>
        <w:t xml:space="preserve">Data from </w:t>
      </w:r>
      <w:r w:rsidRPr="00032D7E">
        <w:rPr>
          <w:i/>
          <w:iCs/>
          <w:sz w:val="24"/>
          <w:szCs w:val="24"/>
          <w:lang w:val="en-IN"/>
        </w:rPr>
        <w:t xml:space="preserve">in vitro </w:t>
      </w:r>
      <w:r w:rsidRPr="00032D7E">
        <w:rPr>
          <w:sz w:val="24"/>
          <w:szCs w:val="24"/>
          <w:lang w:val="en-IN"/>
        </w:rPr>
        <w:t xml:space="preserve">studies indicate that </w:t>
      </w:r>
      <w:proofErr w:type="spellStart"/>
      <w:r w:rsidRPr="00032D7E">
        <w:rPr>
          <w:sz w:val="24"/>
          <w:szCs w:val="24"/>
          <w:lang w:val="en-IN"/>
        </w:rPr>
        <w:t>perampanel</w:t>
      </w:r>
      <w:proofErr w:type="spellEnd"/>
      <w:r w:rsidRPr="00032D7E">
        <w:rPr>
          <w:sz w:val="24"/>
          <w:szCs w:val="24"/>
          <w:lang w:val="en-IN"/>
        </w:rPr>
        <w:t xml:space="preserve"> is approximately 95% bound to plasma proteins. </w:t>
      </w:r>
    </w:p>
    <w:p w14:paraId="5A6EE7E2" w14:textId="77777777" w:rsidR="00E575A9" w:rsidRPr="00032D7E" w:rsidRDefault="00E575A9" w:rsidP="00032D7E">
      <w:pPr>
        <w:ind w:left="851"/>
        <w:rPr>
          <w:sz w:val="24"/>
          <w:szCs w:val="24"/>
          <w:lang w:val="en-IN"/>
        </w:rPr>
      </w:pPr>
      <w:r w:rsidRPr="00032D7E">
        <w:rPr>
          <w:i/>
          <w:iCs/>
          <w:sz w:val="24"/>
          <w:szCs w:val="24"/>
          <w:lang w:val="en-IN"/>
        </w:rPr>
        <w:t xml:space="preserve">In vitro </w:t>
      </w:r>
      <w:r w:rsidRPr="00032D7E">
        <w:rPr>
          <w:sz w:val="24"/>
          <w:szCs w:val="24"/>
          <w:lang w:val="en-IN"/>
        </w:rPr>
        <w:t xml:space="preserve">studies show that </w:t>
      </w:r>
      <w:proofErr w:type="spellStart"/>
      <w:r w:rsidRPr="00032D7E">
        <w:rPr>
          <w:sz w:val="24"/>
          <w:szCs w:val="24"/>
          <w:lang w:val="en-IN"/>
        </w:rPr>
        <w:t>perampanel</w:t>
      </w:r>
      <w:proofErr w:type="spellEnd"/>
      <w:r w:rsidRPr="00032D7E">
        <w:rPr>
          <w:sz w:val="24"/>
          <w:szCs w:val="24"/>
          <w:lang w:val="en-IN"/>
        </w:rPr>
        <w:t xml:space="preserve"> is not a substrate or significant inhibitor of organic anion transporting polypeptides (OATP) 1B1 and 1B3, organic anion transporters (OAT) 1, 2, 3, and 4, organic cation transporters (OCT) 1, 2, and 3, and the efflux transporters P-glycoprotein and Breast Cancer Resistance Protein (BCRP). </w:t>
      </w:r>
    </w:p>
    <w:p w14:paraId="6BC2B72B" w14:textId="73F77041" w:rsidR="00FE0AD1" w:rsidRDefault="00FE0AD1">
      <w:pPr>
        <w:rPr>
          <w:sz w:val="24"/>
          <w:szCs w:val="24"/>
          <w:lang w:val="en-IN"/>
        </w:rPr>
      </w:pPr>
      <w:r>
        <w:rPr>
          <w:sz w:val="24"/>
          <w:szCs w:val="24"/>
          <w:lang w:val="en-IN"/>
        </w:rPr>
        <w:br w:type="page"/>
      </w:r>
    </w:p>
    <w:p w14:paraId="769A6904" w14:textId="77777777" w:rsidR="00E575A9" w:rsidRPr="00032D7E" w:rsidRDefault="00E575A9" w:rsidP="00032D7E">
      <w:pPr>
        <w:ind w:left="851"/>
        <w:rPr>
          <w:sz w:val="24"/>
          <w:szCs w:val="24"/>
          <w:lang w:val="en-IN"/>
        </w:rPr>
      </w:pPr>
    </w:p>
    <w:p w14:paraId="27F9E64E" w14:textId="77777777" w:rsidR="00E575A9" w:rsidRPr="00032D7E" w:rsidRDefault="00E575A9" w:rsidP="00032D7E">
      <w:pPr>
        <w:ind w:left="851"/>
        <w:rPr>
          <w:sz w:val="24"/>
          <w:szCs w:val="24"/>
          <w:u w:val="single"/>
          <w:lang w:val="en-IN"/>
        </w:rPr>
      </w:pPr>
      <w:r w:rsidRPr="00032D7E">
        <w:rPr>
          <w:sz w:val="24"/>
          <w:szCs w:val="24"/>
          <w:u w:val="single"/>
          <w:lang w:val="en-IN"/>
        </w:rPr>
        <w:t xml:space="preserve">Biotransformation </w:t>
      </w:r>
    </w:p>
    <w:p w14:paraId="39051794" w14:textId="77777777" w:rsidR="00E575A9" w:rsidRPr="00032D7E" w:rsidRDefault="00E575A9" w:rsidP="00032D7E">
      <w:pPr>
        <w:ind w:left="851"/>
        <w:rPr>
          <w:sz w:val="24"/>
          <w:szCs w:val="24"/>
          <w:u w:val="single"/>
          <w:lang w:val="en-IN"/>
        </w:rPr>
      </w:pPr>
    </w:p>
    <w:p w14:paraId="1366490F" w14:textId="77777777" w:rsidR="00E575A9" w:rsidRPr="00032D7E" w:rsidRDefault="00E575A9" w:rsidP="00032D7E">
      <w:pPr>
        <w:ind w:left="851"/>
        <w:rPr>
          <w:sz w:val="24"/>
          <w:szCs w:val="24"/>
          <w:lang w:val="en-IN"/>
        </w:rPr>
      </w:pPr>
      <w:proofErr w:type="spellStart"/>
      <w:r w:rsidRPr="00032D7E">
        <w:rPr>
          <w:sz w:val="24"/>
          <w:szCs w:val="24"/>
          <w:lang w:val="en-IN"/>
        </w:rPr>
        <w:t>Perampanel</w:t>
      </w:r>
      <w:proofErr w:type="spellEnd"/>
      <w:r w:rsidRPr="00032D7E">
        <w:rPr>
          <w:sz w:val="24"/>
          <w:szCs w:val="24"/>
          <w:lang w:val="en-IN"/>
        </w:rPr>
        <w:t xml:space="preserve"> is extensively metabolised via primary oxidation and sequential glucuronidation. The metabolism of </w:t>
      </w:r>
      <w:proofErr w:type="spellStart"/>
      <w:r w:rsidRPr="00032D7E">
        <w:rPr>
          <w:sz w:val="24"/>
          <w:szCs w:val="24"/>
          <w:lang w:val="en-IN"/>
        </w:rPr>
        <w:t>perampanel</w:t>
      </w:r>
      <w:proofErr w:type="spellEnd"/>
      <w:r w:rsidRPr="00032D7E">
        <w:rPr>
          <w:sz w:val="24"/>
          <w:szCs w:val="24"/>
          <w:lang w:val="en-IN"/>
        </w:rPr>
        <w:t xml:space="preserve"> is mediated primarily by CYP3A based on clinical study results in healthy subjects administered radiolabelled </w:t>
      </w:r>
      <w:proofErr w:type="spellStart"/>
      <w:r w:rsidRPr="00032D7E">
        <w:rPr>
          <w:sz w:val="24"/>
          <w:szCs w:val="24"/>
          <w:lang w:val="en-IN"/>
        </w:rPr>
        <w:t>perampanel</w:t>
      </w:r>
      <w:proofErr w:type="spellEnd"/>
      <w:r w:rsidRPr="00032D7E">
        <w:rPr>
          <w:sz w:val="24"/>
          <w:szCs w:val="24"/>
          <w:lang w:val="en-IN"/>
        </w:rPr>
        <w:t xml:space="preserve"> and supported by </w:t>
      </w:r>
      <w:r w:rsidRPr="00032D7E">
        <w:rPr>
          <w:i/>
          <w:iCs/>
          <w:sz w:val="24"/>
          <w:szCs w:val="24"/>
          <w:lang w:val="en-IN"/>
        </w:rPr>
        <w:t xml:space="preserve">in vitro </w:t>
      </w:r>
      <w:r w:rsidRPr="00032D7E">
        <w:rPr>
          <w:sz w:val="24"/>
          <w:szCs w:val="24"/>
          <w:lang w:val="en-IN"/>
        </w:rPr>
        <w:t xml:space="preserve">studies using recombinant human CYPs and human liver microsomes. </w:t>
      </w:r>
    </w:p>
    <w:p w14:paraId="560D7214" w14:textId="77777777" w:rsidR="00E575A9" w:rsidRPr="00032D7E" w:rsidRDefault="00E575A9" w:rsidP="00032D7E">
      <w:pPr>
        <w:ind w:left="851"/>
        <w:rPr>
          <w:sz w:val="24"/>
          <w:szCs w:val="24"/>
          <w:lang w:val="en-IN"/>
        </w:rPr>
      </w:pPr>
    </w:p>
    <w:p w14:paraId="5CDE5ADB" w14:textId="77777777" w:rsidR="00E575A9" w:rsidRPr="00032D7E" w:rsidRDefault="00E575A9" w:rsidP="00032D7E">
      <w:pPr>
        <w:ind w:left="851"/>
        <w:rPr>
          <w:sz w:val="24"/>
          <w:szCs w:val="24"/>
          <w:lang w:val="en-IN"/>
        </w:rPr>
      </w:pPr>
      <w:r w:rsidRPr="00032D7E">
        <w:rPr>
          <w:sz w:val="24"/>
          <w:szCs w:val="24"/>
          <w:lang w:val="en-IN"/>
        </w:rPr>
        <w:t xml:space="preserve">Following administration of radiolabelled </w:t>
      </w:r>
      <w:proofErr w:type="spellStart"/>
      <w:r w:rsidRPr="00032D7E">
        <w:rPr>
          <w:sz w:val="24"/>
          <w:szCs w:val="24"/>
          <w:lang w:val="en-IN"/>
        </w:rPr>
        <w:t>perampanel</w:t>
      </w:r>
      <w:proofErr w:type="spellEnd"/>
      <w:r w:rsidRPr="00032D7E">
        <w:rPr>
          <w:sz w:val="24"/>
          <w:szCs w:val="24"/>
          <w:lang w:val="en-IN"/>
        </w:rPr>
        <w:t xml:space="preserve">, only trace amounts of </w:t>
      </w:r>
      <w:proofErr w:type="spellStart"/>
      <w:r w:rsidRPr="00032D7E">
        <w:rPr>
          <w:sz w:val="24"/>
          <w:szCs w:val="24"/>
          <w:lang w:val="en-IN"/>
        </w:rPr>
        <w:t>perampanel</w:t>
      </w:r>
      <w:proofErr w:type="spellEnd"/>
      <w:r w:rsidRPr="00032D7E">
        <w:rPr>
          <w:sz w:val="24"/>
          <w:szCs w:val="24"/>
          <w:lang w:val="en-IN"/>
        </w:rPr>
        <w:t xml:space="preserve"> metabolites were observed in plasma. </w:t>
      </w:r>
    </w:p>
    <w:p w14:paraId="59506B7C" w14:textId="77777777" w:rsidR="00E575A9" w:rsidRPr="00032D7E" w:rsidRDefault="00E575A9" w:rsidP="00032D7E">
      <w:pPr>
        <w:ind w:left="851"/>
        <w:rPr>
          <w:sz w:val="24"/>
          <w:szCs w:val="24"/>
          <w:lang w:val="en-IN"/>
        </w:rPr>
      </w:pPr>
    </w:p>
    <w:p w14:paraId="7D384B69" w14:textId="77777777" w:rsidR="00E575A9" w:rsidRPr="00032D7E" w:rsidRDefault="00E575A9" w:rsidP="00032D7E">
      <w:pPr>
        <w:ind w:left="851"/>
        <w:rPr>
          <w:sz w:val="24"/>
          <w:szCs w:val="24"/>
          <w:u w:val="single"/>
          <w:lang w:val="en-IN"/>
        </w:rPr>
      </w:pPr>
      <w:r w:rsidRPr="00032D7E">
        <w:rPr>
          <w:sz w:val="24"/>
          <w:szCs w:val="24"/>
          <w:u w:val="single"/>
          <w:lang w:val="en-IN"/>
        </w:rPr>
        <w:t xml:space="preserve">Elimination </w:t>
      </w:r>
    </w:p>
    <w:p w14:paraId="73B1F367" w14:textId="77777777" w:rsidR="00E575A9" w:rsidRPr="00032D7E" w:rsidRDefault="00E575A9" w:rsidP="00032D7E">
      <w:pPr>
        <w:ind w:left="851"/>
        <w:rPr>
          <w:sz w:val="24"/>
          <w:szCs w:val="24"/>
          <w:u w:val="single"/>
          <w:lang w:val="en-IN"/>
        </w:rPr>
      </w:pPr>
    </w:p>
    <w:p w14:paraId="0CD3A4CA" w14:textId="77777777" w:rsidR="00E575A9" w:rsidRPr="00032D7E" w:rsidRDefault="00E575A9" w:rsidP="00032D7E">
      <w:pPr>
        <w:ind w:left="851"/>
        <w:rPr>
          <w:sz w:val="24"/>
          <w:szCs w:val="24"/>
          <w:lang w:val="en-IN"/>
        </w:rPr>
      </w:pPr>
      <w:r w:rsidRPr="00032D7E">
        <w:rPr>
          <w:sz w:val="24"/>
          <w:szCs w:val="24"/>
          <w:lang w:val="en-IN"/>
        </w:rPr>
        <w:t xml:space="preserve">Following administration of a radiolabelled </w:t>
      </w:r>
      <w:proofErr w:type="spellStart"/>
      <w:r w:rsidRPr="00032D7E">
        <w:rPr>
          <w:sz w:val="24"/>
          <w:szCs w:val="24"/>
          <w:lang w:val="en-IN"/>
        </w:rPr>
        <w:t>perampanel</w:t>
      </w:r>
      <w:proofErr w:type="spellEnd"/>
      <w:r w:rsidRPr="00032D7E">
        <w:rPr>
          <w:sz w:val="24"/>
          <w:szCs w:val="24"/>
          <w:lang w:val="en-IN"/>
        </w:rPr>
        <w:t xml:space="preserve"> dose to either 8 healthy adults or elderly subjects, approximately 30% of recovered radioactivity was found in the urine and 70% in the faeces. In urine and faeces, recovered radioactivity was primarily composed of a mixture of oxidative and conjugated metabolites. In a population pharmacokinetic analysis of pooled data from 19 Phase 1 studies, the average t</w:t>
      </w:r>
      <w:r w:rsidRPr="00032D7E">
        <w:rPr>
          <w:sz w:val="24"/>
          <w:szCs w:val="24"/>
          <w:vertAlign w:val="subscript"/>
          <w:lang w:val="en-IN"/>
        </w:rPr>
        <w:t>½</w:t>
      </w:r>
      <w:r w:rsidRPr="00032D7E">
        <w:rPr>
          <w:sz w:val="24"/>
          <w:szCs w:val="24"/>
          <w:lang w:val="en-IN"/>
        </w:rPr>
        <w:t xml:space="preserve"> of </w:t>
      </w:r>
      <w:proofErr w:type="spellStart"/>
      <w:r w:rsidRPr="00032D7E">
        <w:rPr>
          <w:sz w:val="24"/>
          <w:szCs w:val="24"/>
          <w:lang w:val="en-IN"/>
        </w:rPr>
        <w:t>perampanel</w:t>
      </w:r>
      <w:proofErr w:type="spellEnd"/>
      <w:r w:rsidRPr="00032D7E">
        <w:rPr>
          <w:sz w:val="24"/>
          <w:szCs w:val="24"/>
          <w:lang w:val="en-IN"/>
        </w:rPr>
        <w:t xml:space="preserve"> was 105 hours. When dosed in combination with the strong CYP3A inducer carbamazepine, the average t</w:t>
      </w:r>
      <w:r w:rsidRPr="00032D7E">
        <w:rPr>
          <w:sz w:val="24"/>
          <w:szCs w:val="24"/>
          <w:vertAlign w:val="subscript"/>
          <w:lang w:val="en-IN"/>
        </w:rPr>
        <w:t>½</w:t>
      </w:r>
      <w:r w:rsidRPr="00032D7E">
        <w:rPr>
          <w:sz w:val="24"/>
          <w:szCs w:val="24"/>
          <w:lang w:val="en-IN"/>
        </w:rPr>
        <w:t>was 25 hours.</w:t>
      </w:r>
    </w:p>
    <w:p w14:paraId="2E65A24A" w14:textId="77777777" w:rsidR="00E575A9" w:rsidRPr="00032D7E" w:rsidRDefault="00E575A9" w:rsidP="00032D7E">
      <w:pPr>
        <w:ind w:left="851"/>
        <w:rPr>
          <w:sz w:val="24"/>
          <w:szCs w:val="24"/>
          <w:lang w:val="en-IN"/>
        </w:rPr>
      </w:pPr>
    </w:p>
    <w:p w14:paraId="0C0FC09C" w14:textId="77777777" w:rsidR="00E575A9" w:rsidRPr="00032D7E" w:rsidRDefault="00E575A9" w:rsidP="00032D7E">
      <w:pPr>
        <w:ind w:left="851"/>
        <w:rPr>
          <w:sz w:val="24"/>
          <w:szCs w:val="24"/>
          <w:u w:val="single"/>
          <w:lang w:val="en-IN"/>
        </w:rPr>
      </w:pPr>
      <w:r w:rsidRPr="00032D7E">
        <w:rPr>
          <w:sz w:val="24"/>
          <w:szCs w:val="24"/>
          <w:u w:val="single"/>
          <w:lang w:val="en-IN"/>
        </w:rPr>
        <w:t xml:space="preserve">Linearity/non-linearity </w:t>
      </w:r>
    </w:p>
    <w:p w14:paraId="535CDE56" w14:textId="77777777" w:rsidR="00E575A9" w:rsidRPr="00032D7E" w:rsidRDefault="00E575A9" w:rsidP="00032D7E">
      <w:pPr>
        <w:ind w:left="851"/>
        <w:rPr>
          <w:sz w:val="24"/>
          <w:szCs w:val="24"/>
          <w:u w:val="single"/>
          <w:lang w:val="en-IN"/>
        </w:rPr>
      </w:pPr>
    </w:p>
    <w:p w14:paraId="2CCA75E4" w14:textId="77777777" w:rsidR="00E575A9" w:rsidRPr="00032D7E" w:rsidRDefault="00E575A9" w:rsidP="00032D7E">
      <w:pPr>
        <w:ind w:left="851"/>
        <w:rPr>
          <w:sz w:val="24"/>
          <w:szCs w:val="24"/>
          <w:lang w:val="en-IN"/>
        </w:rPr>
      </w:pPr>
      <w:r w:rsidRPr="00032D7E">
        <w:rPr>
          <w:sz w:val="24"/>
          <w:szCs w:val="24"/>
          <w:lang w:val="en-IN"/>
        </w:rPr>
        <w:t xml:space="preserve">In a population PK analysis on pooled data from twenty Phase 1 studies in healthy subjects receiving </w:t>
      </w:r>
      <w:proofErr w:type="spellStart"/>
      <w:r w:rsidRPr="00032D7E">
        <w:rPr>
          <w:sz w:val="24"/>
          <w:szCs w:val="24"/>
          <w:lang w:val="en-IN"/>
        </w:rPr>
        <w:t>perampanel</w:t>
      </w:r>
      <w:proofErr w:type="spellEnd"/>
      <w:r w:rsidRPr="00032D7E">
        <w:rPr>
          <w:sz w:val="24"/>
          <w:szCs w:val="24"/>
          <w:lang w:val="en-IN"/>
        </w:rPr>
        <w:t xml:space="preserve"> between 0.2 and 36 mg either as single or multiple doses, one Phase 2 and five Phase 3 studies in patients with partial-onset seizure receiving </w:t>
      </w:r>
      <w:proofErr w:type="spellStart"/>
      <w:r w:rsidRPr="00032D7E">
        <w:rPr>
          <w:sz w:val="24"/>
          <w:szCs w:val="24"/>
          <w:lang w:val="en-IN"/>
        </w:rPr>
        <w:t>perampanel</w:t>
      </w:r>
      <w:proofErr w:type="spellEnd"/>
      <w:r w:rsidRPr="00032D7E">
        <w:rPr>
          <w:sz w:val="24"/>
          <w:szCs w:val="24"/>
          <w:lang w:val="en-IN"/>
        </w:rPr>
        <w:t xml:space="preserve"> between 2 and 16 mg/day and two Phase 3 studies in patients with primary generalised tonic-clonic seizures receiving </w:t>
      </w:r>
      <w:proofErr w:type="spellStart"/>
      <w:r w:rsidRPr="00032D7E">
        <w:rPr>
          <w:sz w:val="24"/>
          <w:szCs w:val="24"/>
          <w:lang w:val="en-IN"/>
        </w:rPr>
        <w:t>perampanel</w:t>
      </w:r>
      <w:proofErr w:type="spellEnd"/>
      <w:r w:rsidRPr="00032D7E">
        <w:rPr>
          <w:sz w:val="24"/>
          <w:szCs w:val="24"/>
          <w:lang w:val="en-IN"/>
        </w:rPr>
        <w:t xml:space="preserve"> between 2 and 14 mg/day a linear relationship was found between dose and </w:t>
      </w:r>
      <w:proofErr w:type="spellStart"/>
      <w:r w:rsidRPr="00032D7E">
        <w:rPr>
          <w:sz w:val="24"/>
          <w:szCs w:val="24"/>
          <w:lang w:val="en-IN"/>
        </w:rPr>
        <w:t>perampanel</w:t>
      </w:r>
      <w:proofErr w:type="spellEnd"/>
      <w:r w:rsidRPr="00032D7E">
        <w:rPr>
          <w:sz w:val="24"/>
          <w:szCs w:val="24"/>
          <w:lang w:val="en-IN"/>
        </w:rPr>
        <w:t xml:space="preserve"> plasma concentrations.</w:t>
      </w:r>
    </w:p>
    <w:p w14:paraId="6E196DD6" w14:textId="77777777" w:rsidR="00E575A9" w:rsidRPr="00032D7E" w:rsidRDefault="00E575A9" w:rsidP="00032D7E">
      <w:pPr>
        <w:ind w:left="851"/>
        <w:rPr>
          <w:sz w:val="24"/>
          <w:szCs w:val="24"/>
          <w:lang w:val="en-IN"/>
        </w:rPr>
      </w:pPr>
    </w:p>
    <w:p w14:paraId="6097ABEB" w14:textId="77777777" w:rsidR="00E575A9" w:rsidRPr="00032D7E" w:rsidRDefault="00E575A9" w:rsidP="00032D7E">
      <w:pPr>
        <w:ind w:left="851"/>
        <w:rPr>
          <w:sz w:val="24"/>
          <w:szCs w:val="24"/>
          <w:u w:val="single"/>
          <w:lang w:val="en-IN"/>
        </w:rPr>
      </w:pPr>
      <w:r w:rsidRPr="00032D7E">
        <w:rPr>
          <w:sz w:val="24"/>
          <w:szCs w:val="24"/>
          <w:u w:val="single"/>
          <w:lang w:val="en-IN"/>
        </w:rPr>
        <w:t xml:space="preserve">Special populations </w:t>
      </w:r>
    </w:p>
    <w:p w14:paraId="35AB35E8" w14:textId="77777777" w:rsidR="00E575A9" w:rsidRPr="00032D7E" w:rsidRDefault="00E575A9" w:rsidP="00032D7E">
      <w:pPr>
        <w:ind w:left="851"/>
        <w:rPr>
          <w:sz w:val="24"/>
          <w:szCs w:val="24"/>
          <w:u w:val="single"/>
          <w:lang w:val="en-IN"/>
        </w:rPr>
      </w:pPr>
    </w:p>
    <w:p w14:paraId="043FCF77" w14:textId="77777777" w:rsidR="00E575A9" w:rsidRPr="00032D7E" w:rsidRDefault="00E575A9" w:rsidP="00032D7E">
      <w:pPr>
        <w:ind w:left="851"/>
        <w:rPr>
          <w:sz w:val="24"/>
          <w:szCs w:val="24"/>
          <w:lang w:val="en-IN"/>
        </w:rPr>
      </w:pPr>
      <w:r w:rsidRPr="00032D7E">
        <w:rPr>
          <w:i/>
          <w:iCs/>
          <w:sz w:val="24"/>
          <w:szCs w:val="24"/>
          <w:lang w:val="en-IN"/>
        </w:rPr>
        <w:t xml:space="preserve">Hepatic impairment </w:t>
      </w:r>
    </w:p>
    <w:p w14:paraId="1F06B4F7" w14:textId="1A93EFCF" w:rsidR="00E575A9" w:rsidRPr="00032D7E" w:rsidRDefault="00E575A9" w:rsidP="00032D7E">
      <w:pPr>
        <w:ind w:left="851"/>
        <w:rPr>
          <w:sz w:val="24"/>
          <w:szCs w:val="24"/>
          <w:lang w:val="en-IN"/>
        </w:rPr>
      </w:pPr>
      <w:r w:rsidRPr="00032D7E">
        <w:rPr>
          <w:sz w:val="24"/>
          <w:szCs w:val="24"/>
          <w:lang w:val="en-IN"/>
        </w:rPr>
        <w:t xml:space="preserve">The pharmacokinetics of </w:t>
      </w:r>
      <w:proofErr w:type="spellStart"/>
      <w:r w:rsidRPr="00032D7E">
        <w:rPr>
          <w:sz w:val="24"/>
          <w:szCs w:val="24"/>
          <w:lang w:val="en-IN"/>
        </w:rPr>
        <w:t>perampanel</w:t>
      </w:r>
      <w:proofErr w:type="spellEnd"/>
      <w:r w:rsidRPr="00032D7E">
        <w:rPr>
          <w:sz w:val="24"/>
          <w:szCs w:val="24"/>
          <w:lang w:val="en-IN"/>
        </w:rPr>
        <w:t xml:space="preserve"> following a single 1 mg dose were evaluated in 12 patients with mild and moderate hepatic impairment (Child-Pugh A and B, respectively) compared with 12 healthy, demographically matched subjects. The mean apparent clearance of unbound </w:t>
      </w:r>
      <w:proofErr w:type="spellStart"/>
      <w:r w:rsidRPr="00032D7E">
        <w:rPr>
          <w:sz w:val="24"/>
          <w:szCs w:val="24"/>
          <w:lang w:val="en-IN"/>
        </w:rPr>
        <w:t>perampanel</w:t>
      </w:r>
      <w:proofErr w:type="spellEnd"/>
      <w:r w:rsidRPr="00032D7E">
        <w:rPr>
          <w:sz w:val="24"/>
          <w:szCs w:val="24"/>
          <w:lang w:val="en-IN"/>
        </w:rPr>
        <w:t xml:space="preserve"> in mildly impaired patients was 188 ml/min vs. 338</w:t>
      </w:r>
      <w:r w:rsidR="00FE0AD1">
        <w:rPr>
          <w:sz w:val="24"/>
          <w:szCs w:val="24"/>
          <w:lang w:val="en-IN"/>
        </w:rPr>
        <w:t> </w:t>
      </w:r>
      <w:r w:rsidRPr="00032D7E">
        <w:rPr>
          <w:sz w:val="24"/>
          <w:szCs w:val="24"/>
          <w:lang w:val="en-IN"/>
        </w:rPr>
        <w:t>ml/min in matched controls, and in moderately impaired patients was 120 ml/min vs. 392</w:t>
      </w:r>
      <w:r w:rsidR="00FE0AD1">
        <w:rPr>
          <w:sz w:val="24"/>
          <w:szCs w:val="24"/>
          <w:lang w:val="en-IN"/>
        </w:rPr>
        <w:t> </w:t>
      </w:r>
      <w:r w:rsidRPr="00032D7E">
        <w:rPr>
          <w:sz w:val="24"/>
          <w:szCs w:val="24"/>
          <w:lang w:val="en-IN"/>
        </w:rPr>
        <w:t>ml/min in matched controls. The t</w:t>
      </w:r>
      <w:r w:rsidRPr="00032D7E">
        <w:rPr>
          <w:sz w:val="24"/>
          <w:szCs w:val="24"/>
          <w:vertAlign w:val="subscript"/>
          <w:lang w:val="en-IN"/>
        </w:rPr>
        <w:t>½</w:t>
      </w:r>
      <w:r w:rsidRPr="00032D7E">
        <w:rPr>
          <w:sz w:val="24"/>
          <w:szCs w:val="24"/>
          <w:lang w:val="en-IN"/>
        </w:rPr>
        <w:t xml:space="preserve"> was longer in mildly impaired (306 h vs. 125 h) and moderately impaired (295 h vs. 139 h) patients compared to matched healthy subjects. </w:t>
      </w:r>
    </w:p>
    <w:p w14:paraId="5F592C10" w14:textId="77777777" w:rsidR="00E575A9" w:rsidRPr="00032D7E" w:rsidRDefault="00E575A9" w:rsidP="00032D7E">
      <w:pPr>
        <w:ind w:left="851"/>
        <w:rPr>
          <w:sz w:val="24"/>
          <w:szCs w:val="24"/>
          <w:lang w:val="en-IN"/>
        </w:rPr>
      </w:pPr>
    </w:p>
    <w:p w14:paraId="7AFC54D3" w14:textId="77777777" w:rsidR="00E575A9" w:rsidRPr="00032D7E" w:rsidRDefault="00E575A9" w:rsidP="00032D7E">
      <w:pPr>
        <w:ind w:left="851"/>
        <w:rPr>
          <w:sz w:val="24"/>
          <w:szCs w:val="24"/>
          <w:lang w:val="en-IN"/>
        </w:rPr>
      </w:pPr>
      <w:r w:rsidRPr="00032D7E">
        <w:rPr>
          <w:i/>
          <w:iCs/>
          <w:sz w:val="24"/>
          <w:szCs w:val="24"/>
          <w:lang w:val="en-IN"/>
        </w:rPr>
        <w:t xml:space="preserve">Renal impairment </w:t>
      </w:r>
    </w:p>
    <w:p w14:paraId="3D4F1BE3" w14:textId="77777777" w:rsidR="00E575A9" w:rsidRPr="00032D7E" w:rsidRDefault="00E575A9" w:rsidP="00032D7E">
      <w:pPr>
        <w:ind w:left="851"/>
        <w:rPr>
          <w:sz w:val="24"/>
          <w:szCs w:val="24"/>
          <w:lang w:val="en-IN"/>
        </w:rPr>
      </w:pPr>
      <w:r w:rsidRPr="00032D7E">
        <w:rPr>
          <w:sz w:val="24"/>
          <w:szCs w:val="24"/>
          <w:lang w:val="en-IN"/>
        </w:rPr>
        <w:t xml:space="preserve">The pharmacokinetics of </w:t>
      </w:r>
      <w:proofErr w:type="spellStart"/>
      <w:r w:rsidRPr="00032D7E">
        <w:rPr>
          <w:sz w:val="24"/>
          <w:szCs w:val="24"/>
          <w:lang w:val="en-IN"/>
        </w:rPr>
        <w:t>perampanel</w:t>
      </w:r>
      <w:proofErr w:type="spellEnd"/>
      <w:r w:rsidRPr="00032D7E">
        <w:rPr>
          <w:sz w:val="24"/>
          <w:szCs w:val="24"/>
          <w:lang w:val="en-IN"/>
        </w:rPr>
        <w:t xml:space="preserve"> have not been formally evaluated in patients with renal impairment. </w:t>
      </w:r>
      <w:proofErr w:type="spellStart"/>
      <w:r w:rsidRPr="00032D7E">
        <w:rPr>
          <w:sz w:val="24"/>
          <w:szCs w:val="24"/>
          <w:lang w:val="en-IN"/>
        </w:rPr>
        <w:t>perampanel</w:t>
      </w:r>
      <w:proofErr w:type="spellEnd"/>
      <w:r w:rsidRPr="00032D7E">
        <w:rPr>
          <w:sz w:val="24"/>
          <w:szCs w:val="24"/>
          <w:lang w:val="en-IN"/>
        </w:rPr>
        <w:t xml:space="preserve"> is eliminated almost exclusively by metabolism followed by rapid excretion of metabolites; only trace amounts of </w:t>
      </w:r>
      <w:proofErr w:type="spellStart"/>
      <w:r w:rsidRPr="00032D7E">
        <w:rPr>
          <w:sz w:val="24"/>
          <w:szCs w:val="24"/>
          <w:lang w:val="en-IN"/>
        </w:rPr>
        <w:t>perampanel</w:t>
      </w:r>
      <w:proofErr w:type="spellEnd"/>
      <w:r w:rsidRPr="00032D7E">
        <w:rPr>
          <w:sz w:val="24"/>
          <w:szCs w:val="24"/>
          <w:lang w:val="en-IN"/>
        </w:rPr>
        <w:t xml:space="preserve"> metabolites are observed in plasma. In a population pharmacokinetic analysis of patients with partial-onset seizures having creatinine clearances ranging from 39 to 160 mL/min and receiving </w:t>
      </w:r>
      <w:proofErr w:type="spellStart"/>
      <w:r w:rsidRPr="00032D7E">
        <w:rPr>
          <w:sz w:val="24"/>
          <w:szCs w:val="24"/>
          <w:lang w:val="en-IN"/>
        </w:rPr>
        <w:t>perampanel</w:t>
      </w:r>
      <w:proofErr w:type="spellEnd"/>
      <w:r w:rsidRPr="00032D7E">
        <w:rPr>
          <w:sz w:val="24"/>
          <w:szCs w:val="24"/>
          <w:lang w:val="en-IN"/>
        </w:rPr>
        <w:t xml:space="preserve"> up to 12 mg/day in placebo-controlled clinical trials, </w:t>
      </w:r>
      <w:proofErr w:type="spellStart"/>
      <w:r w:rsidRPr="00032D7E">
        <w:rPr>
          <w:sz w:val="24"/>
          <w:szCs w:val="24"/>
          <w:lang w:val="en-IN"/>
        </w:rPr>
        <w:t>perampanel</w:t>
      </w:r>
      <w:proofErr w:type="spellEnd"/>
      <w:r w:rsidRPr="00032D7E">
        <w:rPr>
          <w:sz w:val="24"/>
          <w:szCs w:val="24"/>
          <w:lang w:val="en-IN"/>
        </w:rPr>
        <w:t xml:space="preserve"> clearance was not influenced by creatinine clearance. In a population pharmacokinetic analysis of patients with primary generalised tonic-clonic seizures receiving </w:t>
      </w:r>
      <w:proofErr w:type="spellStart"/>
      <w:r w:rsidRPr="00032D7E">
        <w:rPr>
          <w:sz w:val="24"/>
          <w:szCs w:val="24"/>
          <w:lang w:val="en-IN"/>
        </w:rPr>
        <w:t>perampanel</w:t>
      </w:r>
      <w:proofErr w:type="spellEnd"/>
      <w:r w:rsidRPr="00032D7E">
        <w:rPr>
          <w:sz w:val="24"/>
          <w:szCs w:val="24"/>
          <w:lang w:val="en-IN"/>
        </w:rPr>
        <w:t xml:space="preserve"> up to 8 mg/day in a placebo-controlled clinical study, </w:t>
      </w:r>
      <w:proofErr w:type="spellStart"/>
      <w:r w:rsidRPr="00032D7E">
        <w:rPr>
          <w:sz w:val="24"/>
          <w:szCs w:val="24"/>
          <w:lang w:val="en-IN"/>
        </w:rPr>
        <w:t>perampanel</w:t>
      </w:r>
      <w:proofErr w:type="spellEnd"/>
      <w:r w:rsidRPr="00032D7E">
        <w:rPr>
          <w:sz w:val="24"/>
          <w:szCs w:val="24"/>
          <w:lang w:val="en-IN"/>
        </w:rPr>
        <w:t xml:space="preserve"> clearance was not influenced by baseline creatinine clearance. </w:t>
      </w:r>
    </w:p>
    <w:p w14:paraId="1EEDA969" w14:textId="77777777" w:rsidR="00E575A9" w:rsidRPr="00032D7E" w:rsidRDefault="00E575A9" w:rsidP="00032D7E">
      <w:pPr>
        <w:ind w:left="851"/>
        <w:rPr>
          <w:sz w:val="24"/>
          <w:szCs w:val="24"/>
          <w:lang w:val="en-IN"/>
        </w:rPr>
      </w:pPr>
    </w:p>
    <w:p w14:paraId="1E88E1BC" w14:textId="77777777" w:rsidR="00E575A9" w:rsidRPr="00032D7E" w:rsidRDefault="00E575A9" w:rsidP="00032D7E">
      <w:pPr>
        <w:ind w:left="851"/>
        <w:rPr>
          <w:sz w:val="24"/>
          <w:szCs w:val="24"/>
          <w:lang w:val="en-IN"/>
        </w:rPr>
      </w:pPr>
      <w:r w:rsidRPr="00032D7E">
        <w:rPr>
          <w:i/>
          <w:iCs/>
          <w:sz w:val="24"/>
          <w:szCs w:val="24"/>
          <w:lang w:val="en-IN"/>
        </w:rPr>
        <w:t xml:space="preserve">Gender </w:t>
      </w:r>
    </w:p>
    <w:p w14:paraId="0448B2CE" w14:textId="77777777" w:rsidR="00E575A9" w:rsidRPr="00032D7E" w:rsidRDefault="00E575A9" w:rsidP="00032D7E">
      <w:pPr>
        <w:ind w:left="851"/>
        <w:rPr>
          <w:sz w:val="24"/>
          <w:szCs w:val="24"/>
          <w:lang w:val="en-IN"/>
        </w:rPr>
      </w:pPr>
      <w:r w:rsidRPr="00032D7E">
        <w:rPr>
          <w:sz w:val="24"/>
          <w:szCs w:val="24"/>
          <w:lang w:val="en-IN"/>
        </w:rPr>
        <w:t xml:space="preserve">In a population pharmacokinetic analysis of patients with partial-onset seizures receiving </w:t>
      </w:r>
      <w:proofErr w:type="spellStart"/>
      <w:r w:rsidRPr="00032D7E">
        <w:rPr>
          <w:sz w:val="24"/>
          <w:szCs w:val="24"/>
          <w:lang w:val="en-IN"/>
        </w:rPr>
        <w:t>perampanel</w:t>
      </w:r>
      <w:proofErr w:type="spellEnd"/>
      <w:r w:rsidRPr="00032D7E">
        <w:rPr>
          <w:sz w:val="24"/>
          <w:szCs w:val="24"/>
          <w:lang w:val="en-IN"/>
        </w:rPr>
        <w:t xml:space="preserve"> up to 12 mg/day and patients with primary generalised tonic-clonic seizures receiving </w:t>
      </w:r>
      <w:proofErr w:type="spellStart"/>
      <w:r w:rsidRPr="00032D7E">
        <w:rPr>
          <w:sz w:val="24"/>
          <w:szCs w:val="24"/>
          <w:lang w:val="en-IN"/>
        </w:rPr>
        <w:t>perampanel</w:t>
      </w:r>
      <w:proofErr w:type="spellEnd"/>
      <w:r w:rsidRPr="00032D7E">
        <w:rPr>
          <w:sz w:val="24"/>
          <w:szCs w:val="24"/>
          <w:lang w:val="en-IN"/>
        </w:rPr>
        <w:t xml:space="preserve"> up to 8 mg/day in placebo-controlled clinical trials, </w:t>
      </w:r>
      <w:proofErr w:type="spellStart"/>
      <w:r w:rsidRPr="00032D7E">
        <w:rPr>
          <w:sz w:val="24"/>
          <w:szCs w:val="24"/>
          <w:lang w:val="en-IN"/>
        </w:rPr>
        <w:t>perampanel</w:t>
      </w:r>
      <w:proofErr w:type="spellEnd"/>
      <w:r w:rsidRPr="00032D7E">
        <w:rPr>
          <w:sz w:val="24"/>
          <w:szCs w:val="24"/>
          <w:lang w:val="en-IN"/>
        </w:rPr>
        <w:t xml:space="preserve"> clearance in females (0.54 l/h) was 18% lower than in males (0.66 l/h). </w:t>
      </w:r>
    </w:p>
    <w:p w14:paraId="74004394" w14:textId="77777777" w:rsidR="00E575A9" w:rsidRPr="00032D7E" w:rsidRDefault="00E575A9" w:rsidP="00032D7E">
      <w:pPr>
        <w:ind w:left="851"/>
        <w:rPr>
          <w:sz w:val="24"/>
          <w:szCs w:val="24"/>
          <w:lang w:val="en-IN"/>
        </w:rPr>
      </w:pPr>
    </w:p>
    <w:p w14:paraId="492D6E31" w14:textId="77777777" w:rsidR="00E575A9" w:rsidRPr="00032D7E" w:rsidRDefault="00E575A9" w:rsidP="00032D7E">
      <w:pPr>
        <w:ind w:left="851"/>
        <w:rPr>
          <w:sz w:val="24"/>
          <w:szCs w:val="24"/>
          <w:lang w:val="en-IN"/>
        </w:rPr>
      </w:pPr>
      <w:r w:rsidRPr="00032D7E">
        <w:rPr>
          <w:i/>
          <w:iCs/>
          <w:sz w:val="24"/>
          <w:szCs w:val="24"/>
          <w:lang w:val="en-IN"/>
        </w:rPr>
        <w:t xml:space="preserve">Elderly (65 years of age and above) </w:t>
      </w:r>
    </w:p>
    <w:p w14:paraId="6EE91727" w14:textId="1EABB3F7" w:rsidR="00E575A9" w:rsidRPr="00032D7E" w:rsidRDefault="00E575A9" w:rsidP="00032D7E">
      <w:pPr>
        <w:ind w:left="851"/>
        <w:rPr>
          <w:sz w:val="24"/>
          <w:szCs w:val="24"/>
          <w:lang w:val="en-IN"/>
        </w:rPr>
      </w:pPr>
      <w:r w:rsidRPr="00032D7E">
        <w:rPr>
          <w:sz w:val="24"/>
          <w:szCs w:val="24"/>
          <w:lang w:val="en-IN"/>
        </w:rPr>
        <w:t xml:space="preserve">In a population pharmacokinetic analysis of patients with partial-onset seizures (age range 12 to 74 years) and primary generalised tonic-clonic seizures (age range 12 to 58 years) and receiving </w:t>
      </w:r>
      <w:proofErr w:type="spellStart"/>
      <w:r w:rsidRPr="00032D7E">
        <w:rPr>
          <w:sz w:val="24"/>
          <w:szCs w:val="24"/>
          <w:lang w:val="en-IN"/>
        </w:rPr>
        <w:t>perampanel</w:t>
      </w:r>
      <w:proofErr w:type="spellEnd"/>
      <w:r w:rsidRPr="00032D7E">
        <w:rPr>
          <w:sz w:val="24"/>
          <w:szCs w:val="24"/>
          <w:lang w:val="en-IN"/>
        </w:rPr>
        <w:t xml:space="preserve"> up to 8 or 12 mg/day in placebo-controlled clinical trials, no significant effect of age on </w:t>
      </w:r>
      <w:proofErr w:type="spellStart"/>
      <w:r w:rsidRPr="00032D7E">
        <w:rPr>
          <w:sz w:val="24"/>
          <w:szCs w:val="24"/>
          <w:lang w:val="en-IN"/>
        </w:rPr>
        <w:t>perampanel</w:t>
      </w:r>
      <w:proofErr w:type="spellEnd"/>
      <w:r w:rsidRPr="00032D7E">
        <w:rPr>
          <w:sz w:val="24"/>
          <w:szCs w:val="24"/>
          <w:lang w:val="en-IN"/>
        </w:rPr>
        <w:t xml:space="preserve"> clearance was found. A dose adjustment in the elderly is not considered to be necessary (see section 4.2). </w:t>
      </w:r>
    </w:p>
    <w:p w14:paraId="7F2A2CB3" w14:textId="77777777" w:rsidR="00E575A9" w:rsidRPr="00032D7E" w:rsidRDefault="00E575A9" w:rsidP="00032D7E">
      <w:pPr>
        <w:ind w:left="851"/>
        <w:rPr>
          <w:sz w:val="24"/>
          <w:szCs w:val="24"/>
          <w:lang w:val="en-IN"/>
        </w:rPr>
      </w:pPr>
    </w:p>
    <w:p w14:paraId="1001C0D9" w14:textId="77777777" w:rsidR="00E575A9" w:rsidRPr="00032D7E" w:rsidRDefault="00E575A9" w:rsidP="00032D7E">
      <w:pPr>
        <w:ind w:left="851"/>
        <w:rPr>
          <w:sz w:val="24"/>
          <w:szCs w:val="24"/>
          <w:lang w:val="en-IN"/>
        </w:rPr>
      </w:pPr>
      <w:r w:rsidRPr="00032D7E">
        <w:rPr>
          <w:i/>
          <w:iCs/>
          <w:sz w:val="24"/>
          <w:szCs w:val="24"/>
          <w:lang w:val="en-IN"/>
        </w:rPr>
        <w:t xml:space="preserve">Paediatric population </w:t>
      </w:r>
    </w:p>
    <w:p w14:paraId="2E4FF503" w14:textId="77777777" w:rsidR="00E575A9" w:rsidRPr="00032D7E" w:rsidRDefault="00E575A9" w:rsidP="00032D7E">
      <w:pPr>
        <w:ind w:left="851"/>
        <w:rPr>
          <w:sz w:val="24"/>
          <w:szCs w:val="24"/>
          <w:lang w:val="en-IN"/>
        </w:rPr>
      </w:pPr>
      <w:r w:rsidRPr="00032D7E">
        <w:rPr>
          <w:sz w:val="24"/>
          <w:szCs w:val="24"/>
          <w:lang w:val="en-IN"/>
        </w:rPr>
        <w:t xml:space="preserve">In a population pharmacokinetic analysis on pooled data from children aged 4 to 11 years, adolescent patients aged </w:t>
      </w:r>
      <w:r w:rsidRPr="00032D7E">
        <w:rPr>
          <w:i/>
          <w:iCs/>
          <w:sz w:val="24"/>
          <w:szCs w:val="24"/>
          <w:lang w:val="en-IN"/>
        </w:rPr>
        <w:t>≥</w:t>
      </w:r>
      <w:r w:rsidRPr="00032D7E">
        <w:rPr>
          <w:sz w:val="24"/>
          <w:szCs w:val="24"/>
          <w:lang w:val="en-IN"/>
        </w:rPr>
        <w:t xml:space="preserve">12 years, and adults, </w:t>
      </w:r>
      <w:proofErr w:type="spellStart"/>
      <w:r w:rsidRPr="00032D7E">
        <w:rPr>
          <w:sz w:val="24"/>
          <w:szCs w:val="24"/>
          <w:lang w:val="en-IN"/>
        </w:rPr>
        <w:t>perampanel</w:t>
      </w:r>
      <w:proofErr w:type="spellEnd"/>
      <w:r w:rsidRPr="00032D7E">
        <w:rPr>
          <w:sz w:val="24"/>
          <w:szCs w:val="24"/>
          <w:lang w:val="en-IN"/>
        </w:rPr>
        <w:t xml:space="preserve"> clearance increased with an increase in body weight. Hence, dose adjustment in children aged 4 to 11 years with a body weight &lt; 30 kg is necessary (see section 4.2).</w:t>
      </w:r>
    </w:p>
    <w:p w14:paraId="4C774610" w14:textId="77777777" w:rsidR="00E575A9" w:rsidRPr="00032D7E" w:rsidRDefault="00E575A9" w:rsidP="00032D7E">
      <w:pPr>
        <w:ind w:left="851"/>
        <w:rPr>
          <w:sz w:val="24"/>
          <w:szCs w:val="24"/>
          <w:lang w:val="en-IN"/>
        </w:rPr>
      </w:pPr>
    </w:p>
    <w:p w14:paraId="16C7A2B7" w14:textId="77777777" w:rsidR="00E575A9" w:rsidRPr="00032D7E" w:rsidRDefault="00E575A9" w:rsidP="00032D7E">
      <w:pPr>
        <w:ind w:left="851"/>
        <w:rPr>
          <w:sz w:val="24"/>
          <w:szCs w:val="24"/>
          <w:u w:val="single"/>
          <w:lang w:val="en-IN"/>
        </w:rPr>
      </w:pPr>
      <w:r w:rsidRPr="00032D7E">
        <w:rPr>
          <w:sz w:val="24"/>
          <w:szCs w:val="24"/>
          <w:u w:val="single"/>
          <w:lang w:val="en-IN"/>
        </w:rPr>
        <w:t xml:space="preserve">Drug interaction studies </w:t>
      </w:r>
    </w:p>
    <w:p w14:paraId="03BA043A" w14:textId="77777777" w:rsidR="00E575A9" w:rsidRPr="00032D7E" w:rsidRDefault="00E575A9" w:rsidP="00032D7E">
      <w:pPr>
        <w:ind w:left="851"/>
        <w:rPr>
          <w:sz w:val="24"/>
          <w:szCs w:val="24"/>
          <w:u w:val="single"/>
          <w:lang w:val="en-IN"/>
        </w:rPr>
      </w:pPr>
    </w:p>
    <w:p w14:paraId="1240CBF6" w14:textId="77777777" w:rsidR="00E575A9" w:rsidRPr="00032D7E" w:rsidRDefault="00E575A9" w:rsidP="00032D7E">
      <w:pPr>
        <w:ind w:left="851"/>
        <w:rPr>
          <w:i/>
          <w:iCs/>
          <w:sz w:val="24"/>
          <w:szCs w:val="24"/>
          <w:lang w:val="en-IN"/>
        </w:rPr>
      </w:pPr>
      <w:r w:rsidRPr="00032D7E">
        <w:rPr>
          <w:i/>
          <w:iCs/>
          <w:sz w:val="24"/>
          <w:szCs w:val="24"/>
          <w:lang w:val="en-IN"/>
        </w:rPr>
        <w:t xml:space="preserve">In vitro assessment of drug interactions </w:t>
      </w:r>
    </w:p>
    <w:p w14:paraId="5ADD5A42" w14:textId="77777777" w:rsidR="00E575A9" w:rsidRPr="00032D7E" w:rsidRDefault="00E575A9" w:rsidP="00032D7E">
      <w:pPr>
        <w:ind w:left="851"/>
        <w:rPr>
          <w:sz w:val="24"/>
          <w:szCs w:val="24"/>
          <w:lang w:val="en-IN"/>
        </w:rPr>
      </w:pPr>
    </w:p>
    <w:p w14:paraId="78DC7129" w14:textId="77777777" w:rsidR="00E575A9" w:rsidRPr="00032D7E" w:rsidRDefault="00E575A9" w:rsidP="00032D7E">
      <w:pPr>
        <w:ind w:left="851"/>
        <w:rPr>
          <w:sz w:val="24"/>
          <w:szCs w:val="24"/>
          <w:lang w:val="en-IN"/>
        </w:rPr>
      </w:pPr>
      <w:r w:rsidRPr="00032D7E">
        <w:rPr>
          <w:i/>
          <w:iCs/>
          <w:sz w:val="24"/>
          <w:szCs w:val="24"/>
          <w:lang w:val="en-IN"/>
        </w:rPr>
        <w:t xml:space="preserve">Drug metabolising enzyme inhibition </w:t>
      </w:r>
    </w:p>
    <w:p w14:paraId="3BEE3445" w14:textId="77777777" w:rsidR="00E575A9" w:rsidRPr="00032D7E" w:rsidRDefault="00E575A9" w:rsidP="00032D7E">
      <w:pPr>
        <w:ind w:left="851"/>
        <w:rPr>
          <w:sz w:val="24"/>
          <w:szCs w:val="24"/>
          <w:lang w:val="en-IN"/>
        </w:rPr>
      </w:pPr>
      <w:r w:rsidRPr="00032D7E">
        <w:rPr>
          <w:sz w:val="24"/>
          <w:szCs w:val="24"/>
          <w:lang w:val="en-IN"/>
        </w:rPr>
        <w:t xml:space="preserve">In human liver microsomes, </w:t>
      </w:r>
      <w:proofErr w:type="spellStart"/>
      <w:r w:rsidRPr="00032D7E">
        <w:rPr>
          <w:sz w:val="24"/>
          <w:szCs w:val="24"/>
          <w:lang w:val="en-IN"/>
        </w:rPr>
        <w:t>perampanel</w:t>
      </w:r>
      <w:proofErr w:type="spellEnd"/>
      <w:r w:rsidRPr="00032D7E">
        <w:rPr>
          <w:sz w:val="24"/>
          <w:szCs w:val="24"/>
          <w:lang w:val="en-IN"/>
        </w:rPr>
        <w:t xml:space="preserve"> (30 </w:t>
      </w:r>
      <w:proofErr w:type="spellStart"/>
      <w:r w:rsidRPr="00032D7E">
        <w:rPr>
          <w:sz w:val="24"/>
          <w:szCs w:val="24"/>
          <w:lang w:val="en-IN"/>
        </w:rPr>
        <w:t>μmol</w:t>
      </w:r>
      <w:proofErr w:type="spellEnd"/>
      <w:r w:rsidRPr="00032D7E">
        <w:rPr>
          <w:sz w:val="24"/>
          <w:szCs w:val="24"/>
          <w:lang w:val="en-IN"/>
        </w:rPr>
        <w:t>/l) had a weak inhibitory effect on CYP2C8 and UGT1A9 among major hepatic CYPs and UGTs.</w:t>
      </w:r>
    </w:p>
    <w:p w14:paraId="43C8D778" w14:textId="77777777" w:rsidR="003C1B3B" w:rsidRDefault="003C1B3B" w:rsidP="00032D7E">
      <w:pPr>
        <w:ind w:left="851"/>
        <w:rPr>
          <w:i/>
          <w:iCs/>
          <w:sz w:val="24"/>
          <w:szCs w:val="24"/>
          <w:lang w:val="en-IN"/>
        </w:rPr>
      </w:pPr>
    </w:p>
    <w:p w14:paraId="3C581701" w14:textId="3C23C852" w:rsidR="00E575A9" w:rsidRPr="00032D7E" w:rsidRDefault="00E575A9" w:rsidP="00032D7E">
      <w:pPr>
        <w:ind w:left="851"/>
        <w:rPr>
          <w:sz w:val="24"/>
          <w:szCs w:val="24"/>
          <w:lang w:val="en-IN"/>
        </w:rPr>
      </w:pPr>
      <w:r w:rsidRPr="00032D7E">
        <w:rPr>
          <w:i/>
          <w:iCs/>
          <w:sz w:val="24"/>
          <w:szCs w:val="24"/>
          <w:lang w:val="en-IN"/>
        </w:rPr>
        <w:t xml:space="preserve">Drug metabolising enzyme induction </w:t>
      </w:r>
    </w:p>
    <w:p w14:paraId="1A775656" w14:textId="77777777" w:rsidR="00E575A9" w:rsidRPr="00032D7E" w:rsidRDefault="00E575A9" w:rsidP="00032D7E">
      <w:pPr>
        <w:ind w:left="851"/>
        <w:rPr>
          <w:sz w:val="24"/>
          <w:szCs w:val="24"/>
          <w:lang w:val="en-IN"/>
        </w:rPr>
      </w:pPr>
      <w:r w:rsidRPr="00032D7E">
        <w:rPr>
          <w:sz w:val="24"/>
          <w:szCs w:val="24"/>
          <w:lang w:val="en-IN"/>
        </w:rPr>
        <w:t xml:space="preserve">Compared with positive controls (including phenobarbital, rifampicin), </w:t>
      </w:r>
      <w:proofErr w:type="spellStart"/>
      <w:r w:rsidRPr="00032D7E">
        <w:rPr>
          <w:sz w:val="24"/>
          <w:szCs w:val="24"/>
          <w:lang w:val="en-IN"/>
        </w:rPr>
        <w:t>perampanel</w:t>
      </w:r>
      <w:proofErr w:type="spellEnd"/>
      <w:r w:rsidRPr="00032D7E">
        <w:rPr>
          <w:sz w:val="24"/>
          <w:szCs w:val="24"/>
          <w:lang w:val="en-IN"/>
        </w:rPr>
        <w:t xml:space="preserve"> was found to weakly induce CYP2B6 (30 </w:t>
      </w:r>
      <w:proofErr w:type="spellStart"/>
      <w:r w:rsidRPr="00032D7E">
        <w:rPr>
          <w:sz w:val="24"/>
          <w:szCs w:val="24"/>
          <w:lang w:val="en-IN"/>
        </w:rPr>
        <w:t>μmol</w:t>
      </w:r>
      <w:proofErr w:type="spellEnd"/>
      <w:r w:rsidRPr="00032D7E">
        <w:rPr>
          <w:sz w:val="24"/>
          <w:szCs w:val="24"/>
          <w:lang w:val="en-IN"/>
        </w:rPr>
        <w:t xml:space="preserve">/l) and CYP3A4/5 (≥ 3 </w:t>
      </w:r>
      <w:proofErr w:type="spellStart"/>
      <w:r w:rsidRPr="00032D7E">
        <w:rPr>
          <w:sz w:val="24"/>
          <w:szCs w:val="24"/>
          <w:lang w:val="en-IN"/>
        </w:rPr>
        <w:t>μmol</w:t>
      </w:r>
      <w:proofErr w:type="spellEnd"/>
      <w:r w:rsidRPr="00032D7E">
        <w:rPr>
          <w:sz w:val="24"/>
          <w:szCs w:val="24"/>
          <w:lang w:val="en-IN"/>
        </w:rPr>
        <w:t>/l) among major hepatic CYPs and UGTs in cultured human hepatocytes.</w:t>
      </w:r>
    </w:p>
    <w:p w14:paraId="662150F2" w14:textId="77777777" w:rsidR="007C5D2A" w:rsidRPr="00032D7E" w:rsidRDefault="007C5D2A" w:rsidP="003E0341">
      <w:pPr>
        <w:tabs>
          <w:tab w:val="left" w:pos="851"/>
        </w:tabs>
        <w:ind w:left="851"/>
        <w:rPr>
          <w:sz w:val="24"/>
          <w:szCs w:val="24"/>
          <w:lang w:val="en-IN"/>
        </w:rPr>
      </w:pPr>
    </w:p>
    <w:p w14:paraId="272B4522" w14:textId="77777777" w:rsidR="007C5D2A" w:rsidRPr="00032D7E" w:rsidRDefault="00180A12" w:rsidP="007C5D2A">
      <w:pPr>
        <w:tabs>
          <w:tab w:val="left" w:pos="851"/>
        </w:tabs>
        <w:ind w:left="851" w:hanging="851"/>
        <w:rPr>
          <w:b/>
          <w:sz w:val="24"/>
          <w:szCs w:val="24"/>
          <w:lang w:val="en-GB"/>
        </w:rPr>
      </w:pPr>
      <w:r w:rsidRPr="00032D7E">
        <w:rPr>
          <w:b/>
          <w:sz w:val="24"/>
          <w:szCs w:val="24"/>
          <w:lang w:val="en-GB"/>
        </w:rPr>
        <w:t>5.3</w:t>
      </w:r>
      <w:r w:rsidRPr="00032D7E">
        <w:rPr>
          <w:b/>
          <w:sz w:val="24"/>
          <w:szCs w:val="24"/>
          <w:lang w:val="en-GB"/>
        </w:rPr>
        <w:tab/>
        <w:t>Preclinical safety data</w:t>
      </w:r>
    </w:p>
    <w:p w14:paraId="05DAD47F" w14:textId="77777777" w:rsidR="00E575A9" w:rsidRPr="00032D7E" w:rsidRDefault="00E575A9" w:rsidP="00032D7E">
      <w:pPr>
        <w:ind w:left="851"/>
        <w:rPr>
          <w:sz w:val="24"/>
          <w:szCs w:val="24"/>
          <w:lang w:val="en-IN"/>
        </w:rPr>
      </w:pPr>
      <w:r w:rsidRPr="00032D7E">
        <w:rPr>
          <w:sz w:val="24"/>
          <w:szCs w:val="24"/>
          <w:lang w:val="en-IN"/>
        </w:rPr>
        <w:t xml:space="preserve">Adverse reactions not observed in clinical studies, but seen in animals at exposure levels </w:t>
      </w:r>
      <w:proofErr w:type="gramStart"/>
      <w:r w:rsidRPr="00032D7E">
        <w:rPr>
          <w:sz w:val="24"/>
          <w:szCs w:val="24"/>
          <w:lang w:val="en-IN"/>
        </w:rPr>
        <w:t>similar to</w:t>
      </w:r>
      <w:proofErr w:type="gramEnd"/>
      <w:r w:rsidRPr="00032D7E">
        <w:rPr>
          <w:sz w:val="24"/>
          <w:szCs w:val="24"/>
          <w:lang w:val="en-IN"/>
        </w:rPr>
        <w:t xml:space="preserve"> clinical exposure levels and with possible relevance to clinical use were as follows: </w:t>
      </w:r>
    </w:p>
    <w:p w14:paraId="3716C1A3" w14:textId="77777777" w:rsidR="00E575A9" w:rsidRPr="00032D7E" w:rsidRDefault="00E575A9" w:rsidP="00032D7E">
      <w:pPr>
        <w:ind w:left="851"/>
        <w:rPr>
          <w:sz w:val="24"/>
          <w:szCs w:val="24"/>
          <w:lang w:val="en-IN"/>
        </w:rPr>
      </w:pPr>
    </w:p>
    <w:p w14:paraId="7F0F5836" w14:textId="77777777" w:rsidR="00E575A9" w:rsidRPr="00032D7E" w:rsidRDefault="00E575A9" w:rsidP="00032D7E">
      <w:pPr>
        <w:ind w:left="851"/>
        <w:rPr>
          <w:sz w:val="24"/>
          <w:szCs w:val="24"/>
          <w:lang w:val="en-IN"/>
        </w:rPr>
      </w:pPr>
      <w:r w:rsidRPr="00032D7E">
        <w:rPr>
          <w:sz w:val="24"/>
          <w:szCs w:val="24"/>
          <w:lang w:val="en-IN"/>
        </w:rPr>
        <w:t xml:space="preserve">In the fertility study in rats, prolonged and irregular oestrous cycles were observed at the maximum tolerated dose (30 mg/kg) in females; however, these changes did not affect fertility and early embryonic development. There were no effects on male fertility. </w:t>
      </w:r>
    </w:p>
    <w:p w14:paraId="0AB81332" w14:textId="77777777" w:rsidR="00E575A9" w:rsidRPr="00032D7E" w:rsidRDefault="00E575A9" w:rsidP="00032D7E">
      <w:pPr>
        <w:ind w:left="851"/>
        <w:rPr>
          <w:sz w:val="24"/>
          <w:szCs w:val="24"/>
          <w:lang w:val="en-IN"/>
        </w:rPr>
      </w:pPr>
    </w:p>
    <w:p w14:paraId="52C51724" w14:textId="77777777" w:rsidR="00E575A9" w:rsidRPr="00032D7E" w:rsidRDefault="00E575A9" w:rsidP="00032D7E">
      <w:pPr>
        <w:ind w:left="851"/>
        <w:rPr>
          <w:sz w:val="24"/>
          <w:szCs w:val="24"/>
          <w:lang w:val="en-IN"/>
        </w:rPr>
      </w:pPr>
      <w:r w:rsidRPr="00032D7E">
        <w:rPr>
          <w:sz w:val="24"/>
          <w:szCs w:val="24"/>
          <w:lang w:val="en-IN"/>
        </w:rPr>
        <w:t xml:space="preserve">The excretion into breast milk was measured in rats at 10 days post-partum. Levels peaked at one hour and were 3.65 times the levels in plasma. </w:t>
      </w:r>
    </w:p>
    <w:p w14:paraId="6E159FD6" w14:textId="77777777" w:rsidR="00E575A9" w:rsidRPr="00032D7E" w:rsidRDefault="00E575A9" w:rsidP="00032D7E">
      <w:pPr>
        <w:ind w:left="851"/>
        <w:rPr>
          <w:sz w:val="24"/>
          <w:szCs w:val="24"/>
          <w:lang w:val="en-IN"/>
        </w:rPr>
      </w:pPr>
    </w:p>
    <w:p w14:paraId="4EA1B3D3" w14:textId="77777777" w:rsidR="00E575A9" w:rsidRPr="00032D7E" w:rsidRDefault="00E575A9" w:rsidP="00032D7E">
      <w:pPr>
        <w:ind w:left="851"/>
        <w:rPr>
          <w:sz w:val="24"/>
          <w:szCs w:val="24"/>
          <w:lang w:val="en-IN"/>
        </w:rPr>
      </w:pPr>
      <w:r w:rsidRPr="00032D7E">
        <w:rPr>
          <w:sz w:val="24"/>
          <w:szCs w:val="24"/>
          <w:lang w:val="en-IN"/>
        </w:rPr>
        <w:t xml:space="preserve">In a pre- and postnatal development toxicity study in rats, abnormal delivery and nursing conditions were observed at maternally toxic doses, and the number of stillbirths was increased in offspring. Behavioural and reproductive development of the offspring was not affected, but some parameters of physical development showed some delay, which is probably secondary to the pharmacology-based CNS effects of </w:t>
      </w:r>
      <w:proofErr w:type="spellStart"/>
      <w:r w:rsidRPr="00032D7E">
        <w:rPr>
          <w:sz w:val="24"/>
          <w:szCs w:val="24"/>
          <w:lang w:val="en-IN"/>
        </w:rPr>
        <w:t>perampanel</w:t>
      </w:r>
      <w:proofErr w:type="spellEnd"/>
      <w:r w:rsidRPr="00032D7E">
        <w:rPr>
          <w:sz w:val="24"/>
          <w:szCs w:val="24"/>
          <w:lang w:val="en-IN"/>
        </w:rPr>
        <w:t xml:space="preserve">. The placental transfer was relatively low; 0.09% or less of administered dose was detected in the foetus. </w:t>
      </w:r>
    </w:p>
    <w:p w14:paraId="2C7C92D3" w14:textId="77777777" w:rsidR="00E575A9" w:rsidRPr="00032D7E" w:rsidRDefault="00E575A9" w:rsidP="00032D7E">
      <w:pPr>
        <w:ind w:left="851"/>
        <w:rPr>
          <w:sz w:val="24"/>
          <w:szCs w:val="24"/>
          <w:lang w:val="en-IN"/>
        </w:rPr>
      </w:pPr>
    </w:p>
    <w:p w14:paraId="42197514" w14:textId="77777777" w:rsidR="00E575A9" w:rsidRPr="00032D7E" w:rsidRDefault="00E575A9" w:rsidP="00032D7E">
      <w:pPr>
        <w:ind w:left="851"/>
        <w:rPr>
          <w:sz w:val="24"/>
          <w:szCs w:val="24"/>
          <w:lang w:val="en-IN"/>
        </w:rPr>
      </w:pPr>
      <w:r w:rsidRPr="00032D7E">
        <w:rPr>
          <w:sz w:val="24"/>
          <w:szCs w:val="24"/>
          <w:lang w:val="en-IN"/>
        </w:rPr>
        <w:t xml:space="preserve">Nonclinical data reveal that </w:t>
      </w:r>
      <w:proofErr w:type="spellStart"/>
      <w:r w:rsidRPr="00032D7E">
        <w:rPr>
          <w:sz w:val="24"/>
          <w:szCs w:val="24"/>
          <w:lang w:val="en-IN"/>
        </w:rPr>
        <w:t>perampanel</w:t>
      </w:r>
      <w:proofErr w:type="spellEnd"/>
      <w:r w:rsidRPr="00032D7E">
        <w:rPr>
          <w:sz w:val="24"/>
          <w:szCs w:val="24"/>
          <w:lang w:val="en-IN"/>
        </w:rPr>
        <w:t xml:space="preserve"> was not genotoxic and had no carcinogenic potential. The administration of maximum tolerated doses to rats and monkeys resulted in </w:t>
      </w:r>
      <w:proofErr w:type="gramStart"/>
      <w:r w:rsidRPr="00032D7E">
        <w:rPr>
          <w:sz w:val="24"/>
          <w:szCs w:val="24"/>
          <w:lang w:val="en-IN"/>
        </w:rPr>
        <w:t>pharmacologically-based</w:t>
      </w:r>
      <w:proofErr w:type="gramEnd"/>
      <w:r w:rsidRPr="00032D7E">
        <w:rPr>
          <w:sz w:val="24"/>
          <w:szCs w:val="24"/>
          <w:lang w:val="en-IN"/>
        </w:rPr>
        <w:t xml:space="preserve"> CNS clinical signs and decreased terminal body weight. There were no changes directly attributable to </w:t>
      </w:r>
      <w:proofErr w:type="spellStart"/>
      <w:r w:rsidRPr="00032D7E">
        <w:rPr>
          <w:sz w:val="24"/>
          <w:szCs w:val="24"/>
          <w:lang w:val="en-IN"/>
        </w:rPr>
        <w:t>perampanel</w:t>
      </w:r>
      <w:proofErr w:type="spellEnd"/>
      <w:r w:rsidRPr="00032D7E">
        <w:rPr>
          <w:sz w:val="24"/>
          <w:szCs w:val="24"/>
          <w:lang w:val="en-IN"/>
        </w:rPr>
        <w:t xml:space="preserve"> in clinical pathology or histopathology.</w:t>
      </w:r>
    </w:p>
    <w:p w14:paraId="4553044C" w14:textId="77777777" w:rsidR="007C5D2A" w:rsidRPr="00032D7E" w:rsidRDefault="007C5D2A" w:rsidP="003E0341">
      <w:pPr>
        <w:tabs>
          <w:tab w:val="left" w:pos="851"/>
        </w:tabs>
        <w:ind w:left="851"/>
        <w:rPr>
          <w:sz w:val="24"/>
          <w:szCs w:val="24"/>
          <w:lang w:val="en-IN"/>
        </w:rPr>
      </w:pPr>
    </w:p>
    <w:p w14:paraId="1CD8A7A3" w14:textId="77777777" w:rsidR="007C5D2A" w:rsidRPr="00032D7E" w:rsidRDefault="007C5D2A" w:rsidP="003E0341">
      <w:pPr>
        <w:tabs>
          <w:tab w:val="left" w:pos="851"/>
        </w:tabs>
        <w:ind w:left="851"/>
        <w:rPr>
          <w:sz w:val="24"/>
          <w:szCs w:val="24"/>
          <w:lang w:val="en-GB"/>
        </w:rPr>
      </w:pPr>
    </w:p>
    <w:p w14:paraId="3EA3CB64" w14:textId="77777777" w:rsidR="007C5D2A" w:rsidRPr="00032D7E" w:rsidRDefault="009925C9" w:rsidP="007C5D2A">
      <w:pPr>
        <w:ind w:left="851" w:hanging="851"/>
        <w:rPr>
          <w:b/>
          <w:sz w:val="24"/>
          <w:szCs w:val="24"/>
          <w:lang w:val="en-GB"/>
        </w:rPr>
      </w:pPr>
      <w:r w:rsidRPr="00032D7E">
        <w:rPr>
          <w:b/>
          <w:sz w:val="24"/>
          <w:szCs w:val="24"/>
          <w:lang w:val="en-GB"/>
        </w:rPr>
        <w:t>6.</w:t>
      </w:r>
      <w:r w:rsidR="007C5D2A" w:rsidRPr="00032D7E">
        <w:rPr>
          <w:b/>
          <w:sz w:val="24"/>
          <w:szCs w:val="24"/>
          <w:lang w:val="en-GB"/>
        </w:rPr>
        <w:tab/>
        <w:t>PHARMACEUTICAL PARTICULARS</w:t>
      </w:r>
    </w:p>
    <w:p w14:paraId="2CBE977E" w14:textId="77777777" w:rsidR="007C5D2A" w:rsidRPr="00032D7E" w:rsidRDefault="007C5D2A" w:rsidP="003E0341">
      <w:pPr>
        <w:tabs>
          <w:tab w:val="left" w:pos="851"/>
        </w:tabs>
        <w:ind w:left="851"/>
        <w:rPr>
          <w:sz w:val="24"/>
          <w:szCs w:val="24"/>
          <w:lang w:val="en-GB"/>
        </w:rPr>
      </w:pPr>
    </w:p>
    <w:p w14:paraId="26C68049" w14:textId="77777777" w:rsidR="007C5D2A" w:rsidRPr="00032D7E" w:rsidRDefault="007C5D2A" w:rsidP="007C5D2A">
      <w:pPr>
        <w:ind w:left="851" w:hanging="851"/>
        <w:rPr>
          <w:b/>
          <w:sz w:val="24"/>
          <w:szCs w:val="24"/>
          <w:lang w:val="en-GB"/>
        </w:rPr>
      </w:pPr>
      <w:r w:rsidRPr="00032D7E">
        <w:rPr>
          <w:b/>
          <w:sz w:val="24"/>
          <w:szCs w:val="24"/>
          <w:lang w:val="en-GB"/>
        </w:rPr>
        <w:t>6.1</w:t>
      </w:r>
      <w:r w:rsidRPr="00032D7E">
        <w:rPr>
          <w:b/>
          <w:sz w:val="24"/>
          <w:szCs w:val="24"/>
          <w:lang w:val="en-GB"/>
        </w:rPr>
        <w:tab/>
        <w:t>List of excipients</w:t>
      </w:r>
    </w:p>
    <w:p w14:paraId="6E66A602" w14:textId="77777777" w:rsidR="003C1B3B" w:rsidRDefault="003C1B3B" w:rsidP="00032D7E">
      <w:pPr>
        <w:ind w:left="851"/>
        <w:rPr>
          <w:sz w:val="24"/>
          <w:szCs w:val="24"/>
          <w:lang w:val="en-IN"/>
        </w:rPr>
      </w:pPr>
    </w:p>
    <w:p w14:paraId="35F089B4" w14:textId="0AFEDCBB" w:rsidR="00E575A9" w:rsidRPr="003C1B3B" w:rsidRDefault="00E575A9" w:rsidP="00032D7E">
      <w:pPr>
        <w:ind w:left="851"/>
        <w:rPr>
          <w:sz w:val="24"/>
          <w:szCs w:val="24"/>
          <w:u w:val="single"/>
          <w:lang w:val="en-IN"/>
        </w:rPr>
      </w:pPr>
      <w:r w:rsidRPr="003C1B3B">
        <w:rPr>
          <w:sz w:val="24"/>
          <w:szCs w:val="24"/>
          <w:u w:val="single"/>
          <w:lang w:val="en-IN"/>
        </w:rPr>
        <w:t xml:space="preserve">Core </w:t>
      </w:r>
    </w:p>
    <w:p w14:paraId="67DF9588" w14:textId="77777777" w:rsidR="00E575A9" w:rsidRPr="00032D7E" w:rsidRDefault="00E575A9" w:rsidP="00032D7E">
      <w:pPr>
        <w:ind w:left="851"/>
        <w:rPr>
          <w:sz w:val="24"/>
          <w:szCs w:val="24"/>
          <w:lang w:val="en-IN"/>
        </w:rPr>
      </w:pPr>
      <w:r w:rsidRPr="00032D7E">
        <w:rPr>
          <w:sz w:val="24"/>
          <w:szCs w:val="24"/>
          <w:lang w:val="en-IN"/>
        </w:rPr>
        <w:t xml:space="preserve">Lactose monohydrate </w:t>
      </w:r>
    </w:p>
    <w:p w14:paraId="077865C4" w14:textId="77777777" w:rsidR="00E575A9" w:rsidRPr="00032D7E" w:rsidRDefault="00E575A9" w:rsidP="00032D7E">
      <w:pPr>
        <w:ind w:left="851"/>
        <w:rPr>
          <w:sz w:val="24"/>
          <w:szCs w:val="24"/>
          <w:lang w:val="en-IN"/>
        </w:rPr>
      </w:pPr>
      <w:r w:rsidRPr="00032D7E">
        <w:rPr>
          <w:sz w:val="24"/>
          <w:szCs w:val="24"/>
          <w:lang w:val="en-IN"/>
        </w:rPr>
        <w:t>Cellulose, microcrystalline (E460)</w:t>
      </w:r>
    </w:p>
    <w:p w14:paraId="30E4BE23" w14:textId="77777777" w:rsidR="00E575A9" w:rsidRPr="00032D7E" w:rsidRDefault="00E575A9" w:rsidP="00032D7E">
      <w:pPr>
        <w:ind w:left="851"/>
        <w:rPr>
          <w:sz w:val="24"/>
          <w:szCs w:val="24"/>
          <w:lang w:val="en-IN"/>
        </w:rPr>
      </w:pPr>
      <w:proofErr w:type="spellStart"/>
      <w:r w:rsidRPr="00032D7E">
        <w:rPr>
          <w:sz w:val="24"/>
          <w:szCs w:val="24"/>
          <w:lang w:val="en-IN"/>
        </w:rPr>
        <w:t>Hydroxypropylcellulose</w:t>
      </w:r>
      <w:proofErr w:type="spellEnd"/>
      <w:r w:rsidRPr="00032D7E">
        <w:rPr>
          <w:sz w:val="24"/>
          <w:szCs w:val="24"/>
          <w:lang w:val="en-IN"/>
        </w:rPr>
        <w:t>, low-substituted</w:t>
      </w:r>
    </w:p>
    <w:p w14:paraId="525F0574" w14:textId="77777777" w:rsidR="00E575A9" w:rsidRPr="00032D7E" w:rsidRDefault="00E575A9" w:rsidP="00032D7E">
      <w:pPr>
        <w:ind w:left="851"/>
        <w:rPr>
          <w:sz w:val="24"/>
          <w:szCs w:val="24"/>
          <w:lang w:val="en-IN"/>
        </w:rPr>
      </w:pPr>
      <w:r w:rsidRPr="00032D7E">
        <w:rPr>
          <w:sz w:val="24"/>
          <w:szCs w:val="24"/>
          <w:lang w:val="en-IN"/>
        </w:rPr>
        <w:t>Povidone (K-29/32)</w:t>
      </w:r>
    </w:p>
    <w:p w14:paraId="22610A96" w14:textId="77777777" w:rsidR="00E575A9" w:rsidRPr="00032D7E" w:rsidRDefault="00E575A9" w:rsidP="00032D7E">
      <w:pPr>
        <w:ind w:left="851"/>
        <w:rPr>
          <w:sz w:val="24"/>
          <w:szCs w:val="24"/>
          <w:lang w:val="en-IN"/>
        </w:rPr>
      </w:pPr>
      <w:r w:rsidRPr="00032D7E">
        <w:rPr>
          <w:sz w:val="24"/>
          <w:szCs w:val="24"/>
          <w:lang w:val="en-IN"/>
        </w:rPr>
        <w:t>Magnesium stearate (E470b)</w:t>
      </w:r>
    </w:p>
    <w:p w14:paraId="7FDFCEFE" w14:textId="77777777" w:rsidR="00E575A9" w:rsidRPr="00032D7E" w:rsidRDefault="00E575A9" w:rsidP="00032D7E">
      <w:pPr>
        <w:ind w:left="851"/>
        <w:rPr>
          <w:sz w:val="24"/>
          <w:szCs w:val="24"/>
          <w:lang w:val="en-IN"/>
        </w:rPr>
      </w:pPr>
    </w:p>
    <w:p w14:paraId="4814D072" w14:textId="77777777" w:rsidR="00E575A9" w:rsidRPr="003C1B3B" w:rsidRDefault="00E575A9" w:rsidP="00032D7E">
      <w:pPr>
        <w:ind w:left="851"/>
        <w:rPr>
          <w:sz w:val="24"/>
          <w:szCs w:val="24"/>
          <w:u w:val="single"/>
          <w:lang w:val="en-IN"/>
        </w:rPr>
      </w:pPr>
      <w:r w:rsidRPr="003C1B3B">
        <w:rPr>
          <w:sz w:val="24"/>
          <w:szCs w:val="24"/>
          <w:u w:val="single"/>
          <w:lang w:val="en-IN"/>
        </w:rPr>
        <w:t>Film coating</w:t>
      </w:r>
    </w:p>
    <w:p w14:paraId="618D8E16" w14:textId="77777777" w:rsidR="00E575A9" w:rsidRPr="00032D7E" w:rsidRDefault="00E575A9" w:rsidP="00032D7E">
      <w:pPr>
        <w:ind w:left="851"/>
        <w:rPr>
          <w:sz w:val="24"/>
          <w:szCs w:val="24"/>
          <w:lang w:val="en-IN"/>
        </w:rPr>
      </w:pPr>
      <w:r w:rsidRPr="00032D7E">
        <w:rPr>
          <w:sz w:val="24"/>
          <w:szCs w:val="24"/>
          <w:lang w:val="en-IN"/>
        </w:rPr>
        <w:t xml:space="preserve">2 mg: </w:t>
      </w:r>
    </w:p>
    <w:p w14:paraId="0E90D8AF" w14:textId="77777777" w:rsidR="00E575A9" w:rsidRPr="00032D7E" w:rsidRDefault="00E575A9" w:rsidP="00032D7E">
      <w:pPr>
        <w:ind w:left="851"/>
        <w:rPr>
          <w:sz w:val="24"/>
          <w:szCs w:val="24"/>
        </w:rPr>
      </w:pPr>
      <w:proofErr w:type="spellStart"/>
      <w:r w:rsidRPr="00032D7E">
        <w:rPr>
          <w:sz w:val="24"/>
          <w:szCs w:val="24"/>
        </w:rPr>
        <w:t>Hypromellose</w:t>
      </w:r>
      <w:proofErr w:type="spellEnd"/>
      <w:r w:rsidRPr="00032D7E">
        <w:rPr>
          <w:sz w:val="24"/>
          <w:szCs w:val="24"/>
        </w:rPr>
        <w:t xml:space="preserve"> 2910 (E464)</w:t>
      </w:r>
    </w:p>
    <w:p w14:paraId="65D55A42" w14:textId="77777777" w:rsidR="00E575A9" w:rsidRPr="00032D7E" w:rsidRDefault="00E575A9" w:rsidP="00032D7E">
      <w:pPr>
        <w:ind w:left="851"/>
        <w:rPr>
          <w:sz w:val="24"/>
          <w:szCs w:val="24"/>
          <w:lang w:val="es-ES"/>
        </w:rPr>
      </w:pPr>
      <w:proofErr w:type="spellStart"/>
      <w:r w:rsidRPr="00032D7E">
        <w:rPr>
          <w:sz w:val="24"/>
          <w:szCs w:val="24"/>
          <w:lang w:val="es-ES"/>
        </w:rPr>
        <w:t>Titanium</w:t>
      </w:r>
      <w:proofErr w:type="spellEnd"/>
      <w:r w:rsidRPr="00032D7E">
        <w:rPr>
          <w:sz w:val="24"/>
          <w:szCs w:val="24"/>
          <w:lang w:val="es-ES"/>
        </w:rPr>
        <w:t xml:space="preserve"> </w:t>
      </w:r>
      <w:proofErr w:type="spellStart"/>
      <w:r w:rsidRPr="00032D7E">
        <w:rPr>
          <w:sz w:val="24"/>
          <w:szCs w:val="24"/>
          <w:lang w:val="es-ES"/>
        </w:rPr>
        <w:t>dioxide</w:t>
      </w:r>
      <w:proofErr w:type="spellEnd"/>
      <w:r w:rsidRPr="00032D7E">
        <w:rPr>
          <w:sz w:val="24"/>
          <w:szCs w:val="24"/>
          <w:lang w:val="es-ES"/>
        </w:rPr>
        <w:t xml:space="preserve"> (E171)</w:t>
      </w:r>
    </w:p>
    <w:p w14:paraId="44F48804" w14:textId="77777777" w:rsidR="00E575A9" w:rsidRPr="00032D7E" w:rsidRDefault="00E575A9" w:rsidP="00032D7E">
      <w:pPr>
        <w:ind w:left="851"/>
        <w:rPr>
          <w:sz w:val="24"/>
          <w:szCs w:val="24"/>
          <w:lang w:val="es-ES"/>
        </w:rPr>
      </w:pPr>
      <w:proofErr w:type="spellStart"/>
      <w:r w:rsidRPr="00032D7E">
        <w:rPr>
          <w:sz w:val="24"/>
          <w:szCs w:val="24"/>
          <w:lang w:val="es-ES"/>
        </w:rPr>
        <w:t>Macrogol</w:t>
      </w:r>
      <w:proofErr w:type="spellEnd"/>
      <w:r w:rsidRPr="00032D7E">
        <w:rPr>
          <w:sz w:val="24"/>
          <w:szCs w:val="24"/>
          <w:lang w:val="es-ES"/>
        </w:rPr>
        <w:t xml:space="preserve"> 8000 (E1521)</w:t>
      </w:r>
    </w:p>
    <w:p w14:paraId="7412ECD3" w14:textId="77777777" w:rsidR="00E575A9" w:rsidRPr="00032D7E" w:rsidRDefault="00E575A9" w:rsidP="00032D7E">
      <w:pPr>
        <w:ind w:left="851"/>
        <w:rPr>
          <w:sz w:val="24"/>
          <w:szCs w:val="24"/>
          <w:lang w:val="es-ES"/>
        </w:rPr>
      </w:pPr>
      <w:proofErr w:type="spellStart"/>
      <w:r w:rsidRPr="00032D7E">
        <w:rPr>
          <w:sz w:val="24"/>
          <w:szCs w:val="24"/>
          <w:lang w:val="es-ES"/>
        </w:rPr>
        <w:t>Iron</w:t>
      </w:r>
      <w:proofErr w:type="spellEnd"/>
      <w:r w:rsidRPr="00032D7E">
        <w:rPr>
          <w:sz w:val="24"/>
          <w:szCs w:val="24"/>
          <w:lang w:val="es-ES"/>
        </w:rPr>
        <w:t xml:space="preserve"> oxide </w:t>
      </w:r>
      <w:proofErr w:type="spellStart"/>
      <w:r w:rsidRPr="00032D7E">
        <w:rPr>
          <w:sz w:val="24"/>
          <w:szCs w:val="24"/>
          <w:lang w:val="es-ES"/>
        </w:rPr>
        <w:t>yellow</w:t>
      </w:r>
      <w:proofErr w:type="spellEnd"/>
      <w:r w:rsidRPr="00032D7E">
        <w:rPr>
          <w:sz w:val="24"/>
          <w:szCs w:val="24"/>
          <w:lang w:val="es-ES"/>
        </w:rPr>
        <w:t xml:space="preserve"> (E172) </w:t>
      </w:r>
    </w:p>
    <w:p w14:paraId="15143FA9" w14:textId="77777777" w:rsidR="00E575A9" w:rsidRPr="00032D7E" w:rsidRDefault="00E575A9" w:rsidP="00032D7E">
      <w:pPr>
        <w:ind w:left="851"/>
        <w:rPr>
          <w:sz w:val="24"/>
          <w:szCs w:val="24"/>
          <w:lang w:val="es-ES"/>
        </w:rPr>
      </w:pPr>
      <w:proofErr w:type="spellStart"/>
      <w:r w:rsidRPr="00032D7E">
        <w:rPr>
          <w:sz w:val="24"/>
          <w:szCs w:val="24"/>
          <w:lang w:val="es-ES"/>
        </w:rPr>
        <w:t>Iron</w:t>
      </w:r>
      <w:proofErr w:type="spellEnd"/>
      <w:r w:rsidRPr="00032D7E">
        <w:rPr>
          <w:sz w:val="24"/>
          <w:szCs w:val="24"/>
          <w:lang w:val="es-ES"/>
        </w:rPr>
        <w:t xml:space="preserve"> oxide red (E172)</w:t>
      </w:r>
    </w:p>
    <w:p w14:paraId="44DAE42D" w14:textId="77777777" w:rsidR="00E575A9" w:rsidRPr="00032D7E" w:rsidRDefault="00E575A9" w:rsidP="00032D7E">
      <w:pPr>
        <w:ind w:left="851"/>
        <w:rPr>
          <w:sz w:val="24"/>
          <w:szCs w:val="24"/>
          <w:lang w:val="es-ES"/>
        </w:rPr>
      </w:pPr>
    </w:p>
    <w:p w14:paraId="1C706B84" w14:textId="77777777" w:rsidR="00E575A9" w:rsidRPr="00032D7E" w:rsidRDefault="00E575A9" w:rsidP="00032D7E">
      <w:pPr>
        <w:ind w:left="851"/>
        <w:rPr>
          <w:sz w:val="24"/>
          <w:szCs w:val="24"/>
          <w:lang w:val="es-ES"/>
        </w:rPr>
      </w:pPr>
      <w:r w:rsidRPr="00032D7E">
        <w:rPr>
          <w:sz w:val="24"/>
          <w:szCs w:val="24"/>
          <w:lang w:val="es-ES"/>
        </w:rPr>
        <w:t>4 mg:</w:t>
      </w:r>
    </w:p>
    <w:p w14:paraId="1FD96047" w14:textId="77777777" w:rsidR="00E575A9" w:rsidRPr="00032D7E" w:rsidRDefault="00E575A9" w:rsidP="00032D7E">
      <w:pPr>
        <w:ind w:left="851"/>
        <w:rPr>
          <w:sz w:val="24"/>
          <w:szCs w:val="24"/>
          <w:lang w:val="es-ES"/>
        </w:rPr>
      </w:pPr>
      <w:proofErr w:type="spellStart"/>
      <w:r w:rsidRPr="00032D7E">
        <w:rPr>
          <w:sz w:val="24"/>
          <w:szCs w:val="24"/>
          <w:lang w:val="es-ES"/>
        </w:rPr>
        <w:t>Hypromellose</w:t>
      </w:r>
      <w:proofErr w:type="spellEnd"/>
      <w:r w:rsidRPr="00032D7E">
        <w:rPr>
          <w:sz w:val="24"/>
          <w:szCs w:val="24"/>
          <w:lang w:val="es-ES"/>
        </w:rPr>
        <w:t xml:space="preserve"> 2910 (E464)</w:t>
      </w:r>
    </w:p>
    <w:p w14:paraId="714F358B" w14:textId="77777777" w:rsidR="00E575A9" w:rsidRPr="00032D7E" w:rsidRDefault="00E575A9" w:rsidP="00032D7E">
      <w:pPr>
        <w:ind w:left="851"/>
        <w:rPr>
          <w:sz w:val="24"/>
          <w:szCs w:val="24"/>
          <w:lang w:val="es-ES"/>
        </w:rPr>
      </w:pPr>
      <w:proofErr w:type="spellStart"/>
      <w:r w:rsidRPr="00032D7E">
        <w:rPr>
          <w:sz w:val="24"/>
          <w:szCs w:val="24"/>
          <w:lang w:val="es-ES"/>
        </w:rPr>
        <w:t>Titanium</w:t>
      </w:r>
      <w:proofErr w:type="spellEnd"/>
      <w:r w:rsidRPr="00032D7E">
        <w:rPr>
          <w:sz w:val="24"/>
          <w:szCs w:val="24"/>
          <w:lang w:val="es-ES"/>
        </w:rPr>
        <w:t xml:space="preserve"> </w:t>
      </w:r>
      <w:proofErr w:type="spellStart"/>
      <w:r w:rsidRPr="00032D7E">
        <w:rPr>
          <w:sz w:val="24"/>
          <w:szCs w:val="24"/>
          <w:lang w:val="es-ES"/>
        </w:rPr>
        <w:t>dioxide</w:t>
      </w:r>
      <w:proofErr w:type="spellEnd"/>
      <w:r w:rsidRPr="00032D7E">
        <w:rPr>
          <w:sz w:val="24"/>
          <w:szCs w:val="24"/>
          <w:lang w:val="es-ES"/>
        </w:rPr>
        <w:t xml:space="preserve"> (E171)</w:t>
      </w:r>
    </w:p>
    <w:p w14:paraId="06C606B7" w14:textId="77777777" w:rsidR="00E575A9" w:rsidRPr="00032D7E" w:rsidRDefault="00E575A9" w:rsidP="00032D7E">
      <w:pPr>
        <w:ind w:left="851"/>
        <w:rPr>
          <w:sz w:val="24"/>
          <w:szCs w:val="24"/>
          <w:lang w:val="es-ES"/>
        </w:rPr>
      </w:pPr>
      <w:proofErr w:type="spellStart"/>
      <w:r w:rsidRPr="00032D7E">
        <w:rPr>
          <w:sz w:val="24"/>
          <w:szCs w:val="24"/>
          <w:lang w:val="es-ES"/>
        </w:rPr>
        <w:t>Macrogol</w:t>
      </w:r>
      <w:proofErr w:type="spellEnd"/>
      <w:r w:rsidRPr="00032D7E">
        <w:rPr>
          <w:sz w:val="24"/>
          <w:szCs w:val="24"/>
          <w:lang w:val="es-ES"/>
        </w:rPr>
        <w:t xml:space="preserve"> 8000 (E1521)</w:t>
      </w:r>
    </w:p>
    <w:p w14:paraId="75FC5FA3" w14:textId="77777777" w:rsidR="00E575A9" w:rsidRPr="00032D7E" w:rsidRDefault="00E575A9" w:rsidP="00032D7E">
      <w:pPr>
        <w:ind w:left="851"/>
        <w:rPr>
          <w:sz w:val="24"/>
          <w:szCs w:val="24"/>
          <w:lang w:val="es-ES"/>
        </w:rPr>
      </w:pPr>
      <w:proofErr w:type="spellStart"/>
      <w:r w:rsidRPr="00032D7E">
        <w:rPr>
          <w:sz w:val="24"/>
          <w:szCs w:val="24"/>
          <w:lang w:val="es-ES"/>
        </w:rPr>
        <w:t>Iron</w:t>
      </w:r>
      <w:proofErr w:type="spellEnd"/>
      <w:r w:rsidRPr="00032D7E">
        <w:rPr>
          <w:sz w:val="24"/>
          <w:szCs w:val="24"/>
          <w:lang w:val="es-ES"/>
        </w:rPr>
        <w:t xml:space="preserve"> oxide red (E172)</w:t>
      </w:r>
    </w:p>
    <w:p w14:paraId="6DEDE327" w14:textId="77777777" w:rsidR="00E575A9" w:rsidRPr="00032D7E" w:rsidRDefault="00E575A9" w:rsidP="00032D7E">
      <w:pPr>
        <w:ind w:left="851"/>
        <w:rPr>
          <w:sz w:val="24"/>
          <w:szCs w:val="24"/>
          <w:lang w:val="es-ES"/>
        </w:rPr>
      </w:pPr>
      <w:proofErr w:type="spellStart"/>
      <w:r w:rsidRPr="00032D7E">
        <w:rPr>
          <w:sz w:val="24"/>
          <w:szCs w:val="24"/>
          <w:lang w:val="es-ES"/>
        </w:rPr>
        <w:t>Talc</w:t>
      </w:r>
      <w:proofErr w:type="spellEnd"/>
      <w:r w:rsidRPr="00032D7E">
        <w:rPr>
          <w:sz w:val="24"/>
          <w:szCs w:val="24"/>
          <w:lang w:val="es-ES"/>
        </w:rPr>
        <w:t xml:space="preserve"> (E553b)</w:t>
      </w:r>
    </w:p>
    <w:p w14:paraId="5A304195" w14:textId="77777777" w:rsidR="00E575A9" w:rsidRPr="00032D7E" w:rsidRDefault="00E575A9" w:rsidP="00032D7E">
      <w:pPr>
        <w:ind w:left="851"/>
        <w:rPr>
          <w:sz w:val="24"/>
          <w:szCs w:val="24"/>
          <w:lang w:val="es-ES"/>
        </w:rPr>
      </w:pPr>
    </w:p>
    <w:p w14:paraId="0850D90F" w14:textId="77777777" w:rsidR="00E575A9" w:rsidRPr="00032D7E" w:rsidRDefault="00E575A9" w:rsidP="00032D7E">
      <w:pPr>
        <w:ind w:left="851"/>
        <w:rPr>
          <w:sz w:val="24"/>
          <w:szCs w:val="24"/>
          <w:lang w:val="es-ES"/>
        </w:rPr>
      </w:pPr>
      <w:r w:rsidRPr="00032D7E">
        <w:rPr>
          <w:sz w:val="24"/>
          <w:szCs w:val="24"/>
          <w:lang w:val="es-ES"/>
        </w:rPr>
        <w:t>6 mg:</w:t>
      </w:r>
    </w:p>
    <w:p w14:paraId="20A3C574" w14:textId="77777777" w:rsidR="00E575A9" w:rsidRPr="00032D7E" w:rsidRDefault="00E575A9" w:rsidP="00032D7E">
      <w:pPr>
        <w:ind w:left="851"/>
        <w:rPr>
          <w:sz w:val="24"/>
          <w:szCs w:val="24"/>
          <w:lang w:val="es-ES"/>
        </w:rPr>
      </w:pPr>
      <w:proofErr w:type="spellStart"/>
      <w:r w:rsidRPr="00032D7E">
        <w:rPr>
          <w:sz w:val="24"/>
          <w:szCs w:val="24"/>
          <w:lang w:val="es-ES"/>
        </w:rPr>
        <w:t>Hypromellose</w:t>
      </w:r>
      <w:proofErr w:type="spellEnd"/>
      <w:r w:rsidRPr="00032D7E">
        <w:rPr>
          <w:sz w:val="24"/>
          <w:szCs w:val="24"/>
          <w:lang w:val="es-ES"/>
        </w:rPr>
        <w:t xml:space="preserve"> 2910 (E464)</w:t>
      </w:r>
    </w:p>
    <w:p w14:paraId="45DAC50A" w14:textId="77777777" w:rsidR="00E575A9" w:rsidRPr="00032D7E" w:rsidRDefault="00E575A9" w:rsidP="00032D7E">
      <w:pPr>
        <w:ind w:left="851"/>
        <w:rPr>
          <w:sz w:val="24"/>
          <w:szCs w:val="24"/>
          <w:lang w:val="es-ES"/>
        </w:rPr>
      </w:pPr>
      <w:proofErr w:type="spellStart"/>
      <w:r w:rsidRPr="00032D7E">
        <w:rPr>
          <w:sz w:val="24"/>
          <w:szCs w:val="24"/>
          <w:lang w:val="es-ES"/>
        </w:rPr>
        <w:t>Titanium</w:t>
      </w:r>
      <w:proofErr w:type="spellEnd"/>
      <w:r w:rsidRPr="00032D7E">
        <w:rPr>
          <w:sz w:val="24"/>
          <w:szCs w:val="24"/>
          <w:lang w:val="es-ES"/>
        </w:rPr>
        <w:t xml:space="preserve"> </w:t>
      </w:r>
      <w:proofErr w:type="spellStart"/>
      <w:r w:rsidRPr="00032D7E">
        <w:rPr>
          <w:sz w:val="24"/>
          <w:szCs w:val="24"/>
          <w:lang w:val="es-ES"/>
        </w:rPr>
        <w:t>dioxide</w:t>
      </w:r>
      <w:proofErr w:type="spellEnd"/>
      <w:r w:rsidRPr="00032D7E">
        <w:rPr>
          <w:sz w:val="24"/>
          <w:szCs w:val="24"/>
          <w:lang w:val="es-ES"/>
        </w:rPr>
        <w:t xml:space="preserve"> (E171)</w:t>
      </w:r>
    </w:p>
    <w:p w14:paraId="74C5D890" w14:textId="77777777" w:rsidR="00E575A9" w:rsidRPr="00032D7E" w:rsidRDefault="00E575A9" w:rsidP="00032D7E">
      <w:pPr>
        <w:ind w:left="851"/>
        <w:rPr>
          <w:sz w:val="24"/>
          <w:szCs w:val="24"/>
          <w:lang w:val="es-ES"/>
        </w:rPr>
      </w:pPr>
      <w:proofErr w:type="spellStart"/>
      <w:r w:rsidRPr="00032D7E">
        <w:rPr>
          <w:sz w:val="24"/>
          <w:szCs w:val="24"/>
          <w:lang w:val="es-ES"/>
        </w:rPr>
        <w:t>Macrogol</w:t>
      </w:r>
      <w:proofErr w:type="spellEnd"/>
      <w:r w:rsidRPr="00032D7E">
        <w:rPr>
          <w:sz w:val="24"/>
          <w:szCs w:val="24"/>
          <w:lang w:val="es-ES"/>
        </w:rPr>
        <w:t xml:space="preserve"> 8000 (E1521)</w:t>
      </w:r>
    </w:p>
    <w:p w14:paraId="6511F489" w14:textId="77777777" w:rsidR="00E575A9" w:rsidRPr="00032D7E" w:rsidRDefault="00E575A9" w:rsidP="00032D7E">
      <w:pPr>
        <w:ind w:left="851"/>
        <w:rPr>
          <w:sz w:val="24"/>
          <w:szCs w:val="24"/>
          <w:lang w:val="es-ES"/>
        </w:rPr>
      </w:pPr>
      <w:proofErr w:type="spellStart"/>
      <w:r w:rsidRPr="00032D7E">
        <w:rPr>
          <w:sz w:val="24"/>
          <w:szCs w:val="24"/>
          <w:lang w:val="es-ES"/>
        </w:rPr>
        <w:t>Iron</w:t>
      </w:r>
      <w:proofErr w:type="spellEnd"/>
      <w:r w:rsidRPr="00032D7E">
        <w:rPr>
          <w:sz w:val="24"/>
          <w:szCs w:val="24"/>
          <w:lang w:val="es-ES"/>
        </w:rPr>
        <w:t xml:space="preserve"> oxide red (E172)</w:t>
      </w:r>
    </w:p>
    <w:p w14:paraId="7CDF1F15" w14:textId="77777777" w:rsidR="00E575A9" w:rsidRPr="00032D7E" w:rsidRDefault="00E575A9" w:rsidP="00032D7E">
      <w:pPr>
        <w:ind w:left="851"/>
        <w:rPr>
          <w:sz w:val="24"/>
          <w:szCs w:val="24"/>
          <w:lang w:val="es-ES"/>
        </w:rPr>
      </w:pPr>
    </w:p>
    <w:p w14:paraId="16B85760" w14:textId="77777777" w:rsidR="00E575A9" w:rsidRPr="00032D7E" w:rsidRDefault="00E575A9" w:rsidP="00032D7E">
      <w:pPr>
        <w:ind w:left="851"/>
        <w:rPr>
          <w:sz w:val="24"/>
          <w:szCs w:val="24"/>
          <w:lang w:val="es-ES"/>
        </w:rPr>
      </w:pPr>
      <w:r w:rsidRPr="00032D7E">
        <w:rPr>
          <w:sz w:val="24"/>
          <w:szCs w:val="24"/>
          <w:lang w:val="es-ES"/>
        </w:rPr>
        <w:t xml:space="preserve">8 mg: </w:t>
      </w:r>
    </w:p>
    <w:p w14:paraId="38FCC356" w14:textId="77777777" w:rsidR="00E575A9" w:rsidRPr="00032D7E" w:rsidRDefault="00E575A9" w:rsidP="00032D7E">
      <w:pPr>
        <w:ind w:left="851"/>
        <w:rPr>
          <w:sz w:val="24"/>
          <w:szCs w:val="24"/>
          <w:lang w:val="es-ES"/>
        </w:rPr>
      </w:pPr>
      <w:proofErr w:type="spellStart"/>
      <w:r w:rsidRPr="00032D7E">
        <w:rPr>
          <w:sz w:val="24"/>
          <w:szCs w:val="24"/>
          <w:lang w:val="es-ES"/>
        </w:rPr>
        <w:t>Hypromellose</w:t>
      </w:r>
      <w:proofErr w:type="spellEnd"/>
      <w:r w:rsidRPr="00032D7E">
        <w:rPr>
          <w:sz w:val="24"/>
          <w:szCs w:val="24"/>
          <w:lang w:val="es-ES"/>
        </w:rPr>
        <w:t xml:space="preserve"> 2910 (E464)</w:t>
      </w:r>
    </w:p>
    <w:p w14:paraId="53DE7C54" w14:textId="77777777" w:rsidR="00E575A9" w:rsidRPr="00032D7E" w:rsidRDefault="00E575A9" w:rsidP="00032D7E">
      <w:pPr>
        <w:ind w:left="851"/>
        <w:rPr>
          <w:sz w:val="24"/>
          <w:szCs w:val="24"/>
          <w:lang w:val="es-ES"/>
        </w:rPr>
      </w:pPr>
      <w:proofErr w:type="spellStart"/>
      <w:r w:rsidRPr="00032D7E">
        <w:rPr>
          <w:sz w:val="24"/>
          <w:szCs w:val="24"/>
          <w:lang w:val="es-ES"/>
        </w:rPr>
        <w:t>Titanium</w:t>
      </w:r>
      <w:proofErr w:type="spellEnd"/>
      <w:r w:rsidRPr="00032D7E">
        <w:rPr>
          <w:sz w:val="24"/>
          <w:szCs w:val="24"/>
          <w:lang w:val="es-ES"/>
        </w:rPr>
        <w:t xml:space="preserve"> </w:t>
      </w:r>
      <w:proofErr w:type="spellStart"/>
      <w:r w:rsidRPr="00032D7E">
        <w:rPr>
          <w:sz w:val="24"/>
          <w:szCs w:val="24"/>
          <w:lang w:val="es-ES"/>
        </w:rPr>
        <w:t>dioxide</w:t>
      </w:r>
      <w:proofErr w:type="spellEnd"/>
      <w:r w:rsidRPr="00032D7E">
        <w:rPr>
          <w:sz w:val="24"/>
          <w:szCs w:val="24"/>
          <w:lang w:val="es-ES"/>
        </w:rPr>
        <w:t xml:space="preserve"> (E171)</w:t>
      </w:r>
    </w:p>
    <w:p w14:paraId="1954844D" w14:textId="77777777" w:rsidR="00E575A9" w:rsidRPr="00032D7E" w:rsidRDefault="00E575A9" w:rsidP="00032D7E">
      <w:pPr>
        <w:ind w:left="851"/>
        <w:rPr>
          <w:sz w:val="24"/>
          <w:szCs w:val="24"/>
          <w:lang w:val="es-ES"/>
        </w:rPr>
      </w:pPr>
      <w:proofErr w:type="spellStart"/>
      <w:r w:rsidRPr="00032D7E">
        <w:rPr>
          <w:sz w:val="24"/>
          <w:szCs w:val="24"/>
          <w:lang w:val="es-ES"/>
        </w:rPr>
        <w:t>Macrogol</w:t>
      </w:r>
      <w:proofErr w:type="spellEnd"/>
      <w:r w:rsidRPr="00032D7E">
        <w:rPr>
          <w:sz w:val="24"/>
          <w:szCs w:val="24"/>
          <w:lang w:val="es-ES"/>
        </w:rPr>
        <w:t xml:space="preserve"> 8000 (E1521)</w:t>
      </w:r>
    </w:p>
    <w:p w14:paraId="5A643305" w14:textId="77777777" w:rsidR="00E575A9" w:rsidRPr="00032D7E" w:rsidRDefault="00E575A9" w:rsidP="00032D7E">
      <w:pPr>
        <w:ind w:left="851"/>
        <w:rPr>
          <w:sz w:val="24"/>
          <w:szCs w:val="24"/>
          <w:lang w:val="es-ES"/>
        </w:rPr>
      </w:pPr>
      <w:proofErr w:type="spellStart"/>
      <w:r w:rsidRPr="00032D7E">
        <w:rPr>
          <w:sz w:val="24"/>
          <w:szCs w:val="24"/>
          <w:lang w:val="es-ES"/>
        </w:rPr>
        <w:t>Talc</w:t>
      </w:r>
      <w:proofErr w:type="spellEnd"/>
      <w:r w:rsidRPr="00032D7E">
        <w:rPr>
          <w:sz w:val="24"/>
          <w:szCs w:val="24"/>
          <w:lang w:val="es-ES"/>
        </w:rPr>
        <w:t xml:space="preserve"> (E553b)</w:t>
      </w:r>
    </w:p>
    <w:p w14:paraId="510637BC" w14:textId="77777777" w:rsidR="00E575A9" w:rsidRPr="00032D7E" w:rsidRDefault="00E575A9" w:rsidP="00032D7E">
      <w:pPr>
        <w:ind w:left="851"/>
        <w:rPr>
          <w:sz w:val="24"/>
          <w:szCs w:val="24"/>
          <w:lang w:val="es-ES"/>
        </w:rPr>
      </w:pPr>
      <w:proofErr w:type="spellStart"/>
      <w:r w:rsidRPr="00032D7E">
        <w:rPr>
          <w:sz w:val="24"/>
          <w:szCs w:val="24"/>
          <w:lang w:val="es-ES"/>
        </w:rPr>
        <w:t>Iron</w:t>
      </w:r>
      <w:proofErr w:type="spellEnd"/>
      <w:r w:rsidRPr="00032D7E">
        <w:rPr>
          <w:sz w:val="24"/>
          <w:szCs w:val="24"/>
          <w:lang w:val="es-ES"/>
        </w:rPr>
        <w:t xml:space="preserve"> oxide red (E172)</w:t>
      </w:r>
    </w:p>
    <w:p w14:paraId="7694F6DE" w14:textId="77777777" w:rsidR="00E575A9" w:rsidRPr="00032D7E" w:rsidRDefault="00E575A9" w:rsidP="00032D7E">
      <w:pPr>
        <w:ind w:left="851"/>
        <w:rPr>
          <w:sz w:val="24"/>
          <w:szCs w:val="24"/>
          <w:lang w:val="en-US"/>
        </w:rPr>
      </w:pPr>
      <w:r w:rsidRPr="00032D7E">
        <w:rPr>
          <w:sz w:val="24"/>
          <w:szCs w:val="24"/>
          <w:lang w:val="en-US"/>
        </w:rPr>
        <w:t>Iron oxide black (E172)</w:t>
      </w:r>
    </w:p>
    <w:p w14:paraId="4BCF9F1B" w14:textId="3863890E" w:rsidR="00FE0AD1" w:rsidRDefault="00FE0AD1">
      <w:pPr>
        <w:rPr>
          <w:sz w:val="24"/>
          <w:szCs w:val="24"/>
          <w:lang w:val="en-US"/>
        </w:rPr>
      </w:pPr>
      <w:r>
        <w:rPr>
          <w:sz w:val="24"/>
          <w:szCs w:val="24"/>
          <w:lang w:val="en-US"/>
        </w:rPr>
        <w:br w:type="page"/>
      </w:r>
    </w:p>
    <w:p w14:paraId="5D8DA20B" w14:textId="77777777" w:rsidR="00E575A9" w:rsidRPr="00032D7E" w:rsidRDefault="00E575A9" w:rsidP="00032D7E">
      <w:pPr>
        <w:ind w:left="851"/>
        <w:rPr>
          <w:sz w:val="24"/>
          <w:szCs w:val="24"/>
          <w:lang w:val="en-US"/>
        </w:rPr>
      </w:pPr>
    </w:p>
    <w:p w14:paraId="77179D68" w14:textId="77777777" w:rsidR="00E575A9" w:rsidRPr="00032D7E" w:rsidRDefault="00E575A9" w:rsidP="00032D7E">
      <w:pPr>
        <w:ind w:left="851"/>
        <w:rPr>
          <w:sz w:val="24"/>
          <w:szCs w:val="24"/>
          <w:lang w:val="en-IN"/>
        </w:rPr>
      </w:pPr>
      <w:r w:rsidRPr="00032D7E">
        <w:rPr>
          <w:sz w:val="24"/>
          <w:szCs w:val="24"/>
          <w:lang w:val="en-IN"/>
        </w:rPr>
        <w:t>10 mg and 12 mg:</w:t>
      </w:r>
    </w:p>
    <w:p w14:paraId="5FFE8D60" w14:textId="77777777" w:rsidR="00E575A9" w:rsidRPr="00032D7E" w:rsidRDefault="00E575A9" w:rsidP="00032D7E">
      <w:pPr>
        <w:ind w:left="851"/>
        <w:rPr>
          <w:sz w:val="24"/>
          <w:szCs w:val="24"/>
          <w:lang w:val="es-ES"/>
        </w:rPr>
      </w:pPr>
      <w:proofErr w:type="spellStart"/>
      <w:r w:rsidRPr="00032D7E">
        <w:rPr>
          <w:sz w:val="24"/>
          <w:szCs w:val="24"/>
          <w:lang w:val="es-ES"/>
        </w:rPr>
        <w:t>Hypromellose</w:t>
      </w:r>
      <w:proofErr w:type="spellEnd"/>
      <w:r w:rsidRPr="00032D7E">
        <w:rPr>
          <w:sz w:val="24"/>
          <w:szCs w:val="24"/>
          <w:lang w:val="es-ES"/>
        </w:rPr>
        <w:t xml:space="preserve"> 2910 (E464)</w:t>
      </w:r>
    </w:p>
    <w:p w14:paraId="4382799C" w14:textId="77777777" w:rsidR="00E575A9" w:rsidRPr="00032D7E" w:rsidRDefault="00E575A9" w:rsidP="00032D7E">
      <w:pPr>
        <w:ind w:left="851"/>
        <w:rPr>
          <w:sz w:val="24"/>
          <w:szCs w:val="24"/>
          <w:lang w:val="es-ES"/>
        </w:rPr>
      </w:pPr>
      <w:proofErr w:type="spellStart"/>
      <w:r w:rsidRPr="00032D7E">
        <w:rPr>
          <w:sz w:val="24"/>
          <w:szCs w:val="24"/>
          <w:lang w:val="es-ES"/>
        </w:rPr>
        <w:t>Titanium</w:t>
      </w:r>
      <w:proofErr w:type="spellEnd"/>
      <w:r w:rsidRPr="00032D7E">
        <w:rPr>
          <w:sz w:val="24"/>
          <w:szCs w:val="24"/>
          <w:lang w:val="es-ES"/>
        </w:rPr>
        <w:t xml:space="preserve"> </w:t>
      </w:r>
      <w:proofErr w:type="spellStart"/>
      <w:r w:rsidRPr="00032D7E">
        <w:rPr>
          <w:sz w:val="24"/>
          <w:szCs w:val="24"/>
          <w:lang w:val="es-ES"/>
        </w:rPr>
        <w:t>dioxide</w:t>
      </w:r>
      <w:proofErr w:type="spellEnd"/>
      <w:r w:rsidRPr="00032D7E">
        <w:rPr>
          <w:sz w:val="24"/>
          <w:szCs w:val="24"/>
          <w:lang w:val="es-ES"/>
        </w:rPr>
        <w:t xml:space="preserve"> (E171)</w:t>
      </w:r>
    </w:p>
    <w:p w14:paraId="7F80386C" w14:textId="77777777" w:rsidR="00E575A9" w:rsidRPr="00032D7E" w:rsidRDefault="00E575A9" w:rsidP="00032D7E">
      <w:pPr>
        <w:ind w:left="851"/>
        <w:rPr>
          <w:sz w:val="24"/>
          <w:szCs w:val="24"/>
          <w:lang w:val="es-ES"/>
        </w:rPr>
      </w:pPr>
      <w:proofErr w:type="spellStart"/>
      <w:r w:rsidRPr="00032D7E">
        <w:rPr>
          <w:sz w:val="24"/>
          <w:szCs w:val="24"/>
          <w:lang w:val="es-ES"/>
        </w:rPr>
        <w:t>Macrogol</w:t>
      </w:r>
      <w:proofErr w:type="spellEnd"/>
      <w:r w:rsidRPr="00032D7E">
        <w:rPr>
          <w:sz w:val="24"/>
          <w:szCs w:val="24"/>
          <w:lang w:val="es-ES"/>
        </w:rPr>
        <w:t xml:space="preserve"> 8000 (E1521)</w:t>
      </w:r>
    </w:p>
    <w:p w14:paraId="750196DE" w14:textId="77777777" w:rsidR="00E575A9" w:rsidRPr="00032D7E" w:rsidRDefault="00E575A9" w:rsidP="00032D7E">
      <w:pPr>
        <w:ind w:left="851"/>
        <w:rPr>
          <w:sz w:val="24"/>
          <w:szCs w:val="24"/>
          <w:lang w:val="es-ES"/>
        </w:rPr>
      </w:pPr>
      <w:proofErr w:type="spellStart"/>
      <w:r w:rsidRPr="00032D7E">
        <w:rPr>
          <w:sz w:val="24"/>
          <w:szCs w:val="24"/>
          <w:lang w:val="es-ES"/>
        </w:rPr>
        <w:t>Iron</w:t>
      </w:r>
      <w:proofErr w:type="spellEnd"/>
      <w:r w:rsidRPr="00032D7E">
        <w:rPr>
          <w:sz w:val="24"/>
          <w:szCs w:val="24"/>
          <w:lang w:val="es-ES"/>
        </w:rPr>
        <w:t xml:space="preserve"> oxide </w:t>
      </w:r>
      <w:proofErr w:type="spellStart"/>
      <w:r w:rsidRPr="00032D7E">
        <w:rPr>
          <w:sz w:val="24"/>
          <w:szCs w:val="24"/>
          <w:lang w:val="es-ES"/>
        </w:rPr>
        <w:t>yellow</w:t>
      </w:r>
      <w:proofErr w:type="spellEnd"/>
      <w:r w:rsidRPr="00032D7E">
        <w:rPr>
          <w:sz w:val="24"/>
          <w:szCs w:val="24"/>
          <w:lang w:val="es-ES"/>
        </w:rPr>
        <w:t xml:space="preserve"> (E172)</w:t>
      </w:r>
    </w:p>
    <w:p w14:paraId="5905CACB" w14:textId="77777777" w:rsidR="00E575A9" w:rsidRPr="00032D7E" w:rsidRDefault="00E575A9" w:rsidP="00032D7E">
      <w:pPr>
        <w:ind w:left="851"/>
        <w:rPr>
          <w:sz w:val="24"/>
          <w:szCs w:val="24"/>
          <w:lang w:val="en-IN"/>
        </w:rPr>
      </w:pPr>
      <w:r w:rsidRPr="00032D7E">
        <w:rPr>
          <w:sz w:val="24"/>
          <w:szCs w:val="24"/>
          <w:lang w:val="en-IN"/>
        </w:rPr>
        <w:t>FD&amp;C Blue #2/Indigo carmine aluminium lake (E132)</w:t>
      </w:r>
    </w:p>
    <w:p w14:paraId="771E73B9" w14:textId="77777777" w:rsidR="007C5D2A" w:rsidRPr="00032D7E" w:rsidRDefault="007C5D2A" w:rsidP="003D727E">
      <w:pPr>
        <w:tabs>
          <w:tab w:val="left" w:pos="851"/>
        </w:tabs>
        <w:ind w:left="851"/>
        <w:rPr>
          <w:sz w:val="24"/>
          <w:szCs w:val="24"/>
          <w:lang w:val="en-IN"/>
        </w:rPr>
      </w:pPr>
    </w:p>
    <w:p w14:paraId="664A783D" w14:textId="77777777" w:rsidR="007C5D2A" w:rsidRPr="00032D7E" w:rsidRDefault="007C5D2A" w:rsidP="007C5D2A">
      <w:pPr>
        <w:ind w:left="851" w:hanging="851"/>
        <w:rPr>
          <w:b/>
          <w:sz w:val="24"/>
          <w:szCs w:val="24"/>
          <w:lang w:val="en-GB"/>
        </w:rPr>
      </w:pPr>
      <w:r w:rsidRPr="00032D7E">
        <w:rPr>
          <w:b/>
          <w:sz w:val="24"/>
          <w:szCs w:val="24"/>
          <w:lang w:val="en-GB"/>
        </w:rPr>
        <w:t>6.2</w:t>
      </w:r>
      <w:r w:rsidRPr="00032D7E">
        <w:rPr>
          <w:b/>
          <w:sz w:val="24"/>
          <w:szCs w:val="24"/>
          <w:lang w:val="en-GB"/>
        </w:rPr>
        <w:tab/>
        <w:t>Incompatibilities</w:t>
      </w:r>
    </w:p>
    <w:p w14:paraId="0EE77E39" w14:textId="77777777" w:rsidR="00E575A9" w:rsidRPr="00032D7E" w:rsidRDefault="00E575A9" w:rsidP="00032D7E">
      <w:pPr>
        <w:ind w:left="851"/>
        <w:rPr>
          <w:sz w:val="24"/>
          <w:szCs w:val="24"/>
          <w:lang w:val="en-IN"/>
        </w:rPr>
      </w:pPr>
      <w:r w:rsidRPr="00032D7E">
        <w:rPr>
          <w:sz w:val="24"/>
          <w:szCs w:val="24"/>
          <w:lang w:val="en-IN"/>
        </w:rPr>
        <w:t xml:space="preserve">Not applicable. </w:t>
      </w:r>
    </w:p>
    <w:p w14:paraId="0E828DFA" w14:textId="77777777" w:rsidR="007C5D2A" w:rsidRPr="00032D7E" w:rsidRDefault="007C5D2A" w:rsidP="003E0341">
      <w:pPr>
        <w:tabs>
          <w:tab w:val="left" w:pos="851"/>
        </w:tabs>
        <w:ind w:left="851"/>
        <w:rPr>
          <w:sz w:val="24"/>
          <w:szCs w:val="24"/>
          <w:lang w:val="en-GB"/>
        </w:rPr>
      </w:pPr>
    </w:p>
    <w:p w14:paraId="418D7355" w14:textId="77777777" w:rsidR="007C5D2A" w:rsidRPr="00032D7E" w:rsidRDefault="007C5D2A" w:rsidP="007C5D2A">
      <w:pPr>
        <w:ind w:left="851" w:hanging="851"/>
        <w:rPr>
          <w:b/>
          <w:sz w:val="24"/>
          <w:szCs w:val="24"/>
          <w:lang w:val="en-GB"/>
        </w:rPr>
      </w:pPr>
      <w:r w:rsidRPr="00032D7E">
        <w:rPr>
          <w:b/>
          <w:sz w:val="24"/>
          <w:szCs w:val="24"/>
          <w:lang w:val="en-GB"/>
        </w:rPr>
        <w:t>6.3</w:t>
      </w:r>
      <w:r w:rsidRPr="00032D7E">
        <w:rPr>
          <w:b/>
          <w:sz w:val="24"/>
          <w:szCs w:val="24"/>
          <w:lang w:val="en-GB"/>
        </w:rPr>
        <w:tab/>
        <w:t>Shelf</w:t>
      </w:r>
      <w:r w:rsidR="00B45DC5" w:rsidRPr="00032D7E">
        <w:rPr>
          <w:b/>
          <w:sz w:val="24"/>
          <w:szCs w:val="24"/>
          <w:lang w:val="en-GB"/>
        </w:rPr>
        <w:t xml:space="preserve"> </w:t>
      </w:r>
      <w:r w:rsidRPr="00032D7E">
        <w:rPr>
          <w:b/>
          <w:sz w:val="24"/>
          <w:szCs w:val="24"/>
          <w:lang w:val="en-GB"/>
        </w:rPr>
        <w:t>life</w:t>
      </w:r>
    </w:p>
    <w:p w14:paraId="02AC0387" w14:textId="77777777" w:rsidR="00E575A9" w:rsidRPr="00032D7E" w:rsidRDefault="00E575A9" w:rsidP="00032D7E">
      <w:pPr>
        <w:ind w:left="851"/>
        <w:rPr>
          <w:sz w:val="24"/>
          <w:szCs w:val="24"/>
          <w:lang w:val="en-IN"/>
        </w:rPr>
      </w:pPr>
      <w:r w:rsidRPr="00032D7E">
        <w:rPr>
          <w:sz w:val="24"/>
          <w:szCs w:val="24"/>
          <w:lang w:val="en-IN"/>
        </w:rPr>
        <w:t xml:space="preserve">2 years </w:t>
      </w:r>
    </w:p>
    <w:p w14:paraId="70B72425" w14:textId="77777777" w:rsidR="007C5D2A" w:rsidRPr="00032D7E" w:rsidRDefault="007C5D2A" w:rsidP="003E0341">
      <w:pPr>
        <w:tabs>
          <w:tab w:val="left" w:pos="851"/>
        </w:tabs>
        <w:ind w:left="851"/>
        <w:rPr>
          <w:sz w:val="24"/>
          <w:szCs w:val="24"/>
          <w:lang w:val="en-IN"/>
        </w:rPr>
      </w:pPr>
    </w:p>
    <w:p w14:paraId="3CF2977A" w14:textId="77777777" w:rsidR="007C5D2A" w:rsidRPr="00032D7E" w:rsidRDefault="007C5D2A" w:rsidP="007C5D2A">
      <w:pPr>
        <w:ind w:left="851" w:hanging="851"/>
        <w:rPr>
          <w:b/>
          <w:sz w:val="24"/>
          <w:szCs w:val="24"/>
          <w:lang w:val="en-GB"/>
        </w:rPr>
      </w:pPr>
      <w:r w:rsidRPr="00032D7E">
        <w:rPr>
          <w:b/>
          <w:sz w:val="24"/>
          <w:szCs w:val="24"/>
          <w:lang w:val="en-GB"/>
        </w:rPr>
        <w:t>6.4</w:t>
      </w:r>
      <w:r w:rsidRPr="00032D7E">
        <w:rPr>
          <w:b/>
          <w:sz w:val="24"/>
          <w:szCs w:val="24"/>
          <w:lang w:val="en-GB"/>
        </w:rPr>
        <w:tab/>
        <w:t>Special precautions for storage</w:t>
      </w:r>
    </w:p>
    <w:p w14:paraId="25F35C00" w14:textId="77777777" w:rsidR="00E575A9" w:rsidRPr="00032D7E" w:rsidRDefault="00E575A9" w:rsidP="00032D7E">
      <w:pPr>
        <w:ind w:left="851"/>
        <w:rPr>
          <w:sz w:val="24"/>
          <w:szCs w:val="24"/>
          <w:lang w:val="en-IN"/>
        </w:rPr>
      </w:pPr>
      <w:r w:rsidRPr="00032D7E">
        <w:rPr>
          <w:sz w:val="24"/>
          <w:szCs w:val="24"/>
          <w:lang w:val="en-IN"/>
        </w:rPr>
        <w:t xml:space="preserve">This medicinal product does not require any special storage conditions. </w:t>
      </w:r>
    </w:p>
    <w:p w14:paraId="31566016" w14:textId="77777777" w:rsidR="007C5D2A" w:rsidRPr="00032D7E" w:rsidRDefault="007C5D2A" w:rsidP="003E0341">
      <w:pPr>
        <w:tabs>
          <w:tab w:val="left" w:pos="851"/>
        </w:tabs>
        <w:ind w:left="851"/>
        <w:rPr>
          <w:sz w:val="24"/>
          <w:szCs w:val="24"/>
          <w:lang w:val="en-IN"/>
        </w:rPr>
      </w:pPr>
    </w:p>
    <w:p w14:paraId="59B0EF80" w14:textId="77777777" w:rsidR="007C5D2A" w:rsidRPr="00032D7E" w:rsidRDefault="007C5D2A" w:rsidP="007C5D2A">
      <w:pPr>
        <w:ind w:left="851" w:hanging="851"/>
        <w:rPr>
          <w:b/>
          <w:sz w:val="24"/>
          <w:szCs w:val="24"/>
          <w:lang w:val="en-GB"/>
        </w:rPr>
      </w:pPr>
      <w:r w:rsidRPr="00032D7E">
        <w:rPr>
          <w:b/>
          <w:sz w:val="24"/>
          <w:szCs w:val="24"/>
          <w:lang w:val="en-GB"/>
        </w:rPr>
        <w:t>6.5</w:t>
      </w:r>
      <w:r w:rsidRPr="00032D7E">
        <w:rPr>
          <w:b/>
          <w:sz w:val="24"/>
          <w:szCs w:val="24"/>
          <w:lang w:val="en-GB"/>
        </w:rPr>
        <w:tab/>
        <w:t>Nature and contents of container</w:t>
      </w:r>
    </w:p>
    <w:p w14:paraId="242A0D8A" w14:textId="77777777" w:rsidR="00E575A9" w:rsidRPr="00032D7E" w:rsidRDefault="00E575A9" w:rsidP="00032D7E">
      <w:pPr>
        <w:ind w:left="851"/>
        <w:rPr>
          <w:sz w:val="24"/>
          <w:szCs w:val="24"/>
          <w:lang w:val="en-IN"/>
        </w:rPr>
      </w:pPr>
      <w:r w:rsidRPr="00032D7E">
        <w:rPr>
          <w:sz w:val="24"/>
          <w:szCs w:val="24"/>
          <w:lang w:val="en-IN"/>
        </w:rPr>
        <w:t xml:space="preserve">PVC/aluminium blisters. </w:t>
      </w:r>
    </w:p>
    <w:p w14:paraId="7C561FC6" w14:textId="77777777" w:rsidR="00E575A9" w:rsidRPr="00032D7E" w:rsidRDefault="00E575A9" w:rsidP="00032D7E">
      <w:pPr>
        <w:ind w:left="851"/>
        <w:rPr>
          <w:sz w:val="24"/>
          <w:szCs w:val="24"/>
          <w:lang w:val="en-IN"/>
        </w:rPr>
      </w:pPr>
    </w:p>
    <w:p w14:paraId="0F0DFB6C" w14:textId="77777777" w:rsidR="00E575A9" w:rsidRPr="00032D7E" w:rsidRDefault="00E575A9" w:rsidP="00032D7E">
      <w:pPr>
        <w:ind w:left="851"/>
        <w:rPr>
          <w:sz w:val="24"/>
          <w:szCs w:val="24"/>
          <w:lang w:val="en-IN"/>
        </w:rPr>
      </w:pPr>
      <w:r w:rsidRPr="00032D7E">
        <w:rPr>
          <w:sz w:val="24"/>
          <w:szCs w:val="24"/>
          <w:lang w:val="en-IN"/>
        </w:rPr>
        <w:t>Pack sizes:</w:t>
      </w:r>
    </w:p>
    <w:p w14:paraId="3C0EF916" w14:textId="77777777" w:rsidR="00E575A9" w:rsidRPr="00032D7E" w:rsidRDefault="00E575A9" w:rsidP="00032D7E">
      <w:pPr>
        <w:ind w:left="851"/>
        <w:rPr>
          <w:sz w:val="24"/>
          <w:szCs w:val="24"/>
          <w:u w:val="single"/>
          <w:lang w:val="en-GB"/>
        </w:rPr>
      </w:pPr>
      <w:r w:rsidRPr="00032D7E">
        <w:rPr>
          <w:sz w:val="24"/>
          <w:szCs w:val="24"/>
          <w:u w:val="single"/>
          <w:lang w:val="en-GB"/>
        </w:rPr>
        <w:t>2 mg:</w:t>
      </w:r>
    </w:p>
    <w:p w14:paraId="2576857B" w14:textId="77777777" w:rsidR="00E575A9" w:rsidRPr="00032D7E" w:rsidRDefault="00E575A9" w:rsidP="00032D7E">
      <w:pPr>
        <w:ind w:left="851"/>
        <w:rPr>
          <w:sz w:val="24"/>
          <w:szCs w:val="24"/>
          <w:lang w:val="en-GB"/>
        </w:rPr>
      </w:pPr>
      <w:r w:rsidRPr="00032D7E">
        <w:rPr>
          <w:sz w:val="24"/>
          <w:szCs w:val="24"/>
          <w:lang w:val="en-GB"/>
        </w:rPr>
        <w:t xml:space="preserve">Packs of 7 film-coated tablets </w:t>
      </w:r>
    </w:p>
    <w:p w14:paraId="4EEB73E8" w14:textId="77777777" w:rsidR="00E575A9" w:rsidRPr="00032D7E" w:rsidRDefault="00E575A9" w:rsidP="00032D7E">
      <w:pPr>
        <w:ind w:left="851"/>
        <w:rPr>
          <w:sz w:val="24"/>
          <w:szCs w:val="24"/>
          <w:lang w:val="en-GB"/>
        </w:rPr>
      </w:pPr>
    </w:p>
    <w:p w14:paraId="39CA7C46" w14:textId="77777777" w:rsidR="00E575A9" w:rsidRPr="00032D7E" w:rsidRDefault="00E575A9" w:rsidP="00032D7E">
      <w:pPr>
        <w:ind w:left="851"/>
        <w:rPr>
          <w:sz w:val="24"/>
          <w:szCs w:val="24"/>
          <w:u w:val="single"/>
          <w:lang w:val="en-GB"/>
        </w:rPr>
      </w:pPr>
      <w:r w:rsidRPr="00032D7E">
        <w:rPr>
          <w:sz w:val="24"/>
          <w:szCs w:val="24"/>
          <w:u w:val="single"/>
          <w:lang w:val="en-GB"/>
        </w:rPr>
        <w:t>4 mg, 6 mg, 8 mg, 10 mg and 12 mg:</w:t>
      </w:r>
    </w:p>
    <w:p w14:paraId="280E5FF9" w14:textId="77777777" w:rsidR="00E575A9" w:rsidRPr="00032D7E" w:rsidRDefault="00E575A9" w:rsidP="00032D7E">
      <w:pPr>
        <w:ind w:left="851"/>
        <w:rPr>
          <w:sz w:val="24"/>
          <w:szCs w:val="24"/>
          <w:lang w:val="en-GB"/>
        </w:rPr>
      </w:pPr>
      <w:r w:rsidRPr="00032D7E">
        <w:rPr>
          <w:sz w:val="24"/>
          <w:szCs w:val="24"/>
          <w:lang w:val="en-GB"/>
        </w:rPr>
        <w:t>Packs of 28 film-coated tablets</w:t>
      </w:r>
    </w:p>
    <w:p w14:paraId="4A84A56E" w14:textId="77777777" w:rsidR="00E575A9" w:rsidRPr="00032D7E" w:rsidRDefault="00E575A9" w:rsidP="00032D7E">
      <w:pPr>
        <w:ind w:left="851"/>
        <w:rPr>
          <w:sz w:val="24"/>
          <w:szCs w:val="24"/>
          <w:lang w:val="en-IN"/>
        </w:rPr>
      </w:pPr>
    </w:p>
    <w:p w14:paraId="5DCB3BDC" w14:textId="77777777" w:rsidR="00E575A9" w:rsidRPr="00032D7E" w:rsidRDefault="00E575A9" w:rsidP="00032D7E">
      <w:pPr>
        <w:ind w:left="851"/>
        <w:rPr>
          <w:sz w:val="24"/>
          <w:szCs w:val="24"/>
          <w:lang w:val="en-IN"/>
        </w:rPr>
      </w:pPr>
      <w:r w:rsidRPr="00032D7E">
        <w:rPr>
          <w:sz w:val="24"/>
          <w:szCs w:val="24"/>
          <w:lang w:val="en-IN"/>
        </w:rPr>
        <w:t xml:space="preserve">Not all pack sizes may be marketed. </w:t>
      </w:r>
    </w:p>
    <w:p w14:paraId="18141EB2" w14:textId="77777777" w:rsidR="007C5D2A" w:rsidRPr="00032D7E" w:rsidRDefault="007C5D2A" w:rsidP="003E0341">
      <w:pPr>
        <w:tabs>
          <w:tab w:val="left" w:pos="851"/>
        </w:tabs>
        <w:ind w:left="851"/>
        <w:rPr>
          <w:sz w:val="24"/>
          <w:szCs w:val="24"/>
          <w:lang w:val="en-IN"/>
        </w:rPr>
      </w:pPr>
    </w:p>
    <w:p w14:paraId="56EA6469" w14:textId="77777777" w:rsidR="007C5D2A" w:rsidRPr="00032D7E" w:rsidRDefault="007C5D2A" w:rsidP="007C5D2A">
      <w:pPr>
        <w:ind w:left="851" w:hanging="851"/>
        <w:rPr>
          <w:b/>
          <w:sz w:val="24"/>
          <w:szCs w:val="24"/>
          <w:lang w:val="en-GB"/>
        </w:rPr>
      </w:pPr>
      <w:r w:rsidRPr="00032D7E">
        <w:rPr>
          <w:b/>
          <w:sz w:val="24"/>
          <w:szCs w:val="24"/>
          <w:lang w:val="en-GB"/>
        </w:rPr>
        <w:t>6.6</w:t>
      </w:r>
      <w:r w:rsidRPr="00032D7E">
        <w:rPr>
          <w:b/>
          <w:sz w:val="24"/>
          <w:szCs w:val="24"/>
          <w:lang w:val="en-GB"/>
        </w:rPr>
        <w:tab/>
        <w:t>Special precautions for disposal and other handling</w:t>
      </w:r>
    </w:p>
    <w:p w14:paraId="0047727B" w14:textId="77777777" w:rsidR="00E575A9" w:rsidRPr="00032D7E" w:rsidRDefault="00E575A9" w:rsidP="00032D7E">
      <w:pPr>
        <w:ind w:left="851"/>
        <w:rPr>
          <w:sz w:val="24"/>
          <w:szCs w:val="24"/>
          <w:lang w:val="en-IN"/>
        </w:rPr>
      </w:pPr>
      <w:r w:rsidRPr="00032D7E">
        <w:rPr>
          <w:sz w:val="24"/>
          <w:szCs w:val="24"/>
          <w:lang w:val="en-IN"/>
        </w:rPr>
        <w:t xml:space="preserve">No special requirements. </w:t>
      </w:r>
    </w:p>
    <w:p w14:paraId="4FFF8A36" w14:textId="77777777" w:rsidR="00E575A9" w:rsidRPr="00032D7E" w:rsidRDefault="00E575A9" w:rsidP="00032D7E">
      <w:pPr>
        <w:ind w:left="851"/>
        <w:rPr>
          <w:sz w:val="24"/>
          <w:szCs w:val="24"/>
          <w:lang w:val="en-IN"/>
        </w:rPr>
      </w:pPr>
    </w:p>
    <w:p w14:paraId="196615EF" w14:textId="77777777" w:rsidR="00E575A9" w:rsidRPr="00032D7E" w:rsidRDefault="00E575A9" w:rsidP="00032D7E">
      <w:pPr>
        <w:ind w:left="851"/>
        <w:rPr>
          <w:sz w:val="24"/>
          <w:szCs w:val="24"/>
          <w:lang w:val="en-IN"/>
        </w:rPr>
      </w:pPr>
      <w:r w:rsidRPr="00032D7E">
        <w:rPr>
          <w:sz w:val="24"/>
          <w:szCs w:val="24"/>
          <w:lang w:val="en-IN"/>
        </w:rPr>
        <w:t xml:space="preserve">Any unused medicinal product or waste material should be disposed of in accordance with local requirements. </w:t>
      </w:r>
    </w:p>
    <w:p w14:paraId="19894EF8" w14:textId="77777777" w:rsidR="007C5D2A" w:rsidRPr="00032D7E" w:rsidRDefault="007C5D2A" w:rsidP="00AB4376">
      <w:pPr>
        <w:tabs>
          <w:tab w:val="left" w:pos="851"/>
        </w:tabs>
        <w:ind w:left="851"/>
        <w:rPr>
          <w:sz w:val="24"/>
          <w:szCs w:val="24"/>
          <w:lang w:val="en-IN"/>
        </w:rPr>
      </w:pPr>
    </w:p>
    <w:p w14:paraId="43A74C4C" w14:textId="77777777" w:rsidR="007C5D2A" w:rsidRPr="00032D7E" w:rsidRDefault="007C5D2A" w:rsidP="007C5D2A">
      <w:pPr>
        <w:tabs>
          <w:tab w:val="left" w:pos="851"/>
        </w:tabs>
        <w:ind w:left="851" w:hanging="851"/>
        <w:jc w:val="both"/>
        <w:rPr>
          <w:b/>
          <w:sz w:val="24"/>
          <w:szCs w:val="24"/>
          <w:lang w:val="en-GB"/>
        </w:rPr>
      </w:pPr>
      <w:r w:rsidRPr="00032D7E">
        <w:rPr>
          <w:b/>
          <w:sz w:val="24"/>
          <w:szCs w:val="24"/>
          <w:lang w:val="en-GB"/>
        </w:rPr>
        <w:t>7.</w:t>
      </w:r>
      <w:r w:rsidRPr="00032D7E">
        <w:rPr>
          <w:b/>
          <w:sz w:val="24"/>
          <w:szCs w:val="24"/>
          <w:lang w:val="en-GB"/>
        </w:rPr>
        <w:tab/>
        <w:t>MARKETING AUTHORISATION HOLDER</w:t>
      </w:r>
    </w:p>
    <w:p w14:paraId="5FE1546D" w14:textId="464FA63C" w:rsidR="007C5D2A" w:rsidRPr="00032D7E" w:rsidRDefault="00AD7FCA" w:rsidP="00032D7E">
      <w:pPr>
        <w:ind w:left="851"/>
        <w:rPr>
          <w:sz w:val="24"/>
          <w:szCs w:val="24"/>
          <w:lang w:val="en-GB"/>
        </w:rPr>
      </w:pPr>
      <w:r w:rsidRPr="00032D7E">
        <w:rPr>
          <w:sz w:val="24"/>
          <w:szCs w:val="24"/>
          <w:lang w:val="en-GB"/>
        </w:rPr>
        <w:t xml:space="preserve">Vivanta Generics </w:t>
      </w:r>
      <w:proofErr w:type="spellStart"/>
      <w:r w:rsidRPr="00032D7E">
        <w:rPr>
          <w:sz w:val="24"/>
          <w:szCs w:val="24"/>
          <w:lang w:val="en-GB"/>
        </w:rPr>
        <w:t>s.r.o.</w:t>
      </w:r>
      <w:proofErr w:type="spellEnd"/>
    </w:p>
    <w:p w14:paraId="0EC4B0FB" w14:textId="1CE018DB" w:rsidR="00AD7FCA" w:rsidRPr="00032D7E" w:rsidRDefault="00AD7FCA" w:rsidP="00032D7E">
      <w:pPr>
        <w:ind w:left="851"/>
        <w:rPr>
          <w:sz w:val="24"/>
          <w:szCs w:val="24"/>
          <w:lang w:val="en-GB"/>
        </w:rPr>
      </w:pPr>
      <w:proofErr w:type="spellStart"/>
      <w:r w:rsidRPr="00032D7E">
        <w:rPr>
          <w:sz w:val="24"/>
          <w:szCs w:val="24"/>
          <w:lang w:val="en-GB"/>
        </w:rPr>
        <w:t>Trtinova</w:t>
      </w:r>
      <w:proofErr w:type="spellEnd"/>
      <w:r w:rsidRPr="00032D7E">
        <w:rPr>
          <w:sz w:val="24"/>
          <w:szCs w:val="24"/>
          <w:lang w:val="en-GB"/>
        </w:rPr>
        <w:t xml:space="preserve"> 260/1</w:t>
      </w:r>
    </w:p>
    <w:p w14:paraId="439B6173" w14:textId="6F930FCF" w:rsidR="00AD7FCA" w:rsidRPr="00032D7E" w:rsidRDefault="00AD7FCA" w:rsidP="00032D7E">
      <w:pPr>
        <w:ind w:left="851"/>
        <w:rPr>
          <w:sz w:val="24"/>
          <w:szCs w:val="24"/>
          <w:lang w:val="en-GB"/>
        </w:rPr>
      </w:pPr>
      <w:proofErr w:type="spellStart"/>
      <w:r w:rsidRPr="00032D7E">
        <w:rPr>
          <w:sz w:val="24"/>
          <w:szCs w:val="24"/>
          <w:lang w:val="en-GB"/>
        </w:rPr>
        <w:t>Cakovice</w:t>
      </w:r>
      <w:proofErr w:type="spellEnd"/>
    </w:p>
    <w:p w14:paraId="5F6AA449" w14:textId="4E09EFF1" w:rsidR="00AD7FCA" w:rsidRPr="00032D7E" w:rsidRDefault="00AD7FCA" w:rsidP="00032D7E">
      <w:pPr>
        <w:ind w:left="851"/>
        <w:rPr>
          <w:sz w:val="24"/>
          <w:szCs w:val="24"/>
          <w:lang w:val="en-GB"/>
        </w:rPr>
      </w:pPr>
      <w:r w:rsidRPr="00032D7E">
        <w:rPr>
          <w:sz w:val="24"/>
          <w:szCs w:val="24"/>
          <w:lang w:val="en-GB"/>
        </w:rPr>
        <w:t>196 00 Prague-</w:t>
      </w:r>
      <w:proofErr w:type="spellStart"/>
      <w:r w:rsidRPr="00032D7E">
        <w:rPr>
          <w:sz w:val="24"/>
          <w:szCs w:val="24"/>
          <w:lang w:val="en-GB"/>
        </w:rPr>
        <w:t>Cakovice</w:t>
      </w:r>
      <w:proofErr w:type="spellEnd"/>
    </w:p>
    <w:p w14:paraId="300DEAA0" w14:textId="165809E6" w:rsidR="00AD7FCA" w:rsidRPr="00032D7E" w:rsidRDefault="00AD7FCA" w:rsidP="00032D7E">
      <w:pPr>
        <w:ind w:left="851"/>
        <w:rPr>
          <w:sz w:val="24"/>
          <w:szCs w:val="24"/>
          <w:lang w:val="en-GB"/>
        </w:rPr>
      </w:pPr>
      <w:proofErr w:type="spellStart"/>
      <w:r w:rsidRPr="00032D7E">
        <w:rPr>
          <w:sz w:val="24"/>
          <w:szCs w:val="24"/>
          <w:lang w:val="en-GB"/>
        </w:rPr>
        <w:t>Tjekkiet</w:t>
      </w:r>
      <w:proofErr w:type="spellEnd"/>
    </w:p>
    <w:p w14:paraId="3C142A4B" w14:textId="77777777" w:rsidR="008A24F6" w:rsidRPr="00032D7E" w:rsidRDefault="008A24F6" w:rsidP="003E0341">
      <w:pPr>
        <w:tabs>
          <w:tab w:val="left" w:pos="851"/>
        </w:tabs>
        <w:ind w:left="851"/>
        <w:jc w:val="both"/>
        <w:rPr>
          <w:sz w:val="24"/>
          <w:szCs w:val="24"/>
          <w:lang w:val="en-GB"/>
        </w:rPr>
      </w:pPr>
    </w:p>
    <w:p w14:paraId="6CA76479" w14:textId="77777777" w:rsidR="007C5D2A" w:rsidRPr="00032D7E" w:rsidRDefault="007C5D2A" w:rsidP="007C5D2A">
      <w:pPr>
        <w:ind w:left="851" w:hanging="851"/>
        <w:jc w:val="both"/>
        <w:rPr>
          <w:b/>
          <w:sz w:val="24"/>
          <w:szCs w:val="24"/>
          <w:lang w:val="en-GB"/>
        </w:rPr>
      </w:pPr>
      <w:r w:rsidRPr="00032D7E">
        <w:rPr>
          <w:b/>
          <w:sz w:val="24"/>
          <w:szCs w:val="24"/>
          <w:lang w:val="en-GB"/>
        </w:rPr>
        <w:t>8.</w:t>
      </w:r>
      <w:r w:rsidRPr="00032D7E">
        <w:rPr>
          <w:b/>
          <w:sz w:val="24"/>
          <w:szCs w:val="24"/>
          <w:lang w:val="en-GB"/>
        </w:rPr>
        <w:tab/>
        <w:t>MARKETING AUTHORISATION NUMBER(S)</w:t>
      </w:r>
    </w:p>
    <w:p w14:paraId="5AC46785" w14:textId="6BC898F9" w:rsidR="002D3416" w:rsidRPr="00032D7E" w:rsidRDefault="002D3416" w:rsidP="00032D7E">
      <w:pPr>
        <w:tabs>
          <w:tab w:val="left" w:pos="1843"/>
        </w:tabs>
        <w:ind w:left="851"/>
        <w:rPr>
          <w:sz w:val="24"/>
          <w:szCs w:val="24"/>
        </w:rPr>
      </w:pPr>
      <w:r w:rsidRPr="00032D7E">
        <w:rPr>
          <w:sz w:val="24"/>
          <w:szCs w:val="24"/>
        </w:rPr>
        <w:t xml:space="preserve">2 mg: </w:t>
      </w:r>
      <w:r w:rsidR="00032D7E" w:rsidRPr="00032D7E">
        <w:rPr>
          <w:sz w:val="24"/>
          <w:szCs w:val="24"/>
        </w:rPr>
        <w:tab/>
      </w:r>
      <w:r w:rsidRPr="00032D7E">
        <w:rPr>
          <w:sz w:val="24"/>
          <w:szCs w:val="24"/>
        </w:rPr>
        <w:t>71167</w:t>
      </w:r>
    </w:p>
    <w:p w14:paraId="6A7CAC1E" w14:textId="09A17269" w:rsidR="002D3416" w:rsidRPr="00032D7E" w:rsidRDefault="002D3416" w:rsidP="00032D7E">
      <w:pPr>
        <w:tabs>
          <w:tab w:val="left" w:pos="1843"/>
        </w:tabs>
        <w:ind w:left="851"/>
        <w:rPr>
          <w:sz w:val="24"/>
          <w:szCs w:val="24"/>
        </w:rPr>
      </w:pPr>
      <w:r w:rsidRPr="00032D7E">
        <w:rPr>
          <w:sz w:val="24"/>
          <w:szCs w:val="24"/>
        </w:rPr>
        <w:t xml:space="preserve">4 mg: </w:t>
      </w:r>
      <w:r w:rsidR="00032D7E" w:rsidRPr="00032D7E">
        <w:rPr>
          <w:sz w:val="24"/>
          <w:szCs w:val="24"/>
        </w:rPr>
        <w:tab/>
      </w:r>
      <w:r w:rsidRPr="00032D7E">
        <w:rPr>
          <w:sz w:val="24"/>
          <w:szCs w:val="24"/>
        </w:rPr>
        <w:t>71168</w:t>
      </w:r>
    </w:p>
    <w:p w14:paraId="3170FCCF" w14:textId="11AED3A1" w:rsidR="002D3416" w:rsidRPr="00032D7E" w:rsidRDefault="002D3416" w:rsidP="00032D7E">
      <w:pPr>
        <w:tabs>
          <w:tab w:val="left" w:pos="1843"/>
        </w:tabs>
        <w:ind w:left="851"/>
        <w:rPr>
          <w:sz w:val="24"/>
          <w:szCs w:val="24"/>
        </w:rPr>
      </w:pPr>
      <w:r w:rsidRPr="00032D7E">
        <w:rPr>
          <w:sz w:val="24"/>
          <w:szCs w:val="24"/>
        </w:rPr>
        <w:t xml:space="preserve">6 mg: </w:t>
      </w:r>
      <w:r w:rsidR="00032D7E" w:rsidRPr="00032D7E">
        <w:rPr>
          <w:sz w:val="24"/>
          <w:szCs w:val="24"/>
        </w:rPr>
        <w:tab/>
      </w:r>
      <w:r w:rsidRPr="006F220B">
        <w:rPr>
          <w:sz w:val="24"/>
          <w:szCs w:val="24"/>
        </w:rPr>
        <w:t>71169</w:t>
      </w:r>
    </w:p>
    <w:p w14:paraId="6B55C05A" w14:textId="7AF984C7" w:rsidR="002D3416" w:rsidRPr="00032D7E" w:rsidRDefault="002D3416" w:rsidP="00032D7E">
      <w:pPr>
        <w:tabs>
          <w:tab w:val="left" w:pos="1843"/>
        </w:tabs>
        <w:ind w:left="851"/>
        <w:rPr>
          <w:sz w:val="24"/>
          <w:szCs w:val="24"/>
        </w:rPr>
      </w:pPr>
      <w:r w:rsidRPr="00032D7E">
        <w:rPr>
          <w:sz w:val="24"/>
          <w:szCs w:val="24"/>
        </w:rPr>
        <w:t xml:space="preserve">8 mg: </w:t>
      </w:r>
      <w:r w:rsidR="00032D7E" w:rsidRPr="00032D7E">
        <w:rPr>
          <w:sz w:val="24"/>
          <w:szCs w:val="24"/>
        </w:rPr>
        <w:tab/>
      </w:r>
      <w:r w:rsidRPr="006F220B">
        <w:rPr>
          <w:sz w:val="24"/>
          <w:szCs w:val="24"/>
        </w:rPr>
        <w:t>71170</w:t>
      </w:r>
    </w:p>
    <w:p w14:paraId="340E3A8C" w14:textId="5167B676" w:rsidR="002D3416" w:rsidRPr="00032D7E" w:rsidRDefault="002D3416" w:rsidP="00032D7E">
      <w:pPr>
        <w:tabs>
          <w:tab w:val="left" w:pos="1843"/>
        </w:tabs>
        <w:ind w:left="851"/>
        <w:rPr>
          <w:sz w:val="24"/>
          <w:szCs w:val="24"/>
        </w:rPr>
      </w:pPr>
      <w:r w:rsidRPr="00032D7E">
        <w:rPr>
          <w:sz w:val="24"/>
          <w:szCs w:val="24"/>
        </w:rPr>
        <w:t xml:space="preserve">10 mg: </w:t>
      </w:r>
      <w:r w:rsidR="00032D7E" w:rsidRPr="00032D7E">
        <w:rPr>
          <w:sz w:val="24"/>
          <w:szCs w:val="24"/>
        </w:rPr>
        <w:tab/>
      </w:r>
      <w:r w:rsidRPr="006F220B">
        <w:rPr>
          <w:sz w:val="24"/>
          <w:szCs w:val="24"/>
        </w:rPr>
        <w:t>71171</w:t>
      </w:r>
    </w:p>
    <w:p w14:paraId="6CC65F01" w14:textId="12CFA390" w:rsidR="007C5D2A" w:rsidRPr="006F220B" w:rsidRDefault="002D3416" w:rsidP="00032D7E">
      <w:pPr>
        <w:tabs>
          <w:tab w:val="left" w:pos="1843"/>
        </w:tabs>
        <w:ind w:left="851"/>
        <w:rPr>
          <w:sz w:val="24"/>
          <w:szCs w:val="24"/>
          <w:lang w:val="en-US"/>
        </w:rPr>
      </w:pPr>
      <w:r w:rsidRPr="006F220B">
        <w:rPr>
          <w:sz w:val="24"/>
          <w:szCs w:val="24"/>
          <w:lang w:val="en-US"/>
        </w:rPr>
        <w:t>12 mg</w:t>
      </w:r>
      <w:proofErr w:type="gramStart"/>
      <w:r w:rsidRPr="006F220B">
        <w:rPr>
          <w:sz w:val="24"/>
          <w:szCs w:val="24"/>
          <w:lang w:val="en-US"/>
        </w:rPr>
        <w:t xml:space="preserve">: </w:t>
      </w:r>
      <w:r w:rsidR="00032D7E" w:rsidRPr="006F220B">
        <w:rPr>
          <w:sz w:val="24"/>
          <w:szCs w:val="24"/>
          <w:lang w:val="en-US"/>
        </w:rPr>
        <w:tab/>
      </w:r>
      <w:r w:rsidRPr="00032D7E">
        <w:rPr>
          <w:sz w:val="24"/>
          <w:szCs w:val="24"/>
          <w:lang w:val="en-US"/>
        </w:rPr>
        <w:t>71172</w:t>
      </w:r>
      <w:proofErr w:type="gramEnd"/>
    </w:p>
    <w:p w14:paraId="11379CAE" w14:textId="0FF1294E" w:rsidR="00FE0AD1" w:rsidRPr="006F220B" w:rsidRDefault="00FE0AD1">
      <w:pPr>
        <w:rPr>
          <w:sz w:val="24"/>
          <w:szCs w:val="24"/>
          <w:lang w:val="en-US"/>
        </w:rPr>
      </w:pPr>
      <w:r w:rsidRPr="006F220B">
        <w:rPr>
          <w:sz w:val="24"/>
          <w:szCs w:val="24"/>
          <w:lang w:val="en-US"/>
        </w:rPr>
        <w:br w:type="page"/>
      </w:r>
    </w:p>
    <w:p w14:paraId="31CA4B83" w14:textId="77777777" w:rsidR="007C5D2A" w:rsidRPr="006F220B" w:rsidRDefault="007C5D2A" w:rsidP="00180A12">
      <w:pPr>
        <w:tabs>
          <w:tab w:val="left" w:pos="851"/>
        </w:tabs>
        <w:ind w:left="851"/>
        <w:jc w:val="both"/>
        <w:rPr>
          <w:sz w:val="24"/>
          <w:szCs w:val="24"/>
          <w:lang w:val="en-US"/>
        </w:rPr>
      </w:pPr>
    </w:p>
    <w:p w14:paraId="1D8287AB" w14:textId="77777777" w:rsidR="007C5D2A" w:rsidRPr="00032D7E" w:rsidRDefault="007C5D2A" w:rsidP="007C5D2A">
      <w:pPr>
        <w:tabs>
          <w:tab w:val="left" w:pos="851"/>
        </w:tabs>
        <w:jc w:val="both"/>
        <w:rPr>
          <w:sz w:val="24"/>
          <w:szCs w:val="24"/>
          <w:lang w:val="en-GB"/>
        </w:rPr>
      </w:pPr>
      <w:r w:rsidRPr="00032D7E">
        <w:rPr>
          <w:b/>
          <w:sz w:val="24"/>
          <w:szCs w:val="24"/>
          <w:lang w:val="en-GB"/>
        </w:rPr>
        <w:t>9.</w:t>
      </w:r>
      <w:r w:rsidRPr="00032D7E">
        <w:rPr>
          <w:b/>
          <w:sz w:val="24"/>
          <w:szCs w:val="24"/>
          <w:lang w:val="en-GB"/>
        </w:rPr>
        <w:tab/>
        <w:t>DATE OF FIRST AUTHORISATION</w:t>
      </w:r>
    </w:p>
    <w:p w14:paraId="339B7766" w14:textId="155DCC67" w:rsidR="007C5D2A" w:rsidRPr="00032D7E" w:rsidRDefault="000E6698" w:rsidP="00A85D26">
      <w:pPr>
        <w:ind w:left="851"/>
        <w:jc w:val="both"/>
        <w:rPr>
          <w:sz w:val="24"/>
          <w:szCs w:val="24"/>
          <w:lang w:val="en-GB"/>
        </w:rPr>
      </w:pPr>
      <w:r>
        <w:rPr>
          <w:sz w:val="24"/>
          <w:szCs w:val="24"/>
          <w:lang w:val="en-GB"/>
        </w:rPr>
        <w:t>24 March 2026</w:t>
      </w:r>
    </w:p>
    <w:p w14:paraId="6E405A72" w14:textId="77777777" w:rsidR="007C5D2A" w:rsidRPr="00032D7E" w:rsidRDefault="007C5D2A" w:rsidP="003E0341">
      <w:pPr>
        <w:tabs>
          <w:tab w:val="left" w:pos="851"/>
        </w:tabs>
        <w:ind w:left="851"/>
        <w:jc w:val="both"/>
        <w:rPr>
          <w:sz w:val="24"/>
          <w:szCs w:val="24"/>
          <w:lang w:val="en-GB"/>
        </w:rPr>
      </w:pPr>
    </w:p>
    <w:p w14:paraId="35DAB1D0" w14:textId="77777777" w:rsidR="007C5D2A" w:rsidRPr="00032D7E" w:rsidRDefault="007C5D2A" w:rsidP="007C5D2A">
      <w:pPr>
        <w:tabs>
          <w:tab w:val="left" w:pos="851"/>
        </w:tabs>
        <w:jc w:val="both"/>
        <w:rPr>
          <w:sz w:val="24"/>
          <w:szCs w:val="24"/>
          <w:lang w:val="en-GB"/>
        </w:rPr>
      </w:pPr>
      <w:r w:rsidRPr="00032D7E">
        <w:rPr>
          <w:b/>
          <w:sz w:val="24"/>
          <w:szCs w:val="24"/>
          <w:lang w:val="en-GB"/>
        </w:rPr>
        <w:t>10.</w:t>
      </w:r>
      <w:r w:rsidRPr="00032D7E">
        <w:rPr>
          <w:b/>
          <w:sz w:val="24"/>
          <w:szCs w:val="24"/>
          <w:lang w:val="en-GB"/>
        </w:rPr>
        <w:tab/>
        <w:t>DATE OF REVISION OF THE TEXT</w:t>
      </w:r>
    </w:p>
    <w:p w14:paraId="21E44FB5" w14:textId="1A75CDB7" w:rsidR="007C5D2A" w:rsidRPr="00032D7E" w:rsidRDefault="002D3416" w:rsidP="003E0341">
      <w:pPr>
        <w:tabs>
          <w:tab w:val="left" w:pos="851"/>
        </w:tabs>
        <w:ind w:left="851"/>
        <w:jc w:val="both"/>
        <w:rPr>
          <w:sz w:val="24"/>
          <w:szCs w:val="24"/>
          <w:lang w:val="en-GB"/>
        </w:rPr>
      </w:pPr>
      <w:r w:rsidRPr="00032D7E">
        <w:rPr>
          <w:sz w:val="24"/>
          <w:szCs w:val="24"/>
          <w:lang w:val="en-GB"/>
        </w:rPr>
        <w:t>-</w:t>
      </w:r>
    </w:p>
    <w:sectPr w:rsidR="007C5D2A" w:rsidRPr="00032D7E" w:rsidSect="004A3BF4">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C022C" w14:textId="77777777" w:rsidR="00C37EA4" w:rsidRDefault="00C37EA4">
      <w:r>
        <w:separator/>
      </w:r>
    </w:p>
  </w:endnote>
  <w:endnote w:type="continuationSeparator" w:id="0">
    <w:p w14:paraId="4727BC63" w14:textId="77777777" w:rsidR="00C37EA4" w:rsidRDefault="00C37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EC63" w14:textId="77777777" w:rsidR="00AC033C" w:rsidRDefault="00AC033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E039D" w14:textId="77777777" w:rsidR="00864538" w:rsidRDefault="00864538">
    <w:pPr>
      <w:pStyle w:val="Sidefod"/>
      <w:pBdr>
        <w:bottom w:val="single" w:sz="6" w:space="1" w:color="auto"/>
      </w:pBdr>
    </w:pPr>
  </w:p>
  <w:p w14:paraId="03AD55B6" w14:textId="77777777" w:rsidR="00864538" w:rsidRDefault="00864538">
    <w:pPr>
      <w:pStyle w:val="Sidefod"/>
      <w:tabs>
        <w:tab w:val="clear" w:pos="4819"/>
        <w:tab w:val="left" w:pos="8647"/>
      </w:tabs>
      <w:rPr>
        <w:i/>
        <w:snapToGrid w:val="0"/>
        <w:sz w:val="18"/>
      </w:rPr>
    </w:pPr>
  </w:p>
  <w:p w14:paraId="2BBDD905" w14:textId="43C8EEC0" w:rsidR="00864538" w:rsidRDefault="00E36A80" w:rsidP="00AC033C">
    <w:pPr>
      <w:pStyle w:val="Sidefod"/>
      <w:tabs>
        <w:tab w:val="clear" w:pos="4819"/>
        <w:tab w:val="left" w:pos="8364"/>
      </w:tabs>
      <w:rPr>
        <w:i/>
        <w:sz w:val="18"/>
      </w:rPr>
    </w:pPr>
    <w:r>
      <w:rPr>
        <w:i/>
        <w:snapToGrid w:val="0"/>
        <w:sz w:val="18"/>
      </w:rPr>
      <w:fldChar w:fldCharType="begin"/>
    </w:r>
    <w:r w:rsidR="00864538">
      <w:rPr>
        <w:i/>
        <w:snapToGrid w:val="0"/>
        <w:sz w:val="18"/>
      </w:rPr>
      <w:instrText xml:space="preserve"> FILENAME </w:instrText>
    </w:r>
    <w:r>
      <w:rPr>
        <w:i/>
        <w:snapToGrid w:val="0"/>
        <w:sz w:val="18"/>
      </w:rPr>
      <w:fldChar w:fldCharType="separate"/>
    </w:r>
    <w:r w:rsidR="00FE0AD1">
      <w:rPr>
        <w:i/>
        <w:noProof/>
        <w:snapToGrid w:val="0"/>
        <w:sz w:val="18"/>
      </w:rPr>
      <w:t>Perampanel Vivanta Generics, filmovertrukne tabletter 2 mg, 4 mg, 6 mg, 8 mg, 10 mg og 12 mg.docx</w:t>
    </w:r>
    <w:r>
      <w:rPr>
        <w:i/>
        <w:snapToGrid w:val="0"/>
        <w:sz w:val="18"/>
      </w:rPr>
      <w:fldChar w:fldCharType="end"/>
    </w:r>
    <w:r w:rsidR="00864538">
      <w:rPr>
        <w:i/>
        <w:snapToGrid w:val="0"/>
        <w:sz w:val="18"/>
      </w:rPr>
      <w:tab/>
      <w:t xml:space="preserve">Page </w:t>
    </w:r>
    <w:r>
      <w:rPr>
        <w:i/>
        <w:snapToGrid w:val="0"/>
        <w:sz w:val="18"/>
      </w:rPr>
      <w:fldChar w:fldCharType="begin"/>
    </w:r>
    <w:r w:rsidR="00864538">
      <w:rPr>
        <w:i/>
        <w:snapToGrid w:val="0"/>
        <w:sz w:val="18"/>
      </w:rPr>
      <w:instrText xml:space="preserve"> PAGE </w:instrText>
    </w:r>
    <w:r>
      <w:rPr>
        <w:i/>
        <w:snapToGrid w:val="0"/>
        <w:sz w:val="18"/>
      </w:rPr>
      <w:fldChar w:fldCharType="separate"/>
    </w:r>
    <w:r w:rsidR="00AC033C">
      <w:rPr>
        <w:i/>
        <w:noProof/>
        <w:snapToGrid w:val="0"/>
        <w:sz w:val="18"/>
      </w:rPr>
      <w:t>1</w:t>
    </w:r>
    <w:r>
      <w:rPr>
        <w:i/>
        <w:snapToGrid w:val="0"/>
        <w:sz w:val="18"/>
      </w:rPr>
      <w:fldChar w:fldCharType="end"/>
    </w:r>
    <w:r w:rsidR="00864538">
      <w:rPr>
        <w:i/>
        <w:snapToGrid w:val="0"/>
        <w:sz w:val="18"/>
      </w:rPr>
      <w:t xml:space="preserve"> of </w:t>
    </w:r>
    <w:r>
      <w:rPr>
        <w:i/>
        <w:snapToGrid w:val="0"/>
        <w:sz w:val="18"/>
      </w:rPr>
      <w:fldChar w:fldCharType="begin"/>
    </w:r>
    <w:r w:rsidR="00864538">
      <w:rPr>
        <w:i/>
        <w:snapToGrid w:val="0"/>
        <w:sz w:val="18"/>
      </w:rPr>
      <w:instrText xml:space="preserve"> NUMPAGES </w:instrText>
    </w:r>
    <w:r>
      <w:rPr>
        <w:i/>
        <w:snapToGrid w:val="0"/>
        <w:sz w:val="18"/>
      </w:rPr>
      <w:fldChar w:fldCharType="separate"/>
    </w:r>
    <w:r w:rsidR="00AC033C">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5420C" w14:textId="77777777" w:rsidR="00864538" w:rsidRDefault="00864538">
    <w:pPr>
      <w:pStyle w:val="Sidefod"/>
      <w:pBdr>
        <w:bottom w:val="single" w:sz="6" w:space="1" w:color="auto"/>
      </w:pBdr>
      <w:tabs>
        <w:tab w:val="clear" w:pos="4819"/>
        <w:tab w:val="left" w:pos="8789"/>
      </w:tabs>
      <w:rPr>
        <w:i/>
        <w:snapToGrid w:val="0"/>
        <w:sz w:val="18"/>
      </w:rPr>
    </w:pPr>
  </w:p>
  <w:p w14:paraId="039376B1" w14:textId="77777777" w:rsidR="00864538" w:rsidRDefault="00864538">
    <w:pPr>
      <w:pStyle w:val="Sidefod"/>
      <w:tabs>
        <w:tab w:val="clear" w:pos="4819"/>
        <w:tab w:val="left" w:pos="8789"/>
      </w:tabs>
      <w:rPr>
        <w:i/>
        <w:snapToGrid w:val="0"/>
        <w:sz w:val="18"/>
      </w:rPr>
    </w:pPr>
  </w:p>
  <w:p w14:paraId="4B3D1DD8" w14:textId="4843FFD0" w:rsidR="00864538" w:rsidRDefault="00E36A80">
    <w:pPr>
      <w:pStyle w:val="Sidefod"/>
      <w:tabs>
        <w:tab w:val="clear" w:pos="4819"/>
        <w:tab w:val="left" w:pos="8647"/>
      </w:tabs>
      <w:rPr>
        <w:i/>
        <w:sz w:val="18"/>
      </w:rPr>
    </w:pPr>
    <w:r>
      <w:rPr>
        <w:i/>
        <w:snapToGrid w:val="0"/>
        <w:sz w:val="18"/>
      </w:rPr>
      <w:fldChar w:fldCharType="begin"/>
    </w:r>
    <w:r w:rsidR="00864538">
      <w:rPr>
        <w:i/>
        <w:snapToGrid w:val="0"/>
        <w:sz w:val="18"/>
      </w:rPr>
      <w:instrText xml:space="preserve"> FILENAME </w:instrText>
    </w:r>
    <w:r>
      <w:rPr>
        <w:i/>
        <w:snapToGrid w:val="0"/>
        <w:sz w:val="18"/>
      </w:rPr>
      <w:fldChar w:fldCharType="separate"/>
    </w:r>
    <w:r w:rsidR="00FE0AD1">
      <w:rPr>
        <w:i/>
        <w:noProof/>
        <w:snapToGrid w:val="0"/>
        <w:sz w:val="18"/>
      </w:rPr>
      <w:t>Perampanel Vivanta Generics, filmovertrukne tabletter 2 mg, 4 mg, 6 mg, 8 mg, 10 mg og 12 mg.docx</w:t>
    </w:r>
    <w:r>
      <w:rPr>
        <w:i/>
        <w:snapToGrid w:val="0"/>
        <w:sz w:val="18"/>
      </w:rPr>
      <w:fldChar w:fldCharType="end"/>
    </w:r>
    <w:r w:rsidR="00864538">
      <w:rPr>
        <w:i/>
        <w:snapToGrid w:val="0"/>
        <w:sz w:val="18"/>
      </w:rPr>
      <w:tab/>
      <w:t xml:space="preserve">Page </w:t>
    </w:r>
    <w:r>
      <w:rPr>
        <w:i/>
        <w:snapToGrid w:val="0"/>
        <w:sz w:val="18"/>
      </w:rPr>
      <w:fldChar w:fldCharType="begin"/>
    </w:r>
    <w:r w:rsidR="00864538">
      <w:rPr>
        <w:i/>
        <w:snapToGrid w:val="0"/>
        <w:sz w:val="18"/>
      </w:rPr>
      <w:instrText xml:space="preserve"> PAGE </w:instrText>
    </w:r>
    <w:r>
      <w:rPr>
        <w:i/>
        <w:snapToGrid w:val="0"/>
        <w:sz w:val="18"/>
      </w:rPr>
      <w:fldChar w:fldCharType="separate"/>
    </w:r>
    <w:r w:rsidR="00D97B77">
      <w:rPr>
        <w:i/>
        <w:noProof/>
        <w:snapToGrid w:val="0"/>
        <w:sz w:val="18"/>
      </w:rPr>
      <w:t>1</w:t>
    </w:r>
    <w:r>
      <w:rPr>
        <w:i/>
        <w:snapToGrid w:val="0"/>
        <w:sz w:val="18"/>
      </w:rPr>
      <w:fldChar w:fldCharType="end"/>
    </w:r>
    <w:r w:rsidR="00864538">
      <w:rPr>
        <w:i/>
        <w:snapToGrid w:val="0"/>
        <w:sz w:val="18"/>
      </w:rPr>
      <w:t xml:space="preserve"> of </w:t>
    </w:r>
    <w:r>
      <w:rPr>
        <w:i/>
        <w:snapToGrid w:val="0"/>
        <w:sz w:val="18"/>
      </w:rPr>
      <w:fldChar w:fldCharType="begin"/>
    </w:r>
    <w:r w:rsidR="00864538">
      <w:rPr>
        <w:i/>
        <w:snapToGrid w:val="0"/>
        <w:sz w:val="18"/>
      </w:rPr>
      <w:instrText xml:space="preserve"> NUMPAGES </w:instrText>
    </w:r>
    <w:r>
      <w:rPr>
        <w:i/>
        <w:snapToGrid w:val="0"/>
        <w:sz w:val="18"/>
      </w:rPr>
      <w:fldChar w:fldCharType="separate"/>
    </w:r>
    <w:r w:rsidR="00E1290F">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82E7C" w14:textId="77777777" w:rsidR="00C37EA4" w:rsidRDefault="00C37EA4">
      <w:r>
        <w:separator/>
      </w:r>
    </w:p>
  </w:footnote>
  <w:footnote w:type="continuationSeparator" w:id="0">
    <w:p w14:paraId="087057DE" w14:textId="77777777" w:rsidR="00C37EA4" w:rsidRDefault="00C37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72A1E" w14:textId="77777777" w:rsidR="00AC033C" w:rsidRDefault="00AC033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6600" w14:textId="77777777" w:rsidR="00864538" w:rsidRDefault="000D3C9D">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8B683" w14:textId="77777777" w:rsidR="00AC033C" w:rsidRDefault="00AC033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F102C79"/>
    <w:multiLevelType w:val="hybridMultilevel"/>
    <w:tmpl w:val="ABCC53F4"/>
    <w:lvl w:ilvl="0" w:tplc="11820BD4">
      <w:start w:val="1"/>
      <w:numFmt w:val="bullet"/>
      <w:lvlText w:val="-"/>
      <w:lvlJc w:val="left"/>
      <w:pPr>
        <w:ind w:left="1571" w:hanging="360"/>
      </w:pPr>
      <w:rPr>
        <w:rFonts w:ascii="Times New Roman" w:eastAsia="Times New Roman" w:hAnsi="Times New Roman" w:cs="Times New Roman" w:hint="default"/>
        <w:w w:val="99"/>
        <w:sz w:val="22"/>
        <w:szCs w:val="22"/>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 w15:restartNumberingAfterBreak="0">
    <w:nsid w:val="3888720A"/>
    <w:multiLevelType w:val="hybridMultilevel"/>
    <w:tmpl w:val="8068B340"/>
    <w:lvl w:ilvl="0" w:tplc="11820BD4">
      <w:start w:val="1"/>
      <w:numFmt w:val="bullet"/>
      <w:lvlText w:val="-"/>
      <w:lvlJc w:val="left"/>
      <w:pPr>
        <w:ind w:left="685" w:hanging="568"/>
      </w:pPr>
      <w:rPr>
        <w:rFonts w:ascii="Times New Roman" w:eastAsia="Times New Roman" w:hAnsi="Times New Roman" w:cs="Times New Roman" w:hint="default"/>
        <w:w w:val="99"/>
        <w:sz w:val="22"/>
        <w:szCs w:val="22"/>
      </w:rPr>
    </w:lvl>
    <w:lvl w:ilvl="1" w:tplc="038C9124">
      <w:start w:val="1"/>
      <w:numFmt w:val="bullet"/>
      <w:lvlText w:val="•"/>
      <w:lvlJc w:val="left"/>
      <w:pPr>
        <w:ind w:left="1542" w:hanging="568"/>
      </w:pPr>
    </w:lvl>
    <w:lvl w:ilvl="2" w:tplc="99E685E2">
      <w:start w:val="1"/>
      <w:numFmt w:val="bullet"/>
      <w:lvlText w:val="•"/>
      <w:lvlJc w:val="left"/>
      <w:pPr>
        <w:ind w:left="2405" w:hanging="568"/>
      </w:pPr>
    </w:lvl>
    <w:lvl w:ilvl="3" w:tplc="D0F00062">
      <w:start w:val="1"/>
      <w:numFmt w:val="bullet"/>
      <w:lvlText w:val="•"/>
      <w:lvlJc w:val="left"/>
      <w:pPr>
        <w:ind w:left="3268" w:hanging="568"/>
      </w:pPr>
    </w:lvl>
    <w:lvl w:ilvl="4" w:tplc="15E41968">
      <w:start w:val="1"/>
      <w:numFmt w:val="bullet"/>
      <w:lvlText w:val="•"/>
      <w:lvlJc w:val="left"/>
      <w:pPr>
        <w:ind w:left="4131" w:hanging="568"/>
      </w:pPr>
    </w:lvl>
    <w:lvl w:ilvl="5" w:tplc="2596654C">
      <w:start w:val="1"/>
      <w:numFmt w:val="bullet"/>
      <w:lvlText w:val="•"/>
      <w:lvlJc w:val="left"/>
      <w:pPr>
        <w:ind w:left="4993" w:hanging="568"/>
      </w:pPr>
    </w:lvl>
    <w:lvl w:ilvl="6" w:tplc="8A32429E">
      <w:start w:val="1"/>
      <w:numFmt w:val="bullet"/>
      <w:lvlText w:val="•"/>
      <w:lvlJc w:val="left"/>
      <w:pPr>
        <w:ind w:left="5856" w:hanging="568"/>
      </w:pPr>
    </w:lvl>
    <w:lvl w:ilvl="7" w:tplc="32D8DA7C">
      <w:start w:val="1"/>
      <w:numFmt w:val="bullet"/>
      <w:lvlText w:val="•"/>
      <w:lvlJc w:val="left"/>
      <w:pPr>
        <w:ind w:left="6719" w:hanging="568"/>
      </w:pPr>
    </w:lvl>
    <w:lvl w:ilvl="8" w:tplc="63B8EBFC">
      <w:start w:val="1"/>
      <w:numFmt w:val="bullet"/>
      <w:lvlText w:val="•"/>
      <w:lvlJc w:val="left"/>
      <w:pPr>
        <w:ind w:left="7582" w:hanging="568"/>
      </w:pPr>
    </w:lvl>
  </w:abstractNum>
  <w:abstractNum w:abstractNumId="5"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num w:numId="1" w16cid:durableId="57287092">
    <w:abstractNumId w:val="2"/>
  </w:num>
  <w:num w:numId="2" w16cid:durableId="564142429">
    <w:abstractNumId w:val="0"/>
  </w:num>
  <w:num w:numId="3" w16cid:durableId="2056856532">
    <w:abstractNumId w:val="5"/>
  </w:num>
  <w:num w:numId="4" w16cid:durableId="1208298318">
    <w:abstractNumId w:val="1"/>
  </w:num>
  <w:num w:numId="5" w16cid:durableId="725756799">
    <w:abstractNumId w:val="4"/>
  </w:num>
  <w:num w:numId="6" w16cid:durableId="1580794995">
    <w:abstractNumId w:val="4"/>
  </w:num>
  <w:num w:numId="7" w16cid:durableId="213202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EA4"/>
    <w:rsid w:val="00032D7E"/>
    <w:rsid w:val="00056601"/>
    <w:rsid w:val="000C3846"/>
    <w:rsid w:val="000C6218"/>
    <w:rsid w:val="000D3C9D"/>
    <w:rsid w:val="000E6698"/>
    <w:rsid w:val="000F0D47"/>
    <w:rsid w:val="001242DE"/>
    <w:rsid w:val="00141F3E"/>
    <w:rsid w:val="00180A12"/>
    <w:rsid w:val="001B4144"/>
    <w:rsid w:val="00214331"/>
    <w:rsid w:val="00214CF4"/>
    <w:rsid w:val="00281F03"/>
    <w:rsid w:val="0029458A"/>
    <w:rsid w:val="002A1587"/>
    <w:rsid w:val="002B27C5"/>
    <w:rsid w:val="002D3416"/>
    <w:rsid w:val="002F6D9C"/>
    <w:rsid w:val="00303008"/>
    <w:rsid w:val="00373B55"/>
    <w:rsid w:val="003C1B3B"/>
    <w:rsid w:val="003D727E"/>
    <w:rsid w:val="003E0341"/>
    <w:rsid w:val="003E3402"/>
    <w:rsid w:val="003F4736"/>
    <w:rsid w:val="00401B49"/>
    <w:rsid w:val="0042292D"/>
    <w:rsid w:val="00437D5B"/>
    <w:rsid w:val="00440254"/>
    <w:rsid w:val="004860D3"/>
    <w:rsid w:val="004A3BF4"/>
    <w:rsid w:val="004A5DB3"/>
    <w:rsid w:val="005152D9"/>
    <w:rsid w:val="00533AD4"/>
    <w:rsid w:val="00534849"/>
    <w:rsid w:val="00560102"/>
    <w:rsid w:val="00562EA1"/>
    <w:rsid w:val="005A498B"/>
    <w:rsid w:val="00617BB8"/>
    <w:rsid w:val="006207FF"/>
    <w:rsid w:val="00680052"/>
    <w:rsid w:val="00683267"/>
    <w:rsid w:val="006844E9"/>
    <w:rsid w:val="006B3847"/>
    <w:rsid w:val="006F220B"/>
    <w:rsid w:val="0075453D"/>
    <w:rsid w:val="007A4CC6"/>
    <w:rsid w:val="007C3623"/>
    <w:rsid w:val="007C5D2A"/>
    <w:rsid w:val="007F1E00"/>
    <w:rsid w:val="00827444"/>
    <w:rsid w:val="008400E3"/>
    <w:rsid w:val="00864538"/>
    <w:rsid w:val="00873B4F"/>
    <w:rsid w:val="00896A75"/>
    <w:rsid w:val="008A24F6"/>
    <w:rsid w:val="008E51AE"/>
    <w:rsid w:val="008F2F8C"/>
    <w:rsid w:val="009007B4"/>
    <w:rsid w:val="009925C9"/>
    <w:rsid w:val="00A179D0"/>
    <w:rsid w:val="00A358A3"/>
    <w:rsid w:val="00A46747"/>
    <w:rsid w:val="00A80446"/>
    <w:rsid w:val="00A85D26"/>
    <w:rsid w:val="00A9153A"/>
    <w:rsid w:val="00AB4376"/>
    <w:rsid w:val="00AC033C"/>
    <w:rsid w:val="00AD2E36"/>
    <w:rsid w:val="00AD7FCA"/>
    <w:rsid w:val="00B45DC5"/>
    <w:rsid w:val="00B548F4"/>
    <w:rsid w:val="00BD3490"/>
    <w:rsid w:val="00C26226"/>
    <w:rsid w:val="00C3571D"/>
    <w:rsid w:val="00C37EA4"/>
    <w:rsid w:val="00C54F0B"/>
    <w:rsid w:val="00C82621"/>
    <w:rsid w:val="00CB1423"/>
    <w:rsid w:val="00D02508"/>
    <w:rsid w:val="00D778CC"/>
    <w:rsid w:val="00D82FE9"/>
    <w:rsid w:val="00D97B77"/>
    <w:rsid w:val="00DB6A85"/>
    <w:rsid w:val="00E06B32"/>
    <w:rsid w:val="00E1290F"/>
    <w:rsid w:val="00E36A80"/>
    <w:rsid w:val="00E575A9"/>
    <w:rsid w:val="00EB21D7"/>
    <w:rsid w:val="00EE3EB7"/>
    <w:rsid w:val="00F57E16"/>
    <w:rsid w:val="00F60336"/>
    <w:rsid w:val="00FA3EAA"/>
    <w:rsid w:val="00FD652E"/>
    <w:rsid w:val="00FE0AD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A050C"/>
  <w15:chartTrackingRefBased/>
  <w15:docId w15:val="{5F1CDCD3-009F-4B9A-ABC4-03975F870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B55"/>
    <w:rPr>
      <w:sz w:val="23"/>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rsid w:val="00373B55"/>
    <w:pPr>
      <w:tabs>
        <w:tab w:val="center" w:pos="4819"/>
        <w:tab w:val="right" w:pos="9638"/>
      </w:tabs>
    </w:pPr>
    <w:rPr>
      <w:sz w:val="24"/>
    </w:rPr>
  </w:style>
  <w:style w:type="paragraph" w:styleId="Sidefod">
    <w:name w:val="footer"/>
    <w:basedOn w:val="Normal"/>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semiHidden/>
    <w:rsid w:val="00873B4F"/>
  </w:style>
  <w:style w:type="character" w:customStyle="1" w:styleId="KommentaremneTegn">
    <w:name w:val="Kommentaremne Tegn"/>
    <w:basedOn w:val="KommentartekstTegn"/>
    <w:link w:val="Kommentaremne"/>
    <w:uiPriority w:val="99"/>
    <w:semiHidden/>
    <w:rsid w:val="00873B4F"/>
    <w:rPr>
      <w:b/>
      <w:bCs/>
    </w:rPr>
  </w:style>
  <w:style w:type="paragraph" w:styleId="Listeafsnit">
    <w:name w:val="List Paragraph"/>
    <w:basedOn w:val="Normal"/>
    <w:uiPriority w:val="34"/>
    <w:qFormat/>
    <w:rsid w:val="00032D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9785">
      <w:bodyDiv w:val="1"/>
      <w:marLeft w:val="0"/>
      <w:marRight w:val="0"/>
      <w:marTop w:val="0"/>
      <w:marBottom w:val="0"/>
      <w:divBdr>
        <w:top w:val="none" w:sz="0" w:space="0" w:color="auto"/>
        <w:left w:val="none" w:sz="0" w:space="0" w:color="auto"/>
        <w:bottom w:val="none" w:sz="0" w:space="0" w:color="auto"/>
        <w:right w:val="none" w:sz="0" w:space="0" w:color="auto"/>
      </w:divBdr>
    </w:div>
    <w:div w:id="130445559">
      <w:bodyDiv w:val="1"/>
      <w:marLeft w:val="0"/>
      <w:marRight w:val="0"/>
      <w:marTop w:val="0"/>
      <w:marBottom w:val="0"/>
      <w:divBdr>
        <w:top w:val="none" w:sz="0" w:space="0" w:color="auto"/>
        <w:left w:val="none" w:sz="0" w:space="0" w:color="auto"/>
        <w:bottom w:val="none" w:sz="0" w:space="0" w:color="auto"/>
        <w:right w:val="none" w:sz="0" w:space="0" w:color="auto"/>
      </w:divBdr>
    </w:div>
    <w:div w:id="279997521">
      <w:bodyDiv w:val="1"/>
      <w:marLeft w:val="0"/>
      <w:marRight w:val="0"/>
      <w:marTop w:val="0"/>
      <w:marBottom w:val="0"/>
      <w:divBdr>
        <w:top w:val="none" w:sz="0" w:space="0" w:color="auto"/>
        <w:left w:val="none" w:sz="0" w:space="0" w:color="auto"/>
        <w:bottom w:val="none" w:sz="0" w:space="0" w:color="auto"/>
        <w:right w:val="none" w:sz="0" w:space="0" w:color="auto"/>
      </w:divBdr>
    </w:div>
    <w:div w:id="296298803">
      <w:bodyDiv w:val="1"/>
      <w:marLeft w:val="0"/>
      <w:marRight w:val="0"/>
      <w:marTop w:val="0"/>
      <w:marBottom w:val="0"/>
      <w:divBdr>
        <w:top w:val="none" w:sz="0" w:space="0" w:color="auto"/>
        <w:left w:val="none" w:sz="0" w:space="0" w:color="auto"/>
        <w:bottom w:val="none" w:sz="0" w:space="0" w:color="auto"/>
        <w:right w:val="none" w:sz="0" w:space="0" w:color="auto"/>
      </w:divBdr>
    </w:div>
    <w:div w:id="432869157">
      <w:bodyDiv w:val="1"/>
      <w:marLeft w:val="0"/>
      <w:marRight w:val="0"/>
      <w:marTop w:val="0"/>
      <w:marBottom w:val="0"/>
      <w:divBdr>
        <w:top w:val="none" w:sz="0" w:space="0" w:color="auto"/>
        <w:left w:val="none" w:sz="0" w:space="0" w:color="auto"/>
        <w:bottom w:val="none" w:sz="0" w:space="0" w:color="auto"/>
        <w:right w:val="none" w:sz="0" w:space="0" w:color="auto"/>
      </w:divBdr>
    </w:div>
    <w:div w:id="458495903">
      <w:bodyDiv w:val="1"/>
      <w:marLeft w:val="0"/>
      <w:marRight w:val="0"/>
      <w:marTop w:val="0"/>
      <w:marBottom w:val="0"/>
      <w:divBdr>
        <w:top w:val="none" w:sz="0" w:space="0" w:color="auto"/>
        <w:left w:val="none" w:sz="0" w:space="0" w:color="auto"/>
        <w:bottom w:val="none" w:sz="0" w:space="0" w:color="auto"/>
        <w:right w:val="none" w:sz="0" w:space="0" w:color="auto"/>
      </w:divBdr>
    </w:div>
    <w:div w:id="559286793">
      <w:bodyDiv w:val="1"/>
      <w:marLeft w:val="0"/>
      <w:marRight w:val="0"/>
      <w:marTop w:val="0"/>
      <w:marBottom w:val="0"/>
      <w:divBdr>
        <w:top w:val="none" w:sz="0" w:space="0" w:color="auto"/>
        <w:left w:val="none" w:sz="0" w:space="0" w:color="auto"/>
        <w:bottom w:val="none" w:sz="0" w:space="0" w:color="auto"/>
        <w:right w:val="none" w:sz="0" w:space="0" w:color="auto"/>
      </w:divBdr>
    </w:div>
    <w:div w:id="632440565">
      <w:bodyDiv w:val="1"/>
      <w:marLeft w:val="0"/>
      <w:marRight w:val="0"/>
      <w:marTop w:val="0"/>
      <w:marBottom w:val="0"/>
      <w:divBdr>
        <w:top w:val="none" w:sz="0" w:space="0" w:color="auto"/>
        <w:left w:val="none" w:sz="0" w:space="0" w:color="auto"/>
        <w:bottom w:val="none" w:sz="0" w:space="0" w:color="auto"/>
        <w:right w:val="none" w:sz="0" w:space="0" w:color="auto"/>
      </w:divBdr>
    </w:div>
    <w:div w:id="646134432">
      <w:bodyDiv w:val="1"/>
      <w:marLeft w:val="0"/>
      <w:marRight w:val="0"/>
      <w:marTop w:val="0"/>
      <w:marBottom w:val="0"/>
      <w:divBdr>
        <w:top w:val="none" w:sz="0" w:space="0" w:color="auto"/>
        <w:left w:val="none" w:sz="0" w:space="0" w:color="auto"/>
        <w:bottom w:val="none" w:sz="0" w:space="0" w:color="auto"/>
        <w:right w:val="none" w:sz="0" w:space="0" w:color="auto"/>
      </w:divBdr>
    </w:div>
    <w:div w:id="722172801">
      <w:bodyDiv w:val="1"/>
      <w:marLeft w:val="0"/>
      <w:marRight w:val="0"/>
      <w:marTop w:val="0"/>
      <w:marBottom w:val="0"/>
      <w:divBdr>
        <w:top w:val="none" w:sz="0" w:space="0" w:color="auto"/>
        <w:left w:val="none" w:sz="0" w:space="0" w:color="auto"/>
        <w:bottom w:val="none" w:sz="0" w:space="0" w:color="auto"/>
        <w:right w:val="none" w:sz="0" w:space="0" w:color="auto"/>
      </w:divBdr>
    </w:div>
    <w:div w:id="766003318">
      <w:bodyDiv w:val="1"/>
      <w:marLeft w:val="0"/>
      <w:marRight w:val="0"/>
      <w:marTop w:val="0"/>
      <w:marBottom w:val="0"/>
      <w:divBdr>
        <w:top w:val="none" w:sz="0" w:space="0" w:color="auto"/>
        <w:left w:val="none" w:sz="0" w:space="0" w:color="auto"/>
        <w:bottom w:val="none" w:sz="0" w:space="0" w:color="auto"/>
        <w:right w:val="none" w:sz="0" w:space="0" w:color="auto"/>
      </w:divBdr>
    </w:div>
    <w:div w:id="790366348">
      <w:bodyDiv w:val="1"/>
      <w:marLeft w:val="0"/>
      <w:marRight w:val="0"/>
      <w:marTop w:val="0"/>
      <w:marBottom w:val="0"/>
      <w:divBdr>
        <w:top w:val="none" w:sz="0" w:space="0" w:color="auto"/>
        <w:left w:val="none" w:sz="0" w:space="0" w:color="auto"/>
        <w:bottom w:val="none" w:sz="0" w:space="0" w:color="auto"/>
        <w:right w:val="none" w:sz="0" w:space="0" w:color="auto"/>
      </w:divBdr>
    </w:div>
    <w:div w:id="845288286">
      <w:bodyDiv w:val="1"/>
      <w:marLeft w:val="0"/>
      <w:marRight w:val="0"/>
      <w:marTop w:val="0"/>
      <w:marBottom w:val="0"/>
      <w:divBdr>
        <w:top w:val="none" w:sz="0" w:space="0" w:color="auto"/>
        <w:left w:val="none" w:sz="0" w:space="0" w:color="auto"/>
        <w:bottom w:val="none" w:sz="0" w:space="0" w:color="auto"/>
        <w:right w:val="none" w:sz="0" w:space="0" w:color="auto"/>
      </w:divBdr>
    </w:div>
    <w:div w:id="951009473">
      <w:bodyDiv w:val="1"/>
      <w:marLeft w:val="0"/>
      <w:marRight w:val="0"/>
      <w:marTop w:val="0"/>
      <w:marBottom w:val="0"/>
      <w:divBdr>
        <w:top w:val="none" w:sz="0" w:space="0" w:color="auto"/>
        <w:left w:val="none" w:sz="0" w:space="0" w:color="auto"/>
        <w:bottom w:val="none" w:sz="0" w:space="0" w:color="auto"/>
        <w:right w:val="none" w:sz="0" w:space="0" w:color="auto"/>
      </w:divBdr>
    </w:div>
    <w:div w:id="959920829">
      <w:bodyDiv w:val="1"/>
      <w:marLeft w:val="0"/>
      <w:marRight w:val="0"/>
      <w:marTop w:val="0"/>
      <w:marBottom w:val="0"/>
      <w:divBdr>
        <w:top w:val="none" w:sz="0" w:space="0" w:color="auto"/>
        <w:left w:val="none" w:sz="0" w:space="0" w:color="auto"/>
        <w:bottom w:val="none" w:sz="0" w:space="0" w:color="auto"/>
        <w:right w:val="none" w:sz="0" w:space="0" w:color="auto"/>
      </w:divBdr>
    </w:div>
    <w:div w:id="1005279504">
      <w:bodyDiv w:val="1"/>
      <w:marLeft w:val="0"/>
      <w:marRight w:val="0"/>
      <w:marTop w:val="0"/>
      <w:marBottom w:val="0"/>
      <w:divBdr>
        <w:top w:val="none" w:sz="0" w:space="0" w:color="auto"/>
        <w:left w:val="none" w:sz="0" w:space="0" w:color="auto"/>
        <w:bottom w:val="none" w:sz="0" w:space="0" w:color="auto"/>
        <w:right w:val="none" w:sz="0" w:space="0" w:color="auto"/>
      </w:divBdr>
    </w:div>
    <w:div w:id="1067074617">
      <w:bodyDiv w:val="1"/>
      <w:marLeft w:val="0"/>
      <w:marRight w:val="0"/>
      <w:marTop w:val="0"/>
      <w:marBottom w:val="0"/>
      <w:divBdr>
        <w:top w:val="none" w:sz="0" w:space="0" w:color="auto"/>
        <w:left w:val="none" w:sz="0" w:space="0" w:color="auto"/>
        <w:bottom w:val="none" w:sz="0" w:space="0" w:color="auto"/>
        <w:right w:val="none" w:sz="0" w:space="0" w:color="auto"/>
      </w:divBdr>
    </w:div>
    <w:div w:id="1198930528">
      <w:bodyDiv w:val="1"/>
      <w:marLeft w:val="0"/>
      <w:marRight w:val="0"/>
      <w:marTop w:val="0"/>
      <w:marBottom w:val="0"/>
      <w:divBdr>
        <w:top w:val="none" w:sz="0" w:space="0" w:color="auto"/>
        <w:left w:val="none" w:sz="0" w:space="0" w:color="auto"/>
        <w:bottom w:val="none" w:sz="0" w:space="0" w:color="auto"/>
        <w:right w:val="none" w:sz="0" w:space="0" w:color="auto"/>
      </w:divBdr>
    </w:div>
    <w:div w:id="1202474639">
      <w:bodyDiv w:val="1"/>
      <w:marLeft w:val="0"/>
      <w:marRight w:val="0"/>
      <w:marTop w:val="0"/>
      <w:marBottom w:val="0"/>
      <w:divBdr>
        <w:top w:val="none" w:sz="0" w:space="0" w:color="auto"/>
        <w:left w:val="none" w:sz="0" w:space="0" w:color="auto"/>
        <w:bottom w:val="none" w:sz="0" w:space="0" w:color="auto"/>
        <w:right w:val="none" w:sz="0" w:space="0" w:color="auto"/>
      </w:divBdr>
    </w:div>
    <w:div w:id="1270577383">
      <w:bodyDiv w:val="1"/>
      <w:marLeft w:val="0"/>
      <w:marRight w:val="0"/>
      <w:marTop w:val="0"/>
      <w:marBottom w:val="0"/>
      <w:divBdr>
        <w:top w:val="none" w:sz="0" w:space="0" w:color="auto"/>
        <w:left w:val="none" w:sz="0" w:space="0" w:color="auto"/>
        <w:bottom w:val="none" w:sz="0" w:space="0" w:color="auto"/>
        <w:right w:val="none" w:sz="0" w:space="0" w:color="auto"/>
      </w:divBdr>
    </w:div>
    <w:div w:id="1277054751">
      <w:bodyDiv w:val="1"/>
      <w:marLeft w:val="0"/>
      <w:marRight w:val="0"/>
      <w:marTop w:val="0"/>
      <w:marBottom w:val="0"/>
      <w:divBdr>
        <w:top w:val="none" w:sz="0" w:space="0" w:color="auto"/>
        <w:left w:val="none" w:sz="0" w:space="0" w:color="auto"/>
        <w:bottom w:val="none" w:sz="0" w:space="0" w:color="auto"/>
        <w:right w:val="none" w:sz="0" w:space="0" w:color="auto"/>
      </w:divBdr>
    </w:div>
    <w:div w:id="1331912471">
      <w:bodyDiv w:val="1"/>
      <w:marLeft w:val="0"/>
      <w:marRight w:val="0"/>
      <w:marTop w:val="0"/>
      <w:marBottom w:val="0"/>
      <w:divBdr>
        <w:top w:val="none" w:sz="0" w:space="0" w:color="auto"/>
        <w:left w:val="none" w:sz="0" w:space="0" w:color="auto"/>
        <w:bottom w:val="none" w:sz="0" w:space="0" w:color="auto"/>
        <w:right w:val="none" w:sz="0" w:space="0" w:color="auto"/>
      </w:divBdr>
    </w:div>
    <w:div w:id="1335691174">
      <w:bodyDiv w:val="1"/>
      <w:marLeft w:val="0"/>
      <w:marRight w:val="0"/>
      <w:marTop w:val="0"/>
      <w:marBottom w:val="0"/>
      <w:divBdr>
        <w:top w:val="none" w:sz="0" w:space="0" w:color="auto"/>
        <w:left w:val="none" w:sz="0" w:space="0" w:color="auto"/>
        <w:bottom w:val="none" w:sz="0" w:space="0" w:color="auto"/>
        <w:right w:val="none" w:sz="0" w:space="0" w:color="auto"/>
      </w:divBdr>
    </w:div>
    <w:div w:id="1346595865">
      <w:bodyDiv w:val="1"/>
      <w:marLeft w:val="0"/>
      <w:marRight w:val="0"/>
      <w:marTop w:val="0"/>
      <w:marBottom w:val="0"/>
      <w:divBdr>
        <w:top w:val="none" w:sz="0" w:space="0" w:color="auto"/>
        <w:left w:val="none" w:sz="0" w:space="0" w:color="auto"/>
        <w:bottom w:val="none" w:sz="0" w:space="0" w:color="auto"/>
        <w:right w:val="none" w:sz="0" w:space="0" w:color="auto"/>
      </w:divBdr>
    </w:div>
    <w:div w:id="1449591428">
      <w:bodyDiv w:val="1"/>
      <w:marLeft w:val="0"/>
      <w:marRight w:val="0"/>
      <w:marTop w:val="0"/>
      <w:marBottom w:val="0"/>
      <w:divBdr>
        <w:top w:val="none" w:sz="0" w:space="0" w:color="auto"/>
        <w:left w:val="none" w:sz="0" w:space="0" w:color="auto"/>
        <w:bottom w:val="none" w:sz="0" w:space="0" w:color="auto"/>
        <w:right w:val="none" w:sz="0" w:space="0" w:color="auto"/>
      </w:divBdr>
    </w:div>
    <w:div w:id="1453283152">
      <w:bodyDiv w:val="1"/>
      <w:marLeft w:val="0"/>
      <w:marRight w:val="0"/>
      <w:marTop w:val="0"/>
      <w:marBottom w:val="0"/>
      <w:divBdr>
        <w:top w:val="none" w:sz="0" w:space="0" w:color="auto"/>
        <w:left w:val="none" w:sz="0" w:space="0" w:color="auto"/>
        <w:bottom w:val="none" w:sz="0" w:space="0" w:color="auto"/>
        <w:right w:val="none" w:sz="0" w:space="0" w:color="auto"/>
      </w:divBdr>
    </w:div>
    <w:div w:id="1532299388">
      <w:bodyDiv w:val="1"/>
      <w:marLeft w:val="0"/>
      <w:marRight w:val="0"/>
      <w:marTop w:val="0"/>
      <w:marBottom w:val="0"/>
      <w:divBdr>
        <w:top w:val="none" w:sz="0" w:space="0" w:color="auto"/>
        <w:left w:val="none" w:sz="0" w:space="0" w:color="auto"/>
        <w:bottom w:val="none" w:sz="0" w:space="0" w:color="auto"/>
        <w:right w:val="none" w:sz="0" w:space="0" w:color="auto"/>
      </w:divBdr>
    </w:div>
    <w:div w:id="1538927860">
      <w:bodyDiv w:val="1"/>
      <w:marLeft w:val="0"/>
      <w:marRight w:val="0"/>
      <w:marTop w:val="0"/>
      <w:marBottom w:val="0"/>
      <w:divBdr>
        <w:top w:val="none" w:sz="0" w:space="0" w:color="auto"/>
        <w:left w:val="none" w:sz="0" w:space="0" w:color="auto"/>
        <w:bottom w:val="none" w:sz="0" w:space="0" w:color="auto"/>
        <w:right w:val="none" w:sz="0" w:space="0" w:color="auto"/>
      </w:divBdr>
    </w:div>
    <w:div w:id="1625968074">
      <w:bodyDiv w:val="1"/>
      <w:marLeft w:val="0"/>
      <w:marRight w:val="0"/>
      <w:marTop w:val="0"/>
      <w:marBottom w:val="0"/>
      <w:divBdr>
        <w:top w:val="none" w:sz="0" w:space="0" w:color="auto"/>
        <w:left w:val="none" w:sz="0" w:space="0" w:color="auto"/>
        <w:bottom w:val="none" w:sz="0" w:space="0" w:color="auto"/>
        <w:right w:val="none" w:sz="0" w:space="0" w:color="auto"/>
      </w:divBdr>
    </w:div>
    <w:div w:id="1637836399">
      <w:bodyDiv w:val="1"/>
      <w:marLeft w:val="0"/>
      <w:marRight w:val="0"/>
      <w:marTop w:val="0"/>
      <w:marBottom w:val="0"/>
      <w:divBdr>
        <w:top w:val="none" w:sz="0" w:space="0" w:color="auto"/>
        <w:left w:val="none" w:sz="0" w:space="0" w:color="auto"/>
        <w:bottom w:val="none" w:sz="0" w:space="0" w:color="auto"/>
        <w:right w:val="none" w:sz="0" w:space="0" w:color="auto"/>
      </w:divBdr>
    </w:div>
    <w:div w:id="1648632832">
      <w:bodyDiv w:val="1"/>
      <w:marLeft w:val="0"/>
      <w:marRight w:val="0"/>
      <w:marTop w:val="0"/>
      <w:marBottom w:val="0"/>
      <w:divBdr>
        <w:top w:val="none" w:sz="0" w:space="0" w:color="auto"/>
        <w:left w:val="none" w:sz="0" w:space="0" w:color="auto"/>
        <w:bottom w:val="none" w:sz="0" w:space="0" w:color="auto"/>
        <w:right w:val="none" w:sz="0" w:space="0" w:color="auto"/>
      </w:divBdr>
    </w:div>
    <w:div w:id="1655639188">
      <w:bodyDiv w:val="1"/>
      <w:marLeft w:val="0"/>
      <w:marRight w:val="0"/>
      <w:marTop w:val="0"/>
      <w:marBottom w:val="0"/>
      <w:divBdr>
        <w:top w:val="none" w:sz="0" w:space="0" w:color="auto"/>
        <w:left w:val="none" w:sz="0" w:space="0" w:color="auto"/>
        <w:bottom w:val="none" w:sz="0" w:space="0" w:color="auto"/>
        <w:right w:val="none" w:sz="0" w:space="0" w:color="auto"/>
      </w:divBdr>
    </w:div>
    <w:div w:id="1681009614">
      <w:bodyDiv w:val="1"/>
      <w:marLeft w:val="0"/>
      <w:marRight w:val="0"/>
      <w:marTop w:val="0"/>
      <w:marBottom w:val="0"/>
      <w:divBdr>
        <w:top w:val="none" w:sz="0" w:space="0" w:color="auto"/>
        <w:left w:val="none" w:sz="0" w:space="0" w:color="auto"/>
        <w:bottom w:val="none" w:sz="0" w:space="0" w:color="auto"/>
        <w:right w:val="none" w:sz="0" w:space="0" w:color="auto"/>
      </w:divBdr>
    </w:div>
    <w:div w:id="1705715464">
      <w:bodyDiv w:val="1"/>
      <w:marLeft w:val="0"/>
      <w:marRight w:val="0"/>
      <w:marTop w:val="0"/>
      <w:marBottom w:val="0"/>
      <w:divBdr>
        <w:top w:val="none" w:sz="0" w:space="0" w:color="auto"/>
        <w:left w:val="none" w:sz="0" w:space="0" w:color="auto"/>
        <w:bottom w:val="none" w:sz="0" w:space="0" w:color="auto"/>
        <w:right w:val="none" w:sz="0" w:space="0" w:color="auto"/>
      </w:divBdr>
    </w:div>
    <w:div w:id="1708527272">
      <w:bodyDiv w:val="1"/>
      <w:marLeft w:val="0"/>
      <w:marRight w:val="0"/>
      <w:marTop w:val="0"/>
      <w:marBottom w:val="0"/>
      <w:divBdr>
        <w:top w:val="none" w:sz="0" w:space="0" w:color="auto"/>
        <w:left w:val="none" w:sz="0" w:space="0" w:color="auto"/>
        <w:bottom w:val="none" w:sz="0" w:space="0" w:color="auto"/>
        <w:right w:val="none" w:sz="0" w:space="0" w:color="auto"/>
      </w:divBdr>
    </w:div>
    <w:div w:id="1747918639">
      <w:bodyDiv w:val="1"/>
      <w:marLeft w:val="0"/>
      <w:marRight w:val="0"/>
      <w:marTop w:val="0"/>
      <w:marBottom w:val="0"/>
      <w:divBdr>
        <w:top w:val="none" w:sz="0" w:space="0" w:color="auto"/>
        <w:left w:val="none" w:sz="0" w:space="0" w:color="auto"/>
        <w:bottom w:val="none" w:sz="0" w:space="0" w:color="auto"/>
        <w:right w:val="none" w:sz="0" w:space="0" w:color="auto"/>
      </w:divBdr>
    </w:div>
    <w:div w:id="1801528597">
      <w:bodyDiv w:val="1"/>
      <w:marLeft w:val="0"/>
      <w:marRight w:val="0"/>
      <w:marTop w:val="0"/>
      <w:marBottom w:val="0"/>
      <w:divBdr>
        <w:top w:val="none" w:sz="0" w:space="0" w:color="auto"/>
        <w:left w:val="none" w:sz="0" w:space="0" w:color="auto"/>
        <w:bottom w:val="none" w:sz="0" w:space="0" w:color="auto"/>
        <w:right w:val="none" w:sz="0" w:space="0" w:color="auto"/>
      </w:divBdr>
    </w:div>
    <w:div w:id="1808693917">
      <w:bodyDiv w:val="1"/>
      <w:marLeft w:val="0"/>
      <w:marRight w:val="0"/>
      <w:marTop w:val="0"/>
      <w:marBottom w:val="0"/>
      <w:divBdr>
        <w:top w:val="none" w:sz="0" w:space="0" w:color="auto"/>
        <w:left w:val="none" w:sz="0" w:space="0" w:color="auto"/>
        <w:bottom w:val="none" w:sz="0" w:space="0" w:color="auto"/>
        <w:right w:val="none" w:sz="0" w:space="0" w:color="auto"/>
      </w:divBdr>
    </w:div>
    <w:div w:id="1818644484">
      <w:bodyDiv w:val="1"/>
      <w:marLeft w:val="0"/>
      <w:marRight w:val="0"/>
      <w:marTop w:val="0"/>
      <w:marBottom w:val="0"/>
      <w:divBdr>
        <w:top w:val="none" w:sz="0" w:space="0" w:color="auto"/>
        <w:left w:val="none" w:sz="0" w:space="0" w:color="auto"/>
        <w:bottom w:val="none" w:sz="0" w:space="0" w:color="auto"/>
        <w:right w:val="none" w:sz="0" w:space="0" w:color="auto"/>
      </w:divBdr>
    </w:div>
    <w:div w:id="1848907207">
      <w:bodyDiv w:val="1"/>
      <w:marLeft w:val="0"/>
      <w:marRight w:val="0"/>
      <w:marTop w:val="0"/>
      <w:marBottom w:val="0"/>
      <w:divBdr>
        <w:top w:val="none" w:sz="0" w:space="0" w:color="auto"/>
        <w:left w:val="none" w:sz="0" w:space="0" w:color="auto"/>
        <w:bottom w:val="none" w:sz="0" w:space="0" w:color="auto"/>
        <w:right w:val="none" w:sz="0" w:space="0" w:color="auto"/>
      </w:divBdr>
    </w:div>
    <w:div w:id="1978221416">
      <w:bodyDiv w:val="1"/>
      <w:marLeft w:val="0"/>
      <w:marRight w:val="0"/>
      <w:marTop w:val="0"/>
      <w:marBottom w:val="0"/>
      <w:divBdr>
        <w:top w:val="none" w:sz="0" w:space="0" w:color="auto"/>
        <w:left w:val="none" w:sz="0" w:space="0" w:color="auto"/>
        <w:bottom w:val="none" w:sz="0" w:space="0" w:color="auto"/>
        <w:right w:val="none" w:sz="0" w:space="0" w:color="auto"/>
      </w:divBdr>
    </w:div>
    <w:div w:id="206591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006-01-SKB SPC Hum skabelon - engelsk.dotx</Template>
  <TotalTime>78</TotalTime>
  <Pages>24</Pages>
  <Words>9062</Words>
  <Characters>51980</Characters>
  <Application>Microsoft Office Word</Application>
  <DocSecurity>0</DocSecurity>
  <Lines>433</Lines>
  <Paragraphs>121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2024020146, MT</dc:description>
  <cp:lastModifiedBy>Gitte Jørgensen</cp:lastModifiedBy>
  <cp:revision>9</cp:revision>
  <cp:lastPrinted>2006-02-24T09:31:00Z</cp:lastPrinted>
  <dcterms:created xsi:type="dcterms:W3CDTF">2026-03-23T13:24:00Z</dcterms:created>
  <dcterms:modified xsi:type="dcterms:W3CDTF">2026-03-24T09:15:00Z</dcterms:modified>
</cp:coreProperties>
</file>