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0F" w:rsidRPr="009248D1" w:rsidRDefault="0032040F" w:rsidP="0032040F">
      <w:pPr>
        <w:rPr>
          <w:sz w:val="24"/>
          <w:szCs w:val="24"/>
        </w:rPr>
      </w:pPr>
      <w:bookmarkStart w:id="0" w:name="_GoBack"/>
      <w:bookmarkEnd w:id="0"/>
      <w:r w:rsidRPr="009248D1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AC58976" wp14:editId="2737394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48D1">
        <w:rPr>
          <w:sz w:val="24"/>
          <w:szCs w:val="24"/>
        </w:rPr>
        <w:br w:type="textWrapping" w:clear="all"/>
      </w:r>
    </w:p>
    <w:p w:rsidR="0032040F" w:rsidRPr="009248D1" w:rsidRDefault="0032040F" w:rsidP="0032040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248D1">
        <w:rPr>
          <w:b w:val="0"/>
          <w:szCs w:val="24"/>
          <w:lang w:eastAsia="en-US"/>
        </w:rPr>
        <w:tab/>
      </w:r>
      <w:r w:rsidR="00CF6F84">
        <w:rPr>
          <w:szCs w:val="24"/>
        </w:rPr>
        <w:t>6</w:t>
      </w:r>
      <w:r>
        <w:rPr>
          <w:szCs w:val="24"/>
        </w:rPr>
        <w:t xml:space="preserve">. </w:t>
      </w:r>
      <w:r w:rsidR="00CF6F84">
        <w:rPr>
          <w:szCs w:val="24"/>
        </w:rPr>
        <w:t>oktober</w:t>
      </w:r>
      <w:r>
        <w:rPr>
          <w:szCs w:val="24"/>
        </w:rPr>
        <w:t xml:space="preserve"> 20</w:t>
      </w:r>
      <w:r w:rsidR="00CF6F84">
        <w:rPr>
          <w:szCs w:val="24"/>
        </w:rPr>
        <w:t>23</w:t>
      </w:r>
    </w:p>
    <w:p w:rsidR="0032040F" w:rsidRPr="009248D1" w:rsidRDefault="0032040F" w:rsidP="0032040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32040F" w:rsidRPr="009248D1" w:rsidRDefault="0032040F" w:rsidP="0032040F">
      <w:pPr>
        <w:pStyle w:val="Titel"/>
        <w:jc w:val="left"/>
        <w:rPr>
          <w:b w:val="0"/>
          <w:szCs w:val="24"/>
        </w:rPr>
      </w:pPr>
    </w:p>
    <w:p w:rsidR="0032040F" w:rsidRPr="009248D1" w:rsidRDefault="0032040F" w:rsidP="0032040F">
      <w:pPr>
        <w:jc w:val="center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PRODUKTRESUMÉ</w:t>
      </w:r>
    </w:p>
    <w:p w:rsidR="0032040F" w:rsidRPr="009248D1" w:rsidRDefault="0032040F" w:rsidP="0032040F">
      <w:pPr>
        <w:jc w:val="center"/>
        <w:rPr>
          <w:b/>
          <w:sz w:val="24"/>
          <w:szCs w:val="24"/>
        </w:rPr>
      </w:pPr>
    </w:p>
    <w:p w:rsidR="0032040F" w:rsidRPr="009248D1" w:rsidRDefault="0032040F" w:rsidP="0032040F">
      <w:pPr>
        <w:jc w:val="center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for</w:t>
      </w:r>
    </w:p>
    <w:p w:rsidR="0032040F" w:rsidRPr="009248D1" w:rsidRDefault="0032040F" w:rsidP="0032040F">
      <w:pPr>
        <w:jc w:val="center"/>
        <w:rPr>
          <w:b/>
          <w:sz w:val="24"/>
          <w:szCs w:val="24"/>
        </w:rPr>
      </w:pPr>
    </w:p>
    <w:p w:rsidR="0032040F" w:rsidRPr="009248D1" w:rsidRDefault="0032040F" w:rsidP="0032040F">
      <w:pPr>
        <w:jc w:val="center"/>
        <w:rPr>
          <w:b/>
          <w:sz w:val="24"/>
          <w:szCs w:val="24"/>
        </w:rPr>
      </w:pPr>
      <w:proofErr w:type="spellStart"/>
      <w:r w:rsidRPr="009248D1">
        <w:rPr>
          <w:b/>
          <w:sz w:val="24"/>
          <w:szCs w:val="24"/>
        </w:rPr>
        <w:t>Picovax</w:t>
      </w:r>
      <w:proofErr w:type="spellEnd"/>
      <w:r w:rsidRPr="009248D1">
        <w:rPr>
          <w:b/>
          <w:sz w:val="24"/>
          <w:szCs w:val="24"/>
        </w:rPr>
        <w:t>, injektionsvæske, suspension</w:t>
      </w:r>
    </w:p>
    <w:p w:rsidR="0032040F" w:rsidRPr="009248D1" w:rsidRDefault="0032040F" w:rsidP="0032040F">
      <w:pPr>
        <w:jc w:val="both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0.</w:t>
      </w:r>
      <w:r w:rsidRPr="009248D1">
        <w:rPr>
          <w:b/>
          <w:sz w:val="24"/>
          <w:szCs w:val="24"/>
        </w:rPr>
        <w:tab/>
        <w:t>D.SP.NR.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31247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1.</w:t>
      </w:r>
      <w:r w:rsidRPr="009248D1">
        <w:rPr>
          <w:b/>
          <w:sz w:val="24"/>
          <w:szCs w:val="24"/>
        </w:rPr>
        <w:tab/>
        <w:t>LÆGEMIDLETS NAVN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248D1">
        <w:rPr>
          <w:sz w:val="24"/>
          <w:szCs w:val="24"/>
        </w:rPr>
        <w:t>Picovax</w:t>
      </w:r>
      <w:proofErr w:type="spellEnd"/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2.</w:t>
      </w:r>
      <w:r w:rsidRPr="009248D1">
        <w:rPr>
          <w:b/>
          <w:sz w:val="24"/>
          <w:szCs w:val="24"/>
        </w:rPr>
        <w:tab/>
        <w:t>KVALITATIV OG KVANTITATIV SAMMENSÆTNING</w:t>
      </w:r>
    </w:p>
    <w:p w:rsidR="0032040F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</w:rPr>
        <w:t>En dosis (0,5 ml) indeholder:</w:t>
      </w:r>
    </w:p>
    <w:p w:rsidR="0032040F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DE0C58" w:rsidRDefault="0032040F" w:rsidP="0032040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E0C58">
        <w:rPr>
          <w:sz w:val="24"/>
          <w:szCs w:val="24"/>
          <w:u w:val="single"/>
        </w:rPr>
        <w:t>Poliovirus (inaktiveret)</w:t>
      </w:r>
      <w:r w:rsidRPr="00DE0C58">
        <w:rPr>
          <w:sz w:val="24"/>
          <w:szCs w:val="24"/>
          <w:u w:val="single"/>
          <w:vertAlign w:val="superscript"/>
        </w:rPr>
        <w:t>1</w:t>
      </w:r>
    </w:p>
    <w:p w:rsidR="0032040F" w:rsidRPr="00DE0C58" w:rsidRDefault="0032040F" w:rsidP="0032040F">
      <w:pPr>
        <w:tabs>
          <w:tab w:val="left" w:pos="851"/>
          <w:tab w:val="left" w:pos="3261"/>
        </w:tabs>
        <w:ind w:left="851"/>
        <w:rPr>
          <w:sz w:val="24"/>
          <w:szCs w:val="24"/>
        </w:rPr>
      </w:pPr>
      <w:r w:rsidRPr="00DE0C58">
        <w:rPr>
          <w:sz w:val="24"/>
          <w:szCs w:val="24"/>
        </w:rPr>
        <w:t>Type 1 (Brunhilde)</w:t>
      </w:r>
      <w:r w:rsidRPr="00DE0C58">
        <w:rPr>
          <w:sz w:val="24"/>
          <w:szCs w:val="24"/>
          <w:vertAlign w:val="superscript"/>
        </w:rPr>
        <w:t>2</w:t>
      </w:r>
      <w:r w:rsidRPr="00DE0C58">
        <w:rPr>
          <w:sz w:val="24"/>
          <w:szCs w:val="24"/>
        </w:rPr>
        <w:tab/>
        <w:t>≥3,2 D-antigen enheder</w:t>
      </w:r>
    </w:p>
    <w:p w:rsidR="0032040F" w:rsidRPr="00DE0C58" w:rsidRDefault="0032040F" w:rsidP="0032040F">
      <w:pPr>
        <w:tabs>
          <w:tab w:val="left" w:pos="851"/>
          <w:tab w:val="left" w:pos="3261"/>
        </w:tabs>
        <w:ind w:left="851"/>
        <w:rPr>
          <w:sz w:val="24"/>
          <w:szCs w:val="24"/>
        </w:rPr>
      </w:pPr>
      <w:r w:rsidRPr="00DE0C58">
        <w:rPr>
          <w:sz w:val="24"/>
          <w:szCs w:val="24"/>
        </w:rPr>
        <w:t>Type 2 (MEF-1)</w:t>
      </w:r>
      <w:r w:rsidRPr="00FD1738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ab/>
      </w:r>
      <w:r w:rsidRPr="00DE0C58">
        <w:rPr>
          <w:sz w:val="24"/>
          <w:szCs w:val="24"/>
        </w:rPr>
        <w:t>≥0,88 D-antigen enheder</w:t>
      </w:r>
    </w:p>
    <w:p w:rsidR="0032040F" w:rsidRPr="009248D1" w:rsidRDefault="0032040F" w:rsidP="0032040F">
      <w:pPr>
        <w:tabs>
          <w:tab w:val="left" w:pos="851"/>
          <w:tab w:val="left" w:pos="3261"/>
        </w:tabs>
        <w:ind w:left="851"/>
        <w:rPr>
          <w:sz w:val="24"/>
          <w:szCs w:val="24"/>
        </w:rPr>
      </w:pPr>
      <w:r w:rsidRPr="00DE0C58">
        <w:rPr>
          <w:sz w:val="24"/>
          <w:szCs w:val="24"/>
        </w:rPr>
        <w:t>Type 3 (</w:t>
      </w:r>
      <w:proofErr w:type="spellStart"/>
      <w:r w:rsidRPr="00DE0C58">
        <w:rPr>
          <w:sz w:val="24"/>
          <w:szCs w:val="24"/>
        </w:rPr>
        <w:t>Saukett</w:t>
      </w:r>
      <w:proofErr w:type="spellEnd"/>
      <w:r w:rsidRPr="00DE0C58">
        <w:rPr>
          <w:sz w:val="24"/>
          <w:szCs w:val="24"/>
        </w:rPr>
        <w:t>)</w:t>
      </w:r>
      <w:r w:rsidRPr="00FD1738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ab/>
      </w:r>
      <w:r w:rsidRPr="00DE0C58">
        <w:rPr>
          <w:sz w:val="24"/>
          <w:szCs w:val="24"/>
        </w:rPr>
        <w:t>≥3,1 D-antigen enheder</w:t>
      </w:r>
    </w:p>
    <w:p w:rsidR="0032040F" w:rsidRDefault="0032040F" w:rsidP="0032040F">
      <w:pPr>
        <w:tabs>
          <w:tab w:val="left" w:pos="851"/>
        </w:tabs>
        <w:ind w:left="851"/>
        <w:rPr>
          <w:sz w:val="24"/>
          <w:szCs w:val="24"/>
          <w:vertAlign w:val="superscript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  <w:r w:rsidRPr="009248D1">
        <w:rPr>
          <w:sz w:val="24"/>
          <w:szCs w:val="24"/>
        </w:rPr>
        <w:t xml:space="preserve">adsorberet til aluminiumhydroxidhydrat svarende til 0,5 mg aluminium. 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 w:rsidRPr="009248D1">
        <w:rPr>
          <w:sz w:val="24"/>
          <w:szCs w:val="24"/>
        </w:rPr>
        <w:t xml:space="preserve">dyrket i </w:t>
      </w:r>
      <w:proofErr w:type="spellStart"/>
      <w:r w:rsidRPr="009248D1">
        <w:rPr>
          <w:sz w:val="24"/>
          <w:szCs w:val="24"/>
        </w:rPr>
        <w:t>Vero</w:t>
      </w:r>
      <w:proofErr w:type="spellEnd"/>
      <w:r w:rsidRPr="009248D1">
        <w:rPr>
          <w:sz w:val="24"/>
          <w:szCs w:val="24"/>
        </w:rPr>
        <w:t>-celler.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</w:rPr>
        <w:t>Vaccinen kan indeholde spor af formaldehyd, som anvendes under fremstillingsprocessen (se pkt. 4.4.).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</w:rPr>
        <w:t>Alle hjælpestoffer er anført under pkt. 6.1.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</w:rPr>
        <w:t>Dette er en flerdosispræsentation. Se pkt. 6.5 vedrørende antal doser pr. hætteglas.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3.</w:t>
      </w:r>
      <w:r w:rsidRPr="009248D1">
        <w:rPr>
          <w:b/>
          <w:sz w:val="24"/>
          <w:szCs w:val="24"/>
        </w:rPr>
        <w:tab/>
        <w:t>LÆGEMIDDELFORM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</w:rPr>
        <w:t>Injektionsvæske, suspension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9248D1">
        <w:rPr>
          <w:sz w:val="24"/>
          <w:szCs w:val="24"/>
        </w:rPr>
        <w:t xml:space="preserve">Efter omrystning fremstår </w:t>
      </w:r>
      <w:proofErr w:type="spellStart"/>
      <w:r w:rsidRPr="009248D1">
        <w:rPr>
          <w:sz w:val="24"/>
          <w:szCs w:val="24"/>
        </w:rPr>
        <w:t>Picovax</w:t>
      </w:r>
      <w:proofErr w:type="spellEnd"/>
      <w:r w:rsidRPr="009248D1">
        <w:rPr>
          <w:sz w:val="24"/>
          <w:szCs w:val="24"/>
        </w:rPr>
        <w:t xml:space="preserve"> som en lyserød til rød suspension af hvide og grå partikler.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</w:t>
      </w:r>
      <w:r w:rsidRPr="009248D1">
        <w:rPr>
          <w:b/>
          <w:sz w:val="24"/>
          <w:szCs w:val="24"/>
        </w:rPr>
        <w:tab/>
        <w:t>KLINISKE OPLYSNINGER</w:t>
      </w:r>
    </w:p>
    <w:p w:rsidR="0032040F" w:rsidRPr="009248D1" w:rsidRDefault="0032040F" w:rsidP="0032040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248D1">
        <w:rPr>
          <w:b/>
          <w:sz w:val="24"/>
          <w:szCs w:val="24"/>
        </w:rPr>
        <w:t>4.1</w:t>
      </w:r>
      <w:r w:rsidRPr="009248D1">
        <w:rPr>
          <w:b/>
          <w:sz w:val="24"/>
          <w:szCs w:val="24"/>
        </w:rPr>
        <w:tab/>
        <w:t>Terapeutiske indikationer</w:t>
      </w:r>
    </w:p>
    <w:p w:rsidR="0032040F" w:rsidRPr="005E2F3E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E2F3E">
        <w:rPr>
          <w:sz w:val="24"/>
          <w:szCs w:val="24"/>
        </w:rPr>
        <w:t>Picovax</w:t>
      </w:r>
      <w:proofErr w:type="spellEnd"/>
      <w:r w:rsidRPr="005E2F3E">
        <w:rPr>
          <w:sz w:val="24"/>
          <w:szCs w:val="24"/>
        </w:rPr>
        <w:t xml:space="preserve"> er indiceret til aktiv immunisering mod poliomyelitis:</w:t>
      </w:r>
    </w:p>
    <w:p w:rsidR="0032040F" w:rsidRPr="005E2F3E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E2F3E">
        <w:rPr>
          <w:sz w:val="24"/>
          <w:szCs w:val="24"/>
        </w:rPr>
        <w:t>Primær vaccination fra 6-ugers alderen.</w:t>
      </w:r>
    </w:p>
    <w:p w:rsidR="0032040F" w:rsidRPr="005E2F3E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E2F3E">
        <w:rPr>
          <w:sz w:val="24"/>
          <w:szCs w:val="24"/>
        </w:rPr>
        <w:t>Revaccination af spædbørn, børn, unge og voksne.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4.2</w:t>
      </w:r>
      <w:r w:rsidRPr="009248D1">
        <w:rPr>
          <w:b/>
          <w:sz w:val="24"/>
          <w:szCs w:val="24"/>
        </w:rPr>
        <w:tab/>
        <w:t xml:space="preserve">Dosering og </w:t>
      </w:r>
      <w:r w:rsidR="006012E5">
        <w:rPr>
          <w:b/>
          <w:sz w:val="24"/>
          <w:szCs w:val="24"/>
        </w:rPr>
        <w:t>administration</w:t>
      </w:r>
    </w:p>
    <w:p w:rsidR="0032040F" w:rsidRDefault="0032040F" w:rsidP="0032040F">
      <w:pPr>
        <w:tabs>
          <w:tab w:val="left" w:pos="851"/>
        </w:tabs>
        <w:ind w:left="851"/>
        <w:rPr>
          <w:noProof/>
          <w:sz w:val="24"/>
          <w:szCs w:val="24"/>
          <w:u w:val="single"/>
        </w:rPr>
      </w:pPr>
    </w:p>
    <w:p w:rsidR="0032040F" w:rsidRPr="00540738" w:rsidRDefault="0032040F" w:rsidP="0032040F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540738">
        <w:rPr>
          <w:noProof/>
          <w:sz w:val="24"/>
          <w:szCs w:val="24"/>
          <w:u w:val="single"/>
        </w:rPr>
        <w:t>Dosering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Dosis er altid 0,5 ml uanset alder.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i/>
          <w:sz w:val="24"/>
          <w:szCs w:val="24"/>
        </w:rPr>
      </w:pPr>
      <w:r w:rsidRPr="00520AA6">
        <w:rPr>
          <w:i/>
          <w:sz w:val="24"/>
          <w:szCs w:val="24"/>
        </w:rPr>
        <w:t>Primær vaccination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En vaccinationsserie bestående af 2-3 doser givet fra 6-ugers alderen i overensstemmelse med officielle anbefalinger.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Der bør være et interval på mindst 4 uger imellem hver dosis.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i/>
          <w:sz w:val="24"/>
          <w:szCs w:val="24"/>
        </w:rPr>
      </w:pPr>
      <w:r w:rsidRPr="00520AA6">
        <w:rPr>
          <w:i/>
          <w:sz w:val="24"/>
          <w:szCs w:val="24"/>
        </w:rPr>
        <w:t xml:space="preserve">Revaccination 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kan anvendes til revaccination af personer, der er primær vaccineret. Revaccination skal ske i overensstemmelse med officielle anbefalinger.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kan anvendes i kombination med oral poliomyelitis vaccine (OPV) i overensstemmelse med officielle anbefalinger.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i/>
          <w:sz w:val="24"/>
          <w:szCs w:val="24"/>
        </w:rPr>
      </w:pPr>
      <w:r w:rsidRPr="00520AA6">
        <w:rPr>
          <w:i/>
          <w:sz w:val="24"/>
          <w:szCs w:val="24"/>
        </w:rPr>
        <w:t>Særlige populationer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Hos personer med nedsat immunforsvar eller hos personer i immunsuppressiv behandling kan vaccination foretages, men antistofsvaret kan være nedsat. Hvis det er muligt, bør vaccination udsættes, indtil virkningen af den immunsuppressive behandling er ophørt (se pkt. 4.4).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ind w:firstLine="851"/>
        <w:rPr>
          <w:noProof/>
          <w:sz w:val="24"/>
          <w:szCs w:val="24"/>
        </w:rPr>
      </w:pPr>
      <w:r w:rsidRPr="00520AA6">
        <w:rPr>
          <w:i/>
          <w:noProof/>
          <w:sz w:val="24"/>
          <w:szCs w:val="24"/>
        </w:rPr>
        <w:t>Pædiatrisk population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>’ sikkerhed og virkning hos spædbørn yngre end 6 uger er ikke klarlagt.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ind w:firstLine="851"/>
        <w:rPr>
          <w:sz w:val="24"/>
          <w:szCs w:val="24"/>
          <w:u w:val="single"/>
        </w:rPr>
      </w:pPr>
      <w:r w:rsidRPr="00520AA6">
        <w:rPr>
          <w:sz w:val="24"/>
          <w:szCs w:val="24"/>
          <w:u w:val="single"/>
        </w:rPr>
        <w:t>Administration</w:t>
      </w:r>
    </w:p>
    <w:p w:rsidR="0032040F" w:rsidRPr="00520AA6" w:rsidRDefault="0032040F" w:rsidP="0032040F">
      <w:pPr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bør administreres intramuskulært (</w:t>
      </w:r>
      <w:proofErr w:type="spellStart"/>
      <w:r w:rsidRPr="00520AA6">
        <w:rPr>
          <w:sz w:val="24"/>
          <w:szCs w:val="24"/>
        </w:rPr>
        <w:t>i.m</w:t>
      </w:r>
      <w:proofErr w:type="spellEnd"/>
      <w:r w:rsidRPr="00520AA6">
        <w:rPr>
          <w:sz w:val="24"/>
          <w:szCs w:val="24"/>
        </w:rPr>
        <w:t xml:space="preserve">.). Det foretrukne injektionssted hos spædbørn er det </w:t>
      </w:r>
      <w:proofErr w:type="spellStart"/>
      <w:r w:rsidRPr="00520AA6">
        <w:rPr>
          <w:sz w:val="24"/>
          <w:szCs w:val="24"/>
        </w:rPr>
        <w:t>anterolaterale</w:t>
      </w:r>
      <w:proofErr w:type="spellEnd"/>
      <w:r w:rsidRPr="00520AA6">
        <w:rPr>
          <w:sz w:val="24"/>
          <w:szCs w:val="24"/>
        </w:rPr>
        <w:t xml:space="preserve"> område af den øvre del af låret. </w:t>
      </w:r>
    </w:p>
    <w:p w:rsidR="0032040F" w:rsidRPr="00520AA6" w:rsidRDefault="0032040F" w:rsidP="0032040F">
      <w:pPr>
        <w:ind w:left="851"/>
        <w:rPr>
          <w:sz w:val="24"/>
          <w:szCs w:val="24"/>
        </w:rPr>
      </w:pPr>
      <w:r w:rsidRPr="00520AA6">
        <w:rPr>
          <w:sz w:val="24"/>
          <w:szCs w:val="24"/>
        </w:rPr>
        <w:t>Det foretrukne injektionssted hos større børn, unge og voksne er deltamusklen på overarmen.</w:t>
      </w:r>
    </w:p>
    <w:p w:rsidR="0032040F" w:rsidRPr="00520AA6" w:rsidRDefault="0032040F" w:rsidP="0032040F">
      <w:pPr>
        <w:ind w:left="851"/>
        <w:rPr>
          <w:sz w:val="24"/>
          <w:szCs w:val="24"/>
        </w:rPr>
      </w:pPr>
    </w:p>
    <w:p w:rsidR="0032040F" w:rsidRPr="00520AA6" w:rsidRDefault="0032040F" w:rsidP="0032040F">
      <w:pPr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må ikke administreres </w:t>
      </w:r>
      <w:proofErr w:type="spellStart"/>
      <w:r w:rsidRPr="00520AA6">
        <w:rPr>
          <w:sz w:val="24"/>
          <w:szCs w:val="24"/>
        </w:rPr>
        <w:t>intravaskulært</w:t>
      </w:r>
      <w:proofErr w:type="spellEnd"/>
      <w:r w:rsidRPr="00520AA6">
        <w:rPr>
          <w:sz w:val="24"/>
          <w:szCs w:val="24"/>
        </w:rPr>
        <w:t xml:space="preserve"> eller </w:t>
      </w:r>
      <w:proofErr w:type="spellStart"/>
      <w:r w:rsidRPr="00520AA6">
        <w:rPr>
          <w:sz w:val="24"/>
          <w:szCs w:val="24"/>
        </w:rPr>
        <w:t>intradermalt</w:t>
      </w:r>
      <w:proofErr w:type="spellEnd"/>
      <w:r w:rsidRPr="00520AA6">
        <w:rPr>
          <w:sz w:val="24"/>
          <w:szCs w:val="24"/>
        </w:rPr>
        <w:t>.</w:t>
      </w:r>
    </w:p>
    <w:p w:rsidR="0032040F" w:rsidRPr="00520AA6" w:rsidRDefault="0032040F" w:rsidP="0032040F">
      <w:pPr>
        <w:rPr>
          <w:noProof/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i/>
          <w:noProof/>
          <w:sz w:val="24"/>
          <w:szCs w:val="24"/>
        </w:rPr>
      </w:pPr>
      <w:r w:rsidRPr="00520AA6">
        <w:rPr>
          <w:i/>
          <w:noProof/>
          <w:sz w:val="24"/>
          <w:szCs w:val="24"/>
        </w:rPr>
        <w:t>Sikkerhedsforanstaltninger, der skal tages før håndtering og administration af lægemidlet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noProof/>
          <w:sz w:val="24"/>
          <w:szCs w:val="24"/>
        </w:rPr>
        <w:t xml:space="preserve">Picovax skal omrystes før brug, indtil vaccinen fremstår </w:t>
      </w:r>
      <w:r w:rsidRPr="00520AA6">
        <w:rPr>
          <w:sz w:val="24"/>
          <w:szCs w:val="24"/>
        </w:rPr>
        <w:t>som en lyserød til rød suspension af hvide og grå partikler, se pkt. 6.6.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4.3</w:t>
      </w:r>
      <w:r w:rsidRPr="009248D1">
        <w:rPr>
          <w:b/>
          <w:sz w:val="24"/>
          <w:szCs w:val="24"/>
        </w:rPr>
        <w:tab/>
        <w:t>Kontraindikationer</w:t>
      </w:r>
    </w:p>
    <w:p w:rsidR="004A5153" w:rsidRPr="007531BB" w:rsidRDefault="004A5153" w:rsidP="004A5153">
      <w:pPr>
        <w:rPr>
          <w:szCs w:val="22"/>
        </w:rPr>
      </w:pPr>
    </w:p>
    <w:p w:rsidR="004A5153" w:rsidRPr="007531BB" w:rsidRDefault="004A5153" w:rsidP="004A5153">
      <w:pPr>
        <w:ind w:left="567" w:firstLine="284"/>
        <w:rPr>
          <w:szCs w:val="22"/>
        </w:rPr>
      </w:pPr>
      <w:bookmarkStart w:id="1" w:name="_Hlk137211241"/>
      <w:r w:rsidRPr="007531BB">
        <w:rPr>
          <w:szCs w:val="22"/>
        </w:rPr>
        <w:sym w:font="Symbol" w:char="F0B7"/>
      </w:r>
      <w:r w:rsidRPr="007531BB">
        <w:rPr>
          <w:szCs w:val="22"/>
        </w:rPr>
        <w:tab/>
      </w:r>
      <w:bookmarkEnd w:id="1"/>
      <w:r w:rsidRPr="007531BB">
        <w:rPr>
          <w:szCs w:val="22"/>
        </w:rPr>
        <w:t xml:space="preserve">Alvorlige reaktioner ved tidligere vaccination med </w:t>
      </w:r>
      <w:proofErr w:type="spellStart"/>
      <w:r w:rsidRPr="007531BB">
        <w:rPr>
          <w:szCs w:val="22"/>
        </w:rPr>
        <w:t>Picovax</w:t>
      </w:r>
      <w:proofErr w:type="spellEnd"/>
      <w:r w:rsidRPr="007531BB">
        <w:rPr>
          <w:szCs w:val="22"/>
        </w:rPr>
        <w:t xml:space="preserve"> eller tilsvarende vacciner.</w:t>
      </w:r>
    </w:p>
    <w:p w:rsidR="004A5153" w:rsidRPr="007531BB" w:rsidRDefault="004A5153" w:rsidP="004A5153">
      <w:pPr>
        <w:ind w:left="1302" w:hanging="451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  <w:t>Overfølsomhed over for de aktive stoffer eller over for et eller flere af hjælpestofferne anført i pkt. 6.1. Angående overfølsomhed over for formaldehyd, se pkt. 4.4.</w:t>
      </w:r>
    </w:p>
    <w:p w:rsidR="004A5153" w:rsidRPr="007531BB" w:rsidRDefault="004A5153" w:rsidP="004A5153">
      <w:pPr>
        <w:ind w:left="1302" w:hanging="451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</w:r>
      <w:r>
        <w:rPr>
          <w:szCs w:val="22"/>
        </w:rPr>
        <w:tab/>
      </w:r>
      <w:r w:rsidRPr="007531BB">
        <w:rPr>
          <w:szCs w:val="22"/>
        </w:rPr>
        <w:t xml:space="preserve">Som med andre vacciner bør vaccination med </w:t>
      </w:r>
      <w:proofErr w:type="spellStart"/>
      <w:r w:rsidRPr="007531BB">
        <w:rPr>
          <w:szCs w:val="22"/>
        </w:rPr>
        <w:t>Picovax</w:t>
      </w:r>
      <w:proofErr w:type="spellEnd"/>
      <w:r w:rsidRPr="007531BB">
        <w:rPr>
          <w:szCs w:val="22"/>
        </w:rPr>
        <w:t xml:space="preserve"> udskydes hos personer, der lider af akut febril sygdom.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4.4</w:t>
      </w:r>
      <w:r w:rsidRPr="009248D1">
        <w:rPr>
          <w:b/>
          <w:sz w:val="24"/>
          <w:szCs w:val="24"/>
        </w:rPr>
        <w:tab/>
        <w:t>Særlige advarsler og forsigtighedsregler vedrørende brugen</w:t>
      </w:r>
    </w:p>
    <w:p w:rsidR="004A5153" w:rsidRPr="007531BB" w:rsidRDefault="004A5153" w:rsidP="00DB3B0E">
      <w:pPr>
        <w:keepNext/>
        <w:rPr>
          <w:szCs w:val="22"/>
        </w:rPr>
      </w:pPr>
    </w:p>
    <w:p w:rsidR="004A5153" w:rsidRPr="007531BB" w:rsidRDefault="004A5153" w:rsidP="00DB3B0E">
      <w:pPr>
        <w:ind w:left="1301" w:hanging="450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</w:r>
      <w:proofErr w:type="spellStart"/>
      <w:r w:rsidRPr="007531BB">
        <w:rPr>
          <w:szCs w:val="22"/>
        </w:rPr>
        <w:t>Picovax</w:t>
      </w:r>
      <w:proofErr w:type="spellEnd"/>
      <w:r w:rsidRPr="007531BB">
        <w:rPr>
          <w:szCs w:val="22"/>
        </w:rPr>
        <w:t xml:space="preserve"> skal omrystes før brug, indtil vaccinen fremstår som en lyserød til rød suspension af hvide og grå partikler.</w:t>
      </w:r>
    </w:p>
    <w:p w:rsidR="004A5153" w:rsidRPr="007531BB" w:rsidRDefault="004A5153" w:rsidP="00DB3B0E">
      <w:pPr>
        <w:ind w:left="1301" w:hanging="450"/>
        <w:rPr>
          <w:szCs w:val="22"/>
        </w:rPr>
      </w:pPr>
      <w:r w:rsidRPr="007531BB">
        <w:rPr>
          <w:szCs w:val="22"/>
        </w:rPr>
        <w:lastRenderedPageBreak/>
        <w:sym w:font="Symbol" w:char="F0B7"/>
      </w:r>
      <w:r w:rsidRPr="007531BB">
        <w:rPr>
          <w:szCs w:val="22"/>
        </w:rPr>
        <w:tab/>
        <w:t xml:space="preserve">Som ved enhver injektion af vacciner skal passende medicinsk behandling og overvågning være let tilgængelig i tilfælde af sjældne </w:t>
      </w:r>
      <w:proofErr w:type="spellStart"/>
      <w:r w:rsidRPr="007531BB">
        <w:rPr>
          <w:szCs w:val="22"/>
        </w:rPr>
        <w:t>anafylaktiske</w:t>
      </w:r>
      <w:proofErr w:type="spellEnd"/>
      <w:r w:rsidRPr="007531BB">
        <w:rPr>
          <w:szCs w:val="22"/>
        </w:rPr>
        <w:t xml:space="preserve"> reaktioner.</w:t>
      </w:r>
    </w:p>
    <w:p w:rsidR="004A5153" w:rsidRPr="007531BB" w:rsidRDefault="004A5153" w:rsidP="00DB3B0E">
      <w:pPr>
        <w:ind w:left="567" w:firstLine="284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</w:r>
      <w:proofErr w:type="spellStart"/>
      <w:r w:rsidRPr="007531BB">
        <w:rPr>
          <w:szCs w:val="22"/>
        </w:rPr>
        <w:t>Picovax</w:t>
      </w:r>
      <w:proofErr w:type="spellEnd"/>
      <w:r w:rsidRPr="007531BB">
        <w:rPr>
          <w:szCs w:val="22"/>
        </w:rPr>
        <w:t xml:space="preserve"> må ikke administreres </w:t>
      </w:r>
      <w:proofErr w:type="spellStart"/>
      <w:r w:rsidRPr="007531BB">
        <w:rPr>
          <w:szCs w:val="22"/>
        </w:rPr>
        <w:t>intravaskulært</w:t>
      </w:r>
      <w:proofErr w:type="spellEnd"/>
      <w:r w:rsidRPr="007531BB">
        <w:rPr>
          <w:szCs w:val="22"/>
        </w:rPr>
        <w:t xml:space="preserve"> eller </w:t>
      </w:r>
      <w:proofErr w:type="spellStart"/>
      <w:r w:rsidRPr="007531BB">
        <w:rPr>
          <w:szCs w:val="22"/>
        </w:rPr>
        <w:t>intradermalt</w:t>
      </w:r>
      <w:proofErr w:type="spellEnd"/>
      <w:r w:rsidRPr="007531BB">
        <w:rPr>
          <w:szCs w:val="22"/>
        </w:rPr>
        <w:t>.</w:t>
      </w:r>
    </w:p>
    <w:p w:rsidR="004A5153" w:rsidRPr="007531BB" w:rsidRDefault="004A5153" w:rsidP="00DB3B0E">
      <w:pPr>
        <w:ind w:left="1301" w:hanging="450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  <w:t xml:space="preserve">Som ved enhver intramuskulær injektion skal </w:t>
      </w:r>
      <w:proofErr w:type="spellStart"/>
      <w:r w:rsidRPr="007531BB">
        <w:rPr>
          <w:szCs w:val="22"/>
        </w:rPr>
        <w:t>Picovax</w:t>
      </w:r>
      <w:proofErr w:type="spellEnd"/>
      <w:r w:rsidRPr="007531BB">
        <w:rPr>
          <w:szCs w:val="22"/>
        </w:rPr>
        <w:t xml:space="preserve"> administreres med forsigtighed til personer med ukontrolleret </w:t>
      </w:r>
      <w:proofErr w:type="spellStart"/>
      <w:r w:rsidRPr="007531BB">
        <w:rPr>
          <w:szCs w:val="22"/>
        </w:rPr>
        <w:t>koagulopati</w:t>
      </w:r>
      <w:proofErr w:type="spellEnd"/>
      <w:r w:rsidRPr="007531BB">
        <w:rPr>
          <w:szCs w:val="22"/>
        </w:rPr>
        <w:t>, idet blødning kan indtræffe.</w:t>
      </w:r>
    </w:p>
    <w:p w:rsidR="004A5153" w:rsidRPr="007531BB" w:rsidRDefault="004A5153" w:rsidP="00DB3B0E">
      <w:pPr>
        <w:ind w:left="1301" w:hanging="450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  <w:t xml:space="preserve">Hos personer med nedsat immunforsvar eller hos personer i immunsuppressiv behandling kan vaccination foretages, men antistofsvaret kan være nedsat. Hvis det er muligt, bør vaccination udsættes, indtil virkningen af den immunsuppressive behandling er ophørt </w:t>
      </w:r>
    </w:p>
    <w:p w:rsidR="004A5153" w:rsidRPr="007531BB" w:rsidRDefault="004A5153" w:rsidP="00DB3B0E">
      <w:pPr>
        <w:ind w:left="1301" w:hanging="450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  <w:t>Det anbefales at vaccinere personer med kronisk immundefekt, f.eks. HIV-infektion, selvom antistofsvaret kan være nedsat.</w:t>
      </w:r>
    </w:p>
    <w:p w:rsidR="004A5153" w:rsidRPr="007531BB" w:rsidRDefault="004A5153" w:rsidP="00DB3B0E">
      <w:pPr>
        <w:ind w:left="1301" w:hanging="450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  <w:t>Som for andre vacciner opnås et beskyttende antistofniveau ikke nødvendigvis hos alle vaccinerede.</w:t>
      </w:r>
    </w:p>
    <w:p w:rsidR="004A5153" w:rsidRPr="007531BB" w:rsidRDefault="004A5153" w:rsidP="00DB3B0E">
      <w:pPr>
        <w:ind w:left="1301" w:hanging="450"/>
        <w:rPr>
          <w:szCs w:val="22"/>
        </w:rPr>
      </w:pPr>
      <w:r w:rsidRPr="007531BB">
        <w:rPr>
          <w:szCs w:val="22"/>
        </w:rPr>
        <w:sym w:font="Symbol" w:char="F0B7"/>
      </w:r>
      <w:r w:rsidRPr="007531BB">
        <w:rPr>
          <w:szCs w:val="22"/>
        </w:rPr>
        <w:tab/>
        <w:t>Formaldehyd bruges i fremstillingsprocessen, og spormængder heraf kan være til stede i vaccinen. Forsigtighed bør udvises ved kendt overfølsomhed over for formaldehyd.</w:t>
      </w:r>
    </w:p>
    <w:p w:rsidR="0032040F" w:rsidRPr="00520AA6" w:rsidRDefault="0032040F" w:rsidP="0032040F">
      <w:pPr>
        <w:tabs>
          <w:tab w:val="left" w:pos="851"/>
        </w:tabs>
        <w:ind w:left="850"/>
        <w:rPr>
          <w:sz w:val="24"/>
          <w:szCs w:val="24"/>
        </w:rPr>
      </w:pPr>
    </w:p>
    <w:p w:rsidR="0032040F" w:rsidRPr="00520AA6" w:rsidRDefault="0032040F" w:rsidP="0032040F">
      <w:pPr>
        <w:ind w:firstLine="851"/>
        <w:rPr>
          <w:noProof/>
          <w:sz w:val="24"/>
          <w:szCs w:val="24"/>
        </w:rPr>
      </w:pPr>
      <w:r w:rsidRPr="00520AA6">
        <w:rPr>
          <w:i/>
          <w:noProof/>
          <w:sz w:val="24"/>
          <w:szCs w:val="24"/>
        </w:rPr>
        <w:t>Pædiatrisk population</w:t>
      </w:r>
    </w:p>
    <w:p w:rsidR="0032040F" w:rsidRDefault="0032040F" w:rsidP="0032040F">
      <w:pPr>
        <w:tabs>
          <w:tab w:val="left" w:pos="851"/>
        </w:tabs>
        <w:ind w:left="850"/>
        <w:rPr>
          <w:sz w:val="24"/>
          <w:szCs w:val="24"/>
        </w:rPr>
      </w:pPr>
      <w:r w:rsidRPr="00520AA6">
        <w:rPr>
          <w:sz w:val="24"/>
          <w:szCs w:val="24"/>
        </w:rPr>
        <w:t>Den potentielle risiko for apnø samt behovet for respiratorisk overvågning i 48-72 timer bør tages i betragtning, når vaccinen gives i forbindelse med det primære vaccinations-program til for tidligt fødte børn (født ≤28 ugers graviditet) og spædbørn med et umodent respirationssystem. Da fordelen ved vaccination er stor for denne gruppe af spædbørn, bør vaccination ikke udelades eller udsættes.</w:t>
      </w:r>
    </w:p>
    <w:p w:rsidR="004A5153" w:rsidRDefault="004A5153" w:rsidP="0032040F">
      <w:pPr>
        <w:tabs>
          <w:tab w:val="left" w:pos="851"/>
        </w:tabs>
        <w:ind w:left="850"/>
        <w:rPr>
          <w:sz w:val="24"/>
          <w:szCs w:val="24"/>
        </w:rPr>
      </w:pPr>
    </w:p>
    <w:p w:rsidR="004A5153" w:rsidRPr="007531BB" w:rsidRDefault="004A5153" w:rsidP="004A5153">
      <w:pPr>
        <w:tabs>
          <w:tab w:val="left" w:pos="851"/>
        </w:tabs>
        <w:rPr>
          <w:szCs w:val="22"/>
        </w:rPr>
      </w:pPr>
      <w:r>
        <w:rPr>
          <w:szCs w:val="22"/>
        </w:rPr>
        <w:tab/>
      </w:r>
      <w:r w:rsidRPr="007531BB">
        <w:rPr>
          <w:szCs w:val="22"/>
        </w:rPr>
        <w:t>Sporbarhed</w:t>
      </w:r>
    </w:p>
    <w:p w:rsidR="004A5153" w:rsidRPr="00520AA6" w:rsidRDefault="004A5153" w:rsidP="004A5153">
      <w:pPr>
        <w:tabs>
          <w:tab w:val="left" w:pos="851"/>
        </w:tabs>
        <w:ind w:left="850"/>
        <w:rPr>
          <w:sz w:val="24"/>
          <w:szCs w:val="24"/>
        </w:rPr>
      </w:pPr>
      <w:r w:rsidRPr="007531BB">
        <w:rPr>
          <w:szCs w:val="22"/>
        </w:rPr>
        <w:t xml:space="preserve">For at forbedre sporbarheden af biologiske lægemidler </w:t>
      </w:r>
      <w:r w:rsidRPr="00DB3B0E">
        <w:rPr>
          <w:szCs w:val="22"/>
        </w:rPr>
        <w:t>skal det administrerede produkts navn og batchnummer tydeligt registreres</w:t>
      </w:r>
      <w:r w:rsidRPr="007531BB">
        <w:rPr>
          <w:szCs w:val="22"/>
        </w:rPr>
        <w:t>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4.5</w:t>
      </w:r>
      <w:r w:rsidRPr="009248D1">
        <w:rPr>
          <w:b/>
          <w:sz w:val="24"/>
          <w:szCs w:val="24"/>
        </w:rPr>
        <w:tab/>
        <w:t>Interaktion med andre lægemidler og andre former for interaktion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E7D59">
        <w:rPr>
          <w:sz w:val="24"/>
          <w:szCs w:val="24"/>
        </w:rPr>
        <w:t>Med undtagelse af immunsuppre</w:t>
      </w:r>
      <w:r w:rsidRPr="00520AA6">
        <w:rPr>
          <w:sz w:val="24"/>
          <w:szCs w:val="24"/>
        </w:rPr>
        <w:t>ssiv behandling (se pkt. 4.4), er der ingen kendt interaktion med andre lægemidler.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kan administreres samtidig, før og efter andre levende eller inaktiverede vacciner. Vaccinerne bør administreres på forskellige injektionssteder.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4.6</w:t>
      </w:r>
      <w:r w:rsidRPr="009248D1">
        <w:rPr>
          <w:b/>
          <w:sz w:val="24"/>
          <w:szCs w:val="24"/>
        </w:rPr>
        <w:tab/>
      </w:r>
      <w:r w:rsidR="006012E5">
        <w:rPr>
          <w:b/>
          <w:sz w:val="24"/>
          <w:szCs w:val="24"/>
        </w:rPr>
        <w:t>Fertilitet, g</w:t>
      </w:r>
      <w:r w:rsidRPr="009248D1">
        <w:rPr>
          <w:b/>
          <w:sz w:val="24"/>
          <w:szCs w:val="24"/>
        </w:rPr>
        <w:t>raviditet og amning</w:t>
      </w:r>
    </w:p>
    <w:p w:rsidR="0032040F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C651B4" w:rsidRDefault="0032040F" w:rsidP="0032040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651B4">
        <w:rPr>
          <w:sz w:val="24"/>
          <w:szCs w:val="24"/>
          <w:u w:val="single"/>
        </w:rPr>
        <w:t>Graviditet</w:t>
      </w:r>
    </w:p>
    <w:p w:rsidR="0032040F" w:rsidRPr="00520AA6" w:rsidRDefault="0032040F" w:rsidP="0032040F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520AA6">
        <w:rPr>
          <w:noProof/>
          <w:sz w:val="24"/>
          <w:szCs w:val="24"/>
        </w:rPr>
        <w:t>I lighed med andre inaktiverede vacciner forventes Picovax ikke at skade fosteret. Picovax bør kun anvendes til gravide ved klar indikation.</w:t>
      </w:r>
    </w:p>
    <w:p w:rsidR="0032040F" w:rsidRPr="00520AA6" w:rsidRDefault="0032040F" w:rsidP="0032040F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32040F" w:rsidRPr="00C651B4" w:rsidRDefault="0032040F" w:rsidP="0032040F">
      <w:pPr>
        <w:ind w:left="851"/>
        <w:rPr>
          <w:sz w:val="24"/>
          <w:szCs w:val="24"/>
          <w:u w:val="single"/>
        </w:rPr>
      </w:pPr>
      <w:r w:rsidRPr="00C651B4">
        <w:rPr>
          <w:sz w:val="24"/>
          <w:szCs w:val="24"/>
          <w:u w:val="single"/>
        </w:rPr>
        <w:t>Amning</w:t>
      </w:r>
    </w:p>
    <w:p w:rsidR="0032040F" w:rsidRDefault="0032040F" w:rsidP="0032040F">
      <w:pPr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Virkningen på ammede spædbørn efter indgivelse af </w:t>
      </w: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til deres mødre er ikke undersøgt.</w:t>
      </w:r>
    </w:p>
    <w:p w:rsidR="009634A4" w:rsidRDefault="009634A4" w:rsidP="0032040F">
      <w:pPr>
        <w:ind w:left="851"/>
        <w:rPr>
          <w:sz w:val="24"/>
          <w:szCs w:val="24"/>
        </w:rPr>
      </w:pPr>
    </w:p>
    <w:p w:rsidR="009634A4" w:rsidRPr="00C651B4" w:rsidRDefault="009634A4" w:rsidP="009634A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651B4">
        <w:rPr>
          <w:sz w:val="24"/>
          <w:szCs w:val="24"/>
          <w:u w:val="single"/>
        </w:rPr>
        <w:t>Fertilitet</w:t>
      </w:r>
    </w:p>
    <w:p w:rsidR="009634A4" w:rsidRPr="00520AA6" w:rsidRDefault="009634A4" w:rsidP="009634A4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noProof/>
          <w:sz w:val="24"/>
          <w:szCs w:val="24"/>
        </w:rPr>
        <w:t>Intet tyder på, at vaccination med Picovax har indvirkning på mænds og kvinders fertilitet. Data fra dyreforsøg viste ingen påvirkninger af reproduktionsorganerne</w:t>
      </w:r>
      <w:r w:rsidRPr="00520AA6">
        <w:rPr>
          <w:sz w:val="24"/>
          <w:szCs w:val="24"/>
        </w:rPr>
        <w:t>.</w:t>
      </w:r>
    </w:p>
    <w:p w:rsidR="009634A4" w:rsidRPr="00520AA6" w:rsidRDefault="009634A4" w:rsidP="0032040F">
      <w:pPr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4.7</w:t>
      </w:r>
      <w:r w:rsidRPr="009248D1">
        <w:rPr>
          <w:b/>
          <w:sz w:val="24"/>
          <w:szCs w:val="24"/>
        </w:rPr>
        <w:tab/>
        <w:t xml:space="preserve">Virkning på evnen til at føre motorkøretøj </w:t>
      </w:r>
      <w:r w:rsidR="006012E5">
        <w:rPr>
          <w:b/>
          <w:sz w:val="24"/>
          <w:szCs w:val="24"/>
        </w:rPr>
        <w:t>og</w:t>
      </w:r>
      <w:r w:rsidRPr="009248D1">
        <w:rPr>
          <w:b/>
          <w:sz w:val="24"/>
          <w:szCs w:val="24"/>
        </w:rPr>
        <w:t xml:space="preserve"> betjene maskiner</w:t>
      </w:r>
    </w:p>
    <w:p w:rsidR="0032040F" w:rsidRPr="005E7D59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E7D59">
        <w:rPr>
          <w:sz w:val="24"/>
          <w:szCs w:val="24"/>
        </w:rPr>
        <w:t>Ikke mærkning.</w:t>
      </w:r>
    </w:p>
    <w:p w:rsidR="0032040F" w:rsidRDefault="0032040F" w:rsidP="009634A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påvirker ikke eller kun i ubetydelig grad evnen til at føre motorkøretøj </w:t>
      </w:r>
      <w:r w:rsidR="009634A4">
        <w:rPr>
          <w:sz w:val="24"/>
          <w:szCs w:val="24"/>
        </w:rPr>
        <w:t xml:space="preserve">og </w:t>
      </w:r>
      <w:r w:rsidRPr="00520AA6">
        <w:rPr>
          <w:sz w:val="24"/>
          <w:szCs w:val="24"/>
        </w:rPr>
        <w:t>betjene maskiner.</w:t>
      </w:r>
      <w:r>
        <w:rPr>
          <w:sz w:val="24"/>
          <w:szCs w:val="24"/>
        </w:rPr>
        <w:br w:type="page"/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4.8</w:t>
      </w:r>
      <w:r w:rsidRPr="009248D1">
        <w:rPr>
          <w:b/>
          <w:sz w:val="24"/>
          <w:szCs w:val="24"/>
        </w:rPr>
        <w:tab/>
        <w:t>Bivirkninger</w:t>
      </w:r>
    </w:p>
    <w:p w:rsidR="0032040F" w:rsidRPr="00032AB6" w:rsidRDefault="0032040F" w:rsidP="0032040F">
      <w:pPr>
        <w:pStyle w:val="Sidehoved"/>
        <w:ind w:left="851"/>
        <w:rPr>
          <w:szCs w:val="24"/>
        </w:rPr>
      </w:pPr>
      <w:r w:rsidRPr="00032AB6">
        <w:rPr>
          <w:szCs w:val="24"/>
        </w:rPr>
        <w:t xml:space="preserve">De hyppigst rapporterede bivirkninger efter administration af </w:t>
      </w:r>
      <w:proofErr w:type="spellStart"/>
      <w:r w:rsidRPr="00032AB6">
        <w:rPr>
          <w:szCs w:val="24"/>
        </w:rPr>
        <w:t>Picovax</w:t>
      </w:r>
      <w:proofErr w:type="spellEnd"/>
      <w:r w:rsidRPr="00032AB6">
        <w:rPr>
          <w:szCs w:val="24"/>
        </w:rPr>
        <w:t xml:space="preserve"> er reaktioner på injektionsstedet, feber og general utilpashed. Disse reaktioner opstår som regel inden for 48 timer efter vaccination og er forbigående. </w:t>
      </w:r>
    </w:p>
    <w:p w:rsidR="0032040F" w:rsidRPr="00032AB6" w:rsidRDefault="0032040F" w:rsidP="0032040F">
      <w:pPr>
        <w:pStyle w:val="Sidehoved"/>
        <w:ind w:left="851"/>
        <w:rPr>
          <w:szCs w:val="24"/>
        </w:rPr>
      </w:pPr>
      <w:proofErr w:type="spellStart"/>
      <w:r w:rsidRPr="00032AB6">
        <w:rPr>
          <w:szCs w:val="24"/>
        </w:rPr>
        <w:t>Anafylaktiske</w:t>
      </w:r>
      <w:proofErr w:type="spellEnd"/>
      <w:r w:rsidRPr="00032AB6">
        <w:rPr>
          <w:szCs w:val="24"/>
        </w:rPr>
        <w:t xml:space="preserve"> reaktioner rapporteres meget sjældent for vacciner. De nødvendige forholdsregler i forbindelse med behandling af </w:t>
      </w:r>
      <w:proofErr w:type="spellStart"/>
      <w:r w:rsidRPr="00032AB6">
        <w:rPr>
          <w:szCs w:val="24"/>
        </w:rPr>
        <w:t>anafylaktiske</w:t>
      </w:r>
      <w:proofErr w:type="spellEnd"/>
      <w:r w:rsidRPr="00032AB6">
        <w:rPr>
          <w:szCs w:val="24"/>
        </w:rPr>
        <w:t xml:space="preserve"> reaktioner bør altid tages (se pkt. 4.4).</w:t>
      </w:r>
    </w:p>
    <w:p w:rsidR="0032040F" w:rsidRPr="00032AB6" w:rsidRDefault="0032040F" w:rsidP="0032040F">
      <w:pPr>
        <w:pStyle w:val="Sidehoved"/>
        <w:ind w:left="851"/>
        <w:rPr>
          <w:szCs w:val="24"/>
        </w:rPr>
      </w:pPr>
    </w:p>
    <w:p w:rsidR="0032040F" w:rsidRPr="00032AB6" w:rsidRDefault="0032040F" w:rsidP="0032040F">
      <w:pPr>
        <w:pStyle w:val="Sidehoved"/>
        <w:ind w:left="851"/>
        <w:rPr>
          <w:szCs w:val="24"/>
        </w:rPr>
      </w:pPr>
      <w:r w:rsidRPr="00032AB6">
        <w:rPr>
          <w:szCs w:val="24"/>
        </w:rPr>
        <w:t xml:space="preserve">Bivirkningerne anført i tabellen nedenfor er baseret på data fra kliniske studier med spædbørn, børn, unge og voksne, og er klassificeret i henhold til </w:t>
      </w:r>
      <w:proofErr w:type="spellStart"/>
      <w:r w:rsidRPr="00032AB6">
        <w:rPr>
          <w:szCs w:val="24"/>
        </w:rPr>
        <w:t>MedDRA</w:t>
      </w:r>
      <w:proofErr w:type="spellEnd"/>
      <w:r w:rsidRPr="00032AB6">
        <w:rPr>
          <w:szCs w:val="24"/>
        </w:rPr>
        <w:t xml:space="preserve"> System Organ Class. Bivirkningsprofilen for </w:t>
      </w:r>
      <w:proofErr w:type="spellStart"/>
      <w:r w:rsidRPr="00032AB6">
        <w:rPr>
          <w:szCs w:val="24"/>
        </w:rPr>
        <w:t>Picovax</w:t>
      </w:r>
      <w:proofErr w:type="spellEnd"/>
      <w:r w:rsidRPr="00032AB6">
        <w:rPr>
          <w:szCs w:val="24"/>
        </w:rPr>
        <w:t xml:space="preserve"> inkluderer også bivirkninger fra kliniske forsøg og erfaring med vacciner, der har et højere poliovirus-antigenindhold end </w:t>
      </w:r>
      <w:proofErr w:type="spellStart"/>
      <w:r w:rsidRPr="00032AB6">
        <w:rPr>
          <w:szCs w:val="24"/>
        </w:rPr>
        <w:t>Picovax</w:t>
      </w:r>
      <w:proofErr w:type="spellEnd"/>
      <w:r w:rsidRPr="00032AB6">
        <w:rPr>
          <w:szCs w:val="24"/>
        </w:rPr>
        <w:t>, enten som en enkeltkomponentvaccine eller kombineret med andre vaccine-antigener og aluminiumhydroxidhydrat.</w:t>
      </w:r>
    </w:p>
    <w:p w:rsidR="0032040F" w:rsidRPr="00032AB6" w:rsidRDefault="0032040F" w:rsidP="0032040F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889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650"/>
      </w:tblGrid>
      <w:tr w:rsidR="0032040F" w:rsidRPr="00032AB6" w:rsidTr="003B4BCE">
        <w:tc>
          <w:tcPr>
            <w:tcW w:w="5245" w:type="dxa"/>
          </w:tcPr>
          <w:p w:rsidR="0032040F" w:rsidRPr="00032AB6" w:rsidRDefault="0032040F" w:rsidP="003B4BCE">
            <w:pPr>
              <w:pStyle w:val="Sidehoved"/>
              <w:ind w:left="62"/>
              <w:rPr>
                <w:b/>
                <w:szCs w:val="24"/>
                <w:lang w:val="de-DE"/>
              </w:rPr>
            </w:pPr>
            <w:proofErr w:type="spellStart"/>
            <w:r w:rsidRPr="00032AB6">
              <w:rPr>
                <w:b/>
                <w:szCs w:val="24"/>
                <w:lang w:val="de-DE"/>
              </w:rPr>
              <w:t>Systemorganklasser</w:t>
            </w:r>
            <w:proofErr w:type="spellEnd"/>
            <w:r w:rsidRPr="00032AB6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Pr="00032AB6">
              <w:rPr>
                <w:b/>
                <w:szCs w:val="24"/>
                <w:lang w:val="de-DE"/>
              </w:rPr>
              <w:t>og</w:t>
            </w:r>
            <w:proofErr w:type="spellEnd"/>
            <w:r w:rsidRPr="00032AB6">
              <w:rPr>
                <w:b/>
                <w:szCs w:val="24"/>
                <w:lang w:val="de-DE"/>
              </w:rPr>
              <w:t xml:space="preserve"> </w:t>
            </w:r>
            <w:proofErr w:type="spellStart"/>
            <w:r w:rsidRPr="00032AB6">
              <w:rPr>
                <w:b/>
                <w:szCs w:val="24"/>
                <w:lang w:val="de-DE"/>
              </w:rPr>
              <w:t>frekvens</w:t>
            </w:r>
            <w:proofErr w:type="spellEnd"/>
            <w:r w:rsidRPr="00032AB6">
              <w:rPr>
                <w:b/>
                <w:szCs w:val="24"/>
                <w:lang w:val="de-DE"/>
              </w:rPr>
              <w:t xml:space="preserve"> </w:t>
            </w:r>
          </w:p>
        </w:tc>
        <w:tc>
          <w:tcPr>
            <w:tcW w:w="3650" w:type="dxa"/>
          </w:tcPr>
          <w:p w:rsidR="0032040F" w:rsidRPr="00032AB6" w:rsidRDefault="0032040F" w:rsidP="003B4BCE">
            <w:pPr>
              <w:pStyle w:val="Sidehoved"/>
              <w:ind w:left="62"/>
              <w:rPr>
                <w:b/>
                <w:szCs w:val="24"/>
                <w:lang w:val="de-DE"/>
              </w:rPr>
            </w:pPr>
            <w:r w:rsidRPr="00032AB6">
              <w:rPr>
                <w:b/>
                <w:szCs w:val="24"/>
                <w:lang w:val="de-DE"/>
              </w:rPr>
              <w:t>Bivirkninger</w:t>
            </w:r>
          </w:p>
        </w:tc>
      </w:tr>
      <w:tr w:rsidR="0032040F" w:rsidRPr="00032AB6" w:rsidTr="003B4BCE">
        <w:tc>
          <w:tcPr>
            <w:tcW w:w="5245" w:type="dxa"/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de-DE"/>
              </w:rPr>
            </w:pPr>
            <w:r w:rsidRPr="00032AB6">
              <w:rPr>
                <w:b/>
                <w:szCs w:val="24"/>
                <w:lang w:val="x-none"/>
              </w:rPr>
              <w:t>Immunsystemet</w:t>
            </w:r>
            <w:r w:rsidRPr="00032AB6">
              <w:rPr>
                <w:b/>
                <w:szCs w:val="24"/>
                <w:lang w:val="x-none"/>
              </w:rPr>
              <w:br/>
            </w:r>
            <w:r w:rsidRPr="00032AB6">
              <w:rPr>
                <w:szCs w:val="24"/>
                <w:lang w:val="x-none"/>
              </w:rPr>
              <w:t>Meget sjælden (&lt;1/10.000)</w:t>
            </w:r>
          </w:p>
        </w:tc>
        <w:tc>
          <w:tcPr>
            <w:tcW w:w="3650" w:type="dxa"/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de-DE"/>
              </w:rPr>
            </w:pPr>
            <w:r w:rsidRPr="00032AB6">
              <w:rPr>
                <w:szCs w:val="24"/>
                <w:lang w:val="de-DE"/>
              </w:rPr>
              <w:br/>
            </w:r>
            <w:proofErr w:type="spellStart"/>
            <w:r w:rsidRPr="00032AB6">
              <w:rPr>
                <w:szCs w:val="24"/>
                <w:lang w:val="de-DE"/>
              </w:rPr>
              <w:t>Anafylaktisk</w:t>
            </w:r>
            <w:proofErr w:type="spellEnd"/>
            <w:r w:rsidRPr="00032AB6">
              <w:rPr>
                <w:szCs w:val="24"/>
                <w:lang w:val="de-DE"/>
              </w:rPr>
              <w:t xml:space="preserve"> </w:t>
            </w:r>
            <w:proofErr w:type="spellStart"/>
            <w:r w:rsidRPr="00032AB6">
              <w:rPr>
                <w:szCs w:val="24"/>
                <w:lang w:val="de-DE"/>
              </w:rPr>
              <w:t>reaktion</w:t>
            </w:r>
            <w:proofErr w:type="spellEnd"/>
            <w:r w:rsidRPr="00032AB6">
              <w:rPr>
                <w:szCs w:val="24"/>
                <w:lang w:val="de-DE"/>
              </w:rPr>
              <w:t xml:space="preserve"> 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de-DE"/>
              </w:rPr>
            </w:pPr>
            <w:proofErr w:type="spellStart"/>
            <w:r w:rsidRPr="00032AB6">
              <w:rPr>
                <w:szCs w:val="24"/>
                <w:lang w:val="de-DE"/>
              </w:rPr>
              <w:t>Hypersensitivitet</w:t>
            </w:r>
            <w:proofErr w:type="spellEnd"/>
          </w:p>
        </w:tc>
      </w:tr>
      <w:tr w:rsidR="0032040F" w:rsidRPr="00032AB6" w:rsidTr="003B4BCE">
        <w:trPr>
          <w:trHeight w:val="680"/>
        </w:trPr>
        <w:tc>
          <w:tcPr>
            <w:tcW w:w="5245" w:type="dxa"/>
            <w:tcBorders>
              <w:bottom w:val="single" w:sz="4" w:space="0" w:color="auto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b/>
                <w:szCs w:val="24"/>
              </w:rPr>
            </w:pPr>
            <w:r w:rsidRPr="00032AB6">
              <w:rPr>
                <w:b/>
                <w:szCs w:val="24"/>
              </w:rPr>
              <w:t>Metabolisme of ernæring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b/>
                <w:szCs w:val="24"/>
              </w:rPr>
            </w:pPr>
            <w:r w:rsidRPr="00032AB6">
              <w:rPr>
                <w:szCs w:val="24"/>
              </w:rPr>
              <w:t>Meget almindelig (≥1/10)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de-DE"/>
              </w:rPr>
            </w:pPr>
            <w:r w:rsidRPr="00032AB6">
              <w:rPr>
                <w:szCs w:val="24"/>
                <w:lang w:val="de-DE"/>
              </w:rPr>
              <w:br/>
            </w:r>
            <w:proofErr w:type="spellStart"/>
            <w:r w:rsidRPr="00032AB6">
              <w:rPr>
                <w:szCs w:val="24"/>
                <w:lang w:val="de-DE"/>
              </w:rPr>
              <w:t>Nedsat</w:t>
            </w:r>
            <w:proofErr w:type="spellEnd"/>
            <w:r w:rsidRPr="00032AB6">
              <w:rPr>
                <w:szCs w:val="24"/>
                <w:lang w:val="de-DE"/>
              </w:rPr>
              <w:t xml:space="preserve"> </w:t>
            </w:r>
            <w:proofErr w:type="spellStart"/>
            <w:r w:rsidRPr="00032AB6">
              <w:rPr>
                <w:szCs w:val="24"/>
                <w:lang w:val="de-DE"/>
              </w:rPr>
              <w:t>appetit</w:t>
            </w:r>
            <w:proofErr w:type="spellEnd"/>
          </w:p>
        </w:tc>
      </w:tr>
      <w:tr w:rsidR="0032040F" w:rsidRPr="00032AB6" w:rsidTr="003B4BCE">
        <w:tc>
          <w:tcPr>
            <w:tcW w:w="5245" w:type="dxa"/>
            <w:tcBorders>
              <w:bottom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en-US"/>
              </w:rPr>
            </w:pPr>
            <w:proofErr w:type="spellStart"/>
            <w:r w:rsidRPr="00032AB6">
              <w:rPr>
                <w:b/>
                <w:szCs w:val="24"/>
                <w:lang w:val="en-US"/>
              </w:rPr>
              <w:t>Nervesystemet</w:t>
            </w:r>
            <w:proofErr w:type="spellEnd"/>
            <w:r w:rsidRPr="00032AB6">
              <w:rPr>
                <w:szCs w:val="24"/>
                <w:lang w:val="en-US"/>
              </w:rPr>
              <w:br/>
            </w:r>
            <w:proofErr w:type="spellStart"/>
            <w:r w:rsidRPr="00032AB6">
              <w:rPr>
                <w:szCs w:val="24"/>
                <w:lang w:val="en-US"/>
              </w:rPr>
              <w:t>Meget</w:t>
            </w:r>
            <w:proofErr w:type="spellEnd"/>
            <w:r w:rsidRPr="00032AB6">
              <w:rPr>
                <w:szCs w:val="24"/>
                <w:lang w:val="en-US"/>
              </w:rPr>
              <w:t xml:space="preserve"> </w:t>
            </w:r>
            <w:proofErr w:type="spellStart"/>
            <w:r w:rsidRPr="00032AB6">
              <w:rPr>
                <w:szCs w:val="24"/>
                <w:lang w:val="en-US"/>
              </w:rPr>
              <w:t>almindelig</w:t>
            </w:r>
            <w:proofErr w:type="spellEnd"/>
            <w:r w:rsidRPr="00032AB6">
              <w:rPr>
                <w:szCs w:val="24"/>
                <w:lang w:val="en-US"/>
              </w:rPr>
              <w:t xml:space="preserve"> (≥1/10)</w:t>
            </w:r>
          </w:p>
        </w:tc>
        <w:tc>
          <w:tcPr>
            <w:tcW w:w="3650" w:type="dxa"/>
            <w:tcBorders>
              <w:bottom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x-none"/>
              </w:rPr>
            </w:pPr>
            <w:r w:rsidRPr="00032AB6">
              <w:rPr>
                <w:szCs w:val="24"/>
                <w:lang w:val="en-US"/>
              </w:rPr>
              <w:br/>
            </w:r>
            <w:r w:rsidRPr="00032AB6">
              <w:rPr>
                <w:szCs w:val="24"/>
                <w:lang w:val="x-none"/>
              </w:rPr>
              <w:t>Hovedpine</w:t>
            </w:r>
          </w:p>
          <w:p w:rsidR="0032040F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Døsighed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</w:tc>
      </w:tr>
      <w:tr w:rsidR="0032040F" w:rsidRPr="00032AB6" w:rsidTr="003B4BCE">
        <w:trPr>
          <w:trHeight w:val="447"/>
        </w:trPr>
        <w:tc>
          <w:tcPr>
            <w:tcW w:w="5245" w:type="dxa"/>
            <w:tcBorders>
              <w:top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b/>
                <w:szCs w:val="24"/>
                <w:lang w:val="en-US"/>
              </w:rPr>
            </w:pPr>
            <w:r w:rsidRPr="00032AB6">
              <w:rPr>
                <w:szCs w:val="24"/>
              </w:rPr>
              <w:t>Sjælden</w:t>
            </w:r>
            <w:r w:rsidRPr="00032AB6">
              <w:rPr>
                <w:szCs w:val="24"/>
                <w:lang w:val="el-GR"/>
              </w:rPr>
              <w:t xml:space="preserve"> (≥1/10</w:t>
            </w:r>
            <w:r w:rsidRPr="00032AB6">
              <w:rPr>
                <w:szCs w:val="24"/>
              </w:rPr>
              <w:t>.</w:t>
            </w:r>
            <w:r w:rsidRPr="00032AB6">
              <w:rPr>
                <w:szCs w:val="24"/>
                <w:lang w:val="el-GR"/>
              </w:rPr>
              <w:t>000</w:t>
            </w:r>
            <w:r w:rsidRPr="00032AB6">
              <w:rPr>
                <w:szCs w:val="24"/>
              </w:rPr>
              <w:t xml:space="preserve"> til</w:t>
            </w:r>
            <w:r w:rsidRPr="00032AB6">
              <w:rPr>
                <w:szCs w:val="24"/>
                <w:lang w:val="el-GR"/>
              </w:rPr>
              <w:t xml:space="preserve"> </w:t>
            </w:r>
            <w:r w:rsidRPr="00032AB6">
              <w:rPr>
                <w:szCs w:val="24"/>
              </w:rPr>
              <w:t>&lt;</w:t>
            </w:r>
            <w:r w:rsidRPr="00032AB6">
              <w:rPr>
                <w:szCs w:val="24"/>
                <w:lang w:val="el-GR"/>
              </w:rPr>
              <w:t>1/1</w:t>
            </w:r>
            <w:r w:rsidRPr="00032AB6">
              <w:rPr>
                <w:szCs w:val="24"/>
              </w:rPr>
              <w:t>.</w:t>
            </w:r>
            <w:r w:rsidRPr="00032AB6">
              <w:rPr>
                <w:szCs w:val="24"/>
                <w:lang w:val="el-GR"/>
              </w:rPr>
              <w:t>000)</w:t>
            </w:r>
          </w:p>
        </w:tc>
        <w:tc>
          <w:tcPr>
            <w:tcW w:w="3650" w:type="dxa"/>
            <w:tcBorders>
              <w:top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en-US"/>
              </w:rPr>
            </w:pPr>
            <w:proofErr w:type="spellStart"/>
            <w:r w:rsidRPr="00032AB6">
              <w:rPr>
                <w:szCs w:val="24"/>
                <w:lang w:val="en-US"/>
              </w:rPr>
              <w:t>Feberkrampe</w:t>
            </w:r>
            <w:r>
              <w:rPr>
                <w:szCs w:val="24"/>
                <w:lang w:val="en-US"/>
              </w:rPr>
              <w:t>r</w:t>
            </w:r>
            <w:proofErr w:type="spellEnd"/>
          </w:p>
        </w:tc>
      </w:tr>
      <w:tr w:rsidR="0032040F" w:rsidRPr="00032AB6" w:rsidTr="003B4BCE">
        <w:tc>
          <w:tcPr>
            <w:tcW w:w="5245" w:type="dxa"/>
            <w:tcBorders>
              <w:top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b/>
                <w:szCs w:val="24"/>
              </w:rPr>
            </w:pPr>
            <w:proofErr w:type="spellStart"/>
            <w:r w:rsidRPr="00032AB6">
              <w:rPr>
                <w:b/>
                <w:szCs w:val="24"/>
              </w:rPr>
              <w:t>Mave-tarmkanalen</w:t>
            </w:r>
            <w:proofErr w:type="spellEnd"/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Almindelig (≥1/100 to &lt;1/10)</w:t>
            </w:r>
          </w:p>
        </w:tc>
        <w:tc>
          <w:tcPr>
            <w:tcW w:w="3650" w:type="dxa"/>
            <w:tcBorders>
              <w:top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en-US"/>
              </w:rPr>
            </w:pP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en-US"/>
              </w:rPr>
            </w:pPr>
            <w:proofErr w:type="spellStart"/>
            <w:r w:rsidRPr="00032AB6">
              <w:rPr>
                <w:szCs w:val="24"/>
                <w:lang w:val="en-US"/>
              </w:rPr>
              <w:t>Diarré</w:t>
            </w:r>
            <w:proofErr w:type="spellEnd"/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en-US"/>
              </w:rPr>
            </w:pPr>
            <w:proofErr w:type="spellStart"/>
            <w:r w:rsidRPr="00032AB6">
              <w:rPr>
                <w:szCs w:val="24"/>
                <w:lang w:val="en-US"/>
              </w:rPr>
              <w:t>Opkastning</w:t>
            </w:r>
            <w:proofErr w:type="spellEnd"/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en-US"/>
              </w:rPr>
            </w:pPr>
            <w:proofErr w:type="spellStart"/>
            <w:r w:rsidRPr="00032AB6">
              <w:rPr>
                <w:szCs w:val="24"/>
                <w:lang w:val="en-US"/>
              </w:rPr>
              <w:t>Kvalme</w:t>
            </w:r>
            <w:proofErr w:type="spellEnd"/>
          </w:p>
        </w:tc>
      </w:tr>
      <w:tr w:rsidR="0032040F" w:rsidRPr="00032AB6" w:rsidTr="003B4BCE">
        <w:trPr>
          <w:trHeight w:val="729"/>
        </w:trPr>
        <w:tc>
          <w:tcPr>
            <w:tcW w:w="5245" w:type="dxa"/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b/>
                <w:szCs w:val="24"/>
              </w:rPr>
              <w:t>Hud og subkutant væv</w:t>
            </w:r>
            <w:r w:rsidRPr="00032AB6">
              <w:rPr>
                <w:b/>
                <w:szCs w:val="24"/>
              </w:rPr>
              <w:br/>
            </w:r>
            <w:r w:rsidRPr="00032AB6">
              <w:rPr>
                <w:szCs w:val="24"/>
              </w:rPr>
              <w:t>Almindelig (≥1/100 to &lt;1/10)</w:t>
            </w:r>
          </w:p>
        </w:tc>
        <w:tc>
          <w:tcPr>
            <w:tcW w:w="3650" w:type="dxa"/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de-DE"/>
              </w:rPr>
            </w:pPr>
            <w:r w:rsidRPr="00032AB6">
              <w:rPr>
                <w:szCs w:val="24"/>
              </w:rPr>
              <w:br/>
              <w:t>Udslæt</w:t>
            </w:r>
          </w:p>
        </w:tc>
      </w:tr>
      <w:tr w:rsidR="0032040F" w:rsidRPr="00032AB6" w:rsidTr="003B4BCE">
        <w:trPr>
          <w:trHeight w:val="824"/>
        </w:trPr>
        <w:tc>
          <w:tcPr>
            <w:tcW w:w="5245" w:type="dxa"/>
            <w:tcBorders>
              <w:bottom w:val="single" w:sz="4" w:space="0" w:color="auto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b/>
                <w:szCs w:val="24"/>
              </w:rPr>
              <w:t>Knogler, led, muskler og bindevæv</w:t>
            </w:r>
            <w:r w:rsidRPr="00032AB6">
              <w:rPr>
                <w:b/>
                <w:szCs w:val="24"/>
              </w:rPr>
              <w:br/>
            </w:r>
            <w:r w:rsidRPr="00032AB6">
              <w:rPr>
                <w:szCs w:val="24"/>
              </w:rPr>
              <w:t>Almindelig (≥1/100 to &lt;1/10)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  <w:lang w:val="x-none"/>
              </w:rPr>
            </w:pPr>
            <w:r w:rsidRPr="00032AB6">
              <w:rPr>
                <w:szCs w:val="24"/>
              </w:rPr>
              <w:br/>
            </w:r>
            <w:r w:rsidRPr="00032AB6">
              <w:rPr>
                <w:szCs w:val="24"/>
                <w:lang w:val="x-none"/>
              </w:rPr>
              <w:t>Myalgi</w:t>
            </w:r>
          </w:p>
        </w:tc>
      </w:tr>
      <w:tr w:rsidR="0032040F" w:rsidRPr="00032AB6" w:rsidTr="003B4BCE">
        <w:tc>
          <w:tcPr>
            <w:tcW w:w="5245" w:type="dxa"/>
            <w:tcBorders>
              <w:bottom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b/>
                <w:szCs w:val="24"/>
              </w:rPr>
              <w:t>Almene symptomer og reaktioner på administrationsstedet</w:t>
            </w:r>
            <w:r w:rsidRPr="00032AB6">
              <w:rPr>
                <w:b/>
                <w:szCs w:val="24"/>
              </w:rPr>
              <w:br/>
            </w:r>
            <w:r w:rsidRPr="00032AB6">
              <w:rPr>
                <w:szCs w:val="24"/>
              </w:rPr>
              <w:t>Meget almindelig (≥1/10)</w:t>
            </w:r>
            <w:r w:rsidRPr="00032AB6">
              <w:rPr>
                <w:szCs w:val="24"/>
              </w:rPr>
              <w:br/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</w:tc>
        <w:tc>
          <w:tcPr>
            <w:tcW w:w="3650" w:type="dxa"/>
            <w:tcBorders>
              <w:bottom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Feber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Gråd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Træthed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Irritabilitet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 xml:space="preserve">Smerte på injektionsstedet </w:t>
            </w:r>
          </w:p>
          <w:p w:rsidR="0032040F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Rødme på injektionsstedet</w:t>
            </w:r>
            <w:r w:rsidRPr="00032AB6">
              <w:rPr>
                <w:szCs w:val="24"/>
              </w:rPr>
              <w:br/>
              <w:t>Hævelse på injektionsstedet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</w:tc>
      </w:tr>
      <w:tr w:rsidR="0032040F" w:rsidRPr="00032AB6" w:rsidTr="003B4BCE">
        <w:tc>
          <w:tcPr>
            <w:tcW w:w="5245" w:type="dxa"/>
            <w:tcBorders>
              <w:top w:val="nil"/>
              <w:bottom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b/>
                <w:szCs w:val="24"/>
              </w:rPr>
            </w:pPr>
            <w:proofErr w:type="spellStart"/>
            <w:r w:rsidRPr="00032AB6">
              <w:rPr>
                <w:szCs w:val="24"/>
                <w:lang w:val="en-US"/>
              </w:rPr>
              <w:t>Almindelig</w:t>
            </w:r>
            <w:proofErr w:type="spellEnd"/>
            <w:r w:rsidRPr="00032AB6">
              <w:rPr>
                <w:szCs w:val="24"/>
                <w:lang w:val="en-US"/>
              </w:rPr>
              <w:t xml:space="preserve"> (≥1/100 til &lt;1/10)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proofErr w:type="spellStart"/>
            <w:r w:rsidRPr="00032AB6">
              <w:rPr>
                <w:szCs w:val="24"/>
              </w:rPr>
              <w:t>Hæmatom</w:t>
            </w:r>
            <w:proofErr w:type="spellEnd"/>
            <w:r w:rsidRPr="00032AB6">
              <w:rPr>
                <w:szCs w:val="24"/>
              </w:rPr>
              <w:t xml:space="preserve"> på injektionsstedet</w:t>
            </w:r>
          </w:p>
          <w:p w:rsidR="0032040F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Kløe på injektionsstedet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</w:tc>
      </w:tr>
      <w:tr w:rsidR="0032040F" w:rsidRPr="00032AB6" w:rsidTr="003B4BCE">
        <w:tc>
          <w:tcPr>
            <w:tcW w:w="5245" w:type="dxa"/>
            <w:tcBorders>
              <w:top w:val="nil"/>
              <w:bottom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lastRenderedPageBreak/>
              <w:t xml:space="preserve">Ikke almindelig </w:t>
            </w:r>
            <w:r w:rsidRPr="00032AB6">
              <w:rPr>
                <w:szCs w:val="24"/>
                <w:lang w:val="en-US"/>
              </w:rPr>
              <w:t>(≥1/1.000 til &lt;1/100)</w:t>
            </w:r>
          </w:p>
        </w:tc>
        <w:tc>
          <w:tcPr>
            <w:tcW w:w="3650" w:type="dxa"/>
            <w:tcBorders>
              <w:top w:val="nil"/>
              <w:bottom w:val="nil"/>
            </w:tcBorders>
          </w:tcPr>
          <w:p w:rsidR="0032040F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Feber (&gt;40</w:t>
            </w:r>
            <w:r w:rsidR="00DB3B0E">
              <w:rPr>
                <w:szCs w:val="24"/>
              </w:rPr>
              <w:t xml:space="preserve"> </w:t>
            </w:r>
            <w:r w:rsidRPr="00032AB6">
              <w:rPr>
                <w:szCs w:val="24"/>
                <w:lang w:val="x-none"/>
              </w:rPr>
              <w:sym w:font="Symbol" w:char="F0B0"/>
            </w:r>
            <w:r w:rsidRPr="00032AB6">
              <w:rPr>
                <w:szCs w:val="24"/>
              </w:rPr>
              <w:t>C)</w:t>
            </w:r>
          </w:p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</w:p>
        </w:tc>
      </w:tr>
      <w:tr w:rsidR="0032040F" w:rsidRPr="00032AB6" w:rsidTr="003B4BCE">
        <w:tc>
          <w:tcPr>
            <w:tcW w:w="5245" w:type="dxa"/>
            <w:tcBorders>
              <w:top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r w:rsidRPr="00032AB6">
              <w:rPr>
                <w:szCs w:val="24"/>
              </w:rPr>
              <w:t>Ikke kendt (kan ikke estimeres ud fra forhåndenværende data)</w:t>
            </w:r>
          </w:p>
        </w:tc>
        <w:tc>
          <w:tcPr>
            <w:tcW w:w="3650" w:type="dxa"/>
            <w:tcBorders>
              <w:top w:val="nil"/>
            </w:tcBorders>
          </w:tcPr>
          <w:p w:rsidR="0032040F" w:rsidRPr="00032AB6" w:rsidRDefault="0032040F" w:rsidP="003B4BCE">
            <w:pPr>
              <w:pStyle w:val="Sidehoved"/>
              <w:ind w:left="62"/>
              <w:rPr>
                <w:szCs w:val="24"/>
              </w:rPr>
            </w:pPr>
            <w:proofErr w:type="spellStart"/>
            <w:r w:rsidRPr="00032AB6">
              <w:rPr>
                <w:szCs w:val="24"/>
              </w:rPr>
              <w:t>Granulom</w:t>
            </w:r>
            <w:proofErr w:type="spellEnd"/>
            <w:r w:rsidRPr="00032AB6">
              <w:rPr>
                <w:szCs w:val="24"/>
              </w:rPr>
              <w:t xml:space="preserve"> på injektionsstedet</w:t>
            </w:r>
          </w:p>
        </w:tc>
      </w:tr>
    </w:tbl>
    <w:p w:rsidR="0032040F" w:rsidRPr="00032AB6" w:rsidRDefault="0032040F" w:rsidP="0032040F">
      <w:pPr>
        <w:pStyle w:val="Sidehoved"/>
        <w:tabs>
          <w:tab w:val="left" w:pos="851"/>
        </w:tabs>
        <w:ind w:left="851"/>
        <w:rPr>
          <w:szCs w:val="24"/>
        </w:rPr>
      </w:pPr>
    </w:p>
    <w:p w:rsidR="0032040F" w:rsidRPr="00032AB6" w:rsidRDefault="0032040F" w:rsidP="0032040F">
      <w:pPr>
        <w:pStyle w:val="Sidehoved"/>
        <w:tabs>
          <w:tab w:val="left" w:pos="851"/>
        </w:tabs>
        <w:ind w:left="851"/>
        <w:rPr>
          <w:i/>
          <w:szCs w:val="24"/>
        </w:rPr>
      </w:pPr>
      <w:r w:rsidRPr="00032AB6">
        <w:rPr>
          <w:i/>
          <w:szCs w:val="24"/>
        </w:rPr>
        <w:t>Pædiatrisk population</w:t>
      </w:r>
    </w:p>
    <w:p w:rsidR="0032040F" w:rsidRPr="00032AB6" w:rsidRDefault="0032040F" w:rsidP="0032040F">
      <w:pPr>
        <w:pStyle w:val="Sidehoved"/>
        <w:tabs>
          <w:tab w:val="left" w:pos="851"/>
        </w:tabs>
        <w:ind w:left="851"/>
        <w:rPr>
          <w:szCs w:val="24"/>
        </w:rPr>
      </w:pPr>
      <w:r w:rsidRPr="00032AB6">
        <w:rPr>
          <w:szCs w:val="24"/>
        </w:rPr>
        <w:t xml:space="preserve">Sikkerheden af </w:t>
      </w:r>
      <w:proofErr w:type="spellStart"/>
      <w:r w:rsidRPr="00032AB6">
        <w:rPr>
          <w:szCs w:val="24"/>
        </w:rPr>
        <w:t>Picovax</w:t>
      </w:r>
      <w:proofErr w:type="spellEnd"/>
      <w:r w:rsidRPr="00032AB6">
        <w:rPr>
          <w:szCs w:val="24"/>
        </w:rPr>
        <w:t xml:space="preserve"> er vurderet i kliniske studier med spædbørn fra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ugers alderen, børn og unge.</w:t>
      </w:r>
    </w:p>
    <w:p w:rsidR="0032040F" w:rsidRPr="00032AB6" w:rsidRDefault="0032040F" w:rsidP="0032040F">
      <w:pPr>
        <w:pStyle w:val="Sidehoved"/>
        <w:tabs>
          <w:tab w:val="left" w:pos="851"/>
        </w:tabs>
        <w:ind w:left="851"/>
        <w:rPr>
          <w:szCs w:val="24"/>
        </w:rPr>
      </w:pPr>
    </w:p>
    <w:p w:rsidR="0032040F" w:rsidRPr="00032AB6" w:rsidRDefault="0032040F" w:rsidP="0032040F">
      <w:pPr>
        <w:pStyle w:val="Sidehoved"/>
        <w:tabs>
          <w:tab w:val="left" w:pos="851"/>
        </w:tabs>
        <w:ind w:left="851"/>
        <w:rPr>
          <w:szCs w:val="24"/>
        </w:rPr>
      </w:pPr>
      <w:r w:rsidRPr="00032AB6">
        <w:rPr>
          <w:szCs w:val="24"/>
        </w:rPr>
        <w:t>Vaccination af for tidligt fødte spædbørn (≤28 ugers graviditet) er associeret med en potentiel risiko for apnø (se pkt. 4.4).</w:t>
      </w:r>
    </w:p>
    <w:p w:rsidR="0032040F" w:rsidRPr="00032AB6" w:rsidRDefault="0032040F" w:rsidP="0032040F">
      <w:pPr>
        <w:pStyle w:val="Sidehoved"/>
        <w:tabs>
          <w:tab w:val="left" w:pos="851"/>
        </w:tabs>
        <w:ind w:left="851"/>
        <w:rPr>
          <w:szCs w:val="24"/>
        </w:rPr>
      </w:pPr>
    </w:p>
    <w:p w:rsidR="0032040F" w:rsidRPr="008F49E1" w:rsidRDefault="0032040F" w:rsidP="0032040F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32040F" w:rsidRPr="008F49E1" w:rsidRDefault="0032040F" w:rsidP="0032040F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 w:rsidR="00DB3B0E">
        <w:rPr>
          <w:sz w:val="24"/>
          <w:szCs w:val="24"/>
          <w:lang w:eastAsia="da-DK"/>
        </w:rPr>
        <w:t>S</w:t>
      </w:r>
      <w:r w:rsidRPr="008F49E1">
        <w:rPr>
          <w:sz w:val="24"/>
          <w:szCs w:val="24"/>
          <w:lang w:eastAsia="da-DK"/>
        </w:rPr>
        <w:t>undhedsperso</w:t>
      </w:r>
      <w:r w:rsidR="00DB3B0E">
        <w:rPr>
          <w:sz w:val="24"/>
          <w:szCs w:val="24"/>
          <w:lang w:eastAsia="da-DK"/>
        </w:rPr>
        <w:t>n</w:t>
      </w:r>
      <w:r w:rsidRPr="008F49E1">
        <w:rPr>
          <w:sz w:val="24"/>
          <w:szCs w:val="24"/>
          <w:lang w:eastAsia="da-DK"/>
        </w:rPr>
        <w:t>e</w:t>
      </w:r>
      <w:r w:rsidR="00DB3B0E">
        <w:rPr>
          <w:sz w:val="24"/>
          <w:szCs w:val="24"/>
          <w:lang w:eastAsia="da-DK"/>
        </w:rPr>
        <w:t>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32040F" w:rsidRPr="008F49E1" w:rsidRDefault="0032040F" w:rsidP="0032040F">
      <w:pPr>
        <w:ind w:left="851"/>
        <w:rPr>
          <w:sz w:val="24"/>
          <w:szCs w:val="24"/>
          <w:lang w:eastAsia="da-DK"/>
        </w:rPr>
      </w:pPr>
    </w:p>
    <w:p w:rsidR="0032040F" w:rsidRPr="007A276A" w:rsidRDefault="0032040F" w:rsidP="0032040F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32040F" w:rsidRPr="007A276A" w:rsidRDefault="0032040F" w:rsidP="0032040F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32040F" w:rsidRPr="007A276A" w:rsidRDefault="0032040F" w:rsidP="0032040F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32040F" w:rsidRPr="00CF6F84" w:rsidRDefault="0032040F" w:rsidP="00DB3B0E">
      <w:pPr>
        <w:ind w:left="851"/>
        <w:rPr>
          <w:color w:val="0000FF"/>
          <w:sz w:val="24"/>
          <w:u w:val="single"/>
          <w:lang w:eastAsia="da-DK"/>
        </w:rPr>
      </w:pPr>
      <w:r w:rsidRPr="00CF6F84">
        <w:rPr>
          <w:sz w:val="24"/>
          <w:szCs w:val="24"/>
          <w:lang w:eastAsia="da-DK"/>
        </w:rPr>
        <w:t xml:space="preserve">Websted: </w:t>
      </w:r>
      <w:r w:rsidRPr="00CF6F84">
        <w:rPr>
          <w:sz w:val="24"/>
          <w:lang w:eastAsia="da-DK"/>
        </w:rPr>
        <w:t>www.meldenbivirkning.dk</w:t>
      </w:r>
    </w:p>
    <w:p w:rsidR="0032040F" w:rsidRPr="00CF6F84" w:rsidRDefault="0032040F" w:rsidP="0032040F">
      <w:pPr>
        <w:pStyle w:val="Sidehoved"/>
        <w:tabs>
          <w:tab w:val="left" w:pos="851"/>
        </w:tabs>
        <w:ind w:left="851"/>
        <w:rPr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4.9</w:t>
      </w:r>
      <w:r w:rsidRPr="009248D1">
        <w:rPr>
          <w:b/>
          <w:sz w:val="24"/>
          <w:szCs w:val="24"/>
        </w:rPr>
        <w:tab/>
        <w:t>Overdosering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665349">
        <w:rPr>
          <w:sz w:val="24"/>
          <w:szCs w:val="24"/>
        </w:rPr>
        <w:t>Der</w:t>
      </w:r>
      <w:r w:rsidRPr="0043177A">
        <w:rPr>
          <w:sz w:val="24"/>
          <w:szCs w:val="24"/>
        </w:rPr>
        <w:t xml:space="preserve"> forventes ikke bivirkninger som følge af overdosering udover de i pkt. 4.8 anførte</w:t>
      </w:r>
      <w:r w:rsidRPr="00520AA6">
        <w:rPr>
          <w:sz w:val="24"/>
          <w:szCs w:val="24"/>
        </w:rPr>
        <w:t>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4.10</w:t>
      </w:r>
      <w:r w:rsidRPr="009248D1">
        <w:rPr>
          <w:b/>
          <w:sz w:val="24"/>
          <w:szCs w:val="24"/>
        </w:rPr>
        <w:tab/>
        <w:t>Udlevering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5.</w:t>
      </w:r>
      <w:r w:rsidRPr="009248D1">
        <w:rPr>
          <w:b/>
          <w:sz w:val="24"/>
          <w:szCs w:val="24"/>
        </w:rPr>
        <w:tab/>
        <w:t>FARMAKOLOGISKE EGENSKABER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5.1</w:t>
      </w:r>
      <w:r w:rsidRPr="009248D1">
        <w:rPr>
          <w:b/>
          <w:sz w:val="24"/>
          <w:szCs w:val="24"/>
        </w:rPr>
        <w:tab/>
      </w:r>
      <w:proofErr w:type="spellStart"/>
      <w:r w:rsidRPr="009248D1">
        <w:rPr>
          <w:b/>
          <w:sz w:val="24"/>
          <w:szCs w:val="24"/>
        </w:rPr>
        <w:t>Farmakodynamiske</w:t>
      </w:r>
      <w:proofErr w:type="spellEnd"/>
      <w:r w:rsidRPr="009248D1">
        <w:rPr>
          <w:b/>
          <w:sz w:val="24"/>
          <w:szCs w:val="24"/>
        </w:rPr>
        <w:t xml:space="preserve"> egenskaber</w:t>
      </w:r>
    </w:p>
    <w:p w:rsidR="00DB3B0E" w:rsidRDefault="00DB3B0E" w:rsidP="0032040F">
      <w:pPr>
        <w:tabs>
          <w:tab w:val="left" w:pos="851"/>
        </w:tabs>
        <w:ind w:left="851"/>
        <w:rPr>
          <w:bCs/>
          <w:noProof/>
          <w:sz w:val="24"/>
          <w:szCs w:val="24"/>
        </w:rPr>
      </w:pPr>
    </w:p>
    <w:p w:rsidR="0032040F" w:rsidRDefault="006012E5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bCs/>
          <w:noProof/>
          <w:sz w:val="24"/>
          <w:szCs w:val="24"/>
        </w:rPr>
        <w:t xml:space="preserve">Farmakoterapeutisk klassifikation: </w:t>
      </w:r>
      <w:r w:rsidRPr="00520AA6">
        <w:rPr>
          <w:sz w:val="24"/>
          <w:szCs w:val="24"/>
        </w:rPr>
        <w:t>Poliovaccine, trivalent, inaktiveret</w:t>
      </w:r>
    </w:p>
    <w:p w:rsidR="006012E5" w:rsidRDefault="006012E5" w:rsidP="0032040F">
      <w:pPr>
        <w:tabs>
          <w:tab w:val="left" w:pos="851"/>
        </w:tabs>
        <w:ind w:left="851"/>
        <w:rPr>
          <w:bCs/>
          <w:noProof/>
          <w:sz w:val="24"/>
          <w:szCs w:val="24"/>
        </w:rPr>
      </w:pPr>
      <w:r w:rsidRPr="00520AA6">
        <w:rPr>
          <w:sz w:val="24"/>
          <w:szCs w:val="24"/>
        </w:rPr>
        <w:t xml:space="preserve">ATC-kode: </w:t>
      </w:r>
      <w:r w:rsidRPr="00520AA6">
        <w:rPr>
          <w:noProof/>
          <w:sz w:val="24"/>
          <w:szCs w:val="24"/>
        </w:rPr>
        <w:t>J 07 BF 03.</w:t>
      </w:r>
    </w:p>
    <w:p w:rsidR="006012E5" w:rsidRPr="006012E5" w:rsidRDefault="006012E5" w:rsidP="0032040F">
      <w:pPr>
        <w:tabs>
          <w:tab w:val="left" w:pos="851"/>
        </w:tabs>
        <w:ind w:left="851"/>
        <w:rPr>
          <w:bCs/>
          <w:noProof/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bCs/>
          <w:noProof/>
          <w:sz w:val="24"/>
          <w:szCs w:val="24"/>
          <w:u w:val="single"/>
        </w:rPr>
      </w:pPr>
      <w:r w:rsidRPr="00520AA6">
        <w:rPr>
          <w:bCs/>
          <w:noProof/>
          <w:sz w:val="24"/>
          <w:szCs w:val="24"/>
          <w:u w:val="single"/>
        </w:rPr>
        <w:t>Virkningsmekanisme</w:t>
      </w:r>
    </w:p>
    <w:p w:rsidR="0032040F" w:rsidRPr="00520AA6" w:rsidRDefault="0032040F" w:rsidP="0032040F">
      <w:pPr>
        <w:tabs>
          <w:tab w:val="left" w:pos="851"/>
        </w:tabs>
        <w:ind w:left="851"/>
        <w:rPr>
          <w:bCs/>
          <w:noProof/>
          <w:sz w:val="24"/>
          <w:szCs w:val="24"/>
        </w:rPr>
      </w:pPr>
      <w:r w:rsidRPr="00665349">
        <w:rPr>
          <w:bCs/>
          <w:noProof/>
          <w:sz w:val="24"/>
          <w:szCs w:val="24"/>
        </w:rPr>
        <w:t xml:space="preserve">Picovax stimulererer dannelsen </w:t>
      </w:r>
      <w:r w:rsidRPr="0043177A">
        <w:rPr>
          <w:bCs/>
          <w:noProof/>
          <w:sz w:val="24"/>
          <w:szCs w:val="24"/>
        </w:rPr>
        <w:t>af neutraliserende antistoffer mod poliovirus type 1, 2 og 3</w:t>
      </w:r>
      <w:r w:rsidRPr="00520AA6">
        <w:rPr>
          <w:bCs/>
          <w:noProof/>
          <w:sz w:val="24"/>
          <w:szCs w:val="24"/>
        </w:rPr>
        <w:t xml:space="preserve"> ved primær vaccination og revaccination.</w:t>
      </w:r>
    </w:p>
    <w:p w:rsidR="0032040F" w:rsidRPr="00520AA6" w:rsidRDefault="0032040F" w:rsidP="0032040F">
      <w:pPr>
        <w:tabs>
          <w:tab w:val="left" w:pos="851"/>
        </w:tabs>
        <w:ind w:left="851"/>
        <w:rPr>
          <w:bCs/>
          <w:noProof/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20AA6">
        <w:rPr>
          <w:sz w:val="24"/>
          <w:szCs w:val="24"/>
          <w:u w:val="single"/>
        </w:rPr>
        <w:t>Pædiatrisk population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665349">
        <w:rPr>
          <w:sz w:val="24"/>
          <w:szCs w:val="24"/>
        </w:rPr>
        <w:t xml:space="preserve">Kliniske forsøg med </w:t>
      </w:r>
      <w:proofErr w:type="spellStart"/>
      <w:r w:rsidRPr="00665349">
        <w:rPr>
          <w:sz w:val="24"/>
          <w:szCs w:val="24"/>
        </w:rPr>
        <w:t>Picovax</w:t>
      </w:r>
      <w:proofErr w:type="spellEnd"/>
      <w:r w:rsidRPr="00665349">
        <w:rPr>
          <w:sz w:val="24"/>
          <w:szCs w:val="24"/>
        </w:rPr>
        <w:t xml:space="preserve"> er udført i spædbørn, børn og unge</w:t>
      </w:r>
      <w:r w:rsidRPr="0043177A">
        <w:rPr>
          <w:sz w:val="24"/>
          <w:szCs w:val="24"/>
        </w:rPr>
        <w:t>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Neutraliserende </w:t>
      </w:r>
      <w:proofErr w:type="spellStart"/>
      <w:r w:rsidRPr="00520AA6">
        <w:rPr>
          <w:sz w:val="24"/>
          <w:szCs w:val="24"/>
        </w:rPr>
        <w:t>antistoftitre</w:t>
      </w:r>
      <w:proofErr w:type="spellEnd"/>
      <w:r w:rsidRPr="00520AA6">
        <w:rPr>
          <w:sz w:val="24"/>
          <w:szCs w:val="24"/>
        </w:rPr>
        <w:t xml:space="preserve"> ≥8 mod poliovirus type 1, 2 og 3 anses for at være et udtryk for beskyttelse mod poliomyelitis. Immunitet mod én type poliovirus giver ikke beskyttelse mod de to andre typer.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I de kliniske forsøg med </w:t>
      </w: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er </w:t>
      </w:r>
      <w:proofErr w:type="spellStart"/>
      <w:r w:rsidRPr="00520AA6">
        <w:rPr>
          <w:sz w:val="24"/>
          <w:szCs w:val="24"/>
        </w:rPr>
        <w:t>serokonvertering</w:t>
      </w:r>
      <w:proofErr w:type="spellEnd"/>
      <w:r w:rsidRPr="00520AA6">
        <w:rPr>
          <w:sz w:val="24"/>
          <w:szCs w:val="24"/>
        </w:rPr>
        <w:t xml:space="preserve"> og </w:t>
      </w:r>
      <w:proofErr w:type="spellStart"/>
      <w:r w:rsidRPr="00520AA6">
        <w:rPr>
          <w:sz w:val="24"/>
          <w:szCs w:val="24"/>
        </w:rPr>
        <w:t>serobeskyttelse</w:t>
      </w:r>
      <w:proofErr w:type="spellEnd"/>
      <w:r w:rsidRPr="00520AA6">
        <w:rPr>
          <w:sz w:val="24"/>
          <w:szCs w:val="24"/>
        </w:rPr>
        <w:t xml:space="preserve"> undersøgt i forskellige primære vaccinationsserier. Resultaterne er opsummeret i tabellen nedenfor: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keepNext/>
        <w:tabs>
          <w:tab w:val="left" w:pos="851"/>
        </w:tabs>
        <w:ind w:left="851"/>
        <w:rPr>
          <w:b/>
          <w:sz w:val="24"/>
          <w:szCs w:val="24"/>
        </w:rPr>
      </w:pPr>
      <w:proofErr w:type="spellStart"/>
      <w:r w:rsidRPr="00520AA6">
        <w:rPr>
          <w:b/>
          <w:sz w:val="24"/>
          <w:szCs w:val="24"/>
        </w:rPr>
        <w:lastRenderedPageBreak/>
        <w:t>Serokonvertering</w:t>
      </w:r>
      <w:proofErr w:type="spellEnd"/>
      <w:r w:rsidRPr="00520AA6">
        <w:rPr>
          <w:b/>
          <w:sz w:val="24"/>
          <w:szCs w:val="24"/>
        </w:rPr>
        <w:t xml:space="preserve"> og </w:t>
      </w:r>
      <w:proofErr w:type="spellStart"/>
      <w:r w:rsidRPr="00520AA6">
        <w:rPr>
          <w:b/>
          <w:sz w:val="24"/>
          <w:szCs w:val="24"/>
        </w:rPr>
        <w:t>serobeskyttelse</w:t>
      </w:r>
      <w:proofErr w:type="spellEnd"/>
      <w:r w:rsidRPr="00520AA6">
        <w:rPr>
          <w:b/>
          <w:sz w:val="24"/>
          <w:szCs w:val="24"/>
        </w:rPr>
        <w:t xml:space="preserve"> opnået én måned efter primær vaccination med 3 doser </w:t>
      </w:r>
      <w:proofErr w:type="spellStart"/>
      <w:r w:rsidRPr="00520AA6">
        <w:rPr>
          <w:b/>
          <w:sz w:val="24"/>
          <w:szCs w:val="24"/>
        </w:rPr>
        <w:t>Picovax</w:t>
      </w:r>
      <w:proofErr w:type="spellEnd"/>
      <w:r w:rsidRPr="00520AA6">
        <w:rPr>
          <w:b/>
          <w:sz w:val="24"/>
          <w:szCs w:val="24"/>
        </w:rPr>
        <w:t>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173"/>
        <w:gridCol w:w="2174"/>
        <w:gridCol w:w="2193"/>
      </w:tblGrid>
      <w:tr w:rsidR="0032040F" w:rsidRPr="00520AA6" w:rsidTr="003B4BCE">
        <w:tc>
          <w:tcPr>
            <w:tcW w:w="2251" w:type="dxa"/>
            <w:vMerge w:val="restart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Vaccinationsserie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</w:rPr>
              <w:t xml:space="preserve">6, 10 og 14 </w:t>
            </w:r>
            <w:r w:rsidRPr="00520AA6">
              <w:rPr>
                <w:sz w:val="24"/>
                <w:szCs w:val="24"/>
                <w:lang w:val="da-DK"/>
              </w:rPr>
              <w:t>uger</w:t>
            </w:r>
          </w:p>
        </w:tc>
        <w:tc>
          <w:tcPr>
            <w:tcW w:w="2251" w:type="dxa"/>
            <w:shd w:val="clear" w:color="auto" w:fill="auto"/>
          </w:tcPr>
          <w:p w:rsidR="0032040F" w:rsidRPr="00665349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  <w:r w:rsidRPr="00665349">
              <w:rPr>
                <w:sz w:val="24"/>
                <w:szCs w:val="24"/>
              </w:rPr>
              <w:t>2, 4 og 6 måneder</w:t>
            </w:r>
          </w:p>
        </w:tc>
      </w:tr>
      <w:tr w:rsidR="0032040F" w:rsidRPr="00520AA6" w:rsidTr="003B4BCE">
        <w:tc>
          <w:tcPr>
            <w:tcW w:w="2251" w:type="dxa"/>
            <w:vMerge/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N = 204</w:t>
            </w:r>
          </w:p>
        </w:tc>
        <w:tc>
          <w:tcPr>
            <w:tcW w:w="2251" w:type="dxa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 xml:space="preserve">N = 473 </w:t>
            </w:r>
          </w:p>
        </w:tc>
        <w:tc>
          <w:tcPr>
            <w:tcW w:w="2251" w:type="dxa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N = 355</w:t>
            </w:r>
          </w:p>
        </w:tc>
      </w:tr>
      <w:tr w:rsidR="0032040F" w:rsidRPr="00520AA6" w:rsidTr="003B4BCE"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%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%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%</w:t>
            </w:r>
          </w:p>
        </w:tc>
      </w:tr>
      <w:tr w:rsidR="0032040F" w:rsidRPr="00520AA6" w:rsidTr="003B4BCE"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Poliovirus type 1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:rsidR="0032040F" w:rsidRPr="00665349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2040F" w:rsidRPr="00520AA6" w:rsidTr="003B4BCE"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Del="00F33DB5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k</w:t>
            </w:r>
            <w:r w:rsidRPr="00520AA6">
              <w:rPr>
                <w:sz w:val="24"/>
                <w:szCs w:val="24"/>
              </w:rPr>
              <w:t>onver</w:t>
            </w:r>
            <w:r w:rsidRPr="00520AA6">
              <w:rPr>
                <w:sz w:val="24"/>
                <w:szCs w:val="24"/>
                <w:lang w:val="da-DK"/>
              </w:rPr>
              <w:t>tering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  <w:lang w:val="da-DK"/>
              </w:rPr>
              <w:t>98,5</w:t>
            </w: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97,1</w:t>
            </w: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96,1</w:t>
            </w:r>
          </w:p>
        </w:tc>
      </w:tr>
      <w:tr w:rsidR="0032040F" w:rsidRPr="00520AA6" w:rsidTr="003B4BCE"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Del="00F33DB5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beskyttelse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100</w:t>
            </w: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97,9</w:t>
            </w: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96,6</w:t>
            </w:r>
          </w:p>
        </w:tc>
      </w:tr>
      <w:tr w:rsidR="0032040F" w:rsidRPr="00520AA6" w:rsidTr="003B4BCE"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Poliovirus type 2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</w:p>
        </w:tc>
      </w:tr>
      <w:tr w:rsidR="0032040F" w:rsidRPr="00520AA6" w:rsidTr="003B4BCE"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k</w:t>
            </w:r>
            <w:r w:rsidRPr="00520AA6">
              <w:rPr>
                <w:sz w:val="24"/>
                <w:szCs w:val="24"/>
              </w:rPr>
              <w:t>onver</w:t>
            </w:r>
            <w:r w:rsidRPr="00520AA6">
              <w:rPr>
                <w:sz w:val="24"/>
                <w:szCs w:val="24"/>
                <w:lang w:val="da-DK"/>
              </w:rPr>
              <w:t>tering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94,6</w:t>
            </w: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94,2</w:t>
            </w: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100</w:t>
            </w:r>
          </w:p>
        </w:tc>
      </w:tr>
      <w:tr w:rsidR="0032040F" w:rsidRPr="00520AA6" w:rsidTr="003B4BCE"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beskyttelse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100</w:t>
            </w: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100</w:t>
            </w: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100</w:t>
            </w:r>
          </w:p>
        </w:tc>
      </w:tr>
      <w:tr w:rsidR="0032040F" w:rsidRPr="00520AA6" w:rsidTr="003B4BCE"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Poliovirus type 3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</w:p>
        </w:tc>
      </w:tr>
      <w:tr w:rsidR="0032040F" w:rsidRPr="00520AA6" w:rsidTr="003B4BCE"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k</w:t>
            </w:r>
            <w:r w:rsidRPr="00520AA6">
              <w:rPr>
                <w:sz w:val="24"/>
                <w:szCs w:val="24"/>
              </w:rPr>
              <w:t>onver</w:t>
            </w:r>
            <w:r w:rsidRPr="00520AA6">
              <w:rPr>
                <w:sz w:val="24"/>
                <w:szCs w:val="24"/>
                <w:lang w:val="da-DK"/>
              </w:rPr>
              <w:t>tering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99,5</w:t>
            </w: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98,3</w:t>
            </w: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99,2</w:t>
            </w:r>
          </w:p>
        </w:tc>
      </w:tr>
      <w:tr w:rsidR="0032040F" w:rsidRPr="00520AA6" w:rsidTr="003B4BCE">
        <w:tc>
          <w:tcPr>
            <w:tcW w:w="2251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beskyttelse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99,5</w:t>
            </w:r>
          </w:p>
        </w:tc>
        <w:tc>
          <w:tcPr>
            <w:tcW w:w="2251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99,0</w:t>
            </w:r>
          </w:p>
        </w:tc>
        <w:tc>
          <w:tcPr>
            <w:tcW w:w="2251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99,2</w:t>
            </w:r>
          </w:p>
        </w:tc>
      </w:tr>
    </w:tbl>
    <w:p w:rsidR="0032040F" w:rsidRPr="007F3CC3" w:rsidRDefault="0032040F" w:rsidP="0032040F">
      <w:pPr>
        <w:keepNext/>
        <w:tabs>
          <w:tab w:val="left" w:pos="1134"/>
        </w:tabs>
        <w:ind w:left="1134" w:hanging="283"/>
        <w:rPr>
          <w:sz w:val="22"/>
          <w:szCs w:val="22"/>
        </w:rPr>
      </w:pPr>
      <w:r w:rsidRPr="007F3CC3">
        <w:rPr>
          <w:sz w:val="22"/>
          <w:szCs w:val="22"/>
          <w:vertAlign w:val="superscript"/>
        </w:rPr>
        <w:t>a</w:t>
      </w:r>
      <w:r w:rsidRPr="007F3CC3">
        <w:rPr>
          <w:sz w:val="22"/>
          <w:szCs w:val="22"/>
          <w:vertAlign w:val="superscript"/>
        </w:rPr>
        <w:tab/>
      </w:r>
      <w:proofErr w:type="spellStart"/>
      <w:r w:rsidRPr="007F3CC3">
        <w:rPr>
          <w:sz w:val="22"/>
          <w:szCs w:val="22"/>
        </w:rPr>
        <w:t>Serokonvertering</w:t>
      </w:r>
      <w:proofErr w:type="spellEnd"/>
      <w:r w:rsidRPr="007F3CC3">
        <w:rPr>
          <w:sz w:val="22"/>
          <w:szCs w:val="22"/>
        </w:rPr>
        <w:t>: en poliovirus type-specifik post-</w:t>
      </w:r>
      <w:proofErr w:type="spellStart"/>
      <w:r w:rsidRPr="007F3CC3">
        <w:rPr>
          <w:sz w:val="22"/>
          <w:szCs w:val="22"/>
        </w:rPr>
        <w:t>vaccinationstiter</w:t>
      </w:r>
      <w:proofErr w:type="spellEnd"/>
      <w:r w:rsidRPr="007F3CC3">
        <w:rPr>
          <w:sz w:val="22"/>
          <w:szCs w:val="22"/>
        </w:rPr>
        <w:t xml:space="preserve"> ≥4 gange over den estimerede </w:t>
      </w:r>
      <w:proofErr w:type="spellStart"/>
      <w:r w:rsidRPr="007F3CC3">
        <w:rPr>
          <w:sz w:val="22"/>
          <w:szCs w:val="22"/>
        </w:rPr>
        <w:t>maternelle</w:t>
      </w:r>
      <w:proofErr w:type="spellEnd"/>
      <w:r w:rsidRPr="007F3CC3">
        <w:rPr>
          <w:sz w:val="22"/>
          <w:szCs w:val="22"/>
        </w:rPr>
        <w:t xml:space="preserve"> </w:t>
      </w:r>
      <w:proofErr w:type="spellStart"/>
      <w:r w:rsidRPr="007F3CC3">
        <w:rPr>
          <w:sz w:val="22"/>
          <w:szCs w:val="22"/>
        </w:rPr>
        <w:t>antistoftiter</w:t>
      </w:r>
      <w:proofErr w:type="spellEnd"/>
      <w:r w:rsidRPr="007F3CC3">
        <w:rPr>
          <w:sz w:val="22"/>
          <w:szCs w:val="22"/>
        </w:rPr>
        <w:t xml:space="preserve"> (baseret på en halveringstid af præ-</w:t>
      </w:r>
      <w:proofErr w:type="spellStart"/>
      <w:r w:rsidRPr="007F3CC3">
        <w:rPr>
          <w:sz w:val="22"/>
          <w:szCs w:val="22"/>
        </w:rPr>
        <w:t>vaccinationstitre</w:t>
      </w:r>
      <w:proofErr w:type="spellEnd"/>
      <w:r w:rsidRPr="007F3CC3">
        <w:rPr>
          <w:sz w:val="22"/>
          <w:szCs w:val="22"/>
        </w:rPr>
        <w:t xml:space="preserve"> på 28 dage) </w:t>
      </w:r>
      <w:r w:rsidRPr="007F3CC3">
        <w:rPr>
          <w:i/>
          <w:sz w:val="22"/>
          <w:szCs w:val="22"/>
        </w:rPr>
        <w:t>og</w:t>
      </w:r>
      <w:r w:rsidRPr="007F3CC3">
        <w:rPr>
          <w:sz w:val="22"/>
          <w:szCs w:val="22"/>
        </w:rPr>
        <w:t xml:space="preserve"> en poliovirus type-specifik post-</w:t>
      </w:r>
      <w:proofErr w:type="spellStart"/>
      <w:r w:rsidRPr="007F3CC3">
        <w:rPr>
          <w:sz w:val="22"/>
          <w:szCs w:val="22"/>
        </w:rPr>
        <w:t>vaccinationstiter</w:t>
      </w:r>
      <w:proofErr w:type="spellEnd"/>
      <w:r w:rsidRPr="007F3CC3">
        <w:rPr>
          <w:sz w:val="22"/>
          <w:szCs w:val="22"/>
        </w:rPr>
        <w:t xml:space="preserve"> ≥8.</w:t>
      </w:r>
    </w:p>
    <w:p w:rsidR="0032040F" w:rsidRPr="007F3CC3" w:rsidRDefault="0032040F" w:rsidP="0032040F">
      <w:pPr>
        <w:keepNext/>
        <w:tabs>
          <w:tab w:val="left" w:pos="1134"/>
        </w:tabs>
        <w:ind w:left="1134" w:hanging="283"/>
        <w:rPr>
          <w:sz w:val="22"/>
          <w:szCs w:val="22"/>
        </w:rPr>
      </w:pPr>
      <w:r w:rsidRPr="007F3CC3">
        <w:rPr>
          <w:sz w:val="22"/>
          <w:szCs w:val="22"/>
          <w:vertAlign w:val="superscript"/>
        </w:rPr>
        <w:t>b</w:t>
      </w:r>
      <w:r w:rsidRPr="007F3CC3">
        <w:rPr>
          <w:sz w:val="22"/>
          <w:szCs w:val="22"/>
          <w:vertAlign w:val="superscript"/>
        </w:rPr>
        <w:tab/>
      </w:r>
      <w:proofErr w:type="spellStart"/>
      <w:r w:rsidRPr="007F3CC3">
        <w:rPr>
          <w:sz w:val="22"/>
          <w:szCs w:val="22"/>
        </w:rPr>
        <w:t>Serobeskyttelse</w:t>
      </w:r>
      <w:proofErr w:type="spellEnd"/>
      <w:r w:rsidRPr="007F3CC3">
        <w:rPr>
          <w:sz w:val="22"/>
          <w:szCs w:val="22"/>
        </w:rPr>
        <w:t>: en poliovirus type-specifik post-</w:t>
      </w:r>
      <w:proofErr w:type="spellStart"/>
      <w:r w:rsidRPr="007F3CC3">
        <w:rPr>
          <w:sz w:val="22"/>
          <w:szCs w:val="22"/>
        </w:rPr>
        <w:t>vaccinationstiter</w:t>
      </w:r>
      <w:proofErr w:type="spellEnd"/>
      <w:r w:rsidRPr="007F3CC3">
        <w:rPr>
          <w:sz w:val="22"/>
          <w:szCs w:val="22"/>
        </w:rPr>
        <w:t xml:space="preserve"> ≥8.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Revaccination med </w:t>
      </w: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er undersøgt i spædbørn, børn og unge tidligere vaccineret med enten </w:t>
      </w: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eller en anden inaktiveret poliovirus (IPV) vaccine. Resultaterne er opsummeret i tabellen nedenfor: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keepNext/>
        <w:tabs>
          <w:tab w:val="left" w:pos="851"/>
        </w:tabs>
        <w:ind w:left="851"/>
        <w:rPr>
          <w:b/>
          <w:sz w:val="24"/>
          <w:szCs w:val="24"/>
        </w:rPr>
      </w:pPr>
      <w:proofErr w:type="spellStart"/>
      <w:r w:rsidRPr="00520AA6">
        <w:rPr>
          <w:b/>
          <w:sz w:val="24"/>
          <w:szCs w:val="24"/>
        </w:rPr>
        <w:t>Serobeskyttelse</w:t>
      </w:r>
      <w:proofErr w:type="spellEnd"/>
      <w:r w:rsidRPr="00520AA6">
        <w:rPr>
          <w:b/>
          <w:sz w:val="24"/>
          <w:szCs w:val="24"/>
        </w:rPr>
        <w:t xml:space="preserve"> opnået én måned efter revaccination med 1 </w:t>
      </w:r>
      <w:proofErr w:type="spellStart"/>
      <w:r w:rsidRPr="00520AA6">
        <w:rPr>
          <w:b/>
          <w:sz w:val="24"/>
          <w:szCs w:val="24"/>
        </w:rPr>
        <w:t>dose</w:t>
      </w:r>
      <w:proofErr w:type="spellEnd"/>
      <w:r w:rsidRPr="00520AA6">
        <w:rPr>
          <w:b/>
          <w:sz w:val="24"/>
          <w:szCs w:val="24"/>
        </w:rPr>
        <w:t xml:space="preserve"> </w:t>
      </w:r>
      <w:proofErr w:type="spellStart"/>
      <w:r w:rsidRPr="00520AA6">
        <w:rPr>
          <w:b/>
          <w:sz w:val="24"/>
          <w:szCs w:val="24"/>
        </w:rPr>
        <w:t>Picovax</w:t>
      </w:r>
      <w:proofErr w:type="spellEnd"/>
      <w:r w:rsidRPr="00520AA6">
        <w:rPr>
          <w:b/>
          <w:sz w:val="24"/>
          <w:szCs w:val="24"/>
        </w:rPr>
        <w:t>.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2096"/>
        <w:gridCol w:w="1258"/>
        <w:gridCol w:w="1261"/>
        <w:gridCol w:w="2240"/>
      </w:tblGrid>
      <w:tr w:rsidR="0032040F" w:rsidRPr="00520AA6" w:rsidTr="003B4BCE">
        <w:tc>
          <w:tcPr>
            <w:tcW w:w="1851" w:type="dxa"/>
            <w:vMerge w:val="restart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Vaccinationsserie</w:t>
            </w:r>
          </w:p>
        </w:tc>
        <w:tc>
          <w:tcPr>
            <w:tcW w:w="2113" w:type="dxa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Revaccination i alderen 9 måneder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</w:rPr>
              <w:t xml:space="preserve">Revaccination </w:t>
            </w:r>
            <w:r w:rsidRPr="00520AA6">
              <w:rPr>
                <w:sz w:val="24"/>
                <w:szCs w:val="24"/>
                <w:lang w:val="da-DK"/>
              </w:rPr>
              <w:t>i alderen</w:t>
            </w:r>
            <w:r w:rsidRPr="00520AA6">
              <w:rPr>
                <w:sz w:val="24"/>
                <w:szCs w:val="24"/>
              </w:rPr>
              <w:t xml:space="preserve"> 15-18 måneder</w:t>
            </w:r>
          </w:p>
        </w:tc>
        <w:tc>
          <w:tcPr>
            <w:tcW w:w="2262" w:type="dxa"/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665349">
              <w:rPr>
                <w:sz w:val="24"/>
                <w:szCs w:val="24"/>
              </w:rPr>
              <w:t>Revaccination i alderen 10-15 år</w:t>
            </w:r>
          </w:p>
        </w:tc>
      </w:tr>
      <w:tr w:rsidR="0032040F" w:rsidRPr="00520AA6" w:rsidTr="003B4BCE">
        <w:tc>
          <w:tcPr>
            <w:tcW w:w="1851" w:type="dxa"/>
            <w:vMerge/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Primær vaccination ved 6, 10 og 14 uger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  <w:lang w:val="da-DK"/>
              </w:rPr>
              <w:t>Primær vaccination ved 2, 4 og 6 måneder</w:t>
            </w:r>
          </w:p>
        </w:tc>
        <w:tc>
          <w:tcPr>
            <w:tcW w:w="2262" w:type="dxa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  <w:lang w:val="da-DK"/>
              </w:rPr>
              <w:t xml:space="preserve">Primær vaccination </w:t>
            </w:r>
            <w:r w:rsidRPr="00520AA6">
              <w:rPr>
                <w:sz w:val="24"/>
                <w:szCs w:val="24"/>
              </w:rPr>
              <w:t>ved 3, 5 og 12 måneder samt revaccineret ved 5 år</w:t>
            </w:r>
            <w:r w:rsidRPr="00520AA6">
              <w:rPr>
                <w:sz w:val="24"/>
                <w:szCs w:val="24"/>
                <w:lang w:val="da-DK"/>
              </w:rPr>
              <w:t xml:space="preserve"> </w:t>
            </w:r>
          </w:p>
        </w:tc>
      </w:tr>
      <w:tr w:rsidR="0032040F" w:rsidRPr="00520AA6" w:rsidTr="003B4BCE">
        <w:tc>
          <w:tcPr>
            <w:tcW w:w="1851" w:type="dxa"/>
            <w:vMerge/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N = 441*</w:t>
            </w:r>
          </w:p>
        </w:tc>
        <w:tc>
          <w:tcPr>
            <w:tcW w:w="1276" w:type="dxa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N = 336*</w:t>
            </w:r>
          </w:p>
        </w:tc>
        <w:tc>
          <w:tcPr>
            <w:tcW w:w="1275" w:type="dxa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N = 309**</w:t>
            </w:r>
          </w:p>
        </w:tc>
        <w:tc>
          <w:tcPr>
            <w:tcW w:w="2262" w:type="dxa"/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N = 59**</w:t>
            </w:r>
          </w:p>
        </w:tc>
      </w:tr>
      <w:tr w:rsidR="0032040F" w:rsidRPr="00520AA6" w:rsidTr="003B4BCE">
        <w:tc>
          <w:tcPr>
            <w:tcW w:w="1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keepNext/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%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%</w:t>
            </w:r>
          </w:p>
        </w:tc>
      </w:tr>
      <w:tr w:rsidR="0032040F" w:rsidRPr="00520AA6" w:rsidTr="003B4BCE"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Poliovirus type 1</w:t>
            </w:r>
          </w:p>
        </w:tc>
        <w:tc>
          <w:tcPr>
            <w:tcW w:w="2113" w:type="dxa"/>
            <w:tcBorders>
              <w:bottom w:val="nil"/>
            </w:tcBorders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2262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</w:tr>
      <w:tr w:rsidR="0032040F" w:rsidRPr="00520AA6" w:rsidTr="003B4BCE"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Del="00F33DB5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beskyttelse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13" w:type="dxa"/>
            <w:tcBorders>
              <w:top w:val="nil"/>
              <w:bottom w:val="single" w:sz="4" w:space="0" w:color="auto"/>
            </w:tcBorders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99.8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97.0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  <w:tc>
          <w:tcPr>
            <w:tcW w:w="2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</w:tr>
      <w:tr w:rsidR="0032040F" w:rsidRPr="00520AA6" w:rsidTr="003B4BCE"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Poliovirus type 2</w:t>
            </w:r>
          </w:p>
        </w:tc>
        <w:tc>
          <w:tcPr>
            <w:tcW w:w="2113" w:type="dxa"/>
            <w:tcBorders>
              <w:bottom w:val="nil"/>
            </w:tcBorders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2262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</w:tr>
      <w:tr w:rsidR="0032040F" w:rsidRPr="00520AA6" w:rsidTr="003B4BCE"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beskyttelse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13" w:type="dxa"/>
            <w:tcBorders>
              <w:top w:val="nil"/>
              <w:bottom w:val="single" w:sz="4" w:space="0" w:color="auto"/>
            </w:tcBorders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  <w:tc>
          <w:tcPr>
            <w:tcW w:w="22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</w:tr>
      <w:tr w:rsidR="0032040F" w:rsidRPr="00520AA6" w:rsidTr="003B4BCE"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r w:rsidRPr="00520AA6">
              <w:rPr>
                <w:sz w:val="24"/>
                <w:szCs w:val="24"/>
              </w:rPr>
              <w:t>Poliovirus type 3</w:t>
            </w:r>
          </w:p>
        </w:tc>
        <w:tc>
          <w:tcPr>
            <w:tcW w:w="2113" w:type="dxa"/>
            <w:tcBorders>
              <w:bottom w:val="nil"/>
            </w:tcBorders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  <w:tc>
          <w:tcPr>
            <w:tcW w:w="2262" w:type="dxa"/>
            <w:tcBorders>
              <w:bottom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</w:p>
        </w:tc>
      </w:tr>
      <w:tr w:rsidR="0032040F" w:rsidRPr="00520AA6" w:rsidTr="003B4BCE">
        <w:tc>
          <w:tcPr>
            <w:tcW w:w="1851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</w:rPr>
            </w:pPr>
            <w:proofErr w:type="spellStart"/>
            <w:r w:rsidRPr="00520AA6">
              <w:rPr>
                <w:sz w:val="24"/>
                <w:szCs w:val="24"/>
              </w:rPr>
              <w:t>Sero</w:t>
            </w:r>
            <w:r w:rsidRPr="00520AA6">
              <w:rPr>
                <w:sz w:val="24"/>
                <w:szCs w:val="24"/>
                <w:lang w:val="da-DK"/>
              </w:rPr>
              <w:t>beskyttelse</w:t>
            </w:r>
            <w:proofErr w:type="spellEnd"/>
            <w:r w:rsidRPr="00520AA6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13" w:type="dxa"/>
            <w:tcBorders>
              <w:top w:val="nil"/>
            </w:tcBorders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  <w:tc>
          <w:tcPr>
            <w:tcW w:w="2262" w:type="dxa"/>
            <w:tcBorders>
              <w:top w:val="nil"/>
            </w:tcBorders>
            <w:shd w:val="clear" w:color="auto" w:fill="auto"/>
          </w:tcPr>
          <w:p w:rsidR="0032040F" w:rsidRPr="00520AA6" w:rsidRDefault="0032040F" w:rsidP="003B4BCE">
            <w:pPr>
              <w:pStyle w:val="Brdtekst"/>
              <w:keepNext/>
              <w:rPr>
                <w:sz w:val="24"/>
                <w:szCs w:val="24"/>
                <w:lang w:val="da-DK"/>
              </w:rPr>
            </w:pPr>
            <w:r w:rsidRPr="00520AA6">
              <w:rPr>
                <w:sz w:val="24"/>
                <w:szCs w:val="24"/>
                <w:lang w:val="da-DK"/>
              </w:rPr>
              <w:t>100</w:t>
            </w:r>
          </w:p>
        </w:tc>
      </w:tr>
    </w:tbl>
    <w:p w:rsidR="0032040F" w:rsidRPr="007F3CC3" w:rsidRDefault="0032040F" w:rsidP="0032040F">
      <w:pPr>
        <w:keepNext/>
        <w:tabs>
          <w:tab w:val="left" w:pos="1134"/>
        </w:tabs>
        <w:ind w:left="1134" w:hanging="283"/>
        <w:rPr>
          <w:sz w:val="22"/>
          <w:szCs w:val="22"/>
        </w:rPr>
      </w:pPr>
      <w:r w:rsidRPr="007F3CC3">
        <w:rPr>
          <w:sz w:val="22"/>
          <w:szCs w:val="22"/>
          <w:vertAlign w:val="superscript"/>
        </w:rPr>
        <w:t>b</w:t>
      </w:r>
      <w:r>
        <w:rPr>
          <w:sz w:val="22"/>
          <w:szCs w:val="22"/>
          <w:vertAlign w:val="superscript"/>
        </w:rPr>
        <w:tab/>
      </w:r>
      <w:proofErr w:type="spellStart"/>
      <w:r>
        <w:rPr>
          <w:sz w:val="22"/>
          <w:szCs w:val="22"/>
        </w:rPr>
        <w:t>Serobeskyttelse</w:t>
      </w:r>
      <w:proofErr w:type="spellEnd"/>
      <w:r>
        <w:rPr>
          <w:sz w:val="22"/>
          <w:szCs w:val="22"/>
        </w:rPr>
        <w:t>: E</w:t>
      </w:r>
      <w:r w:rsidRPr="007F3CC3">
        <w:rPr>
          <w:sz w:val="22"/>
          <w:szCs w:val="22"/>
        </w:rPr>
        <w:t>n poliovirus type-specifik post-</w:t>
      </w:r>
      <w:proofErr w:type="spellStart"/>
      <w:r w:rsidRPr="007F3CC3">
        <w:rPr>
          <w:sz w:val="22"/>
          <w:szCs w:val="22"/>
        </w:rPr>
        <w:t>vaccinationstiter</w:t>
      </w:r>
      <w:proofErr w:type="spellEnd"/>
      <w:r w:rsidRPr="007F3CC3">
        <w:rPr>
          <w:sz w:val="22"/>
          <w:szCs w:val="22"/>
        </w:rPr>
        <w:t xml:space="preserve"> ≥8.</w:t>
      </w:r>
    </w:p>
    <w:p w:rsidR="0032040F" w:rsidRPr="007F3CC3" w:rsidRDefault="0032040F" w:rsidP="0032040F">
      <w:pPr>
        <w:keepNext/>
        <w:tabs>
          <w:tab w:val="left" w:pos="1134"/>
        </w:tabs>
        <w:ind w:left="1134" w:hanging="283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 w:rsidRPr="007F3CC3">
        <w:rPr>
          <w:sz w:val="22"/>
          <w:szCs w:val="22"/>
        </w:rPr>
        <w:t xml:space="preserve">Tidligere vaccination med </w:t>
      </w:r>
      <w:proofErr w:type="spellStart"/>
      <w:r w:rsidRPr="007F3CC3">
        <w:rPr>
          <w:sz w:val="22"/>
          <w:szCs w:val="22"/>
        </w:rPr>
        <w:t>Picovax</w:t>
      </w:r>
      <w:proofErr w:type="spellEnd"/>
    </w:p>
    <w:p w:rsidR="0032040F" w:rsidRPr="007F3CC3" w:rsidRDefault="0032040F" w:rsidP="0032040F">
      <w:pPr>
        <w:keepNext/>
        <w:tabs>
          <w:tab w:val="left" w:pos="1134"/>
        </w:tabs>
        <w:ind w:left="1134" w:hanging="283"/>
        <w:rPr>
          <w:sz w:val="22"/>
          <w:szCs w:val="22"/>
        </w:rPr>
      </w:pPr>
      <w:r>
        <w:rPr>
          <w:sz w:val="22"/>
          <w:szCs w:val="22"/>
        </w:rPr>
        <w:t>**</w:t>
      </w:r>
      <w:r>
        <w:rPr>
          <w:sz w:val="22"/>
          <w:szCs w:val="22"/>
        </w:rPr>
        <w:tab/>
      </w:r>
      <w:r w:rsidRPr="007F3CC3">
        <w:rPr>
          <w:sz w:val="22"/>
          <w:szCs w:val="22"/>
        </w:rPr>
        <w:t xml:space="preserve">Tidligere vaccination med en anden </w:t>
      </w:r>
      <w:proofErr w:type="gramStart"/>
      <w:r w:rsidRPr="007F3CC3">
        <w:rPr>
          <w:sz w:val="22"/>
          <w:szCs w:val="22"/>
        </w:rPr>
        <w:t>IPV vaccine</w:t>
      </w:r>
      <w:proofErr w:type="gramEnd"/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Der forligger ikke kliniske data for primær vaccination mod poliomyelitis efter spædbarnsalderen. </w:t>
      </w:r>
      <w:proofErr w:type="gramStart"/>
      <w:r w:rsidRPr="00520AA6">
        <w:rPr>
          <w:sz w:val="24"/>
          <w:szCs w:val="24"/>
        </w:rPr>
        <w:t>IPV vacciner</w:t>
      </w:r>
      <w:proofErr w:type="gramEnd"/>
      <w:r w:rsidRPr="00520AA6">
        <w:rPr>
          <w:sz w:val="24"/>
          <w:szCs w:val="24"/>
        </w:rPr>
        <w:t xml:space="preserve"> kan, ifølge officielle anbefalinger, administreres til ikke-vaccinerede børn, unge og voksne.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5.2</w:t>
      </w:r>
      <w:r w:rsidRPr="009248D1">
        <w:rPr>
          <w:b/>
          <w:sz w:val="24"/>
          <w:szCs w:val="24"/>
        </w:rPr>
        <w:tab/>
      </w:r>
      <w:proofErr w:type="spellStart"/>
      <w:r w:rsidRPr="009248D1">
        <w:rPr>
          <w:b/>
          <w:sz w:val="24"/>
          <w:szCs w:val="24"/>
        </w:rPr>
        <w:t>Farmakokinetiske</w:t>
      </w:r>
      <w:proofErr w:type="spellEnd"/>
      <w:r w:rsidRPr="009248D1">
        <w:rPr>
          <w:b/>
          <w:sz w:val="24"/>
          <w:szCs w:val="24"/>
        </w:rPr>
        <w:t xml:space="preserve"> egenskaber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Studier af </w:t>
      </w:r>
      <w:proofErr w:type="spellStart"/>
      <w:r w:rsidRPr="00520AA6">
        <w:rPr>
          <w:sz w:val="24"/>
          <w:szCs w:val="24"/>
        </w:rPr>
        <w:t>farmakokinetiske</w:t>
      </w:r>
      <w:proofErr w:type="spellEnd"/>
      <w:r w:rsidRPr="00520AA6">
        <w:rPr>
          <w:sz w:val="24"/>
          <w:szCs w:val="24"/>
        </w:rPr>
        <w:t xml:space="preserve"> egenskaber kræves ikke for vacciner.</w:t>
      </w:r>
    </w:p>
    <w:p w:rsidR="0032040F" w:rsidRDefault="0032040F" w:rsidP="0032040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5.3</w:t>
      </w:r>
      <w:r w:rsidRPr="009248D1">
        <w:rPr>
          <w:b/>
          <w:sz w:val="24"/>
          <w:szCs w:val="24"/>
        </w:rPr>
        <w:tab/>
      </w:r>
      <w:r w:rsidR="006012E5">
        <w:rPr>
          <w:b/>
          <w:sz w:val="24"/>
          <w:szCs w:val="24"/>
        </w:rPr>
        <w:t>Non-</w:t>
      </w:r>
      <w:r w:rsidRPr="009248D1">
        <w:rPr>
          <w:b/>
          <w:sz w:val="24"/>
          <w:szCs w:val="24"/>
        </w:rPr>
        <w:t>kliniske sikkerhedsdata</w:t>
      </w:r>
    </w:p>
    <w:p w:rsidR="0032040F" w:rsidRPr="00520AA6" w:rsidRDefault="00DB3B0E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Non-</w:t>
      </w:r>
      <w:r w:rsidR="0032040F" w:rsidRPr="00520AA6">
        <w:rPr>
          <w:sz w:val="24"/>
          <w:szCs w:val="24"/>
        </w:rPr>
        <w:t>kliniske data viser ingen speciel risiko for mennesker vurderet ud fra konventionelle studier af toksicitet efter enkeltdosis og gentagne doser.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6.</w:t>
      </w:r>
      <w:r w:rsidRPr="009248D1">
        <w:rPr>
          <w:b/>
          <w:sz w:val="24"/>
          <w:szCs w:val="24"/>
        </w:rPr>
        <w:tab/>
        <w:t>FARMACEUTISKE OPLYSNINGER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6.1</w:t>
      </w:r>
      <w:r w:rsidRPr="009248D1">
        <w:rPr>
          <w:b/>
          <w:sz w:val="24"/>
          <w:szCs w:val="24"/>
        </w:rPr>
        <w:tab/>
        <w:t>Hjælpestoffer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Natriumhydroxid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Natriumphosphat</w:t>
      </w:r>
      <w:proofErr w:type="spellEnd"/>
      <w:r w:rsidRPr="00520AA6">
        <w:rPr>
          <w:sz w:val="24"/>
          <w:szCs w:val="24"/>
        </w:rPr>
        <w:t xml:space="preserve"> monobasisk monohydrat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Natriumchlorid</w:t>
      </w:r>
      <w:proofErr w:type="spellEnd"/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  <w:vertAlign w:val="superscript"/>
        </w:rPr>
      </w:pPr>
      <w:r w:rsidRPr="00520AA6">
        <w:rPr>
          <w:sz w:val="24"/>
          <w:szCs w:val="24"/>
        </w:rPr>
        <w:t xml:space="preserve">Medium 199 (indeholder </w:t>
      </w:r>
      <w:proofErr w:type="spellStart"/>
      <w:r w:rsidRPr="00520AA6">
        <w:rPr>
          <w:sz w:val="24"/>
          <w:szCs w:val="24"/>
        </w:rPr>
        <w:t>phenolrødt</w:t>
      </w:r>
      <w:proofErr w:type="spellEnd"/>
      <w:r w:rsidRPr="00520AA6">
        <w:rPr>
          <w:sz w:val="24"/>
          <w:szCs w:val="24"/>
        </w:rPr>
        <w:t xml:space="preserve"> som pH indikator)</w:t>
      </w:r>
      <w:r w:rsidRPr="00520AA6">
        <w:rPr>
          <w:sz w:val="24"/>
          <w:szCs w:val="24"/>
          <w:vertAlign w:val="superscript"/>
        </w:rPr>
        <w:t>1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Phenoxyethanol</w:t>
      </w:r>
      <w:proofErr w:type="spellEnd"/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Vand til injektionsvæsker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E70CCD" w:rsidRDefault="0032040F" w:rsidP="0032040F">
      <w:pPr>
        <w:tabs>
          <w:tab w:val="left" w:pos="993"/>
        </w:tabs>
        <w:ind w:left="851"/>
        <w:rPr>
          <w:sz w:val="20"/>
        </w:rPr>
      </w:pPr>
      <w:r w:rsidRPr="00E70CCD">
        <w:rPr>
          <w:sz w:val="20"/>
          <w:vertAlign w:val="superscript"/>
        </w:rPr>
        <w:t>1</w:t>
      </w:r>
      <w:r w:rsidRPr="00E70CCD">
        <w:rPr>
          <w:sz w:val="20"/>
          <w:vertAlign w:val="superscript"/>
        </w:rPr>
        <w:tab/>
      </w:r>
      <w:r w:rsidRPr="00E70CCD">
        <w:rPr>
          <w:sz w:val="20"/>
        </w:rPr>
        <w:t xml:space="preserve">Medium 199 indeholder vitaminer, mineralsalte, aminosyrer inklusive </w:t>
      </w:r>
      <w:proofErr w:type="spellStart"/>
      <w:r w:rsidRPr="00E70CCD">
        <w:rPr>
          <w:sz w:val="20"/>
        </w:rPr>
        <w:t>phenylalanin</w:t>
      </w:r>
      <w:proofErr w:type="spellEnd"/>
      <w:r w:rsidRPr="00E70CCD">
        <w:rPr>
          <w:sz w:val="20"/>
        </w:rPr>
        <w:t>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For </w:t>
      </w:r>
      <w:proofErr w:type="spellStart"/>
      <w:r w:rsidRPr="00520AA6">
        <w:rPr>
          <w:sz w:val="24"/>
          <w:szCs w:val="24"/>
        </w:rPr>
        <w:t>adjuvanser</w:t>
      </w:r>
      <w:proofErr w:type="spellEnd"/>
      <w:r w:rsidRPr="00520AA6">
        <w:rPr>
          <w:sz w:val="24"/>
          <w:szCs w:val="24"/>
        </w:rPr>
        <w:t>, se pkt. 2.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6.2</w:t>
      </w:r>
      <w:r w:rsidRPr="009248D1">
        <w:rPr>
          <w:b/>
          <w:sz w:val="24"/>
          <w:szCs w:val="24"/>
        </w:rPr>
        <w:tab/>
        <w:t>Uforligeligheder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Da der ikke foreligger studier af eventuelle uforligeligheder, må </w:t>
      </w: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ikke blandes med andre lægemidler.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6.3</w:t>
      </w:r>
      <w:r w:rsidRPr="009248D1">
        <w:rPr>
          <w:b/>
          <w:sz w:val="24"/>
          <w:szCs w:val="24"/>
        </w:rPr>
        <w:tab/>
        <w:t>Opbevaringstid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24 måneder.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Efter anbrud af hætteglasset:</w:t>
      </w:r>
      <w:r>
        <w:rPr>
          <w:sz w:val="24"/>
          <w:szCs w:val="24"/>
        </w:rPr>
        <w:t xml:space="preserve"> H</w:t>
      </w:r>
      <w:r w:rsidRPr="00520AA6">
        <w:rPr>
          <w:sz w:val="24"/>
          <w:szCs w:val="24"/>
        </w:rPr>
        <w:t>øjst 28 dage ved 2 °C-8 °C.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6.4</w:t>
      </w:r>
      <w:r w:rsidRPr="009248D1">
        <w:rPr>
          <w:b/>
          <w:sz w:val="24"/>
          <w:szCs w:val="24"/>
        </w:rPr>
        <w:tab/>
        <w:t>Særlige opbevaringsforhold</w:t>
      </w:r>
    </w:p>
    <w:p w:rsidR="0032040F" w:rsidRPr="00520AA6" w:rsidRDefault="0032040F" w:rsidP="0032040F">
      <w:pPr>
        <w:tabs>
          <w:tab w:val="left" w:pos="851"/>
          <w:tab w:val="left" w:pos="992"/>
        </w:tabs>
        <w:suppressAutoHyphens/>
        <w:ind w:left="855"/>
        <w:rPr>
          <w:sz w:val="24"/>
          <w:szCs w:val="24"/>
        </w:rPr>
      </w:pPr>
      <w:r w:rsidRPr="00520AA6">
        <w:rPr>
          <w:sz w:val="24"/>
          <w:szCs w:val="24"/>
        </w:rPr>
        <w:t xml:space="preserve">Opbevares i køleskab </w:t>
      </w:r>
      <w:r>
        <w:rPr>
          <w:sz w:val="24"/>
          <w:szCs w:val="24"/>
        </w:rPr>
        <w:t>(</w:t>
      </w:r>
      <w:r w:rsidRPr="00520AA6">
        <w:rPr>
          <w:sz w:val="24"/>
          <w:szCs w:val="24"/>
        </w:rPr>
        <w:t>2</w:t>
      </w:r>
      <w:r>
        <w:rPr>
          <w:sz w:val="24"/>
          <w:szCs w:val="24"/>
        </w:rPr>
        <w:t xml:space="preserve"> °C</w:t>
      </w:r>
      <w:r w:rsidRPr="00520AA6">
        <w:rPr>
          <w:sz w:val="24"/>
          <w:szCs w:val="24"/>
        </w:rPr>
        <w:t>-8 °C</w:t>
      </w:r>
      <w:r>
        <w:rPr>
          <w:sz w:val="24"/>
          <w:szCs w:val="24"/>
        </w:rPr>
        <w:t>)</w:t>
      </w:r>
      <w:r w:rsidRPr="00520AA6">
        <w:rPr>
          <w:sz w:val="24"/>
          <w:szCs w:val="24"/>
        </w:rPr>
        <w:t>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Må ikke </w:t>
      </w:r>
      <w:r w:rsidR="00DB3B0E">
        <w:rPr>
          <w:sz w:val="24"/>
          <w:szCs w:val="24"/>
        </w:rPr>
        <w:t>ned</w:t>
      </w:r>
      <w:r w:rsidRPr="00520AA6">
        <w:rPr>
          <w:sz w:val="24"/>
          <w:szCs w:val="24"/>
        </w:rPr>
        <w:t>fryses. Vaccinen skal kasseres, hvis den har været udsat for frost.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Før anbrud opbevares hætteglasset i den originale yderpakning for at beskytte mod lys.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 xml:space="preserve">Opbevaringsforhold efter anbrud af </w:t>
      </w:r>
      <w:r w:rsidR="00DB3B0E">
        <w:rPr>
          <w:sz w:val="24"/>
          <w:szCs w:val="24"/>
        </w:rPr>
        <w:t>vaccinen</w:t>
      </w:r>
      <w:r w:rsidRPr="00520AA6">
        <w:rPr>
          <w:sz w:val="24"/>
          <w:szCs w:val="24"/>
        </w:rPr>
        <w:t>, se pkt. 6.3.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6.5</w:t>
      </w:r>
      <w:r w:rsidRPr="009248D1">
        <w:rPr>
          <w:b/>
          <w:sz w:val="24"/>
          <w:szCs w:val="24"/>
        </w:rPr>
        <w:tab/>
        <w:t>Emballagetype og pakningsstørrelser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</w:t>
      </w:r>
      <w:r w:rsidRPr="00520AA6">
        <w:rPr>
          <w:sz w:val="24"/>
          <w:szCs w:val="24"/>
        </w:rPr>
        <w:t xml:space="preserve">lerdosishætteglas (type I glas) med </w:t>
      </w:r>
      <w:proofErr w:type="spellStart"/>
      <w:r w:rsidRPr="00520AA6">
        <w:rPr>
          <w:sz w:val="24"/>
          <w:szCs w:val="24"/>
        </w:rPr>
        <w:t>chlorbutylgummiprop</w:t>
      </w:r>
      <w:proofErr w:type="spellEnd"/>
      <w:r w:rsidRPr="00520AA6">
        <w:rPr>
          <w:sz w:val="24"/>
          <w:szCs w:val="24"/>
        </w:rPr>
        <w:t xml:space="preserve"> og aluminiumskapsel. Fra hvert hætteglas kan udtages 5 doser á 0,5 ml. Gummiproppen indeholder ikke latex.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Pakningsstørrelser</w:t>
      </w:r>
      <w:r>
        <w:rPr>
          <w:sz w:val="24"/>
          <w:szCs w:val="24"/>
        </w:rPr>
        <w:t xml:space="preserve">: </w:t>
      </w:r>
      <w:r w:rsidRPr="00520AA6">
        <w:rPr>
          <w:sz w:val="24"/>
          <w:szCs w:val="24"/>
        </w:rPr>
        <w:t>1, 5, 10, 20 og 50 hætteglas.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Ikke alle pakningsstørrelser er nødvendigvis markedsført.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6.6</w:t>
      </w:r>
      <w:r w:rsidRPr="009248D1">
        <w:rPr>
          <w:b/>
          <w:sz w:val="24"/>
          <w:szCs w:val="24"/>
        </w:rPr>
        <w:tab/>
        <w:t xml:space="preserve">Regler for </w:t>
      </w:r>
      <w:r w:rsidR="006012E5">
        <w:rPr>
          <w:b/>
          <w:sz w:val="24"/>
          <w:szCs w:val="24"/>
        </w:rPr>
        <w:t xml:space="preserve">bortskaffelse </w:t>
      </w:r>
      <w:r w:rsidRPr="009248D1">
        <w:rPr>
          <w:b/>
          <w:sz w:val="24"/>
          <w:szCs w:val="24"/>
        </w:rPr>
        <w:t>og anden håndtering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noProof/>
          <w:sz w:val="24"/>
          <w:szCs w:val="24"/>
        </w:rPr>
        <w:t xml:space="preserve">Picovax skal omrystes før brug, indtil vaccinen fremstår </w:t>
      </w:r>
      <w:r w:rsidRPr="00520AA6">
        <w:rPr>
          <w:sz w:val="24"/>
          <w:szCs w:val="24"/>
        </w:rPr>
        <w:t>som en lyserød til rød suspension af hvide og grå partikler.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20AA6">
        <w:rPr>
          <w:sz w:val="24"/>
          <w:szCs w:val="24"/>
        </w:rPr>
        <w:t>Picovax</w:t>
      </w:r>
      <w:proofErr w:type="spellEnd"/>
      <w:r w:rsidRPr="00520AA6">
        <w:rPr>
          <w:sz w:val="24"/>
          <w:szCs w:val="24"/>
        </w:rPr>
        <w:t xml:space="preserve"> må ikke anvendes, hvis vaccinen er gul.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Ikke anvendt lægemiddel samt affald heraf skal bortskaffes i henhold til lokale retningslinjer.</w:t>
      </w:r>
    </w:p>
    <w:p w:rsidR="0032040F" w:rsidRPr="009248D1" w:rsidRDefault="0032040F" w:rsidP="0032040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7.</w:t>
      </w:r>
      <w:r w:rsidRPr="009248D1">
        <w:rPr>
          <w:b/>
          <w:sz w:val="24"/>
          <w:szCs w:val="24"/>
        </w:rPr>
        <w:tab/>
        <w:t>INDEHAVER AF MARKEDSFØRINGSTILLADELSEN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AJ Vaccines A/S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Artillerivej 5</w:t>
      </w:r>
    </w:p>
    <w:p w:rsidR="0032040F" w:rsidRPr="00520AA6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 w:rsidRPr="00520AA6">
        <w:rPr>
          <w:sz w:val="24"/>
          <w:szCs w:val="24"/>
        </w:rPr>
        <w:t>2300 København S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8.</w:t>
      </w:r>
      <w:r w:rsidRPr="009248D1">
        <w:rPr>
          <w:b/>
          <w:sz w:val="24"/>
          <w:szCs w:val="24"/>
        </w:rPr>
        <w:tab/>
        <w:t>MARKEDSFØRINGSTILLADELSESNUMMER (</w:t>
      </w:r>
      <w:r w:rsidR="004A5153">
        <w:rPr>
          <w:b/>
          <w:sz w:val="24"/>
          <w:szCs w:val="24"/>
        </w:rPr>
        <w:t>-</w:t>
      </w:r>
      <w:r w:rsidRPr="009248D1">
        <w:rPr>
          <w:b/>
          <w:sz w:val="24"/>
          <w:szCs w:val="24"/>
        </w:rPr>
        <w:t>NUMRE)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61354</w:t>
      </w:r>
    </w:p>
    <w:p w:rsidR="0032040F" w:rsidRPr="009248D1" w:rsidRDefault="0032040F" w:rsidP="0032040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9.</w:t>
      </w:r>
      <w:r w:rsidRPr="009248D1">
        <w:rPr>
          <w:b/>
          <w:sz w:val="24"/>
          <w:szCs w:val="24"/>
        </w:rPr>
        <w:tab/>
        <w:t>DATO FOR FØRSTE MARKEDSFØRINGSTILLADELSE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29. maj 2019</w:t>
      </w:r>
    </w:p>
    <w:p w:rsidR="0032040F" w:rsidRPr="009248D1" w:rsidRDefault="0032040F" w:rsidP="0032040F">
      <w:pPr>
        <w:tabs>
          <w:tab w:val="left" w:pos="851"/>
        </w:tabs>
        <w:ind w:left="851"/>
        <w:rPr>
          <w:sz w:val="24"/>
          <w:szCs w:val="24"/>
        </w:rPr>
      </w:pPr>
    </w:p>
    <w:p w:rsidR="0032040F" w:rsidRPr="009248D1" w:rsidRDefault="0032040F" w:rsidP="0032040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248D1">
        <w:rPr>
          <w:b/>
          <w:sz w:val="24"/>
          <w:szCs w:val="24"/>
        </w:rPr>
        <w:t>10.</w:t>
      </w:r>
      <w:r w:rsidRPr="009248D1">
        <w:rPr>
          <w:b/>
          <w:sz w:val="24"/>
          <w:szCs w:val="24"/>
        </w:rPr>
        <w:tab/>
        <w:t>DATO FOR ÆNDRING AF TEKSTEN</w:t>
      </w:r>
    </w:p>
    <w:p w:rsidR="0032040F" w:rsidRPr="009248D1" w:rsidRDefault="00DB3B0E" w:rsidP="0032040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oktober 2023</w:t>
      </w:r>
    </w:p>
    <w:p w:rsidR="0032040F" w:rsidRPr="00FE1CDB" w:rsidRDefault="0032040F" w:rsidP="0032040F"/>
    <w:p w:rsidR="0032040F" w:rsidRPr="008A2436" w:rsidRDefault="0032040F" w:rsidP="0032040F"/>
    <w:p w:rsidR="009260DE" w:rsidRPr="0032040F" w:rsidRDefault="009260DE" w:rsidP="0032040F"/>
    <w:sectPr w:rsidR="009260DE" w:rsidRPr="0032040F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40F" w:rsidRDefault="0032040F">
      <w:r>
        <w:separator/>
      </w:r>
    </w:p>
  </w:endnote>
  <w:endnote w:type="continuationSeparator" w:id="0">
    <w:p w:rsidR="0032040F" w:rsidRDefault="0032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2040F">
      <w:rPr>
        <w:i/>
        <w:noProof/>
        <w:sz w:val="18"/>
        <w:szCs w:val="18"/>
      </w:rPr>
      <w:t>Dokument4232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40F" w:rsidRDefault="0032040F">
      <w:r>
        <w:separator/>
      </w:r>
    </w:p>
  </w:footnote>
  <w:footnote w:type="continuationSeparator" w:id="0">
    <w:p w:rsidR="0032040F" w:rsidRDefault="0032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355A65"/>
    <w:multiLevelType w:val="hybridMultilevel"/>
    <w:tmpl w:val="1AB602E2"/>
    <w:lvl w:ilvl="0" w:tplc="5F4ECFE4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A2270E2"/>
    <w:multiLevelType w:val="hybridMultilevel"/>
    <w:tmpl w:val="96804DFE"/>
    <w:lvl w:ilvl="0" w:tplc="5F4EC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0744657"/>
    <w:multiLevelType w:val="hybridMultilevel"/>
    <w:tmpl w:val="6380B400"/>
    <w:lvl w:ilvl="0" w:tplc="5F4ECF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0F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2040F"/>
    <w:rsid w:val="003A29AE"/>
    <w:rsid w:val="003A32D7"/>
    <w:rsid w:val="003B4074"/>
    <w:rsid w:val="003C769A"/>
    <w:rsid w:val="003F1838"/>
    <w:rsid w:val="0045746C"/>
    <w:rsid w:val="0049104B"/>
    <w:rsid w:val="004A5153"/>
    <w:rsid w:val="004E3B12"/>
    <w:rsid w:val="00532310"/>
    <w:rsid w:val="00560ECC"/>
    <w:rsid w:val="00565F0F"/>
    <w:rsid w:val="00594A86"/>
    <w:rsid w:val="00596D86"/>
    <w:rsid w:val="006012E5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F4D14"/>
    <w:rsid w:val="0081546F"/>
    <w:rsid w:val="0082576E"/>
    <w:rsid w:val="00907F75"/>
    <w:rsid w:val="009260DE"/>
    <w:rsid w:val="0093258A"/>
    <w:rsid w:val="009634A4"/>
    <w:rsid w:val="009C7BA3"/>
    <w:rsid w:val="009D1F5A"/>
    <w:rsid w:val="00B003BF"/>
    <w:rsid w:val="00B373D7"/>
    <w:rsid w:val="00B92137"/>
    <w:rsid w:val="00C36276"/>
    <w:rsid w:val="00C42586"/>
    <w:rsid w:val="00C60CCD"/>
    <w:rsid w:val="00C84483"/>
    <w:rsid w:val="00C95551"/>
    <w:rsid w:val="00CB20D7"/>
    <w:rsid w:val="00CF6F84"/>
    <w:rsid w:val="00D020B0"/>
    <w:rsid w:val="00D11748"/>
    <w:rsid w:val="00D366CF"/>
    <w:rsid w:val="00D715BB"/>
    <w:rsid w:val="00DB3B0E"/>
    <w:rsid w:val="00E108AA"/>
    <w:rsid w:val="00E31812"/>
    <w:rsid w:val="00E3749A"/>
    <w:rsid w:val="00E7437F"/>
    <w:rsid w:val="00E865B8"/>
    <w:rsid w:val="00EC0B9B"/>
    <w:rsid w:val="00ED5E9F"/>
    <w:rsid w:val="00F66D4F"/>
    <w:rsid w:val="00F76084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6A3E1-35D3-447C-8CBC-A24E6E2B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34A4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rsid w:val="0032040F"/>
    <w:pPr>
      <w:jc w:val="center"/>
    </w:pPr>
    <w:rPr>
      <w:lang w:val="x-none" w:eastAsia="x-none"/>
    </w:rPr>
  </w:style>
  <w:style w:type="character" w:customStyle="1" w:styleId="BrdtekstTegn">
    <w:name w:val="Brødtekst Tegn"/>
    <w:basedOn w:val="Standardskrifttypeiafsnit"/>
    <w:link w:val="Brdtekst"/>
    <w:rsid w:val="0032040F"/>
    <w:rPr>
      <w:sz w:val="23"/>
      <w:lang w:val="x-none" w:eastAsia="x-none"/>
    </w:rPr>
  </w:style>
  <w:style w:type="paragraph" w:styleId="Listeafsnit">
    <w:name w:val="List Paragraph"/>
    <w:basedOn w:val="Normal"/>
    <w:uiPriority w:val="34"/>
    <w:qFormat/>
    <w:rsid w:val="0032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5</TotalTime>
  <Pages>8</Pages>
  <Words>1725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HELS</dc:creator>
  <cp:keywords/>
  <dc:description>2023070372 - pkt. 4.1-4.4, 4.6, 4.8, 5.1, 5.3, 6.4 + QRD overskrifter</dc:description>
  <cp:lastModifiedBy>Casper Lydolph</cp:lastModifiedBy>
  <cp:revision>4</cp:revision>
  <cp:lastPrinted>2012-08-22T08:53:00Z</cp:lastPrinted>
  <dcterms:created xsi:type="dcterms:W3CDTF">2023-10-05T06:05:00Z</dcterms:created>
  <dcterms:modified xsi:type="dcterms:W3CDTF">2023-10-06T11:46:00Z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