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D1A29" w14:textId="77777777" w:rsidR="009260DE" w:rsidRPr="008F49E1" w:rsidRDefault="0021526C" w:rsidP="009260DE">
      <w:pPr>
        <w:rPr>
          <w:sz w:val="24"/>
          <w:szCs w:val="24"/>
        </w:rPr>
      </w:pPr>
      <w:r w:rsidRPr="009260DE">
        <w:rPr>
          <w:noProof/>
          <w:sz w:val="24"/>
          <w:szCs w:val="24"/>
          <w:lang w:eastAsia="da-DK"/>
        </w:rPr>
        <w:drawing>
          <wp:anchor distT="0" distB="0" distL="114300" distR="114300" simplePos="0" relativeHeight="251658240" behindDoc="0" locked="0" layoutInCell="1" allowOverlap="1" wp14:anchorId="7CB55806" wp14:editId="129C7146">
            <wp:simplePos x="0" y="0"/>
            <wp:positionH relativeFrom="margin">
              <wp:align>left</wp:align>
            </wp:positionH>
            <wp:positionV relativeFrom="paragraph">
              <wp:posOffset>97972</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14:paraId="1EC56678" w14:textId="28A0F87F" w:rsidR="009260DE" w:rsidRPr="00C84483" w:rsidRDefault="009260DE" w:rsidP="009260DE">
      <w:pPr>
        <w:pStyle w:val="Titel"/>
        <w:tabs>
          <w:tab w:val="right" w:pos="9356"/>
        </w:tabs>
        <w:jc w:val="left"/>
        <w:rPr>
          <w:b w:val="0"/>
          <w:szCs w:val="24"/>
          <w:lang w:eastAsia="en-US"/>
        </w:rPr>
      </w:pPr>
      <w:r w:rsidRPr="00C84483">
        <w:rPr>
          <w:b w:val="0"/>
          <w:szCs w:val="24"/>
          <w:lang w:eastAsia="en-US"/>
        </w:rPr>
        <w:tab/>
      </w:r>
      <w:r w:rsidR="003B4EEC">
        <w:rPr>
          <w:szCs w:val="24"/>
        </w:rPr>
        <w:t>14. august 2026</w:t>
      </w:r>
    </w:p>
    <w:p w14:paraId="15F8DA25" w14:textId="77777777" w:rsidR="009260DE" w:rsidRPr="00C84483" w:rsidRDefault="009260DE" w:rsidP="009260DE">
      <w:pPr>
        <w:pStyle w:val="Titel"/>
        <w:tabs>
          <w:tab w:val="left" w:pos="8222"/>
        </w:tabs>
        <w:jc w:val="left"/>
        <w:rPr>
          <w:b w:val="0"/>
          <w:szCs w:val="24"/>
        </w:rPr>
      </w:pPr>
    </w:p>
    <w:p w14:paraId="636795B2" w14:textId="51F18FFB" w:rsidR="005B40B0" w:rsidRPr="00C84483" w:rsidRDefault="005B40B0" w:rsidP="009260DE">
      <w:pPr>
        <w:pStyle w:val="Titel"/>
        <w:jc w:val="left"/>
        <w:rPr>
          <w:b w:val="0"/>
          <w:szCs w:val="24"/>
        </w:rPr>
      </w:pPr>
    </w:p>
    <w:p w14:paraId="46DDC795" w14:textId="77777777" w:rsidR="009260DE" w:rsidRPr="00C84483" w:rsidRDefault="009260DE" w:rsidP="009260DE">
      <w:pPr>
        <w:pStyle w:val="Titel"/>
        <w:jc w:val="left"/>
        <w:rPr>
          <w:b w:val="0"/>
          <w:szCs w:val="24"/>
        </w:rPr>
      </w:pPr>
    </w:p>
    <w:p w14:paraId="453E8BA0" w14:textId="77777777" w:rsidR="009260DE" w:rsidRPr="00C84483" w:rsidRDefault="009260DE" w:rsidP="009260DE">
      <w:pPr>
        <w:jc w:val="center"/>
        <w:rPr>
          <w:b/>
          <w:sz w:val="24"/>
          <w:szCs w:val="24"/>
        </w:rPr>
      </w:pPr>
      <w:r w:rsidRPr="00C84483">
        <w:rPr>
          <w:b/>
          <w:sz w:val="24"/>
          <w:szCs w:val="24"/>
        </w:rPr>
        <w:t>PRODUKTRESUMÉ</w:t>
      </w:r>
    </w:p>
    <w:p w14:paraId="0B7F5391" w14:textId="77777777" w:rsidR="009260DE" w:rsidRPr="00C84483" w:rsidRDefault="009260DE" w:rsidP="009260DE">
      <w:pPr>
        <w:jc w:val="center"/>
        <w:rPr>
          <w:b/>
          <w:sz w:val="24"/>
          <w:szCs w:val="24"/>
        </w:rPr>
      </w:pPr>
    </w:p>
    <w:p w14:paraId="2EB59E5E" w14:textId="77777777" w:rsidR="009260DE" w:rsidRDefault="009260DE" w:rsidP="009260DE">
      <w:pPr>
        <w:jc w:val="center"/>
        <w:rPr>
          <w:b/>
          <w:sz w:val="24"/>
          <w:szCs w:val="24"/>
        </w:rPr>
      </w:pPr>
      <w:r w:rsidRPr="00C84483">
        <w:rPr>
          <w:b/>
          <w:sz w:val="24"/>
          <w:szCs w:val="24"/>
        </w:rPr>
        <w:t>for</w:t>
      </w:r>
    </w:p>
    <w:p w14:paraId="08895AF0" w14:textId="77777777" w:rsidR="000B058C" w:rsidRPr="00C84483" w:rsidRDefault="000B058C" w:rsidP="009260DE">
      <w:pPr>
        <w:jc w:val="center"/>
        <w:rPr>
          <w:b/>
          <w:sz w:val="24"/>
          <w:szCs w:val="24"/>
        </w:rPr>
      </w:pPr>
    </w:p>
    <w:p w14:paraId="1872540D" w14:textId="427402F3" w:rsidR="009260DE" w:rsidRPr="00C84483" w:rsidRDefault="00C05AB1" w:rsidP="009260DE">
      <w:pPr>
        <w:jc w:val="center"/>
        <w:rPr>
          <w:b/>
          <w:sz w:val="24"/>
          <w:szCs w:val="24"/>
        </w:rPr>
      </w:pPr>
      <w:r>
        <w:rPr>
          <w:b/>
          <w:sz w:val="24"/>
          <w:szCs w:val="24"/>
        </w:rPr>
        <w:t>Pinex, tabletter 1000 mg</w:t>
      </w:r>
    </w:p>
    <w:p w14:paraId="750F264D" w14:textId="77777777" w:rsidR="009260DE" w:rsidRPr="00C84483" w:rsidRDefault="009260DE" w:rsidP="009260DE">
      <w:pPr>
        <w:jc w:val="both"/>
        <w:rPr>
          <w:sz w:val="24"/>
          <w:szCs w:val="24"/>
        </w:rPr>
      </w:pPr>
    </w:p>
    <w:p w14:paraId="613D3EEC" w14:textId="77777777" w:rsidR="009260DE" w:rsidRPr="00C84483" w:rsidRDefault="009260DE" w:rsidP="009260DE">
      <w:pPr>
        <w:jc w:val="both"/>
        <w:rPr>
          <w:sz w:val="24"/>
          <w:szCs w:val="24"/>
        </w:rPr>
      </w:pPr>
    </w:p>
    <w:p w14:paraId="05A3D3C2" w14:textId="77777777" w:rsidR="009260DE" w:rsidRPr="00C84483" w:rsidRDefault="009260DE" w:rsidP="009260DE">
      <w:pPr>
        <w:tabs>
          <w:tab w:val="left" w:pos="851"/>
        </w:tabs>
        <w:ind w:left="851" w:hanging="851"/>
        <w:rPr>
          <w:b/>
          <w:sz w:val="24"/>
          <w:szCs w:val="24"/>
        </w:rPr>
      </w:pPr>
      <w:r w:rsidRPr="00C84483">
        <w:rPr>
          <w:b/>
          <w:sz w:val="24"/>
          <w:szCs w:val="24"/>
        </w:rPr>
        <w:t>0.</w:t>
      </w:r>
      <w:r w:rsidRPr="00C84483">
        <w:rPr>
          <w:b/>
          <w:sz w:val="24"/>
          <w:szCs w:val="24"/>
        </w:rPr>
        <w:tab/>
        <w:t>D.SP.NR.</w:t>
      </w:r>
    </w:p>
    <w:p w14:paraId="78FF5BCA" w14:textId="5DA67976" w:rsidR="009260DE" w:rsidRPr="00C84483" w:rsidRDefault="00C05AB1" w:rsidP="009260DE">
      <w:pPr>
        <w:tabs>
          <w:tab w:val="left" w:pos="851"/>
        </w:tabs>
        <w:ind w:left="851"/>
        <w:rPr>
          <w:sz w:val="24"/>
          <w:szCs w:val="24"/>
        </w:rPr>
      </w:pPr>
      <w:r>
        <w:rPr>
          <w:sz w:val="24"/>
          <w:szCs w:val="24"/>
        </w:rPr>
        <w:t>03909</w:t>
      </w:r>
    </w:p>
    <w:p w14:paraId="77715BED" w14:textId="77777777" w:rsidR="009260DE" w:rsidRPr="00C84483" w:rsidRDefault="009260DE" w:rsidP="009260DE">
      <w:pPr>
        <w:tabs>
          <w:tab w:val="left" w:pos="851"/>
        </w:tabs>
        <w:ind w:left="851"/>
        <w:rPr>
          <w:sz w:val="24"/>
          <w:szCs w:val="24"/>
        </w:rPr>
      </w:pPr>
    </w:p>
    <w:p w14:paraId="52E08390" w14:textId="77777777" w:rsidR="009260DE" w:rsidRPr="00C84483" w:rsidRDefault="009260DE" w:rsidP="009260DE">
      <w:pPr>
        <w:tabs>
          <w:tab w:val="left" w:pos="851"/>
        </w:tabs>
        <w:ind w:left="851" w:hanging="851"/>
        <w:rPr>
          <w:b/>
          <w:sz w:val="24"/>
          <w:szCs w:val="24"/>
        </w:rPr>
      </w:pPr>
      <w:r w:rsidRPr="00C84483">
        <w:rPr>
          <w:b/>
          <w:sz w:val="24"/>
          <w:szCs w:val="24"/>
        </w:rPr>
        <w:t>1.</w:t>
      </w:r>
      <w:r w:rsidRPr="00C84483">
        <w:rPr>
          <w:b/>
          <w:sz w:val="24"/>
          <w:szCs w:val="24"/>
        </w:rPr>
        <w:tab/>
        <w:t>LÆGEMIDLETS NAVN</w:t>
      </w:r>
    </w:p>
    <w:p w14:paraId="0A241DE2" w14:textId="08EB219A" w:rsidR="009260DE" w:rsidRPr="00C84483" w:rsidRDefault="00C05AB1" w:rsidP="009260DE">
      <w:pPr>
        <w:tabs>
          <w:tab w:val="left" w:pos="851"/>
        </w:tabs>
        <w:ind w:left="851"/>
        <w:rPr>
          <w:sz w:val="24"/>
          <w:szCs w:val="24"/>
        </w:rPr>
      </w:pPr>
      <w:r>
        <w:rPr>
          <w:sz w:val="24"/>
          <w:szCs w:val="24"/>
        </w:rPr>
        <w:t>Pinex</w:t>
      </w:r>
    </w:p>
    <w:p w14:paraId="269B102A" w14:textId="77777777" w:rsidR="009260DE" w:rsidRPr="00C84483" w:rsidRDefault="009260DE" w:rsidP="009260DE">
      <w:pPr>
        <w:tabs>
          <w:tab w:val="left" w:pos="851"/>
        </w:tabs>
        <w:ind w:left="851"/>
        <w:rPr>
          <w:sz w:val="24"/>
          <w:szCs w:val="24"/>
        </w:rPr>
      </w:pPr>
    </w:p>
    <w:p w14:paraId="25C7E36A" w14:textId="77777777" w:rsidR="009260DE" w:rsidRPr="00C84483" w:rsidRDefault="009260DE" w:rsidP="009260DE">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20CAC46E" w14:textId="77777777" w:rsidR="00B95197" w:rsidRPr="00B95197" w:rsidRDefault="00B95197" w:rsidP="00B95197">
      <w:pPr>
        <w:ind w:left="851"/>
        <w:rPr>
          <w:sz w:val="24"/>
          <w:szCs w:val="24"/>
        </w:rPr>
      </w:pPr>
      <w:r w:rsidRPr="00B95197">
        <w:rPr>
          <w:sz w:val="24"/>
          <w:szCs w:val="24"/>
        </w:rPr>
        <w:t>Hver tablet indeholder 1000 mg paracetamol.</w:t>
      </w:r>
    </w:p>
    <w:p w14:paraId="1DDE7173" w14:textId="77777777" w:rsidR="00B95197" w:rsidRPr="00B95197" w:rsidRDefault="00B95197" w:rsidP="00B95197">
      <w:pPr>
        <w:ind w:left="851"/>
        <w:rPr>
          <w:sz w:val="24"/>
          <w:szCs w:val="24"/>
        </w:rPr>
      </w:pPr>
    </w:p>
    <w:p w14:paraId="79B3192C" w14:textId="77777777" w:rsidR="00B95197" w:rsidRPr="00B95197" w:rsidRDefault="00B95197" w:rsidP="00B95197">
      <w:pPr>
        <w:ind w:left="851"/>
        <w:rPr>
          <w:sz w:val="24"/>
          <w:szCs w:val="24"/>
        </w:rPr>
      </w:pPr>
      <w:r w:rsidRPr="00B95197">
        <w:rPr>
          <w:sz w:val="24"/>
          <w:szCs w:val="24"/>
        </w:rPr>
        <w:t>Alle hjælpestoffer er anført under pkt. 6.1.</w:t>
      </w:r>
    </w:p>
    <w:p w14:paraId="5184D44E" w14:textId="77777777" w:rsidR="009260DE" w:rsidRPr="00C84483" w:rsidRDefault="009260DE" w:rsidP="009260DE">
      <w:pPr>
        <w:tabs>
          <w:tab w:val="left" w:pos="851"/>
        </w:tabs>
        <w:ind w:left="851"/>
        <w:rPr>
          <w:sz w:val="24"/>
          <w:szCs w:val="24"/>
        </w:rPr>
      </w:pPr>
    </w:p>
    <w:p w14:paraId="6FD19D3C" w14:textId="77777777" w:rsidR="009260DE" w:rsidRPr="00C84483" w:rsidRDefault="009260DE" w:rsidP="009260DE">
      <w:pPr>
        <w:tabs>
          <w:tab w:val="left" w:pos="851"/>
        </w:tabs>
        <w:ind w:left="851" w:hanging="851"/>
        <w:rPr>
          <w:b/>
          <w:sz w:val="24"/>
          <w:szCs w:val="24"/>
        </w:rPr>
      </w:pPr>
      <w:r w:rsidRPr="00C84483">
        <w:rPr>
          <w:b/>
          <w:sz w:val="24"/>
          <w:szCs w:val="24"/>
        </w:rPr>
        <w:t>3.</w:t>
      </w:r>
      <w:r w:rsidRPr="00C84483">
        <w:rPr>
          <w:b/>
          <w:sz w:val="24"/>
          <w:szCs w:val="24"/>
        </w:rPr>
        <w:tab/>
        <w:t>LÆGEMIDDELFORM</w:t>
      </w:r>
    </w:p>
    <w:p w14:paraId="3CBFFE20" w14:textId="320CA91F" w:rsidR="00B95197" w:rsidRPr="00B95197" w:rsidRDefault="00B95197" w:rsidP="00B95197">
      <w:pPr>
        <w:ind w:left="851"/>
        <w:rPr>
          <w:sz w:val="24"/>
          <w:szCs w:val="24"/>
        </w:rPr>
      </w:pPr>
      <w:r w:rsidRPr="00B95197">
        <w:rPr>
          <w:sz w:val="24"/>
          <w:szCs w:val="24"/>
        </w:rPr>
        <w:t>Tabletter</w:t>
      </w:r>
    </w:p>
    <w:p w14:paraId="2C84EBEA" w14:textId="77777777" w:rsidR="00B95197" w:rsidRPr="00B95197" w:rsidRDefault="00B95197" w:rsidP="00B95197">
      <w:pPr>
        <w:ind w:left="851"/>
        <w:rPr>
          <w:sz w:val="24"/>
          <w:szCs w:val="24"/>
        </w:rPr>
      </w:pPr>
    </w:p>
    <w:p w14:paraId="025B4521" w14:textId="77777777" w:rsidR="00B95197" w:rsidRPr="00B95197" w:rsidRDefault="00B95197" w:rsidP="00B95197">
      <w:pPr>
        <w:ind w:left="851"/>
        <w:rPr>
          <w:sz w:val="24"/>
          <w:szCs w:val="24"/>
        </w:rPr>
      </w:pPr>
      <w:r w:rsidRPr="00B95197">
        <w:rPr>
          <w:sz w:val="24"/>
          <w:szCs w:val="24"/>
        </w:rPr>
        <w:t xml:space="preserve">Hvide til råhvide, ovale, bikonvekse tabletter med delekærv på begge sider. </w:t>
      </w:r>
    </w:p>
    <w:p w14:paraId="0277C3A8" w14:textId="0191FDDB" w:rsidR="00B95197" w:rsidRPr="00B95197" w:rsidRDefault="00B95197" w:rsidP="00B95197">
      <w:pPr>
        <w:ind w:left="851"/>
        <w:rPr>
          <w:sz w:val="24"/>
          <w:szCs w:val="24"/>
        </w:rPr>
      </w:pPr>
      <w:r w:rsidRPr="00B95197">
        <w:rPr>
          <w:sz w:val="24"/>
          <w:szCs w:val="24"/>
        </w:rPr>
        <w:t xml:space="preserve">Størrelse: ca. 10,0 mm </w:t>
      </w:r>
      <w:r w:rsidR="00FE5144">
        <w:rPr>
          <w:sz w:val="24"/>
          <w:szCs w:val="24"/>
        </w:rPr>
        <w:t>×</w:t>
      </w:r>
      <w:r w:rsidRPr="00B95197">
        <w:rPr>
          <w:sz w:val="24"/>
          <w:szCs w:val="24"/>
        </w:rPr>
        <w:t xml:space="preserve"> 20,0 mm.</w:t>
      </w:r>
    </w:p>
    <w:p w14:paraId="4799AE25" w14:textId="77777777" w:rsidR="00B95197" w:rsidRPr="00B95197" w:rsidRDefault="00B95197" w:rsidP="00B95197">
      <w:pPr>
        <w:ind w:left="851"/>
        <w:rPr>
          <w:sz w:val="24"/>
          <w:szCs w:val="24"/>
        </w:rPr>
      </w:pPr>
    </w:p>
    <w:p w14:paraId="6DBA8F0F" w14:textId="77777777" w:rsidR="00B95197" w:rsidRPr="00B95197" w:rsidRDefault="00B95197" w:rsidP="00B95197">
      <w:pPr>
        <w:ind w:left="851"/>
        <w:rPr>
          <w:sz w:val="24"/>
          <w:szCs w:val="24"/>
        </w:rPr>
      </w:pPr>
      <w:r w:rsidRPr="00B95197">
        <w:rPr>
          <w:sz w:val="24"/>
          <w:szCs w:val="24"/>
        </w:rPr>
        <w:t>Tabletten kan deles i to lige store doser.</w:t>
      </w:r>
    </w:p>
    <w:p w14:paraId="62E85771" w14:textId="77777777" w:rsidR="009260DE" w:rsidRPr="00C84483" w:rsidRDefault="009260DE" w:rsidP="009260DE">
      <w:pPr>
        <w:tabs>
          <w:tab w:val="left" w:pos="851"/>
        </w:tabs>
        <w:ind w:left="851"/>
        <w:rPr>
          <w:sz w:val="24"/>
          <w:szCs w:val="24"/>
        </w:rPr>
      </w:pPr>
    </w:p>
    <w:p w14:paraId="066F6C83" w14:textId="77777777" w:rsidR="009260DE" w:rsidRPr="00C84483" w:rsidRDefault="009260DE" w:rsidP="009260DE">
      <w:pPr>
        <w:tabs>
          <w:tab w:val="left" w:pos="851"/>
        </w:tabs>
        <w:ind w:left="851"/>
        <w:rPr>
          <w:sz w:val="24"/>
          <w:szCs w:val="24"/>
        </w:rPr>
      </w:pPr>
    </w:p>
    <w:p w14:paraId="7BA284A0" w14:textId="77777777" w:rsidR="009260DE" w:rsidRPr="00C84483" w:rsidRDefault="009260DE" w:rsidP="009260DE">
      <w:pPr>
        <w:tabs>
          <w:tab w:val="left" w:pos="851"/>
        </w:tabs>
        <w:ind w:left="851" w:hanging="851"/>
        <w:rPr>
          <w:b/>
          <w:sz w:val="24"/>
          <w:szCs w:val="24"/>
        </w:rPr>
      </w:pPr>
      <w:r w:rsidRPr="00C84483">
        <w:rPr>
          <w:b/>
          <w:sz w:val="24"/>
          <w:szCs w:val="24"/>
        </w:rPr>
        <w:t>4.</w:t>
      </w:r>
      <w:r w:rsidRPr="00C84483">
        <w:rPr>
          <w:b/>
          <w:sz w:val="24"/>
          <w:szCs w:val="24"/>
        </w:rPr>
        <w:tab/>
        <w:t>KLINISKE OPLYSNINGER</w:t>
      </w:r>
    </w:p>
    <w:p w14:paraId="24C6E051" w14:textId="77777777" w:rsidR="009260DE" w:rsidRPr="00C84483" w:rsidRDefault="009260DE" w:rsidP="009260DE">
      <w:pPr>
        <w:tabs>
          <w:tab w:val="left" w:pos="851"/>
        </w:tabs>
        <w:ind w:left="851"/>
        <w:rPr>
          <w:b/>
          <w:sz w:val="24"/>
          <w:szCs w:val="24"/>
        </w:rPr>
      </w:pPr>
    </w:p>
    <w:p w14:paraId="7C98565E" w14:textId="77777777" w:rsidR="009260DE" w:rsidRPr="00C84483" w:rsidRDefault="009260DE" w:rsidP="009260DE">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5C05F8F1" w14:textId="77777777" w:rsidR="00B95197" w:rsidRPr="00B95197" w:rsidRDefault="00B95197" w:rsidP="00B95197">
      <w:pPr>
        <w:ind w:left="851"/>
        <w:rPr>
          <w:sz w:val="24"/>
          <w:szCs w:val="24"/>
        </w:rPr>
      </w:pPr>
      <w:r w:rsidRPr="00B95197">
        <w:rPr>
          <w:sz w:val="24"/>
          <w:szCs w:val="24"/>
        </w:rPr>
        <w:t>Til behandling af svage til moderate smerter og/eller feber.</w:t>
      </w:r>
    </w:p>
    <w:p w14:paraId="6C2C2484" w14:textId="77777777" w:rsidR="00B95197" w:rsidRPr="00B95197" w:rsidRDefault="00B95197" w:rsidP="00B95197">
      <w:pPr>
        <w:ind w:left="851"/>
        <w:rPr>
          <w:sz w:val="24"/>
          <w:szCs w:val="24"/>
        </w:rPr>
      </w:pPr>
    </w:p>
    <w:p w14:paraId="7481DC87" w14:textId="77777777" w:rsidR="00B95197" w:rsidRPr="00B95197" w:rsidRDefault="00B95197" w:rsidP="00B95197">
      <w:pPr>
        <w:ind w:left="851"/>
        <w:rPr>
          <w:sz w:val="24"/>
          <w:szCs w:val="24"/>
        </w:rPr>
      </w:pPr>
      <w:r w:rsidRPr="00B95197">
        <w:rPr>
          <w:sz w:val="24"/>
          <w:szCs w:val="24"/>
        </w:rPr>
        <w:t>Pinex er indiceret til voksne, unge og børn fra 31 kg (fra 10 år).</w:t>
      </w:r>
    </w:p>
    <w:p w14:paraId="6EBEED79" w14:textId="77777777" w:rsidR="009260DE" w:rsidRPr="00C84483" w:rsidRDefault="009260DE" w:rsidP="009260DE">
      <w:pPr>
        <w:tabs>
          <w:tab w:val="left" w:pos="851"/>
        </w:tabs>
        <w:ind w:left="851"/>
        <w:rPr>
          <w:sz w:val="24"/>
          <w:szCs w:val="24"/>
        </w:rPr>
      </w:pPr>
    </w:p>
    <w:p w14:paraId="2DA91B17" w14:textId="77777777" w:rsidR="009260DE" w:rsidRPr="00C84483" w:rsidRDefault="009260DE" w:rsidP="009260DE">
      <w:pPr>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2C1EC0">
        <w:rPr>
          <w:b/>
          <w:sz w:val="24"/>
          <w:szCs w:val="24"/>
        </w:rPr>
        <w:t>administration</w:t>
      </w:r>
    </w:p>
    <w:p w14:paraId="5F70A37B" w14:textId="77777777" w:rsidR="00B95197" w:rsidRPr="00B95197" w:rsidRDefault="00B95197" w:rsidP="00B95197">
      <w:pPr>
        <w:ind w:left="851"/>
        <w:rPr>
          <w:sz w:val="24"/>
          <w:szCs w:val="24"/>
        </w:rPr>
      </w:pPr>
      <w:r w:rsidRPr="00B95197">
        <w:rPr>
          <w:sz w:val="24"/>
          <w:szCs w:val="24"/>
        </w:rPr>
        <w:t>Bør anvendes i laveste effektive dosis i kortest mulig tid.</w:t>
      </w:r>
    </w:p>
    <w:p w14:paraId="7F3C8271" w14:textId="77777777" w:rsidR="00B95197" w:rsidRPr="00B95197" w:rsidRDefault="00B95197" w:rsidP="00B95197">
      <w:pPr>
        <w:ind w:left="851"/>
        <w:rPr>
          <w:sz w:val="24"/>
          <w:szCs w:val="24"/>
          <w:u w:val="single"/>
        </w:rPr>
      </w:pPr>
    </w:p>
    <w:p w14:paraId="4F65244F" w14:textId="029BB027" w:rsidR="00B95197" w:rsidRPr="00B95197" w:rsidRDefault="00B95197" w:rsidP="00B95197">
      <w:pPr>
        <w:ind w:left="851"/>
        <w:rPr>
          <w:sz w:val="24"/>
          <w:szCs w:val="24"/>
        </w:rPr>
      </w:pPr>
      <w:r w:rsidRPr="00B95197">
        <w:rPr>
          <w:sz w:val="24"/>
          <w:szCs w:val="24"/>
        </w:rPr>
        <w:t>Dosis afhænger af alder og kropsvægt og er generelt 10-15 mg/kg kropsvægt som enkeltdosis, op til en maksimal total døgndosis på 60 mg/kg kropsvægt (højst 4000</w:t>
      </w:r>
      <w:r w:rsidR="00FE5144">
        <w:rPr>
          <w:sz w:val="24"/>
          <w:szCs w:val="24"/>
        </w:rPr>
        <w:t> </w:t>
      </w:r>
      <w:r w:rsidRPr="00B95197">
        <w:rPr>
          <w:sz w:val="24"/>
          <w:szCs w:val="24"/>
        </w:rPr>
        <w:t>mg/døgn). Se nedenstående tabel for vægtintervaller og doseringseksempler.</w:t>
      </w:r>
    </w:p>
    <w:p w14:paraId="762EBCE4" w14:textId="77777777" w:rsidR="00B95197" w:rsidRPr="00B95197" w:rsidRDefault="00B95197" w:rsidP="00B95197">
      <w:pPr>
        <w:ind w:left="851"/>
        <w:rPr>
          <w:sz w:val="24"/>
          <w:szCs w:val="24"/>
        </w:rPr>
      </w:pPr>
    </w:p>
    <w:p w14:paraId="7A1180FE" w14:textId="77777777" w:rsidR="00B95197" w:rsidRPr="00B95197" w:rsidRDefault="00B95197" w:rsidP="00B95197">
      <w:pPr>
        <w:ind w:left="851"/>
        <w:rPr>
          <w:sz w:val="24"/>
          <w:szCs w:val="24"/>
        </w:rPr>
      </w:pPr>
      <w:r w:rsidRPr="00B95197">
        <w:rPr>
          <w:sz w:val="24"/>
          <w:szCs w:val="24"/>
        </w:rPr>
        <w:lastRenderedPageBreak/>
        <w:t>I hvert tilfælde afhænger doseringsintervallet af symptomerne og den maksimale totale døgndosis, men bør ikke være kortere end 4 timer.</w:t>
      </w:r>
    </w:p>
    <w:p w14:paraId="0C8E8E62" w14:textId="77777777" w:rsidR="00B95197" w:rsidRPr="00B95197" w:rsidRDefault="00B95197" w:rsidP="00B95197">
      <w:pPr>
        <w:ind w:left="851"/>
        <w:rPr>
          <w:sz w:val="24"/>
          <w:szCs w:val="24"/>
        </w:rPr>
      </w:pPr>
    </w:p>
    <w:p w14:paraId="53F8EDB0" w14:textId="77777777" w:rsidR="00B95197" w:rsidRPr="00B95197" w:rsidRDefault="00B95197" w:rsidP="00B95197">
      <w:pPr>
        <w:ind w:left="851"/>
        <w:rPr>
          <w:sz w:val="24"/>
          <w:szCs w:val="24"/>
        </w:rPr>
      </w:pPr>
      <w:r w:rsidRPr="00B95197">
        <w:rPr>
          <w:sz w:val="24"/>
          <w:szCs w:val="24"/>
        </w:rPr>
        <w:t>Lægen bør kontaktes, hvis smerter varer ved i mere end 5 dage, hvis feber forværres eller varer ved i mere end 3 dage, eller hvis der opstår andre symptomer.</w:t>
      </w:r>
    </w:p>
    <w:p w14:paraId="0FC35999" w14:textId="77777777" w:rsidR="00B95197" w:rsidRPr="00B95197" w:rsidRDefault="00B95197" w:rsidP="00B95197">
      <w:pPr>
        <w:ind w:left="851"/>
        <w:rPr>
          <w:sz w:val="24"/>
          <w:szCs w:val="24"/>
        </w:rPr>
      </w:pPr>
      <w:r w:rsidRPr="00B95197">
        <w:rPr>
          <w:sz w:val="24"/>
          <w:szCs w:val="24"/>
        </w:rPr>
        <w:t>Patientens omsorgsperson bør rådes til at kontakte læge, hvis der opstår høj feber, tegn på infektion, eller hvis symptomerne varer ved efter 2 dages behandling af børn under 12 år.</w:t>
      </w:r>
    </w:p>
    <w:p w14:paraId="54510232" w14:textId="77777777" w:rsidR="00B95197" w:rsidRPr="00B95197" w:rsidRDefault="00B95197" w:rsidP="00B95197">
      <w:pPr>
        <w:ind w:left="851"/>
        <w:rPr>
          <w:sz w:val="24"/>
          <w:szCs w:val="24"/>
        </w:rPr>
      </w:pPr>
    </w:p>
    <w:p w14:paraId="42CE1A2C" w14:textId="77777777" w:rsidR="00B95197" w:rsidRPr="00B95197" w:rsidRDefault="00B95197" w:rsidP="00B95197">
      <w:pPr>
        <w:ind w:left="851"/>
        <w:rPr>
          <w:sz w:val="24"/>
          <w:szCs w:val="24"/>
          <w:u w:val="single"/>
        </w:rPr>
      </w:pPr>
      <w:r w:rsidRPr="00B95197">
        <w:rPr>
          <w:sz w:val="24"/>
          <w:szCs w:val="24"/>
          <w:u w:val="single"/>
        </w:rPr>
        <w:t>Dosering</w:t>
      </w:r>
    </w:p>
    <w:p w14:paraId="77CED3EF" w14:textId="77777777" w:rsidR="00B95197" w:rsidRPr="00B95197" w:rsidRDefault="00B95197" w:rsidP="00B95197">
      <w:pPr>
        <w:ind w:left="851"/>
        <w:rPr>
          <w:sz w:val="24"/>
          <w:szCs w:val="24"/>
        </w:rPr>
      </w:pPr>
    </w:p>
    <w:p w14:paraId="54A582BE" w14:textId="77777777" w:rsidR="00B95197" w:rsidRPr="00B95197" w:rsidRDefault="00B95197" w:rsidP="00B95197">
      <w:pPr>
        <w:ind w:left="851"/>
        <w:rPr>
          <w:sz w:val="24"/>
          <w:szCs w:val="24"/>
        </w:rPr>
      </w:pPr>
      <w:r w:rsidRPr="00B95197">
        <w:rPr>
          <w:sz w:val="24"/>
          <w:szCs w:val="24"/>
        </w:rPr>
        <w:t>Doseringen er i forhold til følgende tabel:</w:t>
      </w:r>
    </w:p>
    <w:p w14:paraId="6C9583DE" w14:textId="77777777" w:rsidR="00B95197" w:rsidRPr="00B95197" w:rsidRDefault="00B95197" w:rsidP="00B95197">
      <w:pPr>
        <w:tabs>
          <w:tab w:val="left" w:pos="851"/>
        </w:tabs>
        <w:ind w:left="851"/>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4"/>
        <w:gridCol w:w="1681"/>
        <w:gridCol w:w="1835"/>
        <w:gridCol w:w="3518"/>
      </w:tblGrid>
      <w:tr w:rsidR="00B95197" w:rsidRPr="00B95197" w14:paraId="2D659C22" w14:textId="77777777" w:rsidTr="00B95197">
        <w:trPr>
          <w:trHeight w:val="306"/>
        </w:trPr>
        <w:tc>
          <w:tcPr>
            <w:tcW w:w="1347" w:type="pct"/>
            <w:tcBorders>
              <w:top w:val="single" w:sz="4" w:space="0" w:color="auto"/>
              <w:left w:val="single" w:sz="4" w:space="0" w:color="auto"/>
              <w:bottom w:val="single" w:sz="4" w:space="0" w:color="auto"/>
              <w:right w:val="single" w:sz="4" w:space="0" w:color="auto"/>
            </w:tcBorders>
            <w:shd w:val="clear" w:color="auto" w:fill="E6E6E6"/>
            <w:hideMark/>
          </w:tcPr>
          <w:p w14:paraId="3EF0DB7A" w14:textId="77777777" w:rsidR="00B95197" w:rsidRPr="00B95197" w:rsidRDefault="00B95197" w:rsidP="00B95197">
            <w:pPr>
              <w:ind w:left="61"/>
              <w:rPr>
                <w:b/>
                <w:bCs/>
                <w:sz w:val="24"/>
                <w:szCs w:val="24"/>
                <w:lang w:val="en-GB"/>
              </w:rPr>
            </w:pPr>
            <w:r w:rsidRPr="00B95197">
              <w:rPr>
                <w:b/>
                <w:bCs/>
                <w:sz w:val="24"/>
                <w:szCs w:val="24"/>
                <w:lang w:val="en-GB"/>
              </w:rPr>
              <w:t>Kropsvægt (år)</w:t>
            </w:r>
          </w:p>
        </w:tc>
        <w:tc>
          <w:tcPr>
            <w:tcW w:w="873" w:type="pct"/>
            <w:tcBorders>
              <w:top w:val="single" w:sz="4" w:space="0" w:color="auto"/>
              <w:left w:val="single" w:sz="4" w:space="0" w:color="auto"/>
              <w:bottom w:val="single" w:sz="4" w:space="0" w:color="auto"/>
              <w:right w:val="single" w:sz="4" w:space="0" w:color="auto"/>
            </w:tcBorders>
            <w:shd w:val="clear" w:color="auto" w:fill="E6E6E6"/>
          </w:tcPr>
          <w:p w14:paraId="3920ACAA" w14:textId="77777777" w:rsidR="00B95197" w:rsidRPr="00B95197" w:rsidRDefault="00B95197" w:rsidP="00B95197">
            <w:pPr>
              <w:ind w:left="61"/>
              <w:rPr>
                <w:b/>
                <w:bCs/>
                <w:sz w:val="24"/>
                <w:szCs w:val="24"/>
                <w:lang w:val="en-GB"/>
              </w:rPr>
            </w:pPr>
            <w:r w:rsidRPr="00B95197">
              <w:rPr>
                <w:b/>
                <w:bCs/>
                <w:sz w:val="24"/>
                <w:szCs w:val="24"/>
                <w:lang w:val="en-GB"/>
              </w:rPr>
              <w:t>Enkeltdosis paracetamol</w:t>
            </w:r>
          </w:p>
          <w:p w14:paraId="358CCB54" w14:textId="77777777" w:rsidR="00B95197" w:rsidRPr="00B95197" w:rsidRDefault="00B95197" w:rsidP="00B95197">
            <w:pPr>
              <w:ind w:left="61"/>
              <w:rPr>
                <w:b/>
                <w:bCs/>
                <w:sz w:val="24"/>
                <w:szCs w:val="24"/>
                <w:lang w:val="en-GB"/>
              </w:rPr>
            </w:pPr>
          </w:p>
        </w:tc>
        <w:tc>
          <w:tcPr>
            <w:tcW w:w="953" w:type="pct"/>
            <w:tcBorders>
              <w:top w:val="single" w:sz="4" w:space="0" w:color="auto"/>
              <w:left w:val="single" w:sz="4" w:space="0" w:color="auto"/>
              <w:bottom w:val="single" w:sz="4" w:space="0" w:color="auto"/>
              <w:right w:val="single" w:sz="4" w:space="0" w:color="auto"/>
            </w:tcBorders>
            <w:shd w:val="clear" w:color="auto" w:fill="E6E6E6"/>
            <w:hideMark/>
          </w:tcPr>
          <w:p w14:paraId="7561199F" w14:textId="77777777" w:rsidR="00B95197" w:rsidRPr="00B95197" w:rsidRDefault="00B95197" w:rsidP="00B95197">
            <w:pPr>
              <w:ind w:left="61"/>
              <w:rPr>
                <w:b/>
                <w:bCs/>
                <w:sz w:val="24"/>
                <w:szCs w:val="24"/>
                <w:lang w:val="en-GB"/>
              </w:rPr>
            </w:pPr>
            <w:r w:rsidRPr="00B95197">
              <w:rPr>
                <w:b/>
                <w:bCs/>
                <w:sz w:val="24"/>
                <w:szCs w:val="24"/>
                <w:lang w:val="en-GB"/>
              </w:rPr>
              <w:t>Antal tabletter ad gangen</w:t>
            </w:r>
          </w:p>
        </w:tc>
        <w:tc>
          <w:tcPr>
            <w:tcW w:w="1827" w:type="pct"/>
            <w:tcBorders>
              <w:top w:val="single" w:sz="4" w:space="0" w:color="auto"/>
              <w:left w:val="single" w:sz="4" w:space="0" w:color="auto"/>
              <w:bottom w:val="single" w:sz="4" w:space="0" w:color="auto"/>
              <w:right w:val="single" w:sz="4" w:space="0" w:color="auto"/>
            </w:tcBorders>
            <w:shd w:val="clear" w:color="auto" w:fill="E6E6E6"/>
          </w:tcPr>
          <w:p w14:paraId="2920ED3D" w14:textId="77777777" w:rsidR="00B95197" w:rsidRPr="00B95197" w:rsidRDefault="00B95197" w:rsidP="00B95197">
            <w:pPr>
              <w:ind w:left="61"/>
              <w:rPr>
                <w:b/>
                <w:bCs/>
                <w:sz w:val="24"/>
                <w:szCs w:val="24"/>
                <w:lang w:val="en-GB"/>
              </w:rPr>
            </w:pPr>
            <w:r w:rsidRPr="00B95197">
              <w:rPr>
                <w:b/>
                <w:bCs/>
                <w:sz w:val="24"/>
                <w:szCs w:val="24"/>
                <w:lang w:val="en-GB"/>
              </w:rPr>
              <w:t>Maksimal døgndosis (24 timer)</w:t>
            </w:r>
          </w:p>
          <w:p w14:paraId="6F39F607" w14:textId="77777777" w:rsidR="00B95197" w:rsidRPr="00B95197" w:rsidRDefault="00B95197" w:rsidP="00B95197">
            <w:pPr>
              <w:ind w:left="61"/>
              <w:rPr>
                <w:b/>
                <w:bCs/>
                <w:sz w:val="24"/>
                <w:szCs w:val="24"/>
                <w:lang w:val="en-GB"/>
              </w:rPr>
            </w:pPr>
            <w:r w:rsidRPr="00B95197">
              <w:rPr>
                <w:b/>
                <w:bCs/>
                <w:sz w:val="24"/>
                <w:szCs w:val="24"/>
                <w:lang w:val="en-GB"/>
              </w:rPr>
              <w:t>paracetamol</w:t>
            </w:r>
          </w:p>
          <w:p w14:paraId="1DA06594" w14:textId="77777777" w:rsidR="00B95197" w:rsidRPr="00B95197" w:rsidRDefault="00B95197" w:rsidP="00B95197">
            <w:pPr>
              <w:ind w:left="61"/>
              <w:rPr>
                <w:b/>
                <w:bCs/>
                <w:sz w:val="24"/>
                <w:szCs w:val="24"/>
                <w:lang w:val="en-GB"/>
              </w:rPr>
            </w:pPr>
          </w:p>
        </w:tc>
      </w:tr>
      <w:tr w:rsidR="00B95197" w:rsidRPr="00B95197" w14:paraId="2C7B786B" w14:textId="77777777" w:rsidTr="00B95197">
        <w:trPr>
          <w:trHeight w:val="471"/>
        </w:trPr>
        <w:tc>
          <w:tcPr>
            <w:tcW w:w="1347" w:type="pct"/>
            <w:tcBorders>
              <w:top w:val="single" w:sz="4" w:space="0" w:color="auto"/>
              <w:left w:val="single" w:sz="4" w:space="0" w:color="auto"/>
              <w:bottom w:val="single" w:sz="4" w:space="0" w:color="auto"/>
              <w:right w:val="single" w:sz="4" w:space="0" w:color="auto"/>
            </w:tcBorders>
            <w:hideMark/>
          </w:tcPr>
          <w:p w14:paraId="2E239520" w14:textId="77777777" w:rsidR="00B95197" w:rsidRPr="00B95197" w:rsidRDefault="00B95197" w:rsidP="00B95197">
            <w:pPr>
              <w:ind w:left="61"/>
              <w:rPr>
                <w:sz w:val="24"/>
                <w:szCs w:val="24"/>
              </w:rPr>
            </w:pPr>
            <w:r w:rsidRPr="00B95197">
              <w:rPr>
                <w:sz w:val="24"/>
                <w:szCs w:val="24"/>
              </w:rPr>
              <w:t xml:space="preserve">&gt; 55 kg </w:t>
            </w:r>
          </w:p>
          <w:p w14:paraId="261CBF1F" w14:textId="77777777" w:rsidR="00B95197" w:rsidRPr="00B95197" w:rsidRDefault="00B95197" w:rsidP="00B95197">
            <w:pPr>
              <w:ind w:left="61"/>
              <w:rPr>
                <w:sz w:val="24"/>
                <w:szCs w:val="24"/>
              </w:rPr>
            </w:pPr>
            <w:r w:rsidRPr="00B95197">
              <w:rPr>
                <w:sz w:val="24"/>
                <w:szCs w:val="24"/>
              </w:rPr>
              <w:t>(voksne og unge fra 15 år)</w:t>
            </w:r>
          </w:p>
        </w:tc>
        <w:tc>
          <w:tcPr>
            <w:tcW w:w="873" w:type="pct"/>
            <w:tcBorders>
              <w:top w:val="single" w:sz="4" w:space="0" w:color="auto"/>
              <w:left w:val="single" w:sz="4" w:space="0" w:color="auto"/>
              <w:bottom w:val="single" w:sz="4" w:space="0" w:color="auto"/>
              <w:right w:val="single" w:sz="4" w:space="0" w:color="auto"/>
            </w:tcBorders>
            <w:hideMark/>
          </w:tcPr>
          <w:p w14:paraId="37DCE194" w14:textId="77777777" w:rsidR="00B95197" w:rsidRPr="00B95197" w:rsidRDefault="00B95197" w:rsidP="00B95197">
            <w:pPr>
              <w:ind w:left="61"/>
              <w:rPr>
                <w:sz w:val="24"/>
                <w:szCs w:val="24"/>
                <w:lang w:val="en-GB"/>
              </w:rPr>
            </w:pPr>
            <w:r w:rsidRPr="00B95197">
              <w:rPr>
                <w:sz w:val="24"/>
                <w:szCs w:val="24"/>
                <w:lang w:val="en-GB"/>
              </w:rPr>
              <w:t xml:space="preserve">1000 mg </w:t>
            </w:r>
          </w:p>
        </w:tc>
        <w:tc>
          <w:tcPr>
            <w:tcW w:w="953" w:type="pct"/>
            <w:tcBorders>
              <w:top w:val="single" w:sz="4" w:space="0" w:color="auto"/>
              <w:left w:val="single" w:sz="4" w:space="0" w:color="auto"/>
              <w:bottom w:val="single" w:sz="4" w:space="0" w:color="auto"/>
              <w:right w:val="single" w:sz="4" w:space="0" w:color="auto"/>
            </w:tcBorders>
            <w:hideMark/>
          </w:tcPr>
          <w:p w14:paraId="2FC6B206" w14:textId="77777777" w:rsidR="00B95197" w:rsidRPr="00B95197" w:rsidRDefault="00B95197" w:rsidP="00B95197">
            <w:pPr>
              <w:ind w:left="61"/>
              <w:rPr>
                <w:sz w:val="24"/>
                <w:szCs w:val="24"/>
                <w:lang w:val="en-GB"/>
              </w:rPr>
            </w:pPr>
            <w:r w:rsidRPr="00B95197">
              <w:rPr>
                <w:sz w:val="24"/>
                <w:szCs w:val="24"/>
                <w:lang w:val="en-GB"/>
              </w:rPr>
              <w:t xml:space="preserve">½ -1 </w:t>
            </w:r>
          </w:p>
        </w:tc>
        <w:tc>
          <w:tcPr>
            <w:tcW w:w="1827" w:type="pct"/>
            <w:tcBorders>
              <w:top w:val="single" w:sz="4" w:space="0" w:color="auto"/>
              <w:left w:val="single" w:sz="4" w:space="0" w:color="auto"/>
              <w:bottom w:val="single" w:sz="4" w:space="0" w:color="auto"/>
              <w:right w:val="single" w:sz="4" w:space="0" w:color="auto"/>
            </w:tcBorders>
            <w:hideMark/>
          </w:tcPr>
          <w:p w14:paraId="74A8600D" w14:textId="77777777" w:rsidR="00B95197" w:rsidRPr="00B95197" w:rsidRDefault="00B95197" w:rsidP="00B95197">
            <w:pPr>
              <w:ind w:left="61"/>
              <w:rPr>
                <w:sz w:val="24"/>
                <w:szCs w:val="24"/>
                <w:lang w:val="en-GB"/>
              </w:rPr>
            </w:pPr>
            <w:r w:rsidRPr="00B95197">
              <w:rPr>
                <w:sz w:val="24"/>
                <w:szCs w:val="24"/>
                <w:lang w:val="en-GB"/>
              </w:rPr>
              <w:t>4000 mg</w:t>
            </w:r>
          </w:p>
          <w:p w14:paraId="7A79C4AF" w14:textId="77777777" w:rsidR="00B95197" w:rsidRPr="00B95197" w:rsidRDefault="00B95197" w:rsidP="00B95197">
            <w:pPr>
              <w:ind w:left="61"/>
              <w:rPr>
                <w:sz w:val="24"/>
                <w:szCs w:val="24"/>
                <w:lang w:val="en-GB"/>
              </w:rPr>
            </w:pPr>
            <w:r w:rsidRPr="00B95197">
              <w:rPr>
                <w:sz w:val="24"/>
                <w:szCs w:val="24"/>
                <w:lang w:val="en-GB"/>
              </w:rPr>
              <w:t>(maks. 4 tabletter)</w:t>
            </w:r>
          </w:p>
        </w:tc>
      </w:tr>
      <w:tr w:rsidR="00B95197" w:rsidRPr="00B95197" w14:paraId="773742F6" w14:textId="77777777" w:rsidTr="00B95197">
        <w:trPr>
          <w:trHeight w:val="471"/>
        </w:trPr>
        <w:tc>
          <w:tcPr>
            <w:tcW w:w="1347" w:type="pct"/>
            <w:tcBorders>
              <w:top w:val="single" w:sz="4" w:space="0" w:color="auto"/>
              <w:left w:val="single" w:sz="4" w:space="0" w:color="auto"/>
              <w:bottom w:val="single" w:sz="4" w:space="0" w:color="auto"/>
              <w:right w:val="single" w:sz="4" w:space="0" w:color="auto"/>
            </w:tcBorders>
            <w:hideMark/>
          </w:tcPr>
          <w:p w14:paraId="17C76AAE" w14:textId="77777777" w:rsidR="00B95197" w:rsidRPr="00B95197" w:rsidRDefault="00B95197" w:rsidP="00B95197">
            <w:pPr>
              <w:ind w:left="61"/>
              <w:rPr>
                <w:sz w:val="24"/>
                <w:szCs w:val="24"/>
              </w:rPr>
            </w:pPr>
            <w:r w:rsidRPr="00B95197">
              <w:rPr>
                <w:sz w:val="24"/>
                <w:szCs w:val="24"/>
              </w:rPr>
              <w:t>31 kg-40 kg</w:t>
            </w:r>
          </w:p>
          <w:p w14:paraId="58544577" w14:textId="77777777" w:rsidR="00B95197" w:rsidRPr="00B95197" w:rsidRDefault="00B95197" w:rsidP="00B95197">
            <w:pPr>
              <w:ind w:left="61"/>
              <w:rPr>
                <w:sz w:val="24"/>
                <w:szCs w:val="24"/>
              </w:rPr>
            </w:pPr>
            <w:r w:rsidRPr="00B95197">
              <w:rPr>
                <w:sz w:val="24"/>
                <w:szCs w:val="24"/>
              </w:rPr>
              <w:t>(børn ca. 10-12 år)</w:t>
            </w:r>
          </w:p>
        </w:tc>
        <w:tc>
          <w:tcPr>
            <w:tcW w:w="873" w:type="pct"/>
            <w:tcBorders>
              <w:top w:val="single" w:sz="4" w:space="0" w:color="auto"/>
              <w:left w:val="single" w:sz="4" w:space="0" w:color="auto"/>
              <w:bottom w:val="single" w:sz="4" w:space="0" w:color="auto"/>
              <w:right w:val="single" w:sz="4" w:space="0" w:color="auto"/>
            </w:tcBorders>
            <w:hideMark/>
          </w:tcPr>
          <w:p w14:paraId="33F9BF2C" w14:textId="77777777" w:rsidR="00B95197" w:rsidRPr="00B95197" w:rsidRDefault="00B95197" w:rsidP="00B95197">
            <w:pPr>
              <w:ind w:left="61"/>
              <w:rPr>
                <w:sz w:val="24"/>
                <w:szCs w:val="24"/>
                <w:lang w:val="en-GB"/>
              </w:rPr>
            </w:pPr>
            <w:r w:rsidRPr="00B95197">
              <w:rPr>
                <w:sz w:val="24"/>
                <w:szCs w:val="24"/>
                <w:lang w:val="en-GB"/>
              </w:rPr>
              <w:t xml:space="preserve">500 mg </w:t>
            </w:r>
          </w:p>
        </w:tc>
        <w:tc>
          <w:tcPr>
            <w:tcW w:w="953" w:type="pct"/>
            <w:tcBorders>
              <w:top w:val="single" w:sz="4" w:space="0" w:color="auto"/>
              <w:left w:val="single" w:sz="4" w:space="0" w:color="auto"/>
              <w:bottom w:val="single" w:sz="4" w:space="0" w:color="auto"/>
              <w:right w:val="single" w:sz="4" w:space="0" w:color="auto"/>
            </w:tcBorders>
            <w:hideMark/>
          </w:tcPr>
          <w:p w14:paraId="0F27C5C4" w14:textId="77777777" w:rsidR="00B95197" w:rsidRPr="00B95197" w:rsidRDefault="00B95197" w:rsidP="00B95197">
            <w:pPr>
              <w:ind w:left="61"/>
              <w:rPr>
                <w:sz w:val="24"/>
                <w:szCs w:val="24"/>
                <w:lang w:val="en-GB"/>
              </w:rPr>
            </w:pPr>
            <w:r w:rsidRPr="00B95197">
              <w:rPr>
                <w:sz w:val="24"/>
                <w:szCs w:val="24"/>
                <w:lang w:val="en-GB"/>
              </w:rPr>
              <w:t>½</w:t>
            </w:r>
          </w:p>
        </w:tc>
        <w:tc>
          <w:tcPr>
            <w:tcW w:w="1827" w:type="pct"/>
            <w:tcBorders>
              <w:top w:val="single" w:sz="4" w:space="0" w:color="auto"/>
              <w:left w:val="single" w:sz="4" w:space="0" w:color="auto"/>
              <w:bottom w:val="single" w:sz="4" w:space="0" w:color="auto"/>
              <w:right w:val="single" w:sz="4" w:space="0" w:color="auto"/>
            </w:tcBorders>
            <w:hideMark/>
          </w:tcPr>
          <w:p w14:paraId="03DAAE53" w14:textId="77777777" w:rsidR="00B95197" w:rsidRPr="00B95197" w:rsidRDefault="00B95197" w:rsidP="00B95197">
            <w:pPr>
              <w:ind w:left="61"/>
              <w:rPr>
                <w:sz w:val="24"/>
                <w:szCs w:val="24"/>
                <w:lang w:val="en-GB"/>
              </w:rPr>
            </w:pPr>
            <w:r w:rsidRPr="00B95197">
              <w:rPr>
                <w:sz w:val="24"/>
                <w:szCs w:val="24"/>
                <w:lang w:val="en-GB"/>
              </w:rPr>
              <w:t>1500 - 2000 mg</w:t>
            </w:r>
          </w:p>
          <w:p w14:paraId="775E4984" w14:textId="77777777" w:rsidR="00B95197" w:rsidRPr="00B95197" w:rsidRDefault="00B95197" w:rsidP="00B95197">
            <w:pPr>
              <w:ind w:left="61"/>
              <w:rPr>
                <w:sz w:val="24"/>
                <w:szCs w:val="24"/>
                <w:lang w:val="en-GB"/>
              </w:rPr>
            </w:pPr>
            <w:r w:rsidRPr="00B95197">
              <w:rPr>
                <w:sz w:val="24"/>
                <w:szCs w:val="24"/>
                <w:lang w:val="en-GB"/>
              </w:rPr>
              <w:t>(maks. 3 - 4 halve tabletter)</w:t>
            </w:r>
          </w:p>
        </w:tc>
      </w:tr>
      <w:tr w:rsidR="00B95197" w:rsidRPr="00B95197" w14:paraId="116FFF36" w14:textId="77777777" w:rsidTr="00B95197">
        <w:trPr>
          <w:trHeight w:val="471"/>
        </w:trPr>
        <w:tc>
          <w:tcPr>
            <w:tcW w:w="1347" w:type="pct"/>
            <w:tcBorders>
              <w:top w:val="single" w:sz="4" w:space="0" w:color="auto"/>
              <w:left w:val="single" w:sz="4" w:space="0" w:color="auto"/>
              <w:bottom w:val="single" w:sz="4" w:space="0" w:color="auto"/>
              <w:right w:val="single" w:sz="4" w:space="0" w:color="auto"/>
            </w:tcBorders>
            <w:hideMark/>
          </w:tcPr>
          <w:p w14:paraId="1E10DADE" w14:textId="77777777" w:rsidR="00B95197" w:rsidRPr="00B95197" w:rsidRDefault="00B95197" w:rsidP="00B95197">
            <w:pPr>
              <w:ind w:left="61"/>
              <w:rPr>
                <w:sz w:val="24"/>
                <w:szCs w:val="24"/>
              </w:rPr>
            </w:pPr>
            <w:r w:rsidRPr="00B95197">
              <w:rPr>
                <w:sz w:val="24"/>
                <w:szCs w:val="24"/>
              </w:rPr>
              <w:t>41 kg-55 kg</w:t>
            </w:r>
          </w:p>
          <w:p w14:paraId="07A94819" w14:textId="77777777" w:rsidR="00B95197" w:rsidRPr="00B95197" w:rsidRDefault="00B95197" w:rsidP="00B95197">
            <w:pPr>
              <w:ind w:left="61"/>
              <w:rPr>
                <w:sz w:val="24"/>
                <w:szCs w:val="24"/>
              </w:rPr>
            </w:pPr>
            <w:r w:rsidRPr="00B95197">
              <w:rPr>
                <w:sz w:val="24"/>
                <w:szCs w:val="24"/>
              </w:rPr>
              <w:t xml:space="preserve">(børn ca.13-15 år) </w:t>
            </w:r>
          </w:p>
        </w:tc>
        <w:tc>
          <w:tcPr>
            <w:tcW w:w="873" w:type="pct"/>
            <w:tcBorders>
              <w:top w:val="single" w:sz="4" w:space="0" w:color="auto"/>
              <w:left w:val="single" w:sz="4" w:space="0" w:color="auto"/>
              <w:bottom w:val="single" w:sz="4" w:space="0" w:color="auto"/>
              <w:right w:val="single" w:sz="4" w:space="0" w:color="auto"/>
            </w:tcBorders>
            <w:hideMark/>
          </w:tcPr>
          <w:p w14:paraId="043FAB92" w14:textId="77777777" w:rsidR="00B95197" w:rsidRPr="00B95197" w:rsidRDefault="00B95197" w:rsidP="00B95197">
            <w:pPr>
              <w:ind w:left="61"/>
              <w:rPr>
                <w:sz w:val="24"/>
                <w:szCs w:val="24"/>
                <w:lang w:val="en-GB"/>
              </w:rPr>
            </w:pPr>
            <w:r w:rsidRPr="00B95197">
              <w:rPr>
                <w:sz w:val="24"/>
                <w:szCs w:val="24"/>
                <w:lang w:val="en-GB"/>
              </w:rPr>
              <w:t xml:space="preserve">500 mg </w:t>
            </w:r>
          </w:p>
        </w:tc>
        <w:tc>
          <w:tcPr>
            <w:tcW w:w="953" w:type="pct"/>
            <w:tcBorders>
              <w:top w:val="single" w:sz="4" w:space="0" w:color="auto"/>
              <w:left w:val="single" w:sz="4" w:space="0" w:color="auto"/>
              <w:bottom w:val="single" w:sz="4" w:space="0" w:color="auto"/>
              <w:right w:val="single" w:sz="4" w:space="0" w:color="auto"/>
            </w:tcBorders>
            <w:hideMark/>
          </w:tcPr>
          <w:p w14:paraId="19A5B444" w14:textId="77777777" w:rsidR="00B95197" w:rsidRPr="00B95197" w:rsidRDefault="00B95197" w:rsidP="00B95197">
            <w:pPr>
              <w:ind w:left="61"/>
              <w:rPr>
                <w:sz w:val="24"/>
                <w:szCs w:val="24"/>
                <w:lang w:val="en-GB"/>
              </w:rPr>
            </w:pPr>
            <w:r w:rsidRPr="00B95197">
              <w:rPr>
                <w:sz w:val="24"/>
                <w:szCs w:val="24"/>
                <w:lang w:val="en-GB"/>
              </w:rPr>
              <w:t>½</w:t>
            </w:r>
          </w:p>
        </w:tc>
        <w:tc>
          <w:tcPr>
            <w:tcW w:w="1827" w:type="pct"/>
            <w:tcBorders>
              <w:top w:val="single" w:sz="4" w:space="0" w:color="auto"/>
              <w:left w:val="single" w:sz="4" w:space="0" w:color="auto"/>
              <w:bottom w:val="single" w:sz="4" w:space="0" w:color="auto"/>
              <w:right w:val="single" w:sz="4" w:space="0" w:color="auto"/>
            </w:tcBorders>
            <w:hideMark/>
          </w:tcPr>
          <w:p w14:paraId="05015F56" w14:textId="77777777" w:rsidR="00B95197" w:rsidRPr="00B95197" w:rsidRDefault="00B95197" w:rsidP="00B95197">
            <w:pPr>
              <w:ind w:left="61"/>
              <w:rPr>
                <w:sz w:val="24"/>
                <w:szCs w:val="24"/>
                <w:lang w:val="en-GB"/>
              </w:rPr>
            </w:pPr>
            <w:r w:rsidRPr="00B95197">
              <w:rPr>
                <w:sz w:val="24"/>
                <w:szCs w:val="24"/>
                <w:lang w:val="en-GB"/>
              </w:rPr>
              <w:t xml:space="preserve">2000 -3000 mg </w:t>
            </w:r>
          </w:p>
          <w:p w14:paraId="20B3166C" w14:textId="77777777" w:rsidR="00B95197" w:rsidRPr="00B95197" w:rsidRDefault="00B95197" w:rsidP="00B95197">
            <w:pPr>
              <w:ind w:left="61"/>
              <w:rPr>
                <w:sz w:val="24"/>
                <w:szCs w:val="24"/>
                <w:lang w:val="en-GB"/>
              </w:rPr>
            </w:pPr>
            <w:r w:rsidRPr="00B95197">
              <w:rPr>
                <w:sz w:val="24"/>
                <w:szCs w:val="24"/>
                <w:lang w:val="en-GB"/>
              </w:rPr>
              <w:t>(maks. 4 – 6 halve tabletter)</w:t>
            </w:r>
          </w:p>
        </w:tc>
      </w:tr>
    </w:tbl>
    <w:p w14:paraId="109E6328" w14:textId="77777777" w:rsidR="00B95197" w:rsidRPr="00B95197" w:rsidRDefault="00B95197" w:rsidP="00B95197">
      <w:pPr>
        <w:tabs>
          <w:tab w:val="left" w:pos="851"/>
        </w:tabs>
        <w:ind w:left="851"/>
        <w:rPr>
          <w:sz w:val="24"/>
          <w:szCs w:val="24"/>
          <w:u w:val="single"/>
        </w:rPr>
      </w:pPr>
    </w:p>
    <w:p w14:paraId="274EB346" w14:textId="77777777" w:rsidR="00B95197" w:rsidRPr="00B95197" w:rsidRDefault="00B95197" w:rsidP="00B95197">
      <w:pPr>
        <w:ind w:left="851"/>
        <w:rPr>
          <w:sz w:val="24"/>
          <w:szCs w:val="24"/>
        </w:rPr>
      </w:pPr>
      <w:r w:rsidRPr="00B95197">
        <w:rPr>
          <w:sz w:val="24"/>
          <w:szCs w:val="24"/>
        </w:rPr>
        <w:t>Den lavere administrationsfrekvens er beregnet til børn i den nedre grænse af relevant vægt</w:t>
      </w:r>
      <w:r w:rsidRPr="00B95197">
        <w:rPr>
          <w:sz w:val="24"/>
          <w:szCs w:val="24"/>
        </w:rPr>
        <w:noBreakHyphen/>
        <w:t xml:space="preserve"> og/eller aldersinterval.</w:t>
      </w:r>
    </w:p>
    <w:p w14:paraId="114051AF" w14:textId="77777777" w:rsidR="00B95197" w:rsidRPr="00B95197" w:rsidRDefault="00B95197" w:rsidP="00B95197">
      <w:pPr>
        <w:ind w:left="851"/>
        <w:rPr>
          <w:sz w:val="24"/>
          <w:szCs w:val="24"/>
        </w:rPr>
      </w:pPr>
      <w:r w:rsidRPr="00B95197">
        <w:rPr>
          <w:sz w:val="24"/>
          <w:szCs w:val="24"/>
        </w:rPr>
        <w:t>Dette lægemiddel er ikke beregnet til børn under 31 kg kropsvægt (under 10 år) på grund af manglende mulighed for passende dosering.</w:t>
      </w:r>
    </w:p>
    <w:p w14:paraId="6B8A6476" w14:textId="77777777" w:rsidR="00B95197" w:rsidRPr="00B95197" w:rsidRDefault="00B95197" w:rsidP="00B95197">
      <w:pPr>
        <w:ind w:left="851"/>
        <w:rPr>
          <w:sz w:val="24"/>
          <w:szCs w:val="24"/>
        </w:rPr>
      </w:pPr>
      <w:r w:rsidRPr="00B95197">
        <w:rPr>
          <w:sz w:val="24"/>
          <w:szCs w:val="24"/>
        </w:rPr>
        <w:t>Der findes andre passende formuleringer til børn under 10 år.</w:t>
      </w:r>
    </w:p>
    <w:p w14:paraId="373D046B" w14:textId="77777777" w:rsidR="00B95197" w:rsidRPr="00B95197" w:rsidRDefault="00B95197" w:rsidP="00B95197">
      <w:pPr>
        <w:ind w:left="851"/>
        <w:rPr>
          <w:sz w:val="24"/>
          <w:szCs w:val="24"/>
          <w:u w:val="single"/>
        </w:rPr>
      </w:pPr>
    </w:p>
    <w:p w14:paraId="3ADF58F5" w14:textId="77777777" w:rsidR="00B95197" w:rsidRPr="00B95197" w:rsidRDefault="00B95197" w:rsidP="00B95197">
      <w:pPr>
        <w:ind w:left="851"/>
        <w:rPr>
          <w:sz w:val="24"/>
          <w:szCs w:val="24"/>
        </w:rPr>
      </w:pPr>
      <w:r w:rsidRPr="00B95197">
        <w:rPr>
          <w:sz w:val="24"/>
          <w:szCs w:val="24"/>
        </w:rPr>
        <w:t>Særlige populationer:</w:t>
      </w:r>
    </w:p>
    <w:p w14:paraId="256491E9" w14:textId="77777777" w:rsidR="00B95197" w:rsidRPr="00D05E0F" w:rsidRDefault="00B95197" w:rsidP="00B95197">
      <w:pPr>
        <w:ind w:left="851"/>
        <w:rPr>
          <w:sz w:val="24"/>
          <w:szCs w:val="24"/>
        </w:rPr>
      </w:pPr>
    </w:p>
    <w:p w14:paraId="1E3E687F" w14:textId="77777777" w:rsidR="00B95197" w:rsidRPr="00B95197" w:rsidRDefault="00B95197" w:rsidP="00B95197">
      <w:pPr>
        <w:ind w:left="851"/>
        <w:rPr>
          <w:sz w:val="24"/>
          <w:szCs w:val="24"/>
        </w:rPr>
      </w:pPr>
      <w:r w:rsidRPr="00B95197">
        <w:rPr>
          <w:i/>
          <w:iCs/>
          <w:sz w:val="24"/>
          <w:szCs w:val="24"/>
          <w:u w:val="single"/>
        </w:rPr>
        <w:t>Ældre patienter</w:t>
      </w:r>
      <w:r w:rsidRPr="00B95197">
        <w:rPr>
          <w:sz w:val="24"/>
          <w:szCs w:val="24"/>
        </w:rPr>
        <w:br/>
        <w:t>Dosisjustering er ikke nødvendig hos ældre patienter. Det bør dog tages i betragtning, at nedsat nyre</w:t>
      </w:r>
      <w:r w:rsidRPr="00B95197">
        <w:rPr>
          <w:sz w:val="24"/>
          <w:szCs w:val="24"/>
        </w:rPr>
        <w:noBreakHyphen/>
        <w:t xml:space="preserve"> og/eller leverfunktion forekommer hyppigere hos ældre (se pkt. 4.4).</w:t>
      </w:r>
    </w:p>
    <w:p w14:paraId="5B3B833D" w14:textId="77777777" w:rsidR="00B95197" w:rsidRPr="00D05E0F" w:rsidRDefault="00B95197" w:rsidP="00B95197">
      <w:pPr>
        <w:ind w:left="851"/>
        <w:rPr>
          <w:sz w:val="24"/>
          <w:szCs w:val="24"/>
        </w:rPr>
      </w:pPr>
    </w:p>
    <w:p w14:paraId="1526905B" w14:textId="77777777" w:rsidR="00B95197" w:rsidRDefault="00B95197" w:rsidP="00B95197">
      <w:pPr>
        <w:ind w:left="851"/>
        <w:rPr>
          <w:sz w:val="24"/>
          <w:szCs w:val="24"/>
        </w:rPr>
      </w:pPr>
      <w:r w:rsidRPr="00B95197">
        <w:rPr>
          <w:i/>
          <w:iCs/>
          <w:sz w:val="24"/>
          <w:szCs w:val="24"/>
          <w:u w:val="single"/>
        </w:rPr>
        <w:t>Nedsat nyrefunktion</w:t>
      </w:r>
      <w:r w:rsidRPr="00B95197">
        <w:rPr>
          <w:sz w:val="24"/>
          <w:szCs w:val="24"/>
        </w:rPr>
        <w:br/>
        <w:t>Hos patienter med nedsat nyrefunktion bør det minimale interval mellem hver administration forlænges, medmindre andet er ordineret af lægen, og den maksimale døgndosis bør reduceres i henhold til følgende skema:</w:t>
      </w:r>
    </w:p>
    <w:p w14:paraId="520E46C3" w14:textId="77777777" w:rsidR="00B95197" w:rsidRDefault="00B95197" w:rsidP="00B95197">
      <w:pPr>
        <w:ind w:left="851"/>
        <w:rPr>
          <w:sz w:val="24"/>
          <w:szCs w:val="24"/>
        </w:rPr>
      </w:pPr>
    </w:p>
    <w:tbl>
      <w:tblPr>
        <w:tblStyle w:val="Tabel-Gitter"/>
        <w:tblW w:w="0" w:type="auto"/>
        <w:tblInd w:w="851" w:type="dxa"/>
        <w:tblLook w:val="04A0" w:firstRow="1" w:lastRow="0" w:firstColumn="1" w:lastColumn="0" w:noHBand="0" w:noVBand="1"/>
      </w:tblPr>
      <w:tblGrid>
        <w:gridCol w:w="3000"/>
        <w:gridCol w:w="2918"/>
        <w:gridCol w:w="2859"/>
      </w:tblGrid>
      <w:tr w:rsidR="00B95197" w14:paraId="7626EFBB" w14:textId="77777777" w:rsidTr="00B95197">
        <w:tc>
          <w:tcPr>
            <w:tcW w:w="3209" w:type="dxa"/>
          </w:tcPr>
          <w:p w14:paraId="395D88FF" w14:textId="0C6CC6DD" w:rsidR="00B95197" w:rsidRDefault="00B95197" w:rsidP="00B95197">
            <w:pPr>
              <w:rPr>
                <w:sz w:val="24"/>
                <w:szCs w:val="24"/>
              </w:rPr>
            </w:pPr>
            <w:r w:rsidRPr="00B95197">
              <w:rPr>
                <w:b/>
                <w:bCs/>
                <w:sz w:val="24"/>
                <w:szCs w:val="24"/>
                <w:lang w:val="en-GB"/>
              </w:rPr>
              <w:t>Kreatininclearance</w:t>
            </w:r>
          </w:p>
        </w:tc>
        <w:tc>
          <w:tcPr>
            <w:tcW w:w="3209" w:type="dxa"/>
          </w:tcPr>
          <w:p w14:paraId="545D68AA" w14:textId="0B0EFABC" w:rsidR="00B95197" w:rsidRDefault="00B95197" w:rsidP="00B95197">
            <w:pPr>
              <w:rPr>
                <w:sz w:val="24"/>
                <w:szCs w:val="24"/>
              </w:rPr>
            </w:pPr>
            <w:r w:rsidRPr="00B95197">
              <w:rPr>
                <w:b/>
                <w:bCs/>
                <w:sz w:val="24"/>
                <w:szCs w:val="24"/>
                <w:lang w:val="en-GB"/>
              </w:rPr>
              <w:t>Administration interval</w:t>
            </w:r>
          </w:p>
        </w:tc>
        <w:tc>
          <w:tcPr>
            <w:tcW w:w="3210" w:type="dxa"/>
          </w:tcPr>
          <w:p w14:paraId="141F45E8" w14:textId="77777777" w:rsidR="00B95197" w:rsidRPr="00B95197" w:rsidRDefault="00B95197" w:rsidP="00B95197">
            <w:pPr>
              <w:rPr>
                <w:b/>
                <w:bCs/>
                <w:sz w:val="24"/>
                <w:szCs w:val="24"/>
              </w:rPr>
            </w:pPr>
            <w:r w:rsidRPr="00B95197">
              <w:rPr>
                <w:b/>
                <w:bCs/>
                <w:sz w:val="24"/>
                <w:szCs w:val="24"/>
              </w:rPr>
              <w:t>Maksimal døgndosis</w:t>
            </w:r>
          </w:p>
          <w:p w14:paraId="0EC99E44" w14:textId="77777777" w:rsidR="00B95197" w:rsidRPr="00B95197" w:rsidRDefault="00B95197" w:rsidP="00B95197">
            <w:pPr>
              <w:rPr>
                <w:i/>
                <w:iCs/>
                <w:sz w:val="24"/>
                <w:szCs w:val="24"/>
              </w:rPr>
            </w:pPr>
            <w:r w:rsidRPr="00B95197">
              <w:rPr>
                <w:b/>
                <w:bCs/>
                <w:sz w:val="24"/>
                <w:szCs w:val="24"/>
              </w:rPr>
              <w:t>(24 timer) af paracetamol</w:t>
            </w:r>
          </w:p>
          <w:p w14:paraId="67C94708" w14:textId="77777777" w:rsidR="00B95197" w:rsidRPr="00B95197" w:rsidRDefault="00B95197" w:rsidP="00B95197">
            <w:pPr>
              <w:rPr>
                <w:b/>
                <w:bCs/>
                <w:i/>
                <w:iCs/>
                <w:sz w:val="24"/>
                <w:szCs w:val="24"/>
              </w:rPr>
            </w:pPr>
            <w:r w:rsidRPr="00B95197">
              <w:rPr>
                <w:i/>
                <w:iCs/>
                <w:sz w:val="24"/>
                <w:szCs w:val="24"/>
              </w:rPr>
              <w:t>(antal af halve tabletter)</w:t>
            </w:r>
          </w:p>
          <w:p w14:paraId="1E852D48" w14:textId="77777777" w:rsidR="00B95197" w:rsidRDefault="00B95197" w:rsidP="00B95197">
            <w:pPr>
              <w:rPr>
                <w:sz w:val="24"/>
                <w:szCs w:val="24"/>
              </w:rPr>
            </w:pPr>
          </w:p>
        </w:tc>
      </w:tr>
      <w:tr w:rsidR="00B95197" w14:paraId="2664F576" w14:textId="77777777" w:rsidTr="00B95197">
        <w:tc>
          <w:tcPr>
            <w:tcW w:w="3209" w:type="dxa"/>
          </w:tcPr>
          <w:p w14:paraId="4EC7CB33" w14:textId="3CD21731" w:rsidR="00B95197" w:rsidRDefault="00B95197" w:rsidP="00B95197">
            <w:pPr>
              <w:rPr>
                <w:sz w:val="24"/>
                <w:szCs w:val="24"/>
              </w:rPr>
            </w:pPr>
            <w:r w:rsidRPr="00B95197">
              <w:rPr>
                <w:sz w:val="24"/>
                <w:szCs w:val="24"/>
                <w:lang w:val="en-GB"/>
              </w:rPr>
              <w:t>Clearance 10-50 ml/min</w:t>
            </w:r>
          </w:p>
        </w:tc>
        <w:tc>
          <w:tcPr>
            <w:tcW w:w="3209" w:type="dxa"/>
          </w:tcPr>
          <w:p w14:paraId="61CB3D84" w14:textId="1A3FE8B0" w:rsidR="00B95197" w:rsidRDefault="00B95197" w:rsidP="00B95197">
            <w:pPr>
              <w:rPr>
                <w:sz w:val="24"/>
                <w:szCs w:val="24"/>
              </w:rPr>
            </w:pPr>
            <w:r w:rsidRPr="00B95197">
              <w:rPr>
                <w:sz w:val="24"/>
                <w:szCs w:val="24"/>
                <w:lang w:val="en-GB"/>
              </w:rPr>
              <w:t>500 mg hver 6. time</w:t>
            </w:r>
          </w:p>
        </w:tc>
        <w:tc>
          <w:tcPr>
            <w:tcW w:w="3210" w:type="dxa"/>
          </w:tcPr>
          <w:p w14:paraId="3E7C1350" w14:textId="77777777" w:rsidR="00B95197" w:rsidRPr="00B95197" w:rsidRDefault="00B95197" w:rsidP="00B95197">
            <w:pPr>
              <w:rPr>
                <w:i/>
                <w:iCs/>
                <w:sz w:val="24"/>
                <w:szCs w:val="24"/>
                <w:lang w:val="en-GB"/>
              </w:rPr>
            </w:pPr>
            <w:r w:rsidRPr="00B95197">
              <w:rPr>
                <w:sz w:val="24"/>
                <w:szCs w:val="24"/>
                <w:lang w:val="en-GB"/>
              </w:rPr>
              <w:t>2000 mg</w:t>
            </w:r>
          </w:p>
          <w:p w14:paraId="4D03D090" w14:textId="0D404168" w:rsidR="00B95197" w:rsidRDefault="00B95197" w:rsidP="00B95197">
            <w:pPr>
              <w:rPr>
                <w:sz w:val="24"/>
                <w:szCs w:val="24"/>
              </w:rPr>
            </w:pPr>
            <w:r w:rsidRPr="00B95197">
              <w:rPr>
                <w:i/>
                <w:iCs/>
                <w:sz w:val="24"/>
                <w:szCs w:val="24"/>
                <w:lang w:val="en-GB"/>
              </w:rPr>
              <w:t>(4 halve tabletter)</w:t>
            </w:r>
          </w:p>
        </w:tc>
      </w:tr>
      <w:tr w:rsidR="00B95197" w14:paraId="1A87E6BD" w14:textId="77777777" w:rsidTr="00B95197">
        <w:tc>
          <w:tcPr>
            <w:tcW w:w="3209" w:type="dxa"/>
          </w:tcPr>
          <w:p w14:paraId="0A297ED8" w14:textId="72B7F8B7" w:rsidR="00B95197" w:rsidRDefault="00B95197" w:rsidP="00B95197">
            <w:pPr>
              <w:rPr>
                <w:sz w:val="24"/>
                <w:szCs w:val="24"/>
              </w:rPr>
            </w:pPr>
            <w:r w:rsidRPr="00B95197">
              <w:rPr>
                <w:sz w:val="24"/>
                <w:szCs w:val="24"/>
                <w:lang w:val="en-GB"/>
              </w:rPr>
              <w:t>Clearance &lt;10 ml/min</w:t>
            </w:r>
          </w:p>
        </w:tc>
        <w:tc>
          <w:tcPr>
            <w:tcW w:w="3209" w:type="dxa"/>
          </w:tcPr>
          <w:p w14:paraId="74F3E92D" w14:textId="183FBDF0" w:rsidR="00B95197" w:rsidRDefault="00B95197" w:rsidP="00B95197">
            <w:pPr>
              <w:rPr>
                <w:sz w:val="24"/>
                <w:szCs w:val="24"/>
              </w:rPr>
            </w:pPr>
            <w:r w:rsidRPr="00B95197">
              <w:rPr>
                <w:sz w:val="24"/>
                <w:szCs w:val="24"/>
                <w:lang w:val="en-GB"/>
              </w:rPr>
              <w:t>500 mg hver 8. time</w:t>
            </w:r>
          </w:p>
        </w:tc>
        <w:tc>
          <w:tcPr>
            <w:tcW w:w="3210" w:type="dxa"/>
          </w:tcPr>
          <w:p w14:paraId="09EF423B" w14:textId="77777777" w:rsidR="00B95197" w:rsidRPr="00B95197" w:rsidRDefault="00B95197" w:rsidP="00B95197">
            <w:pPr>
              <w:rPr>
                <w:i/>
                <w:iCs/>
                <w:sz w:val="24"/>
                <w:szCs w:val="24"/>
                <w:lang w:val="en-GB"/>
              </w:rPr>
            </w:pPr>
            <w:r w:rsidRPr="00B95197">
              <w:rPr>
                <w:sz w:val="24"/>
                <w:szCs w:val="24"/>
                <w:lang w:val="en-GB"/>
              </w:rPr>
              <w:t>1500 mg</w:t>
            </w:r>
          </w:p>
          <w:p w14:paraId="4C4552D7" w14:textId="7519F95C" w:rsidR="00B95197" w:rsidRDefault="00B95197" w:rsidP="00B95197">
            <w:pPr>
              <w:rPr>
                <w:sz w:val="24"/>
                <w:szCs w:val="24"/>
              </w:rPr>
            </w:pPr>
            <w:r w:rsidRPr="00B95197">
              <w:rPr>
                <w:i/>
                <w:iCs/>
                <w:sz w:val="24"/>
                <w:szCs w:val="24"/>
                <w:lang w:val="en-GB"/>
              </w:rPr>
              <w:t>(3 halve tabletter)</w:t>
            </w:r>
          </w:p>
        </w:tc>
      </w:tr>
    </w:tbl>
    <w:p w14:paraId="037CBAB2" w14:textId="647AF6D4" w:rsidR="00FE5144" w:rsidRDefault="00FE5144" w:rsidP="00B95197">
      <w:pPr>
        <w:tabs>
          <w:tab w:val="left" w:pos="851"/>
        </w:tabs>
        <w:ind w:left="851"/>
        <w:rPr>
          <w:sz w:val="24"/>
          <w:szCs w:val="24"/>
        </w:rPr>
      </w:pPr>
    </w:p>
    <w:p w14:paraId="5C5C14D5" w14:textId="77777777" w:rsidR="00FE5144" w:rsidRDefault="00FE5144">
      <w:pPr>
        <w:rPr>
          <w:sz w:val="24"/>
          <w:szCs w:val="24"/>
        </w:rPr>
      </w:pPr>
      <w:r>
        <w:rPr>
          <w:sz w:val="24"/>
          <w:szCs w:val="24"/>
        </w:rPr>
        <w:br w:type="page"/>
      </w:r>
    </w:p>
    <w:p w14:paraId="7DBA05BC" w14:textId="77777777" w:rsidR="00B95197" w:rsidRPr="00B95197" w:rsidRDefault="00B95197" w:rsidP="00B95197">
      <w:pPr>
        <w:tabs>
          <w:tab w:val="left" w:pos="851"/>
        </w:tabs>
        <w:ind w:left="851"/>
        <w:rPr>
          <w:sz w:val="24"/>
          <w:szCs w:val="24"/>
        </w:rPr>
      </w:pPr>
    </w:p>
    <w:p w14:paraId="6EA6A991" w14:textId="77777777" w:rsidR="00B95197" w:rsidRPr="00B95197" w:rsidRDefault="00B95197" w:rsidP="00B95197">
      <w:pPr>
        <w:ind w:left="851"/>
        <w:rPr>
          <w:i/>
          <w:sz w:val="24"/>
          <w:szCs w:val="24"/>
        </w:rPr>
      </w:pPr>
      <w:r w:rsidRPr="00B95197">
        <w:rPr>
          <w:i/>
          <w:sz w:val="24"/>
          <w:szCs w:val="24"/>
        </w:rPr>
        <w:t>Nedsat leverfunktion</w:t>
      </w:r>
    </w:p>
    <w:p w14:paraId="0AC402E2" w14:textId="77777777" w:rsidR="00B95197" w:rsidRPr="00B95197" w:rsidRDefault="00B95197" w:rsidP="00B95197">
      <w:pPr>
        <w:ind w:left="851"/>
        <w:rPr>
          <w:iCs/>
          <w:sz w:val="24"/>
          <w:szCs w:val="24"/>
        </w:rPr>
      </w:pPr>
      <w:r w:rsidRPr="00B95197">
        <w:rPr>
          <w:iCs/>
          <w:sz w:val="24"/>
          <w:szCs w:val="24"/>
        </w:rPr>
        <w:t>Paracetamol bør anvendes med forsigtighed hos patienter med leverinsufficiens eller Gilberts syndrom. Dosis bør reduceres, eller doseringsintervallet bør forlænges.</w:t>
      </w:r>
    </w:p>
    <w:p w14:paraId="1CAF5E76" w14:textId="77777777" w:rsidR="00B95197" w:rsidRPr="00B95197" w:rsidRDefault="00B95197" w:rsidP="00B95197">
      <w:pPr>
        <w:ind w:left="851"/>
        <w:rPr>
          <w:iCs/>
          <w:sz w:val="24"/>
          <w:szCs w:val="24"/>
        </w:rPr>
      </w:pPr>
      <w:r w:rsidRPr="00B95197">
        <w:rPr>
          <w:iCs/>
          <w:sz w:val="24"/>
          <w:szCs w:val="24"/>
        </w:rPr>
        <w:t>Voksne bør ikke overskride en daglig dosis på 2000 mg, medmindre andet er ordineret af lægen.</w:t>
      </w:r>
    </w:p>
    <w:p w14:paraId="0EC79DDA" w14:textId="77777777" w:rsidR="00B95197" w:rsidRPr="00B95197" w:rsidRDefault="00B95197" w:rsidP="00B95197">
      <w:pPr>
        <w:ind w:left="851"/>
        <w:rPr>
          <w:iCs/>
          <w:sz w:val="24"/>
          <w:szCs w:val="24"/>
        </w:rPr>
      </w:pPr>
    </w:p>
    <w:p w14:paraId="1AFF6487" w14:textId="77777777" w:rsidR="00B95197" w:rsidRPr="00B95197" w:rsidRDefault="00B95197" w:rsidP="00B95197">
      <w:pPr>
        <w:ind w:left="851"/>
        <w:rPr>
          <w:i/>
          <w:sz w:val="24"/>
          <w:szCs w:val="24"/>
        </w:rPr>
      </w:pPr>
      <w:r w:rsidRPr="00B95197">
        <w:rPr>
          <w:i/>
          <w:sz w:val="24"/>
          <w:szCs w:val="24"/>
        </w:rPr>
        <w:t>Andre særlige populationer</w:t>
      </w:r>
    </w:p>
    <w:p w14:paraId="52C04896" w14:textId="77777777" w:rsidR="00B95197" w:rsidRPr="00B95197" w:rsidRDefault="00B95197" w:rsidP="00B95197">
      <w:pPr>
        <w:ind w:left="851"/>
        <w:rPr>
          <w:iCs/>
          <w:sz w:val="24"/>
          <w:szCs w:val="24"/>
        </w:rPr>
      </w:pPr>
    </w:p>
    <w:p w14:paraId="35AD8F84" w14:textId="77777777" w:rsidR="00B95197" w:rsidRPr="00B95197" w:rsidRDefault="00B95197" w:rsidP="00B95197">
      <w:pPr>
        <w:ind w:left="851"/>
        <w:rPr>
          <w:iCs/>
          <w:sz w:val="24"/>
          <w:szCs w:val="24"/>
        </w:rPr>
      </w:pPr>
      <w:r w:rsidRPr="00B95197">
        <w:rPr>
          <w:iCs/>
          <w:sz w:val="24"/>
          <w:szCs w:val="24"/>
        </w:rPr>
        <w:t>Den effektive daglige dosis bør ikke overstige 60 mg/kg/dag (op til 2 g/dag) i følgende situationer:</w:t>
      </w:r>
    </w:p>
    <w:p w14:paraId="5E677971" w14:textId="77777777" w:rsidR="00B95197" w:rsidRPr="00B95197" w:rsidRDefault="00B95197" w:rsidP="00D05E0F">
      <w:pPr>
        <w:numPr>
          <w:ilvl w:val="0"/>
          <w:numId w:val="6"/>
        </w:numPr>
        <w:tabs>
          <w:tab w:val="clear" w:pos="720"/>
        </w:tabs>
        <w:ind w:left="1276" w:hanging="425"/>
        <w:rPr>
          <w:iCs/>
          <w:sz w:val="24"/>
          <w:szCs w:val="24"/>
        </w:rPr>
      </w:pPr>
      <w:r w:rsidRPr="00B95197">
        <w:rPr>
          <w:iCs/>
          <w:sz w:val="24"/>
          <w:szCs w:val="24"/>
        </w:rPr>
        <w:t>voksne og unge med en kropsvægt under 50 kg.</w:t>
      </w:r>
    </w:p>
    <w:p w14:paraId="42AAD09F" w14:textId="77777777" w:rsidR="00B95197" w:rsidRPr="00B95197" w:rsidRDefault="00B95197" w:rsidP="00D05E0F">
      <w:pPr>
        <w:numPr>
          <w:ilvl w:val="0"/>
          <w:numId w:val="6"/>
        </w:numPr>
        <w:tabs>
          <w:tab w:val="clear" w:pos="720"/>
        </w:tabs>
        <w:ind w:left="1276" w:hanging="425"/>
        <w:rPr>
          <w:iCs/>
          <w:sz w:val="24"/>
          <w:szCs w:val="24"/>
        </w:rPr>
      </w:pPr>
      <w:r w:rsidRPr="00B95197">
        <w:rPr>
          <w:iCs/>
          <w:sz w:val="24"/>
          <w:szCs w:val="24"/>
        </w:rPr>
        <w:t>dehydrering.</w:t>
      </w:r>
    </w:p>
    <w:p w14:paraId="2E12452B" w14:textId="77777777" w:rsidR="00B95197" w:rsidRPr="00B95197" w:rsidRDefault="00B95197" w:rsidP="00D05E0F">
      <w:pPr>
        <w:numPr>
          <w:ilvl w:val="0"/>
          <w:numId w:val="6"/>
        </w:numPr>
        <w:tabs>
          <w:tab w:val="clear" w:pos="720"/>
        </w:tabs>
        <w:ind w:left="1276" w:hanging="425"/>
        <w:rPr>
          <w:iCs/>
          <w:sz w:val="24"/>
          <w:szCs w:val="24"/>
        </w:rPr>
      </w:pPr>
      <w:r w:rsidRPr="00B95197">
        <w:rPr>
          <w:iCs/>
          <w:sz w:val="24"/>
          <w:szCs w:val="24"/>
        </w:rPr>
        <w:t>kronisk fejlernæring.</w:t>
      </w:r>
    </w:p>
    <w:p w14:paraId="0DF4618F" w14:textId="77777777" w:rsidR="00B95197" w:rsidRPr="00B95197" w:rsidRDefault="00B95197" w:rsidP="00D05E0F">
      <w:pPr>
        <w:numPr>
          <w:ilvl w:val="0"/>
          <w:numId w:val="6"/>
        </w:numPr>
        <w:tabs>
          <w:tab w:val="clear" w:pos="720"/>
        </w:tabs>
        <w:ind w:left="1276" w:hanging="425"/>
        <w:rPr>
          <w:iCs/>
          <w:sz w:val="24"/>
          <w:szCs w:val="24"/>
        </w:rPr>
      </w:pPr>
      <w:r w:rsidRPr="00B95197">
        <w:rPr>
          <w:iCs/>
          <w:sz w:val="24"/>
          <w:szCs w:val="24"/>
        </w:rPr>
        <w:t>kronisk alkoholforbrug kan nedsætte toksicitetsgrænsen for paracetamol. Hos disse patienter bør intervallet mellem to doser være mindst 8 timer.</w:t>
      </w:r>
    </w:p>
    <w:p w14:paraId="734F63BE" w14:textId="77777777" w:rsidR="00B95197" w:rsidRPr="00B95197" w:rsidRDefault="00B95197" w:rsidP="00B95197">
      <w:pPr>
        <w:ind w:left="851"/>
        <w:rPr>
          <w:iCs/>
          <w:sz w:val="24"/>
          <w:szCs w:val="24"/>
        </w:rPr>
      </w:pPr>
    </w:p>
    <w:p w14:paraId="47B26416" w14:textId="77777777" w:rsidR="00B95197" w:rsidRPr="00B95197" w:rsidRDefault="00B95197" w:rsidP="00B95197">
      <w:pPr>
        <w:ind w:left="851"/>
        <w:rPr>
          <w:sz w:val="24"/>
          <w:szCs w:val="24"/>
          <w:u w:val="single"/>
        </w:rPr>
      </w:pPr>
      <w:r w:rsidRPr="00B95197">
        <w:rPr>
          <w:sz w:val="24"/>
          <w:szCs w:val="24"/>
          <w:u w:val="single"/>
        </w:rPr>
        <w:t>Administration</w:t>
      </w:r>
    </w:p>
    <w:p w14:paraId="21B687C5" w14:textId="77777777" w:rsidR="00B95197" w:rsidRPr="00B95197" w:rsidRDefault="00B95197" w:rsidP="00B95197">
      <w:pPr>
        <w:ind w:left="851"/>
        <w:rPr>
          <w:sz w:val="24"/>
          <w:szCs w:val="24"/>
        </w:rPr>
      </w:pPr>
      <w:r w:rsidRPr="00B95197">
        <w:rPr>
          <w:sz w:val="24"/>
          <w:szCs w:val="24"/>
        </w:rPr>
        <w:t>Til oral anvendelse. Tabletten bør tages med et glas vand.</w:t>
      </w:r>
    </w:p>
    <w:p w14:paraId="33421BBC" w14:textId="77777777" w:rsidR="009260DE" w:rsidRPr="00C84483" w:rsidRDefault="009260DE" w:rsidP="009260DE">
      <w:pPr>
        <w:tabs>
          <w:tab w:val="left" w:pos="851"/>
        </w:tabs>
        <w:ind w:left="851"/>
        <w:rPr>
          <w:sz w:val="24"/>
          <w:szCs w:val="24"/>
        </w:rPr>
      </w:pPr>
    </w:p>
    <w:p w14:paraId="0A2EBE83" w14:textId="77777777" w:rsidR="009260DE" w:rsidRPr="00C84483" w:rsidRDefault="009260DE" w:rsidP="009260DE">
      <w:pPr>
        <w:tabs>
          <w:tab w:val="left" w:pos="851"/>
        </w:tabs>
        <w:ind w:left="851" w:hanging="851"/>
        <w:rPr>
          <w:b/>
          <w:sz w:val="24"/>
          <w:szCs w:val="24"/>
        </w:rPr>
      </w:pPr>
      <w:r w:rsidRPr="00C84483">
        <w:rPr>
          <w:b/>
          <w:sz w:val="24"/>
          <w:szCs w:val="24"/>
        </w:rPr>
        <w:t>4.3</w:t>
      </w:r>
      <w:r w:rsidRPr="00C84483">
        <w:rPr>
          <w:b/>
          <w:sz w:val="24"/>
          <w:szCs w:val="24"/>
        </w:rPr>
        <w:tab/>
        <w:t>Kontraindikationer</w:t>
      </w:r>
    </w:p>
    <w:p w14:paraId="6CC24CD1" w14:textId="77777777" w:rsidR="00B95197" w:rsidRPr="00B95197" w:rsidRDefault="00B95197" w:rsidP="00B95197">
      <w:pPr>
        <w:ind w:left="851"/>
        <w:rPr>
          <w:sz w:val="24"/>
          <w:szCs w:val="24"/>
        </w:rPr>
      </w:pPr>
      <w:r w:rsidRPr="00B95197">
        <w:rPr>
          <w:sz w:val="24"/>
          <w:szCs w:val="24"/>
        </w:rPr>
        <w:t xml:space="preserve">Overfølsomhed over for det aktive stof eller over for et eller flere af hjælpestofferne anført i pkt. 6.1. </w:t>
      </w:r>
    </w:p>
    <w:p w14:paraId="0500D161" w14:textId="77777777" w:rsidR="009260DE" w:rsidRPr="00C84483" w:rsidRDefault="009260DE" w:rsidP="009260DE">
      <w:pPr>
        <w:tabs>
          <w:tab w:val="left" w:pos="851"/>
        </w:tabs>
        <w:ind w:left="851"/>
        <w:rPr>
          <w:sz w:val="24"/>
          <w:szCs w:val="24"/>
        </w:rPr>
      </w:pPr>
    </w:p>
    <w:p w14:paraId="0B6D200D" w14:textId="77777777" w:rsidR="009260DE" w:rsidRPr="00C84483" w:rsidRDefault="009260DE" w:rsidP="009260DE">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484CA7E0" w14:textId="77777777" w:rsidR="00B95197" w:rsidRPr="00B95197" w:rsidRDefault="00B95197" w:rsidP="00B95197">
      <w:pPr>
        <w:ind w:left="851"/>
        <w:rPr>
          <w:sz w:val="24"/>
          <w:szCs w:val="24"/>
        </w:rPr>
      </w:pPr>
      <w:r w:rsidRPr="00B95197">
        <w:rPr>
          <w:sz w:val="24"/>
          <w:szCs w:val="24"/>
        </w:rPr>
        <w:t xml:space="preserve">For at undgå risiko for overdosis bør samtidig brug af andre lægemidler, der også indeholder paracetamol, undgås. </w:t>
      </w:r>
    </w:p>
    <w:p w14:paraId="3FD127AC" w14:textId="77777777" w:rsidR="00B95197" w:rsidRPr="00B95197" w:rsidRDefault="00B95197" w:rsidP="00B95197">
      <w:pPr>
        <w:ind w:left="851"/>
        <w:rPr>
          <w:sz w:val="24"/>
          <w:szCs w:val="24"/>
        </w:rPr>
      </w:pPr>
    </w:p>
    <w:p w14:paraId="55EBCF85" w14:textId="77777777" w:rsidR="00B95197" w:rsidRPr="00B95197" w:rsidRDefault="00B95197" w:rsidP="00B95197">
      <w:pPr>
        <w:ind w:left="851"/>
        <w:rPr>
          <w:sz w:val="24"/>
          <w:szCs w:val="24"/>
        </w:rPr>
      </w:pPr>
      <w:r w:rsidRPr="00B95197">
        <w:rPr>
          <w:sz w:val="24"/>
          <w:szCs w:val="24"/>
        </w:rPr>
        <w:t>I følgende tilfælde bør paracetamol anvendes med særlig forsigtighed, dvs. ved forlængelse af doseringsintervallet eller reduktion af dosis (se pkt. 4.2) og under medicinsk monitorering:</w:t>
      </w:r>
    </w:p>
    <w:p w14:paraId="5284F995" w14:textId="77777777" w:rsidR="00B95197" w:rsidRPr="00B95197" w:rsidRDefault="00B95197" w:rsidP="00D05E0F">
      <w:pPr>
        <w:numPr>
          <w:ilvl w:val="0"/>
          <w:numId w:val="7"/>
        </w:numPr>
        <w:tabs>
          <w:tab w:val="clear" w:pos="720"/>
        </w:tabs>
        <w:ind w:left="1276" w:hanging="425"/>
        <w:rPr>
          <w:sz w:val="24"/>
          <w:szCs w:val="24"/>
        </w:rPr>
      </w:pPr>
      <w:r w:rsidRPr="00B95197">
        <w:rPr>
          <w:sz w:val="24"/>
          <w:szCs w:val="24"/>
        </w:rPr>
        <w:t>hepatocellulær insufficiens (Child</w:t>
      </w:r>
      <w:r w:rsidRPr="00B95197">
        <w:rPr>
          <w:sz w:val="24"/>
          <w:szCs w:val="24"/>
        </w:rPr>
        <w:noBreakHyphen/>
        <w:t>Pugh &lt; 9)</w:t>
      </w:r>
    </w:p>
    <w:p w14:paraId="5267A1EB" w14:textId="77777777" w:rsidR="00B95197" w:rsidRPr="00B95197" w:rsidRDefault="00B95197" w:rsidP="00D05E0F">
      <w:pPr>
        <w:numPr>
          <w:ilvl w:val="0"/>
          <w:numId w:val="7"/>
        </w:numPr>
        <w:tabs>
          <w:tab w:val="clear" w:pos="720"/>
        </w:tabs>
        <w:ind w:left="1276" w:hanging="425"/>
        <w:rPr>
          <w:sz w:val="24"/>
          <w:szCs w:val="24"/>
        </w:rPr>
      </w:pPr>
      <w:r w:rsidRPr="00B95197">
        <w:rPr>
          <w:sz w:val="24"/>
          <w:szCs w:val="24"/>
        </w:rPr>
        <w:t>kronisk alkoholmisbrug</w:t>
      </w:r>
    </w:p>
    <w:p w14:paraId="6CBB9793" w14:textId="77777777" w:rsidR="00B95197" w:rsidRPr="00B95197" w:rsidRDefault="00B95197" w:rsidP="00D05E0F">
      <w:pPr>
        <w:numPr>
          <w:ilvl w:val="0"/>
          <w:numId w:val="7"/>
        </w:numPr>
        <w:tabs>
          <w:tab w:val="clear" w:pos="720"/>
        </w:tabs>
        <w:ind w:left="1276" w:hanging="425"/>
        <w:rPr>
          <w:sz w:val="24"/>
          <w:szCs w:val="24"/>
        </w:rPr>
      </w:pPr>
      <w:r w:rsidRPr="00B95197">
        <w:rPr>
          <w:sz w:val="24"/>
          <w:szCs w:val="24"/>
        </w:rPr>
        <w:t>nyreinsufficiens (kreatininclearance &lt; 10 ml/min)</w:t>
      </w:r>
    </w:p>
    <w:p w14:paraId="73B2CF1F" w14:textId="77777777" w:rsidR="00B95197" w:rsidRPr="00B95197" w:rsidRDefault="00B95197" w:rsidP="00D05E0F">
      <w:pPr>
        <w:numPr>
          <w:ilvl w:val="0"/>
          <w:numId w:val="7"/>
        </w:numPr>
        <w:tabs>
          <w:tab w:val="clear" w:pos="720"/>
        </w:tabs>
        <w:ind w:left="1276" w:hanging="425"/>
        <w:rPr>
          <w:sz w:val="24"/>
          <w:szCs w:val="24"/>
        </w:rPr>
      </w:pPr>
      <w:r w:rsidRPr="00B95197">
        <w:rPr>
          <w:sz w:val="24"/>
          <w:szCs w:val="24"/>
        </w:rPr>
        <w:t>Gilberts syndrom (Meulengrachts sygdom)</w:t>
      </w:r>
    </w:p>
    <w:p w14:paraId="2DC0C7AE" w14:textId="77777777" w:rsidR="00B95197" w:rsidRPr="00B95197" w:rsidRDefault="00B95197" w:rsidP="00D05E0F">
      <w:pPr>
        <w:numPr>
          <w:ilvl w:val="0"/>
          <w:numId w:val="7"/>
        </w:numPr>
        <w:tabs>
          <w:tab w:val="clear" w:pos="720"/>
        </w:tabs>
        <w:ind w:left="1276" w:hanging="425"/>
        <w:rPr>
          <w:sz w:val="24"/>
          <w:szCs w:val="24"/>
        </w:rPr>
      </w:pPr>
      <w:r w:rsidRPr="00B95197">
        <w:rPr>
          <w:sz w:val="24"/>
          <w:szCs w:val="24"/>
        </w:rPr>
        <w:t xml:space="preserve">alvorlig infektion, da dette kan øge risikoen for metabolisk acidose. Tegn på metabolisk acidose omfatter: </w:t>
      </w:r>
    </w:p>
    <w:p w14:paraId="57B93BF2" w14:textId="77777777" w:rsidR="00B95197" w:rsidRPr="00B95197" w:rsidRDefault="00B95197" w:rsidP="00D05E0F">
      <w:pPr>
        <w:numPr>
          <w:ilvl w:val="1"/>
          <w:numId w:val="7"/>
        </w:numPr>
        <w:tabs>
          <w:tab w:val="clear" w:pos="1440"/>
        </w:tabs>
        <w:ind w:left="1701" w:hanging="425"/>
        <w:rPr>
          <w:sz w:val="24"/>
          <w:szCs w:val="24"/>
        </w:rPr>
      </w:pPr>
      <w:r w:rsidRPr="00B95197">
        <w:rPr>
          <w:sz w:val="24"/>
          <w:szCs w:val="24"/>
        </w:rPr>
        <w:t>dyb, hurtig, besværet vejrtrækning</w:t>
      </w:r>
    </w:p>
    <w:p w14:paraId="783D95AB" w14:textId="77777777" w:rsidR="00B95197" w:rsidRPr="00B95197" w:rsidRDefault="00B95197" w:rsidP="00D05E0F">
      <w:pPr>
        <w:numPr>
          <w:ilvl w:val="1"/>
          <w:numId w:val="7"/>
        </w:numPr>
        <w:tabs>
          <w:tab w:val="clear" w:pos="1440"/>
        </w:tabs>
        <w:ind w:left="1701" w:hanging="425"/>
        <w:rPr>
          <w:sz w:val="24"/>
          <w:szCs w:val="24"/>
        </w:rPr>
      </w:pPr>
      <w:r w:rsidRPr="00B95197">
        <w:rPr>
          <w:sz w:val="24"/>
          <w:szCs w:val="24"/>
        </w:rPr>
        <w:t>kvalme, opkastning</w:t>
      </w:r>
    </w:p>
    <w:p w14:paraId="6DA3AA65" w14:textId="77777777" w:rsidR="00B95197" w:rsidRPr="00B95197" w:rsidRDefault="00B95197" w:rsidP="00D05E0F">
      <w:pPr>
        <w:numPr>
          <w:ilvl w:val="1"/>
          <w:numId w:val="7"/>
        </w:numPr>
        <w:tabs>
          <w:tab w:val="clear" w:pos="1440"/>
        </w:tabs>
        <w:ind w:left="1701" w:hanging="425"/>
        <w:rPr>
          <w:sz w:val="24"/>
          <w:szCs w:val="24"/>
        </w:rPr>
      </w:pPr>
      <w:r w:rsidRPr="00B95197">
        <w:rPr>
          <w:sz w:val="24"/>
          <w:szCs w:val="24"/>
        </w:rPr>
        <w:t>nedsat appetit</w:t>
      </w:r>
    </w:p>
    <w:p w14:paraId="3ACCC679" w14:textId="77777777" w:rsidR="00B95197" w:rsidRPr="00B95197" w:rsidRDefault="00B95197" w:rsidP="00D05E0F">
      <w:pPr>
        <w:numPr>
          <w:ilvl w:val="0"/>
          <w:numId w:val="7"/>
        </w:numPr>
        <w:tabs>
          <w:tab w:val="clear" w:pos="720"/>
        </w:tabs>
        <w:ind w:left="1276" w:hanging="425"/>
        <w:rPr>
          <w:sz w:val="24"/>
          <w:szCs w:val="24"/>
        </w:rPr>
      </w:pPr>
      <w:r w:rsidRPr="00B95197">
        <w:rPr>
          <w:sz w:val="24"/>
          <w:szCs w:val="24"/>
        </w:rPr>
        <w:t>akut hepatitis</w:t>
      </w:r>
    </w:p>
    <w:p w14:paraId="5CE6EB71" w14:textId="77777777" w:rsidR="00B95197" w:rsidRPr="00B95197" w:rsidRDefault="00B95197" w:rsidP="00D05E0F">
      <w:pPr>
        <w:numPr>
          <w:ilvl w:val="0"/>
          <w:numId w:val="7"/>
        </w:numPr>
        <w:tabs>
          <w:tab w:val="clear" w:pos="720"/>
        </w:tabs>
        <w:ind w:left="1276" w:hanging="425"/>
        <w:rPr>
          <w:sz w:val="24"/>
          <w:szCs w:val="24"/>
        </w:rPr>
      </w:pPr>
      <w:r w:rsidRPr="00B95197">
        <w:rPr>
          <w:sz w:val="24"/>
          <w:szCs w:val="24"/>
        </w:rPr>
        <w:t>samtidig behandling med lægemidler, der påvirker leverfunktion</w:t>
      </w:r>
    </w:p>
    <w:p w14:paraId="21E345F0" w14:textId="77777777" w:rsidR="00B95197" w:rsidRPr="00B95197" w:rsidRDefault="00B95197" w:rsidP="00D05E0F">
      <w:pPr>
        <w:numPr>
          <w:ilvl w:val="0"/>
          <w:numId w:val="7"/>
        </w:numPr>
        <w:tabs>
          <w:tab w:val="clear" w:pos="720"/>
        </w:tabs>
        <w:ind w:left="1276" w:hanging="425"/>
        <w:rPr>
          <w:sz w:val="24"/>
          <w:szCs w:val="24"/>
        </w:rPr>
      </w:pPr>
      <w:r w:rsidRPr="00B95197">
        <w:rPr>
          <w:sz w:val="24"/>
          <w:szCs w:val="24"/>
        </w:rPr>
        <w:t>glucose</w:t>
      </w:r>
      <w:r w:rsidRPr="00B95197">
        <w:rPr>
          <w:sz w:val="24"/>
          <w:szCs w:val="24"/>
        </w:rPr>
        <w:noBreakHyphen/>
        <w:t>6</w:t>
      </w:r>
      <w:r w:rsidRPr="00B95197">
        <w:rPr>
          <w:sz w:val="24"/>
          <w:szCs w:val="24"/>
        </w:rPr>
        <w:noBreakHyphen/>
        <w:t>phosphatdehydrogenasemangel</w:t>
      </w:r>
    </w:p>
    <w:p w14:paraId="26FED3A4" w14:textId="77777777" w:rsidR="00B95197" w:rsidRPr="00B95197" w:rsidRDefault="00B95197" w:rsidP="00D05E0F">
      <w:pPr>
        <w:numPr>
          <w:ilvl w:val="0"/>
          <w:numId w:val="7"/>
        </w:numPr>
        <w:tabs>
          <w:tab w:val="clear" w:pos="720"/>
        </w:tabs>
        <w:ind w:left="1276" w:hanging="425"/>
        <w:rPr>
          <w:sz w:val="24"/>
          <w:szCs w:val="24"/>
        </w:rPr>
      </w:pPr>
      <w:r w:rsidRPr="00B95197">
        <w:rPr>
          <w:sz w:val="24"/>
          <w:szCs w:val="24"/>
        </w:rPr>
        <w:t>glutathionmangel</w:t>
      </w:r>
    </w:p>
    <w:p w14:paraId="190A110C" w14:textId="77777777" w:rsidR="00B95197" w:rsidRPr="00B95197" w:rsidRDefault="00B95197" w:rsidP="00D05E0F">
      <w:pPr>
        <w:numPr>
          <w:ilvl w:val="0"/>
          <w:numId w:val="7"/>
        </w:numPr>
        <w:tabs>
          <w:tab w:val="clear" w:pos="720"/>
        </w:tabs>
        <w:ind w:left="1276" w:hanging="425"/>
        <w:rPr>
          <w:sz w:val="24"/>
          <w:szCs w:val="24"/>
        </w:rPr>
      </w:pPr>
      <w:r w:rsidRPr="00B95197">
        <w:rPr>
          <w:sz w:val="24"/>
          <w:szCs w:val="24"/>
        </w:rPr>
        <w:t>hæmolytisk anæmi</w:t>
      </w:r>
    </w:p>
    <w:p w14:paraId="323CC45D" w14:textId="77777777" w:rsidR="00B95197" w:rsidRPr="00B95197" w:rsidRDefault="00B95197" w:rsidP="00D05E0F">
      <w:pPr>
        <w:numPr>
          <w:ilvl w:val="0"/>
          <w:numId w:val="7"/>
        </w:numPr>
        <w:tabs>
          <w:tab w:val="clear" w:pos="720"/>
        </w:tabs>
        <w:ind w:left="1276" w:hanging="425"/>
        <w:rPr>
          <w:sz w:val="24"/>
          <w:szCs w:val="24"/>
        </w:rPr>
      </w:pPr>
      <w:r w:rsidRPr="00B95197">
        <w:rPr>
          <w:sz w:val="24"/>
          <w:szCs w:val="24"/>
        </w:rPr>
        <w:t>dehydrering</w:t>
      </w:r>
    </w:p>
    <w:p w14:paraId="6045F6CE" w14:textId="77777777" w:rsidR="00B95197" w:rsidRPr="00B95197" w:rsidRDefault="00B95197" w:rsidP="00D05E0F">
      <w:pPr>
        <w:numPr>
          <w:ilvl w:val="0"/>
          <w:numId w:val="7"/>
        </w:numPr>
        <w:tabs>
          <w:tab w:val="clear" w:pos="720"/>
        </w:tabs>
        <w:ind w:left="1276" w:hanging="425"/>
        <w:rPr>
          <w:sz w:val="24"/>
          <w:szCs w:val="24"/>
        </w:rPr>
      </w:pPr>
      <w:r w:rsidRPr="00B95197">
        <w:rPr>
          <w:sz w:val="24"/>
          <w:szCs w:val="24"/>
        </w:rPr>
        <w:t>kronisk fejlernæring</w:t>
      </w:r>
    </w:p>
    <w:p w14:paraId="771A2090" w14:textId="77777777" w:rsidR="00B95197" w:rsidRPr="00B95197" w:rsidRDefault="00B95197" w:rsidP="00D05E0F">
      <w:pPr>
        <w:numPr>
          <w:ilvl w:val="0"/>
          <w:numId w:val="7"/>
        </w:numPr>
        <w:tabs>
          <w:tab w:val="clear" w:pos="720"/>
        </w:tabs>
        <w:ind w:left="1276" w:hanging="425"/>
        <w:rPr>
          <w:sz w:val="24"/>
          <w:szCs w:val="24"/>
        </w:rPr>
      </w:pPr>
      <w:r w:rsidRPr="00B95197">
        <w:rPr>
          <w:sz w:val="24"/>
          <w:szCs w:val="24"/>
        </w:rPr>
        <w:t>ældre.</w:t>
      </w:r>
    </w:p>
    <w:p w14:paraId="40602B73" w14:textId="539805D8" w:rsidR="00FE5144" w:rsidRDefault="00FE5144">
      <w:pPr>
        <w:rPr>
          <w:sz w:val="24"/>
          <w:szCs w:val="24"/>
        </w:rPr>
      </w:pPr>
      <w:r>
        <w:rPr>
          <w:sz w:val="24"/>
          <w:szCs w:val="24"/>
        </w:rPr>
        <w:br w:type="page"/>
      </w:r>
    </w:p>
    <w:p w14:paraId="0A2520D7" w14:textId="77777777" w:rsidR="00B95197" w:rsidRPr="00B95197" w:rsidRDefault="00B95197" w:rsidP="00B95197">
      <w:pPr>
        <w:ind w:left="851"/>
        <w:rPr>
          <w:sz w:val="24"/>
          <w:szCs w:val="24"/>
        </w:rPr>
      </w:pPr>
    </w:p>
    <w:p w14:paraId="446FAD6C" w14:textId="77777777" w:rsidR="00B95197" w:rsidRPr="00B95197" w:rsidRDefault="00B95197" w:rsidP="00B95197">
      <w:pPr>
        <w:ind w:left="851"/>
        <w:rPr>
          <w:sz w:val="24"/>
          <w:szCs w:val="24"/>
          <w:u w:val="single"/>
        </w:rPr>
      </w:pPr>
      <w:r w:rsidRPr="00B95197">
        <w:rPr>
          <w:sz w:val="24"/>
          <w:szCs w:val="24"/>
          <w:u w:val="single"/>
        </w:rPr>
        <w:t>Yderligere forsigtighedsregler (se pkt. 4.2)</w:t>
      </w:r>
    </w:p>
    <w:p w14:paraId="0B5CEF7D" w14:textId="77777777" w:rsidR="00B95197" w:rsidRPr="00B95197" w:rsidRDefault="00B95197" w:rsidP="00B95197">
      <w:pPr>
        <w:ind w:left="851"/>
        <w:rPr>
          <w:sz w:val="24"/>
          <w:szCs w:val="24"/>
        </w:rPr>
      </w:pPr>
      <w:r w:rsidRPr="00B95197">
        <w:rPr>
          <w:sz w:val="24"/>
          <w:szCs w:val="24"/>
        </w:rPr>
        <w:t xml:space="preserve">Længerevarende eller hyppig anvendelse frarådes. Patienter bør rådes til ikke samtidig at anvende andre produkter indeholdende paracetamol. Indtagelse af flere daglige doser som én enkeltdosis kan medføre alvorlig leverskade; i sådanne tilfælde forekommer der ikke bevidsthedstab. Kontakt dog straks lægen ved overdosering, også selv om patienten føler sig veltilpas, på grund af risikoen for irreversibel leverskade (se pkt. 4.9). </w:t>
      </w:r>
    </w:p>
    <w:p w14:paraId="075C4D6E" w14:textId="77777777" w:rsidR="00B95197" w:rsidRPr="00B95197" w:rsidRDefault="00B95197" w:rsidP="00B95197">
      <w:pPr>
        <w:ind w:left="851"/>
        <w:rPr>
          <w:sz w:val="24"/>
          <w:szCs w:val="24"/>
        </w:rPr>
      </w:pPr>
      <w:r w:rsidRPr="00B95197">
        <w:rPr>
          <w:sz w:val="24"/>
          <w:szCs w:val="24"/>
        </w:rPr>
        <w:t>Længerevarende anvendelse uden lægeligt tilsyn kan være skadelig. Hos børn og unge, der behandles med 60 mg/kg kropsvægt dagligt, er kombination med et andet antipyretikum ikke begrundet, undtagen ved manglende virkning.</w:t>
      </w:r>
    </w:p>
    <w:p w14:paraId="7B131F38" w14:textId="77777777" w:rsidR="00B95197" w:rsidRPr="00B95197" w:rsidRDefault="00B95197" w:rsidP="00B95197">
      <w:pPr>
        <w:ind w:left="851"/>
        <w:rPr>
          <w:sz w:val="24"/>
          <w:szCs w:val="24"/>
        </w:rPr>
      </w:pPr>
    </w:p>
    <w:p w14:paraId="27A19245" w14:textId="77777777" w:rsidR="00B95197" w:rsidRPr="00B95197" w:rsidRDefault="00B95197" w:rsidP="00B95197">
      <w:pPr>
        <w:ind w:left="851"/>
        <w:rPr>
          <w:sz w:val="24"/>
          <w:szCs w:val="24"/>
        </w:rPr>
      </w:pPr>
      <w:r w:rsidRPr="00B95197">
        <w:rPr>
          <w:sz w:val="24"/>
          <w:szCs w:val="24"/>
        </w:rPr>
        <w:t>Det anbefales at monitorere astmapatienter, som er følsomme over for acetylsalicylsyre, da milde bronkospastiske reaktioner er rapporteret ved administration af paracetamol (krydsreaktion). Selvom sådanne reaktioner kun er observeret hos et mindretal af disse patienter, kan alvorlige reaktioner forekomme i enkelte tilfælde, især ved administration af høje doser paracetamol.</w:t>
      </w:r>
    </w:p>
    <w:p w14:paraId="7C751C55" w14:textId="77777777" w:rsidR="00B95197" w:rsidRPr="00B95197" w:rsidRDefault="00B95197" w:rsidP="00B95197">
      <w:pPr>
        <w:ind w:left="851"/>
        <w:rPr>
          <w:sz w:val="24"/>
          <w:szCs w:val="24"/>
        </w:rPr>
      </w:pPr>
    </w:p>
    <w:p w14:paraId="33CCDCB8" w14:textId="77777777" w:rsidR="00B95197" w:rsidRPr="00B95197" w:rsidRDefault="00B95197" w:rsidP="00B95197">
      <w:pPr>
        <w:ind w:left="851"/>
        <w:rPr>
          <w:sz w:val="24"/>
          <w:szCs w:val="24"/>
        </w:rPr>
      </w:pPr>
      <w:r w:rsidRPr="00B95197">
        <w:rPr>
          <w:sz w:val="24"/>
          <w:szCs w:val="24"/>
        </w:rPr>
        <w:t>Alkohol bør ikke indtages under behandling med paracetamol.</w:t>
      </w:r>
    </w:p>
    <w:p w14:paraId="553C51CA" w14:textId="77777777" w:rsidR="00B95197" w:rsidRPr="00B95197" w:rsidRDefault="00B95197" w:rsidP="00B95197">
      <w:pPr>
        <w:ind w:left="851"/>
        <w:rPr>
          <w:sz w:val="24"/>
          <w:szCs w:val="24"/>
        </w:rPr>
      </w:pPr>
    </w:p>
    <w:p w14:paraId="061A8F26" w14:textId="77777777" w:rsidR="00B95197" w:rsidRPr="00B95197" w:rsidRDefault="00B95197" w:rsidP="00B95197">
      <w:pPr>
        <w:ind w:left="851"/>
        <w:rPr>
          <w:sz w:val="24"/>
          <w:szCs w:val="24"/>
        </w:rPr>
      </w:pPr>
      <w:r w:rsidRPr="00B95197">
        <w:rPr>
          <w:sz w:val="24"/>
          <w:szCs w:val="24"/>
        </w:rPr>
        <w:t>Risikoen ved overdosering er større hos patienter med ikke</w:t>
      </w:r>
      <w:r w:rsidRPr="00B95197">
        <w:rPr>
          <w:sz w:val="24"/>
          <w:szCs w:val="24"/>
        </w:rPr>
        <w:noBreakHyphen/>
        <w:t>cirrotisk alkoholisk leversygdom. Forsigtighed bør udvises ved kronisk alkoholisme. Hos patienter med alkoholmisbrug skal dosis nedsættes (se pkt. 4.2). Den daglige dosis bør i sådanne tilfælde ikke overstige 2 g.</w:t>
      </w:r>
    </w:p>
    <w:p w14:paraId="43F25356" w14:textId="77777777" w:rsidR="00B95197" w:rsidRPr="00B95197" w:rsidRDefault="00B95197" w:rsidP="00B95197">
      <w:pPr>
        <w:ind w:left="851"/>
        <w:rPr>
          <w:sz w:val="24"/>
          <w:szCs w:val="24"/>
        </w:rPr>
      </w:pPr>
    </w:p>
    <w:p w14:paraId="4273DC5D" w14:textId="77777777" w:rsidR="00B95197" w:rsidRPr="00B95197" w:rsidRDefault="00B95197" w:rsidP="00B95197">
      <w:pPr>
        <w:ind w:left="851"/>
        <w:rPr>
          <w:sz w:val="24"/>
          <w:szCs w:val="24"/>
        </w:rPr>
      </w:pPr>
      <w:r w:rsidRPr="00B95197">
        <w:rPr>
          <w:sz w:val="24"/>
          <w:szCs w:val="24"/>
        </w:rPr>
        <w:t>Patienter med nedsat ernæringstilstand forårsaget af alkoholmisbrug, anoreksi eller fejlernæring frarådes længerevarende anvendelse og maksimale doser på grund af risikoen for toksiske leverreaktioner.</w:t>
      </w:r>
    </w:p>
    <w:p w14:paraId="71D9B89E" w14:textId="77777777" w:rsidR="00B95197" w:rsidRPr="00B95197" w:rsidRDefault="00B95197" w:rsidP="00B95197">
      <w:pPr>
        <w:ind w:left="851"/>
        <w:rPr>
          <w:sz w:val="24"/>
          <w:szCs w:val="24"/>
        </w:rPr>
      </w:pPr>
    </w:p>
    <w:p w14:paraId="488C87A0" w14:textId="77777777" w:rsidR="00B95197" w:rsidRPr="00B95197" w:rsidRDefault="00B95197" w:rsidP="00B95197">
      <w:pPr>
        <w:ind w:left="851"/>
        <w:rPr>
          <w:sz w:val="24"/>
          <w:szCs w:val="24"/>
        </w:rPr>
      </w:pPr>
      <w:r w:rsidRPr="00B95197">
        <w:rPr>
          <w:sz w:val="24"/>
          <w:szCs w:val="24"/>
        </w:rPr>
        <w:t>Ved høj feber, tegn på sekundær infektion, eller hvis symptomerne varer ved i mere end tre dage, skal lægen kontaktes.</w:t>
      </w:r>
    </w:p>
    <w:p w14:paraId="523BD346" w14:textId="77777777" w:rsidR="00B95197" w:rsidRPr="00B95197" w:rsidRDefault="00B95197" w:rsidP="00B95197">
      <w:pPr>
        <w:ind w:left="851"/>
        <w:rPr>
          <w:sz w:val="24"/>
          <w:szCs w:val="24"/>
        </w:rPr>
      </w:pPr>
    </w:p>
    <w:p w14:paraId="5C250F93" w14:textId="77777777" w:rsidR="00B95197" w:rsidRPr="00B95197" w:rsidRDefault="00B95197" w:rsidP="00B95197">
      <w:pPr>
        <w:ind w:left="851"/>
        <w:rPr>
          <w:sz w:val="24"/>
          <w:szCs w:val="24"/>
        </w:rPr>
      </w:pPr>
      <w:r w:rsidRPr="00B95197">
        <w:rPr>
          <w:sz w:val="24"/>
          <w:szCs w:val="24"/>
        </w:rPr>
        <w:t>Uden rådgivning fra en læge eller tandlæge bør lægemidler indeholdende paracetamol generelt kun anvendes i op til fem dage mod smerter og tre dage mod feber og ikke i høje doser.</w:t>
      </w:r>
    </w:p>
    <w:p w14:paraId="14D370DE" w14:textId="77777777" w:rsidR="00B95197" w:rsidRPr="00B95197" w:rsidRDefault="00B95197" w:rsidP="00B95197">
      <w:pPr>
        <w:ind w:left="851"/>
        <w:rPr>
          <w:sz w:val="24"/>
          <w:szCs w:val="24"/>
        </w:rPr>
      </w:pPr>
    </w:p>
    <w:p w14:paraId="0E9DAECC" w14:textId="77777777" w:rsidR="00B95197" w:rsidRPr="00B95197" w:rsidRDefault="00B95197" w:rsidP="00B95197">
      <w:pPr>
        <w:ind w:left="851"/>
        <w:rPr>
          <w:sz w:val="24"/>
          <w:szCs w:val="24"/>
        </w:rPr>
      </w:pPr>
      <w:r w:rsidRPr="00B95197">
        <w:rPr>
          <w:sz w:val="24"/>
          <w:szCs w:val="24"/>
        </w:rPr>
        <w:t>Ved længerevarende, høj dosis eller ukorrekt anvendelse af analgetika kan der opstå hovedpine, som ikke må behandles med øgede doser af lægemidlet.</w:t>
      </w:r>
    </w:p>
    <w:p w14:paraId="524779C9" w14:textId="77777777" w:rsidR="00B95197" w:rsidRPr="00B95197" w:rsidRDefault="00B95197" w:rsidP="00B95197">
      <w:pPr>
        <w:ind w:left="851"/>
        <w:rPr>
          <w:sz w:val="24"/>
          <w:szCs w:val="24"/>
        </w:rPr>
      </w:pPr>
    </w:p>
    <w:p w14:paraId="1B17FE45" w14:textId="77777777" w:rsidR="00B95197" w:rsidRPr="00B95197" w:rsidRDefault="00B95197" w:rsidP="00B95197">
      <w:pPr>
        <w:ind w:left="851"/>
        <w:rPr>
          <w:sz w:val="24"/>
          <w:szCs w:val="24"/>
        </w:rPr>
      </w:pPr>
      <w:r w:rsidRPr="00B95197">
        <w:rPr>
          <w:sz w:val="24"/>
          <w:szCs w:val="24"/>
        </w:rPr>
        <w:t>Generelt kan regelmæssigt indtag af analgetika, især i kombination med flere analgetiske stoffer, føre til permanent nyreskade med risiko for nyresvigt (analgetisk nefropati).</w:t>
      </w:r>
    </w:p>
    <w:p w14:paraId="02826647" w14:textId="77777777" w:rsidR="00B95197" w:rsidRPr="00B95197" w:rsidRDefault="00B95197" w:rsidP="00B95197">
      <w:pPr>
        <w:ind w:left="851"/>
        <w:rPr>
          <w:sz w:val="24"/>
          <w:szCs w:val="24"/>
        </w:rPr>
      </w:pPr>
    </w:p>
    <w:p w14:paraId="5F9A50A9" w14:textId="77777777" w:rsidR="00B95197" w:rsidRPr="00B95197" w:rsidRDefault="00B95197" w:rsidP="00B95197">
      <w:pPr>
        <w:ind w:left="851"/>
        <w:rPr>
          <w:sz w:val="24"/>
          <w:szCs w:val="24"/>
        </w:rPr>
      </w:pPr>
      <w:r w:rsidRPr="00B95197">
        <w:rPr>
          <w:sz w:val="24"/>
          <w:szCs w:val="24"/>
        </w:rPr>
        <w:t>Hovedpine samt træthed, muskelsmerter, nervøsitet og autonome symptomer kan forekomme ved brat seponering efter længerevarende, højdosis og ukorrekt anvendelse af analgetika. Abstinenssymptomerne forsvinder i løbet af få dage. Indtil da bør yderligere indtagelse af analgetika undgås og ikke genoptages uden lægelig vurdering.</w:t>
      </w:r>
    </w:p>
    <w:p w14:paraId="3E155D4E" w14:textId="77777777" w:rsidR="00B95197" w:rsidRPr="00B95197" w:rsidRDefault="00B95197" w:rsidP="00B95197">
      <w:pPr>
        <w:ind w:left="851"/>
        <w:rPr>
          <w:sz w:val="24"/>
          <w:szCs w:val="24"/>
        </w:rPr>
      </w:pPr>
    </w:p>
    <w:p w14:paraId="54A9581F" w14:textId="77777777" w:rsidR="00B95197" w:rsidRPr="00B95197" w:rsidRDefault="00B95197" w:rsidP="00B95197">
      <w:pPr>
        <w:ind w:left="851"/>
        <w:rPr>
          <w:sz w:val="24"/>
          <w:szCs w:val="24"/>
        </w:rPr>
      </w:pPr>
      <w:r w:rsidRPr="00B95197">
        <w:rPr>
          <w:sz w:val="24"/>
          <w:szCs w:val="24"/>
        </w:rPr>
        <w:t>Der er rapporteret om tilfælde af metabolisk acidose med højt anion-gap (HAGMA) som følge af pyroglutaminacidose hos patienter med svær sygdom såsom svær nyreinsufficiens og sepsis, eller hos patienter med fejlernæring eller andre kilder til glutathionmangel (f.eks. kronisk alkoholisme), som blev behandlet med paracetamol i terapeutiske doser i en længere periode eller en kombination af paracetamol og flucloxacillin. Hvis der er mistanke om HAGMA på grund af pyroglutaminacidose, anbefales øjeblikkelig seponering af paracetamol og tæt overvågning. Målingen af 5-oxoprolin i urinen kan være nyttig til at identificere pyroglutaminacidose som underliggende årsag til HAGMA hos patienter med flere risikofaktorer.</w:t>
      </w:r>
    </w:p>
    <w:p w14:paraId="7FA66E7B" w14:textId="77777777" w:rsidR="00B95197" w:rsidRPr="00B95197" w:rsidRDefault="00B95197" w:rsidP="00B95197">
      <w:pPr>
        <w:ind w:left="851"/>
        <w:rPr>
          <w:i/>
          <w:iCs/>
          <w:sz w:val="24"/>
          <w:szCs w:val="24"/>
        </w:rPr>
      </w:pPr>
    </w:p>
    <w:p w14:paraId="2EE960FE" w14:textId="77777777" w:rsidR="00B95197" w:rsidRPr="00B95197" w:rsidRDefault="00B95197" w:rsidP="00B95197">
      <w:pPr>
        <w:ind w:left="851"/>
        <w:rPr>
          <w:i/>
          <w:iCs/>
          <w:sz w:val="24"/>
          <w:szCs w:val="24"/>
        </w:rPr>
      </w:pPr>
      <w:r w:rsidRPr="00B95197">
        <w:rPr>
          <w:i/>
          <w:iCs/>
          <w:sz w:val="24"/>
          <w:szCs w:val="24"/>
        </w:rPr>
        <w:t>Virkning på laboratorieprøver</w:t>
      </w:r>
    </w:p>
    <w:p w14:paraId="4A3AB0F0" w14:textId="77777777" w:rsidR="00B95197" w:rsidRPr="00B95197" w:rsidRDefault="00B95197" w:rsidP="00B95197">
      <w:pPr>
        <w:ind w:left="851"/>
        <w:rPr>
          <w:sz w:val="24"/>
          <w:szCs w:val="24"/>
        </w:rPr>
      </w:pPr>
      <w:r w:rsidRPr="00B95197">
        <w:rPr>
          <w:sz w:val="24"/>
          <w:szCs w:val="24"/>
        </w:rPr>
        <w:t xml:space="preserve">Indtagelse af paracetamol kan påvirke bestemmelsen af urinsyre ved anvendelse af </w:t>
      </w:r>
      <w:r w:rsidRPr="00B95197">
        <w:rPr>
          <w:i/>
          <w:iCs/>
          <w:sz w:val="24"/>
          <w:szCs w:val="24"/>
        </w:rPr>
        <w:t>phosphotungstic</w:t>
      </w:r>
      <w:r w:rsidRPr="00B95197">
        <w:rPr>
          <w:sz w:val="24"/>
          <w:szCs w:val="24"/>
        </w:rPr>
        <w:t xml:space="preserve"> </w:t>
      </w:r>
      <w:r w:rsidRPr="00B95197">
        <w:rPr>
          <w:i/>
          <w:iCs/>
          <w:sz w:val="24"/>
          <w:szCs w:val="24"/>
        </w:rPr>
        <w:t>acid</w:t>
      </w:r>
      <w:r w:rsidRPr="00B95197">
        <w:rPr>
          <w:sz w:val="24"/>
          <w:szCs w:val="24"/>
        </w:rPr>
        <w:t>-metoden samt blodsukkermålinger baseret på glucose oxidase-peroxidase-metoden.</w:t>
      </w:r>
    </w:p>
    <w:p w14:paraId="07640CAA" w14:textId="77777777" w:rsidR="009260DE" w:rsidRPr="00C84483" w:rsidRDefault="009260DE" w:rsidP="009260DE">
      <w:pPr>
        <w:tabs>
          <w:tab w:val="left" w:pos="851"/>
        </w:tabs>
        <w:ind w:left="851"/>
        <w:rPr>
          <w:sz w:val="24"/>
          <w:szCs w:val="24"/>
        </w:rPr>
      </w:pPr>
    </w:p>
    <w:p w14:paraId="24469A05" w14:textId="77777777" w:rsidR="009260DE" w:rsidRPr="00C84483" w:rsidRDefault="009260DE" w:rsidP="009260DE">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0123E50C" w14:textId="77777777" w:rsidR="00B95197" w:rsidRPr="00B95197" w:rsidRDefault="00B95197" w:rsidP="00B95197">
      <w:pPr>
        <w:numPr>
          <w:ilvl w:val="0"/>
          <w:numId w:val="8"/>
        </w:numPr>
        <w:tabs>
          <w:tab w:val="clear" w:pos="720"/>
        </w:tabs>
        <w:ind w:left="1276" w:hanging="425"/>
        <w:rPr>
          <w:sz w:val="24"/>
          <w:szCs w:val="24"/>
        </w:rPr>
      </w:pPr>
      <w:r w:rsidRPr="00B95197">
        <w:rPr>
          <w:sz w:val="24"/>
          <w:szCs w:val="24"/>
        </w:rPr>
        <w:t>Ved samtidig behandling med </w:t>
      </w:r>
      <w:r w:rsidRPr="00B95197">
        <w:rPr>
          <w:b/>
          <w:bCs/>
          <w:sz w:val="24"/>
          <w:szCs w:val="24"/>
        </w:rPr>
        <w:t>probenecid</w:t>
      </w:r>
      <w:r w:rsidRPr="00B95197">
        <w:rPr>
          <w:sz w:val="24"/>
          <w:szCs w:val="24"/>
        </w:rPr>
        <w:t> bør dosis reduceres, da probenecid næsten halverer paracetamolclearance ved hæmning af konjugeringen med glukuronsyre.</w:t>
      </w:r>
    </w:p>
    <w:p w14:paraId="59169E8D" w14:textId="77777777" w:rsidR="00B95197" w:rsidRPr="00B95197" w:rsidRDefault="00B95197" w:rsidP="00B95197">
      <w:pPr>
        <w:numPr>
          <w:ilvl w:val="0"/>
          <w:numId w:val="8"/>
        </w:numPr>
        <w:tabs>
          <w:tab w:val="clear" w:pos="720"/>
        </w:tabs>
        <w:ind w:left="1276" w:hanging="425"/>
        <w:rPr>
          <w:sz w:val="24"/>
          <w:szCs w:val="24"/>
        </w:rPr>
      </w:pPr>
      <w:r w:rsidRPr="00B95197">
        <w:rPr>
          <w:sz w:val="24"/>
          <w:szCs w:val="24"/>
        </w:rPr>
        <w:t xml:space="preserve">Der bør udvises særlig forsigtighed ved samtidig brug af </w:t>
      </w:r>
      <w:r w:rsidRPr="00B95197">
        <w:rPr>
          <w:b/>
          <w:bCs/>
          <w:sz w:val="24"/>
          <w:szCs w:val="24"/>
        </w:rPr>
        <w:t>lægemidler, der medfører enzyminduktion</w:t>
      </w:r>
      <w:r w:rsidRPr="00B95197">
        <w:rPr>
          <w:sz w:val="24"/>
          <w:szCs w:val="24"/>
        </w:rPr>
        <w:t xml:space="preserve">, samt ved anvendelse af </w:t>
      </w:r>
      <w:r w:rsidRPr="00B95197">
        <w:rPr>
          <w:b/>
          <w:bCs/>
          <w:sz w:val="24"/>
          <w:szCs w:val="24"/>
        </w:rPr>
        <w:t>potentielt hepatotoksiske stoffer</w:t>
      </w:r>
      <w:r w:rsidRPr="00B95197">
        <w:rPr>
          <w:sz w:val="24"/>
          <w:szCs w:val="24"/>
        </w:rPr>
        <w:t xml:space="preserve"> (se pkt. 4.9). Metabolismen af paracetamol øges hos patienter, der behandles med enzyminducerende lægemidler, f.eks. phenytoin, carbamazepin, phenobarbital, primidon og rifampicin. Enkelte rapporter har beskrevet uventet hepatotoksicitet hos patienter, der samtidig anvender enzyminducerende lægemidler.</w:t>
      </w:r>
    </w:p>
    <w:p w14:paraId="53CD72F8" w14:textId="77777777" w:rsidR="00B95197" w:rsidRPr="00B95197" w:rsidRDefault="00B95197" w:rsidP="00B95197">
      <w:pPr>
        <w:numPr>
          <w:ilvl w:val="0"/>
          <w:numId w:val="8"/>
        </w:numPr>
        <w:tabs>
          <w:tab w:val="clear" w:pos="720"/>
        </w:tabs>
        <w:ind w:left="1276" w:hanging="425"/>
        <w:rPr>
          <w:sz w:val="24"/>
          <w:szCs w:val="24"/>
        </w:rPr>
      </w:pPr>
      <w:r w:rsidRPr="00B95197">
        <w:rPr>
          <w:sz w:val="24"/>
          <w:szCs w:val="24"/>
        </w:rPr>
        <w:t xml:space="preserve">Ved samtidig anvendelse af paracetamol og </w:t>
      </w:r>
      <w:r w:rsidRPr="00B95197">
        <w:rPr>
          <w:b/>
          <w:bCs/>
          <w:sz w:val="24"/>
          <w:szCs w:val="24"/>
        </w:rPr>
        <w:t>AZT (zidovudin)</w:t>
      </w:r>
      <w:r w:rsidRPr="00B95197">
        <w:rPr>
          <w:sz w:val="24"/>
          <w:szCs w:val="24"/>
        </w:rPr>
        <w:t xml:space="preserve"> øges risikoen for udvikling af neutropeni og hepatotoksicitet. Kronisk eller gentagen brug af paracetamol hos patienter i behandling med zidovudin bør undgås og kun ske efter lægelig vurdering. Hvis kronisk behandling med både paracetamol og zidovudin er nødvendig, bør leukocyttal og leverfunktionstest monitoreres, især hos underernærede patienter.</w:t>
      </w:r>
    </w:p>
    <w:p w14:paraId="0BC0810B" w14:textId="77777777" w:rsidR="00B95197" w:rsidRPr="00B95197" w:rsidRDefault="00B95197" w:rsidP="00B95197">
      <w:pPr>
        <w:numPr>
          <w:ilvl w:val="0"/>
          <w:numId w:val="8"/>
        </w:numPr>
        <w:tabs>
          <w:tab w:val="clear" w:pos="720"/>
        </w:tabs>
        <w:ind w:left="1276" w:hanging="425"/>
        <w:rPr>
          <w:sz w:val="24"/>
          <w:szCs w:val="24"/>
        </w:rPr>
      </w:pPr>
      <w:r w:rsidRPr="00B95197">
        <w:rPr>
          <w:sz w:val="24"/>
          <w:szCs w:val="24"/>
        </w:rPr>
        <w:t xml:space="preserve">Samtidig indtagelse af </w:t>
      </w:r>
      <w:r w:rsidRPr="00B95197">
        <w:rPr>
          <w:b/>
          <w:bCs/>
          <w:sz w:val="24"/>
          <w:szCs w:val="24"/>
        </w:rPr>
        <w:t>stoffer, der nedsætter ventrikeltømningen</w:t>
      </w:r>
      <w:r w:rsidRPr="00B95197">
        <w:rPr>
          <w:sz w:val="24"/>
          <w:szCs w:val="24"/>
        </w:rPr>
        <w:t>, kan forsinke absorptionen og igangsættelsen af paracetamols virkning.</w:t>
      </w:r>
    </w:p>
    <w:p w14:paraId="73233A84" w14:textId="77777777" w:rsidR="00B95197" w:rsidRPr="00B95197" w:rsidRDefault="00B95197" w:rsidP="00B95197">
      <w:pPr>
        <w:numPr>
          <w:ilvl w:val="0"/>
          <w:numId w:val="8"/>
        </w:numPr>
        <w:tabs>
          <w:tab w:val="clear" w:pos="720"/>
        </w:tabs>
        <w:ind w:left="1276" w:hanging="425"/>
        <w:rPr>
          <w:sz w:val="24"/>
          <w:szCs w:val="24"/>
        </w:rPr>
      </w:pPr>
      <w:r w:rsidRPr="00B95197">
        <w:rPr>
          <w:sz w:val="24"/>
          <w:szCs w:val="24"/>
        </w:rPr>
        <w:t xml:space="preserve">Samtidig indtagelse af </w:t>
      </w:r>
      <w:r w:rsidRPr="00B95197">
        <w:rPr>
          <w:b/>
          <w:bCs/>
          <w:sz w:val="24"/>
          <w:szCs w:val="24"/>
        </w:rPr>
        <w:t>stoffer, der fremskynder ventrikeltømningen</w:t>
      </w:r>
      <w:r w:rsidRPr="00B95197">
        <w:rPr>
          <w:sz w:val="24"/>
          <w:szCs w:val="24"/>
        </w:rPr>
        <w:t>, f.eks. metoclopramid og domperidon, øger hastigheden af absorptionen og igangsættelsen af paracetamols virkning.</w:t>
      </w:r>
    </w:p>
    <w:p w14:paraId="2988CAA6" w14:textId="77777777" w:rsidR="00B95197" w:rsidRPr="00B95197" w:rsidRDefault="00B95197" w:rsidP="00B95197">
      <w:pPr>
        <w:numPr>
          <w:ilvl w:val="0"/>
          <w:numId w:val="8"/>
        </w:numPr>
        <w:tabs>
          <w:tab w:val="clear" w:pos="720"/>
        </w:tabs>
        <w:ind w:left="1276" w:hanging="425"/>
        <w:rPr>
          <w:sz w:val="24"/>
          <w:szCs w:val="24"/>
        </w:rPr>
      </w:pPr>
      <w:r w:rsidRPr="00B95197">
        <w:rPr>
          <w:b/>
          <w:bCs/>
          <w:sz w:val="24"/>
          <w:szCs w:val="24"/>
        </w:rPr>
        <w:t>Colestyramin</w:t>
      </w:r>
      <w:r w:rsidRPr="00B95197">
        <w:rPr>
          <w:sz w:val="24"/>
          <w:szCs w:val="24"/>
        </w:rPr>
        <w:t xml:space="preserve"> nedsætter absorptionen af paracetamol. Ved nødvendig samtidig anvendelse af paracetamol og colestyramin bør paracetamol indtages mindst 1 time før eller 4 timer efter indtagelse af colestyramin.</w:t>
      </w:r>
    </w:p>
    <w:p w14:paraId="7FD2FCF8" w14:textId="77777777" w:rsidR="00B95197" w:rsidRPr="00B95197" w:rsidRDefault="00B95197" w:rsidP="00B95197">
      <w:pPr>
        <w:numPr>
          <w:ilvl w:val="0"/>
          <w:numId w:val="8"/>
        </w:numPr>
        <w:tabs>
          <w:tab w:val="clear" w:pos="720"/>
        </w:tabs>
        <w:ind w:left="1276" w:hanging="425"/>
        <w:rPr>
          <w:sz w:val="24"/>
          <w:szCs w:val="24"/>
        </w:rPr>
      </w:pPr>
      <w:r w:rsidRPr="00B95197">
        <w:rPr>
          <w:sz w:val="24"/>
          <w:szCs w:val="24"/>
        </w:rPr>
        <w:t xml:space="preserve">Der skal udvises forsigtighed, når paracetamol anvendes sammen med </w:t>
      </w:r>
      <w:r w:rsidRPr="00B95197">
        <w:rPr>
          <w:b/>
          <w:bCs/>
          <w:sz w:val="24"/>
          <w:szCs w:val="24"/>
        </w:rPr>
        <w:t>flucloxacillin</w:t>
      </w:r>
      <w:r w:rsidRPr="00B95197">
        <w:rPr>
          <w:sz w:val="24"/>
          <w:szCs w:val="24"/>
        </w:rPr>
        <w:t>, da samtidig indtagelse har været forbundet med metabolisk acidose med højt anion-gap på grund af pyroglutaminacidose, navnlig hos patienter med risikofaktorer (se pkt. 4.4).</w:t>
      </w:r>
    </w:p>
    <w:p w14:paraId="5C3FBEE9" w14:textId="77777777" w:rsidR="00B95197" w:rsidRPr="00B95197" w:rsidRDefault="00B95197" w:rsidP="00B95197">
      <w:pPr>
        <w:numPr>
          <w:ilvl w:val="0"/>
          <w:numId w:val="8"/>
        </w:numPr>
        <w:tabs>
          <w:tab w:val="clear" w:pos="720"/>
        </w:tabs>
        <w:ind w:left="1276" w:hanging="425"/>
        <w:rPr>
          <w:sz w:val="24"/>
          <w:szCs w:val="24"/>
        </w:rPr>
      </w:pPr>
      <w:r w:rsidRPr="00B95197">
        <w:rPr>
          <w:b/>
          <w:bCs/>
          <w:sz w:val="24"/>
          <w:szCs w:val="24"/>
        </w:rPr>
        <w:t>Vitamin K-antagonister:</w:t>
      </w:r>
      <w:r w:rsidRPr="00B95197">
        <w:rPr>
          <w:sz w:val="24"/>
          <w:szCs w:val="24"/>
        </w:rPr>
        <w:t xml:space="preserve"> forstærkning af virkningen af vitamin K-antagonister kan forekomme, især ved regelmæssig indtagelse af høje doser paracetamol. I sådanne tilfælde anbefales regelmæssig kontrol af INR (</w:t>
      </w:r>
      <w:r w:rsidRPr="00B95197">
        <w:rPr>
          <w:i/>
          <w:iCs/>
          <w:sz w:val="24"/>
          <w:szCs w:val="24"/>
        </w:rPr>
        <w:t>International Normalized Ratio</w:t>
      </w:r>
      <w:r w:rsidRPr="00B95197">
        <w:rPr>
          <w:sz w:val="24"/>
          <w:szCs w:val="24"/>
        </w:rPr>
        <w:t xml:space="preserve">). Den antikoagulerende virkning af </w:t>
      </w:r>
      <w:r w:rsidRPr="00B95197">
        <w:rPr>
          <w:b/>
          <w:bCs/>
          <w:sz w:val="24"/>
          <w:szCs w:val="24"/>
        </w:rPr>
        <w:t>warfarin og andre kumariner</w:t>
      </w:r>
      <w:r w:rsidRPr="00B95197">
        <w:rPr>
          <w:sz w:val="24"/>
          <w:szCs w:val="24"/>
        </w:rPr>
        <w:t xml:space="preserve"> kan forstærkes ved længerevarende, regelmæssig brug af paracetamol med øget risiko for blødning; lejlighedsvis brug har ingen væsentlig effekt.</w:t>
      </w:r>
    </w:p>
    <w:p w14:paraId="148BE490" w14:textId="77777777" w:rsidR="00B95197" w:rsidRPr="00B95197" w:rsidRDefault="00B95197" w:rsidP="00B95197">
      <w:pPr>
        <w:numPr>
          <w:ilvl w:val="0"/>
          <w:numId w:val="8"/>
        </w:numPr>
        <w:tabs>
          <w:tab w:val="clear" w:pos="720"/>
        </w:tabs>
        <w:ind w:left="1276" w:hanging="425"/>
        <w:rPr>
          <w:sz w:val="24"/>
          <w:szCs w:val="24"/>
        </w:rPr>
      </w:pPr>
      <w:r w:rsidRPr="00B95197">
        <w:rPr>
          <w:b/>
          <w:bCs/>
          <w:sz w:val="24"/>
          <w:szCs w:val="24"/>
        </w:rPr>
        <w:t>Lamotrigin:</w:t>
      </w:r>
      <w:r w:rsidRPr="00B95197">
        <w:rPr>
          <w:sz w:val="24"/>
          <w:szCs w:val="24"/>
        </w:rPr>
        <w:t xml:space="preserve"> paracetamol kan nedsætte biotilgængeligheden af lamotrigin og dermed muligvis reducere virkningen, sandsynligvis som følge af induktion af lamotrigins metabolisme i leveren.</w:t>
      </w:r>
    </w:p>
    <w:p w14:paraId="71E8407D" w14:textId="4D6984C3" w:rsidR="00FE5144" w:rsidRDefault="00FE5144">
      <w:pPr>
        <w:rPr>
          <w:sz w:val="24"/>
          <w:szCs w:val="24"/>
        </w:rPr>
      </w:pPr>
      <w:r>
        <w:rPr>
          <w:sz w:val="24"/>
          <w:szCs w:val="24"/>
        </w:rPr>
        <w:br w:type="page"/>
      </w:r>
    </w:p>
    <w:p w14:paraId="64171091" w14:textId="77777777" w:rsidR="009260DE" w:rsidRPr="00C84483" w:rsidRDefault="009260DE" w:rsidP="009260DE">
      <w:pPr>
        <w:tabs>
          <w:tab w:val="left" w:pos="851"/>
        </w:tabs>
        <w:ind w:left="851"/>
        <w:rPr>
          <w:sz w:val="24"/>
          <w:szCs w:val="24"/>
        </w:rPr>
      </w:pPr>
    </w:p>
    <w:p w14:paraId="75FEF730" w14:textId="77777777" w:rsidR="009260DE" w:rsidRPr="00C84483" w:rsidRDefault="009260DE" w:rsidP="009260DE">
      <w:pPr>
        <w:tabs>
          <w:tab w:val="left" w:pos="851"/>
        </w:tabs>
        <w:ind w:left="851" w:hanging="851"/>
        <w:rPr>
          <w:b/>
          <w:sz w:val="24"/>
          <w:szCs w:val="24"/>
        </w:rPr>
      </w:pPr>
      <w:r w:rsidRPr="00C84483">
        <w:rPr>
          <w:b/>
          <w:sz w:val="24"/>
          <w:szCs w:val="24"/>
        </w:rPr>
        <w:t>4.6</w:t>
      </w:r>
      <w:r w:rsidRPr="00C84483">
        <w:rPr>
          <w:b/>
          <w:sz w:val="24"/>
          <w:szCs w:val="24"/>
        </w:rPr>
        <w:tab/>
      </w:r>
      <w:r w:rsidR="0071241E">
        <w:rPr>
          <w:b/>
          <w:sz w:val="24"/>
          <w:szCs w:val="24"/>
        </w:rPr>
        <w:t>Fertilitet, g</w:t>
      </w:r>
      <w:r w:rsidRPr="00C84483">
        <w:rPr>
          <w:b/>
          <w:sz w:val="24"/>
          <w:szCs w:val="24"/>
        </w:rPr>
        <w:t>raviditet og amning</w:t>
      </w:r>
    </w:p>
    <w:p w14:paraId="5338D1B5" w14:textId="77777777" w:rsidR="00B95197" w:rsidRPr="00B95197" w:rsidRDefault="00B95197" w:rsidP="00B95197">
      <w:pPr>
        <w:tabs>
          <w:tab w:val="left" w:pos="851"/>
        </w:tabs>
        <w:ind w:left="851"/>
        <w:rPr>
          <w:sz w:val="24"/>
          <w:szCs w:val="24"/>
        </w:rPr>
      </w:pPr>
    </w:p>
    <w:p w14:paraId="45D1DDAD" w14:textId="77777777" w:rsidR="00B95197" w:rsidRPr="00B95197" w:rsidRDefault="00B95197" w:rsidP="00744619">
      <w:pPr>
        <w:ind w:left="851"/>
        <w:rPr>
          <w:sz w:val="24"/>
          <w:szCs w:val="24"/>
          <w:u w:val="single"/>
        </w:rPr>
      </w:pPr>
      <w:r w:rsidRPr="00B95197">
        <w:rPr>
          <w:sz w:val="24"/>
          <w:szCs w:val="24"/>
          <w:u w:val="single"/>
        </w:rPr>
        <w:t>Graviditet</w:t>
      </w:r>
    </w:p>
    <w:p w14:paraId="1F321648" w14:textId="2798611F" w:rsidR="00B95197" w:rsidRPr="00B95197" w:rsidRDefault="00B95197" w:rsidP="00744619">
      <w:pPr>
        <w:ind w:left="851"/>
        <w:rPr>
          <w:sz w:val="24"/>
          <w:szCs w:val="24"/>
        </w:rPr>
      </w:pPr>
      <w:r w:rsidRPr="00B95197">
        <w:rPr>
          <w:sz w:val="24"/>
          <w:szCs w:val="24"/>
        </w:rPr>
        <w:t>Data fra et stort antal gravide kvinder indikerer hverken risiko for misdannelser eller toksicitet hos fosteret/den nyfødte. Epidemiologiske studier af den neurologiske udvikling hos børn, der eksponeres for paracetamol i uterus, viser ikke entydige resultater. Paracetamol kan anvendes under graviditet, hvis det er klinisk indiceret, men bør tages i den laveste effektive dosis, så kort tid som muligt og med lavest mulige hyppighed.</w:t>
      </w:r>
    </w:p>
    <w:p w14:paraId="5F8D993A" w14:textId="77777777" w:rsidR="00B95197" w:rsidRPr="00B95197" w:rsidRDefault="00B95197" w:rsidP="00744619">
      <w:pPr>
        <w:ind w:left="851"/>
        <w:rPr>
          <w:sz w:val="24"/>
          <w:szCs w:val="24"/>
          <w:u w:val="single"/>
        </w:rPr>
      </w:pPr>
    </w:p>
    <w:p w14:paraId="563C3470" w14:textId="77777777" w:rsidR="00B95197" w:rsidRPr="00B95197" w:rsidRDefault="00B95197" w:rsidP="00744619">
      <w:pPr>
        <w:ind w:left="851"/>
        <w:rPr>
          <w:sz w:val="24"/>
          <w:szCs w:val="24"/>
          <w:u w:val="single"/>
        </w:rPr>
      </w:pPr>
      <w:r w:rsidRPr="00B95197">
        <w:rPr>
          <w:sz w:val="24"/>
          <w:szCs w:val="24"/>
          <w:u w:val="single"/>
        </w:rPr>
        <w:t>Amning</w:t>
      </w:r>
    </w:p>
    <w:p w14:paraId="5EB49BE1" w14:textId="77777777" w:rsidR="00B95197" w:rsidRPr="00B95197" w:rsidRDefault="00B95197" w:rsidP="00744619">
      <w:pPr>
        <w:ind w:left="851"/>
        <w:rPr>
          <w:sz w:val="24"/>
          <w:szCs w:val="24"/>
        </w:rPr>
      </w:pPr>
      <w:r w:rsidRPr="00B95197">
        <w:rPr>
          <w:sz w:val="24"/>
          <w:szCs w:val="24"/>
        </w:rPr>
        <w:t>Paracetamol udskilles i modermælk, men ikke i klinisk signifikante mængder ved anbefalede doser. I henhold til tilgængelig, publiceret data er amning ikke kontraindiceret.</w:t>
      </w:r>
    </w:p>
    <w:p w14:paraId="51CCF5DB" w14:textId="77777777" w:rsidR="00B95197" w:rsidRPr="00B95197" w:rsidRDefault="00B95197" w:rsidP="00744619">
      <w:pPr>
        <w:ind w:left="851"/>
        <w:rPr>
          <w:sz w:val="24"/>
          <w:szCs w:val="24"/>
          <w:u w:val="single"/>
        </w:rPr>
      </w:pPr>
    </w:p>
    <w:p w14:paraId="3F00BAB6" w14:textId="77777777" w:rsidR="00B95197" w:rsidRPr="00B95197" w:rsidRDefault="00B95197" w:rsidP="00744619">
      <w:pPr>
        <w:ind w:left="851"/>
        <w:rPr>
          <w:sz w:val="24"/>
          <w:szCs w:val="24"/>
          <w:u w:val="single"/>
        </w:rPr>
      </w:pPr>
      <w:r w:rsidRPr="00B95197">
        <w:rPr>
          <w:sz w:val="24"/>
          <w:szCs w:val="24"/>
          <w:u w:val="single"/>
        </w:rPr>
        <w:t>Fertilitet</w:t>
      </w:r>
    </w:p>
    <w:p w14:paraId="1A079E07" w14:textId="77777777" w:rsidR="00B95197" w:rsidRPr="00B95197" w:rsidRDefault="00B95197" w:rsidP="00744619">
      <w:pPr>
        <w:ind w:left="851"/>
        <w:rPr>
          <w:sz w:val="24"/>
          <w:szCs w:val="24"/>
        </w:rPr>
      </w:pPr>
      <w:r w:rsidRPr="00B95197">
        <w:rPr>
          <w:sz w:val="24"/>
          <w:szCs w:val="24"/>
        </w:rPr>
        <w:t>Der foreligger ikke tilstrækkelige kliniske data vedrørende mandlig eller kvindelig fertilitet.</w:t>
      </w:r>
    </w:p>
    <w:p w14:paraId="1BB39CAC" w14:textId="77777777" w:rsidR="009260DE" w:rsidRPr="00C84483" w:rsidRDefault="009260DE" w:rsidP="009260DE">
      <w:pPr>
        <w:tabs>
          <w:tab w:val="left" w:pos="851"/>
        </w:tabs>
        <w:ind w:left="851"/>
        <w:rPr>
          <w:sz w:val="24"/>
          <w:szCs w:val="24"/>
        </w:rPr>
      </w:pPr>
    </w:p>
    <w:p w14:paraId="548E3193" w14:textId="77777777" w:rsidR="009260DE" w:rsidRPr="00C84483" w:rsidRDefault="009260DE" w:rsidP="009260DE">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71241E">
        <w:rPr>
          <w:b/>
          <w:sz w:val="24"/>
          <w:szCs w:val="24"/>
        </w:rPr>
        <w:t>og</w:t>
      </w:r>
      <w:r w:rsidRPr="00C84483">
        <w:rPr>
          <w:b/>
          <w:sz w:val="24"/>
          <w:szCs w:val="24"/>
        </w:rPr>
        <w:t xml:space="preserve"> betjene maskiner</w:t>
      </w:r>
    </w:p>
    <w:p w14:paraId="1C843D15" w14:textId="77777777" w:rsidR="00B95197" w:rsidRPr="00B95197" w:rsidRDefault="00B95197" w:rsidP="00744619">
      <w:pPr>
        <w:ind w:left="851"/>
        <w:rPr>
          <w:sz w:val="24"/>
          <w:szCs w:val="24"/>
        </w:rPr>
      </w:pPr>
      <w:r w:rsidRPr="00B95197">
        <w:rPr>
          <w:sz w:val="24"/>
          <w:szCs w:val="24"/>
        </w:rPr>
        <w:t>Ikke mærkning.</w:t>
      </w:r>
    </w:p>
    <w:p w14:paraId="182805C7" w14:textId="77777777" w:rsidR="00B95197" w:rsidRPr="00B95197" w:rsidRDefault="00B95197" w:rsidP="00744619">
      <w:pPr>
        <w:ind w:left="851"/>
        <w:rPr>
          <w:sz w:val="24"/>
          <w:szCs w:val="24"/>
        </w:rPr>
      </w:pPr>
      <w:r w:rsidRPr="00B95197">
        <w:rPr>
          <w:sz w:val="24"/>
          <w:szCs w:val="24"/>
        </w:rPr>
        <w:t>Paracetamol påvirker ikke eller kun i ubetydelig grad evnen til at føre motorkøretøj og betjene maskiner.</w:t>
      </w:r>
    </w:p>
    <w:p w14:paraId="10A31614" w14:textId="77777777" w:rsidR="009260DE" w:rsidRPr="00C84483" w:rsidRDefault="009260DE" w:rsidP="009260DE">
      <w:pPr>
        <w:tabs>
          <w:tab w:val="left" w:pos="851"/>
        </w:tabs>
        <w:ind w:left="851"/>
        <w:rPr>
          <w:sz w:val="24"/>
          <w:szCs w:val="24"/>
        </w:rPr>
      </w:pPr>
    </w:p>
    <w:p w14:paraId="5B92B8D5" w14:textId="77777777" w:rsidR="009260DE" w:rsidRPr="00C84483" w:rsidRDefault="009260DE" w:rsidP="009260DE">
      <w:pPr>
        <w:tabs>
          <w:tab w:val="left" w:pos="851"/>
        </w:tabs>
        <w:ind w:left="851" w:hanging="851"/>
        <w:rPr>
          <w:b/>
          <w:sz w:val="24"/>
          <w:szCs w:val="24"/>
        </w:rPr>
      </w:pPr>
      <w:r w:rsidRPr="00C84483">
        <w:rPr>
          <w:b/>
          <w:sz w:val="24"/>
          <w:szCs w:val="24"/>
        </w:rPr>
        <w:t>4.8</w:t>
      </w:r>
      <w:r w:rsidRPr="00C84483">
        <w:rPr>
          <w:b/>
          <w:sz w:val="24"/>
          <w:szCs w:val="24"/>
        </w:rPr>
        <w:tab/>
        <w:t>Bivirkninger</w:t>
      </w:r>
    </w:p>
    <w:p w14:paraId="2F96BB7B" w14:textId="77777777" w:rsidR="00B95197" w:rsidRPr="00B95197" w:rsidRDefault="00B95197" w:rsidP="00744619">
      <w:pPr>
        <w:ind w:left="851"/>
        <w:rPr>
          <w:sz w:val="24"/>
          <w:szCs w:val="24"/>
        </w:rPr>
      </w:pPr>
      <w:r w:rsidRPr="00B95197">
        <w:rPr>
          <w:sz w:val="24"/>
          <w:szCs w:val="24"/>
        </w:rPr>
        <w:t>Bivirkninger er angivet nedenfor og inddelt efter organsystemklasse og hyppighed. Hyppighederne er defineret som følger: meget almindelig (≥ 1/10); almindelig (≥ 1/100 til &lt; 1/10); ikke almindelig (≥ 1/1.000 til &lt; 1/100); sjælden (≥ 1/10.000 til &lt; 1/1.000); meget sjælden (&lt; 1/10.000); ikke kendt (kan ikke estimeres ud fra forhåndenværende data).</w:t>
      </w:r>
    </w:p>
    <w:p w14:paraId="44A33619" w14:textId="77777777" w:rsidR="00B95197" w:rsidRPr="00B95197" w:rsidRDefault="00B95197" w:rsidP="00744619">
      <w:pPr>
        <w:ind w:left="851"/>
        <w:rPr>
          <w:sz w:val="24"/>
          <w:szCs w:val="24"/>
        </w:rPr>
      </w:pPr>
    </w:p>
    <w:tbl>
      <w:tblPr>
        <w:tblW w:w="5000" w:type="pct"/>
        <w:tblLook w:val="04A0" w:firstRow="1" w:lastRow="0" w:firstColumn="1" w:lastColumn="0" w:noHBand="0" w:noVBand="1"/>
      </w:tblPr>
      <w:tblGrid>
        <w:gridCol w:w="4404"/>
        <w:gridCol w:w="5224"/>
      </w:tblGrid>
      <w:tr w:rsidR="00B95197" w:rsidRPr="00FE5144" w14:paraId="7D860D5D" w14:textId="77777777" w:rsidTr="00D05E0F">
        <w:tc>
          <w:tcPr>
            <w:tcW w:w="2287" w:type="pct"/>
            <w:tcBorders>
              <w:top w:val="single" w:sz="4" w:space="0" w:color="000000"/>
              <w:left w:val="single" w:sz="4" w:space="0" w:color="000000"/>
              <w:bottom w:val="single" w:sz="4" w:space="0" w:color="000000"/>
              <w:right w:val="single" w:sz="4" w:space="0" w:color="000000"/>
            </w:tcBorders>
            <w:hideMark/>
          </w:tcPr>
          <w:p w14:paraId="445F43CF" w14:textId="77777777" w:rsidR="00B95197" w:rsidRPr="00FE5144" w:rsidRDefault="00B95197" w:rsidP="00744619">
            <w:pPr>
              <w:ind w:left="30"/>
              <w:rPr>
                <w:sz w:val="24"/>
                <w:szCs w:val="24"/>
              </w:rPr>
            </w:pPr>
            <w:r w:rsidRPr="00FE5144">
              <w:rPr>
                <w:sz w:val="24"/>
                <w:szCs w:val="24"/>
              </w:rPr>
              <w:t>Systemorganklasse</w:t>
            </w:r>
          </w:p>
        </w:tc>
        <w:tc>
          <w:tcPr>
            <w:tcW w:w="2713" w:type="pct"/>
            <w:tcBorders>
              <w:top w:val="single" w:sz="4" w:space="0" w:color="000000"/>
              <w:left w:val="single" w:sz="4" w:space="0" w:color="000000"/>
              <w:bottom w:val="single" w:sz="4" w:space="0" w:color="000000"/>
              <w:right w:val="single" w:sz="4" w:space="0" w:color="000000"/>
            </w:tcBorders>
            <w:hideMark/>
          </w:tcPr>
          <w:p w14:paraId="15B9372A" w14:textId="77777777" w:rsidR="00B95197" w:rsidRPr="00FE5144" w:rsidRDefault="00B95197" w:rsidP="00744619">
            <w:pPr>
              <w:ind w:left="30"/>
              <w:rPr>
                <w:sz w:val="24"/>
                <w:szCs w:val="24"/>
              </w:rPr>
            </w:pPr>
            <w:r w:rsidRPr="00FE5144">
              <w:rPr>
                <w:sz w:val="24"/>
                <w:szCs w:val="24"/>
              </w:rPr>
              <w:t>Bivirkninger og hyppighed</w:t>
            </w:r>
          </w:p>
        </w:tc>
      </w:tr>
      <w:tr w:rsidR="00B95197" w:rsidRPr="00FE5144" w14:paraId="004C3FDD" w14:textId="77777777" w:rsidTr="00D05E0F">
        <w:tc>
          <w:tcPr>
            <w:tcW w:w="2287" w:type="pct"/>
            <w:tcBorders>
              <w:top w:val="single" w:sz="4" w:space="0" w:color="000000"/>
              <w:left w:val="single" w:sz="4" w:space="0" w:color="000000"/>
              <w:bottom w:val="single" w:sz="4" w:space="0" w:color="000000"/>
              <w:right w:val="single" w:sz="4" w:space="0" w:color="000000"/>
            </w:tcBorders>
            <w:hideMark/>
          </w:tcPr>
          <w:p w14:paraId="1ABB9117" w14:textId="77777777" w:rsidR="00B95197" w:rsidRPr="00FE5144" w:rsidRDefault="00B95197" w:rsidP="00744619">
            <w:pPr>
              <w:ind w:left="30"/>
              <w:rPr>
                <w:sz w:val="24"/>
                <w:szCs w:val="24"/>
              </w:rPr>
            </w:pPr>
            <w:r w:rsidRPr="00FE5144">
              <w:rPr>
                <w:sz w:val="24"/>
                <w:szCs w:val="24"/>
              </w:rPr>
              <w:t>Blod og lymfesystem</w:t>
            </w:r>
          </w:p>
        </w:tc>
        <w:tc>
          <w:tcPr>
            <w:tcW w:w="2713" w:type="pct"/>
            <w:tcBorders>
              <w:top w:val="single" w:sz="4" w:space="0" w:color="000000"/>
              <w:left w:val="single" w:sz="4" w:space="0" w:color="000000"/>
              <w:bottom w:val="single" w:sz="4" w:space="0" w:color="000000"/>
              <w:right w:val="single" w:sz="4" w:space="0" w:color="000000"/>
            </w:tcBorders>
            <w:hideMark/>
          </w:tcPr>
          <w:p w14:paraId="28B9CCD7" w14:textId="77777777" w:rsidR="00B95197" w:rsidRPr="00FE5144" w:rsidRDefault="00B95197" w:rsidP="00744619">
            <w:pPr>
              <w:ind w:left="30"/>
              <w:rPr>
                <w:i/>
                <w:sz w:val="24"/>
                <w:szCs w:val="24"/>
              </w:rPr>
            </w:pPr>
            <w:r w:rsidRPr="00FE5144">
              <w:rPr>
                <w:i/>
                <w:iCs/>
                <w:sz w:val="24"/>
                <w:szCs w:val="24"/>
              </w:rPr>
              <w:t>Meget sjælden</w:t>
            </w:r>
            <w:r w:rsidRPr="00FE5144">
              <w:rPr>
                <w:sz w:val="24"/>
                <w:szCs w:val="24"/>
              </w:rPr>
              <w:t xml:space="preserve">: trombocytopeni, leukopeni, pancytopeni, neutropeni, hæmolytisk anæmi, agranulocytose </w:t>
            </w:r>
          </w:p>
          <w:p w14:paraId="7AF41165" w14:textId="77777777" w:rsidR="00B95197" w:rsidRPr="00FE5144" w:rsidRDefault="00B95197" w:rsidP="00744619">
            <w:pPr>
              <w:ind w:left="30"/>
              <w:rPr>
                <w:sz w:val="24"/>
                <w:szCs w:val="24"/>
              </w:rPr>
            </w:pPr>
            <w:r w:rsidRPr="00FE5144">
              <w:rPr>
                <w:i/>
                <w:sz w:val="24"/>
                <w:szCs w:val="24"/>
              </w:rPr>
              <w:t xml:space="preserve">Ikke kendt: </w:t>
            </w:r>
            <w:r w:rsidRPr="00FE5144">
              <w:rPr>
                <w:sz w:val="24"/>
                <w:szCs w:val="24"/>
              </w:rPr>
              <w:t>anæmi</w:t>
            </w:r>
          </w:p>
        </w:tc>
      </w:tr>
      <w:tr w:rsidR="00B95197" w:rsidRPr="00FE5144" w14:paraId="38501FF3" w14:textId="77777777" w:rsidTr="00D05E0F">
        <w:tc>
          <w:tcPr>
            <w:tcW w:w="2287" w:type="pct"/>
            <w:tcBorders>
              <w:top w:val="single" w:sz="4" w:space="0" w:color="000000"/>
              <w:left w:val="single" w:sz="4" w:space="0" w:color="000000"/>
              <w:bottom w:val="single" w:sz="4" w:space="0" w:color="000000"/>
              <w:right w:val="single" w:sz="4" w:space="0" w:color="000000"/>
            </w:tcBorders>
            <w:hideMark/>
          </w:tcPr>
          <w:p w14:paraId="083AB19E" w14:textId="77777777" w:rsidR="00B95197" w:rsidRPr="00FE5144" w:rsidRDefault="00B95197" w:rsidP="00744619">
            <w:pPr>
              <w:ind w:left="30"/>
              <w:rPr>
                <w:sz w:val="24"/>
                <w:szCs w:val="24"/>
              </w:rPr>
            </w:pPr>
            <w:r w:rsidRPr="00FE5144">
              <w:rPr>
                <w:sz w:val="24"/>
                <w:szCs w:val="24"/>
              </w:rPr>
              <w:t>Immunsystemet</w:t>
            </w:r>
          </w:p>
        </w:tc>
        <w:tc>
          <w:tcPr>
            <w:tcW w:w="2713" w:type="pct"/>
            <w:tcBorders>
              <w:top w:val="single" w:sz="4" w:space="0" w:color="000000"/>
              <w:left w:val="single" w:sz="4" w:space="0" w:color="000000"/>
              <w:bottom w:val="single" w:sz="4" w:space="0" w:color="000000"/>
              <w:right w:val="single" w:sz="4" w:space="0" w:color="000000"/>
            </w:tcBorders>
            <w:hideMark/>
          </w:tcPr>
          <w:p w14:paraId="4EBCB3F2" w14:textId="77777777" w:rsidR="00B95197" w:rsidRPr="00FE5144" w:rsidRDefault="00B95197" w:rsidP="00744619">
            <w:pPr>
              <w:ind w:left="30"/>
              <w:rPr>
                <w:sz w:val="24"/>
                <w:szCs w:val="24"/>
              </w:rPr>
            </w:pPr>
            <w:r w:rsidRPr="00FE5144">
              <w:rPr>
                <w:i/>
                <w:iCs/>
                <w:sz w:val="24"/>
                <w:szCs w:val="24"/>
              </w:rPr>
              <w:t>Meget sjælden</w:t>
            </w:r>
            <w:r w:rsidRPr="00FE5144">
              <w:rPr>
                <w:sz w:val="24"/>
                <w:szCs w:val="24"/>
              </w:rPr>
              <w:t>: anafylaksi (kræver seponering af behandling), overfølsomhedsreaktioner i huden, herunder bl.a. hududslæt</w:t>
            </w:r>
          </w:p>
        </w:tc>
      </w:tr>
      <w:tr w:rsidR="00B95197" w:rsidRPr="00FE5144" w14:paraId="16AFBCBC" w14:textId="77777777" w:rsidTr="00D05E0F">
        <w:tc>
          <w:tcPr>
            <w:tcW w:w="2287" w:type="pct"/>
            <w:tcBorders>
              <w:top w:val="single" w:sz="4" w:space="0" w:color="000000"/>
              <w:left w:val="single" w:sz="4" w:space="0" w:color="000000"/>
              <w:bottom w:val="single" w:sz="4" w:space="0" w:color="000000"/>
              <w:right w:val="single" w:sz="4" w:space="0" w:color="000000"/>
            </w:tcBorders>
            <w:hideMark/>
          </w:tcPr>
          <w:p w14:paraId="74E67E0C" w14:textId="77777777" w:rsidR="00B95197" w:rsidRPr="00FE5144" w:rsidRDefault="00B95197" w:rsidP="00744619">
            <w:pPr>
              <w:ind w:left="30"/>
              <w:rPr>
                <w:sz w:val="24"/>
                <w:szCs w:val="24"/>
              </w:rPr>
            </w:pPr>
            <w:r w:rsidRPr="00FE5144">
              <w:rPr>
                <w:sz w:val="24"/>
                <w:szCs w:val="24"/>
              </w:rPr>
              <w:t>Metabolisme og ernæring</w:t>
            </w:r>
          </w:p>
        </w:tc>
        <w:tc>
          <w:tcPr>
            <w:tcW w:w="2713" w:type="pct"/>
            <w:tcBorders>
              <w:top w:val="single" w:sz="4" w:space="0" w:color="000000"/>
              <w:left w:val="single" w:sz="4" w:space="0" w:color="000000"/>
              <w:bottom w:val="single" w:sz="4" w:space="0" w:color="000000"/>
              <w:right w:val="single" w:sz="4" w:space="0" w:color="000000"/>
            </w:tcBorders>
            <w:hideMark/>
          </w:tcPr>
          <w:p w14:paraId="497E8B38" w14:textId="77777777" w:rsidR="00B95197" w:rsidRPr="00FE5144" w:rsidRDefault="00B95197" w:rsidP="00744619">
            <w:pPr>
              <w:ind w:left="30"/>
              <w:rPr>
                <w:sz w:val="24"/>
                <w:szCs w:val="24"/>
              </w:rPr>
            </w:pPr>
            <w:r w:rsidRPr="00FE5144">
              <w:rPr>
                <w:i/>
                <w:iCs/>
                <w:sz w:val="24"/>
                <w:szCs w:val="24"/>
              </w:rPr>
              <w:t xml:space="preserve">Ikke kendt: </w:t>
            </w:r>
            <w:r w:rsidRPr="00FE5144">
              <w:rPr>
                <w:iCs/>
                <w:sz w:val="24"/>
                <w:szCs w:val="24"/>
              </w:rPr>
              <w:t>metabolisk acidose med højt anion-gap*</w:t>
            </w:r>
          </w:p>
        </w:tc>
      </w:tr>
      <w:tr w:rsidR="00B95197" w:rsidRPr="00FE5144" w14:paraId="215BC461" w14:textId="77777777" w:rsidTr="00D05E0F">
        <w:tc>
          <w:tcPr>
            <w:tcW w:w="2287" w:type="pct"/>
            <w:tcBorders>
              <w:top w:val="single" w:sz="4" w:space="0" w:color="000000"/>
              <w:left w:val="single" w:sz="4" w:space="0" w:color="000000"/>
              <w:bottom w:val="single" w:sz="4" w:space="0" w:color="000000"/>
              <w:right w:val="single" w:sz="4" w:space="0" w:color="000000"/>
            </w:tcBorders>
            <w:hideMark/>
          </w:tcPr>
          <w:p w14:paraId="6EE84685" w14:textId="77777777" w:rsidR="00B95197" w:rsidRPr="00FE5144" w:rsidRDefault="00B95197" w:rsidP="00744619">
            <w:pPr>
              <w:ind w:left="30"/>
              <w:rPr>
                <w:sz w:val="24"/>
                <w:szCs w:val="24"/>
              </w:rPr>
            </w:pPr>
            <w:r w:rsidRPr="00FE5144">
              <w:rPr>
                <w:sz w:val="24"/>
                <w:szCs w:val="24"/>
              </w:rPr>
              <w:t>Luftveje, thorax og mediastinum</w:t>
            </w:r>
          </w:p>
        </w:tc>
        <w:tc>
          <w:tcPr>
            <w:tcW w:w="2713" w:type="pct"/>
            <w:tcBorders>
              <w:top w:val="single" w:sz="4" w:space="0" w:color="000000"/>
              <w:left w:val="single" w:sz="4" w:space="0" w:color="000000"/>
              <w:bottom w:val="single" w:sz="4" w:space="0" w:color="000000"/>
              <w:right w:val="single" w:sz="4" w:space="0" w:color="000000"/>
            </w:tcBorders>
            <w:hideMark/>
          </w:tcPr>
          <w:p w14:paraId="5FE64E6E" w14:textId="77777777" w:rsidR="00B95197" w:rsidRPr="00FE5144" w:rsidRDefault="00B95197" w:rsidP="00744619">
            <w:pPr>
              <w:ind w:left="30"/>
              <w:rPr>
                <w:sz w:val="24"/>
                <w:szCs w:val="24"/>
              </w:rPr>
            </w:pPr>
            <w:r w:rsidRPr="00FE5144">
              <w:rPr>
                <w:i/>
                <w:iCs/>
                <w:sz w:val="24"/>
                <w:szCs w:val="24"/>
              </w:rPr>
              <w:t>Meget sjælden</w:t>
            </w:r>
            <w:r w:rsidRPr="00FE5144">
              <w:rPr>
                <w:sz w:val="24"/>
                <w:szCs w:val="24"/>
              </w:rPr>
              <w:t>: bronkospasmer hos patienter sensitive over for aspirin og andre NSAID’er</w:t>
            </w:r>
          </w:p>
        </w:tc>
      </w:tr>
      <w:tr w:rsidR="00B95197" w:rsidRPr="00FE5144" w14:paraId="26C0471B" w14:textId="77777777" w:rsidTr="00D05E0F">
        <w:tc>
          <w:tcPr>
            <w:tcW w:w="2287" w:type="pct"/>
            <w:tcBorders>
              <w:top w:val="single" w:sz="4" w:space="0" w:color="000000"/>
              <w:left w:val="single" w:sz="4" w:space="0" w:color="000000"/>
              <w:bottom w:val="single" w:sz="4" w:space="0" w:color="000000"/>
              <w:right w:val="single" w:sz="4" w:space="0" w:color="000000"/>
            </w:tcBorders>
            <w:hideMark/>
          </w:tcPr>
          <w:p w14:paraId="58897EB9" w14:textId="77777777" w:rsidR="00B95197" w:rsidRPr="00FE5144" w:rsidRDefault="00B95197" w:rsidP="00744619">
            <w:pPr>
              <w:ind w:left="30"/>
              <w:rPr>
                <w:sz w:val="24"/>
                <w:szCs w:val="24"/>
              </w:rPr>
            </w:pPr>
            <w:r w:rsidRPr="00FE5144">
              <w:rPr>
                <w:sz w:val="24"/>
                <w:szCs w:val="24"/>
              </w:rPr>
              <w:t>Lever og galdeveje</w:t>
            </w:r>
          </w:p>
        </w:tc>
        <w:tc>
          <w:tcPr>
            <w:tcW w:w="2713" w:type="pct"/>
            <w:tcBorders>
              <w:top w:val="single" w:sz="4" w:space="0" w:color="000000"/>
              <w:left w:val="single" w:sz="4" w:space="0" w:color="000000"/>
              <w:bottom w:val="single" w:sz="4" w:space="0" w:color="000000"/>
              <w:right w:val="single" w:sz="4" w:space="0" w:color="000000"/>
            </w:tcBorders>
            <w:hideMark/>
          </w:tcPr>
          <w:p w14:paraId="2DCF75F8" w14:textId="77777777" w:rsidR="00B95197" w:rsidRPr="00FE5144" w:rsidRDefault="00B95197" w:rsidP="00744619">
            <w:pPr>
              <w:ind w:left="30"/>
              <w:rPr>
                <w:i/>
                <w:sz w:val="24"/>
                <w:szCs w:val="24"/>
              </w:rPr>
            </w:pPr>
            <w:r w:rsidRPr="00FE5144">
              <w:rPr>
                <w:i/>
                <w:iCs/>
                <w:sz w:val="24"/>
                <w:szCs w:val="24"/>
              </w:rPr>
              <w:t>Meget sjælden</w:t>
            </w:r>
            <w:r w:rsidRPr="00FE5144">
              <w:rPr>
                <w:sz w:val="24"/>
                <w:szCs w:val="24"/>
              </w:rPr>
              <w:t>: hepatotoksicitet</w:t>
            </w:r>
          </w:p>
          <w:p w14:paraId="0AED811D" w14:textId="77777777" w:rsidR="00B95197" w:rsidRPr="00FE5144" w:rsidRDefault="00B95197" w:rsidP="00744619">
            <w:pPr>
              <w:ind w:left="30"/>
              <w:rPr>
                <w:i/>
                <w:sz w:val="24"/>
                <w:szCs w:val="24"/>
              </w:rPr>
            </w:pPr>
            <w:r w:rsidRPr="00FE5144">
              <w:rPr>
                <w:i/>
                <w:sz w:val="24"/>
                <w:szCs w:val="24"/>
              </w:rPr>
              <w:t xml:space="preserve">Sjælden: </w:t>
            </w:r>
            <w:r w:rsidRPr="00FE5144">
              <w:rPr>
                <w:sz w:val="24"/>
                <w:szCs w:val="24"/>
              </w:rPr>
              <w:t xml:space="preserve">forøget levertransaminase, hepatisk dysfunktion, leversvigt, levernekrose, gulsot </w:t>
            </w:r>
          </w:p>
          <w:p w14:paraId="547EFD17" w14:textId="77777777" w:rsidR="00B95197" w:rsidRPr="00FE5144" w:rsidRDefault="00B95197" w:rsidP="00744619">
            <w:pPr>
              <w:ind w:left="30"/>
              <w:rPr>
                <w:sz w:val="24"/>
                <w:szCs w:val="24"/>
              </w:rPr>
            </w:pPr>
            <w:r w:rsidRPr="00FE5144">
              <w:rPr>
                <w:i/>
                <w:sz w:val="24"/>
                <w:szCs w:val="24"/>
              </w:rPr>
              <w:t>Ikke kendt:</w:t>
            </w:r>
            <w:r w:rsidRPr="00FE5144">
              <w:rPr>
                <w:sz w:val="24"/>
                <w:szCs w:val="24"/>
              </w:rPr>
              <w:t xml:space="preserve"> hepatitis </w:t>
            </w:r>
          </w:p>
        </w:tc>
      </w:tr>
      <w:tr w:rsidR="00B95197" w:rsidRPr="00FE5144" w14:paraId="55D262EF" w14:textId="77777777" w:rsidTr="00D05E0F">
        <w:tc>
          <w:tcPr>
            <w:tcW w:w="2287" w:type="pct"/>
            <w:tcBorders>
              <w:top w:val="single" w:sz="4" w:space="0" w:color="000000"/>
              <w:left w:val="single" w:sz="4" w:space="0" w:color="000000"/>
              <w:bottom w:val="single" w:sz="4" w:space="0" w:color="000000"/>
              <w:right w:val="single" w:sz="4" w:space="0" w:color="000000"/>
            </w:tcBorders>
            <w:hideMark/>
          </w:tcPr>
          <w:p w14:paraId="397491EE" w14:textId="77777777" w:rsidR="00B95197" w:rsidRPr="00FE5144" w:rsidRDefault="00B95197" w:rsidP="00744619">
            <w:pPr>
              <w:ind w:left="30"/>
              <w:rPr>
                <w:sz w:val="24"/>
                <w:szCs w:val="24"/>
              </w:rPr>
            </w:pPr>
            <w:r w:rsidRPr="00FE5144">
              <w:rPr>
                <w:sz w:val="24"/>
                <w:szCs w:val="24"/>
              </w:rPr>
              <w:t>Hud og subkutane væv</w:t>
            </w:r>
          </w:p>
        </w:tc>
        <w:tc>
          <w:tcPr>
            <w:tcW w:w="2713" w:type="pct"/>
            <w:tcBorders>
              <w:top w:val="single" w:sz="4" w:space="0" w:color="000000"/>
              <w:left w:val="single" w:sz="4" w:space="0" w:color="000000"/>
              <w:bottom w:val="single" w:sz="4" w:space="0" w:color="000000"/>
              <w:right w:val="single" w:sz="4" w:space="0" w:color="000000"/>
            </w:tcBorders>
            <w:hideMark/>
          </w:tcPr>
          <w:p w14:paraId="480F1700" w14:textId="77777777" w:rsidR="00B95197" w:rsidRPr="00FE5144" w:rsidRDefault="00B95197" w:rsidP="00744619">
            <w:pPr>
              <w:ind w:left="30"/>
              <w:rPr>
                <w:i/>
                <w:iCs/>
                <w:sz w:val="24"/>
                <w:szCs w:val="24"/>
              </w:rPr>
            </w:pPr>
            <w:r w:rsidRPr="00FE5144">
              <w:rPr>
                <w:i/>
                <w:iCs/>
                <w:sz w:val="24"/>
                <w:szCs w:val="24"/>
              </w:rPr>
              <w:t xml:space="preserve">Sjælden: </w:t>
            </w:r>
            <w:r w:rsidRPr="00FE5144">
              <w:rPr>
                <w:iCs/>
                <w:sz w:val="24"/>
                <w:szCs w:val="24"/>
              </w:rPr>
              <w:t xml:space="preserve">pruritus, udslæt, svedtendens, angioødem, urticaria </w:t>
            </w:r>
          </w:p>
          <w:p w14:paraId="05F2360B" w14:textId="77777777" w:rsidR="00B95197" w:rsidRPr="00FE5144" w:rsidRDefault="00B95197" w:rsidP="00744619">
            <w:pPr>
              <w:ind w:left="30"/>
              <w:rPr>
                <w:sz w:val="24"/>
                <w:szCs w:val="24"/>
              </w:rPr>
            </w:pPr>
            <w:r w:rsidRPr="00FE5144">
              <w:rPr>
                <w:i/>
                <w:iCs/>
                <w:sz w:val="24"/>
                <w:szCs w:val="24"/>
              </w:rPr>
              <w:t>Meget sjælden:</w:t>
            </w:r>
            <w:r w:rsidRPr="00FE5144">
              <w:rPr>
                <w:sz w:val="24"/>
                <w:szCs w:val="24"/>
              </w:rPr>
              <w:t xml:space="preserve"> tilfælde af alvorlige hudreaktioner er rapporteret (lægemiddelinduceret Stevens</w:t>
            </w:r>
            <w:r w:rsidRPr="00FE5144">
              <w:rPr>
                <w:sz w:val="24"/>
                <w:szCs w:val="24"/>
              </w:rPr>
              <w:noBreakHyphen/>
              <w:t>Johnson</w:t>
            </w:r>
            <w:r w:rsidRPr="00FE5144">
              <w:rPr>
                <w:sz w:val="24"/>
                <w:szCs w:val="24"/>
              </w:rPr>
              <w:noBreakHyphen/>
              <w:t>syndrom (SJS), toksisk epidermal nekrolyse (TEN) og akut generaliseret eksematøs pustulose (AGEP))</w:t>
            </w:r>
          </w:p>
          <w:p w14:paraId="380FEBB5" w14:textId="77777777" w:rsidR="00B95197" w:rsidRPr="00FE5144" w:rsidRDefault="00B95197" w:rsidP="00744619">
            <w:pPr>
              <w:ind w:left="30"/>
              <w:rPr>
                <w:sz w:val="24"/>
                <w:szCs w:val="24"/>
              </w:rPr>
            </w:pPr>
            <w:r w:rsidRPr="00FE5144">
              <w:rPr>
                <w:i/>
                <w:iCs/>
                <w:sz w:val="24"/>
                <w:szCs w:val="24"/>
              </w:rPr>
              <w:t>Ikke kendt:</w:t>
            </w:r>
            <w:r w:rsidRPr="00FE5144">
              <w:rPr>
                <w:iCs/>
                <w:sz w:val="24"/>
                <w:szCs w:val="24"/>
              </w:rPr>
              <w:t xml:space="preserve"> exantem</w:t>
            </w:r>
          </w:p>
        </w:tc>
      </w:tr>
      <w:tr w:rsidR="00B95197" w:rsidRPr="00FE5144" w14:paraId="44EAF28E" w14:textId="77777777" w:rsidTr="00D05E0F">
        <w:tc>
          <w:tcPr>
            <w:tcW w:w="2287" w:type="pct"/>
            <w:tcBorders>
              <w:top w:val="single" w:sz="4" w:space="0" w:color="000000"/>
              <w:left w:val="single" w:sz="4" w:space="0" w:color="000000"/>
              <w:bottom w:val="single" w:sz="4" w:space="0" w:color="000000"/>
              <w:right w:val="single" w:sz="4" w:space="0" w:color="000000"/>
            </w:tcBorders>
            <w:hideMark/>
          </w:tcPr>
          <w:p w14:paraId="032A3F0C" w14:textId="77777777" w:rsidR="00B95197" w:rsidRPr="00FE5144" w:rsidRDefault="00B95197" w:rsidP="00744619">
            <w:pPr>
              <w:ind w:left="30"/>
              <w:rPr>
                <w:sz w:val="24"/>
                <w:szCs w:val="24"/>
              </w:rPr>
            </w:pPr>
            <w:r w:rsidRPr="00FE5144">
              <w:rPr>
                <w:sz w:val="24"/>
                <w:szCs w:val="24"/>
              </w:rPr>
              <w:t>Nervesystemet</w:t>
            </w:r>
          </w:p>
        </w:tc>
        <w:tc>
          <w:tcPr>
            <w:tcW w:w="2713" w:type="pct"/>
            <w:tcBorders>
              <w:top w:val="single" w:sz="4" w:space="0" w:color="000000"/>
              <w:left w:val="single" w:sz="4" w:space="0" w:color="000000"/>
              <w:bottom w:val="single" w:sz="4" w:space="0" w:color="000000"/>
              <w:right w:val="single" w:sz="4" w:space="0" w:color="000000"/>
            </w:tcBorders>
            <w:hideMark/>
          </w:tcPr>
          <w:p w14:paraId="06C16922" w14:textId="77777777" w:rsidR="00B95197" w:rsidRPr="00FE5144" w:rsidRDefault="00B95197" w:rsidP="00744619">
            <w:pPr>
              <w:ind w:left="30"/>
              <w:rPr>
                <w:sz w:val="24"/>
                <w:szCs w:val="24"/>
              </w:rPr>
            </w:pPr>
            <w:r w:rsidRPr="00FE5144">
              <w:rPr>
                <w:i/>
                <w:iCs/>
                <w:sz w:val="24"/>
                <w:szCs w:val="24"/>
              </w:rPr>
              <w:t xml:space="preserve">Sjælden: </w:t>
            </w:r>
            <w:r w:rsidRPr="00FE5144">
              <w:rPr>
                <w:iCs/>
                <w:sz w:val="24"/>
                <w:szCs w:val="24"/>
              </w:rPr>
              <w:t xml:space="preserve"> hovedpine</w:t>
            </w:r>
          </w:p>
        </w:tc>
      </w:tr>
      <w:tr w:rsidR="00B95197" w:rsidRPr="00FE5144" w14:paraId="2627DFA7" w14:textId="77777777" w:rsidTr="00D05E0F">
        <w:tc>
          <w:tcPr>
            <w:tcW w:w="2287" w:type="pct"/>
            <w:tcBorders>
              <w:top w:val="single" w:sz="4" w:space="0" w:color="000000"/>
              <w:left w:val="single" w:sz="4" w:space="0" w:color="000000"/>
              <w:bottom w:val="single" w:sz="4" w:space="0" w:color="000000"/>
              <w:right w:val="single" w:sz="4" w:space="0" w:color="000000"/>
            </w:tcBorders>
            <w:hideMark/>
          </w:tcPr>
          <w:p w14:paraId="0467FAB6" w14:textId="77777777" w:rsidR="00B95197" w:rsidRPr="00FE5144" w:rsidRDefault="00B95197" w:rsidP="00744619">
            <w:pPr>
              <w:ind w:left="30"/>
              <w:rPr>
                <w:sz w:val="24"/>
                <w:szCs w:val="24"/>
              </w:rPr>
            </w:pPr>
            <w:r w:rsidRPr="00FE5144">
              <w:rPr>
                <w:sz w:val="24"/>
                <w:szCs w:val="24"/>
              </w:rPr>
              <w:t>Mave-tarm-kanalen</w:t>
            </w:r>
          </w:p>
        </w:tc>
        <w:tc>
          <w:tcPr>
            <w:tcW w:w="2713" w:type="pct"/>
            <w:tcBorders>
              <w:top w:val="single" w:sz="4" w:space="0" w:color="000000"/>
              <w:left w:val="single" w:sz="4" w:space="0" w:color="000000"/>
              <w:bottom w:val="single" w:sz="4" w:space="0" w:color="000000"/>
              <w:right w:val="single" w:sz="4" w:space="0" w:color="000000"/>
            </w:tcBorders>
            <w:hideMark/>
          </w:tcPr>
          <w:p w14:paraId="2409C719" w14:textId="77777777" w:rsidR="00B95197" w:rsidRPr="00FE5144" w:rsidRDefault="00B95197" w:rsidP="00744619">
            <w:pPr>
              <w:ind w:left="30"/>
              <w:rPr>
                <w:iCs/>
                <w:sz w:val="24"/>
                <w:szCs w:val="24"/>
              </w:rPr>
            </w:pPr>
            <w:r w:rsidRPr="00FE5144">
              <w:rPr>
                <w:i/>
                <w:iCs/>
                <w:sz w:val="24"/>
                <w:szCs w:val="24"/>
              </w:rPr>
              <w:t xml:space="preserve">Sjælden: </w:t>
            </w:r>
            <w:r w:rsidRPr="00FE5144">
              <w:rPr>
                <w:iCs/>
                <w:sz w:val="24"/>
                <w:szCs w:val="24"/>
              </w:rPr>
              <w:t>mavesmerter, diarré, kvalme, opkastning og forstoppelse</w:t>
            </w:r>
          </w:p>
        </w:tc>
      </w:tr>
      <w:tr w:rsidR="00B95197" w:rsidRPr="00FE5144" w14:paraId="6D496256" w14:textId="77777777" w:rsidTr="00D05E0F">
        <w:tc>
          <w:tcPr>
            <w:tcW w:w="2287" w:type="pct"/>
            <w:tcBorders>
              <w:top w:val="single" w:sz="4" w:space="0" w:color="000000"/>
              <w:left w:val="single" w:sz="4" w:space="0" w:color="000000"/>
              <w:bottom w:val="single" w:sz="4" w:space="0" w:color="000000"/>
              <w:right w:val="single" w:sz="4" w:space="0" w:color="000000"/>
            </w:tcBorders>
            <w:hideMark/>
          </w:tcPr>
          <w:p w14:paraId="62BBCDC7" w14:textId="77777777" w:rsidR="00B95197" w:rsidRPr="00FE5144" w:rsidRDefault="00B95197" w:rsidP="00744619">
            <w:pPr>
              <w:ind w:left="30"/>
              <w:rPr>
                <w:sz w:val="24"/>
                <w:szCs w:val="24"/>
              </w:rPr>
            </w:pPr>
            <w:r w:rsidRPr="00FE5144">
              <w:rPr>
                <w:sz w:val="24"/>
                <w:szCs w:val="24"/>
              </w:rPr>
              <w:t>Nyrer og urinveje</w:t>
            </w:r>
          </w:p>
        </w:tc>
        <w:tc>
          <w:tcPr>
            <w:tcW w:w="2713" w:type="pct"/>
            <w:tcBorders>
              <w:top w:val="single" w:sz="4" w:space="0" w:color="000000"/>
              <w:left w:val="single" w:sz="4" w:space="0" w:color="000000"/>
              <w:bottom w:val="single" w:sz="4" w:space="0" w:color="000000"/>
              <w:right w:val="single" w:sz="4" w:space="0" w:color="000000"/>
            </w:tcBorders>
            <w:hideMark/>
          </w:tcPr>
          <w:p w14:paraId="59D22967" w14:textId="77777777" w:rsidR="00B95197" w:rsidRPr="00FE5144" w:rsidRDefault="00B95197" w:rsidP="00744619">
            <w:pPr>
              <w:ind w:left="30"/>
              <w:rPr>
                <w:i/>
                <w:iCs/>
                <w:sz w:val="24"/>
                <w:szCs w:val="24"/>
              </w:rPr>
            </w:pPr>
            <w:r w:rsidRPr="00FE5144">
              <w:rPr>
                <w:i/>
                <w:iCs/>
                <w:sz w:val="24"/>
                <w:szCs w:val="24"/>
              </w:rPr>
              <w:t>Meget sjælden:</w:t>
            </w:r>
            <w:r w:rsidRPr="00FE5144">
              <w:rPr>
                <w:iCs/>
                <w:sz w:val="24"/>
                <w:szCs w:val="24"/>
              </w:rPr>
              <w:t xml:space="preserve"> steril pyuri (uklar urin) </w:t>
            </w:r>
          </w:p>
          <w:p w14:paraId="6E8B33A6" w14:textId="77777777" w:rsidR="00B95197" w:rsidRPr="00FE5144" w:rsidRDefault="00B95197" w:rsidP="00744619">
            <w:pPr>
              <w:ind w:left="30"/>
              <w:rPr>
                <w:iCs/>
                <w:sz w:val="24"/>
                <w:szCs w:val="24"/>
              </w:rPr>
            </w:pPr>
            <w:r w:rsidRPr="00FE5144">
              <w:rPr>
                <w:i/>
                <w:iCs/>
                <w:sz w:val="24"/>
                <w:szCs w:val="24"/>
              </w:rPr>
              <w:t xml:space="preserve">Ikke kendt: </w:t>
            </w:r>
            <w:r w:rsidRPr="00FE5144">
              <w:rPr>
                <w:iCs/>
                <w:sz w:val="24"/>
                <w:szCs w:val="24"/>
              </w:rPr>
              <w:t>nefropatier (interstitiel nefritis, tubulær nekrose) efter langtidsbehandling med høje doser</w:t>
            </w:r>
          </w:p>
        </w:tc>
      </w:tr>
      <w:tr w:rsidR="00B95197" w:rsidRPr="00FE5144" w14:paraId="329DE6CD" w14:textId="77777777" w:rsidTr="00D05E0F">
        <w:tc>
          <w:tcPr>
            <w:tcW w:w="2287" w:type="pct"/>
            <w:tcBorders>
              <w:top w:val="single" w:sz="4" w:space="0" w:color="000000"/>
              <w:left w:val="single" w:sz="4" w:space="0" w:color="000000"/>
              <w:bottom w:val="single" w:sz="4" w:space="0" w:color="000000"/>
              <w:right w:val="single" w:sz="4" w:space="0" w:color="000000"/>
            </w:tcBorders>
            <w:hideMark/>
          </w:tcPr>
          <w:p w14:paraId="334E60F9" w14:textId="77777777" w:rsidR="00B95197" w:rsidRPr="00FE5144" w:rsidRDefault="00B95197" w:rsidP="00744619">
            <w:pPr>
              <w:ind w:left="30"/>
              <w:rPr>
                <w:sz w:val="24"/>
                <w:szCs w:val="24"/>
              </w:rPr>
            </w:pPr>
            <w:r w:rsidRPr="00FE5144">
              <w:rPr>
                <w:sz w:val="24"/>
                <w:szCs w:val="24"/>
              </w:rPr>
              <w:t>Almene symptomer</w:t>
            </w:r>
          </w:p>
        </w:tc>
        <w:tc>
          <w:tcPr>
            <w:tcW w:w="2713" w:type="pct"/>
            <w:tcBorders>
              <w:top w:val="single" w:sz="4" w:space="0" w:color="000000"/>
              <w:left w:val="single" w:sz="4" w:space="0" w:color="000000"/>
              <w:bottom w:val="single" w:sz="4" w:space="0" w:color="000000"/>
              <w:right w:val="single" w:sz="4" w:space="0" w:color="000000"/>
            </w:tcBorders>
            <w:hideMark/>
          </w:tcPr>
          <w:p w14:paraId="60EB014E" w14:textId="77777777" w:rsidR="00B95197" w:rsidRPr="00FE5144" w:rsidRDefault="00B95197" w:rsidP="00744619">
            <w:pPr>
              <w:ind w:left="30"/>
              <w:rPr>
                <w:sz w:val="24"/>
                <w:szCs w:val="24"/>
              </w:rPr>
            </w:pPr>
            <w:r w:rsidRPr="00FE5144">
              <w:rPr>
                <w:i/>
                <w:iCs/>
                <w:sz w:val="24"/>
                <w:szCs w:val="24"/>
              </w:rPr>
              <w:t xml:space="preserve">Sjælden: </w:t>
            </w:r>
            <w:r w:rsidRPr="00FE5144">
              <w:rPr>
                <w:sz w:val="24"/>
                <w:szCs w:val="24"/>
              </w:rPr>
              <w:t>svimmelhed, utilpashed</w:t>
            </w:r>
          </w:p>
        </w:tc>
      </w:tr>
      <w:tr w:rsidR="00B95197" w:rsidRPr="00FE5144" w14:paraId="0E3CF098" w14:textId="77777777" w:rsidTr="00D05E0F">
        <w:tc>
          <w:tcPr>
            <w:tcW w:w="2287" w:type="pct"/>
            <w:tcBorders>
              <w:top w:val="single" w:sz="4" w:space="0" w:color="000000"/>
              <w:left w:val="single" w:sz="4" w:space="0" w:color="000000"/>
              <w:bottom w:val="single" w:sz="4" w:space="0" w:color="000000"/>
              <w:right w:val="single" w:sz="4" w:space="0" w:color="000000"/>
            </w:tcBorders>
            <w:hideMark/>
          </w:tcPr>
          <w:p w14:paraId="6EAC1BAA" w14:textId="77777777" w:rsidR="00B95197" w:rsidRPr="00FE5144" w:rsidRDefault="00B95197" w:rsidP="00744619">
            <w:pPr>
              <w:ind w:left="30"/>
              <w:rPr>
                <w:b/>
                <w:sz w:val="24"/>
                <w:szCs w:val="24"/>
              </w:rPr>
            </w:pPr>
            <w:r w:rsidRPr="00FE5144">
              <w:rPr>
                <w:sz w:val="24"/>
                <w:szCs w:val="24"/>
              </w:rPr>
              <w:t xml:space="preserve">Traumer, forgiftninger og behandlingskomplikationer  </w:t>
            </w:r>
          </w:p>
        </w:tc>
        <w:tc>
          <w:tcPr>
            <w:tcW w:w="2713" w:type="pct"/>
            <w:tcBorders>
              <w:top w:val="single" w:sz="4" w:space="0" w:color="000000"/>
              <w:left w:val="single" w:sz="4" w:space="0" w:color="000000"/>
              <w:bottom w:val="single" w:sz="4" w:space="0" w:color="000000"/>
              <w:right w:val="single" w:sz="4" w:space="0" w:color="000000"/>
            </w:tcBorders>
          </w:tcPr>
          <w:p w14:paraId="5BAE36C0" w14:textId="77777777" w:rsidR="00B95197" w:rsidRPr="00FE5144" w:rsidRDefault="00B95197" w:rsidP="00744619">
            <w:pPr>
              <w:ind w:left="30"/>
              <w:rPr>
                <w:iCs/>
                <w:sz w:val="24"/>
                <w:szCs w:val="24"/>
              </w:rPr>
            </w:pPr>
            <w:r w:rsidRPr="00FE5144">
              <w:rPr>
                <w:i/>
                <w:iCs/>
                <w:sz w:val="24"/>
                <w:szCs w:val="24"/>
              </w:rPr>
              <w:t xml:space="preserve">Sjælden: </w:t>
            </w:r>
            <w:r w:rsidRPr="00FE5144">
              <w:rPr>
                <w:iCs/>
                <w:sz w:val="24"/>
                <w:szCs w:val="24"/>
              </w:rPr>
              <w:t>overdosering og forgiftning</w:t>
            </w:r>
          </w:p>
          <w:p w14:paraId="45775677" w14:textId="77777777" w:rsidR="00B95197" w:rsidRPr="00FE5144" w:rsidRDefault="00B95197" w:rsidP="00744619">
            <w:pPr>
              <w:ind w:left="30"/>
              <w:rPr>
                <w:sz w:val="24"/>
                <w:szCs w:val="24"/>
              </w:rPr>
            </w:pPr>
          </w:p>
        </w:tc>
      </w:tr>
    </w:tbl>
    <w:p w14:paraId="52E6B722" w14:textId="03367731" w:rsidR="00B95197" w:rsidRPr="00B95197" w:rsidRDefault="00B95197" w:rsidP="00744619">
      <w:pPr>
        <w:ind w:left="284" w:hanging="284"/>
        <w:rPr>
          <w:sz w:val="20"/>
        </w:rPr>
      </w:pPr>
      <w:r w:rsidRPr="00B95197">
        <w:rPr>
          <w:sz w:val="20"/>
        </w:rPr>
        <w:t xml:space="preserve">* </w:t>
      </w:r>
      <w:r w:rsidR="00744619" w:rsidRPr="00744619">
        <w:rPr>
          <w:sz w:val="20"/>
        </w:rPr>
        <w:tab/>
      </w:r>
      <w:r w:rsidRPr="00B95197">
        <w:rPr>
          <w:sz w:val="20"/>
        </w:rPr>
        <w:t>Tilfælde af metabolisk acidose med højt anion-gap som følge af pyroglutaminacidose er observeret hos patienter med risikofaktorer (se pkt. 4.4). Pyroglutaminacidose kan forekomme som følge af lave glutathionniveauer hos disse patienter.</w:t>
      </w:r>
    </w:p>
    <w:p w14:paraId="780C6ADD" w14:textId="77777777" w:rsidR="00B95197" w:rsidRPr="00B95197" w:rsidRDefault="00B95197" w:rsidP="00744619">
      <w:pPr>
        <w:ind w:left="851"/>
        <w:rPr>
          <w:i/>
          <w:sz w:val="24"/>
          <w:szCs w:val="24"/>
        </w:rPr>
      </w:pPr>
    </w:p>
    <w:p w14:paraId="0F6CA67C" w14:textId="77777777" w:rsidR="00B95197" w:rsidRPr="00B95197" w:rsidRDefault="00B95197" w:rsidP="00744619">
      <w:pPr>
        <w:ind w:left="851"/>
        <w:rPr>
          <w:sz w:val="24"/>
          <w:szCs w:val="24"/>
          <w:u w:val="single"/>
        </w:rPr>
      </w:pPr>
      <w:r w:rsidRPr="00B95197">
        <w:rPr>
          <w:sz w:val="24"/>
          <w:szCs w:val="24"/>
          <w:u w:val="single"/>
        </w:rPr>
        <w:t>Indberetning af formodede bivirkninger</w:t>
      </w:r>
    </w:p>
    <w:p w14:paraId="563BA2CF" w14:textId="77777777" w:rsidR="00B95197" w:rsidRDefault="00B95197" w:rsidP="00744619">
      <w:pPr>
        <w:ind w:left="851"/>
        <w:rPr>
          <w:sz w:val="24"/>
          <w:szCs w:val="24"/>
        </w:rPr>
      </w:pPr>
      <w:bookmarkStart w:id="0" w:name="_Hlk172016641"/>
      <w:r w:rsidRPr="00B95197">
        <w:rPr>
          <w:sz w:val="24"/>
          <w:szCs w:val="24"/>
        </w:rPr>
        <w:t xml:space="preserve">Når lægemidlet er godkendt, er indberetning af formodede bivirkninger vigtig. Det muliggør løbende overvågning af benefit/risk-forholdet for lægemidlet. Sundhedspersoner anmodes om at indberette alle formodede bivirkninger via </w:t>
      </w:r>
    </w:p>
    <w:p w14:paraId="1FD553AC" w14:textId="77777777" w:rsidR="00D05E0F" w:rsidRPr="00B95197" w:rsidRDefault="00D05E0F" w:rsidP="00744619">
      <w:pPr>
        <w:ind w:left="851"/>
        <w:rPr>
          <w:sz w:val="24"/>
          <w:szCs w:val="24"/>
        </w:rPr>
      </w:pPr>
    </w:p>
    <w:p w14:paraId="48E1CF24" w14:textId="77777777" w:rsidR="00B95197" w:rsidRPr="00B95197" w:rsidRDefault="00B95197" w:rsidP="00744619">
      <w:pPr>
        <w:ind w:left="851"/>
        <w:rPr>
          <w:sz w:val="24"/>
          <w:szCs w:val="24"/>
        </w:rPr>
      </w:pPr>
      <w:r w:rsidRPr="00B95197">
        <w:rPr>
          <w:sz w:val="24"/>
          <w:szCs w:val="24"/>
        </w:rPr>
        <w:t>Lægemiddelstyrelsen</w:t>
      </w:r>
      <w:r w:rsidRPr="00B95197">
        <w:rPr>
          <w:sz w:val="24"/>
          <w:szCs w:val="24"/>
        </w:rPr>
        <w:br/>
        <w:t>Axel Heides Gade 1</w:t>
      </w:r>
      <w:r w:rsidRPr="00B95197">
        <w:rPr>
          <w:sz w:val="24"/>
          <w:szCs w:val="24"/>
        </w:rPr>
        <w:br/>
        <w:t>DK-2300 København S</w:t>
      </w:r>
      <w:r w:rsidRPr="00B95197">
        <w:rPr>
          <w:sz w:val="24"/>
          <w:szCs w:val="24"/>
        </w:rPr>
        <w:br/>
        <w:t xml:space="preserve">Websted: </w:t>
      </w:r>
      <w:hyperlink r:id="rId8" w:history="1">
        <w:r w:rsidRPr="00B95197">
          <w:rPr>
            <w:rStyle w:val="Hyperlink"/>
            <w:sz w:val="24"/>
            <w:szCs w:val="24"/>
          </w:rPr>
          <w:t>www.meldenbivirkning.dk</w:t>
        </w:r>
      </w:hyperlink>
    </w:p>
    <w:bookmarkEnd w:id="0"/>
    <w:p w14:paraId="21F4443F" w14:textId="77777777" w:rsidR="009260DE" w:rsidRPr="00A10294" w:rsidRDefault="009260DE" w:rsidP="00A10294">
      <w:pPr>
        <w:tabs>
          <w:tab w:val="left" w:pos="851"/>
        </w:tabs>
        <w:ind w:left="851"/>
        <w:rPr>
          <w:sz w:val="24"/>
          <w:szCs w:val="24"/>
        </w:rPr>
      </w:pPr>
    </w:p>
    <w:p w14:paraId="32EAF536" w14:textId="77777777" w:rsidR="009260DE" w:rsidRPr="00C84483" w:rsidRDefault="009260DE" w:rsidP="009260DE">
      <w:pPr>
        <w:tabs>
          <w:tab w:val="left" w:pos="851"/>
        </w:tabs>
        <w:ind w:left="851" w:hanging="851"/>
        <w:rPr>
          <w:b/>
          <w:sz w:val="24"/>
          <w:szCs w:val="24"/>
        </w:rPr>
      </w:pPr>
      <w:r w:rsidRPr="00C84483">
        <w:rPr>
          <w:b/>
          <w:sz w:val="24"/>
          <w:szCs w:val="24"/>
        </w:rPr>
        <w:t>4.9</w:t>
      </w:r>
      <w:r w:rsidRPr="00C84483">
        <w:rPr>
          <w:b/>
          <w:sz w:val="24"/>
          <w:szCs w:val="24"/>
        </w:rPr>
        <w:tab/>
        <w:t>Overdosering</w:t>
      </w:r>
    </w:p>
    <w:p w14:paraId="175BADD0" w14:textId="77777777" w:rsidR="00B95197" w:rsidRPr="00B95197" w:rsidRDefault="00B95197" w:rsidP="00744619">
      <w:pPr>
        <w:ind w:left="851"/>
        <w:rPr>
          <w:sz w:val="24"/>
          <w:szCs w:val="24"/>
        </w:rPr>
      </w:pPr>
      <w:r w:rsidRPr="00B95197">
        <w:rPr>
          <w:sz w:val="24"/>
          <w:szCs w:val="24"/>
        </w:rPr>
        <w:t>Overdosering med paracetamol kan forårsage leversvigt, som kan føre til levertransplantation eller død.</w:t>
      </w:r>
    </w:p>
    <w:p w14:paraId="3327CB12" w14:textId="77777777" w:rsidR="00B95197" w:rsidRPr="00B95197" w:rsidRDefault="00B95197" w:rsidP="00744619">
      <w:pPr>
        <w:ind w:left="851"/>
        <w:rPr>
          <w:sz w:val="24"/>
          <w:szCs w:val="24"/>
        </w:rPr>
      </w:pPr>
    </w:p>
    <w:p w14:paraId="18A64875" w14:textId="77777777" w:rsidR="00B95197" w:rsidRPr="00B95197" w:rsidRDefault="00B95197" w:rsidP="00744619">
      <w:pPr>
        <w:ind w:left="851"/>
        <w:rPr>
          <w:sz w:val="24"/>
          <w:szCs w:val="24"/>
        </w:rPr>
      </w:pPr>
      <w:r w:rsidRPr="00B95197">
        <w:rPr>
          <w:sz w:val="24"/>
          <w:szCs w:val="24"/>
        </w:rPr>
        <w:t>Der er risiko for forgiftning med paracetamol særligt hos ældre, hos små børn, hos patienter med leversygdomme, hos patienter med kronisk alkoholisme, og hos patienter med kronisk fejlernæring, hos patienter der er i behandling med enzyminducerende lægemidler, og hos voksne med en kropsvægt under 50 kg. Overdosering kan i disse tilfælde være fatal.</w:t>
      </w:r>
    </w:p>
    <w:p w14:paraId="3E367EF4" w14:textId="77777777" w:rsidR="00B95197" w:rsidRPr="00B95197" w:rsidRDefault="00B95197" w:rsidP="00744619">
      <w:pPr>
        <w:ind w:left="851"/>
        <w:rPr>
          <w:sz w:val="24"/>
          <w:szCs w:val="24"/>
        </w:rPr>
      </w:pPr>
    </w:p>
    <w:p w14:paraId="4BB1374C" w14:textId="77777777" w:rsidR="00B95197" w:rsidRPr="00B95197" w:rsidRDefault="00B95197" w:rsidP="00744619">
      <w:pPr>
        <w:ind w:left="851"/>
        <w:rPr>
          <w:i/>
          <w:iCs/>
          <w:sz w:val="24"/>
          <w:szCs w:val="24"/>
        </w:rPr>
      </w:pPr>
      <w:r w:rsidRPr="00B95197">
        <w:rPr>
          <w:i/>
          <w:iCs/>
          <w:sz w:val="24"/>
          <w:szCs w:val="24"/>
        </w:rPr>
        <w:t>Symptomer</w:t>
      </w:r>
    </w:p>
    <w:p w14:paraId="68A34496" w14:textId="77777777" w:rsidR="00B95197" w:rsidRPr="00B95197" w:rsidRDefault="00B95197" w:rsidP="00744619">
      <w:pPr>
        <w:ind w:left="851"/>
        <w:rPr>
          <w:sz w:val="24"/>
          <w:szCs w:val="24"/>
        </w:rPr>
      </w:pPr>
      <w:r w:rsidRPr="00B95197">
        <w:rPr>
          <w:sz w:val="24"/>
          <w:szCs w:val="24"/>
        </w:rPr>
        <w:t>Symptomer optræder generelt inden for de første 24 timer og kan omfatte: kvalme, opkastning, anoreksi, bleghed og mavesmerter, men patienter kan også være asymptomatiske.</w:t>
      </w:r>
    </w:p>
    <w:p w14:paraId="5A8B107F" w14:textId="77777777" w:rsidR="00B95197" w:rsidRPr="00B95197" w:rsidRDefault="00B95197" w:rsidP="00744619">
      <w:pPr>
        <w:ind w:left="851"/>
        <w:rPr>
          <w:sz w:val="24"/>
          <w:szCs w:val="24"/>
        </w:rPr>
      </w:pPr>
    </w:p>
    <w:p w14:paraId="2404C875" w14:textId="77777777" w:rsidR="00B95197" w:rsidRPr="00B95197" w:rsidRDefault="00B95197" w:rsidP="00744619">
      <w:pPr>
        <w:ind w:left="851"/>
        <w:rPr>
          <w:sz w:val="24"/>
          <w:szCs w:val="24"/>
        </w:rPr>
      </w:pPr>
      <w:r w:rsidRPr="00B95197">
        <w:rPr>
          <w:sz w:val="24"/>
          <w:szCs w:val="24"/>
        </w:rPr>
        <w:t>Overdosering af paracetamol ved én enkelt administration hos voksne eller børn kan medføre levercellenekrose, som sandsynligvis kan udvikle sig til fuldstændig og irreversibel nekrose, hvilket resulterer i hepatocellulær insufficiens, metabolisk acidose og encefalopati, der kan føre til koma og død. Samtidig observeres forhøjede niveauer af levertransaminaser (AST, ALT), laktatdehydrogenase og bilirubin samt forlænget protrombintid, som kan ses 12</w:t>
      </w:r>
      <w:r w:rsidRPr="00B95197">
        <w:rPr>
          <w:sz w:val="24"/>
          <w:szCs w:val="24"/>
        </w:rPr>
        <w:noBreakHyphen/>
        <w:t>48 timer efter indtagelse. Leverskade er sandsynlig hos voksne, der har indtaget mere end de anbefalede mængder paracetamol. Det antages, at overskydende mængder af en toksisk metabolit (som normalt tilstrækkeligt detoxificeres af glutathion ved indtagelse af normale paracetamoldoser) bindes irreversibelt til levervævet.</w:t>
      </w:r>
    </w:p>
    <w:p w14:paraId="668AEEB1" w14:textId="77777777" w:rsidR="00B95197" w:rsidRPr="00B95197" w:rsidRDefault="00B95197" w:rsidP="00744619">
      <w:pPr>
        <w:ind w:left="851"/>
        <w:rPr>
          <w:sz w:val="24"/>
          <w:szCs w:val="24"/>
        </w:rPr>
      </w:pPr>
    </w:p>
    <w:p w14:paraId="7AF3F35C" w14:textId="77777777" w:rsidR="00B95197" w:rsidRPr="00B95197" w:rsidRDefault="00B95197" w:rsidP="00744619">
      <w:pPr>
        <w:ind w:left="851"/>
        <w:rPr>
          <w:sz w:val="24"/>
          <w:szCs w:val="24"/>
        </w:rPr>
      </w:pPr>
      <w:r w:rsidRPr="00B95197">
        <w:rPr>
          <w:sz w:val="24"/>
          <w:szCs w:val="24"/>
        </w:rPr>
        <w:t>Nogle patienter kan have øget risiko for leverskade som følge af paracetamoltoksicitet.</w:t>
      </w:r>
    </w:p>
    <w:p w14:paraId="7BCC024F" w14:textId="77777777" w:rsidR="00B95197" w:rsidRPr="00B95197" w:rsidRDefault="00B95197" w:rsidP="00744619">
      <w:pPr>
        <w:ind w:left="851"/>
        <w:rPr>
          <w:sz w:val="24"/>
          <w:szCs w:val="24"/>
        </w:rPr>
      </w:pPr>
    </w:p>
    <w:p w14:paraId="5C81947F" w14:textId="77777777" w:rsidR="00B95197" w:rsidRPr="00B95197" w:rsidRDefault="00B95197" w:rsidP="00744619">
      <w:pPr>
        <w:ind w:left="851"/>
        <w:rPr>
          <w:sz w:val="24"/>
          <w:szCs w:val="24"/>
        </w:rPr>
      </w:pPr>
      <w:r w:rsidRPr="00B95197">
        <w:rPr>
          <w:sz w:val="24"/>
          <w:szCs w:val="24"/>
        </w:rPr>
        <w:t>Der kan også udvikles akut nyresvigt med akut tubulær nekrose.</w:t>
      </w:r>
    </w:p>
    <w:p w14:paraId="722AB974" w14:textId="77777777" w:rsidR="00B95197" w:rsidRPr="00B95197" w:rsidRDefault="00B95197" w:rsidP="00744619">
      <w:pPr>
        <w:ind w:left="851"/>
        <w:rPr>
          <w:sz w:val="24"/>
          <w:szCs w:val="24"/>
        </w:rPr>
      </w:pPr>
    </w:p>
    <w:p w14:paraId="6C1997DD" w14:textId="77777777" w:rsidR="00B95197" w:rsidRPr="00B95197" w:rsidRDefault="00B95197" w:rsidP="00744619">
      <w:pPr>
        <w:ind w:left="851"/>
        <w:rPr>
          <w:sz w:val="24"/>
          <w:szCs w:val="24"/>
        </w:rPr>
      </w:pPr>
      <w:r w:rsidRPr="00B95197">
        <w:rPr>
          <w:sz w:val="24"/>
          <w:szCs w:val="24"/>
        </w:rPr>
        <w:t>Hjertearytmier og pancreatitis er ligeledes rapporteret.</w:t>
      </w:r>
    </w:p>
    <w:p w14:paraId="2CE3FBE3" w14:textId="77777777" w:rsidR="00B95197" w:rsidRPr="00D05E0F" w:rsidRDefault="00B95197" w:rsidP="00744619">
      <w:pPr>
        <w:ind w:left="851"/>
        <w:rPr>
          <w:sz w:val="24"/>
          <w:szCs w:val="24"/>
        </w:rPr>
      </w:pPr>
    </w:p>
    <w:p w14:paraId="4142FE05" w14:textId="77777777" w:rsidR="00B95197" w:rsidRPr="00B95197" w:rsidRDefault="00B95197" w:rsidP="00744619">
      <w:pPr>
        <w:ind w:left="851"/>
        <w:rPr>
          <w:sz w:val="24"/>
          <w:szCs w:val="24"/>
        </w:rPr>
      </w:pPr>
      <w:r w:rsidRPr="00B95197">
        <w:rPr>
          <w:sz w:val="24"/>
          <w:szCs w:val="24"/>
        </w:rPr>
        <w:t>Risikofaktorer omfatter, hvis patienten:</w:t>
      </w:r>
    </w:p>
    <w:p w14:paraId="4217D564" w14:textId="77777777" w:rsidR="00B95197" w:rsidRPr="00B95197" w:rsidRDefault="00B95197" w:rsidP="00D05E0F">
      <w:pPr>
        <w:numPr>
          <w:ilvl w:val="0"/>
          <w:numId w:val="9"/>
        </w:numPr>
        <w:tabs>
          <w:tab w:val="clear" w:pos="720"/>
        </w:tabs>
        <w:ind w:left="1276" w:hanging="425"/>
        <w:rPr>
          <w:sz w:val="24"/>
          <w:szCs w:val="24"/>
        </w:rPr>
      </w:pPr>
      <w:r w:rsidRPr="00B95197">
        <w:rPr>
          <w:sz w:val="24"/>
          <w:szCs w:val="24"/>
        </w:rPr>
        <w:t>er i langtidsbehandling med carbamazepin, phenobarbital, phenytoin, primidon, rifampicin, perikon eller andre lægemidler, der inducerer leverenzymer</w:t>
      </w:r>
    </w:p>
    <w:p w14:paraId="2762336C" w14:textId="77777777" w:rsidR="00B95197" w:rsidRPr="00B95197" w:rsidRDefault="00B95197" w:rsidP="00D05E0F">
      <w:pPr>
        <w:numPr>
          <w:ilvl w:val="0"/>
          <w:numId w:val="9"/>
        </w:numPr>
        <w:tabs>
          <w:tab w:val="clear" w:pos="720"/>
        </w:tabs>
        <w:ind w:left="1276" w:hanging="425"/>
        <w:rPr>
          <w:sz w:val="24"/>
          <w:szCs w:val="24"/>
        </w:rPr>
      </w:pPr>
      <w:r w:rsidRPr="00B95197">
        <w:rPr>
          <w:sz w:val="24"/>
          <w:szCs w:val="24"/>
        </w:rPr>
        <w:t>regelmæssigt indtager alkohol i mængder, der overstiger de anbefalede</w:t>
      </w:r>
    </w:p>
    <w:p w14:paraId="7D5B84C1" w14:textId="77777777" w:rsidR="00B95197" w:rsidRPr="00B95197" w:rsidRDefault="00B95197" w:rsidP="00D05E0F">
      <w:pPr>
        <w:numPr>
          <w:ilvl w:val="0"/>
          <w:numId w:val="9"/>
        </w:numPr>
        <w:tabs>
          <w:tab w:val="clear" w:pos="720"/>
        </w:tabs>
        <w:ind w:left="1276" w:hanging="425"/>
        <w:rPr>
          <w:sz w:val="24"/>
          <w:szCs w:val="24"/>
        </w:rPr>
      </w:pPr>
      <w:r w:rsidRPr="00B95197">
        <w:rPr>
          <w:sz w:val="24"/>
          <w:szCs w:val="24"/>
        </w:rPr>
        <w:t>sandsynligvis har udtømte glutathiondepoter, f.eks. ved spiseforstyrrelser, cystisk fibrose, hiv</w:t>
      </w:r>
      <w:r w:rsidRPr="00B95197">
        <w:rPr>
          <w:sz w:val="24"/>
          <w:szCs w:val="24"/>
        </w:rPr>
        <w:noBreakHyphen/>
        <w:t>infektion, sult eller kakeksi.</w:t>
      </w:r>
    </w:p>
    <w:p w14:paraId="3B00EE1A" w14:textId="77777777" w:rsidR="00B95197" w:rsidRPr="00B95197" w:rsidRDefault="00B95197" w:rsidP="00744619">
      <w:pPr>
        <w:ind w:left="851"/>
        <w:rPr>
          <w:sz w:val="24"/>
          <w:szCs w:val="24"/>
        </w:rPr>
      </w:pPr>
    </w:p>
    <w:p w14:paraId="2DBB3D61" w14:textId="77777777" w:rsidR="00B95197" w:rsidRPr="00B95197" w:rsidRDefault="00B95197" w:rsidP="00744619">
      <w:pPr>
        <w:ind w:left="851"/>
        <w:rPr>
          <w:sz w:val="24"/>
          <w:szCs w:val="24"/>
        </w:rPr>
      </w:pPr>
      <w:r w:rsidRPr="00B95197">
        <w:rPr>
          <w:sz w:val="24"/>
          <w:szCs w:val="24"/>
        </w:rPr>
        <w:t>Ovennævnte risikofaktorer kan nedsætte tærsklen for hepatotoksicitet.</w:t>
      </w:r>
    </w:p>
    <w:p w14:paraId="032E753A" w14:textId="77777777" w:rsidR="00B95197" w:rsidRPr="00B95197" w:rsidRDefault="00B95197" w:rsidP="00744619">
      <w:pPr>
        <w:ind w:left="851"/>
        <w:rPr>
          <w:sz w:val="24"/>
          <w:szCs w:val="24"/>
        </w:rPr>
      </w:pPr>
    </w:p>
    <w:p w14:paraId="2853F462" w14:textId="77777777" w:rsidR="00B95197" w:rsidRPr="00B95197" w:rsidRDefault="00B95197" w:rsidP="00744619">
      <w:pPr>
        <w:ind w:left="851"/>
        <w:rPr>
          <w:i/>
          <w:iCs/>
          <w:sz w:val="24"/>
          <w:szCs w:val="24"/>
        </w:rPr>
      </w:pPr>
      <w:r w:rsidRPr="00B95197">
        <w:rPr>
          <w:i/>
          <w:iCs/>
          <w:sz w:val="24"/>
          <w:szCs w:val="24"/>
        </w:rPr>
        <w:t>Behandling</w:t>
      </w:r>
    </w:p>
    <w:p w14:paraId="37D323EE" w14:textId="77777777" w:rsidR="00B95197" w:rsidRPr="00B95197" w:rsidRDefault="00B95197" w:rsidP="00744619">
      <w:pPr>
        <w:ind w:left="851"/>
        <w:rPr>
          <w:i/>
          <w:iCs/>
          <w:sz w:val="24"/>
          <w:szCs w:val="24"/>
        </w:rPr>
      </w:pPr>
    </w:p>
    <w:p w14:paraId="3A162127" w14:textId="77777777" w:rsidR="00B95197" w:rsidRPr="00B95197" w:rsidRDefault="00B95197" w:rsidP="00744619">
      <w:pPr>
        <w:ind w:left="851"/>
        <w:rPr>
          <w:sz w:val="24"/>
          <w:szCs w:val="24"/>
        </w:rPr>
      </w:pPr>
      <w:r w:rsidRPr="00B95197">
        <w:rPr>
          <w:sz w:val="24"/>
          <w:szCs w:val="24"/>
        </w:rPr>
        <w:t>Akut behandling:</w:t>
      </w:r>
    </w:p>
    <w:p w14:paraId="7E0297C7" w14:textId="77777777" w:rsidR="00B95197" w:rsidRPr="00B95197" w:rsidRDefault="00B95197" w:rsidP="00744619">
      <w:pPr>
        <w:ind w:left="851"/>
        <w:rPr>
          <w:sz w:val="24"/>
          <w:szCs w:val="24"/>
        </w:rPr>
      </w:pPr>
      <w:r w:rsidRPr="00B95197">
        <w:rPr>
          <w:sz w:val="24"/>
          <w:szCs w:val="24"/>
        </w:rPr>
        <w:t>Øjeblikkelig behandling er afgørende ved paracetamoloverdosering. Patienter skal straks overføres til et hospital med henblik på akut medicinsk behandling.</w:t>
      </w:r>
    </w:p>
    <w:p w14:paraId="4485997D" w14:textId="77777777" w:rsidR="00B95197" w:rsidRPr="00B95197" w:rsidRDefault="00B95197" w:rsidP="00744619">
      <w:pPr>
        <w:ind w:left="851"/>
        <w:rPr>
          <w:sz w:val="24"/>
          <w:szCs w:val="24"/>
        </w:rPr>
      </w:pPr>
    </w:p>
    <w:p w14:paraId="545E3556" w14:textId="77777777" w:rsidR="00B95197" w:rsidRPr="00B95197" w:rsidRDefault="00B95197" w:rsidP="00744619">
      <w:pPr>
        <w:ind w:left="851"/>
        <w:rPr>
          <w:sz w:val="24"/>
          <w:szCs w:val="24"/>
        </w:rPr>
      </w:pPr>
      <w:r w:rsidRPr="00B95197">
        <w:rPr>
          <w:sz w:val="24"/>
          <w:szCs w:val="24"/>
        </w:rPr>
        <w:t>Indgivelse af aktivt kul bør overvejes, hvis der er indtaget &gt; 150 mg/kg paracetamol inden for 1 time.</w:t>
      </w:r>
    </w:p>
    <w:p w14:paraId="3D3117C8" w14:textId="77777777" w:rsidR="00B95197" w:rsidRPr="00B95197" w:rsidRDefault="00B95197" w:rsidP="00744619">
      <w:pPr>
        <w:ind w:left="851"/>
        <w:rPr>
          <w:sz w:val="24"/>
          <w:szCs w:val="24"/>
        </w:rPr>
      </w:pPr>
      <w:r w:rsidRPr="00B95197">
        <w:rPr>
          <w:sz w:val="24"/>
          <w:szCs w:val="24"/>
        </w:rPr>
        <w:t>Plasmakoncentrationen af paracetamol bør måles 4 timer eller senere efter indtagelse i tilfælde af akut enkeltstående overdosering. Blodprøvetagning anvendes til bestemmelse af den initiale plasmakoncentration af paracetamol.</w:t>
      </w:r>
    </w:p>
    <w:p w14:paraId="1F6A30F2" w14:textId="77777777" w:rsidR="00B95197" w:rsidRPr="00B95197" w:rsidRDefault="00B95197" w:rsidP="00744619">
      <w:pPr>
        <w:ind w:left="851"/>
        <w:rPr>
          <w:sz w:val="24"/>
          <w:szCs w:val="24"/>
        </w:rPr>
      </w:pPr>
    </w:p>
    <w:p w14:paraId="47E46CDC" w14:textId="77777777" w:rsidR="00B95197" w:rsidRPr="00B95197" w:rsidRDefault="00B95197" w:rsidP="00744619">
      <w:pPr>
        <w:ind w:left="851"/>
        <w:rPr>
          <w:sz w:val="24"/>
          <w:szCs w:val="24"/>
        </w:rPr>
      </w:pPr>
      <w:r w:rsidRPr="00B95197">
        <w:rPr>
          <w:sz w:val="24"/>
          <w:szCs w:val="24"/>
        </w:rPr>
        <w:t>Behandling med N</w:t>
      </w:r>
      <w:r w:rsidRPr="00B95197">
        <w:rPr>
          <w:sz w:val="24"/>
          <w:szCs w:val="24"/>
        </w:rPr>
        <w:noBreakHyphen/>
        <w:t>acetylcystein skal iværksættes så hurtigt som muligt i overensstemmelse med nationale kliniske retningslinjer.</w:t>
      </w:r>
    </w:p>
    <w:p w14:paraId="21310F90" w14:textId="77777777" w:rsidR="00B95197" w:rsidRPr="00B95197" w:rsidRDefault="00B95197" w:rsidP="00744619">
      <w:pPr>
        <w:ind w:left="851"/>
        <w:rPr>
          <w:sz w:val="24"/>
          <w:szCs w:val="24"/>
        </w:rPr>
      </w:pPr>
    </w:p>
    <w:p w14:paraId="722EC068" w14:textId="77777777" w:rsidR="00B95197" w:rsidRPr="00B95197" w:rsidRDefault="00B95197" w:rsidP="00744619">
      <w:pPr>
        <w:ind w:left="851"/>
        <w:rPr>
          <w:sz w:val="24"/>
          <w:szCs w:val="24"/>
        </w:rPr>
      </w:pPr>
      <w:r w:rsidRPr="00B95197">
        <w:rPr>
          <w:sz w:val="24"/>
          <w:szCs w:val="24"/>
        </w:rPr>
        <w:t>Symptomatisk behandling skal iværksættes.</w:t>
      </w:r>
    </w:p>
    <w:p w14:paraId="483D56CC" w14:textId="77777777" w:rsidR="009260DE" w:rsidRPr="00C84483" w:rsidRDefault="009260DE" w:rsidP="00744619">
      <w:pPr>
        <w:ind w:left="851"/>
        <w:rPr>
          <w:sz w:val="24"/>
          <w:szCs w:val="24"/>
        </w:rPr>
      </w:pPr>
    </w:p>
    <w:p w14:paraId="7437BBA1" w14:textId="77777777" w:rsidR="009260DE" w:rsidRPr="00C84483" w:rsidRDefault="009260DE" w:rsidP="009260DE">
      <w:pPr>
        <w:tabs>
          <w:tab w:val="left" w:pos="851"/>
        </w:tabs>
        <w:ind w:left="851" w:hanging="851"/>
        <w:rPr>
          <w:b/>
          <w:sz w:val="24"/>
          <w:szCs w:val="24"/>
        </w:rPr>
      </w:pPr>
      <w:r w:rsidRPr="00C84483">
        <w:rPr>
          <w:b/>
          <w:sz w:val="24"/>
          <w:szCs w:val="24"/>
        </w:rPr>
        <w:t>4.10</w:t>
      </w:r>
      <w:r w:rsidRPr="00C84483">
        <w:rPr>
          <w:b/>
          <w:sz w:val="24"/>
          <w:szCs w:val="24"/>
        </w:rPr>
        <w:tab/>
        <w:t>Udlevering</w:t>
      </w:r>
    </w:p>
    <w:p w14:paraId="1926026E" w14:textId="4C3C93C2" w:rsidR="009260DE" w:rsidRPr="00C84483" w:rsidRDefault="00B95197" w:rsidP="009260DE">
      <w:pPr>
        <w:tabs>
          <w:tab w:val="left" w:pos="851"/>
        </w:tabs>
        <w:ind w:left="851"/>
        <w:rPr>
          <w:sz w:val="24"/>
          <w:szCs w:val="24"/>
        </w:rPr>
      </w:pPr>
      <w:r>
        <w:rPr>
          <w:sz w:val="24"/>
          <w:szCs w:val="24"/>
        </w:rPr>
        <w:t>B</w:t>
      </w:r>
    </w:p>
    <w:p w14:paraId="62380203" w14:textId="77777777" w:rsidR="009260DE" w:rsidRPr="00C84483" w:rsidRDefault="009260DE" w:rsidP="009260DE">
      <w:pPr>
        <w:tabs>
          <w:tab w:val="left" w:pos="851"/>
        </w:tabs>
        <w:ind w:left="851"/>
        <w:rPr>
          <w:sz w:val="24"/>
          <w:szCs w:val="24"/>
        </w:rPr>
      </w:pPr>
    </w:p>
    <w:p w14:paraId="19B214F1" w14:textId="77777777" w:rsidR="009260DE" w:rsidRPr="00C84483" w:rsidRDefault="009260DE" w:rsidP="009260DE">
      <w:pPr>
        <w:tabs>
          <w:tab w:val="left" w:pos="851"/>
        </w:tabs>
        <w:ind w:left="851"/>
        <w:rPr>
          <w:sz w:val="24"/>
          <w:szCs w:val="24"/>
        </w:rPr>
      </w:pPr>
    </w:p>
    <w:p w14:paraId="5FDA31F2" w14:textId="77777777" w:rsidR="009260DE" w:rsidRPr="00C84483" w:rsidRDefault="009260DE" w:rsidP="009260DE">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50BB0D4B" w14:textId="77777777" w:rsidR="009260DE" w:rsidRPr="00C84483" w:rsidRDefault="009260DE" w:rsidP="009260DE">
      <w:pPr>
        <w:tabs>
          <w:tab w:val="left" w:pos="851"/>
        </w:tabs>
        <w:ind w:left="851"/>
        <w:rPr>
          <w:sz w:val="24"/>
          <w:szCs w:val="24"/>
        </w:rPr>
      </w:pPr>
    </w:p>
    <w:p w14:paraId="32F9E42B" w14:textId="77777777" w:rsidR="009260DE" w:rsidRPr="00C84483" w:rsidRDefault="009260DE" w:rsidP="009260DE">
      <w:pPr>
        <w:tabs>
          <w:tab w:val="num" w:pos="851"/>
        </w:tabs>
        <w:ind w:left="851" w:hanging="851"/>
        <w:rPr>
          <w:b/>
          <w:sz w:val="24"/>
          <w:szCs w:val="24"/>
        </w:rPr>
      </w:pPr>
      <w:r w:rsidRPr="00C84483">
        <w:rPr>
          <w:b/>
          <w:sz w:val="24"/>
          <w:szCs w:val="24"/>
        </w:rPr>
        <w:t>5.1</w:t>
      </w:r>
      <w:r w:rsidRPr="00C84483">
        <w:rPr>
          <w:b/>
          <w:sz w:val="24"/>
          <w:szCs w:val="24"/>
        </w:rPr>
        <w:tab/>
        <w:t>Farmakodynamiske egenskaber</w:t>
      </w:r>
    </w:p>
    <w:p w14:paraId="749A3412" w14:textId="7C936BBD" w:rsidR="00B95197" w:rsidRPr="00B95197" w:rsidRDefault="00B95197" w:rsidP="00744619">
      <w:pPr>
        <w:ind w:left="851"/>
        <w:rPr>
          <w:sz w:val="24"/>
          <w:szCs w:val="24"/>
        </w:rPr>
      </w:pPr>
      <w:r w:rsidRPr="00B95197">
        <w:rPr>
          <w:sz w:val="24"/>
          <w:szCs w:val="24"/>
        </w:rPr>
        <w:t>Farmakoterapeutisk klassifikation: Analgetika og antipyretika, anilider</w:t>
      </w:r>
      <w:r w:rsidR="00FE5144">
        <w:rPr>
          <w:sz w:val="24"/>
          <w:szCs w:val="24"/>
        </w:rPr>
        <w:t>,</w:t>
      </w:r>
      <w:r w:rsidRPr="00B95197">
        <w:rPr>
          <w:sz w:val="24"/>
          <w:szCs w:val="24"/>
        </w:rPr>
        <w:t xml:space="preserve"> ATC-kode: N02BE01.</w:t>
      </w:r>
    </w:p>
    <w:p w14:paraId="5ACC9B3C" w14:textId="77777777" w:rsidR="00B95197" w:rsidRPr="00B95197" w:rsidRDefault="00B95197" w:rsidP="00744619">
      <w:pPr>
        <w:ind w:left="851"/>
        <w:rPr>
          <w:sz w:val="24"/>
          <w:szCs w:val="24"/>
        </w:rPr>
      </w:pPr>
    </w:p>
    <w:p w14:paraId="766C4102" w14:textId="77777777" w:rsidR="00B95197" w:rsidRPr="00B95197" w:rsidRDefault="00B95197" w:rsidP="00744619">
      <w:pPr>
        <w:ind w:left="851"/>
        <w:rPr>
          <w:sz w:val="24"/>
          <w:szCs w:val="24"/>
        </w:rPr>
      </w:pPr>
      <w:r w:rsidRPr="00B95197">
        <w:rPr>
          <w:sz w:val="24"/>
          <w:szCs w:val="24"/>
        </w:rPr>
        <w:t>Paracetamol har analgetisk og antipyretisk virkning. Den analgetiske og antipyretiske virkningsmekanisme for paracetamol er ikke fuldt klarlagt. Sandsynligvis både perifer og central analgetisk effekt. Der er påvist en markant hæmning af prostaglandinsyntesen i centralnervesystemet, mens den perifere prostaglandinsyntese kun hæmmes i ringe grad. Endvidere hæmmer paracetamol virkningen af endogene pyrogener på den hypothalamiske temperaturregulering.</w:t>
      </w:r>
    </w:p>
    <w:p w14:paraId="6ABA06D8" w14:textId="3E9923A1" w:rsidR="00FE5144" w:rsidRDefault="00FE5144">
      <w:pPr>
        <w:rPr>
          <w:sz w:val="24"/>
          <w:szCs w:val="24"/>
        </w:rPr>
      </w:pPr>
      <w:r>
        <w:rPr>
          <w:sz w:val="24"/>
          <w:szCs w:val="24"/>
        </w:rPr>
        <w:br w:type="page"/>
      </w:r>
    </w:p>
    <w:p w14:paraId="13F8AC89" w14:textId="77777777" w:rsidR="009260DE" w:rsidRPr="00C84483" w:rsidRDefault="009260DE" w:rsidP="009260DE">
      <w:pPr>
        <w:tabs>
          <w:tab w:val="left" w:pos="851"/>
        </w:tabs>
        <w:ind w:left="851"/>
        <w:rPr>
          <w:sz w:val="24"/>
          <w:szCs w:val="24"/>
        </w:rPr>
      </w:pPr>
    </w:p>
    <w:p w14:paraId="7DA5725E" w14:textId="77777777" w:rsidR="009260DE" w:rsidRPr="00C84483" w:rsidRDefault="009260DE" w:rsidP="009260DE">
      <w:pPr>
        <w:tabs>
          <w:tab w:val="left" w:pos="851"/>
        </w:tabs>
        <w:ind w:left="851" w:hanging="851"/>
        <w:rPr>
          <w:b/>
          <w:sz w:val="24"/>
          <w:szCs w:val="24"/>
        </w:rPr>
      </w:pPr>
      <w:r w:rsidRPr="00C84483">
        <w:rPr>
          <w:b/>
          <w:sz w:val="24"/>
          <w:szCs w:val="24"/>
        </w:rPr>
        <w:t>5.2</w:t>
      </w:r>
      <w:r w:rsidRPr="00C84483">
        <w:rPr>
          <w:b/>
          <w:sz w:val="24"/>
          <w:szCs w:val="24"/>
        </w:rPr>
        <w:tab/>
        <w:t>Farmakokinetiske egenskaber</w:t>
      </w:r>
    </w:p>
    <w:p w14:paraId="761FDBA8" w14:textId="77777777" w:rsidR="00D05E0F" w:rsidRDefault="00D05E0F" w:rsidP="00744619">
      <w:pPr>
        <w:ind w:left="851"/>
        <w:rPr>
          <w:sz w:val="24"/>
          <w:szCs w:val="24"/>
          <w:u w:val="single"/>
        </w:rPr>
      </w:pPr>
    </w:p>
    <w:p w14:paraId="37DFF7E3" w14:textId="023CEB69" w:rsidR="00B95197" w:rsidRPr="00B95197" w:rsidRDefault="00B95197" w:rsidP="00744619">
      <w:pPr>
        <w:ind w:left="851"/>
        <w:rPr>
          <w:sz w:val="24"/>
          <w:szCs w:val="24"/>
          <w:u w:val="single"/>
        </w:rPr>
      </w:pPr>
      <w:r w:rsidRPr="00B95197">
        <w:rPr>
          <w:sz w:val="24"/>
          <w:szCs w:val="24"/>
          <w:u w:val="single"/>
        </w:rPr>
        <w:t>Absorption</w:t>
      </w:r>
    </w:p>
    <w:p w14:paraId="26359662" w14:textId="45FFBD77" w:rsidR="00B95197" w:rsidRPr="00B95197" w:rsidRDefault="00B95197" w:rsidP="00744619">
      <w:pPr>
        <w:ind w:left="851"/>
        <w:rPr>
          <w:sz w:val="24"/>
          <w:szCs w:val="24"/>
        </w:rPr>
      </w:pPr>
      <w:r w:rsidRPr="00B95197">
        <w:rPr>
          <w:sz w:val="24"/>
          <w:szCs w:val="24"/>
        </w:rPr>
        <w:t>Efter oral indgift absorberes paracetamol hurtigt og næsten fuldstændigt. Maksimal plasmakoncentration opnås efter 30 minutter til 2 timer, afhængigt af lægemiddel</w:t>
      </w:r>
      <w:r w:rsidR="00FE5144">
        <w:rPr>
          <w:sz w:val="24"/>
          <w:szCs w:val="24"/>
        </w:rPr>
        <w:softHyphen/>
      </w:r>
      <w:r w:rsidRPr="00B95197">
        <w:rPr>
          <w:sz w:val="24"/>
          <w:szCs w:val="24"/>
        </w:rPr>
        <w:t>formulering og ernæringstilstand (paracetamol kan indtages uafhængigt af fødeindtag). Den gennemsnitlige biotilgængelighed efter oral indgift er ca. 80 % som følge af første</w:t>
      </w:r>
      <w:r w:rsidRPr="00B95197">
        <w:rPr>
          <w:sz w:val="24"/>
          <w:szCs w:val="24"/>
        </w:rPr>
        <w:noBreakHyphen/>
        <w:t>passage</w:t>
      </w:r>
      <w:r w:rsidRPr="00B95197">
        <w:rPr>
          <w:sz w:val="24"/>
          <w:szCs w:val="24"/>
        </w:rPr>
        <w:noBreakHyphen/>
        <w:t>metabolisme i leveren, uanset dosis.</w:t>
      </w:r>
    </w:p>
    <w:p w14:paraId="70D6FC0D" w14:textId="77777777" w:rsidR="00B95197" w:rsidRPr="00B95197" w:rsidRDefault="00B95197" w:rsidP="00744619">
      <w:pPr>
        <w:ind w:left="851"/>
        <w:rPr>
          <w:sz w:val="24"/>
          <w:szCs w:val="24"/>
          <w:u w:val="single"/>
        </w:rPr>
      </w:pPr>
    </w:p>
    <w:p w14:paraId="02905F62" w14:textId="77777777" w:rsidR="00B95197" w:rsidRPr="00B95197" w:rsidRDefault="00B95197" w:rsidP="00744619">
      <w:pPr>
        <w:ind w:left="851"/>
        <w:rPr>
          <w:sz w:val="24"/>
          <w:szCs w:val="24"/>
          <w:u w:val="single"/>
        </w:rPr>
      </w:pPr>
      <w:r w:rsidRPr="00B95197">
        <w:rPr>
          <w:sz w:val="24"/>
          <w:szCs w:val="24"/>
          <w:u w:val="single"/>
        </w:rPr>
        <w:t>Fordeling</w:t>
      </w:r>
    </w:p>
    <w:p w14:paraId="77A7F25D" w14:textId="77777777" w:rsidR="00B95197" w:rsidRPr="00B95197" w:rsidRDefault="00B95197" w:rsidP="00744619">
      <w:pPr>
        <w:ind w:left="851"/>
        <w:rPr>
          <w:sz w:val="24"/>
          <w:szCs w:val="24"/>
        </w:rPr>
      </w:pPr>
      <w:r w:rsidRPr="00B95197">
        <w:rPr>
          <w:sz w:val="24"/>
          <w:szCs w:val="24"/>
        </w:rPr>
        <w:t>Paracetamols distributionsvolumen er ca. 1 l/kg kropsvægt. Ved terapeutiske doser er proteinbindingen i plasma ubetydelig. Koncentrationen i spyt og modermælk er relateret til koncentrationen i plasma.</w:t>
      </w:r>
    </w:p>
    <w:p w14:paraId="0109C9BC" w14:textId="77777777" w:rsidR="00B95197" w:rsidRPr="00B95197" w:rsidRDefault="00B95197" w:rsidP="00744619">
      <w:pPr>
        <w:ind w:left="851"/>
        <w:rPr>
          <w:sz w:val="24"/>
          <w:szCs w:val="24"/>
          <w:u w:val="single"/>
        </w:rPr>
      </w:pPr>
    </w:p>
    <w:p w14:paraId="6F8CE3B9" w14:textId="77777777" w:rsidR="00B95197" w:rsidRPr="00B95197" w:rsidRDefault="00B95197" w:rsidP="00744619">
      <w:pPr>
        <w:ind w:left="851"/>
        <w:rPr>
          <w:sz w:val="24"/>
          <w:szCs w:val="24"/>
          <w:u w:val="single"/>
        </w:rPr>
      </w:pPr>
      <w:r w:rsidRPr="00B95197">
        <w:rPr>
          <w:sz w:val="24"/>
          <w:szCs w:val="24"/>
          <w:u w:val="single"/>
        </w:rPr>
        <w:t>Biotransformation</w:t>
      </w:r>
    </w:p>
    <w:p w14:paraId="0B09136B" w14:textId="10EEFA62" w:rsidR="00B95197" w:rsidRPr="00B95197" w:rsidRDefault="00B95197" w:rsidP="00744619">
      <w:pPr>
        <w:ind w:left="851"/>
        <w:rPr>
          <w:sz w:val="24"/>
          <w:szCs w:val="24"/>
        </w:rPr>
      </w:pPr>
      <w:r w:rsidRPr="00B95197">
        <w:rPr>
          <w:sz w:val="24"/>
          <w:szCs w:val="24"/>
        </w:rPr>
        <w:t>Metabolisme er næsten den eneste udskillelsesvej for paracetamol. Paracetamol konjugeres i leveren hos voksne hovedsageligt med glucuronsyre via uridin</w:t>
      </w:r>
      <w:r w:rsidRPr="00B95197">
        <w:rPr>
          <w:sz w:val="24"/>
          <w:szCs w:val="24"/>
        </w:rPr>
        <w:noBreakHyphen/>
        <w:t>5′</w:t>
      </w:r>
      <w:r w:rsidRPr="00B95197">
        <w:rPr>
          <w:sz w:val="24"/>
          <w:szCs w:val="24"/>
        </w:rPr>
        <w:noBreakHyphen/>
        <w:t>diphospho</w:t>
      </w:r>
      <w:r w:rsidRPr="00B95197">
        <w:rPr>
          <w:sz w:val="24"/>
          <w:szCs w:val="24"/>
        </w:rPr>
        <w:noBreakHyphen/>
        <w:t>glucurono</w:t>
      </w:r>
      <w:r w:rsidR="00D05E0F">
        <w:rPr>
          <w:sz w:val="24"/>
          <w:szCs w:val="24"/>
        </w:rPr>
        <w:softHyphen/>
      </w:r>
      <w:r w:rsidRPr="00B95197">
        <w:rPr>
          <w:sz w:val="24"/>
          <w:szCs w:val="24"/>
        </w:rPr>
        <w:t>syltransferase (UGT) 1A1 (ca. 60 %), med sulfat via sulfotransferase (SULT) 1A1 (ca. 35</w:t>
      </w:r>
      <w:r w:rsidR="00D05E0F">
        <w:rPr>
          <w:sz w:val="24"/>
          <w:szCs w:val="24"/>
        </w:rPr>
        <w:t> </w:t>
      </w:r>
      <w:r w:rsidRPr="00B95197">
        <w:rPr>
          <w:sz w:val="24"/>
          <w:szCs w:val="24"/>
        </w:rPr>
        <w:t>%) og med cystein via N</w:t>
      </w:r>
      <w:r w:rsidRPr="00B95197">
        <w:rPr>
          <w:sz w:val="24"/>
          <w:szCs w:val="24"/>
        </w:rPr>
        <w:noBreakHyphen/>
        <w:t>acetylcystein</w:t>
      </w:r>
      <w:r w:rsidRPr="00B95197">
        <w:rPr>
          <w:sz w:val="24"/>
          <w:szCs w:val="24"/>
        </w:rPr>
        <w:noBreakHyphen/>
        <w:t>transferase (NAT) (ca. 3 %). En lille andel (ca. 5</w:t>
      </w:r>
      <w:r w:rsidR="00D05E0F">
        <w:rPr>
          <w:sz w:val="24"/>
          <w:szCs w:val="24"/>
        </w:rPr>
        <w:t> </w:t>
      </w:r>
      <w:r w:rsidRPr="00B95197">
        <w:rPr>
          <w:sz w:val="24"/>
          <w:szCs w:val="24"/>
        </w:rPr>
        <w:t>%) af paracetamol metaboliseres via cytokrom P450</w:t>
      </w:r>
      <w:r w:rsidRPr="00B95197">
        <w:rPr>
          <w:sz w:val="24"/>
          <w:szCs w:val="24"/>
        </w:rPr>
        <w:noBreakHyphen/>
        <w:t>enzymerne (CYP) 2E1 og 2D6 til en stærkt reaktiv metabolit (N</w:t>
      </w:r>
      <w:r w:rsidRPr="00B95197">
        <w:rPr>
          <w:sz w:val="24"/>
          <w:szCs w:val="24"/>
        </w:rPr>
        <w:noBreakHyphen/>
        <w:t>acetyl</w:t>
      </w:r>
      <w:r w:rsidRPr="00B95197">
        <w:rPr>
          <w:sz w:val="24"/>
          <w:szCs w:val="24"/>
        </w:rPr>
        <w:noBreakHyphen/>
        <w:t>p</w:t>
      </w:r>
      <w:r w:rsidRPr="00B95197">
        <w:rPr>
          <w:sz w:val="24"/>
          <w:szCs w:val="24"/>
        </w:rPr>
        <w:noBreakHyphen/>
        <w:t>benzoquinonimin), som normalt hurtigt inaktiveres ved konjugering med glutathion via glutathion</w:t>
      </w:r>
      <w:r w:rsidRPr="00B95197">
        <w:rPr>
          <w:sz w:val="24"/>
          <w:szCs w:val="24"/>
        </w:rPr>
        <w:noBreakHyphen/>
        <w:t>S</w:t>
      </w:r>
      <w:r w:rsidRPr="00B95197">
        <w:rPr>
          <w:sz w:val="24"/>
          <w:szCs w:val="24"/>
        </w:rPr>
        <w:noBreakHyphen/>
        <w:t>transferase (GST). Overdosering kan udtømme glutathiondepoterne og dermed føre til akut leverskade.</w:t>
      </w:r>
    </w:p>
    <w:p w14:paraId="763A9B67" w14:textId="77777777" w:rsidR="00B95197" w:rsidRPr="00B95197" w:rsidRDefault="00B95197" w:rsidP="00744619">
      <w:pPr>
        <w:ind w:left="851"/>
        <w:rPr>
          <w:sz w:val="24"/>
          <w:szCs w:val="24"/>
          <w:u w:val="single"/>
        </w:rPr>
      </w:pPr>
    </w:p>
    <w:p w14:paraId="4168ACB6" w14:textId="77777777" w:rsidR="00B95197" w:rsidRPr="00B95197" w:rsidRDefault="00B95197" w:rsidP="00744619">
      <w:pPr>
        <w:ind w:left="851"/>
        <w:rPr>
          <w:sz w:val="24"/>
          <w:szCs w:val="24"/>
          <w:u w:val="single"/>
        </w:rPr>
      </w:pPr>
      <w:r w:rsidRPr="00B95197">
        <w:rPr>
          <w:sz w:val="24"/>
          <w:szCs w:val="24"/>
          <w:u w:val="single"/>
        </w:rPr>
        <w:t>Elimination</w:t>
      </w:r>
    </w:p>
    <w:p w14:paraId="67B6AA57" w14:textId="43387567" w:rsidR="00B95197" w:rsidRPr="00B95197" w:rsidRDefault="00B95197" w:rsidP="00744619">
      <w:pPr>
        <w:ind w:left="851"/>
        <w:rPr>
          <w:sz w:val="24"/>
          <w:szCs w:val="24"/>
        </w:rPr>
      </w:pPr>
      <w:r w:rsidRPr="00B95197">
        <w:rPr>
          <w:sz w:val="24"/>
          <w:szCs w:val="24"/>
        </w:rPr>
        <w:t>Paracetamol udskilles hovedsageligt via urinen. 90 % af den indtagne dosis udskilles via nyrerne inden for 24 timer, hovedsageligt i form af glucuronid (60</w:t>
      </w:r>
      <w:r w:rsidRPr="00B95197">
        <w:rPr>
          <w:sz w:val="24"/>
          <w:szCs w:val="24"/>
        </w:rPr>
        <w:noBreakHyphen/>
        <w:t>80 %) og sulfatkonjugat (20</w:t>
      </w:r>
      <w:r w:rsidRPr="00B95197">
        <w:rPr>
          <w:sz w:val="24"/>
          <w:szCs w:val="24"/>
        </w:rPr>
        <w:noBreakHyphen/>
        <w:t>30 %), samt ca. 5 % uomdannet. Eliminationshalveringstiden varierer fra 1 til 4 timer med et gennemsnit på 2,3 timer hos raske frivillige. Den totale kropsclearance er 5</w:t>
      </w:r>
      <w:r w:rsidR="00D05E0F">
        <w:rPr>
          <w:sz w:val="24"/>
          <w:szCs w:val="24"/>
        </w:rPr>
        <w:t> </w:t>
      </w:r>
      <w:r w:rsidRPr="00B95197">
        <w:rPr>
          <w:sz w:val="24"/>
          <w:szCs w:val="24"/>
        </w:rPr>
        <w:t>ml/min/kg kropsvægt. Den renale clearance af paracetamol er ca. 10 ml/min.</w:t>
      </w:r>
    </w:p>
    <w:p w14:paraId="65B1BED8" w14:textId="77777777" w:rsidR="00B95197" w:rsidRPr="00B95197" w:rsidRDefault="00B95197" w:rsidP="00744619">
      <w:pPr>
        <w:ind w:left="851"/>
        <w:rPr>
          <w:sz w:val="24"/>
          <w:szCs w:val="24"/>
          <w:u w:val="single"/>
        </w:rPr>
      </w:pPr>
    </w:p>
    <w:p w14:paraId="6EF34C3E" w14:textId="77777777" w:rsidR="00B95197" w:rsidRPr="00B95197" w:rsidRDefault="00B95197" w:rsidP="00744619">
      <w:pPr>
        <w:ind w:left="851"/>
        <w:rPr>
          <w:b/>
          <w:bCs/>
          <w:sz w:val="24"/>
          <w:szCs w:val="24"/>
        </w:rPr>
      </w:pPr>
      <w:r w:rsidRPr="00B95197">
        <w:rPr>
          <w:b/>
          <w:bCs/>
          <w:sz w:val="24"/>
          <w:szCs w:val="24"/>
        </w:rPr>
        <w:t>Særlige populationer</w:t>
      </w:r>
    </w:p>
    <w:p w14:paraId="06C0D652" w14:textId="77777777" w:rsidR="00B95197" w:rsidRPr="00B95197" w:rsidRDefault="00B95197" w:rsidP="00744619">
      <w:pPr>
        <w:ind w:left="851"/>
        <w:rPr>
          <w:sz w:val="24"/>
          <w:szCs w:val="24"/>
        </w:rPr>
      </w:pPr>
    </w:p>
    <w:p w14:paraId="2EEABB91" w14:textId="77777777" w:rsidR="00B95197" w:rsidRPr="00B95197" w:rsidRDefault="00B95197" w:rsidP="00744619">
      <w:pPr>
        <w:ind w:left="851"/>
        <w:rPr>
          <w:i/>
          <w:iCs/>
          <w:sz w:val="24"/>
          <w:szCs w:val="24"/>
        </w:rPr>
      </w:pPr>
      <w:r w:rsidRPr="00B95197">
        <w:rPr>
          <w:i/>
          <w:iCs/>
          <w:sz w:val="24"/>
          <w:szCs w:val="24"/>
        </w:rPr>
        <w:t>Nedsat nyrefunktion</w:t>
      </w:r>
    </w:p>
    <w:p w14:paraId="7E2A70DB" w14:textId="77777777" w:rsidR="00B95197" w:rsidRPr="00B95197" w:rsidRDefault="00B95197" w:rsidP="00744619">
      <w:pPr>
        <w:ind w:left="851"/>
        <w:rPr>
          <w:sz w:val="24"/>
          <w:szCs w:val="24"/>
        </w:rPr>
      </w:pPr>
      <w:r w:rsidRPr="00B95197">
        <w:rPr>
          <w:sz w:val="24"/>
          <w:szCs w:val="24"/>
        </w:rPr>
        <w:t>Der er ikke påvist ændringer i paracetamols farmakokinetik hos patienter med nyresygdom. Svær nyresygdom medfører dog akkumulering af farmakologisk inaktive paracetamolkonjugater. Ved nedsat nyrefunktion bør dosis reduceres (se pkt. 4.2).</w:t>
      </w:r>
    </w:p>
    <w:p w14:paraId="3D3870D4" w14:textId="77777777" w:rsidR="00B95197" w:rsidRPr="00B95197" w:rsidRDefault="00B95197" w:rsidP="00744619">
      <w:pPr>
        <w:ind w:left="851"/>
        <w:rPr>
          <w:i/>
          <w:iCs/>
          <w:sz w:val="24"/>
          <w:szCs w:val="24"/>
        </w:rPr>
      </w:pPr>
    </w:p>
    <w:p w14:paraId="394D44D1" w14:textId="77777777" w:rsidR="00B95197" w:rsidRPr="00B95197" w:rsidRDefault="00B95197" w:rsidP="00744619">
      <w:pPr>
        <w:ind w:left="851"/>
        <w:rPr>
          <w:i/>
          <w:iCs/>
          <w:sz w:val="24"/>
          <w:szCs w:val="24"/>
        </w:rPr>
      </w:pPr>
      <w:r w:rsidRPr="00B95197">
        <w:rPr>
          <w:i/>
          <w:iCs/>
          <w:sz w:val="24"/>
          <w:szCs w:val="24"/>
        </w:rPr>
        <w:t>Nedsat leverfunktion</w:t>
      </w:r>
    </w:p>
    <w:p w14:paraId="6455CA8F" w14:textId="77777777" w:rsidR="00B95197" w:rsidRPr="00B95197" w:rsidRDefault="00B95197" w:rsidP="00744619">
      <w:pPr>
        <w:ind w:left="851"/>
        <w:rPr>
          <w:sz w:val="24"/>
          <w:szCs w:val="24"/>
        </w:rPr>
      </w:pPr>
      <w:r w:rsidRPr="00B95197">
        <w:rPr>
          <w:sz w:val="24"/>
          <w:szCs w:val="24"/>
        </w:rPr>
        <w:t>Der er ikke påvist ændringer i farmakokinetikken hos patienter med leversygdom, bortset fra patienter med svær leversygdom. Ved nedsat leverfunktion er den totale kropsclearance nedsat, hvilket tyder på, at den metaboliske clearance stort set svarer til den totale kropsclearance. Hos patienter med nedsat leverfunktion eller Gilberts syndrom bør dosis reduceres eller doseringsintervallet forlænges.</w:t>
      </w:r>
    </w:p>
    <w:p w14:paraId="4A48B879" w14:textId="77777777" w:rsidR="00B95197" w:rsidRPr="00B95197" w:rsidRDefault="00B95197" w:rsidP="00744619">
      <w:pPr>
        <w:ind w:left="851"/>
        <w:rPr>
          <w:sz w:val="24"/>
          <w:szCs w:val="24"/>
        </w:rPr>
      </w:pPr>
    </w:p>
    <w:p w14:paraId="62D9E2B4" w14:textId="77777777" w:rsidR="00B95197" w:rsidRPr="00B95197" w:rsidRDefault="00B95197" w:rsidP="00744619">
      <w:pPr>
        <w:ind w:left="851"/>
        <w:rPr>
          <w:i/>
          <w:iCs/>
          <w:sz w:val="24"/>
          <w:szCs w:val="24"/>
        </w:rPr>
      </w:pPr>
      <w:r w:rsidRPr="00B95197">
        <w:rPr>
          <w:i/>
          <w:iCs/>
          <w:sz w:val="24"/>
          <w:szCs w:val="24"/>
        </w:rPr>
        <w:t>Pædiatrisk population</w:t>
      </w:r>
    </w:p>
    <w:p w14:paraId="5BDB110B" w14:textId="77777777" w:rsidR="00B95197" w:rsidRPr="00B95197" w:rsidRDefault="00B95197" w:rsidP="00744619">
      <w:pPr>
        <w:ind w:left="851"/>
        <w:rPr>
          <w:sz w:val="24"/>
          <w:szCs w:val="24"/>
        </w:rPr>
      </w:pPr>
      <w:r w:rsidRPr="00B95197">
        <w:rPr>
          <w:sz w:val="24"/>
          <w:szCs w:val="24"/>
        </w:rPr>
        <w:t>Hos nyfødte og børn op til 12 år er sulfatering den dominerende elimineringsvej, mens glucuronidering forekommer i mindre grad end hos voksne. Den samlede elimineringskapacitet hos børn er dog generelt sammenlignelig med den hos voksne på grund af en øget sulfateringskapacitet.</w:t>
      </w:r>
    </w:p>
    <w:p w14:paraId="7E29C449" w14:textId="77777777" w:rsidR="00B95197" w:rsidRPr="00B95197" w:rsidRDefault="00B95197" w:rsidP="00744619">
      <w:pPr>
        <w:ind w:left="851"/>
        <w:rPr>
          <w:sz w:val="24"/>
          <w:szCs w:val="24"/>
        </w:rPr>
      </w:pPr>
    </w:p>
    <w:p w14:paraId="235C16F0" w14:textId="77777777" w:rsidR="00B95197" w:rsidRPr="00B95197" w:rsidRDefault="00B95197" w:rsidP="00744619">
      <w:pPr>
        <w:ind w:left="851"/>
        <w:rPr>
          <w:i/>
          <w:iCs/>
          <w:sz w:val="24"/>
          <w:szCs w:val="24"/>
        </w:rPr>
      </w:pPr>
      <w:r w:rsidRPr="00B95197">
        <w:rPr>
          <w:i/>
          <w:iCs/>
          <w:sz w:val="24"/>
          <w:szCs w:val="24"/>
        </w:rPr>
        <w:t>Andre særlige populationer</w:t>
      </w:r>
    </w:p>
    <w:p w14:paraId="1EE8B6C1" w14:textId="77777777" w:rsidR="00B95197" w:rsidRPr="00B95197" w:rsidRDefault="00B95197" w:rsidP="00744619">
      <w:pPr>
        <w:numPr>
          <w:ilvl w:val="0"/>
          <w:numId w:val="10"/>
        </w:numPr>
        <w:tabs>
          <w:tab w:val="clear" w:pos="720"/>
        </w:tabs>
        <w:ind w:left="1276" w:hanging="425"/>
        <w:rPr>
          <w:sz w:val="24"/>
          <w:szCs w:val="24"/>
        </w:rPr>
      </w:pPr>
      <w:r w:rsidRPr="00B95197">
        <w:rPr>
          <w:sz w:val="24"/>
          <w:szCs w:val="24"/>
        </w:rPr>
        <w:t>Der er ikke påvist ændringer i farmakokinetikken hos patienter med thyroidealidelser eller gastrointestinale lidelser.</w:t>
      </w:r>
    </w:p>
    <w:p w14:paraId="60B7BB1D" w14:textId="77777777" w:rsidR="00B95197" w:rsidRPr="00B95197" w:rsidRDefault="00B95197" w:rsidP="00744619">
      <w:pPr>
        <w:numPr>
          <w:ilvl w:val="0"/>
          <w:numId w:val="10"/>
        </w:numPr>
        <w:tabs>
          <w:tab w:val="clear" w:pos="720"/>
        </w:tabs>
        <w:ind w:left="1276" w:hanging="425"/>
        <w:rPr>
          <w:sz w:val="24"/>
          <w:szCs w:val="24"/>
        </w:rPr>
      </w:pPr>
      <w:r w:rsidRPr="00B95197">
        <w:rPr>
          <w:sz w:val="24"/>
          <w:szCs w:val="24"/>
        </w:rPr>
        <w:t>Hos ældre er konjugeringskapaciteten uændret.</w:t>
      </w:r>
    </w:p>
    <w:p w14:paraId="5373CC5F" w14:textId="77777777" w:rsidR="009260DE" w:rsidRPr="00C84483" w:rsidRDefault="009260DE" w:rsidP="009260DE">
      <w:pPr>
        <w:tabs>
          <w:tab w:val="left" w:pos="851"/>
        </w:tabs>
        <w:ind w:left="851"/>
        <w:rPr>
          <w:sz w:val="24"/>
          <w:szCs w:val="24"/>
        </w:rPr>
      </w:pPr>
    </w:p>
    <w:p w14:paraId="1C7443A9" w14:textId="77777777" w:rsidR="009260DE" w:rsidRPr="00C84483" w:rsidRDefault="009260DE" w:rsidP="009260DE">
      <w:pPr>
        <w:tabs>
          <w:tab w:val="left" w:pos="851"/>
        </w:tabs>
        <w:ind w:left="851" w:hanging="851"/>
        <w:rPr>
          <w:b/>
          <w:sz w:val="24"/>
          <w:szCs w:val="24"/>
        </w:rPr>
      </w:pPr>
      <w:r w:rsidRPr="00C84483">
        <w:rPr>
          <w:b/>
          <w:sz w:val="24"/>
          <w:szCs w:val="24"/>
        </w:rPr>
        <w:t>5.3</w:t>
      </w:r>
      <w:r w:rsidRPr="00C84483">
        <w:rPr>
          <w:b/>
          <w:sz w:val="24"/>
          <w:szCs w:val="24"/>
        </w:rPr>
        <w:tab/>
      </w:r>
      <w:r w:rsidR="00BD7931">
        <w:rPr>
          <w:b/>
          <w:sz w:val="24"/>
          <w:szCs w:val="24"/>
        </w:rPr>
        <w:t>Non-</w:t>
      </w:r>
      <w:r w:rsidRPr="00C84483">
        <w:rPr>
          <w:b/>
          <w:sz w:val="24"/>
          <w:szCs w:val="24"/>
        </w:rPr>
        <w:t>kliniske sikkerhedsdata</w:t>
      </w:r>
    </w:p>
    <w:p w14:paraId="7362AA5E" w14:textId="77777777" w:rsidR="00B95197" w:rsidRPr="00B95197" w:rsidRDefault="00B95197" w:rsidP="00006F0D">
      <w:pPr>
        <w:ind w:left="851"/>
        <w:rPr>
          <w:sz w:val="24"/>
          <w:szCs w:val="24"/>
        </w:rPr>
      </w:pPr>
      <w:r w:rsidRPr="00B95197">
        <w:rPr>
          <w:sz w:val="24"/>
          <w:szCs w:val="24"/>
        </w:rPr>
        <w:t>Omfattende undersøgelser har ikke påvist evidens for en relevant genotoksisk risiko for paracetamol inden for det terapeutiske, dvs. ikke</w:t>
      </w:r>
      <w:r w:rsidRPr="00B95197">
        <w:rPr>
          <w:sz w:val="24"/>
          <w:szCs w:val="24"/>
        </w:rPr>
        <w:noBreakHyphen/>
        <w:t>toksiske dosisinterval.</w:t>
      </w:r>
    </w:p>
    <w:p w14:paraId="2B2ECB17" w14:textId="77777777" w:rsidR="00B95197" w:rsidRPr="00B95197" w:rsidRDefault="00B95197" w:rsidP="00006F0D">
      <w:pPr>
        <w:ind w:left="851"/>
        <w:rPr>
          <w:sz w:val="24"/>
          <w:szCs w:val="24"/>
        </w:rPr>
      </w:pPr>
    </w:p>
    <w:p w14:paraId="3D31FD68" w14:textId="77777777" w:rsidR="00B95197" w:rsidRPr="00B95197" w:rsidRDefault="00B95197" w:rsidP="00006F0D">
      <w:pPr>
        <w:ind w:left="851"/>
        <w:rPr>
          <w:sz w:val="24"/>
          <w:szCs w:val="24"/>
        </w:rPr>
      </w:pPr>
      <w:r w:rsidRPr="00B95197">
        <w:rPr>
          <w:sz w:val="24"/>
          <w:szCs w:val="24"/>
        </w:rPr>
        <w:t>Langtidsstudier i rotter og mus indikerer ingen relevante tumorigene effekter ved ikke</w:t>
      </w:r>
      <w:r w:rsidRPr="00B95197">
        <w:rPr>
          <w:sz w:val="24"/>
          <w:szCs w:val="24"/>
        </w:rPr>
        <w:noBreakHyphen/>
        <w:t>hepatotoksiske doser af paracetamol.</w:t>
      </w:r>
    </w:p>
    <w:p w14:paraId="41D366A2" w14:textId="77777777" w:rsidR="00B95197" w:rsidRPr="00B95197" w:rsidRDefault="00B95197" w:rsidP="00006F0D">
      <w:pPr>
        <w:ind w:left="851"/>
        <w:rPr>
          <w:sz w:val="24"/>
          <w:szCs w:val="24"/>
        </w:rPr>
      </w:pPr>
    </w:p>
    <w:p w14:paraId="6615253F" w14:textId="77777777" w:rsidR="00B95197" w:rsidRPr="00B95197" w:rsidRDefault="00B95197" w:rsidP="00006F0D">
      <w:pPr>
        <w:ind w:left="851"/>
        <w:rPr>
          <w:sz w:val="24"/>
          <w:szCs w:val="24"/>
        </w:rPr>
      </w:pPr>
      <w:r w:rsidRPr="00B95197">
        <w:rPr>
          <w:sz w:val="24"/>
          <w:szCs w:val="24"/>
        </w:rPr>
        <w:t>Konventionelle undersøgelser, udført i overensstemmelse med de aktuelt accepterede standarder for vurdering af reproduktions</w:t>
      </w:r>
      <w:r w:rsidRPr="00B95197">
        <w:rPr>
          <w:sz w:val="24"/>
          <w:szCs w:val="24"/>
        </w:rPr>
        <w:noBreakHyphen/>
        <w:t xml:space="preserve"> og udviklingstoksicitet, foreligger ikke.</w:t>
      </w:r>
    </w:p>
    <w:p w14:paraId="4AEC1448" w14:textId="77777777" w:rsidR="009260DE" w:rsidRPr="00C84483" w:rsidRDefault="009260DE" w:rsidP="009260DE">
      <w:pPr>
        <w:tabs>
          <w:tab w:val="left" w:pos="851"/>
        </w:tabs>
        <w:ind w:left="851"/>
        <w:rPr>
          <w:sz w:val="24"/>
          <w:szCs w:val="24"/>
        </w:rPr>
      </w:pPr>
    </w:p>
    <w:p w14:paraId="5DD2E632" w14:textId="77777777" w:rsidR="009260DE" w:rsidRPr="00C84483" w:rsidRDefault="009260DE" w:rsidP="009260DE">
      <w:pPr>
        <w:tabs>
          <w:tab w:val="left" w:pos="851"/>
        </w:tabs>
        <w:ind w:left="851"/>
        <w:rPr>
          <w:sz w:val="24"/>
          <w:szCs w:val="24"/>
        </w:rPr>
      </w:pPr>
    </w:p>
    <w:p w14:paraId="7ED5F669" w14:textId="77777777" w:rsidR="009260DE" w:rsidRPr="00C84483" w:rsidRDefault="009260DE" w:rsidP="009260DE">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715B09B6" w14:textId="77777777" w:rsidR="009260DE" w:rsidRPr="00BA09F1" w:rsidRDefault="009260DE" w:rsidP="009260DE">
      <w:pPr>
        <w:tabs>
          <w:tab w:val="left" w:pos="851"/>
        </w:tabs>
        <w:ind w:left="851"/>
        <w:rPr>
          <w:sz w:val="24"/>
          <w:szCs w:val="24"/>
        </w:rPr>
      </w:pPr>
    </w:p>
    <w:p w14:paraId="4C9076CA" w14:textId="77777777" w:rsidR="009260DE" w:rsidRPr="00C84483" w:rsidRDefault="009260DE" w:rsidP="009260DE">
      <w:pPr>
        <w:tabs>
          <w:tab w:val="left" w:pos="851"/>
        </w:tabs>
        <w:ind w:left="851" w:hanging="851"/>
        <w:rPr>
          <w:b/>
          <w:sz w:val="24"/>
          <w:szCs w:val="24"/>
        </w:rPr>
      </w:pPr>
      <w:r w:rsidRPr="00C84483">
        <w:rPr>
          <w:b/>
          <w:sz w:val="24"/>
          <w:szCs w:val="24"/>
        </w:rPr>
        <w:t>6.1</w:t>
      </w:r>
      <w:r w:rsidRPr="00C84483">
        <w:rPr>
          <w:b/>
          <w:sz w:val="24"/>
          <w:szCs w:val="24"/>
        </w:rPr>
        <w:tab/>
        <w:t>Hjælpestoffer</w:t>
      </w:r>
    </w:p>
    <w:p w14:paraId="018A24BC" w14:textId="77777777" w:rsidR="00B95197" w:rsidRPr="00B95197" w:rsidRDefault="00B95197" w:rsidP="00006F0D">
      <w:pPr>
        <w:ind w:left="851"/>
        <w:rPr>
          <w:sz w:val="24"/>
          <w:szCs w:val="24"/>
        </w:rPr>
      </w:pPr>
      <w:r w:rsidRPr="00B95197">
        <w:rPr>
          <w:sz w:val="24"/>
          <w:szCs w:val="24"/>
        </w:rPr>
        <w:t>Pregelatineret stivelse</w:t>
      </w:r>
    </w:p>
    <w:p w14:paraId="2BAFF1D3" w14:textId="77777777" w:rsidR="00B95197" w:rsidRPr="00B95197" w:rsidRDefault="00B95197" w:rsidP="00006F0D">
      <w:pPr>
        <w:ind w:left="851"/>
        <w:rPr>
          <w:sz w:val="24"/>
          <w:szCs w:val="24"/>
        </w:rPr>
      </w:pPr>
      <w:r w:rsidRPr="00B95197">
        <w:rPr>
          <w:sz w:val="24"/>
          <w:szCs w:val="24"/>
        </w:rPr>
        <w:t>Povidon K30</w:t>
      </w:r>
    </w:p>
    <w:p w14:paraId="17DD07F8" w14:textId="77777777" w:rsidR="00B95197" w:rsidRPr="00B95197" w:rsidRDefault="00B95197" w:rsidP="00006F0D">
      <w:pPr>
        <w:ind w:left="851"/>
        <w:rPr>
          <w:sz w:val="24"/>
          <w:szCs w:val="24"/>
        </w:rPr>
      </w:pPr>
      <w:r w:rsidRPr="00B95197">
        <w:rPr>
          <w:sz w:val="24"/>
          <w:szCs w:val="24"/>
        </w:rPr>
        <w:t>Stearinsyre</w:t>
      </w:r>
    </w:p>
    <w:p w14:paraId="2F010416" w14:textId="77777777" w:rsidR="009260DE" w:rsidRPr="00C84483" w:rsidRDefault="009260DE" w:rsidP="009260DE">
      <w:pPr>
        <w:tabs>
          <w:tab w:val="left" w:pos="851"/>
        </w:tabs>
        <w:ind w:left="851"/>
        <w:rPr>
          <w:sz w:val="24"/>
          <w:szCs w:val="24"/>
        </w:rPr>
      </w:pPr>
    </w:p>
    <w:p w14:paraId="55069689" w14:textId="77777777" w:rsidR="009260DE" w:rsidRPr="00C84483" w:rsidRDefault="009260DE" w:rsidP="009260DE">
      <w:pPr>
        <w:tabs>
          <w:tab w:val="left" w:pos="851"/>
        </w:tabs>
        <w:ind w:left="851" w:hanging="851"/>
        <w:rPr>
          <w:b/>
          <w:sz w:val="24"/>
          <w:szCs w:val="24"/>
        </w:rPr>
      </w:pPr>
      <w:r w:rsidRPr="00C84483">
        <w:rPr>
          <w:b/>
          <w:sz w:val="24"/>
          <w:szCs w:val="24"/>
        </w:rPr>
        <w:t>6.2</w:t>
      </w:r>
      <w:r w:rsidRPr="00C84483">
        <w:rPr>
          <w:b/>
          <w:sz w:val="24"/>
          <w:szCs w:val="24"/>
        </w:rPr>
        <w:tab/>
        <w:t>Uforligeligheder</w:t>
      </w:r>
    </w:p>
    <w:p w14:paraId="290B991F" w14:textId="77777777" w:rsidR="00B95197" w:rsidRPr="00B95197" w:rsidRDefault="00B95197" w:rsidP="00006F0D">
      <w:pPr>
        <w:ind w:left="851"/>
        <w:rPr>
          <w:sz w:val="24"/>
          <w:szCs w:val="24"/>
        </w:rPr>
      </w:pPr>
      <w:r w:rsidRPr="00B95197">
        <w:rPr>
          <w:sz w:val="24"/>
          <w:szCs w:val="24"/>
        </w:rPr>
        <w:t>Ikke relevant.</w:t>
      </w:r>
    </w:p>
    <w:p w14:paraId="726662EC" w14:textId="77777777" w:rsidR="009260DE" w:rsidRPr="00C84483" w:rsidRDefault="009260DE" w:rsidP="009260DE">
      <w:pPr>
        <w:tabs>
          <w:tab w:val="left" w:pos="851"/>
        </w:tabs>
        <w:ind w:left="851"/>
        <w:rPr>
          <w:sz w:val="24"/>
          <w:szCs w:val="24"/>
        </w:rPr>
      </w:pPr>
    </w:p>
    <w:p w14:paraId="5CEDDBE9" w14:textId="77777777" w:rsidR="009260DE" w:rsidRPr="00C84483" w:rsidRDefault="009260DE" w:rsidP="009260DE">
      <w:pPr>
        <w:tabs>
          <w:tab w:val="left" w:pos="851"/>
        </w:tabs>
        <w:ind w:left="851" w:hanging="851"/>
        <w:rPr>
          <w:b/>
          <w:sz w:val="24"/>
          <w:szCs w:val="24"/>
        </w:rPr>
      </w:pPr>
      <w:r w:rsidRPr="00C84483">
        <w:rPr>
          <w:b/>
          <w:sz w:val="24"/>
          <w:szCs w:val="24"/>
        </w:rPr>
        <w:t>6.3</w:t>
      </w:r>
      <w:r w:rsidRPr="00C84483">
        <w:rPr>
          <w:b/>
          <w:sz w:val="24"/>
          <w:szCs w:val="24"/>
        </w:rPr>
        <w:tab/>
        <w:t>Opbevaringstid</w:t>
      </w:r>
    </w:p>
    <w:p w14:paraId="1335B3E3" w14:textId="77777777" w:rsidR="00B95197" w:rsidRPr="00B95197" w:rsidRDefault="00B95197" w:rsidP="00006F0D">
      <w:pPr>
        <w:ind w:left="851"/>
        <w:rPr>
          <w:sz w:val="24"/>
          <w:szCs w:val="24"/>
        </w:rPr>
      </w:pPr>
      <w:r w:rsidRPr="00B95197">
        <w:rPr>
          <w:sz w:val="24"/>
          <w:szCs w:val="24"/>
        </w:rPr>
        <w:t>3 år.</w:t>
      </w:r>
    </w:p>
    <w:p w14:paraId="0DEC9514" w14:textId="77777777" w:rsidR="009260DE" w:rsidRPr="00C84483" w:rsidRDefault="009260DE" w:rsidP="009260DE">
      <w:pPr>
        <w:tabs>
          <w:tab w:val="left" w:pos="851"/>
        </w:tabs>
        <w:ind w:left="851"/>
        <w:rPr>
          <w:sz w:val="24"/>
          <w:szCs w:val="24"/>
        </w:rPr>
      </w:pPr>
    </w:p>
    <w:p w14:paraId="481FD158" w14:textId="77777777" w:rsidR="009260DE" w:rsidRPr="00C84483" w:rsidRDefault="009260DE" w:rsidP="009260DE">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5E19D68D" w14:textId="6FFD4323" w:rsidR="009260DE" w:rsidRDefault="00B95197" w:rsidP="00006F0D">
      <w:pPr>
        <w:ind w:left="851"/>
        <w:rPr>
          <w:sz w:val="24"/>
          <w:szCs w:val="24"/>
        </w:rPr>
      </w:pPr>
      <w:r w:rsidRPr="00B95197">
        <w:rPr>
          <w:sz w:val="24"/>
          <w:szCs w:val="24"/>
        </w:rPr>
        <w:t>Dette lægemiddel kræver ingen særlige forholdsregler vedrørende opbevaringen.</w:t>
      </w:r>
    </w:p>
    <w:p w14:paraId="70791554" w14:textId="77777777" w:rsidR="00B95197" w:rsidRPr="00C84483" w:rsidRDefault="00B95197" w:rsidP="009260DE">
      <w:pPr>
        <w:tabs>
          <w:tab w:val="left" w:pos="851"/>
        </w:tabs>
        <w:ind w:left="851"/>
        <w:rPr>
          <w:sz w:val="24"/>
          <w:szCs w:val="24"/>
        </w:rPr>
      </w:pPr>
    </w:p>
    <w:p w14:paraId="2048C7D3" w14:textId="77777777" w:rsidR="009260DE" w:rsidRPr="00C84483" w:rsidRDefault="009260DE" w:rsidP="009260DE">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76B93648" w14:textId="77777777" w:rsidR="00B95197" w:rsidRPr="00B95197" w:rsidRDefault="00B95197" w:rsidP="00006F0D">
      <w:pPr>
        <w:ind w:left="851"/>
        <w:rPr>
          <w:sz w:val="24"/>
          <w:szCs w:val="24"/>
        </w:rPr>
      </w:pPr>
      <w:r w:rsidRPr="00B95197">
        <w:rPr>
          <w:sz w:val="24"/>
          <w:szCs w:val="24"/>
        </w:rPr>
        <w:t>PVC/aluminium/pergamin ikke-perforerede blisterpakninger indeholdende 8, 10, 16, 20, 30, 40, 60, 90, 100, 120 tabletter.</w:t>
      </w:r>
    </w:p>
    <w:p w14:paraId="3A646B5B" w14:textId="13624C9F" w:rsidR="00B95197" w:rsidRPr="00B95197" w:rsidRDefault="00B95197" w:rsidP="00006F0D">
      <w:pPr>
        <w:ind w:left="851"/>
        <w:rPr>
          <w:sz w:val="24"/>
          <w:szCs w:val="24"/>
        </w:rPr>
      </w:pPr>
      <w:r w:rsidRPr="00B95197">
        <w:rPr>
          <w:sz w:val="24"/>
          <w:szCs w:val="24"/>
        </w:rPr>
        <w:t>PVC/aluminium/pergamin i perforerede enkeltdosisblisterpakninger indeholdende 8</w:t>
      </w:r>
      <w:r w:rsidR="00D05E0F" w:rsidRPr="00D05E0F">
        <w:rPr>
          <w:sz w:val="24"/>
          <w:szCs w:val="24"/>
        </w:rPr>
        <w:t>×</w:t>
      </w:r>
      <w:r w:rsidRPr="00B95197">
        <w:rPr>
          <w:sz w:val="24"/>
          <w:szCs w:val="24"/>
        </w:rPr>
        <w:t>1, 10</w:t>
      </w:r>
      <w:r w:rsidR="00D05E0F">
        <w:rPr>
          <w:sz w:val="24"/>
          <w:szCs w:val="24"/>
        </w:rPr>
        <w:t>×</w:t>
      </w:r>
      <w:r w:rsidRPr="00B95197">
        <w:rPr>
          <w:sz w:val="24"/>
          <w:szCs w:val="24"/>
        </w:rPr>
        <w:t>1, 16</w:t>
      </w:r>
      <w:r w:rsidR="00D05E0F" w:rsidRPr="00D05E0F">
        <w:rPr>
          <w:sz w:val="24"/>
          <w:szCs w:val="24"/>
        </w:rPr>
        <w:t>×</w:t>
      </w:r>
      <w:r w:rsidRPr="00B95197">
        <w:rPr>
          <w:sz w:val="24"/>
          <w:szCs w:val="24"/>
        </w:rPr>
        <w:t>1, 20</w:t>
      </w:r>
      <w:r w:rsidR="00D05E0F" w:rsidRPr="00D05E0F">
        <w:rPr>
          <w:sz w:val="24"/>
          <w:szCs w:val="24"/>
        </w:rPr>
        <w:t>×</w:t>
      </w:r>
      <w:r w:rsidRPr="00B95197">
        <w:rPr>
          <w:sz w:val="24"/>
          <w:szCs w:val="24"/>
        </w:rPr>
        <w:t>1, 30</w:t>
      </w:r>
      <w:r w:rsidR="00D05E0F" w:rsidRPr="00D05E0F">
        <w:rPr>
          <w:sz w:val="24"/>
          <w:szCs w:val="24"/>
        </w:rPr>
        <w:t>×</w:t>
      </w:r>
      <w:r w:rsidRPr="00B95197">
        <w:rPr>
          <w:sz w:val="24"/>
          <w:szCs w:val="24"/>
        </w:rPr>
        <w:t>1, 40</w:t>
      </w:r>
      <w:r w:rsidR="00D05E0F" w:rsidRPr="00D05E0F">
        <w:rPr>
          <w:sz w:val="24"/>
          <w:szCs w:val="24"/>
        </w:rPr>
        <w:t>×</w:t>
      </w:r>
      <w:r w:rsidRPr="00B95197">
        <w:rPr>
          <w:sz w:val="24"/>
          <w:szCs w:val="24"/>
        </w:rPr>
        <w:t>1, 60</w:t>
      </w:r>
      <w:r w:rsidR="00D05E0F" w:rsidRPr="00D05E0F">
        <w:rPr>
          <w:sz w:val="24"/>
          <w:szCs w:val="24"/>
        </w:rPr>
        <w:t>×</w:t>
      </w:r>
      <w:r w:rsidRPr="00B95197">
        <w:rPr>
          <w:sz w:val="24"/>
          <w:szCs w:val="24"/>
        </w:rPr>
        <w:t>1, 90</w:t>
      </w:r>
      <w:r w:rsidR="00D05E0F" w:rsidRPr="00D05E0F">
        <w:rPr>
          <w:sz w:val="24"/>
          <w:szCs w:val="24"/>
        </w:rPr>
        <w:t>×</w:t>
      </w:r>
      <w:r w:rsidRPr="00B95197">
        <w:rPr>
          <w:sz w:val="24"/>
          <w:szCs w:val="24"/>
        </w:rPr>
        <w:t>1, 100</w:t>
      </w:r>
      <w:r w:rsidR="00D05E0F" w:rsidRPr="00D05E0F">
        <w:rPr>
          <w:sz w:val="24"/>
          <w:szCs w:val="24"/>
        </w:rPr>
        <w:t>×</w:t>
      </w:r>
      <w:r w:rsidRPr="00B95197">
        <w:rPr>
          <w:sz w:val="24"/>
          <w:szCs w:val="24"/>
        </w:rPr>
        <w:t>1, 120</w:t>
      </w:r>
      <w:r w:rsidR="00D05E0F" w:rsidRPr="00D05E0F">
        <w:rPr>
          <w:sz w:val="24"/>
          <w:szCs w:val="24"/>
        </w:rPr>
        <w:t>×</w:t>
      </w:r>
      <w:r w:rsidRPr="00B95197">
        <w:rPr>
          <w:sz w:val="24"/>
          <w:szCs w:val="24"/>
        </w:rPr>
        <w:t xml:space="preserve">1 tabletter. </w:t>
      </w:r>
    </w:p>
    <w:p w14:paraId="39775DFF" w14:textId="77777777" w:rsidR="00B95197" w:rsidRPr="00B95197" w:rsidRDefault="00B95197" w:rsidP="00006F0D">
      <w:pPr>
        <w:ind w:left="851"/>
        <w:rPr>
          <w:sz w:val="24"/>
          <w:szCs w:val="24"/>
        </w:rPr>
      </w:pPr>
      <w:r w:rsidRPr="00B95197">
        <w:rPr>
          <w:sz w:val="24"/>
          <w:szCs w:val="24"/>
        </w:rPr>
        <w:t xml:space="preserve"> </w:t>
      </w:r>
    </w:p>
    <w:p w14:paraId="335DD49B" w14:textId="77777777" w:rsidR="00B95197" w:rsidRPr="00B95197" w:rsidRDefault="00B95197" w:rsidP="00006F0D">
      <w:pPr>
        <w:ind w:left="851"/>
        <w:rPr>
          <w:sz w:val="24"/>
          <w:szCs w:val="24"/>
        </w:rPr>
      </w:pPr>
      <w:r w:rsidRPr="00B95197">
        <w:rPr>
          <w:sz w:val="24"/>
          <w:szCs w:val="24"/>
        </w:rPr>
        <w:t>HDPE-beholdere med børnesikret låg eller skruelåg i polypropylen indeholdende 100, 300 tabletter pr. beholder.</w:t>
      </w:r>
    </w:p>
    <w:p w14:paraId="31B21766" w14:textId="77777777" w:rsidR="00B95197" w:rsidRPr="00B95197" w:rsidRDefault="00B95197" w:rsidP="00006F0D">
      <w:pPr>
        <w:ind w:left="851"/>
        <w:rPr>
          <w:sz w:val="24"/>
          <w:szCs w:val="24"/>
        </w:rPr>
      </w:pPr>
    </w:p>
    <w:p w14:paraId="18387CC6" w14:textId="77777777" w:rsidR="00B95197" w:rsidRPr="00B95197" w:rsidRDefault="00B95197" w:rsidP="00006F0D">
      <w:pPr>
        <w:ind w:left="851"/>
        <w:rPr>
          <w:sz w:val="24"/>
          <w:szCs w:val="24"/>
        </w:rPr>
      </w:pPr>
      <w:r w:rsidRPr="00B95197">
        <w:rPr>
          <w:sz w:val="24"/>
          <w:szCs w:val="24"/>
        </w:rPr>
        <w:t>Ikke alle pakningsstørrelser er nødvendigvis markedsført.</w:t>
      </w:r>
    </w:p>
    <w:p w14:paraId="1EAE26E6" w14:textId="77777777" w:rsidR="009260DE" w:rsidRPr="00C84483" w:rsidRDefault="009260DE" w:rsidP="009260DE">
      <w:pPr>
        <w:tabs>
          <w:tab w:val="left" w:pos="851"/>
        </w:tabs>
        <w:ind w:left="851"/>
        <w:rPr>
          <w:sz w:val="24"/>
          <w:szCs w:val="24"/>
        </w:rPr>
      </w:pPr>
    </w:p>
    <w:p w14:paraId="1A1710DC" w14:textId="77777777" w:rsidR="009260DE" w:rsidRPr="00C84483" w:rsidRDefault="009260DE" w:rsidP="009260DE">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BD7931">
        <w:rPr>
          <w:b/>
          <w:sz w:val="24"/>
          <w:szCs w:val="24"/>
        </w:rPr>
        <w:t>bortskaffelse</w:t>
      </w:r>
      <w:r w:rsidRPr="00C84483">
        <w:rPr>
          <w:b/>
          <w:sz w:val="24"/>
          <w:szCs w:val="24"/>
        </w:rPr>
        <w:t xml:space="preserve"> og anden håndtering</w:t>
      </w:r>
    </w:p>
    <w:p w14:paraId="7B4EE447" w14:textId="77777777" w:rsidR="00B95197" w:rsidRPr="00B95197" w:rsidRDefault="00B95197" w:rsidP="00006F0D">
      <w:pPr>
        <w:ind w:left="851"/>
        <w:rPr>
          <w:sz w:val="24"/>
          <w:szCs w:val="24"/>
        </w:rPr>
      </w:pPr>
      <w:r w:rsidRPr="00B95197">
        <w:rPr>
          <w:sz w:val="24"/>
          <w:szCs w:val="24"/>
        </w:rPr>
        <w:t>Ikke anvendt lægemiddel samt affald heraf skal bortskaffes i henhold til lokale retningslinjer.</w:t>
      </w:r>
    </w:p>
    <w:p w14:paraId="38288563" w14:textId="7F1452D2" w:rsidR="00FE5144" w:rsidRDefault="00FE5144">
      <w:pPr>
        <w:rPr>
          <w:sz w:val="24"/>
          <w:szCs w:val="24"/>
        </w:rPr>
      </w:pPr>
      <w:r>
        <w:rPr>
          <w:sz w:val="24"/>
          <w:szCs w:val="24"/>
        </w:rPr>
        <w:br w:type="page"/>
      </w:r>
    </w:p>
    <w:p w14:paraId="49BA4543" w14:textId="77777777" w:rsidR="009260DE" w:rsidRPr="00C84483" w:rsidRDefault="009260DE" w:rsidP="000730CA">
      <w:pPr>
        <w:tabs>
          <w:tab w:val="left" w:pos="851"/>
        </w:tabs>
        <w:ind w:left="851"/>
        <w:rPr>
          <w:sz w:val="24"/>
          <w:szCs w:val="24"/>
        </w:rPr>
      </w:pPr>
    </w:p>
    <w:p w14:paraId="0591F93E" w14:textId="77777777" w:rsidR="009260DE" w:rsidRPr="00C84483" w:rsidRDefault="009260DE" w:rsidP="009260DE">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1CFC3113" w14:textId="77777777" w:rsidR="00B95197" w:rsidRPr="00B95197" w:rsidRDefault="00B95197" w:rsidP="00006F0D">
      <w:pPr>
        <w:ind w:left="851"/>
        <w:rPr>
          <w:sz w:val="24"/>
          <w:szCs w:val="24"/>
        </w:rPr>
      </w:pPr>
      <w:r w:rsidRPr="00B95197">
        <w:rPr>
          <w:sz w:val="24"/>
          <w:szCs w:val="24"/>
        </w:rPr>
        <w:t>Teva B.V.</w:t>
      </w:r>
    </w:p>
    <w:p w14:paraId="11F372A2" w14:textId="77777777" w:rsidR="00B95197" w:rsidRPr="00B95197" w:rsidRDefault="00B95197" w:rsidP="00006F0D">
      <w:pPr>
        <w:ind w:left="851"/>
        <w:rPr>
          <w:sz w:val="24"/>
          <w:szCs w:val="24"/>
        </w:rPr>
      </w:pPr>
      <w:r w:rsidRPr="00B95197">
        <w:rPr>
          <w:sz w:val="24"/>
          <w:szCs w:val="24"/>
        </w:rPr>
        <w:t>Swensweg 5</w:t>
      </w:r>
    </w:p>
    <w:p w14:paraId="43816454" w14:textId="77777777" w:rsidR="00B95197" w:rsidRPr="00B95197" w:rsidRDefault="00B95197" w:rsidP="00006F0D">
      <w:pPr>
        <w:ind w:left="851"/>
        <w:rPr>
          <w:sz w:val="24"/>
          <w:szCs w:val="24"/>
        </w:rPr>
      </w:pPr>
      <w:r w:rsidRPr="00B95197">
        <w:rPr>
          <w:sz w:val="24"/>
          <w:szCs w:val="24"/>
        </w:rPr>
        <w:t>2031 GA Haarlem</w:t>
      </w:r>
    </w:p>
    <w:p w14:paraId="55F2BC30" w14:textId="77777777" w:rsidR="00B95197" w:rsidRPr="00B95197" w:rsidRDefault="00B95197" w:rsidP="00006F0D">
      <w:pPr>
        <w:ind w:left="851"/>
        <w:rPr>
          <w:sz w:val="24"/>
          <w:szCs w:val="24"/>
        </w:rPr>
      </w:pPr>
      <w:r w:rsidRPr="00B95197">
        <w:rPr>
          <w:sz w:val="24"/>
          <w:szCs w:val="24"/>
        </w:rPr>
        <w:t>Holland</w:t>
      </w:r>
    </w:p>
    <w:p w14:paraId="216BF5F5" w14:textId="77777777" w:rsidR="009260DE" w:rsidRDefault="009260DE" w:rsidP="00006F0D">
      <w:pPr>
        <w:ind w:left="851"/>
        <w:rPr>
          <w:sz w:val="24"/>
          <w:szCs w:val="24"/>
        </w:rPr>
      </w:pPr>
    </w:p>
    <w:p w14:paraId="45C78794" w14:textId="77777777" w:rsidR="00641C65" w:rsidRDefault="00641C65" w:rsidP="00006F0D">
      <w:pPr>
        <w:ind w:left="851"/>
        <w:rPr>
          <w:sz w:val="24"/>
          <w:szCs w:val="24"/>
        </w:rPr>
      </w:pPr>
      <w:r>
        <w:rPr>
          <w:b/>
          <w:sz w:val="24"/>
          <w:szCs w:val="24"/>
        </w:rPr>
        <w:t>Repræsentant</w:t>
      </w:r>
    </w:p>
    <w:p w14:paraId="5CED7B3F" w14:textId="77777777" w:rsidR="00B95197" w:rsidRPr="00B95197" w:rsidRDefault="00B95197" w:rsidP="00006F0D">
      <w:pPr>
        <w:ind w:left="851"/>
        <w:rPr>
          <w:sz w:val="24"/>
          <w:szCs w:val="24"/>
        </w:rPr>
      </w:pPr>
      <w:bookmarkStart w:id="1" w:name="_Hlk197079049"/>
      <w:r w:rsidRPr="00B95197">
        <w:rPr>
          <w:sz w:val="24"/>
          <w:szCs w:val="24"/>
        </w:rPr>
        <w:t>Teva Denmark A/S</w:t>
      </w:r>
    </w:p>
    <w:p w14:paraId="1D9E1860" w14:textId="77777777" w:rsidR="00B95197" w:rsidRPr="00B95197" w:rsidRDefault="00B95197" w:rsidP="00006F0D">
      <w:pPr>
        <w:ind w:left="851"/>
        <w:rPr>
          <w:sz w:val="24"/>
          <w:szCs w:val="24"/>
        </w:rPr>
      </w:pPr>
      <w:r w:rsidRPr="00B95197">
        <w:rPr>
          <w:sz w:val="24"/>
          <w:szCs w:val="24"/>
        </w:rPr>
        <w:t>Vandtårnsvej 83A</w:t>
      </w:r>
    </w:p>
    <w:p w14:paraId="5519D159" w14:textId="77777777" w:rsidR="00B95197" w:rsidRPr="00B95197" w:rsidRDefault="00B95197" w:rsidP="00006F0D">
      <w:pPr>
        <w:ind w:left="851"/>
        <w:rPr>
          <w:sz w:val="24"/>
          <w:szCs w:val="24"/>
        </w:rPr>
      </w:pPr>
      <w:r w:rsidRPr="00B95197">
        <w:rPr>
          <w:sz w:val="24"/>
          <w:szCs w:val="24"/>
        </w:rPr>
        <w:t>2860 Søborg</w:t>
      </w:r>
      <w:bookmarkEnd w:id="1"/>
    </w:p>
    <w:p w14:paraId="7AABDC72" w14:textId="77777777" w:rsidR="00641C65" w:rsidRPr="00641C65" w:rsidRDefault="00641C65" w:rsidP="009260DE">
      <w:pPr>
        <w:tabs>
          <w:tab w:val="left" w:pos="851"/>
        </w:tabs>
        <w:ind w:left="851"/>
        <w:rPr>
          <w:sz w:val="24"/>
          <w:szCs w:val="24"/>
        </w:rPr>
      </w:pPr>
    </w:p>
    <w:p w14:paraId="2E34E90B" w14:textId="77777777" w:rsidR="009260DE" w:rsidRPr="00C84483" w:rsidRDefault="009260DE" w:rsidP="009260DE">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sidR="00BF6243">
        <w:rPr>
          <w:b/>
          <w:sz w:val="24"/>
          <w:szCs w:val="24"/>
        </w:rPr>
        <w:t>-</w:t>
      </w:r>
      <w:r w:rsidRPr="00C84483">
        <w:rPr>
          <w:b/>
          <w:sz w:val="24"/>
          <w:szCs w:val="24"/>
        </w:rPr>
        <w:t>NUMRE)</w:t>
      </w:r>
    </w:p>
    <w:p w14:paraId="3EDD0691" w14:textId="2E1BF5D3" w:rsidR="009260DE" w:rsidRPr="00C84483" w:rsidRDefault="00B95197" w:rsidP="009260DE">
      <w:pPr>
        <w:tabs>
          <w:tab w:val="left" w:pos="851"/>
        </w:tabs>
        <w:ind w:left="851"/>
        <w:rPr>
          <w:sz w:val="24"/>
          <w:szCs w:val="24"/>
        </w:rPr>
      </w:pPr>
      <w:r>
        <w:rPr>
          <w:sz w:val="24"/>
          <w:szCs w:val="24"/>
        </w:rPr>
        <w:t>72172</w:t>
      </w:r>
    </w:p>
    <w:p w14:paraId="4051ABA9" w14:textId="77777777" w:rsidR="009260DE" w:rsidRPr="00C84483" w:rsidRDefault="009260DE" w:rsidP="009260DE">
      <w:pPr>
        <w:tabs>
          <w:tab w:val="left" w:pos="851"/>
        </w:tabs>
        <w:ind w:left="851"/>
        <w:jc w:val="both"/>
        <w:rPr>
          <w:sz w:val="24"/>
          <w:szCs w:val="24"/>
        </w:rPr>
      </w:pPr>
    </w:p>
    <w:p w14:paraId="18335B12" w14:textId="77777777" w:rsidR="009260DE" w:rsidRPr="00C84483" w:rsidRDefault="009260DE" w:rsidP="009260DE">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053991DE" w14:textId="6704985C" w:rsidR="009260DE" w:rsidRPr="00C84483" w:rsidRDefault="00E50626" w:rsidP="009260DE">
      <w:pPr>
        <w:tabs>
          <w:tab w:val="left" w:pos="851"/>
        </w:tabs>
        <w:ind w:left="851"/>
        <w:rPr>
          <w:sz w:val="24"/>
          <w:szCs w:val="24"/>
        </w:rPr>
      </w:pPr>
      <w:bookmarkStart w:id="2" w:name="_Hlk237422294"/>
      <w:r>
        <w:rPr>
          <w:sz w:val="24"/>
          <w:szCs w:val="24"/>
        </w:rPr>
        <w:t>27. august 1981</w:t>
      </w:r>
    </w:p>
    <w:bookmarkEnd w:id="2"/>
    <w:p w14:paraId="0C9D9A57" w14:textId="77777777" w:rsidR="009260DE" w:rsidRPr="00C84483" w:rsidRDefault="009260DE" w:rsidP="009260DE">
      <w:pPr>
        <w:tabs>
          <w:tab w:val="left" w:pos="851"/>
        </w:tabs>
        <w:ind w:left="851"/>
        <w:rPr>
          <w:sz w:val="24"/>
          <w:szCs w:val="24"/>
        </w:rPr>
      </w:pPr>
    </w:p>
    <w:p w14:paraId="1536A0EC" w14:textId="77777777" w:rsidR="009260DE" w:rsidRPr="00C84483" w:rsidRDefault="009260DE" w:rsidP="009260DE">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6BC842BE" w14:textId="08188A5B" w:rsidR="009260DE" w:rsidRPr="00C84483" w:rsidRDefault="00B95197" w:rsidP="009260DE">
      <w:pPr>
        <w:tabs>
          <w:tab w:val="left" w:pos="851"/>
        </w:tabs>
        <w:ind w:left="851"/>
        <w:rPr>
          <w:sz w:val="24"/>
          <w:szCs w:val="24"/>
        </w:rPr>
      </w:pPr>
      <w:r>
        <w:rPr>
          <w:sz w:val="24"/>
          <w:szCs w:val="24"/>
        </w:rPr>
        <w:t>-</w:t>
      </w:r>
    </w:p>
    <w:sectPr w:rsidR="009260DE" w:rsidRPr="00C84483"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5E138" w14:textId="77777777" w:rsidR="006262AE" w:rsidRDefault="006262AE">
      <w:r>
        <w:separator/>
      </w:r>
    </w:p>
  </w:endnote>
  <w:endnote w:type="continuationSeparator" w:id="0">
    <w:p w14:paraId="7B93BF12" w14:textId="77777777" w:rsidR="006262AE" w:rsidRDefault="00626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38F76" w14:textId="77777777" w:rsidR="000259B9" w:rsidRDefault="000259B9">
    <w:pPr>
      <w:pStyle w:val="Sidefod"/>
      <w:pBdr>
        <w:bottom w:val="single" w:sz="6" w:space="1" w:color="auto"/>
      </w:pBdr>
    </w:pPr>
  </w:p>
  <w:p w14:paraId="1E139B2E" w14:textId="77777777" w:rsidR="000259B9" w:rsidRDefault="000259B9" w:rsidP="00C42586">
    <w:pPr>
      <w:pStyle w:val="Sidefod"/>
      <w:tabs>
        <w:tab w:val="clear" w:pos="4819"/>
        <w:tab w:val="left" w:pos="8505"/>
      </w:tabs>
      <w:rPr>
        <w:i/>
        <w:sz w:val="18"/>
        <w:szCs w:val="18"/>
      </w:rPr>
    </w:pPr>
  </w:p>
  <w:p w14:paraId="7134EA1B" w14:textId="035C3FBB"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8962CF">
      <w:rPr>
        <w:i/>
        <w:noProof/>
        <w:sz w:val="18"/>
        <w:szCs w:val="18"/>
      </w:rPr>
      <w:t>Pinex, tabletter 1000 mg.docx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775D5" w14:textId="77777777" w:rsidR="006262AE" w:rsidRDefault="006262AE">
      <w:r>
        <w:separator/>
      </w:r>
    </w:p>
  </w:footnote>
  <w:footnote w:type="continuationSeparator" w:id="0">
    <w:p w14:paraId="2924CB72" w14:textId="77777777" w:rsidR="006262AE" w:rsidRDefault="006262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51CBD"/>
    <w:multiLevelType w:val="multilevel"/>
    <w:tmpl w:val="4D540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F321C8"/>
    <w:multiLevelType w:val="multilevel"/>
    <w:tmpl w:val="53E874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5" w15:restartNumberingAfterBreak="0">
    <w:nsid w:val="3D8F536A"/>
    <w:multiLevelType w:val="multilevel"/>
    <w:tmpl w:val="58D2F23E"/>
    <w:lvl w:ilvl="0">
      <w:start w:val="4"/>
      <w:numFmt w:val="bullet"/>
      <w:lvlText w:val="-"/>
      <w:lvlJc w:val="left"/>
      <w:pPr>
        <w:tabs>
          <w:tab w:val="num" w:pos="720"/>
        </w:tabs>
        <w:ind w:left="720" w:hanging="360"/>
      </w:pPr>
      <w:rPr>
        <w:rFonts w:ascii="Times New Roman" w:eastAsia="Times New Roman" w:hAnsi="Times New Roman"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7"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77B53660"/>
    <w:multiLevelType w:val="multilevel"/>
    <w:tmpl w:val="9A46DA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0A0953"/>
    <w:multiLevelType w:val="multilevel"/>
    <w:tmpl w:val="B1BADA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552078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7095569">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03739001">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0386052">
    <w:abstractNumId w:val="3"/>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2831047">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70682543">
    <w:abstractNumId w:val="9"/>
  </w:num>
  <w:num w:numId="7" w16cid:durableId="945388979">
    <w:abstractNumId w:val="8"/>
  </w:num>
  <w:num w:numId="8" w16cid:durableId="1759249770">
    <w:abstractNumId w:val="0"/>
  </w:num>
  <w:num w:numId="9" w16cid:durableId="499079250">
    <w:abstractNumId w:val="1"/>
  </w:num>
  <w:num w:numId="10" w16cid:durableId="1980070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2AE"/>
    <w:rsid w:val="00006F0D"/>
    <w:rsid w:val="000259B9"/>
    <w:rsid w:val="00041491"/>
    <w:rsid w:val="00050D16"/>
    <w:rsid w:val="00067DDE"/>
    <w:rsid w:val="000730CA"/>
    <w:rsid w:val="00074F2A"/>
    <w:rsid w:val="000A1CA8"/>
    <w:rsid w:val="000A466B"/>
    <w:rsid w:val="000B058C"/>
    <w:rsid w:val="000D68B0"/>
    <w:rsid w:val="000E4EE6"/>
    <w:rsid w:val="001454E2"/>
    <w:rsid w:val="00206CE8"/>
    <w:rsid w:val="0021526C"/>
    <w:rsid w:val="00283A2B"/>
    <w:rsid w:val="002B30AD"/>
    <w:rsid w:val="002C1EC0"/>
    <w:rsid w:val="002C2C01"/>
    <w:rsid w:val="00330A9D"/>
    <w:rsid w:val="003A29AE"/>
    <w:rsid w:val="003A32D7"/>
    <w:rsid w:val="003B4074"/>
    <w:rsid w:val="003B4EEC"/>
    <w:rsid w:val="003C769A"/>
    <w:rsid w:val="003D2A65"/>
    <w:rsid w:val="003D3A90"/>
    <w:rsid w:val="003F1838"/>
    <w:rsid w:val="004251C1"/>
    <w:rsid w:val="0045746C"/>
    <w:rsid w:val="0049104B"/>
    <w:rsid w:val="004E3B12"/>
    <w:rsid w:val="00532310"/>
    <w:rsid w:val="00565F0F"/>
    <w:rsid w:val="00594A86"/>
    <w:rsid w:val="00596D86"/>
    <w:rsid w:val="005B40B0"/>
    <w:rsid w:val="00625D8A"/>
    <w:rsid w:val="006262AE"/>
    <w:rsid w:val="00637F5A"/>
    <w:rsid w:val="00641C65"/>
    <w:rsid w:val="006560B1"/>
    <w:rsid w:val="006756DD"/>
    <w:rsid w:val="0071241E"/>
    <w:rsid w:val="00737275"/>
    <w:rsid w:val="00740EEC"/>
    <w:rsid w:val="00744619"/>
    <w:rsid w:val="00745730"/>
    <w:rsid w:val="00774D0B"/>
    <w:rsid w:val="0078011A"/>
    <w:rsid w:val="00782AF4"/>
    <w:rsid w:val="00790EE7"/>
    <w:rsid w:val="007B6649"/>
    <w:rsid w:val="0082576E"/>
    <w:rsid w:val="0089346F"/>
    <w:rsid w:val="008962CF"/>
    <w:rsid w:val="00907F75"/>
    <w:rsid w:val="009260DE"/>
    <w:rsid w:val="0093258A"/>
    <w:rsid w:val="009830E0"/>
    <w:rsid w:val="009C7BA3"/>
    <w:rsid w:val="009D1F5A"/>
    <w:rsid w:val="00A10294"/>
    <w:rsid w:val="00B003BF"/>
    <w:rsid w:val="00B373D7"/>
    <w:rsid w:val="00B55271"/>
    <w:rsid w:val="00B95197"/>
    <w:rsid w:val="00BD7931"/>
    <w:rsid w:val="00BF6243"/>
    <w:rsid w:val="00C05AB1"/>
    <w:rsid w:val="00C36276"/>
    <w:rsid w:val="00C42586"/>
    <w:rsid w:val="00C45F6B"/>
    <w:rsid w:val="00C60CCD"/>
    <w:rsid w:val="00C62FCB"/>
    <w:rsid w:val="00C84483"/>
    <w:rsid w:val="00C95551"/>
    <w:rsid w:val="00CB20D7"/>
    <w:rsid w:val="00D020B0"/>
    <w:rsid w:val="00D05E0F"/>
    <w:rsid w:val="00D11748"/>
    <w:rsid w:val="00D237F6"/>
    <w:rsid w:val="00D34D98"/>
    <w:rsid w:val="00D366CF"/>
    <w:rsid w:val="00D93992"/>
    <w:rsid w:val="00E108AA"/>
    <w:rsid w:val="00E3749A"/>
    <w:rsid w:val="00E50626"/>
    <w:rsid w:val="00E7437F"/>
    <w:rsid w:val="00E865B8"/>
    <w:rsid w:val="00EC0B9B"/>
    <w:rsid w:val="00ED5E9F"/>
    <w:rsid w:val="00F66D4F"/>
    <w:rsid w:val="00FB6D01"/>
    <w:rsid w:val="00FE514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50962B"/>
  <w15:chartTrackingRefBased/>
  <w15:docId w15:val="{8FA5C549-B760-42C1-8C03-526AC44ED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B95197"/>
    <w:rPr>
      <w:color w:val="0563C1" w:themeColor="hyperlink"/>
      <w:u w:val="single"/>
    </w:rPr>
  </w:style>
  <w:style w:type="character" w:styleId="Ulstomtale">
    <w:name w:val="Unresolved Mention"/>
    <w:basedOn w:val="Standardskrifttypeiafsnit"/>
    <w:uiPriority w:val="99"/>
    <w:semiHidden/>
    <w:unhideWhenUsed/>
    <w:rsid w:val="00B95197"/>
    <w:rPr>
      <w:color w:val="605E5C"/>
      <w:shd w:val="clear" w:color="auto" w:fill="E1DFDD"/>
    </w:rPr>
  </w:style>
  <w:style w:type="table" w:styleId="Tabel-Gitter">
    <w:name w:val="Table Grid"/>
    <w:basedOn w:val="Tabel-Normal"/>
    <w:uiPriority w:val="59"/>
    <w:rsid w:val="00B951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12676">
      <w:bodyDiv w:val="1"/>
      <w:marLeft w:val="0"/>
      <w:marRight w:val="0"/>
      <w:marTop w:val="0"/>
      <w:marBottom w:val="0"/>
      <w:divBdr>
        <w:top w:val="none" w:sz="0" w:space="0" w:color="auto"/>
        <w:left w:val="none" w:sz="0" w:space="0" w:color="auto"/>
        <w:bottom w:val="none" w:sz="0" w:space="0" w:color="auto"/>
        <w:right w:val="none" w:sz="0" w:space="0" w:color="auto"/>
      </w:divBdr>
    </w:div>
    <w:div w:id="76824355">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252935424">
      <w:bodyDiv w:val="1"/>
      <w:marLeft w:val="0"/>
      <w:marRight w:val="0"/>
      <w:marTop w:val="0"/>
      <w:marBottom w:val="0"/>
      <w:divBdr>
        <w:top w:val="none" w:sz="0" w:space="0" w:color="auto"/>
        <w:left w:val="none" w:sz="0" w:space="0" w:color="auto"/>
        <w:bottom w:val="none" w:sz="0" w:space="0" w:color="auto"/>
        <w:right w:val="none" w:sz="0" w:space="0" w:color="auto"/>
      </w:divBdr>
    </w:div>
    <w:div w:id="370033770">
      <w:bodyDiv w:val="1"/>
      <w:marLeft w:val="0"/>
      <w:marRight w:val="0"/>
      <w:marTop w:val="0"/>
      <w:marBottom w:val="0"/>
      <w:divBdr>
        <w:top w:val="none" w:sz="0" w:space="0" w:color="auto"/>
        <w:left w:val="none" w:sz="0" w:space="0" w:color="auto"/>
        <w:bottom w:val="none" w:sz="0" w:space="0" w:color="auto"/>
        <w:right w:val="none" w:sz="0" w:space="0" w:color="auto"/>
      </w:divBdr>
    </w:div>
    <w:div w:id="443694258">
      <w:bodyDiv w:val="1"/>
      <w:marLeft w:val="0"/>
      <w:marRight w:val="0"/>
      <w:marTop w:val="0"/>
      <w:marBottom w:val="0"/>
      <w:divBdr>
        <w:top w:val="none" w:sz="0" w:space="0" w:color="auto"/>
        <w:left w:val="none" w:sz="0" w:space="0" w:color="auto"/>
        <w:bottom w:val="none" w:sz="0" w:space="0" w:color="auto"/>
        <w:right w:val="none" w:sz="0" w:space="0" w:color="auto"/>
      </w:divBdr>
    </w:div>
    <w:div w:id="449595045">
      <w:bodyDiv w:val="1"/>
      <w:marLeft w:val="0"/>
      <w:marRight w:val="0"/>
      <w:marTop w:val="0"/>
      <w:marBottom w:val="0"/>
      <w:divBdr>
        <w:top w:val="none" w:sz="0" w:space="0" w:color="auto"/>
        <w:left w:val="none" w:sz="0" w:space="0" w:color="auto"/>
        <w:bottom w:val="none" w:sz="0" w:space="0" w:color="auto"/>
        <w:right w:val="none" w:sz="0" w:space="0" w:color="auto"/>
      </w:divBdr>
    </w:div>
    <w:div w:id="461727719">
      <w:bodyDiv w:val="1"/>
      <w:marLeft w:val="0"/>
      <w:marRight w:val="0"/>
      <w:marTop w:val="0"/>
      <w:marBottom w:val="0"/>
      <w:divBdr>
        <w:top w:val="none" w:sz="0" w:space="0" w:color="auto"/>
        <w:left w:val="none" w:sz="0" w:space="0" w:color="auto"/>
        <w:bottom w:val="none" w:sz="0" w:space="0" w:color="auto"/>
        <w:right w:val="none" w:sz="0" w:space="0" w:color="auto"/>
      </w:divBdr>
    </w:div>
    <w:div w:id="534971520">
      <w:bodyDiv w:val="1"/>
      <w:marLeft w:val="0"/>
      <w:marRight w:val="0"/>
      <w:marTop w:val="0"/>
      <w:marBottom w:val="0"/>
      <w:divBdr>
        <w:top w:val="none" w:sz="0" w:space="0" w:color="auto"/>
        <w:left w:val="none" w:sz="0" w:space="0" w:color="auto"/>
        <w:bottom w:val="none" w:sz="0" w:space="0" w:color="auto"/>
        <w:right w:val="none" w:sz="0" w:space="0" w:color="auto"/>
      </w:divBdr>
    </w:div>
    <w:div w:id="535386156">
      <w:bodyDiv w:val="1"/>
      <w:marLeft w:val="0"/>
      <w:marRight w:val="0"/>
      <w:marTop w:val="0"/>
      <w:marBottom w:val="0"/>
      <w:divBdr>
        <w:top w:val="none" w:sz="0" w:space="0" w:color="auto"/>
        <w:left w:val="none" w:sz="0" w:space="0" w:color="auto"/>
        <w:bottom w:val="none" w:sz="0" w:space="0" w:color="auto"/>
        <w:right w:val="none" w:sz="0" w:space="0" w:color="auto"/>
      </w:divBdr>
    </w:div>
    <w:div w:id="557477561">
      <w:bodyDiv w:val="1"/>
      <w:marLeft w:val="0"/>
      <w:marRight w:val="0"/>
      <w:marTop w:val="0"/>
      <w:marBottom w:val="0"/>
      <w:divBdr>
        <w:top w:val="none" w:sz="0" w:space="0" w:color="auto"/>
        <w:left w:val="none" w:sz="0" w:space="0" w:color="auto"/>
        <w:bottom w:val="none" w:sz="0" w:space="0" w:color="auto"/>
        <w:right w:val="none" w:sz="0" w:space="0" w:color="auto"/>
      </w:divBdr>
    </w:div>
    <w:div w:id="621769277">
      <w:bodyDiv w:val="1"/>
      <w:marLeft w:val="0"/>
      <w:marRight w:val="0"/>
      <w:marTop w:val="0"/>
      <w:marBottom w:val="0"/>
      <w:divBdr>
        <w:top w:val="none" w:sz="0" w:space="0" w:color="auto"/>
        <w:left w:val="none" w:sz="0" w:space="0" w:color="auto"/>
        <w:bottom w:val="none" w:sz="0" w:space="0" w:color="auto"/>
        <w:right w:val="none" w:sz="0" w:space="0" w:color="auto"/>
      </w:divBdr>
    </w:div>
    <w:div w:id="683289629">
      <w:bodyDiv w:val="1"/>
      <w:marLeft w:val="0"/>
      <w:marRight w:val="0"/>
      <w:marTop w:val="0"/>
      <w:marBottom w:val="0"/>
      <w:divBdr>
        <w:top w:val="none" w:sz="0" w:space="0" w:color="auto"/>
        <w:left w:val="none" w:sz="0" w:space="0" w:color="auto"/>
        <w:bottom w:val="none" w:sz="0" w:space="0" w:color="auto"/>
        <w:right w:val="none" w:sz="0" w:space="0" w:color="auto"/>
      </w:divBdr>
    </w:div>
    <w:div w:id="718555018">
      <w:bodyDiv w:val="1"/>
      <w:marLeft w:val="0"/>
      <w:marRight w:val="0"/>
      <w:marTop w:val="0"/>
      <w:marBottom w:val="0"/>
      <w:divBdr>
        <w:top w:val="none" w:sz="0" w:space="0" w:color="auto"/>
        <w:left w:val="none" w:sz="0" w:space="0" w:color="auto"/>
        <w:bottom w:val="none" w:sz="0" w:space="0" w:color="auto"/>
        <w:right w:val="none" w:sz="0" w:space="0" w:color="auto"/>
      </w:divBdr>
    </w:div>
    <w:div w:id="826676620">
      <w:bodyDiv w:val="1"/>
      <w:marLeft w:val="0"/>
      <w:marRight w:val="0"/>
      <w:marTop w:val="0"/>
      <w:marBottom w:val="0"/>
      <w:divBdr>
        <w:top w:val="none" w:sz="0" w:space="0" w:color="auto"/>
        <w:left w:val="none" w:sz="0" w:space="0" w:color="auto"/>
        <w:bottom w:val="none" w:sz="0" w:space="0" w:color="auto"/>
        <w:right w:val="none" w:sz="0" w:space="0" w:color="auto"/>
      </w:divBdr>
    </w:div>
    <w:div w:id="929697346">
      <w:bodyDiv w:val="1"/>
      <w:marLeft w:val="0"/>
      <w:marRight w:val="0"/>
      <w:marTop w:val="0"/>
      <w:marBottom w:val="0"/>
      <w:divBdr>
        <w:top w:val="none" w:sz="0" w:space="0" w:color="auto"/>
        <w:left w:val="none" w:sz="0" w:space="0" w:color="auto"/>
        <w:bottom w:val="none" w:sz="0" w:space="0" w:color="auto"/>
        <w:right w:val="none" w:sz="0" w:space="0" w:color="auto"/>
      </w:divBdr>
    </w:div>
    <w:div w:id="1091001180">
      <w:bodyDiv w:val="1"/>
      <w:marLeft w:val="0"/>
      <w:marRight w:val="0"/>
      <w:marTop w:val="0"/>
      <w:marBottom w:val="0"/>
      <w:divBdr>
        <w:top w:val="none" w:sz="0" w:space="0" w:color="auto"/>
        <w:left w:val="none" w:sz="0" w:space="0" w:color="auto"/>
        <w:bottom w:val="none" w:sz="0" w:space="0" w:color="auto"/>
        <w:right w:val="none" w:sz="0" w:space="0" w:color="auto"/>
      </w:divBdr>
    </w:div>
    <w:div w:id="1104881659">
      <w:bodyDiv w:val="1"/>
      <w:marLeft w:val="0"/>
      <w:marRight w:val="0"/>
      <w:marTop w:val="0"/>
      <w:marBottom w:val="0"/>
      <w:divBdr>
        <w:top w:val="none" w:sz="0" w:space="0" w:color="auto"/>
        <w:left w:val="none" w:sz="0" w:space="0" w:color="auto"/>
        <w:bottom w:val="none" w:sz="0" w:space="0" w:color="auto"/>
        <w:right w:val="none" w:sz="0" w:space="0" w:color="auto"/>
      </w:divBdr>
    </w:div>
    <w:div w:id="1117023605">
      <w:bodyDiv w:val="1"/>
      <w:marLeft w:val="0"/>
      <w:marRight w:val="0"/>
      <w:marTop w:val="0"/>
      <w:marBottom w:val="0"/>
      <w:divBdr>
        <w:top w:val="none" w:sz="0" w:space="0" w:color="auto"/>
        <w:left w:val="none" w:sz="0" w:space="0" w:color="auto"/>
        <w:bottom w:val="none" w:sz="0" w:space="0" w:color="auto"/>
        <w:right w:val="none" w:sz="0" w:space="0" w:color="auto"/>
      </w:divBdr>
    </w:div>
    <w:div w:id="1134176634">
      <w:bodyDiv w:val="1"/>
      <w:marLeft w:val="0"/>
      <w:marRight w:val="0"/>
      <w:marTop w:val="0"/>
      <w:marBottom w:val="0"/>
      <w:divBdr>
        <w:top w:val="none" w:sz="0" w:space="0" w:color="auto"/>
        <w:left w:val="none" w:sz="0" w:space="0" w:color="auto"/>
        <w:bottom w:val="none" w:sz="0" w:space="0" w:color="auto"/>
        <w:right w:val="none" w:sz="0" w:space="0" w:color="auto"/>
      </w:divBdr>
    </w:div>
    <w:div w:id="1139421567">
      <w:bodyDiv w:val="1"/>
      <w:marLeft w:val="0"/>
      <w:marRight w:val="0"/>
      <w:marTop w:val="0"/>
      <w:marBottom w:val="0"/>
      <w:divBdr>
        <w:top w:val="none" w:sz="0" w:space="0" w:color="auto"/>
        <w:left w:val="none" w:sz="0" w:space="0" w:color="auto"/>
        <w:bottom w:val="none" w:sz="0" w:space="0" w:color="auto"/>
        <w:right w:val="none" w:sz="0" w:space="0" w:color="auto"/>
      </w:divBdr>
    </w:div>
    <w:div w:id="1161585265">
      <w:bodyDiv w:val="1"/>
      <w:marLeft w:val="0"/>
      <w:marRight w:val="0"/>
      <w:marTop w:val="0"/>
      <w:marBottom w:val="0"/>
      <w:divBdr>
        <w:top w:val="none" w:sz="0" w:space="0" w:color="auto"/>
        <w:left w:val="none" w:sz="0" w:space="0" w:color="auto"/>
        <w:bottom w:val="none" w:sz="0" w:space="0" w:color="auto"/>
        <w:right w:val="none" w:sz="0" w:space="0" w:color="auto"/>
      </w:divBdr>
    </w:div>
    <w:div w:id="1163617698">
      <w:bodyDiv w:val="1"/>
      <w:marLeft w:val="0"/>
      <w:marRight w:val="0"/>
      <w:marTop w:val="0"/>
      <w:marBottom w:val="0"/>
      <w:divBdr>
        <w:top w:val="none" w:sz="0" w:space="0" w:color="auto"/>
        <w:left w:val="none" w:sz="0" w:space="0" w:color="auto"/>
        <w:bottom w:val="none" w:sz="0" w:space="0" w:color="auto"/>
        <w:right w:val="none" w:sz="0" w:space="0" w:color="auto"/>
      </w:divBdr>
    </w:div>
    <w:div w:id="1180317706">
      <w:bodyDiv w:val="1"/>
      <w:marLeft w:val="0"/>
      <w:marRight w:val="0"/>
      <w:marTop w:val="0"/>
      <w:marBottom w:val="0"/>
      <w:divBdr>
        <w:top w:val="none" w:sz="0" w:space="0" w:color="auto"/>
        <w:left w:val="none" w:sz="0" w:space="0" w:color="auto"/>
        <w:bottom w:val="none" w:sz="0" w:space="0" w:color="auto"/>
        <w:right w:val="none" w:sz="0" w:space="0" w:color="auto"/>
      </w:divBdr>
    </w:div>
    <w:div w:id="1228029500">
      <w:bodyDiv w:val="1"/>
      <w:marLeft w:val="0"/>
      <w:marRight w:val="0"/>
      <w:marTop w:val="0"/>
      <w:marBottom w:val="0"/>
      <w:divBdr>
        <w:top w:val="none" w:sz="0" w:space="0" w:color="auto"/>
        <w:left w:val="none" w:sz="0" w:space="0" w:color="auto"/>
        <w:bottom w:val="none" w:sz="0" w:space="0" w:color="auto"/>
        <w:right w:val="none" w:sz="0" w:space="0" w:color="auto"/>
      </w:divBdr>
    </w:div>
    <w:div w:id="1259560651">
      <w:bodyDiv w:val="1"/>
      <w:marLeft w:val="0"/>
      <w:marRight w:val="0"/>
      <w:marTop w:val="0"/>
      <w:marBottom w:val="0"/>
      <w:divBdr>
        <w:top w:val="none" w:sz="0" w:space="0" w:color="auto"/>
        <w:left w:val="none" w:sz="0" w:space="0" w:color="auto"/>
        <w:bottom w:val="none" w:sz="0" w:space="0" w:color="auto"/>
        <w:right w:val="none" w:sz="0" w:space="0" w:color="auto"/>
      </w:divBdr>
    </w:div>
    <w:div w:id="1278876664">
      <w:bodyDiv w:val="1"/>
      <w:marLeft w:val="0"/>
      <w:marRight w:val="0"/>
      <w:marTop w:val="0"/>
      <w:marBottom w:val="0"/>
      <w:divBdr>
        <w:top w:val="none" w:sz="0" w:space="0" w:color="auto"/>
        <w:left w:val="none" w:sz="0" w:space="0" w:color="auto"/>
        <w:bottom w:val="none" w:sz="0" w:space="0" w:color="auto"/>
        <w:right w:val="none" w:sz="0" w:space="0" w:color="auto"/>
      </w:divBdr>
    </w:div>
    <w:div w:id="1326593803">
      <w:bodyDiv w:val="1"/>
      <w:marLeft w:val="0"/>
      <w:marRight w:val="0"/>
      <w:marTop w:val="0"/>
      <w:marBottom w:val="0"/>
      <w:divBdr>
        <w:top w:val="none" w:sz="0" w:space="0" w:color="auto"/>
        <w:left w:val="none" w:sz="0" w:space="0" w:color="auto"/>
        <w:bottom w:val="none" w:sz="0" w:space="0" w:color="auto"/>
        <w:right w:val="none" w:sz="0" w:space="0" w:color="auto"/>
      </w:divBdr>
    </w:div>
    <w:div w:id="1331056105">
      <w:bodyDiv w:val="1"/>
      <w:marLeft w:val="0"/>
      <w:marRight w:val="0"/>
      <w:marTop w:val="0"/>
      <w:marBottom w:val="0"/>
      <w:divBdr>
        <w:top w:val="none" w:sz="0" w:space="0" w:color="auto"/>
        <w:left w:val="none" w:sz="0" w:space="0" w:color="auto"/>
        <w:bottom w:val="none" w:sz="0" w:space="0" w:color="auto"/>
        <w:right w:val="none" w:sz="0" w:space="0" w:color="auto"/>
      </w:divBdr>
    </w:div>
    <w:div w:id="1339579743">
      <w:bodyDiv w:val="1"/>
      <w:marLeft w:val="0"/>
      <w:marRight w:val="0"/>
      <w:marTop w:val="0"/>
      <w:marBottom w:val="0"/>
      <w:divBdr>
        <w:top w:val="none" w:sz="0" w:space="0" w:color="auto"/>
        <w:left w:val="none" w:sz="0" w:space="0" w:color="auto"/>
        <w:bottom w:val="none" w:sz="0" w:space="0" w:color="auto"/>
        <w:right w:val="none" w:sz="0" w:space="0" w:color="auto"/>
      </w:divBdr>
    </w:div>
    <w:div w:id="1467312132">
      <w:bodyDiv w:val="1"/>
      <w:marLeft w:val="0"/>
      <w:marRight w:val="0"/>
      <w:marTop w:val="0"/>
      <w:marBottom w:val="0"/>
      <w:divBdr>
        <w:top w:val="none" w:sz="0" w:space="0" w:color="auto"/>
        <w:left w:val="none" w:sz="0" w:space="0" w:color="auto"/>
        <w:bottom w:val="none" w:sz="0" w:space="0" w:color="auto"/>
        <w:right w:val="none" w:sz="0" w:space="0" w:color="auto"/>
      </w:divBdr>
    </w:div>
    <w:div w:id="1476944546">
      <w:bodyDiv w:val="1"/>
      <w:marLeft w:val="0"/>
      <w:marRight w:val="0"/>
      <w:marTop w:val="0"/>
      <w:marBottom w:val="0"/>
      <w:divBdr>
        <w:top w:val="none" w:sz="0" w:space="0" w:color="auto"/>
        <w:left w:val="none" w:sz="0" w:space="0" w:color="auto"/>
        <w:bottom w:val="none" w:sz="0" w:space="0" w:color="auto"/>
        <w:right w:val="none" w:sz="0" w:space="0" w:color="auto"/>
      </w:divBdr>
    </w:div>
    <w:div w:id="1526867892">
      <w:bodyDiv w:val="1"/>
      <w:marLeft w:val="0"/>
      <w:marRight w:val="0"/>
      <w:marTop w:val="0"/>
      <w:marBottom w:val="0"/>
      <w:divBdr>
        <w:top w:val="none" w:sz="0" w:space="0" w:color="auto"/>
        <w:left w:val="none" w:sz="0" w:space="0" w:color="auto"/>
        <w:bottom w:val="none" w:sz="0" w:space="0" w:color="auto"/>
        <w:right w:val="none" w:sz="0" w:space="0" w:color="auto"/>
      </w:divBdr>
    </w:div>
    <w:div w:id="1607152243">
      <w:bodyDiv w:val="1"/>
      <w:marLeft w:val="0"/>
      <w:marRight w:val="0"/>
      <w:marTop w:val="0"/>
      <w:marBottom w:val="0"/>
      <w:divBdr>
        <w:top w:val="none" w:sz="0" w:space="0" w:color="auto"/>
        <w:left w:val="none" w:sz="0" w:space="0" w:color="auto"/>
        <w:bottom w:val="none" w:sz="0" w:space="0" w:color="auto"/>
        <w:right w:val="none" w:sz="0" w:space="0" w:color="auto"/>
      </w:divBdr>
    </w:div>
    <w:div w:id="1648054022">
      <w:bodyDiv w:val="1"/>
      <w:marLeft w:val="0"/>
      <w:marRight w:val="0"/>
      <w:marTop w:val="0"/>
      <w:marBottom w:val="0"/>
      <w:divBdr>
        <w:top w:val="none" w:sz="0" w:space="0" w:color="auto"/>
        <w:left w:val="none" w:sz="0" w:space="0" w:color="auto"/>
        <w:bottom w:val="none" w:sz="0" w:space="0" w:color="auto"/>
        <w:right w:val="none" w:sz="0" w:space="0" w:color="auto"/>
      </w:divBdr>
    </w:div>
    <w:div w:id="1721827989">
      <w:bodyDiv w:val="1"/>
      <w:marLeft w:val="0"/>
      <w:marRight w:val="0"/>
      <w:marTop w:val="0"/>
      <w:marBottom w:val="0"/>
      <w:divBdr>
        <w:top w:val="none" w:sz="0" w:space="0" w:color="auto"/>
        <w:left w:val="none" w:sz="0" w:space="0" w:color="auto"/>
        <w:bottom w:val="none" w:sz="0" w:space="0" w:color="auto"/>
        <w:right w:val="none" w:sz="0" w:space="0" w:color="auto"/>
      </w:divBdr>
    </w:div>
    <w:div w:id="1752000630">
      <w:bodyDiv w:val="1"/>
      <w:marLeft w:val="0"/>
      <w:marRight w:val="0"/>
      <w:marTop w:val="0"/>
      <w:marBottom w:val="0"/>
      <w:divBdr>
        <w:top w:val="none" w:sz="0" w:space="0" w:color="auto"/>
        <w:left w:val="none" w:sz="0" w:space="0" w:color="auto"/>
        <w:bottom w:val="none" w:sz="0" w:space="0" w:color="auto"/>
        <w:right w:val="none" w:sz="0" w:space="0" w:color="auto"/>
      </w:divBdr>
    </w:div>
    <w:div w:id="1752578491">
      <w:bodyDiv w:val="1"/>
      <w:marLeft w:val="0"/>
      <w:marRight w:val="0"/>
      <w:marTop w:val="0"/>
      <w:marBottom w:val="0"/>
      <w:divBdr>
        <w:top w:val="none" w:sz="0" w:space="0" w:color="auto"/>
        <w:left w:val="none" w:sz="0" w:space="0" w:color="auto"/>
        <w:bottom w:val="none" w:sz="0" w:space="0" w:color="auto"/>
        <w:right w:val="none" w:sz="0" w:space="0" w:color="auto"/>
      </w:divBdr>
    </w:div>
    <w:div w:id="1777170379">
      <w:bodyDiv w:val="1"/>
      <w:marLeft w:val="0"/>
      <w:marRight w:val="0"/>
      <w:marTop w:val="0"/>
      <w:marBottom w:val="0"/>
      <w:divBdr>
        <w:top w:val="none" w:sz="0" w:space="0" w:color="auto"/>
        <w:left w:val="none" w:sz="0" w:space="0" w:color="auto"/>
        <w:bottom w:val="none" w:sz="0" w:space="0" w:color="auto"/>
        <w:right w:val="none" w:sz="0" w:space="0" w:color="auto"/>
      </w:divBdr>
    </w:div>
    <w:div w:id="1787430999">
      <w:bodyDiv w:val="1"/>
      <w:marLeft w:val="0"/>
      <w:marRight w:val="0"/>
      <w:marTop w:val="0"/>
      <w:marBottom w:val="0"/>
      <w:divBdr>
        <w:top w:val="none" w:sz="0" w:space="0" w:color="auto"/>
        <w:left w:val="none" w:sz="0" w:space="0" w:color="auto"/>
        <w:bottom w:val="none" w:sz="0" w:space="0" w:color="auto"/>
        <w:right w:val="none" w:sz="0" w:space="0" w:color="auto"/>
      </w:divBdr>
    </w:div>
    <w:div w:id="1996909441">
      <w:bodyDiv w:val="1"/>
      <w:marLeft w:val="0"/>
      <w:marRight w:val="0"/>
      <w:marTop w:val="0"/>
      <w:marBottom w:val="0"/>
      <w:divBdr>
        <w:top w:val="none" w:sz="0" w:space="0" w:color="auto"/>
        <w:left w:val="none" w:sz="0" w:space="0" w:color="auto"/>
        <w:bottom w:val="none" w:sz="0" w:space="0" w:color="auto"/>
        <w:right w:val="none" w:sz="0" w:space="0" w:color="auto"/>
      </w:divBdr>
    </w:div>
    <w:div w:id="2071808602">
      <w:bodyDiv w:val="1"/>
      <w:marLeft w:val="0"/>
      <w:marRight w:val="0"/>
      <w:marTop w:val="0"/>
      <w:marBottom w:val="0"/>
      <w:divBdr>
        <w:top w:val="none" w:sz="0" w:space="0" w:color="auto"/>
        <w:left w:val="none" w:sz="0" w:space="0" w:color="auto"/>
        <w:bottom w:val="none" w:sz="0" w:space="0" w:color="auto"/>
        <w:right w:val="none" w:sz="0" w:space="0" w:color="auto"/>
      </w:divBdr>
    </w:div>
    <w:div w:id="2106459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1</TotalTime>
  <Pages>11</Pages>
  <Words>2878</Words>
  <Characters>19219</Characters>
  <Application>Microsoft Office Word</Application>
  <DocSecurity>0</DocSecurity>
  <Lines>160</Lines>
  <Paragraphs>44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2024072645, MT</dc:description>
  <cp:lastModifiedBy>Gitte Jørgensen</cp:lastModifiedBy>
  <cp:revision>3</cp:revision>
  <cp:lastPrinted>2012-08-22T08:53:00Z</cp:lastPrinted>
  <dcterms:created xsi:type="dcterms:W3CDTF">2026-09-08T11:03:00Z</dcterms:created>
  <dcterms:modified xsi:type="dcterms:W3CDTF">2026-09-08T11:07:00Z</dcterms:modified>
</cp:coreProperties>
</file>