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F9E77"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7B0E6BC0" wp14:editId="7348ABE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FEF28DB" w14:textId="77777777" w:rsidR="009260DE" w:rsidRPr="00C84483" w:rsidRDefault="009260DE" w:rsidP="009260DE">
      <w:pPr>
        <w:pStyle w:val="Titel"/>
        <w:tabs>
          <w:tab w:val="right" w:pos="9356"/>
        </w:tabs>
        <w:jc w:val="left"/>
        <w:rPr>
          <w:b w:val="0"/>
          <w:szCs w:val="24"/>
          <w:lang w:eastAsia="en-US"/>
        </w:rPr>
      </w:pPr>
    </w:p>
    <w:p w14:paraId="64FF0311" w14:textId="5C171E4F" w:rsidR="009260DE" w:rsidRPr="00D42636" w:rsidRDefault="009260DE" w:rsidP="009260DE">
      <w:pPr>
        <w:pStyle w:val="Titel"/>
        <w:tabs>
          <w:tab w:val="right" w:pos="9356"/>
        </w:tabs>
        <w:jc w:val="left"/>
        <w:rPr>
          <w:b w:val="0"/>
          <w:szCs w:val="24"/>
          <w:lang w:val="en-US" w:eastAsia="en-US"/>
        </w:rPr>
      </w:pPr>
      <w:r w:rsidRPr="00C84483">
        <w:rPr>
          <w:b w:val="0"/>
          <w:szCs w:val="24"/>
          <w:lang w:eastAsia="en-US"/>
        </w:rPr>
        <w:tab/>
      </w:r>
      <w:r w:rsidR="00E8025C">
        <w:rPr>
          <w:szCs w:val="24"/>
          <w:lang w:val="en-US"/>
        </w:rPr>
        <w:t>5. januar 2026</w:t>
      </w:r>
    </w:p>
    <w:p w14:paraId="26259525" w14:textId="77777777" w:rsidR="009260DE" w:rsidRPr="00D42636" w:rsidRDefault="009260DE" w:rsidP="009260DE">
      <w:pPr>
        <w:pStyle w:val="Titel"/>
        <w:tabs>
          <w:tab w:val="left" w:pos="8222"/>
        </w:tabs>
        <w:jc w:val="left"/>
        <w:rPr>
          <w:b w:val="0"/>
          <w:szCs w:val="24"/>
          <w:lang w:val="en-US"/>
        </w:rPr>
      </w:pPr>
    </w:p>
    <w:p w14:paraId="0AD76A7C" w14:textId="77777777" w:rsidR="009260DE" w:rsidRPr="00D42636" w:rsidRDefault="009260DE" w:rsidP="009260DE">
      <w:pPr>
        <w:pStyle w:val="Titel"/>
        <w:jc w:val="left"/>
        <w:rPr>
          <w:b w:val="0"/>
          <w:szCs w:val="24"/>
          <w:lang w:val="en-US"/>
        </w:rPr>
      </w:pPr>
    </w:p>
    <w:p w14:paraId="051CD9D0" w14:textId="77777777" w:rsidR="009260DE" w:rsidRPr="00D42636" w:rsidRDefault="009260DE" w:rsidP="009260DE">
      <w:pPr>
        <w:pStyle w:val="Titel"/>
        <w:jc w:val="left"/>
        <w:rPr>
          <w:b w:val="0"/>
          <w:szCs w:val="24"/>
          <w:lang w:val="en-US"/>
        </w:rPr>
      </w:pPr>
    </w:p>
    <w:p w14:paraId="3EDCADF8" w14:textId="77777777" w:rsidR="009260DE" w:rsidRPr="00E8025C" w:rsidRDefault="009260DE" w:rsidP="009260DE">
      <w:pPr>
        <w:jc w:val="center"/>
        <w:rPr>
          <w:b/>
          <w:sz w:val="24"/>
          <w:szCs w:val="24"/>
        </w:rPr>
      </w:pPr>
      <w:r w:rsidRPr="00E8025C">
        <w:rPr>
          <w:b/>
          <w:sz w:val="24"/>
          <w:szCs w:val="24"/>
        </w:rPr>
        <w:t>PRODUKTRESUMÉ</w:t>
      </w:r>
    </w:p>
    <w:p w14:paraId="330ADFC8" w14:textId="77777777" w:rsidR="009260DE" w:rsidRPr="00E8025C" w:rsidRDefault="009260DE" w:rsidP="009260DE">
      <w:pPr>
        <w:jc w:val="center"/>
        <w:rPr>
          <w:b/>
          <w:sz w:val="24"/>
          <w:szCs w:val="24"/>
        </w:rPr>
      </w:pPr>
    </w:p>
    <w:p w14:paraId="4337C995" w14:textId="77777777" w:rsidR="009260DE" w:rsidRPr="00E8025C" w:rsidRDefault="009260DE" w:rsidP="009260DE">
      <w:pPr>
        <w:jc w:val="center"/>
        <w:rPr>
          <w:b/>
          <w:sz w:val="24"/>
          <w:szCs w:val="24"/>
        </w:rPr>
      </w:pPr>
      <w:r w:rsidRPr="00E8025C">
        <w:rPr>
          <w:b/>
          <w:sz w:val="24"/>
          <w:szCs w:val="24"/>
        </w:rPr>
        <w:t>for</w:t>
      </w:r>
    </w:p>
    <w:p w14:paraId="4E3D2F5F" w14:textId="77777777" w:rsidR="000B058C" w:rsidRPr="00E8025C" w:rsidRDefault="000B058C" w:rsidP="009260DE">
      <w:pPr>
        <w:jc w:val="center"/>
        <w:rPr>
          <w:b/>
          <w:sz w:val="24"/>
          <w:szCs w:val="24"/>
        </w:rPr>
      </w:pPr>
    </w:p>
    <w:p w14:paraId="1C4F2BFA" w14:textId="163A5C67" w:rsidR="009260DE" w:rsidRPr="005925E6" w:rsidRDefault="00D42636" w:rsidP="009260DE">
      <w:pPr>
        <w:jc w:val="center"/>
        <w:rPr>
          <w:b/>
          <w:sz w:val="24"/>
          <w:szCs w:val="24"/>
        </w:rPr>
      </w:pPr>
      <w:r w:rsidRPr="005925E6">
        <w:rPr>
          <w:b/>
          <w:sz w:val="24"/>
          <w:szCs w:val="24"/>
        </w:rPr>
        <w:t>Piperacillin/Tazobactam "B. Braun"</w:t>
      </w:r>
      <w:r w:rsidR="005925E6" w:rsidRPr="005925E6">
        <w:rPr>
          <w:b/>
          <w:sz w:val="24"/>
          <w:szCs w:val="24"/>
        </w:rPr>
        <w:t>, pulver og solvens ti</w:t>
      </w:r>
      <w:r w:rsidR="005925E6">
        <w:rPr>
          <w:b/>
          <w:sz w:val="24"/>
          <w:szCs w:val="24"/>
        </w:rPr>
        <w:t>l infusionsvæske, opløsning</w:t>
      </w:r>
    </w:p>
    <w:p w14:paraId="2456CED8" w14:textId="77777777" w:rsidR="009260DE" w:rsidRPr="005925E6" w:rsidRDefault="009260DE" w:rsidP="009260DE">
      <w:pPr>
        <w:jc w:val="both"/>
        <w:rPr>
          <w:sz w:val="24"/>
          <w:szCs w:val="24"/>
        </w:rPr>
      </w:pPr>
    </w:p>
    <w:p w14:paraId="3149F0B6" w14:textId="77777777" w:rsidR="009260DE" w:rsidRPr="005925E6" w:rsidRDefault="009260DE" w:rsidP="009260DE">
      <w:pPr>
        <w:jc w:val="both"/>
        <w:rPr>
          <w:sz w:val="24"/>
          <w:szCs w:val="24"/>
        </w:rPr>
      </w:pPr>
    </w:p>
    <w:p w14:paraId="7CA45174" w14:textId="77777777" w:rsidR="009260DE" w:rsidRPr="00E8025C" w:rsidRDefault="009260DE" w:rsidP="009260DE">
      <w:pPr>
        <w:tabs>
          <w:tab w:val="left" w:pos="851"/>
        </w:tabs>
        <w:ind w:left="851" w:hanging="851"/>
        <w:rPr>
          <w:b/>
          <w:sz w:val="24"/>
          <w:szCs w:val="24"/>
        </w:rPr>
      </w:pPr>
      <w:r w:rsidRPr="00E8025C">
        <w:rPr>
          <w:b/>
          <w:sz w:val="24"/>
          <w:szCs w:val="24"/>
        </w:rPr>
        <w:t>0.</w:t>
      </w:r>
      <w:r w:rsidRPr="00E8025C">
        <w:rPr>
          <w:b/>
          <w:sz w:val="24"/>
          <w:szCs w:val="24"/>
        </w:rPr>
        <w:tab/>
        <w:t>D.SP.NR.</w:t>
      </w:r>
    </w:p>
    <w:p w14:paraId="46D5B917" w14:textId="63E17666" w:rsidR="009260DE" w:rsidRPr="00C84483" w:rsidRDefault="005925E6" w:rsidP="009260DE">
      <w:pPr>
        <w:tabs>
          <w:tab w:val="left" w:pos="851"/>
        </w:tabs>
        <w:ind w:left="851"/>
        <w:rPr>
          <w:sz w:val="24"/>
          <w:szCs w:val="24"/>
        </w:rPr>
      </w:pPr>
      <w:r>
        <w:rPr>
          <w:sz w:val="24"/>
          <w:szCs w:val="24"/>
        </w:rPr>
        <w:t>34352</w:t>
      </w:r>
    </w:p>
    <w:p w14:paraId="102A7B34" w14:textId="77777777" w:rsidR="009260DE" w:rsidRPr="00C84483" w:rsidRDefault="009260DE" w:rsidP="009260DE">
      <w:pPr>
        <w:tabs>
          <w:tab w:val="left" w:pos="851"/>
        </w:tabs>
        <w:ind w:left="851"/>
        <w:rPr>
          <w:sz w:val="24"/>
          <w:szCs w:val="24"/>
        </w:rPr>
      </w:pPr>
    </w:p>
    <w:p w14:paraId="48C5372F"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0E2CFE1" w14:textId="4A61A9E4" w:rsidR="009260DE" w:rsidRPr="005925E6" w:rsidRDefault="005925E6" w:rsidP="009260DE">
      <w:pPr>
        <w:tabs>
          <w:tab w:val="left" w:pos="851"/>
        </w:tabs>
        <w:ind w:left="851"/>
        <w:rPr>
          <w:sz w:val="24"/>
          <w:szCs w:val="24"/>
        </w:rPr>
      </w:pPr>
      <w:r w:rsidRPr="005925E6">
        <w:rPr>
          <w:sz w:val="24"/>
          <w:szCs w:val="24"/>
        </w:rPr>
        <w:t>Piperacillin/Tazobactam "B. Braun"</w:t>
      </w:r>
    </w:p>
    <w:p w14:paraId="284DC15B" w14:textId="77777777" w:rsidR="009260DE" w:rsidRPr="00C84483" w:rsidRDefault="009260DE" w:rsidP="009260DE">
      <w:pPr>
        <w:tabs>
          <w:tab w:val="left" w:pos="851"/>
        </w:tabs>
        <w:ind w:left="851"/>
        <w:rPr>
          <w:sz w:val="24"/>
          <w:szCs w:val="24"/>
        </w:rPr>
      </w:pPr>
    </w:p>
    <w:p w14:paraId="49FF9900"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4387601E" w14:textId="77777777" w:rsidR="005925E6" w:rsidRPr="005925E6" w:rsidRDefault="005925E6" w:rsidP="005925E6">
      <w:pPr>
        <w:tabs>
          <w:tab w:val="left" w:pos="851"/>
        </w:tabs>
        <w:ind w:left="851"/>
        <w:rPr>
          <w:sz w:val="24"/>
          <w:szCs w:val="24"/>
        </w:rPr>
      </w:pPr>
      <w:r w:rsidRPr="005925E6">
        <w:rPr>
          <w:sz w:val="24"/>
          <w:szCs w:val="24"/>
        </w:rPr>
        <w:t>Hver to-kammerpose indeholder piperacillin (som piperacillinnatrium) svarende til 4 g og tazobactam (som tazobactamnatrium) svarende til 0,5 g.</w:t>
      </w:r>
    </w:p>
    <w:p w14:paraId="3B7F342B" w14:textId="77777777" w:rsidR="005925E6" w:rsidRPr="005925E6" w:rsidRDefault="005925E6" w:rsidP="005925E6">
      <w:pPr>
        <w:tabs>
          <w:tab w:val="left" w:pos="851"/>
        </w:tabs>
        <w:ind w:left="851"/>
        <w:rPr>
          <w:sz w:val="24"/>
          <w:szCs w:val="24"/>
        </w:rPr>
      </w:pPr>
      <w:r w:rsidRPr="005925E6">
        <w:rPr>
          <w:sz w:val="24"/>
          <w:szCs w:val="24"/>
        </w:rPr>
        <w:t>Efter rekonstitution indeholder opløsningen 40 mg piperacillin og 5 mg tazobactam pr. ml.</w:t>
      </w:r>
    </w:p>
    <w:p w14:paraId="1A012439" w14:textId="77777777" w:rsidR="005925E6" w:rsidRPr="005925E6" w:rsidRDefault="005925E6" w:rsidP="005925E6">
      <w:pPr>
        <w:tabs>
          <w:tab w:val="left" w:pos="851"/>
        </w:tabs>
        <w:ind w:left="851"/>
        <w:rPr>
          <w:sz w:val="24"/>
          <w:szCs w:val="24"/>
        </w:rPr>
      </w:pPr>
    </w:p>
    <w:p w14:paraId="38D766F0" w14:textId="6F5452B1" w:rsidR="005925E6" w:rsidRPr="005925E6" w:rsidRDefault="005925E6" w:rsidP="005925E6">
      <w:pPr>
        <w:tabs>
          <w:tab w:val="left" w:pos="851"/>
        </w:tabs>
        <w:ind w:left="851"/>
        <w:rPr>
          <w:sz w:val="24"/>
          <w:szCs w:val="24"/>
          <w:u w:val="single"/>
        </w:rPr>
      </w:pPr>
      <w:r w:rsidRPr="005925E6">
        <w:rPr>
          <w:sz w:val="24"/>
          <w:szCs w:val="24"/>
          <w:u w:val="single"/>
        </w:rPr>
        <w:t>Hjælpestof, som behandleren skal være opmærksom på</w:t>
      </w:r>
    </w:p>
    <w:p w14:paraId="3A94E2EC" w14:textId="10F537B4" w:rsidR="005925E6" w:rsidRPr="005925E6" w:rsidRDefault="005925E6" w:rsidP="005925E6">
      <w:pPr>
        <w:tabs>
          <w:tab w:val="left" w:pos="851"/>
        </w:tabs>
        <w:ind w:left="851"/>
        <w:rPr>
          <w:sz w:val="24"/>
          <w:szCs w:val="24"/>
        </w:rPr>
      </w:pPr>
      <w:r w:rsidRPr="005925E6">
        <w:rPr>
          <w:sz w:val="24"/>
          <w:szCs w:val="24"/>
        </w:rPr>
        <w:t>Den totale mængde af natrium pr. to-kammerpose er 459,7 mg</w:t>
      </w:r>
      <w:r>
        <w:rPr>
          <w:sz w:val="24"/>
          <w:szCs w:val="24"/>
        </w:rPr>
        <w:t>.</w:t>
      </w:r>
    </w:p>
    <w:p w14:paraId="7CD25A7D" w14:textId="77777777" w:rsidR="005925E6" w:rsidRPr="005925E6" w:rsidRDefault="005925E6" w:rsidP="005925E6">
      <w:pPr>
        <w:tabs>
          <w:tab w:val="left" w:pos="851"/>
        </w:tabs>
        <w:ind w:left="851"/>
        <w:rPr>
          <w:sz w:val="24"/>
          <w:szCs w:val="24"/>
        </w:rPr>
      </w:pPr>
    </w:p>
    <w:p w14:paraId="2CE656B0" w14:textId="77777777" w:rsidR="005925E6" w:rsidRPr="005925E6" w:rsidRDefault="005925E6" w:rsidP="005925E6">
      <w:pPr>
        <w:tabs>
          <w:tab w:val="left" w:pos="851"/>
        </w:tabs>
        <w:ind w:left="851"/>
        <w:rPr>
          <w:sz w:val="24"/>
          <w:szCs w:val="24"/>
        </w:rPr>
      </w:pPr>
      <w:r w:rsidRPr="005925E6">
        <w:rPr>
          <w:sz w:val="24"/>
          <w:szCs w:val="24"/>
        </w:rPr>
        <w:t>Alle hjælpestoffer er anført under pkt. 6.1.</w:t>
      </w:r>
    </w:p>
    <w:p w14:paraId="497039C6" w14:textId="77777777" w:rsidR="009260DE" w:rsidRPr="00C84483" w:rsidRDefault="009260DE" w:rsidP="009260DE">
      <w:pPr>
        <w:tabs>
          <w:tab w:val="left" w:pos="851"/>
        </w:tabs>
        <w:ind w:left="851"/>
        <w:rPr>
          <w:sz w:val="24"/>
          <w:szCs w:val="24"/>
        </w:rPr>
      </w:pPr>
    </w:p>
    <w:p w14:paraId="71652ABB"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14C3B4FB" w14:textId="63F1E3A0" w:rsidR="005925E6" w:rsidRPr="005925E6" w:rsidRDefault="005925E6" w:rsidP="005925E6">
      <w:pPr>
        <w:tabs>
          <w:tab w:val="left" w:pos="851"/>
        </w:tabs>
        <w:ind w:left="851"/>
        <w:rPr>
          <w:sz w:val="24"/>
          <w:szCs w:val="24"/>
        </w:rPr>
      </w:pPr>
      <w:r w:rsidRPr="005925E6">
        <w:rPr>
          <w:sz w:val="24"/>
          <w:szCs w:val="24"/>
        </w:rPr>
        <w:t>Pulver og solvens til infusionsvæske, opløsning</w:t>
      </w:r>
    </w:p>
    <w:p w14:paraId="3302C2BF" w14:textId="77777777" w:rsidR="005925E6" w:rsidRPr="005925E6" w:rsidRDefault="005925E6" w:rsidP="005925E6">
      <w:pPr>
        <w:tabs>
          <w:tab w:val="left" w:pos="851"/>
        </w:tabs>
        <w:ind w:left="851"/>
        <w:rPr>
          <w:sz w:val="24"/>
          <w:szCs w:val="24"/>
        </w:rPr>
      </w:pPr>
    </w:p>
    <w:p w14:paraId="0BF5F0C2" w14:textId="77777777" w:rsidR="005925E6" w:rsidRPr="005925E6" w:rsidRDefault="005925E6" w:rsidP="005925E6">
      <w:pPr>
        <w:tabs>
          <w:tab w:val="left" w:pos="851"/>
        </w:tabs>
        <w:ind w:left="851"/>
        <w:rPr>
          <w:sz w:val="24"/>
          <w:szCs w:val="24"/>
        </w:rPr>
      </w:pPr>
      <w:r w:rsidRPr="005925E6">
        <w:rPr>
          <w:sz w:val="24"/>
          <w:szCs w:val="24"/>
        </w:rPr>
        <w:t>Før rekonstitution indeholder to-kammerposen et hvidt til råhvidt pulver og en klar, farveløs opløsning.</w:t>
      </w:r>
    </w:p>
    <w:p w14:paraId="7521EE02" w14:textId="77777777" w:rsidR="005925E6" w:rsidRPr="005925E6" w:rsidRDefault="005925E6" w:rsidP="005925E6">
      <w:pPr>
        <w:tabs>
          <w:tab w:val="left" w:pos="851"/>
        </w:tabs>
        <w:ind w:left="851"/>
        <w:rPr>
          <w:sz w:val="24"/>
          <w:szCs w:val="24"/>
        </w:rPr>
      </w:pPr>
      <w:r w:rsidRPr="005925E6">
        <w:rPr>
          <w:sz w:val="24"/>
          <w:szCs w:val="24"/>
        </w:rPr>
        <w:t>Efter rekonstitution er den klare, farveløse opløsning iso</w:t>
      </w:r>
      <w:r w:rsidRPr="005925E6">
        <w:rPr>
          <w:sz w:val="24"/>
          <w:szCs w:val="24"/>
        </w:rPr>
        <w:noBreakHyphen/>
        <w:t>osmotisk med pH på mellem 5,0 og 7,0.</w:t>
      </w:r>
    </w:p>
    <w:p w14:paraId="1DD19DF3" w14:textId="77777777" w:rsidR="009260DE" w:rsidRPr="00C84483" w:rsidRDefault="009260DE" w:rsidP="009260DE">
      <w:pPr>
        <w:tabs>
          <w:tab w:val="left" w:pos="851"/>
        </w:tabs>
        <w:ind w:left="851"/>
        <w:rPr>
          <w:sz w:val="24"/>
          <w:szCs w:val="24"/>
        </w:rPr>
      </w:pPr>
    </w:p>
    <w:p w14:paraId="0DA53E0F" w14:textId="77777777" w:rsidR="009260DE" w:rsidRPr="00C84483" w:rsidRDefault="009260DE" w:rsidP="009260DE">
      <w:pPr>
        <w:tabs>
          <w:tab w:val="left" w:pos="851"/>
        </w:tabs>
        <w:ind w:left="851"/>
        <w:rPr>
          <w:sz w:val="24"/>
          <w:szCs w:val="24"/>
        </w:rPr>
      </w:pPr>
    </w:p>
    <w:p w14:paraId="174A8391"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0A61B68" w14:textId="77777777" w:rsidR="009260DE" w:rsidRPr="00C84483" w:rsidRDefault="009260DE" w:rsidP="009260DE">
      <w:pPr>
        <w:tabs>
          <w:tab w:val="left" w:pos="851"/>
        </w:tabs>
        <w:ind w:left="851"/>
        <w:rPr>
          <w:b/>
          <w:sz w:val="24"/>
          <w:szCs w:val="24"/>
        </w:rPr>
      </w:pPr>
    </w:p>
    <w:p w14:paraId="1F76346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BA1D21B" w14:textId="77777777" w:rsidR="005925E6" w:rsidRPr="005925E6" w:rsidRDefault="005925E6" w:rsidP="005925E6">
      <w:pPr>
        <w:tabs>
          <w:tab w:val="left" w:pos="851"/>
        </w:tabs>
        <w:ind w:left="851"/>
        <w:rPr>
          <w:sz w:val="24"/>
          <w:szCs w:val="24"/>
        </w:rPr>
      </w:pPr>
      <w:r w:rsidRPr="005925E6">
        <w:rPr>
          <w:sz w:val="24"/>
          <w:szCs w:val="24"/>
        </w:rPr>
        <w:t>Piperacillin/Tazobactam "B. Braun" er indiceret til behandling af følgende infektioner hos voksne, unge og børn på 2 år og derover (se pkt. 4.2 og 5.1):</w:t>
      </w:r>
    </w:p>
    <w:p w14:paraId="2A06186C" w14:textId="77777777" w:rsidR="005925E6" w:rsidRPr="005925E6" w:rsidRDefault="005925E6" w:rsidP="005925E6">
      <w:pPr>
        <w:tabs>
          <w:tab w:val="left" w:pos="851"/>
        </w:tabs>
        <w:ind w:left="851"/>
        <w:rPr>
          <w:sz w:val="24"/>
          <w:szCs w:val="24"/>
        </w:rPr>
      </w:pPr>
    </w:p>
    <w:p w14:paraId="46E3AD11" w14:textId="77777777" w:rsidR="005925E6" w:rsidRPr="005925E6" w:rsidRDefault="005925E6" w:rsidP="005925E6">
      <w:pPr>
        <w:tabs>
          <w:tab w:val="left" w:pos="851"/>
        </w:tabs>
        <w:ind w:left="851"/>
        <w:rPr>
          <w:sz w:val="24"/>
          <w:szCs w:val="24"/>
          <w:u w:val="single"/>
        </w:rPr>
      </w:pPr>
      <w:r w:rsidRPr="005925E6">
        <w:rPr>
          <w:sz w:val="24"/>
          <w:szCs w:val="24"/>
          <w:u w:val="single"/>
        </w:rPr>
        <w:t>Voksne og unge</w:t>
      </w:r>
    </w:p>
    <w:p w14:paraId="27734A1B" w14:textId="3283C12A" w:rsidR="005925E6" w:rsidRPr="005925E6" w:rsidRDefault="005925E6" w:rsidP="005925E6">
      <w:pPr>
        <w:numPr>
          <w:ilvl w:val="0"/>
          <w:numId w:val="6"/>
        </w:numPr>
        <w:tabs>
          <w:tab w:val="left" w:pos="851"/>
        </w:tabs>
        <w:ind w:left="1134" w:hanging="283"/>
        <w:rPr>
          <w:sz w:val="24"/>
          <w:szCs w:val="24"/>
        </w:rPr>
      </w:pPr>
      <w:r w:rsidRPr="005925E6">
        <w:rPr>
          <w:sz w:val="24"/>
          <w:szCs w:val="24"/>
        </w:rPr>
        <w:t>Svær lungebetændelse, herunder hospitalserhvervet og ventilatorassocieret lungebetændelse</w:t>
      </w:r>
    </w:p>
    <w:p w14:paraId="0CEEBAFD" w14:textId="77777777" w:rsidR="005925E6" w:rsidRPr="005925E6" w:rsidRDefault="005925E6" w:rsidP="005925E6">
      <w:pPr>
        <w:numPr>
          <w:ilvl w:val="0"/>
          <w:numId w:val="6"/>
        </w:numPr>
        <w:tabs>
          <w:tab w:val="left" w:pos="851"/>
        </w:tabs>
        <w:ind w:left="1134" w:hanging="283"/>
        <w:rPr>
          <w:sz w:val="24"/>
          <w:szCs w:val="24"/>
        </w:rPr>
      </w:pPr>
      <w:r w:rsidRPr="005925E6">
        <w:rPr>
          <w:sz w:val="24"/>
          <w:szCs w:val="24"/>
        </w:rPr>
        <w:lastRenderedPageBreak/>
        <w:t>Komplicerede urinvejsinfektioner (herunder pyelonefritis)</w:t>
      </w:r>
    </w:p>
    <w:p w14:paraId="3D8832D5" w14:textId="77777777" w:rsidR="005925E6" w:rsidRPr="005925E6" w:rsidRDefault="005925E6" w:rsidP="005925E6">
      <w:pPr>
        <w:numPr>
          <w:ilvl w:val="0"/>
          <w:numId w:val="6"/>
        </w:numPr>
        <w:tabs>
          <w:tab w:val="left" w:pos="851"/>
        </w:tabs>
        <w:ind w:left="1134" w:hanging="283"/>
        <w:rPr>
          <w:sz w:val="24"/>
          <w:szCs w:val="24"/>
        </w:rPr>
      </w:pPr>
      <w:r w:rsidRPr="005925E6">
        <w:rPr>
          <w:sz w:val="24"/>
          <w:szCs w:val="24"/>
        </w:rPr>
        <w:t>Komplicerede intraabdominale infektioner</w:t>
      </w:r>
    </w:p>
    <w:p w14:paraId="2D12F4B0" w14:textId="77777777" w:rsidR="005925E6" w:rsidRPr="005925E6" w:rsidRDefault="005925E6" w:rsidP="005925E6">
      <w:pPr>
        <w:numPr>
          <w:ilvl w:val="0"/>
          <w:numId w:val="6"/>
        </w:numPr>
        <w:tabs>
          <w:tab w:val="left" w:pos="851"/>
        </w:tabs>
        <w:ind w:left="1134" w:hanging="283"/>
        <w:rPr>
          <w:sz w:val="24"/>
          <w:szCs w:val="24"/>
        </w:rPr>
      </w:pPr>
      <w:r w:rsidRPr="005925E6">
        <w:rPr>
          <w:sz w:val="24"/>
          <w:szCs w:val="24"/>
        </w:rPr>
        <w:t>Komplicerede hud- og bløddelsinfektioner (herunder diabetiske fodinfektioner)</w:t>
      </w:r>
    </w:p>
    <w:p w14:paraId="4B41DF93" w14:textId="77777777" w:rsidR="005925E6" w:rsidRPr="005925E6" w:rsidRDefault="005925E6" w:rsidP="005925E6">
      <w:pPr>
        <w:tabs>
          <w:tab w:val="left" w:pos="851"/>
        </w:tabs>
        <w:ind w:left="851"/>
        <w:rPr>
          <w:sz w:val="24"/>
          <w:szCs w:val="24"/>
        </w:rPr>
      </w:pPr>
    </w:p>
    <w:p w14:paraId="392AE9DD" w14:textId="77777777" w:rsidR="005925E6" w:rsidRPr="005925E6" w:rsidRDefault="005925E6" w:rsidP="005925E6">
      <w:pPr>
        <w:tabs>
          <w:tab w:val="left" w:pos="851"/>
        </w:tabs>
        <w:ind w:left="851"/>
        <w:rPr>
          <w:sz w:val="24"/>
          <w:szCs w:val="24"/>
        </w:rPr>
      </w:pPr>
      <w:r w:rsidRPr="005925E6">
        <w:rPr>
          <w:sz w:val="24"/>
          <w:szCs w:val="24"/>
        </w:rPr>
        <w:t xml:space="preserve">Behandling af patienter med bakteriæmi, der forekommer samtidig med eller mistænkes for at være relateret til en af de ovenfor beskrevne infektioner. </w:t>
      </w:r>
    </w:p>
    <w:p w14:paraId="3E5A867F" w14:textId="77777777" w:rsidR="005925E6" w:rsidRPr="005925E6" w:rsidRDefault="005925E6" w:rsidP="005925E6">
      <w:pPr>
        <w:tabs>
          <w:tab w:val="left" w:pos="851"/>
        </w:tabs>
        <w:ind w:left="851"/>
        <w:rPr>
          <w:sz w:val="24"/>
          <w:szCs w:val="24"/>
        </w:rPr>
      </w:pPr>
    </w:p>
    <w:p w14:paraId="31E68D5B" w14:textId="77777777" w:rsidR="005925E6" w:rsidRPr="005925E6" w:rsidRDefault="005925E6" w:rsidP="005925E6">
      <w:pPr>
        <w:tabs>
          <w:tab w:val="left" w:pos="851"/>
        </w:tabs>
        <w:ind w:left="851"/>
        <w:rPr>
          <w:sz w:val="24"/>
          <w:szCs w:val="24"/>
        </w:rPr>
      </w:pPr>
      <w:r w:rsidRPr="005925E6">
        <w:rPr>
          <w:sz w:val="24"/>
          <w:szCs w:val="24"/>
        </w:rPr>
        <w:t>Piperacillin/Tazobactam "B. Braun" kan anvendes til behandling af neutropeniske patienter med feber, der mistænkes for at være forårsaget af en bakterieinfektion.</w:t>
      </w:r>
    </w:p>
    <w:p w14:paraId="74C9A004" w14:textId="77777777" w:rsidR="005925E6" w:rsidRPr="005925E6" w:rsidRDefault="005925E6" w:rsidP="005925E6">
      <w:pPr>
        <w:tabs>
          <w:tab w:val="left" w:pos="851"/>
        </w:tabs>
        <w:ind w:left="851"/>
        <w:rPr>
          <w:sz w:val="24"/>
          <w:szCs w:val="24"/>
        </w:rPr>
      </w:pPr>
    </w:p>
    <w:p w14:paraId="760CAFFD" w14:textId="77777777" w:rsidR="005925E6" w:rsidRPr="005925E6" w:rsidRDefault="005925E6" w:rsidP="005925E6">
      <w:pPr>
        <w:tabs>
          <w:tab w:val="left" w:pos="851"/>
        </w:tabs>
        <w:ind w:left="851"/>
        <w:rPr>
          <w:sz w:val="24"/>
          <w:szCs w:val="24"/>
        </w:rPr>
      </w:pPr>
      <w:r w:rsidRPr="005925E6">
        <w:rPr>
          <w:sz w:val="24"/>
          <w:szCs w:val="24"/>
        </w:rPr>
        <w:t xml:space="preserve">Bemærk: Anvendelse for bakteriæmi på grund af extended-beta-lactamase (ESBL)-producerende </w:t>
      </w:r>
      <w:r w:rsidRPr="005925E6">
        <w:rPr>
          <w:i/>
          <w:iCs/>
          <w:sz w:val="24"/>
          <w:szCs w:val="24"/>
        </w:rPr>
        <w:t xml:space="preserve">e. coli </w:t>
      </w:r>
      <w:r w:rsidRPr="005925E6">
        <w:rPr>
          <w:sz w:val="24"/>
          <w:szCs w:val="24"/>
        </w:rPr>
        <w:t xml:space="preserve">og </w:t>
      </w:r>
      <w:r w:rsidRPr="005925E6">
        <w:rPr>
          <w:i/>
          <w:iCs/>
          <w:sz w:val="24"/>
          <w:szCs w:val="24"/>
        </w:rPr>
        <w:t>k. pneumoniae</w:t>
      </w:r>
      <w:r w:rsidRPr="005925E6">
        <w:rPr>
          <w:sz w:val="24"/>
          <w:szCs w:val="24"/>
        </w:rPr>
        <w:t xml:space="preserve"> (ikke-følsom over for ceftriaxon) frarådes hos voksne patienter (se pkt. 5.1).</w:t>
      </w:r>
    </w:p>
    <w:p w14:paraId="5FC86489" w14:textId="77777777" w:rsidR="005925E6" w:rsidRPr="005925E6" w:rsidRDefault="005925E6" w:rsidP="005925E6">
      <w:pPr>
        <w:tabs>
          <w:tab w:val="left" w:pos="851"/>
        </w:tabs>
        <w:ind w:left="851"/>
        <w:rPr>
          <w:sz w:val="24"/>
          <w:szCs w:val="24"/>
        </w:rPr>
      </w:pPr>
    </w:p>
    <w:p w14:paraId="25C5BDB4" w14:textId="77777777" w:rsidR="005925E6" w:rsidRPr="005925E6" w:rsidRDefault="005925E6" w:rsidP="005925E6">
      <w:pPr>
        <w:tabs>
          <w:tab w:val="left" w:pos="851"/>
        </w:tabs>
        <w:ind w:left="851"/>
        <w:rPr>
          <w:sz w:val="24"/>
          <w:szCs w:val="24"/>
          <w:u w:val="single"/>
        </w:rPr>
      </w:pPr>
      <w:r w:rsidRPr="005925E6">
        <w:rPr>
          <w:sz w:val="24"/>
          <w:szCs w:val="24"/>
          <w:u w:val="single"/>
        </w:rPr>
        <w:t>Børn i alderen 2-12 år</w:t>
      </w:r>
    </w:p>
    <w:p w14:paraId="2E0B6561" w14:textId="03963C8E" w:rsidR="005925E6" w:rsidRPr="005925E6" w:rsidRDefault="005925E6" w:rsidP="005925E6">
      <w:pPr>
        <w:numPr>
          <w:ilvl w:val="0"/>
          <w:numId w:val="7"/>
        </w:numPr>
        <w:tabs>
          <w:tab w:val="left" w:pos="851"/>
        </w:tabs>
        <w:ind w:left="1134" w:hanging="283"/>
        <w:rPr>
          <w:sz w:val="24"/>
          <w:szCs w:val="24"/>
        </w:rPr>
      </w:pPr>
      <w:r w:rsidRPr="005925E6">
        <w:rPr>
          <w:sz w:val="24"/>
          <w:szCs w:val="24"/>
        </w:rPr>
        <w:t>Komplicerede intraabdominale infektioner</w:t>
      </w:r>
    </w:p>
    <w:p w14:paraId="063CFC8E" w14:textId="77777777" w:rsidR="005925E6" w:rsidRPr="005925E6" w:rsidRDefault="005925E6" w:rsidP="005925E6">
      <w:pPr>
        <w:tabs>
          <w:tab w:val="left" w:pos="851"/>
        </w:tabs>
        <w:ind w:left="851"/>
        <w:rPr>
          <w:sz w:val="24"/>
          <w:szCs w:val="24"/>
        </w:rPr>
      </w:pPr>
    </w:p>
    <w:p w14:paraId="6CB17D8B" w14:textId="77777777" w:rsidR="005925E6" w:rsidRPr="005925E6" w:rsidRDefault="005925E6" w:rsidP="005925E6">
      <w:pPr>
        <w:tabs>
          <w:tab w:val="left" w:pos="851"/>
        </w:tabs>
        <w:ind w:left="851"/>
        <w:rPr>
          <w:sz w:val="24"/>
          <w:szCs w:val="24"/>
        </w:rPr>
      </w:pPr>
      <w:r w:rsidRPr="005925E6">
        <w:rPr>
          <w:sz w:val="24"/>
          <w:szCs w:val="24"/>
        </w:rPr>
        <w:t>Piperacillin/Tazobactam "B. Braun" kan anvendes til behandling af neutropeniske børn med feber, der mistænkes for at være forårsaget af en bakterieinfektion.</w:t>
      </w:r>
      <w:r w:rsidRPr="005925E6">
        <w:rPr>
          <w:sz w:val="24"/>
          <w:szCs w:val="24"/>
        </w:rPr>
        <w:tab/>
      </w:r>
    </w:p>
    <w:p w14:paraId="702A32E8" w14:textId="77777777" w:rsidR="005925E6" w:rsidRPr="005925E6" w:rsidRDefault="005925E6" w:rsidP="005925E6">
      <w:pPr>
        <w:tabs>
          <w:tab w:val="left" w:pos="851"/>
        </w:tabs>
        <w:ind w:left="851"/>
        <w:rPr>
          <w:sz w:val="24"/>
          <w:szCs w:val="24"/>
        </w:rPr>
      </w:pPr>
    </w:p>
    <w:p w14:paraId="1DEFE066" w14:textId="77777777" w:rsidR="005925E6" w:rsidRPr="005925E6" w:rsidRDefault="005925E6" w:rsidP="005925E6">
      <w:pPr>
        <w:tabs>
          <w:tab w:val="left" w:pos="851"/>
        </w:tabs>
        <w:ind w:left="851"/>
        <w:rPr>
          <w:sz w:val="24"/>
          <w:szCs w:val="24"/>
        </w:rPr>
      </w:pPr>
      <w:r w:rsidRPr="005925E6">
        <w:rPr>
          <w:sz w:val="24"/>
          <w:szCs w:val="24"/>
        </w:rPr>
        <w:t>Behandlingen skal ske under iagttagelse af officielle retningslinjer for korrekt anvendelse af antibakterielle midler.</w:t>
      </w:r>
    </w:p>
    <w:p w14:paraId="141FD996" w14:textId="77777777" w:rsidR="009260DE" w:rsidRPr="00C84483" w:rsidRDefault="009260DE" w:rsidP="009260DE">
      <w:pPr>
        <w:tabs>
          <w:tab w:val="left" w:pos="851"/>
        </w:tabs>
        <w:ind w:left="851"/>
        <w:rPr>
          <w:sz w:val="24"/>
          <w:szCs w:val="24"/>
        </w:rPr>
      </w:pPr>
    </w:p>
    <w:p w14:paraId="24EB1122"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1CC428BC" w14:textId="77777777" w:rsidR="004A3FB9" w:rsidRDefault="004A3FB9" w:rsidP="004A3FB9">
      <w:pPr>
        <w:tabs>
          <w:tab w:val="left" w:pos="851"/>
        </w:tabs>
        <w:ind w:left="851"/>
        <w:rPr>
          <w:sz w:val="24"/>
          <w:szCs w:val="24"/>
          <w:u w:val="single"/>
        </w:rPr>
      </w:pPr>
    </w:p>
    <w:p w14:paraId="342B0186" w14:textId="3D6D14CF" w:rsidR="004A3FB9" w:rsidRPr="00B51B54" w:rsidRDefault="004A3FB9" w:rsidP="004A3FB9">
      <w:pPr>
        <w:tabs>
          <w:tab w:val="left" w:pos="851"/>
        </w:tabs>
        <w:ind w:left="851"/>
        <w:rPr>
          <w:b/>
          <w:sz w:val="24"/>
          <w:szCs w:val="24"/>
        </w:rPr>
      </w:pPr>
      <w:r w:rsidRPr="00B51B54">
        <w:rPr>
          <w:b/>
          <w:sz w:val="24"/>
          <w:szCs w:val="24"/>
        </w:rPr>
        <w:t>Dosering</w:t>
      </w:r>
    </w:p>
    <w:p w14:paraId="70E62E25" w14:textId="77777777" w:rsidR="004A3FB9" w:rsidRPr="004A3FB9" w:rsidRDefault="004A3FB9" w:rsidP="004A3FB9">
      <w:pPr>
        <w:tabs>
          <w:tab w:val="left" w:pos="851"/>
        </w:tabs>
        <w:ind w:left="851"/>
        <w:rPr>
          <w:sz w:val="24"/>
          <w:szCs w:val="24"/>
          <w:u w:val="single"/>
        </w:rPr>
      </w:pPr>
      <w:r w:rsidRPr="004A3FB9">
        <w:rPr>
          <w:sz w:val="24"/>
          <w:szCs w:val="24"/>
        </w:rPr>
        <w:t>Dosis og doseringshyppighed af Piperacillin/Tazobactam "B. Braun" afhænger af sværhedsgraden og lokalisationen af infektionen samt de mistænkte patogener.</w:t>
      </w:r>
    </w:p>
    <w:p w14:paraId="498531AF" w14:textId="77777777" w:rsidR="004A3FB9" w:rsidRPr="004A3FB9" w:rsidRDefault="004A3FB9" w:rsidP="004A3FB9">
      <w:pPr>
        <w:tabs>
          <w:tab w:val="left" w:pos="851"/>
        </w:tabs>
        <w:ind w:left="851"/>
        <w:rPr>
          <w:b/>
          <w:sz w:val="24"/>
          <w:szCs w:val="24"/>
        </w:rPr>
      </w:pPr>
    </w:p>
    <w:p w14:paraId="15CFE450" w14:textId="77777777" w:rsidR="004A3FB9" w:rsidRPr="00B51B54" w:rsidRDefault="004A3FB9" w:rsidP="004A3FB9">
      <w:pPr>
        <w:tabs>
          <w:tab w:val="left" w:pos="851"/>
        </w:tabs>
        <w:ind w:left="851"/>
        <w:rPr>
          <w:sz w:val="24"/>
          <w:szCs w:val="24"/>
          <w:u w:val="single"/>
        </w:rPr>
      </w:pPr>
      <w:r w:rsidRPr="00B51B54">
        <w:rPr>
          <w:sz w:val="24"/>
          <w:szCs w:val="24"/>
          <w:u w:val="single"/>
        </w:rPr>
        <w:t xml:space="preserve">Voksne og unge patienter </w:t>
      </w:r>
    </w:p>
    <w:p w14:paraId="45D6BF66" w14:textId="77777777" w:rsidR="00B51B54" w:rsidRDefault="00B51B54" w:rsidP="004A3FB9">
      <w:pPr>
        <w:tabs>
          <w:tab w:val="left" w:pos="851"/>
        </w:tabs>
        <w:ind w:left="851"/>
        <w:rPr>
          <w:iCs/>
          <w:sz w:val="24"/>
          <w:szCs w:val="24"/>
          <w:u w:val="single"/>
        </w:rPr>
      </w:pPr>
    </w:p>
    <w:p w14:paraId="63768D74" w14:textId="1FE240A5" w:rsidR="004A3FB9" w:rsidRPr="00B51B54" w:rsidRDefault="004A3FB9" w:rsidP="004A3FB9">
      <w:pPr>
        <w:tabs>
          <w:tab w:val="left" w:pos="851"/>
        </w:tabs>
        <w:ind w:left="851"/>
        <w:rPr>
          <w:i/>
          <w:iCs/>
          <w:sz w:val="24"/>
          <w:szCs w:val="24"/>
        </w:rPr>
      </w:pPr>
      <w:r w:rsidRPr="00B51B54">
        <w:rPr>
          <w:i/>
          <w:iCs/>
          <w:sz w:val="24"/>
          <w:szCs w:val="24"/>
        </w:rPr>
        <w:t>Infektioner</w:t>
      </w:r>
    </w:p>
    <w:p w14:paraId="561D846A" w14:textId="77777777" w:rsidR="004A3FB9" w:rsidRPr="004A3FB9" w:rsidRDefault="004A3FB9" w:rsidP="004A3FB9">
      <w:pPr>
        <w:tabs>
          <w:tab w:val="left" w:pos="851"/>
        </w:tabs>
        <w:ind w:left="851"/>
        <w:rPr>
          <w:sz w:val="24"/>
          <w:szCs w:val="24"/>
        </w:rPr>
      </w:pPr>
      <w:r w:rsidRPr="004A3FB9">
        <w:rPr>
          <w:sz w:val="24"/>
          <w:szCs w:val="24"/>
        </w:rPr>
        <w:t>Den sædvanlige dosis er 4 g piperacillin/0,5 g tazobactam administreret hver 8. time.</w:t>
      </w:r>
    </w:p>
    <w:p w14:paraId="456DB837" w14:textId="77777777" w:rsidR="004A3FB9" w:rsidRPr="004A3FB9" w:rsidRDefault="004A3FB9" w:rsidP="004A3FB9">
      <w:pPr>
        <w:tabs>
          <w:tab w:val="left" w:pos="851"/>
        </w:tabs>
        <w:ind w:left="851"/>
        <w:rPr>
          <w:sz w:val="24"/>
          <w:szCs w:val="24"/>
        </w:rPr>
      </w:pPr>
    </w:p>
    <w:p w14:paraId="1D40EA6D" w14:textId="77777777" w:rsidR="004A3FB9" w:rsidRPr="004A3FB9" w:rsidRDefault="004A3FB9" w:rsidP="004A3FB9">
      <w:pPr>
        <w:tabs>
          <w:tab w:val="left" w:pos="851"/>
        </w:tabs>
        <w:ind w:left="851"/>
        <w:rPr>
          <w:sz w:val="24"/>
          <w:szCs w:val="24"/>
        </w:rPr>
      </w:pPr>
      <w:r w:rsidRPr="004A3FB9">
        <w:rPr>
          <w:sz w:val="24"/>
          <w:szCs w:val="24"/>
        </w:rPr>
        <w:t>Ved nosokomiel lungebetændelse og bakterieinfektioner hos neutropeniske patienter er den anbefalede dosis 4 g piperacillin/0,5 g tazobactam hver 6. time. Denne dosering kan også anvendes til at behandle patienter med andre indicerede infektioner, når disse er særligt svære.</w:t>
      </w:r>
    </w:p>
    <w:p w14:paraId="5E6E2645" w14:textId="77777777" w:rsidR="004A3FB9" w:rsidRPr="004A3FB9" w:rsidRDefault="004A3FB9" w:rsidP="004A3FB9">
      <w:pPr>
        <w:tabs>
          <w:tab w:val="left" w:pos="851"/>
        </w:tabs>
        <w:ind w:left="851"/>
        <w:rPr>
          <w:sz w:val="24"/>
          <w:szCs w:val="24"/>
        </w:rPr>
      </w:pPr>
    </w:p>
    <w:p w14:paraId="42BF1AA1" w14:textId="77777777" w:rsidR="004A3FB9" w:rsidRPr="004A3FB9" w:rsidRDefault="004A3FB9" w:rsidP="004A3FB9">
      <w:pPr>
        <w:tabs>
          <w:tab w:val="left" w:pos="851"/>
        </w:tabs>
        <w:ind w:left="851"/>
        <w:rPr>
          <w:sz w:val="24"/>
          <w:szCs w:val="24"/>
        </w:rPr>
      </w:pPr>
      <w:r w:rsidRPr="004A3FB9">
        <w:rPr>
          <w:sz w:val="24"/>
          <w:szCs w:val="24"/>
        </w:rPr>
        <w:t>Nedenstående tabel opsummerer doseringshyppigheden og den anbefalede dosis hos voksne og unge patienter efter indikation eller tilstand:</w:t>
      </w:r>
    </w:p>
    <w:p w14:paraId="386D6C1A" w14:textId="77777777" w:rsidR="004A3FB9" w:rsidRPr="004A3FB9" w:rsidRDefault="004A3FB9" w:rsidP="004A3FB9">
      <w:pPr>
        <w:tabs>
          <w:tab w:val="left" w:pos="851"/>
        </w:tabs>
        <w:ind w:left="851"/>
        <w:rPr>
          <w:sz w:val="24"/>
          <w:szCs w:val="24"/>
          <w:u w:val="single"/>
        </w:rPr>
      </w:pPr>
    </w:p>
    <w:tbl>
      <w:tblPr>
        <w:tblStyle w:val="Tabel-Gitter"/>
        <w:tblW w:w="8221" w:type="dxa"/>
        <w:tblInd w:w="846" w:type="dxa"/>
        <w:tblLook w:val="04A0" w:firstRow="1" w:lastRow="0" w:firstColumn="1" w:lastColumn="0" w:noHBand="0" w:noVBand="1"/>
      </w:tblPr>
      <w:tblGrid>
        <w:gridCol w:w="3118"/>
        <w:gridCol w:w="5103"/>
      </w:tblGrid>
      <w:tr w:rsidR="004A3FB9" w:rsidRPr="004A3FB9" w14:paraId="1C4908A3" w14:textId="77777777" w:rsidTr="00B51B54">
        <w:tc>
          <w:tcPr>
            <w:tcW w:w="3118" w:type="dxa"/>
            <w:tcBorders>
              <w:top w:val="single" w:sz="4" w:space="0" w:color="auto"/>
              <w:left w:val="single" w:sz="4" w:space="0" w:color="auto"/>
              <w:bottom w:val="single" w:sz="4" w:space="0" w:color="auto"/>
              <w:right w:val="single" w:sz="4" w:space="0" w:color="auto"/>
            </w:tcBorders>
            <w:hideMark/>
          </w:tcPr>
          <w:p w14:paraId="58D90493" w14:textId="77777777" w:rsidR="004A3FB9" w:rsidRPr="004A3FB9" w:rsidRDefault="004A3FB9" w:rsidP="00B51B54">
            <w:pPr>
              <w:ind w:left="32"/>
              <w:rPr>
                <w:b/>
                <w:bCs/>
                <w:sz w:val="24"/>
                <w:szCs w:val="24"/>
                <w:lang w:val="en-US"/>
              </w:rPr>
            </w:pPr>
            <w:r w:rsidRPr="004A3FB9">
              <w:rPr>
                <w:b/>
                <w:bCs/>
                <w:sz w:val="24"/>
                <w:szCs w:val="24"/>
                <w:lang w:val="en-US"/>
              </w:rPr>
              <w:t>Doseringshyppighed</w:t>
            </w:r>
          </w:p>
        </w:tc>
        <w:tc>
          <w:tcPr>
            <w:tcW w:w="5103" w:type="dxa"/>
            <w:tcBorders>
              <w:top w:val="single" w:sz="4" w:space="0" w:color="auto"/>
              <w:left w:val="single" w:sz="4" w:space="0" w:color="auto"/>
              <w:bottom w:val="single" w:sz="4" w:space="0" w:color="auto"/>
              <w:right w:val="single" w:sz="4" w:space="0" w:color="auto"/>
            </w:tcBorders>
            <w:hideMark/>
          </w:tcPr>
          <w:p w14:paraId="18916128" w14:textId="77777777" w:rsidR="004A3FB9" w:rsidRPr="004A3FB9" w:rsidRDefault="004A3FB9" w:rsidP="00B51B54">
            <w:pPr>
              <w:ind w:left="28"/>
              <w:rPr>
                <w:b/>
                <w:bCs/>
                <w:sz w:val="24"/>
                <w:szCs w:val="24"/>
                <w:lang w:val="en-US"/>
              </w:rPr>
            </w:pPr>
            <w:r w:rsidRPr="004A3FB9">
              <w:rPr>
                <w:b/>
                <w:bCs/>
                <w:sz w:val="24"/>
                <w:szCs w:val="24"/>
                <w:lang w:val="en-US"/>
              </w:rPr>
              <w:t xml:space="preserve">Piperacillin/Tazobactam "B. Braun" </w:t>
            </w:r>
          </w:p>
        </w:tc>
      </w:tr>
      <w:tr w:rsidR="004A3FB9" w:rsidRPr="004A3FB9" w14:paraId="5CEC9BFC" w14:textId="77777777" w:rsidTr="00B51B54">
        <w:tc>
          <w:tcPr>
            <w:tcW w:w="3118" w:type="dxa"/>
            <w:vMerge w:val="restart"/>
            <w:tcBorders>
              <w:top w:val="single" w:sz="4" w:space="0" w:color="auto"/>
              <w:left w:val="single" w:sz="4" w:space="0" w:color="auto"/>
              <w:bottom w:val="single" w:sz="4" w:space="0" w:color="auto"/>
              <w:right w:val="single" w:sz="4" w:space="0" w:color="auto"/>
            </w:tcBorders>
            <w:hideMark/>
          </w:tcPr>
          <w:p w14:paraId="38DD052B" w14:textId="77777777" w:rsidR="004A3FB9" w:rsidRPr="004A3FB9" w:rsidRDefault="004A3FB9" w:rsidP="00B51B54">
            <w:pPr>
              <w:ind w:left="32"/>
              <w:rPr>
                <w:sz w:val="24"/>
                <w:szCs w:val="24"/>
                <w:lang w:val="en-US"/>
              </w:rPr>
            </w:pPr>
            <w:r w:rsidRPr="004A3FB9">
              <w:rPr>
                <w:sz w:val="24"/>
                <w:szCs w:val="24"/>
                <w:lang w:val="en-US"/>
              </w:rPr>
              <w:t>Hver 6. time</w:t>
            </w:r>
          </w:p>
        </w:tc>
        <w:tc>
          <w:tcPr>
            <w:tcW w:w="5103" w:type="dxa"/>
            <w:tcBorders>
              <w:top w:val="outset" w:sz="6" w:space="0" w:color="auto"/>
              <w:left w:val="outset" w:sz="6" w:space="0" w:color="auto"/>
              <w:bottom w:val="outset" w:sz="6" w:space="0" w:color="auto"/>
              <w:right w:val="outset" w:sz="6" w:space="0" w:color="auto"/>
            </w:tcBorders>
            <w:shd w:val="clear" w:color="auto" w:fill="FFFFFF"/>
            <w:hideMark/>
          </w:tcPr>
          <w:p w14:paraId="121C260E" w14:textId="77777777" w:rsidR="004A3FB9" w:rsidRPr="004A3FB9" w:rsidRDefault="004A3FB9" w:rsidP="00B51B54">
            <w:pPr>
              <w:ind w:left="28"/>
              <w:rPr>
                <w:sz w:val="24"/>
                <w:szCs w:val="24"/>
                <w:lang w:val="en-US"/>
              </w:rPr>
            </w:pPr>
            <w:r w:rsidRPr="004A3FB9">
              <w:rPr>
                <w:sz w:val="24"/>
                <w:szCs w:val="24"/>
                <w:lang w:val="en-US"/>
              </w:rPr>
              <w:t>Svær lungebetændelse</w:t>
            </w:r>
          </w:p>
        </w:tc>
      </w:tr>
      <w:tr w:rsidR="004A3FB9" w:rsidRPr="004A3FB9" w14:paraId="62E6B443" w14:textId="77777777" w:rsidTr="00B51B54">
        <w:tc>
          <w:tcPr>
            <w:tcW w:w="3118" w:type="dxa"/>
            <w:vMerge/>
            <w:tcBorders>
              <w:top w:val="single" w:sz="4" w:space="0" w:color="auto"/>
              <w:left w:val="single" w:sz="4" w:space="0" w:color="auto"/>
              <w:bottom w:val="single" w:sz="4" w:space="0" w:color="auto"/>
              <w:right w:val="single" w:sz="4" w:space="0" w:color="auto"/>
            </w:tcBorders>
            <w:vAlign w:val="center"/>
            <w:hideMark/>
          </w:tcPr>
          <w:p w14:paraId="7C28F586" w14:textId="77777777" w:rsidR="004A3FB9" w:rsidRPr="004A3FB9" w:rsidRDefault="004A3FB9" w:rsidP="00B51B54">
            <w:pPr>
              <w:ind w:left="32"/>
              <w:rPr>
                <w:sz w:val="24"/>
                <w:szCs w:val="24"/>
                <w:lang w:val="en-US"/>
              </w:rPr>
            </w:pPr>
          </w:p>
        </w:tc>
        <w:tc>
          <w:tcPr>
            <w:tcW w:w="5103" w:type="dxa"/>
            <w:tcBorders>
              <w:top w:val="outset" w:sz="6" w:space="0" w:color="auto"/>
              <w:left w:val="outset" w:sz="6" w:space="0" w:color="auto"/>
              <w:bottom w:val="outset" w:sz="6" w:space="0" w:color="auto"/>
              <w:right w:val="outset" w:sz="6" w:space="0" w:color="auto"/>
            </w:tcBorders>
            <w:shd w:val="clear" w:color="auto" w:fill="FFFFFF"/>
            <w:hideMark/>
          </w:tcPr>
          <w:p w14:paraId="4A6013DC" w14:textId="77777777" w:rsidR="004A3FB9" w:rsidRPr="004A3FB9" w:rsidRDefault="004A3FB9" w:rsidP="00B51B54">
            <w:pPr>
              <w:ind w:left="28"/>
              <w:rPr>
                <w:sz w:val="24"/>
                <w:szCs w:val="24"/>
              </w:rPr>
            </w:pPr>
            <w:r w:rsidRPr="004A3FB9">
              <w:rPr>
                <w:sz w:val="24"/>
                <w:szCs w:val="24"/>
              </w:rPr>
              <w:t>Neutropeniske voksne med feber, der mistænkes for at være forårsaget af en bakterieinfektion</w:t>
            </w:r>
          </w:p>
        </w:tc>
      </w:tr>
      <w:tr w:rsidR="004A3FB9" w:rsidRPr="004A3FB9" w14:paraId="2BDD633F" w14:textId="77777777" w:rsidTr="00B51B54">
        <w:tc>
          <w:tcPr>
            <w:tcW w:w="3118" w:type="dxa"/>
            <w:vMerge w:val="restart"/>
            <w:tcBorders>
              <w:top w:val="single" w:sz="4" w:space="0" w:color="auto"/>
              <w:left w:val="single" w:sz="4" w:space="0" w:color="auto"/>
              <w:bottom w:val="single" w:sz="4" w:space="0" w:color="auto"/>
              <w:right w:val="single" w:sz="4" w:space="0" w:color="auto"/>
            </w:tcBorders>
            <w:hideMark/>
          </w:tcPr>
          <w:p w14:paraId="479E6A45" w14:textId="77777777" w:rsidR="004A3FB9" w:rsidRPr="004A3FB9" w:rsidRDefault="004A3FB9" w:rsidP="00B51B54">
            <w:pPr>
              <w:ind w:left="32"/>
              <w:rPr>
                <w:sz w:val="24"/>
                <w:szCs w:val="24"/>
                <w:lang w:val="en-US"/>
              </w:rPr>
            </w:pPr>
            <w:r w:rsidRPr="004A3FB9">
              <w:rPr>
                <w:sz w:val="24"/>
                <w:szCs w:val="24"/>
                <w:lang w:val="en-US"/>
              </w:rPr>
              <w:t>Hver 8. time</w:t>
            </w:r>
          </w:p>
        </w:tc>
        <w:tc>
          <w:tcPr>
            <w:tcW w:w="5103" w:type="dxa"/>
            <w:tcBorders>
              <w:top w:val="outset" w:sz="6" w:space="0" w:color="auto"/>
              <w:left w:val="outset" w:sz="6" w:space="0" w:color="auto"/>
              <w:bottom w:val="outset" w:sz="6" w:space="0" w:color="auto"/>
              <w:right w:val="outset" w:sz="6" w:space="0" w:color="auto"/>
            </w:tcBorders>
            <w:shd w:val="clear" w:color="auto" w:fill="FFFFFF"/>
            <w:hideMark/>
          </w:tcPr>
          <w:p w14:paraId="235FC38B" w14:textId="77777777" w:rsidR="004A3FB9" w:rsidRPr="004A3FB9" w:rsidRDefault="004A3FB9" w:rsidP="00B51B54">
            <w:pPr>
              <w:ind w:left="28"/>
              <w:rPr>
                <w:sz w:val="24"/>
                <w:szCs w:val="24"/>
                <w:lang w:val="en-US"/>
              </w:rPr>
            </w:pPr>
            <w:r w:rsidRPr="004A3FB9">
              <w:rPr>
                <w:sz w:val="24"/>
                <w:szCs w:val="24"/>
                <w:lang w:val="en-US"/>
              </w:rPr>
              <w:t>Komplicerede urinvejsinfektioner (herunder pyelonefritis)</w:t>
            </w:r>
          </w:p>
        </w:tc>
      </w:tr>
      <w:tr w:rsidR="004A3FB9" w:rsidRPr="004A3FB9" w14:paraId="52EB7A05" w14:textId="77777777" w:rsidTr="00B51B54">
        <w:tc>
          <w:tcPr>
            <w:tcW w:w="3118" w:type="dxa"/>
            <w:vMerge/>
            <w:tcBorders>
              <w:top w:val="single" w:sz="4" w:space="0" w:color="auto"/>
              <w:left w:val="single" w:sz="4" w:space="0" w:color="auto"/>
              <w:bottom w:val="single" w:sz="4" w:space="0" w:color="auto"/>
              <w:right w:val="single" w:sz="4" w:space="0" w:color="auto"/>
            </w:tcBorders>
            <w:vAlign w:val="center"/>
            <w:hideMark/>
          </w:tcPr>
          <w:p w14:paraId="673520C1" w14:textId="77777777" w:rsidR="004A3FB9" w:rsidRPr="004A3FB9" w:rsidRDefault="004A3FB9" w:rsidP="00B51B54">
            <w:pPr>
              <w:ind w:left="32"/>
              <w:rPr>
                <w:sz w:val="24"/>
                <w:szCs w:val="24"/>
                <w:lang w:val="en-US"/>
              </w:rPr>
            </w:pPr>
          </w:p>
        </w:tc>
        <w:tc>
          <w:tcPr>
            <w:tcW w:w="5103" w:type="dxa"/>
            <w:tcBorders>
              <w:top w:val="outset" w:sz="6" w:space="0" w:color="auto"/>
              <w:left w:val="outset" w:sz="6" w:space="0" w:color="auto"/>
              <w:bottom w:val="outset" w:sz="6" w:space="0" w:color="auto"/>
              <w:right w:val="outset" w:sz="6" w:space="0" w:color="auto"/>
            </w:tcBorders>
            <w:shd w:val="clear" w:color="auto" w:fill="FFFFFF"/>
            <w:hideMark/>
          </w:tcPr>
          <w:p w14:paraId="7C368724" w14:textId="77777777" w:rsidR="004A3FB9" w:rsidRPr="004A3FB9" w:rsidRDefault="004A3FB9" w:rsidP="00B51B54">
            <w:pPr>
              <w:ind w:left="28"/>
              <w:rPr>
                <w:sz w:val="24"/>
                <w:szCs w:val="24"/>
                <w:lang w:val="en-US"/>
              </w:rPr>
            </w:pPr>
            <w:r w:rsidRPr="004A3FB9">
              <w:rPr>
                <w:sz w:val="24"/>
                <w:szCs w:val="24"/>
                <w:lang w:val="en-US"/>
              </w:rPr>
              <w:t>Komplicerede intraabdominale infektioner</w:t>
            </w:r>
          </w:p>
        </w:tc>
      </w:tr>
      <w:tr w:rsidR="004A3FB9" w:rsidRPr="004A3FB9" w14:paraId="6ADDD141" w14:textId="77777777" w:rsidTr="00B51B54">
        <w:tc>
          <w:tcPr>
            <w:tcW w:w="3118" w:type="dxa"/>
            <w:vMerge/>
            <w:tcBorders>
              <w:top w:val="single" w:sz="4" w:space="0" w:color="auto"/>
              <w:left w:val="single" w:sz="4" w:space="0" w:color="auto"/>
              <w:bottom w:val="single" w:sz="4" w:space="0" w:color="auto"/>
              <w:right w:val="single" w:sz="4" w:space="0" w:color="auto"/>
            </w:tcBorders>
            <w:vAlign w:val="center"/>
            <w:hideMark/>
          </w:tcPr>
          <w:p w14:paraId="2EB4FB18" w14:textId="77777777" w:rsidR="004A3FB9" w:rsidRPr="004A3FB9" w:rsidRDefault="004A3FB9" w:rsidP="00B51B54">
            <w:pPr>
              <w:ind w:left="32"/>
              <w:rPr>
                <w:sz w:val="24"/>
                <w:szCs w:val="24"/>
                <w:lang w:val="en-US"/>
              </w:rPr>
            </w:pPr>
          </w:p>
        </w:tc>
        <w:tc>
          <w:tcPr>
            <w:tcW w:w="5103" w:type="dxa"/>
            <w:tcBorders>
              <w:top w:val="outset" w:sz="6" w:space="0" w:color="auto"/>
              <w:left w:val="outset" w:sz="6" w:space="0" w:color="auto"/>
              <w:bottom w:val="outset" w:sz="6" w:space="0" w:color="auto"/>
              <w:right w:val="outset" w:sz="6" w:space="0" w:color="auto"/>
            </w:tcBorders>
            <w:shd w:val="clear" w:color="auto" w:fill="FFFFFF"/>
            <w:hideMark/>
          </w:tcPr>
          <w:p w14:paraId="7011830F" w14:textId="77777777" w:rsidR="004A3FB9" w:rsidRPr="004A3FB9" w:rsidRDefault="004A3FB9" w:rsidP="00B51B54">
            <w:pPr>
              <w:ind w:left="28"/>
              <w:rPr>
                <w:sz w:val="24"/>
                <w:szCs w:val="24"/>
              </w:rPr>
            </w:pPr>
            <w:r w:rsidRPr="004A3FB9">
              <w:rPr>
                <w:sz w:val="24"/>
                <w:szCs w:val="24"/>
              </w:rPr>
              <w:t>Hud- og bløddelsinfektioner (herunder diabetiske fodinfektioner)</w:t>
            </w:r>
          </w:p>
        </w:tc>
      </w:tr>
    </w:tbl>
    <w:p w14:paraId="5AB19FBA" w14:textId="77777777" w:rsidR="004A3FB9" w:rsidRPr="004A3FB9" w:rsidRDefault="004A3FB9" w:rsidP="004A3FB9">
      <w:pPr>
        <w:tabs>
          <w:tab w:val="left" w:pos="851"/>
        </w:tabs>
        <w:ind w:left="851"/>
        <w:rPr>
          <w:sz w:val="24"/>
          <w:szCs w:val="24"/>
          <w:u w:val="single"/>
        </w:rPr>
      </w:pPr>
    </w:p>
    <w:p w14:paraId="6B4978CF" w14:textId="77777777" w:rsidR="004A3FB9" w:rsidRPr="00B51B54" w:rsidRDefault="004A3FB9" w:rsidP="004A3FB9">
      <w:pPr>
        <w:tabs>
          <w:tab w:val="left" w:pos="851"/>
        </w:tabs>
        <w:ind w:left="851"/>
        <w:rPr>
          <w:i/>
          <w:iCs/>
          <w:sz w:val="24"/>
          <w:szCs w:val="24"/>
        </w:rPr>
      </w:pPr>
      <w:r w:rsidRPr="00B51B54">
        <w:rPr>
          <w:i/>
          <w:iCs/>
          <w:sz w:val="24"/>
          <w:szCs w:val="24"/>
        </w:rPr>
        <w:t>Nedsat nyrefunktion</w:t>
      </w:r>
    </w:p>
    <w:p w14:paraId="7CACA005" w14:textId="77777777" w:rsidR="004A3FB9" w:rsidRPr="004A3FB9" w:rsidRDefault="004A3FB9" w:rsidP="004A3FB9">
      <w:pPr>
        <w:tabs>
          <w:tab w:val="left" w:pos="851"/>
        </w:tabs>
        <w:ind w:left="851"/>
        <w:rPr>
          <w:sz w:val="24"/>
          <w:szCs w:val="24"/>
        </w:rPr>
      </w:pPr>
      <w:r w:rsidRPr="004A3FB9">
        <w:rPr>
          <w:sz w:val="24"/>
          <w:szCs w:val="24"/>
        </w:rPr>
        <w:t xml:space="preserve">Den intravenøse dosis bør justeres i forhold til graden af den aktuelle nyrefunktionsnedsættelse, som følger (patienterne skal overvåges nøje for tegn på toksicitet over for stofferne, og lægemiddeldosis og interval bør justeres i overensstemmelse hermed): </w:t>
      </w:r>
    </w:p>
    <w:p w14:paraId="0583E5B8" w14:textId="77777777" w:rsidR="004A3FB9" w:rsidRPr="004A3FB9" w:rsidRDefault="004A3FB9" w:rsidP="004A3FB9">
      <w:pPr>
        <w:tabs>
          <w:tab w:val="left" w:pos="851"/>
        </w:tabs>
        <w:ind w:left="851"/>
        <w:rPr>
          <w:sz w:val="24"/>
          <w:szCs w:val="24"/>
        </w:rPr>
      </w:pPr>
    </w:p>
    <w:tbl>
      <w:tblPr>
        <w:tblpPr w:leftFromText="141" w:rightFromText="141" w:vertAnchor="text" w:horzAnchor="margin" w:tblpX="846" w:tblpY="34"/>
        <w:tblW w:w="8217" w:type="dxa"/>
        <w:tblLayout w:type="fixed"/>
        <w:tblCellMar>
          <w:left w:w="0" w:type="dxa"/>
          <w:right w:w="0" w:type="dxa"/>
        </w:tblCellMar>
        <w:tblLook w:val="01E0" w:firstRow="1" w:lastRow="1" w:firstColumn="1" w:lastColumn="1" w:noHBand="0" w:noVBand="0"/>
      </w:tblPr>
      <w:tblGrid>
        <w:gridCol w:w="3251"/>
        <w:gridCol w:w="4966"/>
      </w:tblGrid>
      <w:tr w:rsidR="004A3FB9" w:rsidRPr="004A3FB9" w14:paraId="41D1BD00" w14:textId="77777777" w:rsidTr="00B51B54">
        <w:trPr>
          <w:trHeight w:hRule="exact" w:val="438"/>
        </w:trPr>
        <w:tc>
          <w:tcPr>
            <w:tcW w:w="3251" w:type="dxa"/>
            <w:tcBorders>
              <w:top w:val="single" w:sz="4" w:space="0" w:color="000000"/>
              <w:left w:val="single" w:sz="4" w:space="0" w:color="000000"/>
              <w:bottom w:val="single" w:sz="4" w:space="0" w:color="000000"/>
              <w:right w:val="single" w:sz="4" w:space="0" w:color="000000"/>
            </w:tcBorders>
            <w:hideMark/>
          </w:tcPr>
          <w:p w14:paraId="301067BC" w14:textId="77777777" w:rsidR="004A3FB9" w:rsidRPr="004A3FB9" w:rsidRDefault="004A3FB9" w:rsidP="00B51B54">
            <w:pPr>
              <w:ind w:left="132"/>
              <w:rPr>
                <w:sz w:val="24"/>
                <w:szCs w:val="24"/>
                <w:lang w:val="en-GB"/>
              </w:rPr>
            </w:pPr>
            <w:r w:rsidRPr="004A3FB9">
              <w:rPr>
                <w:b/>
                <w:sz w:val="24"/>
                <w:szCs w:val="24"/>
                <w:lang w:val="en-GB"/>
              </w:rPr>
              <w:t>Kreatininclearance (ml/min)</w:t>
            </w:r>
          </w:p>
        </w:tc>
        <w:tc>
          <w:tcPr>
            <w:tcW w:w="4966" w:type="dxa"/>
            <w:tcBorders>
              <w:top w:val="single" w:sz="4" w:space="0" w:color="000000"/>
              <w:left w:val="single" w:sz="4" w:space="0" w:color="000000"/>
              <w:bottom w:val="single" w:sz="4" w:space="0" w:color="000000"/>
              <w:right w:val="single" w:sz="4" w:space="0" w:color="000000"/>
            </w:tcBorders>
            <w:hideMark/>
          </w:tcPr>
          <w:p w14:paraId="0068715D" w14:textId="77777777" w:rsidR="004A3FB9" w:rsidRPr="004A3FB9" w:rsidRDefault="004A3FB9" w:rsidP="00B51B54">
            <w:pPr>
              <w:ind w:left="142"/>
              <w:rPr>
                <w:sz w:val="24"/>
                <w:szCs w:val="24"/>
                <w:lang w:val="en-GB"/>
              </w:rPr>
            </w:pPr>
            <w:r w:rsidRPr="004A3FB9">
              <w:rPr>
                <w:b/>
                <w:bCs/>
                <w:sz w:val="24"/>
                <w:szCs w:val="24"/>
                <w:lang w:val="en-GB"/>
              </w:rPr>
              <w:t>Piperacillin/Tazobactam "B. Braun"</w:t>
            </w:r>
          </w:p>
        </w:tc>
      </w:tr>
      <w:tr w:rsidR="004A3FB9" w:rsidRPr="004A3FB9" w14:paraId="0F082E8D" w14:textId="77777777" w:rsidTr="00B51B54">
        <w:trPr>
          <w:trHeight w:hRule="exact" w:val="787"/>
        </w:trPr>
        <w:tc>
          <w:tcPr>
            <w:tcW w:w="3251" w:type="dxa"/>
            <w:tcBorders>
              <w:top w:val="single" w:sz="4" w:space="0" w:color="000000"/>
              <w:left w:val="single" w:sz="4" w:space="0" w:color="000000"/>
              <w:bottom w:val="single" w:sz="4" w:space="0" w:color="000000"/>
              <w:right w:val="single" w:sz="4" w:space="0" w:color="000000"/>
            </w:tcBorders>
            <w:hideMark/>
          </w:tcPr>
          <w:p w14:paraId="264C7608" w14:textId="77777777" w:rsidR="004A3FB9" w:rsidRPr="004A3FB9" w:rsidRDefault="004A3FB9" w:rsidP="00B51B54">
            <w:pPr>
              <w:ind w:left="132"/>
              <w:rPr>
                <w:sz w:val="24"/>
                <w:szCs w:val="24"/>
                <w:lang w:val="en-GB"/>
              </w:rPr>
            </w:pPr>
            <w:r w:rsidRPr="004A3FB9">
              <w:rPr>
                <w:sz w:val="24"/>
                <w:szCs w:val="24"/>
                <w:lang w:val="en-GB"/>
              </w:rPr>
              <w:t>&gt; 40</w:t>
            </w:r>
          </w:p>
        </w:tc>
        <w:tc>
          <w:tcPr>
            <w:tcW w:w="4966" w:type="dxa"/>
            <w:tcBorders>
              <w:top w:val="single" w:sz="4" w:space="0" w:color="000000"/>
              <w:left w:val="single" w:sz="4" w:space="0" w:color="000000"/>
              <w:bottom w:val="single" w:sz="4" w:space="0" w:color="000000"/>
              <w:right w:val="single" w:sz="4" w:space="0" w:color="000000"/>
            </w:tcBorders>
            <w:hideMark/>
          </w:tcPr>
          <w:p w14:paraId="5E58C847" w14:textId="77777777" w:rsidR="004A3FB9" w:rsidRPr="004A3FB9" w:rsidRDefault="004A3FB9" w:rsidP="00B51B54">
            <w:pPr>
              <w:ind w:left="142"/>
              <w:rPr>
                <w:sz w:val="24"/>
                <w:szCs w:val="24"/>
                <w:lang w:val="en-GB"/>
              </w:rPr>
            </w:pPr>
            <w:r w:rsidRPr="004A3FB9">
              <w:rPr>
                <w:sz w:val="24"/>
                <w:szCs w:val="24"/>
                <w:lang w:val="en-GB"/>
              </w:rPr>
              <w:t>Dosisjustering er ikke nødvendig</w:t>
            </w:r>
          </w:p>
        </w:tc>
      </w:tr>
      <w:tr w:rsidR="004A3FB9" w:rsidRPr="004A3FB9" w14:paraId="23BBCFE5" w14:textId="77777777" w:rsidTr="00B51B54">
        <w:trPr>
          <w:trHeight w:hRule="exact" w:val="536"/>
        </w:trPr>
        <w:tc>
          <w:tcPr>
            <w:tcW w:w="3251" w:type="dxa"/>
            <w:tcBorders>
              <w:top w:val="single" w:sz="4" w:space="0" w:color="000000"/>
              <w:left w:val="single" w:sz="4" w:space="0" w:color="000000"/>
              <w:bottom w:val="single" w:sz="4" w:space="0" w:color="000000"/>
              <w:right w:val="single" w:sz="4" w:space="0" w:color="000000"/>
            </w:tcBorders>
            <w:hideMark/>
          </w:tcPr>
          <w:p w14:paraId="47EE9A22" w14:textId="77777777" w:rsidR="004A3FB9" w:rsidRPr="004A3FB9" w:rsidRDefault="004A3FB9" w:rsidP="00B51B54">
            <w:pPr>
              <w:ind w:left="132"/>
              <w:rPr>
                <w:sz w:val="24"/>
                <w:szCs w:val="24"/>
                <w:lang w:val="en-GB"/>
              </w:rPr>
            </w:pPr>
            <w:r w:rsidRPr="004A3FB9">
              <w:rPr>
                <w:sz w:val="24"/>
                <w:szCs w:val="24"/>
                <w:lang w:val="en-GB"/>
              </w:rPr>
              <w:t>20</w:t>
            </w:r>
            <w:r w:rsidRPr="004A3FB9">
              <w:rPr>
                <w:sz w:val="24"/>
                <w:szCs w:val="24"/>
                <w:lang w:val="en-GB"/>
              </w:rPr>
              <w:noBreakHyphen/>
              <w:t>40</w:t>
            </w:r>
          </w:p>
        </w:tc>
        <w:tc>
          <w:tcPr>
            <w:tcW w:w="4966" w:type="dxa"/>
            <w:tcBorders>
              <w:top w:val="single" w:sz="4" w:space="0" w:color="000000"/>
              <w:left w:val="single" w:sz="4" w:space="0" w:color="000000"/>
              <w:bottom w:val="single" w:sz="4" w:space="0" w:color="000000"/>
              <w:right w:val="single" w:sz="4" w:space="0" w:color="000000"/>
            </w:tcBorders>
            <w:hideMark/>
          </w:tcPr>
          <w:p w14:paraId="279BEC0F" w14:textId="77777777" w:rsidR="004A3FB9" w:rsidRPr="004A3FB9" w:rsidRDefault="004A3FB9" w:rsidP="00B51B54">
            <w:pPr>
              <w:ind w:left="142"/>
              <w:rPr>
                <w:sz w:val="24"/>
                <w:szCs w:val="24"/>
              </w:rPr>
            </w:pPr>
            <w:r w:rsidRPr="004A3FB9">
              <w:rPr>
                <w:sz w:val="24"/>
                <w:szCs w:val="24"/>
              </w:rPr>
              <w:t>Foreslået maksimumsdosis: 4 g/0,5 g hver 8. time</w:t>
            </w:r>
          </w:p>
        </w:tc>
      </w:tr>
      <w:tr w:rsidR="004A3FB9" w:rsidRPr="004A3FB9" w14:paraId="1E01A786" w14:textId="77777777" w:rsidTr="00B51B54">
        <w:trPr>
          <w:trHeight w:hRule="exact" w:val="528"/>
        </w:trPr>
        <w:tc>
          <w:tcPr>
            <w:tcW w:w="3251" w:type="dxa"/>
            <w:tcBorders>
              <w:top w:val="single" w:sz="4" w:space="0" w:color="000000"/>
              <w:left w:val="single" w:sz="4" w:space="0" w:color="000000"/>
              <w:bottom w:val="single" w:sz="4" w:space="0" w:color="000000"/>
              <w:right w:val="single" w:sz="4" w:space="0" w:color="000000"/>
            </w:tcBorders>
            <w:hideMark/>
          </w:tcPr>
          <w:p w14:paraId="772352DD" w14:textId="77777777" w:rsidR="004A3FB9" w:rsidRPr="004A3FB9" w:rsidRDefault="004A3FB9" w:rsidP="00B51B54">
            <w:pPr>
              <w:ind w:left="132"/>
              <w:rPr>
                <w:sz w:val="24"/>
                <w:szCs w:val="24"/>
                <w:lang w:val="en-GB"/>
              </w:rPr>
            </w:pPr>
            <w:r w:rsidRPr="004A3FB9">
              <w:rPr>
                <w:sz w:val="24"/>
                <w:szCs w:val="24"/>
                <w:lang w:val="en-GB"/>
              </w:rPr>
              <w:t xml:space="preserve">&lt; 20 </w:t>
            </w:r>
          </w:p>
        </w:tc>
        <w:tc>
          <w:tcPr>
            <w:tcW w:w="4966" w:type="dxa"/>
            <w:tcBorders>
              <w:top w:val="single" w:sz="4" w:space="0" w:color="000000"/>
              <w:left w:val="single" w:sz="4" w:space="0" w:color="000000"/>
              <w:bottom w:val="single" w:sz="4" w:space="0" w:color="000000"/>
              <w:right w:val="single" w:sz="4" w:space="0" w:color="000000"/>
            </w:tcBorders>
            <w:hideMark/>
          </w:tcPr>
          <w:p w14:paraId="212EDDDA" w14:textId="77777777" w:rsidR="004A3FB9" w:rsidRPr="004A3FB9" w:rsidRDefault="004A3FB9" w:rsidP="00B51B54">
            <w:pPr>
              <w:ind w:left="142"/>
              <w:rPr>
                <w:sz w:val="24"/>
                <w:szCs w:val="24"/>
              </w:rPr>
            </w:pPr>
            <w:r w:rsidRPr="004A3FB9">
              <w:rPr>
                <w:sz w:val="24"/>
                <w:szCs w:val="24"/>
              </w:rPr>
              <w:t>Foreslået maksimumsdosis: 4 g/0,5 g hver 12. time</w:t>
            </w:r>
          </w:p>
        </w:tc>
      </w:tr>
    </w:tbl>
    <w:p w14:paraId="4084836A" w14:textId="77777777" w:rsidR="004A3FB9" w:rsidRPr="004A3FB9" w:rsidRDefault="004A3FB9" w:rsidP="004A3FB9">
      <w:pPr>
        <w:tabs>
          <w:tab w:val="left" w:pos="851"/>
        </w:tabs>
        <w:ind w:left="851"/>
        <w:rPr>
          <w:sz w:val="24"/>
          <w:szCs w:val="24"/>
          <w:u w:val="single"/>
        </w:rPr>
      </w:pPr>
    </w:p>
    <w:p w14:paraId="36B25B24" w14:textId="77777777" w:rsidR="004A3FB9" w:rsidRPr="004A3FB9" w:rsidRDefault="004A3FB9" w:rsidP="004A3FB9">
      <w:pPr>
        <w:tabs>
          <w:tab w:val="left" w:pos="851"/>
        </w:tabs>
        <w:ind w:left="851"/>
        <w:rPr>
          <w:sz w:val="24"/>
          <w:szCs w:val="24"/>
          <w:u w:val="single"/>
        </w:rPr>
      </w:pPr>
      <w:r w:rsidRPr="004A3FB9">
        <w:rPr>
          <w:sz w:val="24"/>
          <w:szCs w:val="24"/>
        </w:rPr>
        <w:t>Patienter i hæmodialyse bør få én yderligere dosis piperacillin/tazobactam 2 g/0,25 g efter hver dialyseperiode, da hæmodialyse fjerner 30</w:t>
      </w:r>
      <w:r w:rsidRPr="004A3FB9">
        <w:rPr>
          <w:sz w:val="24"/>
          <w:szCs w:val="24"/>
        </w:rPr>
        <w:noBreakHyphen/>
        <w:t>50 % piperacillin i løbet af 4 timer.</w:t>
      </w:r>
    </w:p>
    <w:p w14:paraId="735F418D" w14:textId="77777777" w:rsidR="004A3FB9" w:rsidRPr="004A3FB9" w:rsidRDefault="004A3FB9" w:rsidP="004A3FB9">
      <w:pPr>
        <w:tabs>
          <w:tab w:val="left" w:pos="851"/>
        </w:tabs>
        <w:ind w:left="851"/>
        <w:rPr>
          <w:sz w:val="24"/>
          <w:szCs w:val="24"/>
        </w:rPr>
      </w:pPr>
    </w:p>
    <w:p w14:paraId="2862B762" w14:textId="77777777" w:rsidR="004A3FB9" w:rsidRPr="00B51B54" w:rsidRDefault="004A3FB9" w:rsidP="004A3FB9">
      <w:pPr>
        <w:tabs>
          <w:tab w:val="left" w:pos="851"/>
        </w:tabs>
        <w:ind w:left="851"/>
        <w:rPr>
          <w:i/>
          <w:sz w:val="24"/>
          <w:szCs w:val="24"/>
        </w:rPr>
      </w:pPr>
      <w:r w:rsidRPr="00B51B54">
        <w:rPr>
          <w:i/>
          <w:sz w:val="24"/>
          <w:szCs w:val="24"/>
        </w:rPr>
        <w:t>Nedsat leverfunktion</w:t>
      </w:r>
    </w:p>
    <w:p w14:paraId="6E21F980" w14:textId="77777777" w:rsidR="004A3FB9" w:rsidRPr="004A3FB9" w:rsidRDefault="004A3FB9" w:rsidP="004A3FB9">
      <w:pPr>
        <w:tabs>
          <w:tab w:val="left" w:pos="851"/>
        </w:tabs>
        <w:ind w:left="851"/>
        <w:rPr>
          <w:sz w:val="24"/>
          <w:szCs w:val="24"/>
        </w:rPr>
      </w:pPr>
      <w:r w:rsidRPr="004A3FB9">
        <w:rPr>
          <w:sz w:val="24"/>
          <w:szCs w:val="24"/>
        </w:rPr>
        <w:t>Dosisjustering er ikke nødvendig for patienter med nedsat leverfunktion (se pkt. 5.2).</w:t>
      </w:r>
    </w:p>
    <w:p w14:paraId="286D879B" w14:textId="77777777" w:rsidR="004A3FB9" w:rsidRPr="004A3FB9" w:rsidRDefault="004A3FB9" w:rsidP="004A3FB9">
      <w:pPr>
        <w:tabs>
          <w:tab w:val="left" w:pos="851"/>
        </w:tabs>
        <w:ind w:left="851"/>
        <w:rPr>
          <w:sz w:val="24"/>
          <w:szCs w:val="24"/>
          <w:u w:val="single"/>
        </w:rPr>
      </w:pPr>
    </w:p>
    <w:p w14:paraId="0CF81290" w14:textId="77777777" w:rsidR="004A3FB9" w:rsidRPr="00B51B54" w:rsidRDefault="004A3FB9" w:rsidP="004A3FB9">
      <w:pPr>
        <w:tabs>
          <w:tab w:val="left" w:pos="851"/>
        </w:tabs>
        <w:ind w:left="851"/>
        <w:rPr>
          <w:bCs/>
          <w:iCs/>
          <w:sz w:val="24"/>
          <w:szCs w:val="24"/>
          <w:u w:val="single"/>
        </w:rPr>
      </w:pPr>
      <w:r w:rsidRPr="00B51B54">
        <w:rPr>
          <w:bCs/>
          <w:iCs/>
          <w:sz w:val="24"/>
          <w:szCs w:val="24"/>
          <w:u w:val="single"/>
        </w:rPr>
        <w:t>Ældre patienter</w:t>
      </w:r>
    </w:p>
    <w:p w14:paraId="23ECDC35" w14:textId="77777777" w:rsidR="004A3FB9" w:rsidRPr="004A3FB9" w:rsidRDefault="004A3FB9" w:rsidP="004A3FB9">
      <w:pPr>
        <w:tabs>
          <w:tab w:val="left" w:pos="851"/>
        </w:tabs>
        <w:ind w:left="851"/>
        <w:rPr>
          <w:sz w:val="24"/>
          <w:szCs w:val="24"/>
        </w:rPr>
      </w:pPr>
      <w:r w:rsidRPr="004A3FB9">
        <w:rPr>
          <w:sz w:val="24"/>
          <w:szCs w:val="24"/>
        </w:rPr>
        <w:t>Dosisjustering er ikke nødvendig hos ældre med normal nyrefunktion eller kreatininclearance-værdier over 40 ml/min.</w:t>
      </w:r>
    </w:p>
    <w:p w14:paraId="50C89214" w14:textId="77777777" w:rsidR="004A3FB9" w:rsidRPr="004A3FB9" w:rsidRDefault="004A3FB9" w:rsidP="004A3FB9">
      <w:pPr>
        <w:tabs>
          <w:tab w:val="left" w:pos="851"/>
        </w:tabs>
        <w:ind w:left="851"/>
        <w:rPr>
          <w:sz w:val="24"/>
          <w:szCs w:val="24"/>
        </w:rPr>
      </w:pPr>
    </w:p>
    <w:p w14:paraId="3998E547" w14:textId="587D873B" w:rsidR="004A3FB9" w:rsidRDefault="004A3FB9" w:rsidP="004A3FB9">
      <w:pPr>
        <w:tabs>
          <w:tab w:val="left" w:pos="851"/>
        </w:tabs>
        <w:ind w:left="851"/>
        <w:rPr>
          <w:bCs/>
          <w:iCs/>
          <w:sz w:val="24"/>
          <w:szCs w:val="24"/>
          <w:u w:val="single"/>
        </w:rPr>
      </w:pPr>
      <w:r w:rsidRPr="00B51B54">
        <w:rPr>
          <w:bCs/>
          <w:iCs/>
          <w:sz w:val="24"/>
          <w:szCs w:val="24"/>
          <w:u w:val="single"/>
        </w:rPr>
        <w:t>Pædiatrisk population (2</w:t>
      </w:r>
      <w:r w:rsidRPr="00B51B54">
        <w:rPr>
          <w:bCs/>
          <w:iCs/>
          <w:sz w:val="24"/>
          <w:szCs w:val="24"/>
          <w:u w:val="single"/>
        </w:rPr>
        <w:noBreakHyphen/>
        <w:t>12 år)</w:t>
      </w:r>
    </w:p>
    <w:p w14:paraId="62B9D5BF" w14:textId="77777777" w:rsidR="00B51B54" w:rsidRPr="00B51B54" w:rsidRDefault="00B51B54" w:rsidP="004A3FB9">
      <w:pPr>
        <w:tabs>
          <w:tab w:val="left" w:pos="851"/>
        </w:tabs>
        <w:ind w:left="851"/>
        <w:rPr>
          <w:bCs/>
          <w:iCs/>
          <w:sz w:val="24"/>
          <w:szCs w:val="24"/>
          <w:u w:val="single"/>
        </w:rPr>
      </w:pPr>
    </w:p>
    <w:p w14:paraId="39A0B0BB" w14:textId="77777777" w:rsidR="004A3FB9" w:rsidRPr="00B51B54" w:rsidRDefault="004A3FB9" w:rsidP="004A3FB9">
      <w:pPr>
        <w:tabs>
          <w:tab w:val="left" w:pos="851"/>
        </w:tabs>
        <w:ind w:left="851"/>
        <w:rPr>
          <w:i/>
          <w:iCs/>
          <w:sz w:val="24"/>
          <w:szCs w:val="24"/>
        </w:rPr>
      </w:pPr>
      <w:r w:rsidRPr="00B51B54">
        <w:rPr>
          <w:i/>
          <w:iCs/>
          <w:sz w:val="24"/>
          <w:szCs w:val="24"/>
        </w:rPr>
        <w:t>Infektioner</w:t>
      </w:r>
    </w:p>
    <w:p w14:paraId="64A8CAE6" w14:textId="77777777" w:rsidR="004A3FB9" w:rsidRPr="004A3FB9" w:rsidRDefault="004A3FB9" w:rsidP="004A3FB9">
      <w:pPr>
        <w:tabs>
          <w:tab w:val="left" w:pos="851"/>
        </w:tabs>
        <w:ind w:left="851"/>
        <w:rPr>
          <w:sz w:val="24"/>
          <w:szCs w:val="24"/>
        </w:rPr>
      </w:pPr>
      <w:r w:rsidRPr="004A3FB9">
        <w:rPr>
          <w:sz w:val="24"/>
          <w:szCs w:val="24"/>
        </w:rPr>
        <w:t>Nedenstående tabel opsummerer doseringshyppigheden og dosis pr. kg legemsvægt hos pædiatriske patienter i alderen 2</w:t>
      </w:r>
      <w:r w:rsidRPr="004A3FB9">
        <w:rPr>
          <w:sz w:val="24"/>
          <w:szCs w:val="24"/>
        </w:rPr>
        <w:noBreakHyphen/>
        <w:t>12 år efter indikation eller tilstand:</w:t>
      </w:r>
    </w:p>
    <w:p w14:paraId="3A7CD902" w14:textId="77777777" w:rsidR="004A3FB9" w:rsidRPr="004A3FB9" w:rsidRDefault="004A3FB9" w:rsidP="004A3FB9">
      <w:pPr>
        <w:tabs>
          <w:tab w:val="left" w:pos="851"/>
        </w:tabs>
        <w:ind w:left="851"/>
        <w:rPr>
          <w:sz w:val="24"/>
          <w:szCs w:val="24"/>
        </w:rPr>
      </w:pP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3543"/>
      </w:tblGrid>
      <w:tr w:rsidR="004A3FB9" w:rsidRPr="004A3FB9" w14:paraId="76A7EA5C" w14:textId="77777777" w:rsidTr="00B51B54">
        <w:trPr>
          <w:trHeight w:val="165"/>
        </w:trPr>
        <w:tc>
          <w:tcPr>
            <w:tcW w:w="2845" w:type="pct"/>
            <w:tcBorders>
              <w:top w:val="single" w:sz="4" w:space="0" w:color="auto"/>
              <w:left w:val="single" w:sz="4" w:space="0" w:color="auto"/>
              <w:bottom w:val="single" w:sz="4" w:space="0" w:color="auto"/>
              <w:right w:val="single" w:sz="4" w:space="0" w:color="auto"/>
            </w:tcBorders>
            <w:hideMark/>
          </w:tcPr>
          <w:p w14:paraId="629DFA71" w14:textId="77777777" w:rsidR="004A3FB9" w:rsidRPr="004A3FB9" w:rsidRDefault="004A3FB9" w:rsidP="00B51B54">
            <w:pPr>
              <w:ind w:left="33"/>
              <w:rPr>
                <w:b/>
                <w:sz w:val="24"/>
                <w:szCs w:val="24"/>
              </w:rPr>
            </w:pPr>
            <w:r w:rsidRPr="004A3FB9">
              <w:rPr>
                <w:sz w:val="24"/>
                <w:szCs w:val="24"/>
              </w:rPr>
              <w:br w:type="page"/>
            </w:r>
            <w:r w:rsidRPr="004A3FB9">
              <w:rPr>
                <w:b/>
                <w:sz w:val="24"/>
                <w:szCs w:val="24"/>
              </w:rPr>
              <w:t>Dosis pr. kg legemsvægt og doseringshyppighed</w:t>
            </w:r>
          </w:p>
        </w:tc>
        <w:tc>
          <w:tcPr>
            <w:tcW w:w="2155" w:type="pct"/>
            <w:tcBorders>
              <w:top w:val="single" w:sz="4" w:space="0" w:color="auto"/>
              <w:left w:val="single" w:sz="4" w:space="0" w:color="auto"/>
              <w:bottom w:val="single" w:sz="4" w:space="0" w:color="auto"/>
              <w:right w:val="single" w:sz="4" w:space="0" w:color="auto"/>
            </w:tcBorders>
            <w:hideMark/>
          </w:tcPr>
          <w:p w14:paraId="619D9D49" w14:textId="77777777" w:rsidR="004A3FB9" w:rsidRPr="004A3FB9" w:rsidRDefault="004A3FB9" w:rsidP="00B51B54">
            <w:pPr>
              <w:ind w:left="30"/>
              <w:rPr>
                <w:b/>
                <w:sz w:val="24"/>
                <w:szCs w:val="24"/>
                <w:lang w:val="en-GB"/>
              </w:rPr>
            </w:pPr>
            <w:r w:rsidRPr="004A3FB9">
              <w:rPr>
                <w:b/>
                <w:sz w:val="24"/>
                <w:szCs w:val="24"/>
                <w:lang w:val="en-GB"/>
              </w:rPr>
              <w:t>Indikation/tilstand</w:t>
            </w:r>
          </w:p>
        </w:tc>
      </w:tr>
      <w:tr w:rsidR="004A3FB9" w:rsidRPr="004A3FB9" w14:paraId="3DEF4A84" w14:textId="77777777" w:rsidTr="00B51B54">
        <w:tc>
          <w:tcPr>
            <w:tcW w:w="2845" w:type="pct"/>
            <w:tcBorders>
              <w:top w:val="single" w:sz="4" w:space="0" w:color="auto"/>
              <w:left w:val="single" w:sz="4" w:space="0" w:color="auto"/>
              <w:bottom w:val="single" w:sz="4" w:space="0" w:color="auto"/>
              <w:right w:val="single" w:sz="4" w:space="0" w:color="auto"/>
            </w:tcBorders>
            <w:hideMark/>
          </w:tcPr>
          <w:p w14:paraId="22D6BA65" w14:textId="77777777" w:rsidR="004A3FB9" w:rsidRPr="004A3FB9" w:rsidRDefault="004A3FB9" w:rsidP="00B51B54">
            <w:pPr>
              <w:ind w:left="33"/>
              <w:rPr>
                <w:sz w:val="24"/>
                <w:szCs w:val="24"/>
              </w:rPr>
            </w:pPr>
            <w:r w:rsidRPr="004A3FB9">
              <w:rPr>
                <w:sz w:val="24"/>
                <w:szCs w:val="24"/>
              </w:rPr>
              <w:t>80 mg piperacillin/10 mg tazobactam pr. kg legemsvægt/hver 6. time</w:t>
            </w:r>
          </w:p>
        </w:tc>
        <w:tc>
          <w:tcPr>
            <w:tcW w:w="2155" w:type="pct"/>
            <w:tcBorders>
              <w:top w:val="single" w:sz="4" w:space="0" w:color="auto"/>
              <w:left w:val="single" w:sz="4" w:space="0" w:color="auto"/>
              <w:bottom w:val="single" w:sz="4" w:space="0" w:color="auto"/>
              <w:right w:val="single" w:sz="4" w:space="0" w:color="auto"/>
            </w:tcBorders>
            <w:hideMark/>
          </w:tcPr>
          <w:p w14:paraId="22B9689E" w14:textId="77777777" w:rsidR="004A3FB9" w:rsidRPr="004A3FB9" w:rsidRDefault="004A3FB9" w:rsidP="00B51B54">
            <w:pPr>
              <w:ind w:left="30"/>
              <w:rPr>
                <w:sz w:val="24"/>
                <w:szCs w:val="24"/>
              </w:rPr>
            </w:pPr>
            <w:r w:rsidRPr="004A3FB9">
              <w:rPr>
                <w:sz w:val="24"/>
                <w:szCs w:val="24"/>
              </w:rPr>
              <w:t>Neutropeniske børn med feber, der mistænkes for at være forårsaget af bakterieinfektioner*</w:t>
            </w:r>
          </w:p>
        </w:tc>
      </w:tr>
      <w:tr w:rsidR="004A3FB9" w:rsidRPr="004A3FB9" w14:paraId="5D40B304" w14:textId="77777777" w:rsidTr="00B51B54">
        <w:tc>
          <w:tcPr>
            <w:tcW w:w="2845" w:type="pct"/>
            <w:tcBorders>
              <w:top w:val="single" w:sz="4" w:space="0" w:color="auto"/>
              <w:left w:val="single" w:sz="4" w:space="0" w:color="auto"/>
              <w:bottom w:val="single" w:sz="4" w:space="0" w:color="auto"/>
              <w:right w:val="single" w:sz="4" w:space="0" w:color="auto"/>
            </w:tcBorders>
            <w:hideMark/>
          </w:tcPr>
          <w:p w14:paraId="200A90FB" w14:textId="77777777" w:rsidR="004A3FB9" w:rsidRPr="004A3FB9" w:rsidRDefault="004A3FB9" w:rsidP="00B51B54">
            <w:pPr>
              <w:ind w:left="33"/>
              <w:rPr>
                <w:sz w:val="24"/>
                <w:szCs w:val="24"/>
              </w:rPr>
            </w:pPr>
            <w:r w:rsidRPr="004A3FB9">
              <w:rPr>
                <w:sz w:val="24"/>
                <w:szCs w:val="24"/>
              </w:rPr>
              <w:t>100 mg piperacillin/12,5 mg tazobactam pr. kg legemsvægt/hver 8. time</w:t>
            </w:r>
          </w:p>
        </w:tc>
        <w:tc>
          <w:tcPr>
            <w:tcW w:w="2155" w:type="pct"/>
            <w:tcBorders>
              <w:top w:val="single" w:sz="4" w:space="0" w:color="auto"/>
              <w:left w:val="single" w:sz="4" w:space="0" w:color="auto"/>
              <w:bottom w:val="single" w:sz="4" w:space="0" w:color="auto"/>
              <w:right w:val="single" w:sz="4" w:space="0" w:color="auto"/>
            </w:tcBorders>
            <w:hideMark/>
          </w:tcPr>
          <w:p w14:paraId="5068BDA8" w14:textId="77777777" w:rsidR="004A3FB9" w:rsidRPr="004A3FB9" w:rsidRDefault="004A3FB9" w:rsidP="00B51B54">
            <w:pPr>
              <w:ind w:left="30"/>
              <w:rPr>
                <w:sz w:val="24"/>
                <w:szCs w:val="24"/>
                <w:lang w:val="en-GB"/>
              </w:rPr>
            </w:pPr>
            <w:r w:rsidRPr="004A3FB9">
              <w:rPr>
                <w:sz w:val="24"/>
                <w:szCs w:val="24"/>
                <w:lang w:val="en-GB"/>
              </w:rPr>
              <w:t>Komplicerede intraabdominale infektioner*</w:t>
            </w:r>
          </w:p>
        </w:tc>
      </w:tr>
    </w:tbl>
    <w:p w14:paraId="16208A41" w14:textId="77777777" w:rsidR="004A3FB9" w:rsidRPr="004A3FB9" w:rsidRDefault="004A3FB9" w:rsidP="004A3FB9">
      <w:pPr>
        <w:tabs>
          <w:tab w:val="left" w:pos="851"/>
        </w:tabs>
        <w:ind w:left="851"/>
        <w:rPr>
          <w:sz w:val="24"/>
          <w:szCs w:val="24"/>
        </w:rPr>
      </w:pPr>
      <w:r w:rsidRPr="004A3FB9">
        <w:rPr>
          <w:sz w:val="24"/>
          <w:szCs w:val="24"/>
        </w:rPr>
        <w:t>* Må ikke overstige maksimummet på 4 g/0,5 g pr. dosis i løbet af 30 minutter.</w:t>
      </w:r>
    </w:p>
    <w:p w14:paraId="7964A55E" w14:textId="77777777" w:rsidR="004A3FB9" w:rsidRPr="004A3FB9" w:rsidRDefault="004A3FB9" w:rsidP="004A3FB9">
      <w:pPr>
        <w:tabs>
          <w:tab w:val="left" w:pos="851"/>
        </w:tabs>
        <w:ind w:left="851"/>
        <w:rPr>
          <w:sz w:val="24"/>
          <w:szCs w:val="24"/>
        </w:rPr>
      </w:pPr>
    </w:p>
    <w:p w14:paraId="25290B79" w14:textId="77777777" w:rsidR="004A3FB9" w:rsidRPr="00B51B54" w:rsidRDefault="004A3FB9" w:rsidP="004A3FB9">
      <w:pPr>
        <w:tabs>
          <w:tab w:val="left" w:pos="851"/>
        </w:tabs>
        <w:ind w:left="851"/>
        <w:rPr>
          <w:i/>
          <w:iCs/>
          <w:sz w:val="24"/>
          <w:szCs w:val="24"/>
        </w:rPr>
      </w:pPr>
      <w:r w:rsidRPr="00B51B54">
        <w:rPr>
          <w:i/>
          <w:iCs/>
          <w:sz w:val="24"/>
          <w:szCs w:val="24"/>
        </w:rPr>
        <w:t>Nedsat nyrefunktion</w:t>
      </w:r>
    </w:p>
    <w:p w14:paraId="32A9F268" w14:textId="77777777" w:rsidR="004A3FB9" w:rsidRPr="004A3FB9" w:rsidRDefault="004A3FB9" w:rsidP="004A3FB9">
      <w:pPr>
        <w:tabs>
          <w:tab w:val="left" w:pos="851"/>
        </w:tabs>
        <w:ind w:left="851"/>
        <w:rPr>
          <w:sz w:val="24"/>
          <w:szCs w:val="24"/>
        </w:rPr>
      </w:pPr>
      <w:r w:rsidRPr="004A3FB9">
        <w:rPr>
          <w:sz w:val="24"/>
          <w:szCs w:val="24"/>
        </w:rPr>
        <w:t xml:space="preserve">Den intravenøse dosis bør justeres i forhold til graden af den aktuelle nyrefunktionsnedsættelse som følger (hver patient skal overvåges nøje for tegn på toksicitet over for stofferne, og lægemiddeldosis og interval bør justeres i overensstemmelse hermed): </w:t>
      </w:r>
    </w:p>
    <w:p w14:paraId="3CC54444" w14:textId="77777777" w:rsidR="004A3FB9" w:rsidRPr="004A3FB9" w:rsidRDefault="004A3FB9" w:rsidP="004A3FB9">
      <w:pPr>
        <w:tabs>
          <w:tab w:val="left" w:pos="851"/>
        </w:tabs>
        <w:ind w:left="851"/>
        <w:rPr>
          <w:sz w:val="24"/>
          <w:szCs w:val="24"/>
        </w:rPr>
      </w:pP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5053"/>
      </w:tblGrid>
      <w:tr w:rsidR="004A3FB9" w:rsidRPr="004A3FB9" w14:paraId="5A23E9EA" w14:textId="77777777" w:rsidTr="00B51B54">
        <w:trPr>
          <w:trHeight w:val="165"/>
        </w:trPr>
        <w:tc>
          <w:tcPr>
            <w:tcW w:w="1927" w:type="pct"/>
            <w:tcBorders>
              <w:top w:val="single" w:sz="4" w:space="0" w:color="auto"/>
              <w:left w:val="single" w:sz="4" w:space="0" w:color="auto"/>
              <w:bottom w:val="single" w:sz="4" w:space="0" w:color="auto"/>
              <w:right w:val="single" w:sz="4" w:space="0" w:color="auto"/>
            </w:tcBorders>
            <w:hideMark/>
          </w:tcPr>
          <w:p w14:paraId="76D8BF4A" w14:textId="77777777" w:rsidR="004A3FB9" w:rsidRPr="004A3FB9" w:rsidRDefault="004A3FB9" w:rsidP="00B51B54">
            <w:pPr>
              <w:rPr>
                <w:b/>
                <w:sz w:val="24"/>
                <w:szCs w:val="24"/>
                <w:lang w:val="en-GB"/>
              </w:rPr>
            </w:pPr>
            <w:r w:rsidRPr="004A3FB9">
              <w:rPr>
                <w:sz w:val="24"/>
                <w:szCs w:val="24"/>
              </w:rPr>
              <w:br w:type="page"/>
            </w:r>
            <w:r w:rsidRPr="004A3FB9">
              <w:rPr>
                <w:b/>
                <w:sz w:val="24"/>
                <w:szCs w:val="24"/>
                <w:lang w:val="en-GB"/>
              </w:rPr>
              <w:t>Kreatininclearance (ml/min)</w:t>
            </w:r>
          </w:p>
        </w:tc>
        <w:tc>
          <w:tcPr>
            <w:tcW w:w="3073" w:type="pct"/>
            <w:tcBorders>
              <w:top w:val="single" w:sz="4" w:space="0" w:color="auto"/>
              <w:left w:val="single" w:sz="4" w:space="0" w:color="auto"/>
              <w:bottom w:val="single" w:sz="4" w:space="0" w:color="auto"/>
              <w:right w:val="single" w:sz="4" w:space="0" w:color="auto"/>
            </w:tcBorders>
            <w:hideMark/>
          </w:tcPr>
          <w:p w14:paraId="742F6ADF" w14:textId="77777777" w:rsidR="004A3FB9" w:rsidRPr="004A3FB9" w:rsidRDefault="004A3FB9" w:rsidP="00B51B54">
            <w:pPr>
              <w:rPr>
                <w:b/>
                <w:sz w:val="24"/>
                <w:szCs w:val="24"/>
                <w:lang w:val="nb-NO"/>
              </w:rPr>
            </w:pPr>
            <w:r w:rsidRPr="004A3FB9">
              <w:rPr>
                <w:b/>
                <w:bCs/>
                <w:sz w:val="24"/>
                <w:szCs w:val="24"/>
                <w:lang w:val="nb-NO"/>
              </w:rPr>
              <w:t>Piperacillin/Tazobactam "B. Braun"</w:t>
            </w:r>
            <w:r w:rsidRPr="004A3FB9">
              <w:rPr>
                <w:b/>
                <w:sz w:val="24"/>
                <w:szCs w:val="24"/>
                <w:lang w:val="nb-NO"/>
              </w:rPr>
              <w:t xml:space="preserve"> (anbefalet dosis)</w:t>
            </w:r>
          </w:p>
        </w:tc>
      </w:tr>
      <w:tr w:rsidR="004A3FB9" w:rsidRPr="004A3FB9" w14:paraId="1FB176A5" w14:textId="77777777" w:rsidTr="00B51B54">
        <w:tc>
          <w:tcPr>
            <w:tcW w:w="1927" w:type="pct"/>
            <w:tcBorders>
              <w:top w:val="single" w:sz="4" w:space="0" w:color="auto"/>
              <w:left w:val="single" w:sz="4" w:space="0" w:color="auto"/>
              <w:bottom w:val="single" w:sz="4" w:space="0" w:color="auto"/>
              <w:right w:val="single" w:sz="4" w:space="0" w:color="auto"/>
            </w:tcBorders>
            <w:hideMark/>
          </w:tcPr>
          <w:p w14:paraId="2ED1AE6B" w14:textId="77777777" w:rsidR="004A3FB9" w:rsidRPr="004A3FB9" w:rsidRDefault="004A3FB9" w:rsidP="00B51B54">
            <w:pPr>
              <w:rPr>
                <w:sz w:val="24"/>
                <w:szCs w:val="24"/>
                <w:lang w:val="en-GB"/>
              </w:rPr>
            </w:pPr>
            <w:r w:rsidRPr="004A3FB9">
              <w:rPr>
                <w:sz w:val="24"/>
                <w:szCs w:val="24"/>
                <w:lang w:val="en-GB"/>
              </w:rPr>
              <w:t>&gt; 50</w:t>
            </w:r>
          </w:p>
        </w:tc>
        <w:tc>
          <w:tcPr>
            <w:tcW w:w="3073" w:type="pct"/>
            <w:tcBorders>
              <w:top w:val="single" w:sz="4" w:space="0" w:color="auto"/>
              <w:left w:val="single" w:sz="4" w:space="0" w:color="auto"/>
              <w:bottom w:val="single" w:sz="4" w:space="0" w:color="auto"/>
              <w:right w:val="single" w:sz="4" w:space="0" w:color="auto"/>
            </w:tcBorders>
            <w:hideMark/>
          </w:tcPr>
          <w:p w14:paraId="3D1D14BD" w14:textId="77777777" w:rsidR="004A3FB9" w:rsidRPr="004A3FB9" w:rsidRDefault="004A3FB9" w:rsidP="00B51B54">
            <w:pPr>
              <w:rPr>
                <w:sz w:val="24"/>
                <w:szCs w:val="24"/>
                <w:lang w:val="en-GB"/>
              </w:rPr>
            </w:pPr>
            <w:r w:rsidRPr="004A3FB9">
              <w:rPr>
                <w:sz w:val="24"/>
                <w:szCs w:val="24"/>
                <w:lang w:val="en-GB"/>
              </w:rPr>
              <w:t>Dosisjustering er ikke nødvendig</w:t>
            </w:r>
          </w:p>
        </w:tc>
      </w:tr>
      <w:tr w:rsidR="004A3FB9" w:rsidRPr="004A3FB9" w14:paraId="5C7A1ECD" w14:textId="77777777" w:rsidTr="00B51B54">
        <w:tc>
          <w:tcPr>
            <w:tcW w:w="1927" w:type="pct"/>
            <w:tcBorders>
              <w:top w:val="single" w:sz="4" w:space="0" w:color="auto"/>
              <w:left w:val="single" w:sz="4" w:space="0" w:color="auto"/>
              <w:bottom w:val="single" w:sz="4" w:space="0" w:color="auto"/>
              <w:right w:val="single" w:sz="4" w:space="0" w:color="auto"/>
            </w:tcBorders>
            <w:hideMark/>
          </w:tcPr>
          <w:p w14:paraId="76216590" w14:textId="77777777" w:rsidR="004A3FB9" w:rsidRPr="004A3FB9" w:rsidRDefault="004A3FB9" w:rsidP="00B51B54">
            <w:pPr>
              <w:rPr>
                <w:sz w:val="24"/>
                <w:szCs w:val="24"/>
                <w:lang w:val="en-GB"/>
              </w:rPr>
            </w:pPr>
            <w:r w:rsidRPr="004A3FB9">
              <w:rPr>
                <w:sz w:val="24"/>
                <w:szCs w:val="24"/>
                <w:lang w:val="en-GB"/>
              </w:rPr>
              <w:t>≤ 50</w:t>
            </w:r>
          </w:p>
        </w:tc>
        <w:tc>
          <w:tcPr>
            <w:tcW w:w="3073" w:type="pct"/>
            <w:tcBorders>
              <w:top w:val="single" w:sz="4" w:space="0" w:color="auto"/>
              <w:left w:val="single" w:sz="4" w:space="0" w:color="auto"/>
              <w:bottom w:val="single" w:sz="4" w:space="0" w:color="auto"/>
              <w:right w:val="single" w:sz="4" w:space="0" w:color="auto"/>
            </w:tcBorders>
            <w:hideMark/>
          </w:tcPr>
          <w:p w14:paraId="7A424C68" w14:textId="77777777" w:rsidR="004A3FB9" w:rsidRPr="004A3FB9" w:rsidRDefault="004A3FB9" w:rsidP="00B51B54">
            <w:pPr>
              <w:rPr>
                <w:sz w:val="24"/>
                <w:szCs w:val="24"/>
              </w:rPr>
            </w:pPr>
            <w:r w:rsidRPr="004A3FB9">
              <w:rPr>
                <w:sz w:val="24"/>
                <w:szCs w:val="24"/>
              </w:rPr>
              <w:t>70 mg piperacillin/8,75 mg tazobactam pr. kg legemsvægt hver 8. time</w:t>
            </w:r>
          </w:p>
        </w:tc>
      </w:tr>
    </w:tbl>
    <w:p w14:paraId="53FC8366" w14:textId="77777777" w:rsidR="004A3FB9" w:rsidRPr="004A3FB9" w:rsidRDefault="004A3FB9" w:rsidP="004A3FB9">
      <w:pPr>
        <w:tabs>
          <w:tab w:val="left" w:pos="851"/>
        </w:tabs>
        <w:ind w:left="851"/>
        <w:rPr>
          <w:sz w:val="24"/>
          <w:szCs w:val="24"/>
        </w:rPr>
      </w:pPr>
    </w:p>
    <w:p w14:paraId="1949D399" w14:textId="77777777" w:rsidR="004A3FB9" w:rsidRPr="004A3FB9" w:rsidRDefault="004A3FB9" w:rsidP="004A3FB9">
      <w:pPr>
        <w:tabs>
          <w:tab w:val="left" w:pos="851"/>
        </w:tabs>
        <w:ind w:left="851"/>
        <w:rPr>
          <w:sz w:val="24"/>
          <w:szCs w:val="24"/>
        </w:rPr>
      </w:pPr>
      <w:r w:rsidRPr="004A3FB9">
        <w:rPr>
          <w:sz w:val="24"/>
          <w:szCs w:val="24"/>
        </w:rPr>
        <w:t>Børn i hæmodialyse bør få én yderligere dosis på 40 mg piperacillin/5 mg tazobactam pr. kg legemsvægt efter hver dialyseperiode.</w:t>
      </w:r>
    </w:p>
    <w:p w14:paraId="40474B81" w14:textId="77777777" w:rsidR="004A3FB9" w:rsidRPr="004A3FB9" w:rsidRDefault="004A3FB9" w:rsidP="004A3FB9">
      <w:pPr>
        <w:tabs>
          <w:tab w:val="left" w:pos="851"/>
        </w:tabs>
        <w:ind w:left="851"/>
        <w:rPr>
          <w:sz w:val="24"/>
          <w:szCs w:val="24"/>
        </w:rPr>
      </w:pPr>
    </w:p>
    <w:p w14:paraId="0A28732D" w14:textId="77777777" w:rsidR="004A3FB9" w:rsidRPr="00B51B54" w:rsidRDefault="004A3FB9" w:rsidP="004A3FB9">
      <w:pPr>
        <w:tabs>
          <w:tab w:val="left" w:pos="851"/>
        </w:tabs>
        <w:ind w:left="851"/>
        <w:rPr>
          <w:bCs/>
          <w:iCs/>
          <w:sz w:val="24"/>
          <w:szCs w:val="24"/>
          <w:u w:val="single"/>
        </w:rPr>
      </w:pPr>
      <w:r w:rsidRPr="00B51B54">
        <w:rPr>
          <w:bCs/>
          <w:iCs/>
          <w:sz w:val="24"/>
          <w:szCs w:val="24"/>
          <w:u w:val="single"/>
        </w:rPr>
        <w:t>Brug hos børn under 2 år</w:t>
      </w:r>
    </w:p>
    <w:p w14:paraId="4CD73A9F" w14:textId="77777777" w:rsidR="004A3FB9" w:rsidRPr="004A3FB9" w:rsidRDefault="004A3FB9" w:rsidP="004A3FB9">
      <w:pPr>
        <w:tabs>
          <w:tab w:val="left" w:pos="851"/>
        </w:tabs>
        <w:ind w:left="851"/>
        <w:rPr>
          <w:sz w:val="24"/>
          <w:szCs w:val="24"/>
        </w:rPr>
      </w:pPr>
      <w:r w:rsidRPr="004A3FB9">
        <w:rPr>
          <w:sz w:val="24"/>
          <w:szCs w:val="24"/>
        </w:rPr>
        <w:t>Sikkerhed og virkning af Piperacillin/Tazobactam "B. Braun" hos børn i alderen 0</w:t>
      </w:r>
      <w:r w:rsidRPr="004A3FB9">
        <w:rPr>
          <w:sz w:val="24"/>
          <w:szCs w:val="24"/>
        </w:rPr>
        <w:noBreakHyphen/>
        <w:t>2 år er ikke klarlagt.</w:t>
      </w:r>
    </w:p>
    <w:p w14:paraId="77F0C538" w14:textId="77777777" w:rsidR="004A3FB9" w:rsidRPr="004A3FB9" w:rsidRDefault="004A3FB9" w:rsidP="004A3FB9">
      <w:pPr>
        <w:tabs>
          <w:tab w:val="left" w:pos="851"/>
        </w:tabs>
        <w:ind w:left="851"/>
        <w:rPr>
          <w:sz w:val="24"/>
          <w:szCs w:val="24"/>
        </w:rPr>
      </w:pPr>
      <w:r w:rsidRPr="004A3FB9">
        <w:rPr>
          <w:sz w:val="24"/>
          <w:szCs w:val="24"/>
        </w:rPr>
        <w:t>Der foreligger ingen data fra kontrollerede kliniske undersøgelser.</w:t>
      </w:r>
    </w:p>
    <w:p w14:paraId="6ACADEEA" w14:textId="77777777" w:rsidR="004A3FB9" w:rsidRPr="004A3FB9" w:rsidRDefault="004A3FB9" w:rsidP="004A3FB9">
      <w:pPr>
        <w:tabs>
          <w:tab w:val="left" w:pos="851"/>
        </w:tabs>
        <w:ind w:left="851"/>
        <w:rPr>
          <w:sz w:val="24"/>
          <w:szCs w:val="24"/>
        </w:rPr>
      </w:pPr>
    </w:p>
    <w:p w14:paraId="03D6B4AB" w14:textId="77777777" w:rsidR="004A3FB9" w:rsidRPr="00B51B54" w:rsidRDefault="004A3FB9" w:rsidP="004A3FB9">
      <w:pPr>
        <w:tabs>
          <w:tab w:val="left" w:pos="851"/>
        </w:tabs>
        <w:ind w:left="851"/>
        <w:rPr>
          <w:b/>
          <w:bCs/>
          <w:sz w:val="24"/>
          <w:szCs w:val="24"/>
        </w:rPr>
      </w:pPr>
      <w:r w:rsidRPr="00B51B54">
        <w:rPr>
          <w:b/>
          <w:bCs/>
          <w:sz w:val="24"/>
          <w:szCs w:val="24"/>
        </w:rPr>
        <w:t>Behandlingsvarighed</w:t>
      </w:r>
    </w:p>
    <w:p w14:paraId="5EDDA8C2" w14:textId="77777777" w:rsidR="004A3FB9" w:rsidRPr="004A3FB9" w:rsidRDefault="004A3FB9" w:rsidP="004A3FB9">
      <w:pPr>
        <w:tabs>
          <w:tab w:val="left" w:pos="851"/>
        </w:tabs>
        <w:ind w:left="851"/>
        <w:rPr>
          <w:sz w:val="24"/>
          <w:szCs w:val="24"/>
        </w:rPr>
      </w:pPr>
      <w:r w:rsidRPr="004A3FB9">
        <w:rPr>
          <w:sz w:val="24"/>
          <w:szCs w:val="24"/>
        </w:rPr>
        <w:t>Den sædvanlige behandlingsvarighed ved de fleste indikationer er 5</w:t>
      </w:r>
      <w:r w:rsidRPr="004A3FB9">
        <w:rPr>
          <w:sz w:val="24"/>
          <w:szCs w:val="24"/>
        </w:rPr>
        <w:noBreakHyphen/>
        <w:t>14 dage. Behandlingsvarigheden bør dog bestemmes ud fra infektionens sværhedsgrad, patogenet (patogenerne) og patientens kliniske og bakteriologiske fremgang.</w:t>
      </w:r>
    </w:p>
    <w:p w14:paraId="78A013DB" w14:textId="77777777" w:rsidR="004A3FB9" w:rsidRPr="004A3FB9" w:rsidRDefault="004A3FB9" w:rsidP="004A3FB9">
      <w:pPr>
        <w:tabs>
          <w:tab w:val="left" w:pos="851"/>
        </w:tabs>
        <w:ind w:left="851"/>
        <w:rPr>
          <w:sz w:val="24"/>
          <w:szCs w:val="24"/>
        </w:rPr>
      </w:pPr>
    </w:p>
    <w:p w14:paraId="3026C2A7" w14:textId="77777777" w:rsidR="004A3FB9" w:rsidRPr="00B51B54" w:rsidRDefault="004A3FB9" w:rsidP="004A3FB9">
      <w:pPr>
        <w:tabs>
          <w:tab w:val="left" w:pos="851"/>
        </w:tabs>
        <w:ind w:left="851"/>
        <w:rPr>
          <w:b/>
          <w:sz w:val="24"/>
          <w:szCs w:val="24"/>
        </w:rPr>
      </w:pPr>
      <w:r w:rsidRPr="00B51B54">
        <w:rPr>
          <w:b/>
          <w:sz w:val="24"/>
          <w:szCs w:val="24"/>
        </w:rPr>
        <w:t>Administration</w:t>
      </w:r>
    </w:p>
    <w:p w14:paraId="5A065184" w14:textId="77777777" w:rsidR="004A3FB9" w:rsidRPr="004A3FB9" w:rsidRDefault="004A3FB9" w:rsidP="004A3FB9">
      <w:pPr>
        <w:tabs>
          <w:tab w:val="left" w:pos="851"/>
        </w:tabs>
        <w:ind w:left="851"/>
        <w:rPr>
          <w:sz w:val="24"/>
          <w:szCs w:val="24"/>
        </w:rPr>
      </w:pPr>
      <w:r w:rsidRPr="004A3FB9">
        <w:rPr>
          <w:sz w:val="24"/>
          <w:szCs w:val="24"/>
        </w:rPr>
        <w:t>Piperacillin/Tazobactam "B. Braun" indgives ved intravenøs infusion (over 30 minutter).</w:t>
      </w:r>
    </w:p>
    <w:p w14:paraId="3F720E6B" w14:textId="77777777" w:rsidR="004A3FB9" w:rsidRPr="004A3FB9" w:rsidRDefault="004A3FB9" w:rsidP="004A3FB9">
      <w:pPr>
        <w:tabs>
          <w:tab w:val="left" w:pos="851"/>
        </w:tabs>
        <w:ind w:left="851"/>
        <w:rPr>
          <w:sz w:val="24"/>
          <w:szCs w:val="24"/>
        </w:rPr>
      </w:pPr>
      <w:r w:rsidRPr="004A3FB9">
        <w:rPr>
          <w:sz w:val="24"/>
          <w:szCs w:val="24"/>
        </w:rPr>
        <w:t>For instruktioner om rekonstitution af lægemidlet før administration, se pkt. 6.6.</w:t>
      </w:r>
    </w:p>
    <w:p w14:paraId="4C8F26ED" w14:textId="77777777" w:rsidR="009260DE" w:rsidRPr="00C84483" w:rsidRDefault="009260DE" w:rsidP="009260DE">
      <w:pPr>
        <w:tabs>
          <w:tab w:val="left" w:pos="851"/>
        </w:tabs>
        <w:ind w:left="851"/>
        <w:rPr>
          <w:sz w:val="24"/>
          <w:szCs w:val="24"/>
        </w:rPr>
      </w:pPr>
    </w:p>
    <w:p w14:paraId="2AD540C5"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3B7598E6" w14:textId="77777777" w:rsidR="007926FC" w:rsidRPr="007926FC" w:rsidRDefault="007926FC" w:rsidP="007926FC">
      <w:pPr>
        <w:tabs>
          <w:tab w:val="left" w:pos="851"/>
        </w:tabs>
        <w:ind w:left="851"/>
        <w:rPr>
          <w:sz w:val="24"/>
          <w:szCs w:val="24"/>
        </w:rPr>
      </w:pPr>
      <w:r w:rsidRPr="007926FC">
        <w:rPr>
          <w:sz w:val="24"/>
          <w:szCs w:val="24"/>
        </w:rPr>
        <w:t>Overfølsomhed over for de aktive stoffer eller over for et andet penicillin-baseret antibakterielt middel eller over for et eller flere af hjælpestofferne anført i pkt. 6.1.</w:t>
      </w:r>
    </w:p>
    <w:p w14:paraId="29778A4B" w14:textId="77777777" w:rsidR="007926FC" w:rsidRPr="007926FC" w:rsidRDefault="007926FC" w:rsidP="007926FC">
      <w:pPr>
        <w:tabs>
          <w:tab w:val="left" w:pos="851"/>
        </w:tabs>
        <w:ind w:left="851"/>
        <w:rPr>
          <w:sz w:val="24"/>
          <w:szCs w:val="24"/>
        </w:rPr>
      </w:pPr>
    </w:p>
    <w:p w14:paraId="6A0137CF" w14:textId="77777777" w:rsidR="007926FC" w:rsidRPr="007926FC" w:rsidRDefault="007926FC" w:rsidP="007926FC">
      <w:pPr>
        <w:tabs>
          <w:tab w:val="left" w:pos="851"/>
        </w:tabs>
        <w:ind w:left="851"/>
        <w:rPr>
          <w:sz w:val="24"/>
          <w:szCs w:val="24"/>
        </w:rPr>
      </w:pPr>
      <w:r w:rsidRPr="007926FC">
        <w:rPr>
          <w:sz w:val="24"/>
          <w:szCs w:val="24"/>
        </w:rPr>
        <w:t>Anamnese med akut, svær allergisk reaktion over for et andet betalaktam-antibiotikum (f.eks. cefalosporin, monobaktam eller carbapenem).</w:t>
      </w:r>
    </w:p>
    <w:p w14:paraId="112B39EB" w14:textId="77777777" w:rsidR="009260DE" w:rsidRPr="00C84483" w:rsidRDefault="009260DE" w:rsidP="009260DE">
      <w:pPr>
        <w:tabs>
          <w:tab w:val="left" w:pos="851"/>
        </w:tabs>
        <w:ind w:left="851"/>
        <w:rPr>
          <w:sz w:val="24"/>
          <w:szCs w:val="24"/>
        </w:rPr>
      </w:pPr>
    </w:p>
    <w:p w14:paraId="4259AFA8"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5E156A93" w14:textId="77777777" w:rsidR="007926FC" w:rsidRPr="007926FC" w:rsidRDefault="007926FC" w:rsidP="007926FC">
      <w:pPr>
        <w:tabs>
          <w:tab w:val="left" w:pos="851"/>
        </w:tabs>
        <w:ind w:left="851"/>
        <w:rPr>
          <w:sz w:val="24"/>
          <w:szCs w:val="24"/>
        </w:rPr>
      </w:pPr>
      <w:r w:rsidRPr="007926FC">
        <w:rPr>
          <w:sz w:val="24"/>
          <w:szCs w:val="24"/>
        </w:rPr>
        <w:t>Ved valget af piperacillin/tazobactam til behandling af den enkelte patient bør relevansen af at anvende en bredspektret, semisyntetisk penicillin overvejes ud fra faktorer såsom infektionens sværhedsgrad og prævalensen af resistens over for andre relevante antibakterielle stoffer.</w:t>
      </w:r>
    </w:p>
    <w:p w14:paraId="76A66BEE" w14:textId="77777777" w:rsidR="007926FC" w:rsidRPr="007926FC" w:rsidRDefault="007926FC" w:rsidP="007926FC">
      <w:pPr>
        <w:tabs>
          <w:tab w:val="left" w:pos="851"/>
        </w:tabs>
        <w:ind w:left="851"/>
        <w:rPr>
          <w:sz w:val="24"/>
          <w:szCs w:val="24"/>
        </w:rPr>
      </w:pPr>
    </w:p>
    <w:p w14:paraId="69878431" w14:textId="77777777" w:rsidR="007926FC" w:rsidRPr="007926FC" w:rsidRDefault="007926FC" w:rsidP="007926FC">
      <w:pPr>
        <w:tabs>
          <w:tab w:val="left" w:pos="851"/>
        </w:tabs>
        <w:ind w:left="851"/>
        <w:rPr>
          <w:sz w:val="24"/>
          <w:szCs w:val="24"/>
        </w:rPr>
      </w:pPr>
      <w:r w:rsidRPr="007926FC">
        <w:rPr>
          <w:sz w:val="24"/>
          <w:szCs w:val="24"/>
        </w:rPr>
        <w:t>Før påbegyndelse af behandling med Piperacillin/Tazobactam "B. Braun" bør det undersøges nøje, om der tidligere har været overfølsomhedsreaktioner over for penicilliner, andre betalaktamstoffer (f.eks. cefalosporin, monobaktam eller carbapenem) og andre allergener.</w:t>
      </w:r>
    </w:p>
    <w:p w14:paraId="0EE73A06" w14:textId="77777777" w:rsidR="007926FC" w:rsidRPr="007926FC" w:rsidRDefault="007926FC" w:rsidP="007926FC">
      <w:pPr>
        <w:tabs>
          <w:tab w:val="left" w:pos="851"/>
        </w:tabs>
        <w:ind w:left="851"/>
        <w:rPr>
          <w:sz w:val="24"/>
          <w:szCs w:val="24"/>
        </w:rPr>
      </w:pPr>
    </w:p>
    <w:p w14:paraId="57A9B312" w14:textId="77777777" w:rsidR="007926FC" w:rsidRPr="007926FC" w:rsidRDefault="007926FC" w:rsidP="007926FC">
      <w:pPr>
        <w:tabs>
          <w:tab w:val="left" w:pos="851"/>
        </w:tabs>
        <w:ind w:left="851"/>
        <w:rPr>
          <w:sz w:val="24"/>
          <w:szCs w:val="24"/>
        </w:rPr>
      </w:pPr>
      <w:r w:rsidRPr="007926FC">
        <w:rPr>
          <w:sz w:val="24"/>
          <w:szCs w:val="24"/>
        </w:rPr>
        <w:t>Alvorlige og ind imellem fatale overfølsomhedsreaktioner (anafylaktiske/anafylaktoide reaktioner, herunder shock) er rapporteret hos patienter, der fik penicillinbehandling, herunder med piperacillin/tazobactam. Der er større risiko for, at disse reaktioner forekommer hos personer, der tidligere har vist overfølsomhed over for flere allergener.</w:t>
      </w:r>
    </w:p>
    <w:p w14:paraId="2447B0E7" w14:textId="77777777" w:rsidR="007926FC" w:rsidRPr="007926FC" w:rsidRDefault="007926FC" w:rsidP="007926FC">
      <w:pPr>
        <w:tabs>
          <w:tab w:val="left" w:pos="851"/>
        </w:tabs>
        <w:ind w:left="851"/>
        <w:rPr>
          <w:sz w:val="24"/>
          <w:szCs w:val="24"/>
        </w:rPr>
      </w:pPr>
    </w:p>
    <w:p w14:paraId="6D5A4EF4" w14:textId="77777777" w:rsidR="007926FC" w:rsidRPr="007926FC" w:rsidRDefault="007926FC" w:rsidP="007926FC">
      <w:pPr>
        <w:tabs>
          <w:tab w:val="left" w:pos="851"/>
        </w:tabs>
        <w:ind w:left="851"/>
        <w:rPr>
          <w:sz w:val="24"/>
          <w:szCs w:val="24"/>
        </w:rPr>
      </w:pPr>
      <w:r w:rsidRPr="007926FC">
        <w:rPr>
          <w:sz w:val="24"/>
          <w:szCs w:val="24"/>
        </w:rPr>
        <w:t>Alvorlige overfølsomhedsreaktioner kræver seponering af antibiotikummet og kan kræve indgivelse af epinefrin og andre nødforanstaltninger.</w:t>
      </w:r>
    </w:p>
    <w:p w14:paraId="3C93D9F5" w14:textId="77777777" w:rsidR="007926FC" w:rsidRPr="007926FC" w:rsidRDefault="007926FC" w:rsidP="007926FC">
      <w:pPr>
        <w:tabs>
          <w:tab w:val="left" w:pos="851"/>
        </w:tabs>
        <w:ind w:left="851"/>
        <w:rPr>
          <w:sz w:val="24"/>
          <w:szCs w:val="24"/>
        </w:rPr>
      </w:pPr>
    </w:p>
    <w:p w14:paraId="0F1D5476" w14:textId="77777777" w:rsidR="007926FC" w:rsidRPr="007926FC" w:rsidRDefault="007926FC" w:rsidP="007926FC">
      <w:pPr>
        <w:tabs>
          <w:tab w:val="left" w:pos="851"/>
        </w:tabs>
        <w:ind w:left="851"/>
        <w:rPr>
          <w:sz w:val="24"/>
          <w:szCs w:val="24"/>
        </w:rPr>
      </w:pPr>
      <w:r w:rsidRPr="007926FC">
        <w:rPr>
          <w:sz w:val="24"/>
          <w:szCs w:val="24"/>
        </w:rPr>
        <w:t>Piperacillin/Tazobactam "B. Braun" kan forårsage alvorlige kutane bivirkninger (SCARs), såsom Stevens</w:t>
      </w:r>
      <w:r w:rsidRPr="007926FC">
        <w:rPr>
          <w:sz w:val="24"/>
          <w:szCs w:val="24"/>
        </w:rPr>
        <w:noBreakHyphen/>
        <w:t>Johnsons syndrom (SJS), toksisk epidermal nekrolyse (TEN), lægemiddelreaktion med eosinofili og systemiske symptomer (DRESS) samt akut generaliseret eksantematøs pustulose (APEG) (se pkt. 4.8). Hvis der udvikles hududslæt, skal patienten overvåges omhyggeligt, og behandling med Piperacillin/Tazobactam "B. Braun" skal seponeres, hvis hudlæsionen udvikler sig.</w:t>
      </w:r>
    </w:p>
    <w:p w14:paraId="733DFF24" w14:textId="77777777" w:rsidR="007926FC" w:rsidRPr="007926FC" w:rsidRDefault="007926FC" w:rsidP="007926FC">
      <w:pPr>
        <w:tabs>
          <w:tab w:val="left" w:pos="851"/>
        </w:tabs>
        <w:ind w:left="851"/>
        <w:rPr>
          <w:sz w:val="24"/>
          <w:szCs w:val="24"/>
        </w:rPr>
      </w:pPr>
    </w:p>
    <w:p w14:paraId="2C7204D6" w14:textId="77777777" w:rsidR="007926FC" w:rsidRPr="007926FC" w:rsidRDefault="007926FC" w:rsidP="007926FC">
      <w:pPr>
        <w:tabs>
          <w:tab w:val="left" w:pos="851"/>
        </w:tabs>
        <w:ind w:left="851"/>
        <w:rPr>
          <w:sz w:val="24"/>
          <w:szCs w:val="24"/>
          <w:u w:val="single"/>
        </w:rPr>
      </w:pPr>
      <w:r w:rsidRPr="007926FC">
        <w:rPr>
          <w:sz w:val="24"/>
          <w:szCs w:val="24"/>
          <w:u w:val="single"/>
        </w:rPr>
        <w:lastRenderedPageBreak/>
        <w:t>Hæmofagocytisk lymfohistiocytose (HLH)</w:t>
      </w:r>
    </w:p>
    <w:p w14:paraId="2D3049DA" w14:textId="77777777" w:rsidR="007926FC" w:rsidRPr="007926FC" w:rsidRDefault="007926FC" w:rsidP="007926FC">
      <w:pPr>
        <w:tabs>
          <w:tab w:val="left" w:pos="851"/>
        </w:tabs>
        <w:ind w:left="851"/>
        <w:rPr>
          <w:sz w:val="24"/>
          <w:szCs w:val="24"/>
        </w:rPr>
      </w:pPr>
      <w:r w:rsidRPr="007926FC">
        <w:rPr>
          <w:sz w:val="24"/>
          <w:szCs w:val="24"/>
        </w:rPr>
        <w:t>Der er indberettet tilfælde af HLH hos patienter, der behandles med piperacillin/tazobactam, ofte efter behandling i mere end 10 dage. HLH er et livstruende syndrom med patologisk immunaktivering, som er kendetegnet ved kliniske tegn og symptomer på kraftig systemisk inflammation (f.eks. feber, hepatosplenomegali, hypertriglyceridæmi, hypofibrinogenæmi, forhøjet serum-ferritin, cytopenier og hæmofagocytose). Patienter, der udvikler tidlige manifestationer af patologisk immunaktivering, bør straks vurderes. Hvis diagnosen HLH konstateres, bør behandlingen med piperacillin/tazobactam seponeres.</w:t>
      </w:r>
    </w:p>
    <w:p w14:paraId="308E0E4E" w14:textId="77777777" w:rsidR="007926FC" w:rsidRPr="007926FC" w:rsidRDefault="007926FC" w:rsidP="007926FC">
      <w:pPr>
        <w:tabs>
          <w:tab w:val="left" w:pos="851"/>
        </w:tabs>
        <w:ind w:left="851"/>
        <w:rPr>
          <w:sz w:val="24"/>
          <w:szCs w:val="24"/>
        </w:rPr>
      </w:pPr>
    </w:p>
    <w:p w14:paraId="54C7A592" w14:textId="77777777" w:rsidR="007926FC" w:rsidRPr="007926FC" w:rsidRDefault="007926FC" w:rsidP="007926FC">
      <w:pPr>
        <w:tabs>
          <w:tab w:val="left" w:pos="851"/>
        </w:tabs>
        <w:ind w:left="851"/>
        <w:rPr>
          <w:sz w:val="24"/>
          <w:szCs w:val="24"/>
        </w:rPr>
      </w:pPr>
      <w:r w:rsidRPr="007926FC">
        <w:rPr>
          <w:sz w:val="24"/>
          <w:szCs w:val="24"/>
        </w:rPr>
        <w:t>Antibiotika-forårsaget pseudomembranøs colitis kan manifestere sig som svær og vedvarende diarré, som kan være livstruende. Symptomerne på pseudomembranøs colitis kan indtræde under eller efter den antibakterielle behandling. I sådanne tilfælde bør Piperacillin/Tazobactam "B. Braun" seponeres.</w:t>
      </w:r>
    </w:p>
    <w:p w14:paraId="0A27A6B6" w14:textId="77777777" w:rsidR="007926FC" w:rsidRPr="007926FC" w:rsidRDefault="007926FC" w:rsidP="007926FC">
      <w:pPr>
        <w:tabs>
          <w:tab w:val="left" w:pos="851"/>
        </w:tabs>
        <w:ind w:left="851"/>
        <w:rPr>
          <w:sz w:val="24"/>
          <w:szCs w:val="24"/>
        </w:rPr>
      </w:pPr>
    </w:p>
    <w:p w14:paraId="2E335156" w14:textId="77777777" w:rsidR="007926FC" w:rsidRPr="007926FC" w:rsidRDefault="007926FC" w:rsidP="007926FC">
      <w:pPr>
        <w:tabs>
          <w:tab w:val="left" w:pos="851"/>
        </w:tabs>
        <w:ind w:left="851"/>
        <w:rPr>
          <w:sz w:val="24"/>
          <w:szCs w:val="24"/>
        </w:rPr>
      </w:pPr>
      <w:r w:rsidRPr="007926FC">
        <w:rPr>
          <w:sz w:val="24"/>
          <w:szCs w:val="24"/>
        </w:rPr>
        <w:t>Behandling med Piperacillin/Tazobactam "B. Braun" kan medføre fremkomst af resistente organismer, der kan forårsage superinfektioner.</w:t>
      </w:r>
    </w:p>
    <w:p w14:paraId="01C41315" w14:textId="77777777" w:rsidR="007926FC" w:rsidRPr="007926FC" w:rsidRDefault="007926FC" w:rsidP="007926FC">
      <w:pPr>
        <w:tabs>
          <w:tab w:val="left" w:pos="851"/>
        </w:tabs>
        <w:ind w:left="851"/>
        <w:rPr>
          <w:sz w:val="24"/>
          <w:szCs w:val="24"/>
        </w:rPr>
      </w:pPr>
    </w:p>
    <w:p w14:paraId="5A1CC101" w14:textId="77777777" w:rsidR="007926FC" w:rsidRPr="007926FC" w:rsidRDefault="007926FC" w:rsidP="007926FC">
      <w:pPr>
        <w:tabs>
          <w:tab w:val="left" w:pos="851"/>
        </w:tabs>
        <w:ind w:left="851"/>
        <w:rPr>
          <w:sz w:val="24"/>
          <w:szCs w:val="24"/>
        </w:rPr>
      </w:pPr>
      <w:r w:rsidRPr="007926FC">
        <w:rPr>
          <w:sz w:val="24"/>
          <w:szCs w:val="24"/>
        </w:rPr>
        <w:t>Blødningsmanifestationer er set hos patienter, der blev behandlet med betalaktam-antibiotika. Disse reaktioner er ind imellem blevet forbundet med anormale koagulationstest, såsom koagulationstid, trombocytaggregation og protrombintid, og opstår oftere hos patienter med nyresvigt. Hvis blødningsmanifestationer opstår, bør antibiotikummet seponeres og passende behandling iværksættes.</w:t>
      </w:r>
    </w:p>
    <w:p w14:paraId="1C251BEF" w14:textId="77777777" w:rsidR="007926FC" w:rsidRPr="007926FC" w:rsidRDefault="007926FC" w:rsidP="007926FC">
      <w:pPr>
        <w:tabs>
          <w:tab w:val="left" w:pos="851"/>
        </w:tabs>
        <w:ind w:left="851"/>
        <w:rPr>
          <w:sz w:val="24"/>
          <w:szCs w:val="24"/>
        </w:rPr>
      </w:pPr>
    </w:p>
    <w:p w14:paraId="56AD5EC3" w14:textId="77777777" w:rsidR="007926FC" w:rsidRPr="007926FC" w:rsidRDefault="007926FC" w:rsidP="007926FC">
      <w:pPr>
        <w:tabs>
          <w:tab w:val="left" w:pos="851"/>
        </w:tabs>
        <w:ind w:left="851"/>
        <w:rPr>
          <w:sz w:val="24"/>
          <w:szCs w:val="24"/>
        </w:rPr>
      </w:pPr>
      <w:r w:rsidRPr="007926FC">
        <w:rPr>
          <w:sz w:val="24"/>
          <w:szCs w:val="24"/>
        </w:rPr>
        <w:t>Leukopeni og neutropeni kan forekomme, især ved langvarig behandling. Derfor bør den hæmatopoietiske funktion vurderes regelmæssigt.</w:t>
      </w:r>
    </w:p>
    <w:p w14:paraId="54194EDB" w14:textId="77777777" w:rsidR="007926FC" w:rsidRPr="007926FC" w:rsidRDefault="007926FC" w:rsidP="007926FC">
      <w:pPr>
        <w:tabs>
          <w:tab w:val="left" w:pos="851"/>
        </w:tabs>
        <w:ind w:left="851"/>
        <w:rPr>
          <w:sz w:val="24"/>
          <w:szCs w:val="24"/>
        </w:rPr>
      </w:pPr>
    </w:p>
    <w:p w14:paraId="69F3169A" w14:textId="77777777" w:rsidR="007926FC" w:rsidRPr="007926FC" w:rsidRDefault="007926FC" w:rsidP="007926FC">
      <w:pPr>
        <w:tabs>
          <w:tab w:val="left" w:pos="851"/>
        </w:tabs>
        <w:ind w:left="851"/>
        <w:rPr>
          <w:sz w:val="24"/>
          <w:szCs w:val="24"/>
        </w:rPr>
      </w:pPr>
      <w:r w:rsidRPr="007926FC">
        <w:rPr>
          <w:sz w:val="24"/>
          <w:szCs w:val="24"/>
        </w:rPr>
        <w:t>Ligesom ved behandling med andre penicilliner kan der opstå neurologiske komplikationer i form af kramper (krampeanfald), når høje doser indgives, især hos patienter med nedsat nyrefunktion (se pkt. 4.8).</w:t>
      </w:r>
    </w:p>
    <w:p w14:paraId="2DB6F321" w14:textId="77777777" w:rsidR="007926FC" w:rsidRPr="007926FC" w:rsidRDefault="007926FC" w:rsidP="007926FC">
      <w:pPr>
        <w:tabs>
          <w:tab w:val="left" w:pos="851"/>
        </w:tabs>
        <w:ind w:left="851"/>
        <w:rPr>
          <w:sz w:val="24"/>
          <w:szCs w:val="24"/>
        </w:rPr>
      </w:pPr>
    </w:p>
    <w:p w14:paraId="5E9A0304" w14:textId="77777777" w:rsidR="007926FC" w:rsidRPr="007926FC" w:rsidRDefault="007926FC" w:rsidP="007926FC">
      <w:pPr>
        <w:tabs>
          <w:tab w:val="left" w:pos="851"/>
        </w:tabs>
        <w:ind w:left="851"/>
        <w:rPr>
          <w:sz w:val="24"/>
          <w:szCs w:val="24"/>
        </w:rPr>
      </w:pPr>
      <w:r w:rsidRPr="007926FC">
        <w:rPr>
          <w:sz w:val="24"/>
          <w:szCs w:val="24"/>
        </w:rPr>
        <w:t>Der kan forekomme hypokaliæmi hos patienter med lavt kaliumniveau eller hos patienter, der samtidigt behandles med lægemidler, der kan sænke deres kaliumniveau. Det kan være tilrådeligt at foretage regelmæssige elektrolytbestemmelser hos sådanne patienter.</w:t>
      </w:r>
    </w:p>
    <w:p w14:paraId="55729BF9" w14:textId="77777777" w:rsidR="007926FC" w:rsidRPr="007926FC" w:rsidRDefault="007926FC" w:rsidP="007926FC">
      <w:pPr>
        <w:tabs>
          <w:tab w:val="left" w:pos="851"/>
        </w:tabs>
        <w:ind w:left="851"/>
        <w:rPr>
          <w:sz w:val="24"/>
          <w:szCs w:val="24"/>
        </w:rPr>
      </w:pPr>
    </w:p>
    <w:p w14:paraId="28D69266" w14:textId="77777777" w:rsidR="007926FC" w:rsidRPr="007926FC" w:rsidRDefault="007926FC" w:rsidP="007926FC">
      <w:pPr>
        <w:tabs>
          <w:tab w:val="left" w:pos="851"/>
        </w:tabs>
        <w:ind w:left="851"/>
        <w:rPr>
          <w:sz w:val="24"/>
          <w:szCs w:val="24"/>
          <w:u w:val="single"/>
        </w:rPr>
      </w:pPr>
      <w:r w:rsidRPr="007926FC">
        <w:rPr>
          <w:sz w:val="24"/>
          <w:szCs w:val="24"/>
          <w:u w:val="single"/>
        </w:rPr>
        <w:t>Nedsat nyrefunktion</w:t>
      </w:r>
    </w:p>
    <w:p w14:paraId="4ABB1EF5" w14:textId="77777777" w:rsidR="007926FC" w:rsidRPr="007926FC" w:rsidRDefault="007926FC" w:rsidP="007926FC">
      <w:pPr>
        <w:tabs>
          <w:tab w:val="left" w:pos="851"/>
        </w:tabs>
        <w:ind w:left="851"/>
        <w:rPr>
          <w:sz w:val="24"/>
          <w:szCs w:val="24"/>
        </w:rPr>
      </w:pPr>
      <w:r w:rsidRPr="007926FC">
        <w:rPr>
          <w:sz w:val="24"/>
          <w:szCs w:val="24"/>
        </w:rPr>
        <w:t>Som følge af den potentielle nefrotoksicitet (se pkt. 4.8) bør piperacillin/tazobactam anvendes med forsigtighed hos patienter med nedsat nyrefunktion og hos patienter i hæmodialyse. De intravenøse doser og administrationsintervaller bør justeres efter graden af nedsat nyrefunktion (se pkt. 4.2).</w:t>
      </w:r>
    </w:p>
    <w:p w14:paraId="079F76EC" w14:textId="77777777" w:rsidR="007926FC" w:rsidRPr="007926FC" w:rsidRDefault="007926FC" w:rsidP="007926FC">
      <w:pPr>
        <w:tabs>
          <w:tab w:val="left" w:pos="851"/>
        </w:tabs>
        <w:ind w:left="851"/>
        <w:rPr>
          <w:sz w:val="24"/>
          <w:szCs w:val="24"/>
        </w:rPr>
      </w:pPr>
    </w:p>
    <w:p w14:paraId="0BA1EE04" w14:textId="77777777" w:rsidR="007926FC" w:rsidRPr="007926FC" w:rsidRDefault="007926FC" w:rsidP="007926FC">
      <w:pPr>
        <w:tabs>
          <w:tab w:val="left" w:pos="851"/>
        </w:tabs>
        <w:ind w:left="851"/>
        <w:rPr>
          <w:sz w:val="24"/>
          <w:szCs w:val="24"/>
        </w:rPr>
      </w:pPr>
      <w:r w:rsidRPr="007926FC">
        <w:rPr>
          <w:sz w:val="24"/>
          <w:szCs w:val="24"/>
        </w:rPr>
        <w:t>I en sekundær analyse, hvor der blev anvendt data fra et stort randomiseret-kontrolleret multicenterforsøg, blev den glomerulære filtrationshastighed (GFR) undersøgt efter administration af hyppigt anvendte antibiotika hos kritisk syge patienter, og brugen af piperacillin/tazobactam blev forbundet med en langsommere reversibel GFR-forbedring end de andre antibiotika. Det blev konkluderet i denne sekundære analyse, at piperacillin/tazobactam var årsag til forsinket renal restitution hos sådanne patienter.</w:t>
      </w:r>
    </w:p>
    <w:p w14:paraId="5E34BE5B" w14:textId="77777777" w:rsidR="007926FC" w:rsidRPr="007926FC" w:rsidRDefault="007926FC" w:rsidP="007926FC">
      <w:pPr>
        <w:tabs>
          <w:tab w:val="left" w:pos="851"/>
        </w:tabs>
        <w:ind w:left="851"/>
        <w:rPr>
          <w:sz w:val="24"/>
          <w:szCs w:val="24"/>
        </w:rPr>
      </w:pPr>
    </w:p>
    <w:p w14:paraId="28779E06" w14:textId="77777777" w:rsidR="007926FC" w:rsidRPr="007926FC" w:rsidRDefault="007926FC" w:rsidP="007926FC">
      <w:pPr>
        <w:tabs>
          <w:tab w:val="left" w:pos="851"/>
        </w:tabs>
        <w:ind w:left="851"/>
        <w:rPr>
          <w:sz w:val="24"/>
          <w:szCs w:val="24"/>
        </w:rPr>
      </w:pPr>
      <w:r w:rsidRPr="007926FC">
        <w:rPr>
          <w:sz w:val="24"/>
          <w:szCs w:val="24"/>
        </w:rPr>
        <w:t>Samtidig brug af piperacillin/tazobactam og vancomycin kan være forbundet med øget forekomst af akut nyreskade (se pkt. 4.5).</w:t>
      </w:r>
    </w:p>
    <w:p w14:paraId="0FF6146A" w14:textId="77777777" w:rsidR="007926FC" w:rsidRPr="007926FC" w:rsidRDefault="007926FC" w:rsidP="007926FC">
      <w:pPr>
        <w:tabs>
          <w:tab w:val="left" w:pos="851"/>
        </w:tabs>
        <w:ind w:left="851"/>
        <w:rPr>
          <w:sz w:val="24"/>
          <w:szCs w:val="24"/>
        </w:rPr>
      </w:pPr>
    </w:p>
    <w:p w14:paraId="6E79DDE1" w14:textId="77777777" w:rsidR="007926FC" w:rsidRPr="007926FC" w:rsidRDefault="007926FC" w:rsidP="007926FC">
      <w:pPr>
        <w:tabs>
          <w:tab w:val="left" w:pos="851"/>
        </w:tabs>
        <w:ind w:left="851"/>
        <w:rPr>
          <w:sz w:val="24"/>
          <w:szCs w:val="24"/>
          <w:u w:val="single"/>
        </w:rPr>
      </w:pPr>
      <w:r w:rsidRPr="007926FC">
        <w:rPr>
          <w:sz w:val="24"/>
          <w:szCs w:val="24"/>
          <w:u w:val="single"/>
        </w:rPr>
        <w:lastRenderedPageBreak/>
        <w:t>Advarsler vedrørende hjælpestoffer:</w:t>
      </w:r>
    </w:p>
    <w:p w14:paraId="5441E37E" w14:textId="77777777" w:rsidR="007926FC" w:rsidRPr="007926FC" w:rsidRDefault="007926FC" w:rsidP="007926FC">
      <w:pPr>
        <w:tabs>
          <w:tab w:val="left" w:pos="851"/>
        </w:tabs>
        <w:ind w:left="851"/>
        <w:rPr>
          <w:sz w:val="24"/>
          <w:szCs w:val="24"/>
        </w:rPr>
      </w:pPr>
      <w:r w:rsidRPr="007926FC">
        <w:rPr>
          <w:sz w:val="24"/>
          <w:szCs w:val="24"/>
        </w:rPr>
        <w:t xml:space="preserve">Dette lægemiddel indeholder 459,7 mg natrium pr. pose, svarende til 22,98 % af den WHO-anbefalede maksimale daglige indtagelse af 2 g natrium for en voksen. </w:t>
      </w:r>
    </w:p>
    <w:p w14:paraId="7EC14232" w14:textId="77777777" w:rsidR="007926FC" w:rsidRPr="007926FC" w:rsidRDefault="007926FC" w:rsidP="007926FC">
      <w:pPr>
        <w:tabs>
          <w:tab w:val="left" w:pos="851"/>
        </w:tabs>
        <w:ind w:left="851"/>
        <w:rPr>
          <w:sz w:val="24"/>
          <w:szCs w:val="24"/>
        </w:rPr>
      </w:pPr>
      <w:r w:rsidRPr="007926FC">
        <w:rPr>
          <w:sz w:val="24"/>
          <w:szCs w:val="24"/>
        </w:rPr>
        <w:t>Dette bør tages i betragtning hos patienter på kontrolleret natriumdiæt.</w:t>
      </w:r>
    </w:p>
    <w:p w14:paraId="571567CE" w14:textId="77777777" w:rsidR="007926FC" w:rsidRPr="007926FC" w:rsidRDefault="007926FC" w:rsidP="007926FC">
      <w:pPr>
        <w:tabs>
          <w:tab w:val="left" w:pos="851"/>
        </w:tabs>
        <w:ind w:left="851"/>
        <w:rPr>
          <w:sz w:val="24"/>
          <w:szCs w:val="24"/>
        </w:rPr>
      </w:pPr>
    </w:p>
    <w:p w14:paraId="4A8FFD9F"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25D8FE1" w14:textId="77777777" w:rsidR="002E371F" w:rsidRDefault="002E371F" w:rsidP="002E371F">
      <w:pPr>
        <w:tabs>
          <w:tab w:val="left" w:pos="851"/>
        </w:tabs>
        <w:ind w:left="851"/>
        <w:rPr>
          <w:bCs/>
          <w:sz w:val="24"/>
          <w:szCs w:val="24"/>
          <w:u w:val="single"/>
        </w:rPr>
      </w:pPr>
    </w:p>
    <w:p w14:paraId="6BC9FBF4" w14:textId="5947CBAD" w:rsidR="002E371F" w:rsidRPr="002E371F" w:rsidRDefault="002E371F" w:rsidP="002E371F">
      <w:pPr>
        <w:tabs>
          <w:tab w:val="left" w:pos="851"/>
        </w:tabs>
        <w:ind w:left="851"/>
        <w:rPr>
          <w:bCs/>
          <w:sz w:val="24"/>
          <w:szCs w:val="24"/>
          <w:u w:val="single"/>
        </w:rPr>
      </w:pPr>
      <w:r w:rsidRPr="002E371F">
        <w:rPr>
          <w:bCs/>
          <w:sz w:val="24"/>
          <w:szCs w:val="24"/>
          <w:u w:val="single"/>
        </w:rPr>
        <w:t>Ikke-depolariserende muskelrelaksantia</w:t>
      </w:r>
    </w:p>
    <w:p w14:paraId="3ED3A0E6" w14:textId="77777777" w:rsidR="002E371F" w:rsidRPr="002E371F" w:rsidRDefault="002E371F" w:rsidP="002E371F">
      <w:pPr>
        <w:tabs>
          <w:tab w:val="left" w:pos="851"/>
        </w:tabs>
        <w:ind w:left="851"/>
        <w:rPr>
          <w:sz w:val="24"/>
          <w:szCs w:val="24"/>
        </w:rPr>
      </w:pPr>
      <w:r w:rsidRPr="002E371F">
        <w:rPr>
          <w:sz w:val="24"/>
          <w:szCs w:val="24"/>
        </w:rPr>
        <w:t>Piperacillin har ved samtidig brug af vecuronium været medvirkende til forlængelse af vecuroniums neuromuskulære blokade. På grund af ligheden mellem virkningsmekanismerne forventes det, at den neuromuskulære blokade, der forårsages af ikke-depolariserende muskelrelaksantia, vil kunne blive forlænget ved tilstedeværelsen af piperacillin.</w:t>
      </w:r>
    </w:p>
    <w:p w14:paraId="57D0767D" w14:textId="77777777" w:rsidR="002E371F" w:rsidRPr="002E371F" w:rsidRDefault="002E371F" w:rsidP="002E371F">
      <w:pPr>
        <w:tabs>
          <w:tab w:val="left" w:pos="851"/>
        </w:tabs>
        <w:ind w:left="851"/>
        <w:rPr>
          <w:sz w:val="24"/>
          <w:szCs w:val="24"/>
        </w:rPr>
      </w:pPr>
    </w:p>
    <w:p w14:paraId="735E7891" w14:textId="77777777" w:rsidR="002E371F" w:rsidRPr="002E371F" w:rsidRDefault="002E371F" w:rsidP="002E371F">
      <w:pPr>
        <w:tabs>
          <w:tab w:val="left" w:pos="851"/>
        </w:tabs>
        <w:ind w:left="851"/>
        <w:rPr>
          <w:bCs/>
          <w:sz w:val="24"/>
          <w:szCs w:val="24"/>
          <w:u w:val="single"/>
        </w:rPr>
      </w:pPr>
      <w:r w:rsidRPr="002E371F">
        <w:rPr>
          <w:bCs/>
          <w:sz w:val="24"/>
          <w:szCs w:val="24"/>
          <w:u w:val="single"/>
        </w:rPr>
        <w:t>Antikoagulantia</w:t>
      </w:r>
    </w:p>
    <w:p w14:paraId="0A4446BE" w14:textId="77777777" w:rsidR="002E371F" w:rsidRPr="002E371F" w:rsidRDefault="002E371F" w:rsidP="002E371F">
      <w:pPr>
        <w:tabs>
          <w:tab w:val="left" w:pos="851"/>
        </w:tabs>
        <w:ind w:left="851"/>
        <w:rPr>
          <w:sz w:val="24"/>
          <w:szCs w:val="24"/>
        </w:rPr>
      </w:pPr>
      <w:r w:rsidRPr="002E371F">
        <w:rPr>
          <w:sz w:val="24"/>
          <w:szCs w:val="24"/>
        </w:rPr>
        <w:t>Ved samtidig administration af heparin, orale antikoagulantia og andre stoffer, der kan have indvirkning på blodets koagulationssystem, herunder trombocytfunktionen, skal de relevante koagulationstests foretages hyppigere og kontrolleres regelmæssigt.</w:t>
      </w:r>
    </w:p>
    <w:p w14:paraId="785AA86F" w14:textId="77777777" w:rsidR="002E371F" w:rsidRPr="002E371F" w:rsidRDefault="002E371F" w:rsidP="002E371F">
      <w:pPr>
        <w:tabs>
          <w:tab w:val="left" w:pos="851"/>
        </w:tabs>
        <w:ind w:left="851"/>
        <w:rPr>
          <w:i/>
          <w:sz w:val="24"/>
          <w:szCs w:val="24"/>
        </w:rPr>
      </w:pPr>
    </w:p>
    <w:p w14:paraId="48FC9A1E" w14:textId="77777777" w:rsidR="002E371F" w:rsidRPr="002E371F" w:rsidRDefault="002E371F" w:rsidP="002E371F">
      <w:pPr>
        <w:tabs>
          <w:tab w:val="left" w:pos="851"/>
        </w:tabs>
        <w:ind w:left="851"/>
        <w:rPr>
          <w:bCs/>
          <w:sz w:val="24"/>
          <w:szCs w:val="24"/>
          <w:u w:val="single"/>
        </w:rPr>
      </w:pPr>
      <w:r w:rsidRPr="002E371F">
        <w:rPr>
          <w:bCs/>
          <w:sz w:val="24"/>
          <w:szCs w:val="24"/>
          <w:u w:val="single"/>
        </w:rPr>
        <w:t>Methotrexat</w:t>
      </w:r>
    </w:p>
    <w:p w14:paraId="1DB14B0A" w14:textId="77777777" w:rsidR="002E371F" w:rsidRPr="002E371F" w:rsidRDefault="002E371F" w:rsidP="002E371F">
      <w:pPr>
        <w:tabs>
          <w:tab w:val="left" w:pos="851"/>
        </w:tabs>
        <w:ind w:left="851"/>
        <w:rPr>
          <w:sz w:val="24"/>
          <w:szCs w:val="24"/>
        </w:rPr>
      </w:pPr>
      <w:r w:rsidRPr="002E371F">
        <w:rPr>
          <w:sz w:val="24"/>
          <w:szCs w:val="24"/>
        </w:rPr>
        <w:t>Piperacillin kan nedsætte udskillelsen af methotrexat. Serumniveauerne af methotrexat bør derfor kontrolleres hos patienterne for at undgå medicinforgiftning.</w:t>
      </w:r>
    </w:p>
    <w:p w14:paraId="359885D1" w14:textId="77777777" w:rsidR="002E371F" w:rsidRPr="002E371F" w:rsidRDefault="002E371F" w:rsidP="002E371F">
      <w:pPr>
        <w:tabs>
          <w:tab w:val="left" w:pos="851"/>
        </w:tabs>
        <w:ind w:left="851"/>
        <w:rPr>
          <w:b/>
          <w:sz w:val="24"/>
          <w:szCs w:val="24"/>
        </w:rPr>
      </w:pPr>
    </w:p>
    <w:p w14:paraId="37526BD5" w14:textId="77777777" w:rsidR="002E371F" w:rsidRPr="002E371F" w:rsidRDefault="002E371F" w:rsidP="002E371F">
      <w:pPr>
        <w:tabs>
          <w:tab w:val="left" w:pos="851"/>
        </w:tabs>
        <w:ind w:left="851"/>
        <w:rPr>
          <w:bCs/>
          <w:sz w:val="24"/>
          <w:szCs w:val="24"/>
          <w:u w:val="single"/>
        </w:rPr>
      </w:pPr>
      <w:r w:rsidRPr="002E371F">
        <w:rPr>
          <w:bCs/>
          <w:sz w:val="24"/>
          <w:szCs w:val="24"/>
          <w:u w:val="single"/>
        </w:rPr>
        <w:t>Probenecid</w:t>
      </w:r>
    </w:p>
    <w:p w14:paraId="6FFF9A1A" w14:textId="77777777" w:rsidR="002E371F" w:rsidRPr="002E371F" w:rsidRDefault="002E371F" w:rsidP="002E371F">
      <w:pPr>
        <w:tabs>
          <w:tab w:val="left" w:pos="851"/>
        </w:tabs>
        <w:ind w:left="851"/>
        <w:rPr>
          <w:sz w:val="24"/>
          <w:szCs w:val="24"/>
        </w:rPr>
      </w:pPr>
      <w:r w:rsidRPr="002E371F">
        <w:rPr>
          <w:sz w:val="24"/>
          <w:szCs w:val="24"/>
        </w:rPr>
        <w:t>Som ved andre penicilliner bevirker samtidig indgivelse af probenecid og piperacillin/tazobactam en længere halveringstid og lavere nyreclearance for såvel piperacillin som tazobactam. De maksimale plasmakoncentrationer af de to lægemidler påvirkes imidlertid ikke.</w:t>
      </w:r>
    </w:p>
    <w:p w14:paraId="3BC7BB7A" w14:textId="77777777" w:rsidR="002E371F" w:rsidRPr="002E371F" w:rsidRDefault="002E371F" w:rsidP="002E371F">
      <w:pPr>
        <w:tabs>
          <w:tab w:val="left" w:pos="851"/>
        </w:tabs>
        <w:ind w:left="851"/>
        <w:rPr>
          <w:sz w:val="24"/>
          <w:szCs w:val="24"/>
        </w:rPr>
      </w:pPr>
    </w:p>
    <w:p w14:paraId="786FFDAD" w14:textId="77777777" w:rsidR="002E371F" w:rsidRPr="002E371F" w:rsidRDefault="002E371F" w:rsidP="002E371F">
      <w:pPr>
        <w:tabs>
          <w:tab w:val="left" w:pos="851"/>
        </w:tabs>
        <w:ind w:left="851"/>
        <w:rPr>
          <w:bCs/>
          <w:sz w:val="24"/>
          <w:szCs w:val="24"/>
          <w:u w:val="single"/>
        </w:rPr>
      </w:pPr>
      <w:r w:rsidRPr="002E371F">
        <w:rPr>
          <w:bCs/>
          <w:sz w:val="24"/>
          <w:szCs w:val="24"/>
          <w:u w:val="single"/>
        </w:rPr>
        <w:t>Aminoglykosider</w:t>
      </w:r>
    </w:p>
    <w:p w14:paraId="7B63C530" w14:textId="77777777" w:rsidR="002E371F" w:rsidRPr="002E371F" w:rsidRDefault="002E371F" w:rsidP="002E371F">
      <w:pPr>
        <w:tabs>
          <w:tab w:val="left" w:pos="851"/>
        </w:tabs>
        <w:ind w:left="851"/>
        <w:rPr>
          <w:sz w:val="24"/>
          <w:szCs w:val="24"/>
        </w:rPr>
      </w:pPr>
      <w:r w:rsidRPr="002E371F">
        <w:rPr>
          <w:sz w:val="24"/>
          <w:szCs w:val="24"/>
        </w:rPr>
        <w:t>Piperacillin, både som monoterapi og i kombination med tazobactam, påvirkede ikke signifikant tobramycins farmakokinetik hos forsøgspersoner med normal nyrefunktion og med mildt eller moderat nedsat nyrefunktion. Farmakokinetikken af piperacillin, tazobactam og M1-metabolitten blev heller ikke signifikant ændret ved administration af tobramycin.</w:t>
      </w:r>
    </w:p>
    <w:p w14:paraId="3D90BFA5" w14:textId="77777777" w:rsidR="002E371F" w:rsidRPr="002E371F" w:rsidRDefault="002E371F" w:rsidP="002E371F">
      <w:pPr>
        <w:tabs>
          <w:tab w:val="left" w:pos="851"/>
        </w:tabs>
        <w:ind w:left="851"/>
        <w:rPr>
          <w:sz w:val="24"/>
          <w:szCs w:val="24"/>
        </w:rPr>
      </w:pPr>
    </w:p>
    <w:p w14:paraId="7514E47F" w14:textId="77777777" w:rsidR="002E371F" w:rsidRPr="002E371F" w:rsidRDefault="002E371F" w:rsidP="002E371F">
      <w:pPr>
        <w:tabs>
          <w:tab w:val="left" w:pos="851"/>
        </w:tabs>
        <w:ind w:left="851"/>
        <w:rPr>
          <w:sz w:val="24"/>
          <w:szCs w:val="24"/>
        </w:rPr>
      </w:pPr>
      <w:r w:rsidRPr="002E371F">
        <w:rPr>
          <w:sz w:val="24"/>
          <w:szCs w:val="24"/>
        </w:rPr>
        <w:t>Piperacillins inaktivering af tobramycin og gentamicin er blevet påvist hos patienter med svært nedsat nyrefunktion. (se pkt. 6.2. og 6.6)</w:t>
      </w:r>
    </w:p>
    <w:p w14:paraId="3D8EC7E2" w14:textId="77777777" w:rsidR="002E371F" w:rsidRPr="002E371F" w:rsidRDefault="002E371F" w:rsidP="002E371F">
      <w:pPr>
        <w:tabs>
          <w:tab w:val="left" w:pos="851"/>
        </w:tabs>
        <w:ind w:left="851"/>
        <w:rPr>
          <w:i/>
          <w:sz w:val="24"/>
          <w:szCs w:val="24"/>
        </w:rPr>
      </w:pPr>
    </w:p>
    <w:p w14:paraId="29970ABC" w14:textId="77777777" w:rsidR="002E371F" w:rsidRPr="002E371F" w:rsidRDefault="002E371F" w:rsidP="002E371F">
      <w:pPr>
        <w:tabs>
          <w:tab w:val="left" w:pos="851"/>
        </w:tabs>
        <w:ind w:left="851"/>
        <w:rPr>
          <w:bCs/>
          <w:sz w:val="24"/>
          <w:szCs w:val="24"/>
          <w:u w:val="single"/>
        </w:rPr>
      </w:pPr>
      <w:r w:rsidRPr="002E371F">
        <w:rPr>
          <w:bCs/>
          <w:sz w:val="24"/>
          <w:szCs w:val="24"/>
          <w:u w:val="single"/>
        </w:rPr>
        <w:t>Vancomycin</w:t>
      </w:r>
    </w:p>
    <w:p w14:paraId="22839BC6" w14:textId="77777777" w:rsidR="002E371F" w:rsidRPr="002E371F" w:rsidRDefault="002E371F" w:rsidP="002E371F">
      <w:pPr>
        <w:tabs>
          <w:tab w:val="left" w:pos="851"/>
        </w:tabs>
        <w:ind w:left="851"/>
        <w:rPr>
          <w:sz w:val="24"/>
          <w:szCs w:val="24"/>
        </w:rPr>
      </w:pPr>
      <w:r w:rsidRPr="002E371F">
        <w:rPr>
          <w:sz w:val="24"/>
          <w:szCs w:val="24"/>
        </w:rPr>
        <w:t>I forsøg ses en øget forekomst af akut nyreskade hos patienter, der samtidig fik piperacillin/tazobactam og vancomycin, sammenlignet med administration af vancomycin alene (se pkt. 4.4). I nogle af disse forsøg er det blevet rapporteret, at interaktionen er afhængig af vancomycin</w:t>
      </w:r>
      <w:r w:rsidRPr="002E371F">
        <w:rPr>
          <w:sz w:val="24"/>
          <w:szCs w:val="24"/>
        </w:rPr>
        <w:noBreakHyphen/>
        <w:t>dosis. Der er ikke observeret nogen farmakokinetiske interaktioner mellem piperacillin/tazobactam og vancomycin.</w:t>
      </w:r>
    </w:p>
    <w:p w14:paraId="2DFBCDBA" w14:textId="77777777" w:rsidR="002E371F" w:rsidRPr="002E371F" w:rsidRDefault="002E371F" w:rsidP="002E371F">
      <w:pPr>
        <w:tabs>
          <w:tab w:val="left" w:pos="851"/>
        </w:tabs>
        <w:ind w:left="851"/>
        <w:rPr>
          <w:sz w:val="24"/>
          <w:szCs w:val="24"/>
        </w:rPr>
      </w:pPr>
    </w:p>
    <w:p w14:paraId="30102765" w14:textId="77777777" w:rsidR="002E371F" w:rsidRPr="002E371F" w:rsidRDefault="002E371F" w:rsidP="002E371F">
      <w:pPr>
        <w:tabs>
          <w:tab w:val="left" w:pos="851"/>
        </w:tabs>
        <w:ind w:left="851"/>
        <w:rPr>
          <w:bCs/>
          <w:sz w:val="24"/>
          <w:szCs w:val="24"/>
          <w:u w:val="single"/>
        </w:rPr>
      </w:pPr>
      <w:r w:rsidRPr="002E371F">
        <w:rPr>
          <w:bCs/>
          <w:sz w:val="24"/>
          <w:szCs w:val="24"/>
          <w:u w:val="single"/>
        </w:rPr>
        <w:t>Indvirkning på laboratorieprøver</w:t>
      </w:r>
    </w:p>
    <w:p w14:paraId="76C42AD3" w14:textId="607B1764" w:rsidR="002E371F" w:rsidRPr="002E371F" w:rsidRDefault="002E371F" w:rsidP="002E371F">
      <w:pPr>
        <w:tabs>
          <w:tab w:val="left" w:pos="851"/>
        </w:tabs>
        <w:ind w:left="851"/>
        <w:rPr>
          <w:sz w:val="24"/>
          <w:szCs w:val="24"/>
        </w:rPr>
      </w:pPr>
      <w:r w:rsidRPr="002E371F">
        <w:rPr>
          <w:sz w:val="24"/>
          <w:szCs w:val="24"/>
        </w:rPr>
        <w:t>Ikke-enzymatiske metoder til måling af glucose i urinen kan medføre falsk-positive resultater som ved andre penicilliner. Det er derfor nødvendigt at anvende enzymatiske målinger af uringlucose under behandling med Piperacillin/Tazobactam </w:t>
      </w:r>
      <w:r w:rsidR="001D0FF6">
        <w:rPr>
          <w:sz w:val="24"/>
          <w:szCs w:val="24"/>
        </w:rPr>
        <w:t>"</w:t>
      </w:r>
      <w:r w:rsidRPr="002E371F">
        <w:rPr>
          <w:sz w:val="24"/>
          <w:szCs w:val="24"/>
        </w:rPr>
        <w:t>B. Braun</w:t>
      </w:r>
      <w:r w:rsidR="001D0FF6">
        <w:rPr>
          <w:sz w:val="24"/>
          <w:szCs w:val="24"/>
        </w:rPr>
        <w:t>"</w:t>
      </w:r>
      <w:r w:rsidRPr="002E371F">
        <w:rPr>
          <w:sz w:val="24"/>
          <w:szCs w:val="24"/>
        </w:rPr>
        <w:t>.</w:t>
      </w:r>
    </w:p>
    <w:p w14:paraId="5EABD863" w14:textId="77777777" w:rsidR="002E371F" w:rsidRPr="002E371F" w:rsidRDefault="002E371F" w:rsidP="002E371F">
      <w:pPr>
        <w:tabs>
          <w:tab w:val="left" w:pos="851"/>
        </w:tabs>
        <w:ind w:left="851"/>
        <w:rPr>
          <w:i/>
          <w:sz w:val="24"/>
          <w:szCs w:val="24"/>
        </w:rPr>
      </w:pPr>
    </w:p>
    <w:p w14:paraId="01993200" w14:textId="77777777" w:rsidR="002E371F" w:rsidRPr="002E371F" w:rsidRDefault="002E371F" w:rsidP="002E371F">
      <w:pPr>
        <w:tabs>
          <w:tab w:val="left" w:pos="851"/>
        </w:tabs>
        <w:ind w:left="851"/>
        <w:rPr>
          <w:sz w:val="24"/>
          <w:szCs w:val="24"/>
        </w:rPr>
      </w:pPr>
      <w:r w:rsidRPr="002E371F">
        <w:rPr>
          <w:sz w:val="24"/>
          <w:szCs w:val="24"/>
        </w:rPr>
        <w:lastRenderedPageBreak/>
        <w:t>En række kemiske målemetoder til bestemmelse af urinprotein kan give falsk-positive resultater. Proteinmålinger med dipstick påvirkes ikke.</w:t>
      </w:r>
    </w:p>
    <w:p w14:paraId="6D1FC9EB" w14:textId="77777777" w:rsidR="002E371F" w:rsidRPr="002E371F" w:rsidRDefault="002E371F" w:rsidP="002E371F">
      <w:pPr>
        <w:tabs>
          <w:tab w:val="left" w:pos="851"/>
        </w:tabs>
        <w:ind w:left="851"/>
        <w:rPr>
          <w:sz w:val="24"/>
          <w:szCs w:val="24"/>
        </w:rPr>
      </w:pPr>
    </w:p>
    <w:p w14:paraId="779224BF" w14:textId="77777777" w:rsidR="002E371F" w:rsidRPr="002E371F" w:rsidRDefault="002E371F" w:rsidP="002E371F">
      <w:pPr>
        <w:tabs>
          <w:tab w:val="left" w:pos="851"/>
        </w:tabs>
        <w:ind w:left="851"/>
        <w:rPr>
          <w:sz w:val="24"/>
          <w:szCs w:val="24"/>
        </w:rPr>
      </w:pPr>
      <w:r w:rsidRPr="002E371F">
        <w:rPr>
          <w:sz w:val="24"/>
          <w:szCs w:val="24"/>
        </w:rPr>
        <w:t>Den direkte Coombs-test kan være positiv.</w:t>
      </w:r>
    </w:p>
    <w:p w14:paraId="3C9899D0" w14:textId="77777777" w:rsidR="002E371F" w:rsidRPr="002E371F" w:rsidRDefault="002E371F" w:rsidP="002E371F">
      <w:pPr>
        <w:tabs>
          <w:tab w:val="left" w:pos="851"/>
        </w:tabs>
        <w:ind w:left="851"/>
        <w:rPr>
          <w:sz w:val="24"/>
          <w:szCs w:val="24"/>
        </w:rPr>
      </w:pPr>
    </w:p>
    <w:p w14:paraId="4551A617" w14:textId="338DD77D" w:rsidR="002E371F" w:rsidRPr="002E371F" w:rsidRDefault="002E371F" w:rsidP="002E371F">
      <w:pPr>
        <w:tabs>
          <w:tab w:val="left" w:pos="851"/>
        </w:tabs>
        <w:ind w:left="851"/>
        <w:rPr>
          <w:sz w:val="24"/>
          <w:szCs w:val="24"/>
        </w:rPr>
      </w:pPr>
      <w:r w:rsidRPr="002E371F">
        <w:rPr>
          <w:sz w:val="24"/>
          <w:szCs w:val="24"/>
        </w:rPr>
        <w:t xml:space="preserve">Bio-Rad Laboratories’ </w:t>
      </w:r>
      <w:r w:rsidRPr="002E371F">
        <w:rPr>
          <w:i/>
          <w:sz w:val="24"/>
          <w:szCs w:val="24"/>
        </w:rPr>
        <w:t>Platelia Aspergillus-</w:t>
      </w:r>
      <w:r w:rsidRPr="002E371F">
        <w:rPr>
          <w:sz w:val="24"/>
          <w:szCs w:val="24"/>
        </w:rPr>
        <w:t>EIA-test kan føre til falsk-positive resultater hos patienter, der er i behandling med Piperacillin/Tazobactam </w:t>
      </w:r>
      <w:r w:rsidR="001D0FF6">
        <w:rPr>
          <w:sz w:val="24"/>
          <w:szCs w:val="24"/>
        </w:rPr>
        <w:t>"</w:t>
      </w:r>
      <w:r w:rsidRPr="002E371F">
        <w:rPr>
          <w:sz w:val="24"/>
          <w:szCs w:val="24"/>
        </w:rPr>
        <w:t>B. Braun</w:t>
      </w:r>
      <w:r w:rsidR="001D0FF6">
        <w:rPr>
          <w:sz w:val="24"/>
          <w:szCs w:val="24"/>
        </w:rPr>
        <w:t>"</w:t>
      </w:r>
      <w:r w:rsidRPr="002E371F">
        <w:rPr>
          <w:sz w:val="24"/>
          <w:szCs w:val="24"/>
        </w:rPr>
        <w:t>. Der er rapporteret om krydsreaktioner mellem ikke-</w:t>
      </w:r>
      <w:r w:rsidRPr="002E371F">
        <w:rPr>
          <w:i/>
          <w:sz w:val="24"/>
          <w:szCs w:val="24"/>
        </w:rPr>
        <w:t>Aspergillus-</w:t>
      </w:r>
      <w:r w:rsidRPr="002E371F">
        <w:rPr>
          <w:sz w:val="24"/>
          <w:szCs w:val="24"/>
        </w:rPr>
        <w:t xml:space="preserve">polysaccharider og -polyfuranoser og Bio-Rad Laboratories’ </w:t>
      </w:r>
      <w:r w:rsidRPr="002E371F">
        <w:rPr>
          <w:i/>
          <w:sz w:val="24"/>
          <w:szCs w:val="24"/>
        </w:rPr>
        <w:t>Platelia Aspergillus-</w:t>
      </w:r>
      <w:r w:rsidRPr="002E371F">
        <w:rPr>
          <w:sz w:val="24"/>
          <w:szCs w:val="24"/>
        </w:rPr>
        <w:t>EIA-test.</w:t>
      </w:r>
    </w:p>
    <w:p w14:paraId="685D9EEA" w14:textId="77777777" w:rsidR="002E371F" w:rsidRPr="002E371F" w:rsidRDefault="002E371F" w:rsidP="002E371F">
      <w:pPr>
        <w:tabs>
          <w:tab w:val="left" w:pos="851"/>
        </w:tabs>
        <w:ind w:left="851"/>
        <w:rPr>
          <w:sz w:val="24"/>
          <w:szCs w:val="24"/>
        </w:rPr>
      </w:pPr>
    </w:p>
    <w:p w14:paraId="6AA659B0" w14:textId="4F7AA988" w:rsidR="002E371F" w:rsidRPr="002E371F" w:rsidRDefault="002E371F" w:rsidP="002E371F">
      <w:pPr>
        <w:tabs>
          <w:tab w:val="left" w:pos="851"/>
        </w:tabs>
        <w:ind w:left="851"/>
        <w:rPr>
          <w:sz w:val="24"/>
          <w:szCs w:val="24"/>
        </w:rPr>
      </w:pPr>
      <w:r w:rsidRPr="002E371F">
        <w:rPr>
          <w:sz w:val="24"/>
          <w:szCs w:val="24"/>
        </w:rPr>
        <w:t>Positive testresultater af ovennævnte prøver hos patienter i behandling med Piperacillin/Tazobactam </w:t>
      </w:r>
      <w:r w:rsidR="001D0FF6">
        <w:rPr>
          <w:sz w:val="24"/>
          <w:szCs w:val="24"/>
        </w:rPr>
        <w:t>"</w:t>
      </w:r>
      <w:r w:rsidRPr="002E371F">
        <w:rPr>
          <w:sz w:val="24"/>
          <w:szCs w:val="24"/>
        </w:rPr>
        <w:t>B. Braun</w:t>
      </w:r>
      <w:r w:rsidR="001D0FF6">
        <w:rPr>
          <w:sz w:val="24"/>
          <w:szCs w:val="24"/>
        </w:rPr>
        <w:t>"</w:t>
      </w:r>
      <w:r w:rsidRPr="002E371F">
        <w:rPr>
          <w:sz w:val="24"/>
          <w:szCs w:val="24"/>
        </w:rPr>
        <w:t xml:space="preserve"> bør bekræftes ved hjælp af andre diagnostiske metoder.</w:t>
      </w:r>
    </w:p>
    <w:p w14:paraId="06825208" w14:textId="77777777" w:rsidR="009260DE" w:rsidRPr="00C84483" w:rsidRDefault="009260DE" w:rsidP="009260DE">
      <w:pPr>
        <w:tabs>
          <w:tab w:val="left" w:pos="851"/>
        </w:tabs>
        <w:ind w:left="851"/>
        <w:rPr>
          <w:sz w:val="24"/>
          <w:szCs w:val="24"/>
        </w:rPr>
      </w:pPr>
    </w:p>
    <w:p w14:paraId="5091BEEB"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3D45702C" w14:textId="77777777" w:rsidR="002E371F" w:rsidRPr="002E371F" w:rsidRDefault="002E371F" w:rsidP="002E371F">
      <w:pPr>
        <w:tabs>
          <w:tab w:val="left" w:pos="851"/>
        </w:tabs>
        <w:ind w:left="851"/>
        <w:rPr>
          <w:b/>
          <w:sz w:val="24"/>
          <w:szCs w:val="24"/>
        </w:rPr>
      </w:pPr>
    </w:p>
    <w:p w14:paraId="2BED14F0" w14:textId="77777777" w:rsidR="002E371F" w:rsidRPr="002E371F" w:rsidRDefault="002E371F" w:rsidP="002E371F">
      <w:pPr>
        <w:tabs>
          <w:tab w:val="left" w:pos="851"/>
        </w:tabs>
        <w:ind w:left="851"/>
        <w:rPr>
          <w:bCs/>
          <w:sz w:val="24"/>
          <w:szCs w:val="24"/>
          <w:u w:val="single"/>
        </w:rPr>
      </w:pPr>
      <w:r w:rsidRPr="002E371F">
        <w:rPr>
          <w:bCs/>
          <w:sz w:val="24"/>
          <w:szCs w:val="24"/>
          <w:u w:val="single"/>
        </w:rPr>
        <w:t>Graviditet</w:t>
      </w:r>
    </w:p>
    <w:p w14:paraId="41490392" w14:textId="32DE2043" w:rsidR="002E371F" w:rsidRPr="002E371F" w:rsidRDefault="002E371F" w:rsidP="002E371F">
      <w:pPr>
        <w:tabs>
          <w:tab w:val="left" w:pos="851"/>
        </w:tabs>
        <w:ind w:left="851"/>
        <w:rPr>
          <w:sz w:val="24"/>
          <w:szCs w:val="24"/>
        </w:rPr>
      </w:pPr>
      <w:r w:rsidRPr="002E371F">
        <w:rPr>
          <w:sz w:val="24"/>
          <w:szCs w:val="24"/>
        </w:rPr>
        <w:t>Der er ingen eller utilstrækkelige data fra anvendelse af Piperacillin/Tazobactam </w:t>
      </w:r>
      <w:r w:rsidR="001D0FF6">
        <w:rPr>
          <w:sz w:val="24"/>
          <w:szCs w:val="24"/>
        </w:rPr>
        <w:t>"</w:t>
      </w:r>
      <w:r w:rsidRPr="002E371F">
        <w:rPr>
          <w:sz w:val="24"/>
          <w:szCs w:val="24"/>
        </w:rPr>
        <w:t>B. Braun</w:t>
      </w:r>
      <w:r w:rsidR="001D0FF6">
        <w:rPr>
          <w:sz w:val="24"/>
          <w:szCs w:val="24"/>
        </w:rPr>
        <w:t>"</w:t>
      </w:r>
      <w:r w:rsidRPr="002E371F">
        <w:rPr>
          <w:sz w:val="24"/>
          <w:szCs w:val="24"/>
        </w:rPr>
        <w:t xml:space="preserve"> til gravide kvinder. Dyreforsøg har påvist udviklingstoksicitet, men ingen tegn på teratogenicitet ved doser, der er toksiske for moderdyrene (se pkt. 5.3).</w:t>
      </w:r>
    </w:p>
    <w:p w14:paraId="291ABD59" w14:textId="77777777" w:rsidR="002E371F" w:rsidRPr="002E371F" w:rsidRDefault="002E371F" w:rsidP="002E371F">
      <w:pPr>
        <w:tabs>
          <w:tab w:val="left" w:pos="851"/>
        </w:tabs>
        <w:ind w:left="851"/>
        <w:rPr>
          <w:sz w:val="24"/>
          <w:szCs w:val="24"/>
        </w:rPr>
      </w:pPr>
      <w:r w:rsidRPr="002E371F">
        <w:rPr>
          <w:sz w:val="24"/>
          <w:szCs w:val="24"/>
        </w:rPr>
        <w:t>Piperacillin og tazobactam passerer placenta. Piperacillin/tazobactam bør kun anvendes under graviditet på tvingende indikation, dvs. kun hvis den forventede fordel opvejer de mulige risici for den gravide kvinde og fostret.</w:t>
      </w:r>
    </w:p>
    <w:p w14:paraId="01DED9D9" w14:textId="77777777" w:rsidR="002E371F" w:rsidRPr="002E371F" w:rsidRDefault="002E371F" w:rsidP="002E371F">
      <w:pPr>
        <w:tabs>
          <w:tab w:val="left" w:pos="851"/>
        </w:tabs>
        <w:ind w:left="851"/>
        <w:rPr>
          <w:sz w:val="24"/>
          <w:szCs w:val="24"/>
        </w:rPr>
      </w:pPr>
    </w:p>
    <w:p w14:paraId="5D581D7E" w14:textId="77777777" w:rsidR="002E371F" w:rsidRPr="002E371F" w:rsidRDefault="002E371F" w:rsidP="002E371F">
      <w:pPr>
        <w:tabs>
          <w:tab w:val="left" w:pos="851"/>
        </w:tabs>
        <w:ind w:left="851"/>
        <w:rPr>
          <w:bCs/>
          <w:sz w:val="24"/>
          <w:szCs w:val="24"/>
          <w:u w:val="single"/>
        </w:rPr>
      </w:pPr>
      <w:r w:rsidRPr="002E371F">
        <w:rPr>
          <w:bCs/>
          <w:sz w:val="24"/>
          <w:szCs w:val="24"/>
          <w:u w:val="single"/>
        </w:rPr>
        <w:t>Amning</w:t>
      </w:r>
    </w:p>
    <w:p w14:paraId="18704571" w14:textId="77777777" w:rsidR="002E371F" w:rsidRPr="002E371F" w:rsidRDefault="002E371F" w:rsidP="002E371F">
      <w:pPr>
        <w:tabs>
          <w:tab w:val="left" w:pos="851"/>
        </w:tabs>
        <w:ind w:left="851"/>
        <w:rPr>
          <w:sz w:val="24"/>
          <w:szCs w:val="24"/>
        </w:rPr>
      </w:pPr>
      <w:r w:rsidRPr="002E371F">
        <w:rPr>
          <w:sz w:val="24"/>
          <w:szCs w:val="24"/>
        </w:rPr>
        <w:t>Piperacillin udskilles i lav koncentration i human mælk. Der er ikke udført undersøgelser af tazobactam-koncentrationer i human mælk. Kvinder, der ammer, bør kun behandles, hvis den forventede fordel opvejer de mulige risici for kvinden og barnet.</w:t>
      </w:r>
    </w:p>
    <w:p w14:paraId="2624C24A" w14:textId="77777777" w:rsidR="002E371F" w:rsidRPr="002E371F" w:rsidRDefault="002E371F" w:rsidP="002E371F">
      <w:pPr>
        <w:tabs>
          <w:tab w:val="left" w:pos="851"/>
        </w:tabs>
        <w:ind w:left="851"/>
        <w:rPr>
          <w:sz w:val="24"/>
          <w:szCs w:val="24"/>
        </w:rPr>
      </w:pPr>
    </w:p>
    <w:p w14:paraId="6B3E5A3C" w14:textId="77777777" w:rsidR="002E371F" w:rsidRPr="002E371F" w:rsidRDefault="002E371F" w:rsidP="002E371F">
      <w:pPr>
        <w:tabs>
          <w:tab w:val="left" w:pos="851"/>
        </w:tabs>
        <w:ind w:left="851"/>
        <w:rPr>
          <w:bCs/>
          <w:sz w:val="24"/>
          <w:szCs w:val="24"/>
          <w:u w:val="single"/>
        </w:rPr>
      </w:pPr>
      <w:r w:rsidRPr="002E371F">
        <w:rPr>
          <w:bCs/>
          <w:sz w:val="24"/>
          <w:szCs w:val="24"/>
          <w:u w:val="single"/>
        </w:rPr>
        <w:t>Fertilitet</w:t>
      </w:r>
    </w:p>
    <w:p w14:paraId="5218A954" w14:textId="77777777" w:rsidR="002E371F" w:rsidRPr="002E371F" w:rsidRDefault="002E371F" w:rsidP="002E371F">
      <w:pPr>
        <w:tabs>
          <w:tab w:val="left" w:pos="851"/>
        </w:tabs>
        <w:ind w:left="851"/>
        <w:rPr>
          <w:i/>
          <w:iCs/>
          <w:sz w:val="24"/>
          <w:szCs w:val="24"/>
        </w:rPr>
      </w:pPr>
      <w:r w:rsidRPr="002E371F">
        <w:rPr>
          <w:sz w:val="24"/>
          <w:szCs w:val="24"/>
        </w:rPr>
        <w:t>I et fertilitetsstudie hos rotter blev der ikke påvist nogen indvirkning på fertilitet og parring efter intraperitoneal administration af tazobactam eller kombinationen piperacillin/tazobactam (se pkt. 5.3).</w:t>
      </w:r>
    </w:p>
    <w:p w14:paraId="1724ED56" w14:textId="77777777" w:rsidR="002E371F" w:rsidRPr="002E371F" w:rsidRDefault="002E371F" w:rsidP="002E371F">
      <w:pPr>
        <w:tabs>
          <w:tab w:val="left" w:pos="851"/>
        </w:tabs>
        <w:ind w:left="851"/>
        <w:rPr>
          <w:sz w:val="24"/>
          <w:szCs w:val="24"/>
        </w:rPr>
      </w:pPr>
    </w:p>
    <w:p w14:paraId="336D04DB"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1E95ABBD" w14:textId="0336F9A3" w:rsidR="002E371F" w:rsidRPr="002E371F" w:rsidRDefault="002E371F" w:rsidP="002E371F">
      <w:pPr>
        <w:tabs>
          <w:tab w:val="left" w:pos="851"/>
        </w:tabs>
        <w:ind w:left="851"/>
        <w:rPr>
          <w:sz w:val="24"/>
          <w:szCs w:val="24"/>
        </w:rPr>
      </w:pPr>
      <w:r w:rsidRPr="002E371F">
        <w:rPr>
          <w:sz w:val="24"/>
          <w:szCs w:val="24"/>
        </w:rPr>
        <w:t>Ikke mærkning</w:t>
      </w:r>
      <w:r>
        <w:rPr>
          <w:sz w:val="24"/>
          <w:szCs w:val="24"/>
        </w:rPr>
        <w:t>.</w:t>
      </w:r>
    </w:p>
    <w:p w14:paraId="6EEA359E" w14:textId="77777777" w:rsidR="002E371F" w:rsidRPr="002E371F" w:rsidRDefault="002E371F" w:rsidP="002E371F">
      <w:pPr>
        <w:tabs>
          <w:tab w:val="left" w:pos="851"/>
        </w:tabs>
        <w:ind w:left="851"/>
        <w:rPr>
          <w:sz w:val="24"/>
          <w:szCs w:val="24"/>
        </w:rPr>
      </w:pPr>
      <w:r w:rsidRPr="002E371F">
        <w:rPr>
          <w:sz w:val="24"/>
          <w:szCs w:val="24"/>
        </w:rPr>
        <w:t>Der er ikke foretaget undersøgelser af virkningen på evnen til at føre motorkøretøj eller betjene maskiner.</w:t>
      </w:r>
    </w:p>
    <w:p w14:paraId="175163E1" w14:textId="77777777" w:rsidR="009260DE" w:rsidRPr="00C84483" w:rsidRDefault="009260DE" w:rsidP="009260DE">
      <w:pPr>
        <w:tabs>
          <w:tab w:val="left" w:pos="851"/>
        </w:tabs>
        <w:ind w:left="851"/>
        <w:rPr>
          <w:sz w:val="24"/>
          <w:szCs w:val="24"/>
        </w:rPr>
      </w:pPr>
    </w:p>
    <w:p w14:paraId="28717C4A"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7994580" w14:textId="77777777" w:rsidR="002E371F" w:rsidRPr="002E371F" w:rsidRDefault="002E371F" w:rsidP="002E371F">
      <w:pPr>
        <w:ind w:left="851"/>
        <w:rPr>
          <w:sz w:val="24"/>
          <w:szCs w:val="24"/>
        </w:rPr>
      </w:pPr>
      <w:r w:rsidRPr="002E371F">
        <w:rPr>
          <w:sz w:val="24"/>
          <w:szCs w:val="24"/>
        </w:rPr>
        <w:t>Den hyppigste bivirkning er diarré (forekommer hos 1 ud af 10 patienter). Blandt de alvorligste bivirkninger forekommer pseudomembranøs colitis og toksisk epidermal nekrolyse hos 1 til 10 ud af 10.000 patienter. Hyppighederne for pancytopeni, anafylaktisk shock og Stevens-Johnsons syndrom kan ikke estimeres ud fra forhåndenværende data.</w:t>
      </w:r>
    </w:p>
    <w:p w14:paraId="5E0C12AB" w14:textId="77777777" w:rsidR="002E371F" w:rsidRPr="002E371F" w:rsidRDefault="002E371F" w:rsidP="002E371F">
      <w:pPr>
        <w:ind w:left="851"/>
        <w:rPr>
          <w:sz w:val="24"/>
          <w:szCs w:val="24"/>
        </w:rPr>
      </w:pPr>
      <w:r w:rsidRPr="002E371F">
        <w:rPr>
          <w:sz w:val="24"/>
          <w:szCs w:val="24"/>
        </w:rPr>
        <w:t>I nedenstående tabel er bivirkningerne opstillet efter systemorganklasse og foretrukken term i henhold til MedDRA. Inden for hver enkelt frekvensgruppe er bivirkningerne opstillet efter alvorlighedsgrad. De alvorligste bivirkninger er anført først.</w:t>
      </w:r>
    </w:p>
    <w:p w14:paraId="10351BCA" w14:textId="77777777" w:rsidR="002E371F" w:rsidRDefault="002E371F" w:rsidP="002E371F">
      <w:pPr>
        <w:rPr>
          <w:szCs w:val="22"/>
        </w:rPr>
      </w:pPr>
    </w:p>
    <w:tbl>
      <w:tblPr>
        <w:tblW w:w="5471" w:type="pct"/>
        <w:tblLook w:val="04A0" w:firstRow="1" w:lastRow="0" w:firstColumn="1" w:lastColumn="0" w:noHBand="0" w:noVBand="1"/>
      </w:tblPr>
      <w:tblGrid>
        <w:gridCol w:w="2121"/>
        <w:gridCol w:w="1207"/>
        <w:gridCol w:w="1797"/>
        <w:gridCol w:w="1523"/>
        <w:gridCol w:w="1879"/>
        <w:gridCol w:w="2001"/>
      </w:tblGrid>
      <w:tr w:rsidR="002E371F" w:rsidRPr="002E371F" w14:paraId="701127B4" w14:textId="77777777" w:rsidTr="00C05C94">
        <w:trPr>
          <w:tblHeader/>
        </w:trPr>
        <w:tc>
          <w:tcPr>
            <w:tcW w:w="1032" w:type="pct"/>
            <w:tcBorders>
              <w:top w:val="single" w:sz="6" w:space="0" w:color="auto"/>
              <w:left w:val="single" w:sz="6" w:space="0" w:color="auto"/>
              <w:bottom w:val="single" w:sz="6" w:space="0" w:color="auto"/>
              <w:right w:val="single" w:sz="6" w:space="0" w:color="auto"/>
            </w:tcBorders>
            <w:hideMark/>
          </w:tcPr>
          <w:p w14:paraId="6077DCE9" w14:textId="77777777" w:rsidR="002E371F" w:rsidRPr="002E371F" w:rsidRDefault="002E371F">
            <w:pPr>
              <w:keepNext/>
              <w:keepLines/>
              <w:autoSpaceDE w:val="0"/>
              <w:autoSpaceDN w:val="0"/>
              <w:rPr>
                <w:rFonts w:eastAsia="Batang"/>
                <w:b/>
                <w:sz w:val="22"/>
                <w:szCs w:val="22"/>
                <w:lang w:val="en-GB" w:eastAsia="da-DK"/>
              </w:rPr>
            </w:pPr>
            <w:r w:rsidRPr="002E371F">
              <w:rPr>
                <w:b/>
                <w:sz w:val="22"/>
                <w:szCs w:val="22"/>
                <w:lang w:val="en-GB"/>
              </w:rPr>
              <w:lastRenderedPageBreak/>
              <w:t>System-organklasse</w:t>
            </w:r>
          </w:p>
        </w:tc>
        <w:tc>
          <w:tcPr>
            <w:tcW w:w="595" w:type="pct"/>
            <w:tcBorders>
              <w:top w:val="single" w:sz="6" w:space="0" w:color="auto"/>
              <w:left w:val="single" w:sz="6" w:space="0" w:color="auto"/>
              <w:bottom w:val="single" w:sz="6" w:space="0" w:color="auto"/>
              <w:right w:val="single" w:sz="6" w:space="0" w:color="auto"/>
            </w:tcBorders>
            <w:hideMark/>
          </w:tcPr>
          <w:p w14:paraId="7162D040" w14:textId="77777777" w:rsidR="002E371F" w:rsidRPr="002E371F" w:rsidRDefault="002E371F">
            <w:pPr>
              <w:keepNext/>
              <w:keepLines/>
              <w:autoSpaceDE w:val="0"/>
              <w:autoSpaceDN w:val="0"/>
              <w:jc w:val="center"/>
              <w:rPr>
                <w:b/>
                <w:sz w:val="22"/>
                <w:szCs w:val="22"/>
                <w:lang w:val="en-GB" w:eastAsia="da-DK"/>
              </w:rPr>
            </w:pPr>
            <w:r w:rsidRPr="002E371F">
              <w:rPr>
                <w:b/>
                <w:sz w:val="22"/>
                <w:szCs w:val="22"/>
                <w:lang w:val="en-GB"/>
              </w:rPr>
              <w:t>Meget</w:t>
            </w:r>
            <w:r w:rsidRPr="002E371F">
              <w:rPr>
                <w:b/>
                <w:sz w:val="22"/>
                <w:szCs w:val="22"/>
                <w:lang w:val="en-GB"/>
              </w:rPr>
              <w:br/>
              <w:t>almindelig</w:t>
            </w:r>
          </w:p>
          <w:p w14:paraId="76DC1FE2" w14:textId="77777777" w:rsidR="002E371F" w:rsidRPr="002E371F" w:rsidRDefault="002E371F">
            <w:pPr>
              <w:keepNext/>
              <w:keepLines/>
              <w:autoSpaceDE w:val="0"/>
              <w:autoSpaceDN w:val="0"/>
              <w:jc w:val="center"/>
              <w:rPr>
                <w:b/>
                <w:sz w:val="22"/>
                <w:szCs w:val="22"/>
                <w:lang w:val="en-GB" w:eastAsia="da-DK"/>
              </w:rPr>
            </w:pPr>
            <w:r w:rsidRPr="002E371F">
              <w:rPr>
                <w:b/>
                <w:sz w:val="22"/>
                <w:szCs w:val="22"/>
                <w:lang w:val="en-GB"/>
              </w:rPr>
              <w:t>(≥ 1/10)</w:t>
            </w:r>
          </w:p>
        </w:tc>
        <w:tc>
          <w:tcPr>
            <w:tcW w:w="881" w:type="pct"/>
            <w:tcBorders>
              <w:top w:val="single" w:sz="6" w:space="0" w:color="auto"/>
              <w:left w:val="single" w:sz="6" w:space="0" w:color="auto"/>
              <w:bottom w:val="single" w:sz="6" w:space="0" w:color="auto"/>
              <w:right w:val="single" w:sz="6" w:space="0" w:color="auto"/>
            </w:tcBorders>
            <w:hideMark/>
          </w:tcPr>
          <w:p w14:paraId="75C00C05" w14:textId="77777777" w:rsidR="002E371F" w:rsidRPr="002E371F" w:rsidRDefault="002E371F">
            <w:pPr>
              <w:keepNext/>
              <w:keepLines/>
              <w:autoSpaceDE w:val="0"/>
              <w:autoSpaceDN w:val="0"/>
              <w:jc w:val="center"/>
              <w:rPr>
                <w:rFonts w:eastAsia="Batang"/>
                <w:b/>
                <w:sz w:val="22"/>
                <w:szCs w:val="22"/>
                <w:lang w:val="en-GB" w:eastAsia="da-DK"/>
              </w:rPr>
            </w:pPr>
            <w:r w:rsidRPr="002E371F">
              <w:rPr>
                <w:b/>
                <w:sz w:val="22"/>
                <w:szCs w:val="22"/>
                <w:lang w:val="en-GB"/>
              </w:rPr>
              <w:t>Almindelig</w:t>
            </w:r>
          </w:p>
          <w:p w14:paraId="639A23CF" w14:textId="77777777" w:rsidR="002E371F" w:rsidRPr="002E371F" w:rsidRDefault="002E371F">
            <w:pPr>
              <w:keepNext/>
              <w:keepLines/>
              <w:autoSpaceDE w:val="0"/>
              <w:autoSpaceDN w:val="0"/>
              <w:jc w:val="center"/>
              <w:rPr>
                <w:rFonts w:eastAsia="Batang"/>
                <w:b/>
                <w:sz w:val="22"/>
                <w:szCs w:val="22"/>
                <w:lang w:val="en-GB" w:eastAsia="da-DK"/>
              </w:rPr>
            </w:pPr>
            <w:r w:rsidRPr="002E371F">
              <w:rPr>
                <w:b/>
                <w:sz w:val="22"/>
                <w:szCs w:val="22"/>
                <w:lang w:val="en-GB"/>
              </w:rPr>
              <w:t>≥ 1/100 til &lt; 1/10</w:t>
            </w:r>
          </w:p>
        </w:tc>
        <w:tc>
          <w:tcPr>
            <w:tcW w:w="748" w:type="pct"/>
            <w:tcBorders>
              <w:top w:val="single" w:sz="6" w:space="0" w:color="auto"/>
              <w:left w:val="single" w:sz="6" w:space="0" w:color="auto"/>
              <w:bottom w:val="single" w:sz="6" w:space="0" w:color="auto"/>
              <w:right w:val="single" w:sz="6" w:space="0" w:color="auto"/>
            </w:tcBorders>
            <w:hideMark/>
          </w:tcPr>
          <w:p w14:paraId="2B5CB01D" w14:textId="77777777" w:rsidR="002E371F" w:rsidRPr="002E371F" w:rsidRDefault="002E371F">
            <w:pPr>
              <w:keepNext/>
              <w:keepLines/>
              <w:autoSpaceDE w:val="0"/>
              <w:autoSpaceDN w:val="0"/>
              <w:jc w:val="center"/>
              <w:rPr>
                <w:rFonts w:eastAsia="Batang"/>
                <w:b/>
                <w:sz w:val="22"/>
                <w:szCs w:val="22"/>
                <w:lang w:val="en-GB" w:eastAsia="da-DK"/>
              </w:rPr>
            </w:pPr>
            <w:r w:rsidRPr="002E371F">
              <w:rPr>
                <w:b/>
                <w:sz w:val="22"/>
                <w:szCs w:val="22"/>
                <w:lang w:val="en-GB"/>
              </w:rPr>
              <w:t>Ikke</w:t>
            </w:r>
            <w:r w:rsidRPr="002E371F">
              <w:rPr>
                <w:b/>
                <w:sz w:val="22"/>
                <w:szCs w:val="22"/>
                <w:lang w:val="en-GB"/>
              </w:rPr>
              <w:br/>
              <w:t>almindelig</w:t>
            </w:r>
          </w:p>
          <w:p w14:paraId="1DDD224D" w14:textId="77777777" w:rsidR="002E371F" w:rsidRPr="002E371F" w:rsidRDefault="002E371F">
            <w:pPr>
              <w:keepNext/>
              <w:keepLines/>
              <w:autoSpaceDE w:val="0"/>
              <w:autoSpaceDN w:val="0"/>
              <w:jc w:val="center"/>
              <w:rPr>
                <w:rFonts w:eastAsia="Batang"/>
                <w:b/>
                <w:sz w:val="22"/>
                <w:szCs w:val="22"/>
                <w:lang w:val="en-GB" w:eastAsia="da-DK"/>
              </w:rPr>
            </w:pPr>
            <w:r w:rsidRPr="002E371F">
              <w:rPr>
                <w:b/>
                <w:sz w:val="22"/>
                <w:szCs w:val="22"/>
                <w:lang w:val="en-GB"/>
              </w:rPr>
              <w:t>≥ 1/1.000 til &lt; 1/100</w:t>
            </w:r>
          </w:p>
        </w:tc>
        <w:tc>
          <w:tcPr>
            <w:tcW w:w="794" w:type="pct"/>
            <w:tcBorders>
              <w:top w:val="single" w:sz="6" w:space="0" w:color="auto"/>
              <w:left w:val="single" w:sz="6" w:space="0" w:color="auto"/>
              <w:bottom w:val="single" w:sz="6" w:space="0" w:color="auto"/>
              <w:right w:val="single" w:sz="6" w:space="0" w:color="auto"/>
            </w:tcBorders>
            <w:hideMark/>
          </w:tcPr>
          <w:p w14:paraId="4779AEAD" w14:textId="77777777" w:rsidR="002E371F" w:rsidRPr="002E371F" w:rsidRDefault="002E371F">
            <w:pPr>
              <w:keepNext/>
              <w:keepLines/>
              <w:autoSpaceDE w:val="0"/>
              <w:autoSpaceDN w:val="0"/>
              <w:jc w:val="center"/>
              <w:rPr>
                <w:rFonts w:eastAsia="Batang"/>
                <w:b/>
                <w:sz w:val="22"/>
                <w:szCs w:val="22"/>
                <w:lang w:val="en-GB" w:eastAsia="da-DK"/>
              </w:rPr>
            </w:pPr>
            <w:r w:rsidRPr="002E371F">
              <w:rPr>
                <w:b/>
                <w:sz w:val="22"/>
                <w:szCs w:val="22"/>
                <w:lang w:val="en-GB"/>
              </w:rPr>
              <w:t>Sjælden</w:t>
            </w:r>
          </w:p>
          <w:p w14:paraId="222F005C" w14:textId="77777777" w:rsidR="002E371F" w:rsidRPr="002E371F" w:rsidRDefault="002E371F">
            <w:pPr>
              <w:keepNext/>
              <w:keepLines/>
              <w:autoSpaceDE w:val="0"/>
              <w:autoSpaceDN w:val="0"/>
              <w:jc w:val="center"/>
              <w:rPr>
                <w:rFonts w:eastAsia="Batang"/>
                <w:b/>
                <w:sz w:val="22"/>
                <w:szCs w:val="22"/>
                <w:lang w:val="en-GB" w:eastAsia="da-DK"/>
              </w:rPr>
            </w:pPr>
            <w:r w:rsidRPr="002E371F">
              <w:rPr>
                <w:b/>
                <w:sz w:val="22"/>
                <w:szCs w:val="22"/>
                <w:lang w:val="en-GB"/>
              </w:rPr>
              <w:t>≥ 1/10.000 til &lt; 1/1.000</w:t>
            </w:r>
          </w:p>
        </w:tc>
        <w:tc>
          <w:tcPr>
            <w:tcW w:w="950" w:type="pct"/>
            <w:tcBorders>
              <w:top w:val="single" w:sz="6" w:space="0" w:color="auto"/>
              <w:left w:val="single" w:sz="6" w:space="0" w:color="auto"/>
              <w:bottom w:val="single" w:sz="6" w:space="0" w:color="auto"/>
              <w:right w:val="single" w:sz="6" w:space="0" w:color="auto"/>
            </w:tcBorders>
            <w:hideMark/>
          </w:tcPr>
          <w:p w14:paraId="002D9747" w14:textId="77777777" w:rsidR="002E371F" w:rsidRPr="002E371F" w:rsidRDefault="002E371F">
            <w:pPr>
              <w:keepNext/>
              <w:keepLines/>
              <w:autoSpaceDE w:val="0"/>
              <w:autoSpaceDN w:val="0"/>
              <w:jc w:val="center"/>
              <w:rPr>
                <w:rFonts w:eastAsia="Batang"/>
                <w:b/>
                <w:sz w:val="22"/>
                <w:szCs w:val="22"/>
                <w:lang w:eastAsia="da-DK"/>
              </w:rPr>
            </w:pPr>
            <w:r w:rsidRPr="002E371F">
              <w:rPr>
                <w:b/>
                <w:sz w:val="22"/>
                <w:szCs w:val="22"/>
              </w:rPr>
              <w:t>Ikke kendt (kan ikke estimeres ud fra forhåndenværende data)</w:t>
            </w:r>
          </w:p>
        </w:tc>
      </w:tr>
      <w:tr w:rsidR="002E371F" w:rsidRPr="002E371F" w14:paraId="46D2CADA"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5D2D04F9" w14:textId="77777777" w:rsidR="002E371F" w:rsidRPr="002E371F" w:rsidRDefault="002E371F">
            <w:pPr>
              <w:autoSpaceDE w:val="0"/>
              <w:autoSpaceDN w:val="0"/>
              <w:rPr>
                <w:rFonts w:eastAsia="Batang"/>
                <w:bCs/>
                <w:sz w:val="22"/>
                <w:szCs w:val="22"/>
                <w:u w:val="single"/>
                <w:lang w:val="en-GB" w:eastAsia="da-DK"/>
              </w:rPr>
            </w:pPr>
            <w:r w:rsidRPr="002E371F">
              <w:rPr>
                <w:bCs/>
                <w:sz w:val="22"/>
                <w:szCs w:val="22"/>
                <w:lang w:val="en-GB"/>
              </w:rPr>
              <w:t>Infektioner og parasitære sygdomme</w:t>
            </w:r>
          </w:p>
        </w:tc>
        <w:tc>
          <w:tcPr>
            <w:tcW w:w="595" w:type="pct"/>
            <w:tcBorders>
              <w:top w:val="single" w:sz="6" w:space="0" w:color="auto"/>
              <w:left w:val="single" w:sz="6" w:space="0" w:color="auto"/>
              <w:bottom w:val="single" w:sz="6" w:space="0" w:color="auto"/>
              <w:right w:val="single" w:sz="6" w:space="0" w:color="auto"/>
            </w:tcBorders>
          </w:tcPr>
          <w:p w14:paraId="2324B1EE" w14:textId="77777777" w:rsidR="002E371F" w:rsidRPr="002E371F" w:rsidRDefault="002E371F">
            <w:pPr>
              <w:autoSpaceDE w:val="0"/>
              <w:autoSpaceDN w:val="0"/>
              <w:rPr>
                <w:rFonts w:eastAsia="Batang"/>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hideMark/>
          </w:tcPr>
          <w:p w14:paraId="51CAB966" w14:textId="77777777" w:rsidR="002E371F" w:rsidRPr="002E371F" w:rsidRDefault="002E371F">
            <w:pPr>
              <w:autoSpaceDE w:val="0"/>
              <w:autoSpaceDN w:val="0"/>
              <w:rPr>
                <w:rFonts w:eastAsia="Batang"/>
                <w:sz w:val="22"/>
                <w:szCs w:val="22"/>
                <w:lang w:val="en-GB" w:eastAsia="da-DK"/>
              </w:rPr>
            </w:pPr>
            <w:r w:rsidRPr="002E371F">
              <w:rPr>
                <w:rFonts w:eastAsia="Batang"/>
                <w:sz w:val="22"/>
                <w:szCs w:val="22"/>
                <w:lang w:val="en-GB"/>
              </w:rPr>
              <w:t>Infektion med candida*</w:t>
            </w:r>
          </w:p>
        </w:tc>
        <w:tc>
          <w:tcPr>
            <w:tcW w:w="748" w:type="pct"/>
            <w:tcBorders>
              <w:top w:val="single" w:sz="6" w:space="0" w:color="auto"/>
              <w:left w:val="single" w:sz="6" w:space="0" w:color="auto"/>
              <w:bottom w:val="single" w:sz="6" w:space="0" w:color="auto"/>
              <w:right w:val="single" w:sz="6" w:space="0" w:color="auto"/>
            </w:tcBorders>
          </w:tcPr>
          <w:p w14:paraId="693751E6" w14:textId="77777777" w:rsidR="002E371F" w:rsidRPr="002E371F" w:rsidRDefault="002E371F">
            <w:pPr>
              <w:autoSpaceDE w:val="0"/>
              <w:autoSpaceDN w:val="0"/>
              <w:rPr>
                <w:rFonts w:eastAsia="Batang"/>
                <w:bCs/>
                <w:strike/>
                <w:sz w:val="22"/>
                <w:szCs w:val="22"/>
                <w:lang w:val="en-GB" w:eastAsia="da-DK"/>
              </w:rPr>
            </w:pPr>
          </w:p>
        </w:tc>
        <w:tc>
          <w:tcPr>
            <w:tcW w:w="794" w:type="pct"/>
            <w:tcBorders>
              <w:top w:val="single" w:sz="6" w:space="0" w:color="auto"/>
              <w:left w:val="single" w:sz="6" w:space="0" w:color="auto"/>
              <w:bottom w:val="single" w:sz="6" w:space="0" w:color="auto"/>
              <w:right w:val="single" w:sz="6" w:space="0" w:color="auto"/>
            </w:tcBorders>
            <w:hideMark/>
          </w:tcPr>
          <w:p w14:paraId="0A4DC837" w14:textId="67034E18" w:rsidR="002E371F" w:rsidRPr="002E371F" w:rsidRDefault="002E371F">
            <w:pPr>
              <w:autoSpaceDE w:val="0"/>
              <w:autoSpaceDN w:val="0"/>
              <w:rPr>
                <w:rFonts w:eastAsia="Batang"/>
                <w:bCs/>
                <w:sz w:val="22"/>
                <w:szCs w:val="22"/>
                <w:lang w:val="en-GB" w:eastAsia="da-DK"/>
              </w:rPr>
            </w:pPr>
            <w:r w:rsidRPr="002E371F">
              <w:rPr>
                <w:rFonts w:eastAsia="Batang"/>
                <w:bCs/>
                <w:sz w:val="22"/>
                <w:szCs w:val="22"/>
                <w:lang w:val="en-GB" w:eastAsia="da-DK"/>
              </w:rPr>
              <w:t>Pseudomembranøs colitis</w:t>
            </w:r>
          </w:p>
        </w:tc>
        <w:tc>
          <w:tcPr>
            <w:tcW w:w="950" w:type="pct"/>
            <w:tcBorders>
              <w:top w:val="single" w:sz="6" w:space="0" w:color="auto"/>
              <w:left w:val="single" w:sz="6" w:space="0" w:color="auto"/>
              <w:bottom w:val="single" w:sz="6" w:space="0" w:color="auto"/>
              <w:right w:val="single" w:sz="6" w:space="0" w:color="auto"/>
            </w:tcBorders>
          </w:tcPr>
          <w:p w14:paraId="6506896B" w14:textId="77777777" w:rsidR="002E371F" w:rsidRPr="002E371F" w:rsidRDefault="002E371F">
            <w:pPr>
              <w:autoSpaceDE w:val="0"/>
              <w:autoSpaceDN w:val="0"/>
              <w:rPr>
                <w:rFonts w:eastAsia="Batang"/>
                <w:bCs/>
                <w:sz w:val="22"/>
                <w:szCs w:val="22"/>
                <w:lang w:val="en-GB" w:eastAsia="da-DK"/>
              </w:rPr>
            </w:pPr>
          </w:p>
        </w:tc>
      </w:tr>
      <w:tr w:rsidR="002E371F" w:rsidRPr="00E8025C" w14:paraId="30848CCF"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1FBCE623" w14:textId="77777777" w:rsidR="002E371F" w:rsidRPr="002E371F" w:rsidRDefault="002E371F">
            <w:pPr>
              <w:autoSpaceDE w:val="0"/>
              <w:autoSpaceDN w:val="0"/>
              <w:rPr>
                <w:rFonts w:eastAsia="Batang"/>
                <w:bCs/>
                <w:sz w:val="22"/>
                <w:szCs w:val="22"/>
                <w:lang w:val="en-GB" w:eastAsia="da-DK"/>
              </w:rPr>
            </w:pPr>
            <w:r w:rsidRPr="002E371F">
              <w:rPr>
                <w:bCs/>
                <w:sz w:val="22"/>
                <w:szCs w:val="22"/>
                <w:lang w:val="en-GB"/>
              </w:rPr>
              <w:t>Blod og lymfesystem</w:t>
            </w:r>
          </w:p>
        </w:tc>
        <w:tc>
          <w:tcPr>
            <w:tcW w:w="595" w:type="pct"/>
            <w:tcBorders>
              <w:top w:val="single" w:sz="6" w:space="0" w:color="auto"/>
              <w:left w:val="single" w:sz="6" w:space="0" w:color="auto"/>
              <w:bottom w:val="single" w:sz="6" w:space="0" w:color="auto"/>
              <w:right w:val="single" w:sz="6" w:space="0" w:color="auto"/>
            </w:tcBorders>
          </w:tcPr>
          <w:p w14:paraId="2CD5977F" w14:textId="77777777" w:rsidR="002E371F" w:rsidRPr="002E371F" w:rsidRDefault="002E371F">
            <w:pPr>
              <w:autoSpaceDE w:val="0"/>
              <w:autoSpaceDN w:val="0"/>
              <w:rPr>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hideMark/>
          </w:tcPr>
          <w:p w14:paraId="1921A141" w14:textId="077567AA" w:rsidR="002E371F" w:rsidRPr="002E371F" w:rsidRDefault="002E371F">
            <w:pPr>
              <w:autoSpaceDE w:val="0"/>
              <w:autoSpaceDN w:val="0"/>
              <w:rPr>
                <w:sz w:val="22"/>
                <w:szCs w:val="22"/>
                <w:lang w:val="en-GB" w:eastAsia="da-DK"/>
              </w:rPr>
            </w:pPr>
            <w:r w:rsidRPr="002E371F">
              <w:rPr>
                <w:sz w:val="22"/>
                <w:szCs w:val="22"/>
                <w:lang w:val="en-GB"/>
              </w:rPr>
              <w:t>Trombocytope</w:t>
            </w:r>
            <w:r w:rsidRPr="002E371F">
              <w:rPr>
                <w:sz w:val="22"/>
                <w:szCs w:val="22"/>
                <w:lang w:val="en-GB"/>
              </w:rPr>
              <w:softHyphen/>
              <w:t xml:space="preserve">ni, anæmi* </w:t>
            </w:r>
          </w:p>
        </w:tc>
        <w:tc>
          <w:tcPr>
            <w:tcW w:w="748" w:type="pct"/>
            <w:tcBorders>
              <w:top w:val="single" w:sz="6" w:space="0" w:color="auto"/>
              <w:left w:val="single" w:sz="6" w:space="0" w:color="auto"/>
              <w:bottom w:val="single" w:sz="6" w:space="0" w:color="auto"/>
              <w:right w:val="single" w:sz="6" w:space="0" w:color="auto"/>
            </w:tcBorders>
          </w:tcPr>
          <w:p w14:paraId="3A340458" w14:textId="77777777" w:rsidR="002E371F" w:rsidRPr="002E371F" w:rsidRDefault="002E371F">
            <w:pPr>
              <w:keepNext/>
              <w:keepLines/>
              <w:numPr>
                <w:ilvl w:val="12"/>
                <w:numId w:val="0"/>
              </w:numPr>
              <w:rPr>
                <w:sz w:val="22"/>
                <w:szCs w:val="22"/>
                <w:lang w:val="en-GB" w:eastAsia="da-DK"/>
              </w:rPr>
            </w:pPr>
            <w:r w:rsidRPr="002E371F">
              <w:rPr>
                <w:sz w:val="22"/>
                <w:szCs w:val="22"/>
                <w:lang w:val="en-GB"/>
              </w:rPr>
              <w:t>Leukopeni</w:t>
            </w:r>
          </w:p>
          <w:p w14:paraId="7897739D" w14:textId="77777777" w:rsidR="002E371F" w:rsidRPr="002E371F" w:rsidRDefault="002E371F">
            <w:pPr>
              <w:autoSpaceDE w:val="0"/>
              <w:autoSpaceDN w:val="0"/>
              <w:rPr>
                <w:sz w:val="22"/>
                <w:szCs w:val="22"/>
                <w:lang w:val="en-GB" w:eastAsia="da-DK"/>
              </w:rPr>
            </w:pPr>
          </w:p>
        </w:tc>
        <w:tc>
          <w:tcPr>
            <w:tcW w:w="794" w:type="pct"/>
            <w:tcBorders>
              <w:top w:val="single" w:sz="6" w:space="0" w:color="auto"/>
              <w:left w:val="single" w:sz="6" w:space="0" w:color="auto"/>
              <w:bottom w:val="single" w:sz="6" w:space="0" w:color="auto"/>
              <w:right w:val="single" w:sz="6" w:space="0" w:color="auto"/>
            </w:tcBorders>
            <w:hideMark/>
          </w:tcPr>
          <w:p w14:paraId="653B5175" w14:textId="77777777" w:rsidR="002E371F" w:rsidRPr="002E371F" w:rsidRDefault="002E371F">
            <w:pPr>
              <w:keepNext/>
              <w:keepLines/>
              <w:rPr>
                <w:sz w:val="22"/>
                <w:szCs w:val="22"/>
                <w:lang w:val="en-GB" w:eastAsia="da-DK"/>
              </w:rPr>
            </w:pPr>
            <w:r w:rsidRPr="002E371F">
              <w:rPr>
                <w:sz w:val="22"/>
                <w:szCs w:val="22"/>
                <w:lang w:val="en-GB"/>
              </w:rPr>
              <w:t>Agranulocytose</w:t>
            </w:r>
          </w:p>
        </w:tc>
        <w:tc>
          <w:tcPr>
            <w:tcW w:w="950" w:type="pct"/>
            <w:tcBorders>
              <w:top w:val="single" w:sz="6" w:space="0" w:color="auto"/>
              <w:left w:val="single" w:sz="6" w:space="0" w:color="auto"/>
              <w:bottom w:val="single" w:sz="6" w:space="0" w:color="auto"/>
              <w:right w:val="single" w:sz="6" w:space="0" w:color="auto"/>
            </w:tcBorders>
            <w:hideMark/>
          </w:tcPr>
          <w:p w14:paraId="2FB0E66C" w14:textId="77777777" w:rsidR="002E371F" w:rsidRPr="002E371F" w:rsidRDefault="002E371F">
            <w:pPr>
              <w:keepLines/>
              <w:rPr>
                <w:rFonts w:eastAsia="Batang"/>
                <w:bCs/>
                <w:sz w:val="22"/>
                <w:szCs w:val="22"/>
                <w:lang w:val="en-US" w:eastAsia="da-DK"/>
              </w:rPr>
            </w:pPr>
            <w:r w:rsidRPr="002E371F">
              <w:rPr>
                <w:sz w:val="22"/>
                <w:szCs w:val="22"/>
                <w:lang w:val="en-US"/>
              </w:rPr>
              <w:t>Pancytopeni*, neutropeni, hæmolytisk anæmi*,  trombocytose*, eosinofili*</w:t>
            </w:r>
          </w:p>
        </w:tc>
      </w:tr>
      <w:tr w:rsidR="002E371F" w:rsidRPr="002E371F" w14:paraId="288BE480"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681AB74A" w14:textId="77777777" w:rsidR="002E371F" w:rsidRPr="002E371F" w:rsidRDefault="002E371F">
            <w:pPr>
              <w:autoSpaceDE w:val="0"/>
              <w:autoSpaceDN w:val="0"/>
              <w:rPr>
                <w:bCs/>
                <w:sz w:val="22"/>
                <w:szCs w:val="22"/>
                <w:u w:val="single"/>
                <w:lang w:val="en-GB" w:eastAsia="da-DK"/>
              </w:rPr>
            </w:pPr>
            <w:r w:rsidRPr="002E371F">
              <w:rPr>
                <w:bCs/>
                <w:sz w:val="22"/>
                <w:szCs w:val="22"/>
                <w:lang w:val="en-GB"/>
              </w:rPr>
              <w:t>Immun-systemet</w:t>
            </w:r>
          </w:p>
        </w:tc>
        <w:tc>
          <w:tcPr>
            <w:tcW w:w="595" w:type="pct"/>
            <w:tcBorders>
              <w:top w:val="single" w:sz="6" w:space="0" w:color="auto"/>
              <w:left w:val="single" w:sz="6" w:space="0" w:color="auto"/>
              <w:bottom w:val="single" w:sz="6" w:space="0" w:color="auto"/>
              <w:right w:val="single" w:sz="6" w:space="0" w:color="auto"/>
            </w:tcBorders>
          </w:tcPr>
          <w:p w14:paraId="63F686C5" w14:textId="77777777" w:rsidR="002E371F" w:rsidRPr="002E371F" w:rsidRDefault="002E371F">
            <w:pPr>
              <w:autoSpaceDE w:val="0"/>
              <w:autoSpaceDN w:val="0"/>
              <w:rPr>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tcPr>
          <w:p w14:paraId="039D1B32" w14:textId="77777777" w:rsidR="002E371F" w:rsidRPr="002E371F" w:rsidRDefault="002E371F">
            <w:pPr>
              <w:autoSpaceDE w:val="0"/>
              <w:autoSpaceDN w:val="0"/>
              <w:rPr>
                <w:sz w:val="22"/>
                <w:szCs w:val="22"/>
                <w:lang w:val="en-GB" w:eastAsia="da-DK"/>
              </w:rPr>
            </w:pPr>
          </w:p>
        </w:tc>
        <w:tc>
          <w:tcPr>
            <w:tcW w:w="748" w:type="pct"/>
            <w:tcBorders>
              <w:top w:val="single" w:sz="6" w:space="0" w:color="auto"/>
              <w:left w:val="single" w:sz="6" w:space="0" w:color="auto"/>
              <w:bottom w:val="single" w:sz="6" w:space="0" w:color="auto"/>
              <w:right w:val="single" w:sz="6" w:space="0" w:color="auto"/>
            </w:tcBorders>
          </w:tcPr>
          <w:p w14:paraId="3D2908A8" w14:textId="77777777" w:rsidR="002E371F" w:rsidRPr="002E371F" w:rsidRDefault="002E371F">
            <w:pPr>
              <w:autoSpaceDE w:val="0"/>
              <w:autoSpaceDN w:val="0"/>
              <w:rPr>
                <w:sz w:val="22"/>
                <w:szCs w:val="22"/>
                <w:lang w:val="en-GB" w:eastAsia="da-DK"/>
              </w:rPr>
            </w:pPr>
          </w:p>
        </w:tc>
        <w:tc>
          <w:tcPr>
            <w:tcW w:w="794" w:type="pct"/>
            <w:tcBorders>
              <w:top w:val="single" w:sz="6" w:space="0" w:color="auto"/>
              <w:left w:val="single" w:sz="6" w:space="0" w:color="auto"/>
              <w:bottom w:val="single" w:sz="6" w:space="0" w:color="auto"/>
              <w:right w:val="single" w:sz="6" w:space="0" w:color="auto"/>
            </w:tcBorders>
          </w:tcPr>
          <w:p w14:paraId="6A3DF769" w14:textId="77777777" w:rsidR="002E371F" w:rsidRPr="002E371F" w:rsidRDefault="002E371F">
            <w:pPr>
              <w:autoSpaceDE w:val="0"/>
              <w:autoSpaceDN w:val="0"/>
              <w:rPr>
                <w:sz w:val="22"/>
                <w:szCs w:val="22"/>
                <w:lang w:val="en-GB" w:eastAsia="da-DK"/>
              </w:rPr>
            </w:pPr>
          </w:p>
        </w:tc>
        <w:tc>
          <w:tcPr>
            <w:tcW w:w="950" w:type="pct"/>
            <w:tcBorders>
              <w:top w:val="single" w:sz="6" w:space="0" w:color="auto"/>
              <w:left w:val="single" w:sz="6" w:space="0" w:color="auto"/>
              <w:bottom w:val="single" w:sz="6" w:space="0" w:color="auto"/>
              <w:right w:val="single" w:sz="6" w:space="0" w:color="auto"/>
            </w:tcBorders>
            <w:hideMark/>
          </w:tcPr>
          <w:p w14:paraId="664963F0" w14:textId="77777777" w:rsidR="002E371F" w:rsidRPr="002E371F" w:rsidRDefault="002E371F">
            <w:pPr>
              <w:autoSpaceDE w:val="0"/>
              <w:autoSpaceDN w:val="0"/>
              <w:rPr>
                <w:rFonts w:eastAsia="Batang"/>
                <w:bCs/>
                <w:sz w:val="22"/>
                <w:szCs w:val="22"/>
                <w:lang w:eastAsia="da-DK"/>
              </w:rPr>
            </w:pPr>
            <w:r w:rsidRPr="002E371F">
              <w:rPr>
                <w:sz w:val="22"/>
                <w:szCs w:val="22"/>
              </w:rPr>
              <w:t>Anafylaktoidt shock*, anafylaktisk shock*, anafylaktoid reaktion*, anafylaktisk reaktion*, over-følsomhed*</w:t>
            </w:r>
          </w:p>
        </w:tc>
      </w:tr>
      <w:tr w:rsidR="002E371F" w:rsidRPr="002E371F" w14:paraId="4C2FB785"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19C9D513" w14:textId="77777777" w:rsidR="002E371F" w:rsidRPr="002E371F" w:rsidRDefault="002E371F">
            <w:pPr>
              <w:autoSpaceDE w:val="0"/>
              <w:autoSpaceDN w:val="0"/>
              <w:rPr>
                <w:bCs/>
                <w:sz w:val="22"/>
                <w:szCs w:val="22"/>
                <w:u w:val="single"/>
                <w:lang w:val="en-GB" w:eastAsia="da-DK"/>
              </w:rPr>
            </w:pPr>
            <w:r w:rsidRPr="002E371F">
              <w:rPr>
                <w:bCs/>
                <w:sz w:val="22"/>
                <w:szCs w:val="22"/>
                <w:lang w:val="en-GB"/>
              </w:rPr>
              <w:t>Metabolisme og ernæring</w:t>
            </w:r>
          </w:p>
        </w:tc>
        <w:tc>
          <w:tcPr>
            <w:tcW w:w="595" w:type="pct"/>
            <w:tcBorders>
              <w:top w:val="single" w:sz="6" w:space="0" w:color="auto"/>
              <w:left w:val="single" w:sz="6" w:space="0" w:color="auto"/>
              <w:bottom w:val="single" w:sz="6" w:space="0" w:color="auto"/>
              <w:right w:val="single" w:sz="6" w:space="0" w:color="auto"/>
            </w:tcBorders>
          </w:tcPr>
          <w:p w14:paraId="6EFFF3D2" w14:textId="77777777" w:rsidR="002E371F" w:rsidRPr="002E371F" w:rsidRDefault="002E371F">
            <w:pPr>
              <w:autoSpaceDE w:val="0"/>
              <w:autoSpaceDN w:val="0"/>
              <w:rPr>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hideMark/>
          </w:tcPr>
          <w:p w14:paraId="6C39A8C9" w14:textId="77777777" w:rsidR="002E371F" w:rsidRPr="002E371F" w:rsidRDefault="002E371F">
            <w:pPr>
              <w:rPr>
                <w:sz w:val="22"/>
                <w:szCs w:val="22"/>
                <w:lang w:val="en-GB" w:eastAsia="da-DK"/>
              </w:rPr>
            </w:pPr>
          </w:p>
        </w:tc>
        <w:tc>
          <w:tcPr>
            <w:tcW w:w="748" w:type="pct"/>
            <w:tcBorders>
              <w:top w:val="single" w:sz="6" w:space="0" w:color="auto"/>
              <w:left w:val="single" w:sz="6" w:space="0" w:color="auto"/>
              <w:bottom w:val="single" w:sz="6" w:space="0" w:color="auto"/>
              <w:right w:val="single" w:sz="6" w:space="0" w:color="auto"/>
            </w:tcBorders>
            <w:hideMark/>
          </w:tcPr>
          <w:p w14:paraId="7B0D1DA1" w14:textId="77777777" w:rsidR="002E371F" w:rsidRPr="002E371F" w:rsidRDefault="002E371F">
            <w:pPr>
              <w:autoSpaceDE w:val="0"/>
              <w:autoSpaceDN w:val="0"/>
              <w:rPr>
                <w:sz w:val="22"/>
                <w:szCs w:val="22"/>
                <w:lang w:val="en-GB" w:eastAsia="da-DK"/>
              </w:rPr>
            </w:pPr>
            <w:r w:rsidRPr="002E371F">
              <w:rPr>
                <w:sz w:val="22"/>
                <w:szCs w:val="22"/>
                <w:lang w:val="en-GB"/>
              </w:rPr>
              <w:t>Hypokaliæmi</w:t>
            </w:r>
          </w:p>
        </w:tc>
        <w:tc>
          <w:tcPr>
            <w:tcW w:w="794" w:type="pct"/>
            <w:tcBorders>
              <w:top w:val="single" w:sz="6" w:space="0" w:color="auto"/>
              <w:left w:val="single" w:sz="6" w:space="0" w:color="auto"/>
              <w:bottom w:val="single" w:sz="6" w:space="0" w:color="auto"/>
              <w:right w:val="single" w:sz="6" w:space="0" w:color="auto"/>
            </w:tcBorders>
          </w:tcPr>
          <w:p w14:paraId="41369802" w14:textId="77777777" w:rsidR="002E371F" w:rsidRPr="002E371F" w:rsidRDefault="002E371F">
            <w:pPr>
              <w:autoSpaceDE w:val="0"/>
              <w:autoSpaceDN w:val="0"/>
              <w:rPr>
                <w:sz w:val="22"/>
                <w:szCs w:val="22"/>
                <w:lang w:val="en-GB" w:eastAsia="da-DK"/>
              </w:rPr>
            </w:pPr>
          </w:p>
        </w:tc>
        <w:tc>
          <w:tcPr>
            <w:tcW w:w="950" w:type="pct"/>
            <w:tcBorders>
              <w:top w:val="single" w:sz="6" w:space="0" w:color="auto"/>
              <w:left w:val="single" w:sz="6" w:space="0" w:color="auto"/>
              <w:bottom w:val="single" w:sz="6" w:space="0" w:color="auto"/>
              <w:right w:val="single" w:sz="6" w:space="0" w:color="auto"/>
            </w:tcBorders>
          </w:tcPr>
          <w:p w14:paraId="66725B91" w14:textId="77777777" w:rsidR="002E371F" w:rsidRPr="002E371F" w:rsidRDefault="002E371F">
            <w:pPr>
              <w:autoSpaceDE w:val="0"/>
              <w:autoSpaceDN w:val="0"/>
              <w:rPr>
                <w:rFonts w:eastAsia="Batang"/>
                <w:bCs/>
                <w:sz w:val="22"/>
                <w:szCs w:val="22"/>
                <w:lang w:val="en-GB" w:eastAsia="da-DK"/>
              </w:rPr>
            </w:pPr>
          </w:p>
        </w:tc>
      </w:tr>
      <w:tr w:rsidR="002E371F" w:rsidRPr="002E371F" w14:paraId="5937615A"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5DA04E18" w14:textId="77777777" w:rsidR="002E371F" w:rsidRPr="002E371F" w:rsidRDefault="002E371F">
            <w:pPr>
              <w:autoSpaceDE w:val="0"/>
              <w:autoSpaceDN w:val="0"/>
              <w:rPr>
                <w:bCs/>
                <w:sz w:val="22"/>
                <w:szCs w:val="22"/>
                <w:u w:val="single"/>
                <w:lang w:val="en-GB" w:eastAsia="da-DK"/>
              </w:rPr>
            </w:pPr>
            <w:r w:rsidRPr="002E371F">
              <w:rPr>
                <w:bCs/>
                <w:sz w:val="22"/>
                <w:szCs w:val="22"/>
                <w:lang w:val="en-GB"/>
              </w:rPr>
              <w:t>Psykiske forstyrrelser</w:t>
            </w:r>
          </w:p>
        </w:tc>
        <w:tc>
          <w:tcPr>
            <w:tcW w:w="595" w:type="pct"/>
            <w:tcBorders>
              <w:top w:val="single" w:sz="6" w:space="0" w:color="auto"/>
              <w:left w:val="single" w:sz="6" w:space="0" w:color="auto"/>
              <w:bottom w:val="single" w:sz="6" w:space="0" w:color="auto"/>
              <w:right w:val="single" w:sz="6" w:space="0" w:color="auto"/>
            </w:tcBorders>
          </w:tcPr>
          <w:p w14:paraId="69E0D452" w14:textId="77777777" w:rsidR="002E371F" w:rsidRPr="002E371F" w:rsidRDefault="002E371F">
            <w:pPr>
              <w:autoSpaceDE w:val="0"/>
              <w:autoSpaceDN w:val="0"/>
              <w:rPr>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hideMark/>
          </w:tcPr>
          <w:p w14:paraId="713E3350" w14:textId="77777777" w:rsidR="002E371F" w:rsidRPr="002E371F" w:rsidRDefault="002E371F">
            <w:pPr>
              <w:autoSpaceDE w:val="0"/>
              <w:autoSpaceDN w:val="0"/>
              <w:rPr>
                <w:sz w:val="22"/>
                <w:szCs w:val="22"/>
                <w:lang w:val="en-GB" w:eastAsia="da-DK"/>
              </w:rPr>
            </w:pPr>
            <w:r w:rsidRPr="002E371F">
              <w:rPr>
                <w:sz w:val="22"/>
                <w:szCs w:val="22"/>
                <w:lang w:val="en-GB"/>
              </w:rPr>
              <w:t>Insomni</w:t>
            </w:r>
          </w:p>
        </w:tc>
        <w:tc>
          <w:tcPr>
            <w:tcW w:w="748" w:type="pct"/>
            <w:tcBorders>
              <w:top w:val="single" w:sz="6" w:space="0" w:color="auto"/>
              <w:left w:val="single" w:sz="6" w:space="0" w:color="auto"/>
              <w:bottom w:val="single" w:sz="6" w:space="0" w:color="auto"/>
              <w:right w:val="single" w:sz="6" w:space="0" w:color="auto"/>
            </w:tcBorders>
          </w:tcPr>
          <w:p w14:paraId="7A4388FB" w14:textId="77777777" w:rsidR="002E371F" w:rsidRPr="002E371F" w:rsidRDefault="002E371F">
            <w:pPr>
              <w:autoSpaceDE w:val="0"/>
              <w:autoSpaceDN w:val="0"/>
              <w:rPr>
                <w:sz w:val="22"/>
                <w:szCs w:val="22"/>
                <w:lang w:val="en-GB" w:eastAsia="da-DK"/>
              </w:rPr>
            </w:pPr>
          </w:p>
        </w:tc>
        <w:tc>
          <w:tcPr>
            <w:tcW w:w="794" w:type="pct"/>
            <w:tcBorders>
              <w:top w:val="single" w:sz="6" w:space="0" w:color="auto"/>
              <w:left w:val="single" w:sz="6" w:space="0" w:color="auto"/>
              <w:bottom w:val="single" w:sz="6" w:space="0" w:color="auto"/>
              <w:right w:val="single" w:sz="6" w:space="0" w:color="auto"/>
            </w:tcBorders>
          </w:tcPr>
          <w:p w14:paraId="0BEB0E61" w14:textId="77777777" w:rsidR="002E371F" w:rsidRPr="002E371F" w:rsidRDefault="002E371F">
            <w:pPr>
              <w:autoSpaceDE w:val="0"/>
              <w:autoSpaceDN w:val="0"/>
              <w:rPr>
                <w:sz w:val="22"/>
                <w:szCs w:val="22"/>
                <w:lang w:val="en-GB" w:eastAsia="da-DK"/>
              </w:rPr>
            </w:pPr>
          </w:p>
        </w:tc>
        <w:tc>
          <w:tcPr>
            <w:tcW w:w="950" w:type="pct"/>
            <w:tcBorders>
              <w:top w:val="single" w:sz="6" w:space="0" w:color="auto"/>
              <w:left w:val="single" w:sz="6" w:space="0" w:color="auto"/>
              <w:bottom w:val="single" w:sz="6" w:space="0" w:color="auto"/>
              <w:right w:val="single" w:sz="6" w:space="0" w:color="auto"/>
            </w:tcBorders>
            <w:hideMark/>
          </w:tcPr>
          <w:p w14:paraId="53936931" w14:textId="77777777" w:rsidR="002E371F" w:rsidRPr="002E371F" w:rsidRDefault="002E371F">
            <w:pPr>
              <w:autoSpaceDE w:val="0"/>
              <w:autoSpaceDN w:val="0"/>
              <w:rPr>
                <w:rFonts w:eastAsia="Batang"/>
                <w:bCs/>
                <w:sz w:val="22"/>
                <w:szCs w:val="22"/>
                <w:lang w:val="en-GB" w:eastAsia="da-DK"/>
              </w:rPr>
            </w:pPr>
            <w:r w:rsidRPr="002E371F">
              <w:rPr>
                <w:rFonts w:eastAsia="Batang"/>
                <w:bCs/>
                <w:sz w:val="22"/>
                <w:szCs w:val="22"/>
                <w:lang w:val="en-GB" w:eastAsia="da-DK"/>
              </w:rPr>
              <w:t>Delirium*</w:t>
            </w:r>
          </w:p>
        </w:tc>
      </w:tr>
      <w:tr w:rsidR="002E371F" w:rsidRPr="002E371F" w14:paraId="42FB5CBC"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3C9EB0C2" w14:textId="77777777" w:rsidR="002E371F" w:rsidRPr="002E371F" w:rsidRDefault="002E371F">
            <w:pPr>
              <w:autoSpaceDE w:val="0"/>
              <w:autoSpaceDN w:val="0"/>
              <w:rPr>
                <w:bCs/>
                <w:sz w:val="22"/>
                <w:szCs w:val="22"/>
                <w:lang w:val="en-GB"/>
              </w:rPr>
            </w:pPr>
            <w:r w:rsidRPr="002E371F">
              <w:rPr>
                <w:bCs/>
                <w:sz w:val="22"/>
                <w:szCs w:val="22"/>
                <w:lang w:val="en-GB"/>
              </w:rPr>
              <w:t>Nervesystemet</w:t>
            </w:r>
          </w:p>
        </w:tc>
        <w:tc>
          <w:tcPr>
            <w:tcW w:w="595" w:type="pct"/>
            <w:tcBorders>
              <w:top w:val="single" w:sz="6" w:space="0" w:color="auto"/>
              <w:left w:val="single" w:sz="6" w:space="0" w:color="auto"/>
              <w:bottom w:val="single" w:sz="6" w:space="0" w:color="auto"/>
              <w:right w:val="single" w:sz="6" w:space="0" w:color="auto"/>
            </w:tcBorders>
          </w:tcPr>
          <w:p w14:paraId="2EEFCE01" w14:textId="77777777" w:rsidR="002E371F" w:rsidRPr="002E371F" w:rsidRDefault="002E371F">
            <w:pPr>
              <w:autoSpaceDE w:val="0"/>
              <w:autoSpaceDN w:val="0"/>
              <w:rPr>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hideMark/>
          </w:tcPr>
          <w:p w14:paraId="40BED9CD" w14:textId="77777777" w:rsidR="002E371F" w:rsidRPr="002E371F" w:rsidRDefault="002E371F">
            <w:pPr>
              <w:autoSpaceDE w:val="0"/>
              <w:autoSpaceDN w:val="0"/>
              <w:rPr>
                <w:sz w:val="22"/>
                <w:szCs w:val="22"/>
                <w:lang w:val="en-GB" w:eastAsia="da-DK"/>
              </w:rPr>
            </w:pPr>
            <w:r w:rsidRPr="002E371F">
              <w:rPr>
                <w:sz w:val="22"/>
                <w:szCs w:val="22"/>
                <w:lang w:val="en-GB" w:eastAsia="da-DK"/>
              </w:rPr>
              <w:t>Hovedpine</w:t>
            </w:r>
          </w:p>
        </w:tc>
        <w:tc>
          <w:tcPr>
            <w:tcW w:w="748" w:type="pct"/>
            <w:tcBorders>
              <w:top w:val="single" w:sz="6" w:space="0" w:color="auto"/>
              <w:left w:val="single" w:sz="6" w:space="0" w:color="auto"/>
              <w:bottom w:val="single" w:sz="6" w:space="0" w:color="auto"/>
              <w:right w:val="single" w:sz="6" w:space="0" w:color="auto"/>
            </w:tcBorders>
            <w:hideMark/>
          </w:tcPr>
          <w:p w14:paraId="74B6545A" w14:textId="3E16905E" w:rsidR="002E371F" w:rsidRPr="002E371F" w:rsidRDefault="002E371F">
            <w:pPr>
              <w:keepNext/>
              <w:keepLines/>
              <w:rPr>
                <w:sz w:val="22"/>
                <w:szCs w:val="22"/>
                <w:lang w:val="en-GB"/>
              </w:rPr>
            </w:pPr>
            <w:r w:rsidRPr="002E371F">
              <w:rPr>
                <w:sz w:val="22"/>
                <w:szCs w:val="22"/>
                <w:lang w:val="en-GB"/>
              </w:rPr>
              <w:t>Krampean</w:t>
            </w:r>
            <w:r w:rsidRPr="002E371F">
              <w:rPr>
                <w:sz w:val="22"/>
                <w:szCs w:val="22"/>
                <w:lang w:val="en-GB"/>
              </w:rPr>
              <w:softHyphen/>
              <w:t>fald*</w:t>
            </w:r>
          </w:p>
        </w:tc>
        <w:tc>
          <w:tcPr>
            <w:tcW w:w="794" w:type="pct"/>
            <w:tcBorders>
              <w:top w:val="single" w:sz="6" w:space="0" w:color="auto"/>
              <w:left w:val="single" w:sz="6" w:space="0" w:color="auto"/>
              <w:bottom w:val="single" w:sz="6" w:space="0" w:color="auto"/>
              <w:right w:val="single" w:sz="6" w:space="0" w:color="auto"/>
            </w:tcBorders>
          </w:tcPr>
          <w:p w14:paraId="11CEFA75" w14:textId="77777777" w:rsidR="002E371F" w:rsidRPr="002E371F" w:rsidRDefault="002E371F">
            <w:pPr>
              <w:autoSpaceDE w:val="0"/>
              <w:autoSpaceDN w:val="0"/>
              <w:rPr>
                <w:sz w:val="22"/>
                <w:szCs w:val="22"/>
                <w:lang w:val="en-GB" w:eastAsia="da-DK"/>
              </w:rPr>
            </w:pPr>
          </w:p>
        </w:tc>
        <w:tc>
          <w:tcPr>
            <w:tcW w:w="950" w:type="pct"/>
            <w:tcBorders>
              <w:top w:val="single" w:sz="6" w:space="0" w:color="auto"/>
              <w:left w:val="single" w:sz="6" w:space="0" w:color="auto"/>
              <w:bottom w:val="single" w:sz="6" w:space="0" w:color="auto"/>
              <w:right w:val="single" w:sz="6" w:space="0" w:color="auto"/>
            </w:tcBorders>
          </w:tcPr>
          <w:p w14:paraId="4C6B146C" w14:textId="77777777" w:rsidR="002E371F" w:rsidRPr="002E371F" w:rsidRDefault="002E371F">
            <w:pPr>
              <w:autoSpaceDE w:val="0"/>
              <w:autoSpaceDN w:val="0"/>
              <w:rPr>
                <w:rFonts w:eastAsia="Batang"/>
                <w:bCs/>
                <w:sz w:val="22"/>
                <w:szCs w:val="22"/>
                <w:lang w:val="en-GB" w:eastAsia="da-DK"/>
              </w:rPr>
            </w:pPr>
          </w:p>
        </w:tc>
      </w:tr>
      <w:tr w:rsidR="002E371F" w:rsidRPr="002E371F" w14:paraId="41A289E5"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4021688C" w14:textId="77777777" w:rsidR="002E371F" w:rsidRPr="002E371F" w:rsidRDefault="002E371F">
            <w:pPr>
              <w:autoSpaceDE w:val="0"/>
              <w:autoSpaceDN w:val="0"/>
              <w:rPr>
                <w:bCs/>
                <w:sz w:val="22"/>
                <w:szCs w:val="22"/>
                <w:u w:val="single"/>
                <w:lang w:val="en-GB" w:eastAsia="da-DK"/>
              </w:rPr>
            </w:pPr>
            <w:r w:rsidRPr="002E371F">
              <w:rPr>
                <w:bCs/>
                <w:sz w:val="22"/>
                <w:szCs w:val="22"/>
                <w:lang w:val="en-GB"/>
              </w:rPr>
              <w:t>Vaskulære sygdomme</w:t>
            </w:r>
          </w:p>
        </w:tc>
        <w:tc>
          <w:tcPr>
            <w:tcW w:w="595" w:type="pct"/>
            <w:tcBorders>
              <w:top w:val="single" w:sz="6" w:space="0" w:color="auto"/>
              <w:left w:val="single" w:sz="6" w:space="0" w:color="auto"/>
              <w:bottom w:val="single" w:sz="6" w:space="0" w:color="auto"/>
              <w:right w:val="single" w:sz="6" w:space="0" w:color="auto"/>
            </w:tcBorders>
          </w:tcPr>
          <w:p w14:paraId="5CB48AF0" w14:textId="77777777" w:rsidR="002E371F" w:rsidRPr="002E371F" w:rsidRDefault="002E371F">
            <w:pPr>
              <w:autoSpaceDE w:val="0"/>
              <w:autoSpaceDN w:val="0"/>
              <w:rPr>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tcPr>
          <w:p w14:paraId="15430F5A" w14:textId="77777777" w:rsidR="002E371F" w:rsidRPr="002E371F" w:rsidRDefault="002E371F">
            <w:pPr>
              <w:autoSpaceDE w:val="0"/>
              <w:autoSpaceDN w:val="0"/>
              <w:rPr>
                <w:sz w:val="22"/>
                <w:szCs w:val="22"/>
                <w:lang w:val="en-GB" w:eastAsia="da-DK"/>
              </w:rPr>
            </w:pPr>
          </w:p>
        </w:tc>
        <w:tc>
          <w:tcPr>
            <w:tcW w:w="748" w:type="pct"/>
            <w:tcBorders>
              <w:top w:val="single" w:sz="6" w:space="0" w:color="auto"/>
              <w:left w:val="single" w:sz="6" w:space="0" w:color="auto"/>
              <w:bottom w:val="single" w:sz="6" w:space="0" w:color="auto"/>
              <w:right w:val="single" w:sz="6" w:space="0" w:color="auto"/>
            </w:tcBorders>
            <w:hideMark/>
          </w:tcPr>
          <w:p w14:paraId="48B0B454" w14:textId="77777777" w:rsidR="002E371F" w:rsidRPr="002E371F" w:rsidRDefault="002E371F">
            <w:pPr>
              <w:keepNext/>
              <w:keepLines/>
              <w:rPr>
                <w:sz w:val="22"/>
                <w:szCs w:val="22"/>
                <w:lang w:val="en-GB" w:eastAsia="da-DK"/>
              </w:rPr>
            </w:pPr>
            <w:r w:rsidRPr="002E371F">
              <w:rPr>
                <w:sz w:val="22"/>
                <w:szCs w:val="22"/>
                <w:lang w:val="en-GB"/>
              </w:rPr>
              <w:t>Hypotension, flebitis, tromboflebitis, rødmen</w:t>
            </w:r>
          </w:p>
        </w:tc>
        <w:tc>
          <w:tcPr>
            <w:tcW w:w="794" w:type="pct"/>
            <w:tcBorders>
              <w:top w:val="single" w:sz="6" w:space="0" w:color="auto"/>
              <w:left w:val="single" w:sz="6" w:space="0" w:color="auto"/>
              <w:bottom w:val="single" w:sz="6" w:space="0" w:color="auto"/>
              <w:right w:val="single" w:sz="6" w:space="0" w:color="auto"/>
            </w:tcBorders>
          </w:tcPr>
          <w:p w14:paraId="3E02E30B" w14:textId="77777777" w:rsidR="002E371F" w:rsidRPr="002E371F" w:rsidRDefault="002E371F">
            <w:pPr>
              <w:autoSpaceDE w:val="0"/>
              <w:autoSpaceDN w:val="0"/>
              <w:rPr>
                <w:sz w:val="22"/>
                <w:szCs w:val="22"/>
                <w:lang w:val="en-GB" w:eastAsia="da-DK"/>
              </w:rPr>
            </w:pPr>
          </w:p>
        </w:tc>
        <w:tc>
          <w:tcPr>
            <w:tcW w:w="950" w:type="pct"/>
            <w:tcBorders>
              <w:top w:val="single" w:sz="6" w:space="0" w:color="auto"/>
              <w:left w:val="single" w:sz="6" w:space="0" w:color="auto"/>
              <w:bottom w:val="single" w:sz="6" w:space="0" w:color="auto"/>
              <w:right w:val="single" w:sz="6" w:space="0" w:color="auto"/>
            </w:tcBorders>
          </w:tcPr>
          <w:p w14:paraId="0FCCDF63" w14:textId="77777777" w:rsidR="002E371F" w:rsidRPr="002E371F" w:rsidRDefault="002E371F">
            <w:pPr>
              <w:autoSpaceDE w:val="0"/>
              <w:autoSpaceDN w:val="0"/>
              <w:rPr>
                <w:rFonts w:eastAsia="Batang"/>
                <w:bCs/>
                <w:sz w:val="22"/>
                <w:szCs w:val="22"/>
                <w:lang w:val="en-GB" w:eastAsia="da-DK"/>
              </w:rPr>
            </w:pPr>
          </w:p>
        </w:tc>
      </w:tr>
      <w:tr w:rsidR="002E371F" w:rsidRPr="002E371F" w14:paraId="3F079A4A"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1390E11F" w14:textId="77777777" w:rsidR="002E371F" w:rsidRPr="002E371F" w:rsidRDefault="002E371F">
            <w:pPr>
              <w:autoSpaceDE w:val="0"/>
              <w:autoSpaceDN w:val="0"/>
              <w:rPr>
                <w:bCs/>
                <w:sz w:val="22"/>
                <w:szCs w:val="22"/>
                <w:lang w:val="en-GB"/>
              </w:rPr>
            </w:pPr>
            <w:r w:rsidRPr="002E371F">
              <w:rPr>
                <w:bCs/>
                <w:sz w:val="22"/>
                <w:szCs w:val="22"/>
                <w:lang w:val="en-GB"/>
              </w:rPr>
              <w:t>Luftveje, thorax og mediastinum</w:t>
            </w:r>
          </w:p>
        </w:tc>
        <w:tc>
          <w:tcPr>
            <w:tcW w:w="595" w:type="pct"/>
            <w:tcBorders>
              <w:top w:val="single" w:sz="6" w:space="0" w:color="auto"/>
              <w:left w:val="single" w:sz="6" w:space="0" w:color="auto"/>
              <w:bottom w:val="single" w:sz="6" w:space="0" w:color="auto"/>
              <w:right w:val="single" w:sz="6" w:space="0" w:color="auto"/>
            </w:tcBorders>
          </w:tcPr>
          <w:p w14:paraId="38192E51" w14:textId="77777777" w:rsidR="002E371F" w:rsidRPr="002E371F" w:rsidRDefault="002E371F">
            <w:pPr>
              <w:autoSpaceDE w:val="0"/>
              <w:autoSpaceDN w:val="0"/>
              <w:rPr>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tcPr>
          <w:p w14:paraId="39129AEA" w14:textId="77777777" w:rsidR="002E371F" w:rsidRPr="002E371F" w:rsidRDefault="002E371F">
            <w:pPr>
              <w:autoSpaceDE w:val="0"/>
              <w:autoSpaceDN w:val="0"/>
              <w:rPr>
                <w:sz w:val="22"/>
                <w:szCs w:val="22"/>
                <w:lang w:val="en-GB" w:eastAsia="da-DK"/>
              </w:rPr>
            </w:pPr>
          </w:p>
        </w:tc>
        <w:tc>
          <w:tcPr>
            <w:tcW w:w="748" w:type="pct"/>
            <w:tcBorders>
              <w:top w:val="single" w:sz="6" w:space="0" w:color="auto"/>
              <w:left w:val="single" w:sz="6" w:space="0" w:color="auto"/>
              <w:bottom w:val="single" w:sz="6" w:space="0" w:color="auto"/>
              <w:right w:val="single" w:sz="6" w:space="0" w:color="auto"/>
            </w:tcBorders>
          </w:tcPr>
          <w:p w14:paraId="19CDD369" w14:textId="77777777" w:rsidR="002E371F" w:rsidRPr="002E371F" w:rsidRDefault="002E371F">
            <w:pPr>
              <w:keepNext/>
              <w:keepLines/>
              <w:rPr>
                <w:sz w:val="22"/>
                <w:szCs w:val="22"/>
                <w:lang w:val="en-GB"/>
              </w:rPr>
            </w:pPr>
          </w:p>
        </w:tc>
        <w:tc>
          <w:tcPr>
            <w:tcW w:w="794" w:type="pct"/>
            <w:tcBorders>
              <w:top w:val="single" w:sz="6" w:space="0" w:color="auto"/>
              <w:left w:val="single" w:sz="6" w:space="0" w:color="auto"/>
              <w:bottom w:val="single" w:sz="6" w:space="0" w:color="auto"/>
              <w:right w:val="single" w:sz="6" w:space="0" w:color="auto"/>
            </w:tcBorders>
            <w:hideMark/>
          </w:tcPr>
          <w:p w14:paraId="083412CD" w14:textId="77777777" w:rsidR="002E371F" w:rsidRPr="002E371F" w:rsidRDefault="002E371F">
            <w:pPr>
              <w:autoSpaceDE w:val="0"/>
              <w:autoSpaceDN w:val="0"/>
              <w:rPr>
                <w:sz w:val="22"/>
                <w:szCs w:val="22"/>
                <w:lang w:val="en-GB" w:eastAsia="da-DK"/>
              </w:rPr>
            </w:pPr>
            <w:r w:rsidRPr="002E371F">
              <w:rPr>
                <w:sz w:val="22"/>
                <w:szCs w:val="22"/>
                <w:lang w:val="en-GB"/>
              </w:rPr>
              <w:t>Epistaxis</w:t>
            </w:r>
          </w:p>
        </w:tc>
        <w:tc>
          <w:tcPr>
            <w:tcW w:w="950" w:type="pct"/>
            <w:tcBorders>
              <w:top w:val="single" w:sz="6" w:space="0" w:color="auto"/>
              <w:left w:val="single" w:sz="6" w:space="0" w:color="auto"/>
              <w:bottom w:val="single" w:sz="6" w:space="0" w:color="auto"/>
              <w:right w:val="single" w:sz="6" w:space="0" w:color="auto"/>
            </w:tcBorders>
            <w:hideMark/>
          </w:tcPr>
          <w:p w14:paraId="50C20A07" w14:textId="77777777" w:rsidR="002E371F" w:rsidRPr="002E371F" w:rsidRDefault="002E371F">
            <w:pPr>
              <w:autoSpaceDE w:val="0"/>
              <w:autoSpaceDN w:val="0"/>
              <w:rPr>
                <w:rFonts w:eastAsia="Batang"/>
                <w:bCs/>
                <w:sz w:val="22"/>
                <w:szCs w:val="22"/>
                <w:lang w:val="en-GB" w:eastAsia="da-DK"/>
              </w:rPr>
            </w:pPr>
            <w:r w:rsidRPr="002E371F">
              <w:rPr>
                <w:sz w:val="22"/>
                <w:szCs w:val="22"/>
                <w:lang w:val="en-GB"/>
              </w:rPr>
              <w:t>Eosinofil pneumoni</w:t>
            </w:r>
          </w:p>
        </w:tc>
      </w:tr>
      <w:tr w:rsidR="002E371F" w:rsidRPr="002E371F" w14:paraId="6E80FA37"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21B6EA5E" w14:textId="77777777" w:rsidR="002E371F" w:rsidRPr="002E371F" w:rsidRDefault="002E371F">
            <w:pPr>
              <w:autoSpaceDE w:val="0"/>
              <w:autoSpaceDN w:val="0"/>
              <w:rPr>
                <w:bCs/>
                <w:sz w:val="22"/>
                <w:szCs w:val="22"/>
                <w:u w:val="single"/>
                <w:lang w:val="en-GB" w:eastAsia="da-DK"/>
              </w:rPr>
            </w:pPr>
            <w:r w:rsidRPr="002E371F">
              <w:rPr>
                <w:bCs/>
                <w:sz w:val="22"/>
                <w:szCs w:val="22"/>
                <w:lang w:val="en-GB"/>
              </w:rPr>
              <w:t>Mave-tarm-kanalen</w:t>
            </w:r>
          </w:p>
        </w:tc>
        <w:tc>
          <w:tcPr>
            <w:tcW w:w="595" w:type="pct"/>
            <w:tcBorders>
              <w:top w:val="single" w:sz="6" w:space="0" w:color="auto"/>
              <w:left w:val="single" w:sz="6" w:space="0" w:color="auto"/>
              <w:bottom w:val="single" w:sz="6" w:space="0" w:color="auto"/>
              <w:right w:val="single" w:sz="6" w:space="0" w:color="auto"/>
            </w:tcBorders>
            <w:hideMark/>
          </w:tcPr>
          <w:p w14:paraId="0149D7B1" w14:textId="77777777" w:rsidR="002E371F" w:rsidRPr="002E371F" w:rsidRDefault="002E371F">
            <w:pPr>
              <w:keepNext/>
              <w:keepLines/>
              <w:numPr>
                <w:ilvl w:val="12"/>
                <w:numId w:val="0"/>
              </w:numPr>
              <w:rPr>
                <w:sz w:val="22"/>
                <w:szCs w:val="22"/>
                <w:lang w:val="en-GB" w:eastAsia="da-DK"/>
              </w:rPr>
            </w:pPr>
            <w:r w:rsidRPr="002E371F">
              <w:rPr>
                <w:sz w:val="22"/>
                <w:szCs w:val="22"/>
                <w:lang w:val="en-GB"/>
              </w:rPr>
              <w:t>Diarré</w:t>
            </w:r>
          </w:p>
        </w:tc>
        <w:tc>
          <w:tcPr>
            <w:tcW w:w="881" w:type="pct"/>
            <w:tcBorders>
              <w:top w:val="single" w:sz="6" w:space="0" w:color="auto"/>
              <w:left w:val="single" w:sz="6" w:space="0" w:color="auto"/>
              <w:bottom w:val="single" w:sz="6" w:space="0" w:color="auto"/>
              <w:right w:val="single" w:sz="6" w:space="0" w:color="auto"/>
            </w:tcBorders>
            <w:hideMark/>
          </w:tcPr>
          <w:p w14:paraId="08E455FB" w14:textId="77777777" w:rsidR="002E371F" w:rsidRPr="002E371F" w:rsidRDefault="002E371F">
            <w:pPr>
              <w:keepNext/>
              <w:keepLines/>
              <w:numPr>
                <w:ilvl w:val="12"/>
                <w:numId w:val="0"/>
              </w:numPr>
              <w:rPr>
                <w:sz w:val="22"/>
                <w:szCs w:val="22"/>
                <w:lang w:eastAsia="da-DK"/>
              </w:rPr>
            </w:pPr>
            <w:r w:rsidRPr="002E371F">
              <w:rPr>
                <w:sz w:val="22"/>
                <w:szCs w:val="22"/>
              </w:rPr>
              <w:t>Abdominale smerter, opkastning, obstipation, kvalme, dyspepsi</w:t>
            </w:r>
          </w:p>
        </w:tc>
        <w:tc>
          <w:tcPr>
            <w:tcW w:w="748" w:type="pct"/>
            <w:tcBorders>
              <w:top w:val="single" w:sz="6" w:space="0" w:color="auto"/>
              <w:left w:val="single" w:sz="6" w:space="0" w:color="auto"/>
              <w:bottom w:val="single" w:sz="6" w:space="0" w:color="auto"/>
              <w:right w:val="single" w:sz="6" w:space="0" w:color="auto"/>
            </w:tcBorders>
            <w:hideMark/>
          </w:tcPr>
          <w:p w14:paraId="3AC325E6" w14:textId="77777777" w:rsidR="002E371F" w:rsidRPr="002E371F" w:rsidRDefault="002E371F">
            <w:pPr>
              <w:keepNext/>
              <w:keepLines/>
              <w:numPr>
                <w:ilvl w:val="12"/>
                <w:numId w:val="0"/>
              </w:numPr>
              <w:rPr>
                <w:sz w:val="22"/>
                <w:szCs w:val="22"/>
                <w:lang w:eastAsia="da-DK"/>
              </w:rPr>
            </w:pPr>
            <w:r w:rsidRPr="002E371F">
              <w:rPr>
                <w:sz w:val="22"/>
                <w:szCs w:val="22"/>
              </w:rPr>
              <w:t xml:space="preserve"> </w:t>
            </w:r>
          </w:p>
        </w:tc>
        <w:tc>
          <w:tcPr>
            <w:tcW w:w="794" w:type="pct"/>
            <w:tcBorders>
              <w:top w:val="single" w:sz="6" w:space="0" w:color="auto"/>
              <w:left w:val="single" w:sz="6" w:space="0" w:color="auto"/>
              <w:bottom w:val="single" w:sz="6" w:space="0" w:color="auto"/>
              <w:right w:val="single" w:sz="6" w:space="0" w:color="auto"/>
            </w:tcBorders>
            <w:hideMark/>
          </w:tcPr>
          <w:p w14:paraId="6B91B1DF" w14:textId="77777777" w:rsidR="002E371F" w:rsidRPr="002E371F" w:rsidRDefault="002E371F">
            <w:pPr>
              <w:autoSpaceDE w:val="0"/>
              <w:autoSpaceDN w:val="0"/>
              <w:rPr>
                <w:sz w:val="22"/>
                <w:szCs w:val="22"/>
                <w:lang w:val="en-GB" w:eastAsia="da-DK"/>
              </w:rPr>
            </w:pPr>
            <w:r w:rsidRPr="002E371F">
              <w:rPr>
                <w:sz w:val="22"/>
                <w:szCs w:val="22"/>
                <w:lang w:val="en-GB"/>
              </w:rPr>
              <w:t>Stomatitis</w:t>
            </w:r>
          </w:p>
        </w:tc>
        <w:tc>
          <w:tcPr>
            <w:tcW w:w="950" w:type="pct"/>
            <w:tcBorders>
              <w:top w:val="single" w:sz="6" w:space="0" w:color="auto"/>
              <w:left w:val="single" w:sz="6" w:space="0" w:color="auto"/>
              <w:bottom w:val="single" w:sz="6" w:space="0" w:color="auto"/>
              <w:right w:val="single" w:sz="6" w:space="0" w:color="auto"/>
            </w:tcBorders>
          </w:tcPr>
          <w:p w14:paraId="4F619AEB" w14:textId="77777777" w:rsidR="002E371F" w:rsidRPr="002E371F" w:rsidRDefault="002E371F">
            <w:pPr>
              <w:autoSpaceDE w:val="0"/>
              <w:autoSpaceDN w:val="0"/>
              <w:rPr>
                <w:rFonts w:eastAsia="Batang"/>
                <w:bCs/>
                <w:sz w:val="22"/>
                <w:szCs w:val="22"/>
                <w:lang w:val="en-GB" w:eastAsia="da-DK"/>
              </w:rPr>
            </w:pPr>
          </w:p>
        </w:tc>
      </w:tr>
      <w:tr w:rsidR="002E371F" w:rsidRPr="002E371F" w14:paraId="4B3CFBC4"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650C0FCE" w14:textId="77777777" w:rsidR="002E371F" w:rsidRPr="002E371F" w:rsidRDefault="002E371F">
            <w:pPr>
              <w:autoSpaceDE w:val="0"/>
              <w:autoSpaceDN w:val="0"/>
              <w:rPr>
                <w:bCs/>
                <w:sz w:val="22"/>
                <w:szCs w:val="22"/>
                <w:u w:val="single"/>
                <w:lang w:val="en-GB" w:eastAsia="da-DK"/>
              </w:rPr>
            </w:pPr>
            <w:r w:rsidRPr="002E371F">
              <w:rPr>
                <w:bCs/>
                <w:sz w:val="22"/>
                <w:szCs w:val="22"/>
                <w:lang w:val="en-GB"/>
              </w:rPr>
              <w:t>Lever og galdeveje</w:t>
            </w:r>
          </w:p>
        </w:tc>
        <w:tc>
          <w:tcPr>
            <w:tcW w:w="595" w:type="pct"/>
            <w:tcBorders>
              <w:top w:val="single" w:sz="6" w:space="0" w:color="auto"/>
              <w:left w:val="single" w:sz="6" w:space="0" w:color="auto"/>
              <w:bottom w:val="single" w:sz="6" w:space="0" w:color="auto"/>
              <w:right w:val="single" w:sz="6" w:space="0" w:color="auto"/>
            </w:tcBorders>
          </w:tcPr>
          <w:p w14:paraId="1AC74D8C" w14:textId="77777777" w:rsidR="002E371F" w:rsidRPr="002E371F" w:rsidRDefault="002E371F">
            <w:pPr>
              <w:autoSpaceDE w:val="0"/>
              <w:autoSpaceDN w:val="0"/>
              <w:rPr>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tcPr>
          <w:p w14:paraId="6AF6A310" w14:textId="77777777" w:rsidR="002E371F" w:rsidRPr="002E371F" w:rsidRDefault="002E371F">
            <w:pPr>
              <w:autoSpaceDE w:val="0"/>
              <w:autoSpaceDN w:val="0"/>
              <w:rPr>
                <w:sz w:val="22"/>
                <w:szCs w:val="22"/>
                <w:lang w:val="en-GB" w:eastAsia="da-DK"/>
              </w:rPr>
            </w:pPr>
          </w:p>
        </w:tc>
        <w:tc>
          <w:tcPr>
            <w:tcW w:w="748" w:type="pct"/>
            <w:tcBorders>
              <w:top w:val="single" w:sz="6" w:space="0" w:color="auto"/>
              <w:left w:val="single" w:sz="6" w:space="0" w:color="auto"/>
              <w:bottom w:val="single" w:sz="6" w:space="0" w:color="auto"/>
              <w:right w:val="single" w:sz="6" w:space="0" w:color="auto"/>
            </w:tcBorders>
          </w:tcPr>
          <w:p w14:paraId="12DA874A" w14:textId="77777777" w:rsidR="002E371F" w:rsidRPr="002E371F" w:rsidRDefault="002E371F">
            <w:pPr>
              <w:autoSpaceDE w:val="0"/>
              <w:autoSpaceDN w:val="0"/>
              <w:rPr>
                <w:sz w:val="22"/>
                <w:szCs w:val="22"/>
                <w:lang w:val="en-GB" w:eastAsia="da-DK"/>
              </w:rPr>
            </w:pPr>
          </w:p>
        </w:tc>
        <w:tc>
          <w:tcPr>
            <w:tcW w:w="794" w:type="pct"/>
            <w:tcBorders>
              <w:top w:val="single" w:sz="6" w:space="0" w:color="auto"/>
              <w:left w:val="single" w:sz="6" w:space="0" w:color="auto"/>
              <w:bottom w:val="single" w:sz="6" w:space="0" w:color="auto"/>
              <w:right w:val="single" w:sz="6" w:space="0" w:color="auto"/>
            </w:tcBorders>
          </w:tcPr>
          <w:p w14:paraId="6484D9B4" w14:textId="77777777" w:rsidR="002E371F" w:rsidRPr="002E371F" w:rsidRDefault="002E371F">
            <w:pPr>
              <w:autoSpaceDE w:val="0"/>
              <w:autoSpaceDN w:val="0"/>
              <w:rPr>
                <w:sz w:val="22"/>
                <w:szCs w:val="22"/>
                <w:lang w:val="en-GB" w:eastAsia="da-DK"/>
              </w:rPr>
            </w:pPr>
          </w:p>
        </w:tc>
        <w:tc>
          <w:tcPr>
            <w:tcW w:w="950" w:type="pct"/>
            <w:tcBorders>
              <w:top w:val="single" w:sz="6" w:space="0" w:color="auto"/>
              <w:left w:val="single" w:sz="6" w:space="0" w:color="auto"/>
              <w:bottom w:val="single" w:sz="6" w:space="0" w:color="auto"/>
              <w:right w:val="single" w:sz="6" w:space="0" w:color="auto"/>
            </w:tcBorders>
            <w:hideMark/>
          </w:tcPr>
          <w:p w14:paraId="57A0B497" w14:textId="77777777" w:rsidR="002E371F" w:rsidRPr="002E371F" w:rsidRDefault="002E371F">
            <w:pPr>
              <w:autoSpaceDE w:val="0"/>
              <w:autoSpaceDN w:val="0"/>
              <w:rPr>
                <w:rFonts w:eastAsia="Batang"/>
                <w:bCs/>
                <w:sz w:val="22"/>
                <w:szCs w:val="22"/>
                <w:lang w:val="en-GB" w:eastAsia="da-DK"/>
              </w:rPr>
            </w:pPr>
            <w:r w:rsidRPr="002E371F">
              <w:rPr>
                <w:rFonts w:eastAsia="Batang"/>
                <w:bCs/>
                <w:sz w:val="22"/>
                <w:szCs w:val="22"/>
                <w:lang w:val="en-GB"/>
              </w:rPr>
              <w:t>Hepatitis*, gulsot</w:t>
            </w:r>
            <w:r w:rsidRPr="002E371F">
              <w:rPr>
                <w:sz w:val="22"/>
                <w:szCs w:val="22"/>
                <w:lang w:val="en-GB"/>
              </w:rPr>
              <w:t xml:space="preserve"> </w:t>
            </w:r>
          </w:p>
        </w:tc>
      </w:tr>
      <w:tr w:rsidR="002E371F" w:rsidRPr="002E371F" w14:paraId="3896D898"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7D937227" w14:textId="77777777" w:rsidR="002E371F" w:rsidRPr="002E371F" w:rsidRDefault="002E371F">
            <w:pPr>
              <w:autoSpaceDE w:val="0"/>
              <w:autoSpaceDN w:val="0"/>
              <w:rPr>
                <w:bCs/>
                <w:sz w:val="22"/>
                <w:szCs w:val="22"/>
                <w:u w:val="single"/>
                <w:lang w:val="en-GB" w:eastAsia="da-DK"/>
              </w:rPr>
            </w:pPr>
            <w:r w:rsidRPr="002E371F">
              <w:rPr>
                <w:bCs/>
                <w:sz w:val="22"/>
                <w:szCs w:val="22"/>
                <w:lang w:val="en-GB"/>
              </w:rPr>
              <w:t>Hud og subkutane væv</w:t>
            </w:r>
          </w:p>
        </w:tc>
        <w:tc>
          <w:tcPr>
            <w:tcW w:w="595" w:type="pct"/>
            <w:tcBorders>
              <w:top w:val="single" w:sz="6" w:space="0" w:color="auto"/>
              <w:left w:val="single" w:sz="6" w:space="0" w:color="auto"/>
              <w:bottom w:val="single" w:sz="6" w:space="0" w:color="auto"/>
              <w:right w:val="single" w:sz="6" w:space="0" w:color="auto"/>
            </w:tcBorders>
          </w:tcPr>
          <w:p w14:paraId="1C8F4E36" w14:textId="77777777" w:rsidR="002E371F" w:rsidRPr="002E371F" w:rsidRDefault="002E371F">
            <w:pPr>
              <w:autoSpaceDE w:val="0"/>
              <w:autoSpaceDN w:val="0"/>
              <w:rPr>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hideMark/>
          </w:tcPr>
          <w:p w14:paraId="40B833D3" w14:textId="77777777" w:rsidR="002E371F" w:rsidRPr="002E371F" w:rsidRDefault="002E371F">
            <w:pPr>
              <w:autoSpaceDE w:val="0"/>
              <w:autoSpaceDN w:val="0"/>
              <w:rPr>
                <w:sz w:val="22"/>
                <w:szCs w:val="22"/>
                <w:lang w:val="en-GB" w:eastAsia="da-DK"/>
              </w:rPr>
            </w:pPr>
            <w:r w:rsidRPr="002E371F">
              <w:rPr>
                <w:sz w:val="22"/>
                <w:szCs w:val="22"/>
                <w:lang w:val="en-GB"/>
              </w:rPr>
              <w:t>Udslæt, pruritus</w:t>
            </w:r>
          </w:p>
        </w:tc>
        <w:tc>
          <w:tcPr>
            <w:tcW w:w="748" w:type="pct"/>
            <w:tcBorders>
              <w:top w:val="single" w:sz="6" w:space="0" w:color="auto"/>
              <w:left w:val="single" w:sz="6" w:space="0" w:color="auto"/>
              <w:bottom w:val="single" w:sz="6" w:space="0" w:color="auto"/>
              <w:right w:val="single" w:sz="6" w:space="0" w:color="auto"/>
            </w:tcBorders>
          </w:tcPr>
          <w:p w14:paraId="75A9070E" w14:textId="77777777" w:rsidR="002E371F" w:rsidRPr="002E371F" w:rsidRDefault="002E371F">
            <w:pPr>
              <w:autoSpaceDE w:val="0"/>
              <w:autoSpaceDN w:val="0"/>
              <w:rPr>
                <w:sz w:val="22"/>
                <w:szCs w:val="22"/>
                <w:lang w:val="en-GB" w:eastAsia="da-DK"/>
              </w:rPr>
            </w:pPr>
            <w:r w:rsidRPr="002E371F">
              <w:rPr>
                <w:sz w:val="22"/>
                <w:szCs w:val="22"/>
                <w:lang w:val="en-GB"/>
              </w:rPr>
              <w:t>Erythema multiforme*, urticaria, makulo-papuløst udslæt*</w:t>
            </w:r>
          </w:p>
          <w:p w14:paraId="7080A961" w14:textId="77777777" w:rsidR="002E371F" w:rsidRPr="002E371F" w:rsidRDefault="002E371F">
            <w:pPr>
              <w:autoSpaceDE w:val="0"/>
              <w:autoSpaceDN w:val="0"/>
              <w:rPr>
                <w:sz w:val="22"/>
                <w:szCs w:val="22"/>
                <w:lang w:val="en-GB" w:eastAsia="da-DK"/>
              </w:rPr>
            </w:pPr>
          </w:p>
        </w:tc>
        <w:tc>
          <w:tcPr>
            <w:tcW w:w="794" w:type="pct"/>
            <w:tcBorders>
              <w:top w:val="single" w:sz="6" w:space="0" w:color="auto"/>
              <w:left w:val="single" w:sz="6" w:space="0" w:color="auto"/>
              <w:bottom w:val="single" w:sz="6" w:space="0" w:color="auto"/>
              <w:right w:val="single" w:sz="6" w:space="0" w:color="auto"/>
            </w:tcBorders>
            <w:hideMark/>
          </w:tcPr>
          <w:p w14:paraId="12EEF3D7" w14:textId="77777777" w:rsidR="002E371F" w:rsidRPr="002E371F" w:rsidRDefault="002E371F">
            <w:pPr>
              <w:autoSpaceDE w:val="0"/>
              <w:autoSpaceDN w:val="0"/>
              <w:rPr>
                <w:sz w:val="22"/>
                <w:szCs w:val="22"/>
                <w:lang w:val="en-GB" w:eastAsia="da-DK"/>
              </w:rPr>
            </w:pPr>
            <w:r w:rsidRPr="002E371F">
              <w:rPr>
                <w:sz w:val="22"/>
                <w:szCs w:val="22"/>
                <w:lang w:val="en-GB"/>
              </w:rPr>
              <w:t xml:space="preserve">Toksisk epidermal nekrolyse* </w:t>
            </w:r>
          </w:p>
        </w:tc>
        <w:tc>
          <w:tcPr>
            <w:tcW w:w="950" w:type="pct"/>
            <w:tcBorders>
              <w:top w:val="single" w:sz="6" w:space="0" w:color="auto"/>
              <w:left w:val="single" w:sz="6" w:space="0" w:color="auto"/>
              <w:bottom w:val="single" w:sz="6" w:space="0" w:color="auto"/>
              <w:right w:val="single" w:sz="6" w:space="0" w:color="auto"/>
            </w:tcBorders>
            <w:hideMark/>
          </w:tcPr>
          <w:p w14:paraId="740D2D7C" w14:textId="77777777" w:rsidR="002E371F" w:rsidRPr="002E371F" w:rsidRDefault="002E371F">
            <w:pPr>
              <w:autoSpaceDE w:val="0"/>
              <w:autoSpaceDN w:val="0"/>
              <w:rPr>
                <w:rFonts w:eastAsia="Batang"/>
                <w:bCs/>
                <w:sz w:val="22"/>
                <w:szCs w:val="22"/>
                <w:lang w:eastAsia="da-DK"/>
              </w:rPr>
            </w:pPr>
            <w:r w:rsidRPr="002E371F">
              <w:rPr>
                <w:sz w:val="22"/>
                <w:szCs w:val="22"/>
              </w:rPr>
              <w:t xml:space="preserve">Stevens-Johnsons syndrom*, eksfoliativ dermatitis, lægemiddel-reaktion med eosinofili og systemiske symptomer (DRESS)*, akut generaliseret eksantematøs pustulose (AGEP)*, </w:t>
            </w:r>
            <w:r w:rsidRPr="002E371F">
              <w:rPr>
                <w:sz w:val="22"/>
                <w:szCs w:val="22"/>
              </w:rPr>
              <w:lastRenderedPageBreak/>
              <w:t>bulløs derma-titis, purpura</w:t>
            </w:r>
          </w:p>
        </w:tc>
      </w:tr>
      <w:tr w:rsidR="002E371F" w:rsidRPr="002E371F" w14:paraId="2B4ECDB1"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0E002473" w14:textId="77777777" w:rsidR="002E371F" w:rsidRPr="002E371F" w:rsidRDefault="002E371F">
            <w:pPr>
              <w:autoSpaceDE w:val="0"/>
              <w:autoSpaceDN w:val="0"/>
              <w:rPr>
                <w:bCs/>
                <w:sz w:val="22"/>
                <w:szCs w:val="22"/>
                <w:u w:val="single"/>
                <w:lang w:eastAsia="da-DK"/>
              </w:rPr>
            </w:pPr>
            <w:r w:rsidRPr="002E371F">
              <w:rPr>
                <w:bCs/>
                <w:sz w:val="22"/>
                <w:szCs w:val="22"/>
              </w:rPr>
              <w:lastRenderedPageBreak/>
              <w:t>Knogler, led, muskler og bindevæv</w:t>
            </w:r>
          </w:p>
        </w:tc>
        <w:tc>
          <w:tcPr>
            <w:tcW w:w="595" w:type="pct"/>
            <w:tcBorders>
              <w:top w:val="single" w:sz="6" w:space="0" w:color="auto"/>
              <w:left w:val="single" w:sz="6" w:space="0" w:color="auto"/>
              <w:bottom w:val="single" w:sz="6" w:space="0" w:color="auto"/>
              <w:right w:val="single" w:sz="6" w:space="0" w:color="auto"/>
            </w:tcBorders>
          </w:tcPr>
          <w:p w14:paraId="36831277" w14:textId="77777777" w:rsidR="002E371F" w:rsidRPr="002E371F" w:rsidRDefault="002E371F">
            <w:pPr>
              <w:autoSpaceDE w:val="0"/>
              <w:autoSpaceDN w:val="0"/>
              <w:rPr>
                <w:sz w:val="22"/>
                <w:szCs w:val="22"/>
                <w:lang w:eastAsia="da-DK"/>
              </w:rPr>
            </w:pPr>
          </w:p>
        </w:tc>
        <w:tc>
          <w:tcPr>
            <w:tcW w:w="881" w:type="pct"/>
            <w:tcBorders>
              <w:top w:val="single" w:sz="6" w:space="0" w:color="auto"/>
              <w:left w:val="single" w:sz="6" w:space="0" w:color="auto"/>
              <w:bottom w:val="single" w:sz="6" w:space="0" w:color="auto"/>
              <w:right w:val="single" w:sz="6" w:space="0" w:color="auto"/>
            </w:tcBorders>
          </w:tcPr>
          <w:p w14:paraId="5D682C08" w14:textId="77777777" w:rsidR="002E371F" w:rsidRPr="002E371F" w:rsidRDefault="002E371F">
            <w:pPr>
              <w:autoSpaceDE w:val="0"/>
              <w:autoSpaceDN w:val="0"/>
              <w:rPr>
                <w:sz w:val="22"/>
                <w:szCs w:val="22"/>
                <w:lang w:eastAsia="da-DK"/>
              </w:rPr>
            </w:pPr>
          </w:p>
        </w:tc>
        <w:tc>
          <w:tcPr>
            <w:tcW w:w="748" w:type="pct"/>
            <w:tcBorders>
              <w:top w:val="single" w:sz="6" w:space="0" w:color="auto"/>
              <w:left w:val="single" w:sz="6" w:space="0" w:color="auto"/>
              <w:bottom w:val="single" w:sz="6" w:space="0" w:color="auto"/>
              <w:right w:val="single" w:sz="6" w:space="0" w:color="auto"/>
            </w:tcBorders>
            <w:hideMark/>
          </w:tcPr>
          <w:p w14:paraId="006E0FB8" w14:textId="77777777" w:rsidR="002E371F" w:rsidRPr="002E371F" w:rsidRDefault="002E371F">
            <w:pPr>
              <w:autoSpaceDE w:val="0"/>
              <w:autoSpaceDN w:val="0"/>
              <w:rPr>
                <w:sz w:val="22"/>
                <w:szCs w:val="22"/>
                <w:lang w:val="en-GB" w:eastAsia="da-DK"/>
              </w:rPr>
            </w:pPr>
            <w:r w:rsidRPr="002E371F">
              <w:rPr>
                <w:sz w:val="22"/>
                <w:szCs w:val="22"/>
                <w:lang w:val="en-GB"/>
              </w:rPr>
              <w:t>Artralgi, myalgi</w:t>
            </w:r>
          </w:p>
        </w:tc>
        <w:tc>
          <w:tcPr>
            <w:tcW w:w="794" w:type="pct"/>
            <w:tcBorders>
              <w:top w:val="single" w:sz="6" w:space="0" w:color="auto"/>
              <w:left w:val="single" w:sz="6" w:space="0" w:color="auto"/>
              <w:bottom w:val="single" w:sz="6" w:space="0" w:color="auto"/>
              <w:right w:val="single" w:sz="6" w:space="0" w:color="auto"/>
            </w:tcBorders>
          </w:tcPr>
          <w:p w14:paraId="195DAD09" w14:textId="77777777" w:rsidR="002E371F" w:rsidRPr="002E371F" w:rsidRDefault="002E371F">
            <w:pPr>
              <w:autoSpaceDE w:val="0"/>
              <w:autoSpaceDN w:val="0"/>
              <w:rPr>
                <w:sz w:val="22"/>
                <w:szCs w:val="22"/>
                <w:lang w:val="en-GB" w:eastAsia="da-DK"/>
              </w:rPr>
            </w:pPr>
          </w:p>
        </w:tc>
        <w:tc>
          <w:tcPr>
            <w:tcW w:w="950" w:type="pct"/>
            <w:tcBorders>
              <w:top w:val="single" w:sz="6" w:space="0" w:color="auto"/>
              <w:left w:val="single" w:sz="6" w:space="0" w:color="auto"/>
              <w:bottom w:val="single" w:sz="6" w:space="0" w:color="auto"/>
              <w:right w:val="single" w:sz="6" w:space="0" w:color="auto"/>
            </w:tcBorders>
          </w:tcPr>
          <w:p w14:paraId="39C3E5AC" w14:textId="77777777" w:rsidR="002E371F" w:rsidRPr="002E371F" w:rsidRDefault="002E371F">
            <w:pPr>
              <w:autoSpaceDE w:val="0"/>
              <w:autoSpaceDN w:val="0"/>
              <w:rPr>
                <w:rFonts w:eastAsia="Batang"/>
                <w:bCs/>
                <w:sz w:val="22"/>
                <w:szCs w:val="22"/>
                <w:lang w:val="en-GB" w:eastAsia="da-DK"/>
              </w:rPr>
            </w:pPr>
          </w:p>
        </w:tc>
      </w:tr>
      <w:tr w:rsidR="002E371F" w:rsidRPr="002E371F" w14:paraId="7A2AB400"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0935C523" w14:textId="77777777" w:rsidR="002E371F" w:rsidRPr="002E371F" w:rsidRDefault="002E371F">
            <w:pPr>
              <w:autoSpaceDE w:val="0"/>
              <w:autoSpaceDN w:val="0"/>
              <w:rPr>
                <w:bCs/>
                <w:sz w:val="22"/>
                <w:szCs w:val="22"/>
                <w:u w:val="single"/>
                <w:lang w:val="en-GB" w:eastAsia="da-DK"/>
              </w:rPr>
            </w:pPr>
            <w:r w:rsidRPr="002E371F">
              <w:rPr>
                <w:bCs/>
                <w:sz w:val="22"/>
                <w:szCs w:val="22"/>
                <w:lang w:val="en-GB"/>
              </w:rPr>
              <w:t>Nyrer og urinveje</w:t>
            </w:r>
          </w:p>
        </w:tc>
        <w:tc>
          <w:tcPr>
            <w:tcW w:w="595" w:type="pct"/>
            <w:tcBorders>
              <w:top w:val="single" w:sz="6" w:space="0" w:color="auto"/>
              <w:left w:val="single" w:sz="6" w:space="0" w:color="auto"/>
              <w:bottom w:val="single" w:sz="6" w:space="0" w:color="auto"/>
              <w:right w:val="single" w:sz="6" w:space="0" w:color="auto"/>
            </w:tcBorders>
          </w:tcPr>
          <w:p w14:paraId="6ED88E47" w14:textId="77777777" w:rsidR="002E371F" w:rsidRPr="002E371F" w:rsidRDefault="002E371F">
            <w:pPr>
              <w:autoSpaceDE w:val="0"/>
              <w:autoSpaceDN w:val="0"/>
              <w:rPr>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hideMark/>
          </w:tcPr>
          <w:p w14:paraId="04D72D56" w14:textId="77777777" w:rsidR="002E371F" w:rsidRPr="002E371F" w:rsidRDefault="002E371F">
            <w:pPr>
              <w:rPr>
                <w:sz w:val="22"/>
                <w:szCs w:val="22"/>
                <w:lang w:val="en-GB" w:eastAsia="da-DK"/>
              </w:rPr>
            </w:pPr>
          </w:p>
        </w:tc>
        <w:tc>
          <w:tcPr>
            <w:tcW w:w="748" w:type="pct"/>
            <w:tcBorders>
              <w:top w:val="single" w:sz="6" w:space="0" w:color="auto"/>
              <w:left w:val="single" w:sz="6" w:space="0" w:color="auto"/>
              <w:bottom w:val="single" w:sz="6" w:space="0" w:color="auto"/>
              <w:right w:val="single" w:sz="6" w:space="0" w:color="auto"/>
            </w:tcBorders>
          </w:tcPr>
          <w:p w14:paraId="4DF2F350" w14:textId="77777777" w:rsidR="002E371F" w:rsidRPr="002E371F" w:rsidRDefault="002E371F">
            <w:pPr>
              <w:autoSpaceDE w:val="0"/>
              <w:autoSpaceDN w:val="0"/>
              <w:rPr>
                <w:sz w:val="22"/>
                <w:szCs w:val="22"/>
                <w:lang w:val="en-GB" w:eastAsia="da-DK"/>
              </w:rPr>
            </w:pPr>
          </w:p>
        </w:tc>
        <w:tc>
          <w:tcPr>
            <w:tcW w:w="794" w:type="pct"/>
            <w:tcBorders>
              <w:top w:val="single" w:sz="6" w:space="0" w:color="auto"/>
              <w:left w:val="single" w:sz="6" w:space="0" w:color="auto"/>
              <w:bottom w:val="single" w:sz="6" w:space="0" w:color="auto"/>
              <w:right w:val="single" w:sz="6" w:space="0" w:color="auto"/>
            </w:tcBorders>
          </w:tcPr>
          <w:p w14:paraId="7C6D314E" w14:textId="77777777" w:rsidR="002E371F" w:rsidRPr="002E371F" w:rsidRDefault="002E371F">
            <w:pPr>
              <w:autoSpaceDE w:val="0"/>
              <w:autoSpaceDN w:val="0"/>
              <w:rPr>
                <w:sz w:val="22"/>
                <w:szCs w:val="22"/>
                <w:lang w:val="en-GB" w:eastAsia="da-DK"/>
              </w:rPr>
            </w:pPr>
          </w:p>
        </w:tc>
        <w:tc>
          <w:tcPr>
            <w:tcW w:w="950" w:type="pct"/>
            <w:tcBorders>
              <w:top w:val="single" w:sz="6" w:space="0" w:color="auto"/>
              <w:left w:val="single" w:sz="6" w:space="0" w:color="auto"/>
              <w:bottom w:val="single" w:sz="6" w:space="0" w:color="auto"/>
              <w:right w:val="single" w:sz="6" w:space="0" w:color="auto"/>
            </w:tcBorders>
            <w:hideMark/>
          </w:tcPr>
          <w:p w14:paraId="04097719" w14:textId="77777777" w:rsidR="002E371F" w:rsidRPr="002E371F" w:rsidRDefault="002E371F">
            <w:pPr>
              <w:autoSpaceDE w:val="0"/>
              <w:autoSpaceDN w:val="0"/>
              <w:rPr>
                <w:rFonts w:eastAsia="Batang"/>
                <w:bCs/>
                <w:sz w:val="22"/>
                <w:szCs w:val="22"/>
                <w:lang w:val="en-GB" w:eastAsia="da-DK"/>
              </w:rPr>
            </w:pPr>
            <w:r w:rsidRPr="002E371F">
              <w:rPr>
                <w:sz w:val="22"/>
                <w:szCs w:val="22"/>
                <w:lang w:val="en-GB"/>
              </w:rPr>
              <w:t>Nyresvigt, tubulointerstitiel nefritis*</w:t>
            </w:r>
          </w:p>
        </w:tc>
      </w:tr>
      <w:tr w:rsidR="002E371F" w:rsidRPr="002E371F" w14:paraId="1F8B162D"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53484D80" w14:textId="77777777" w:rsidR="002E371F" w:rsidRPr="002E371F" w:rsidRDefault="002E371F">
            <w:pPr>
              <w:autoSpaceDE w:val="0"/>
              <w:autoSpaceDN w:val="0"/>
              <w:rPr>
                <w:bCs/>
                <w:sz w:val="22"/>
                <w:szCs w:val="22"/>
                <w:u w:val="single"/>
                <w:lang w:eastAsia="da-DK"/>
              </w:rPr>
            </w:pPr>
            <w:r w:rsidRPr="002E371F">
              <w:rPr>
                <w:bCs/>
                <w:sz w:val="22"/>
                <w:szCs w:val="22"/>
              </w:rPr>
              <w:t>Almene symptomer og reaktioner på administrationsstedet</w:t>
            </w:r>
          </w:p>
        </w:tc>
        <w:tc>
          <w:tcPr>
            <w:tcW w:w="595" w:type="pct"/>
            <w:tcBorders>
              <w:top w:val="single" w:sz="6" w:space="0" w:color="auto"/>
              <w:left w:val="single" w:sz="6" w:space="0" w:color="auto"/>
              <w:bottom w:val="single" w:sz="6" w:space="0" w:color="auto"/>
              <w:right w:val="single" w:sz="6" w:space="0" w:color="auto"/>
            </w:tcBorders>
          </w:tcPr>
          <w:p w14:paraId="17D1F7C0" w14:textId="77777777" w:rsidR="002E371F" w:rsidRPr="002E371F" w:rsidRDefault="002E371F">
            <w:pPr>
              <w:autoSpaceDE w:val="0"/>
              <w:autoSpaceDN w:val="0"/>
              <w:rPr>
                <w:sz w:val="22"/>
                <w:szCs w:val="22"/>
                <w:lang w:eastAsia="da-DK"/>
              </w:rPr>
            </w:pPr>
          </w:p>
        </w:tc>
        <w:tc>
          <w:tcPr>
            <w:tcW w:w="881" w:type="pct"/>
            <w:tcBorders>
              <w:top w:val="single" w:sz="6" w:space="0" w:color="auto"/>
              <w:left w:val="single" w:sz="6" w:space="0" w:color="auto"/>
              <w:bottom w:val="single" w:sz="6" w:space="0" w:color="auto"/>
              <w:right w:val="single" w:sz="6" w:space="0" w:color="auto"/>
            </w:tcBorders>
            <w:hideMark/>
          </w:tcPr>
          <w:p w14:paraId="6D1A48D4" w14:textId="77777777" w:rsidR="002E371F" w:rsidRPr="002E371F" w:rsidRDefault="002E371F">
            <w:pPr>
              <w:autoSpaceDE w:val="0"/>
              <w:autoSpaceDN w:val="0"/>
              <w:rPr>
                <w:sz w:val="22"/>
                <w:szCs w:val="22"/>
                <w:lang w:eastAsia="da-DK"/>
              </w:rPr>
            </w:pPr>
            <w:r w:rsidRPr="002E371F">
              <w:rPr>
                <w:sz w:val="22"/>
                <w:szCs w:val="22"/>
              </w:rPr>
              <w:t>Pyreksi,</w:t>
            </w:r>
          </w:p>
          <w:p w14:paraId="2468E32E" w14:textId="77777777" w:rsidR="002E371F" w:rsidRPr="002E371F" w:rsidRDefault="002E371F">
            <w:pPr>
              <w:autoSpaceDE w:val="0"/>
              <w:autoSpaceDN w:val="0"/>
              <w:rPr>
                <w:sz w:val="22"/>
                <w:szCs w:val="22"/>
                <w:lang w:eastAsia="da-DK"/>
              </w:rPr>
            </w:pPr>
            <w:r w:rsidRPr="002E371F">
              <w:rPr>
                <w:sz w:val="22"/>
                <w:szCs w:val="22"/>
              </w:rPr>
              <w:t>reaktion på injektions-stedet</w:t>
            </w:r>
          </w:p>
        </w:tc>
        <w:tc>
          <w:tcPr>
            <w:tcW w:w="748" w:type="pct"/>
            <w:tcBorders>
              <w:top w:val="single" w:sz="6" w:space="0" w:color="auto"/>
              <w:left w:val="single" w:sz="6" w:space="0" w:color="auto"/>
              <w:bottom w:val="single" w:sz="6" w:space="0" w:color="auto"/>
              <w:right w:val="single" w:sz="6" w:space="0" w:color="auto"/>
            </w:tcBorders>
            <w:hideMark/>
          </w:tcPr>
          <w:p w14:paraId="66E0206B" w14:textId="77777777" w:rsidR="002E371F" w:rsidRPr="002E371F" w:rsidRDefault="002E371F">
            <w:pPr>
              <w:autoSpaceDE w:val="0"/>
              <w:autoSpaceDN w:val="0"/>
              <w:rPr>
                <w:sz w:val="22"/>
                <w:szCs w:val="22"/>
                <w:lang w:val="en-GB" w:eastAsia="da-DK"/>
              </w:rPr>
            </w:pPr>
            <w:r w:rsidRPr="002E371F">
              <w:rPr>
                <w:sz w:val="22"/>
                <w:szCs w:val="22"/>
                <w:lang w:val="en-GB"/>
              </w:rPr>
              <w:t>Kulderystelser</w:t>
            </w:r>
          </w:p>
        </w:tc>
        <w:tc>
          <w:tcPr>
            <w:tcW w:w="794" w:type="pct"/>
            <w:tcBorders>
              <w:top w:val="single" w:sz="6" w:space="0" w:color="auto"/>
              <w:left w:val="single" w:sz="6" w:space="0" w:color="auto"/>
              <w:bottom w:val="single" w:sz="6" w:space="0" w:color="auto"/>
              <w:right w:val="single" w:sz="6" w:space="0" w:color="auto"/>
            </w:tcBorders>
          </w:tcPr>
          <w:p w14:paraId="3F48985D" w14:textId="77777777" w:rsidR="002E371F" w:rsidRPr="002E371F" w:rsidRDefault="002E371F">
            <w:pPr>
              <w:autoSpaceDE w:val="0"/>
              <w:autoSpaceDN w:val="0"/>
              <w:rPr>
                <w:sz w:val="22"/>
                <w:szCs w:val="22"/>
                <w:lang w:val="en-GB" w:eastAsia="da-DK"/>
              </w:rPr>
            </w:pPr>
          </w:p>
        </w:tc>
        <w:tc>
          <w:tcPr>
            <w:tcW w:w="950" w:type="pct"/>
            <w:tcBorders>
              <w:top w:val="single" w:sz="6" w:space="0" w:color="auto"/>
              <w:left w:val="single" w:sz="6" w:space="0" w:color="auto"/>
              <w:bottom w:val="single" w:sz="6" w:space="0" w:color="auto"/>
              <w:right w:val="single" w:sz="6" w:space="0" w:color="auto"/>
            </w:tcBorders>
          </w:tcPr>
          <w:p w14:paraId="5F0A0C6A" w14:textId="77777777" w:rsidR="002E371F" w:rsidRPr="002E371F" w:rsidRDefault="002E371F">
            <w:pPr>
              <w:autoSpaceDE w:val="0"/>
              <w:autoSpaceDN w:val="0"/>
              <w:rPr>
                <w:rFonts w:eastAsia="Batang"/>
                <w:bCs/>
                <w:sz w:val="22"/>
                <w:szCs w:val="22"/>
                <w:lang w:val="en-GB" w:eastAsia="da-DK"/>
              </w:rPr>
            </w:pPr>
          </w:p>
        </w:tc>
      </w:tr>
      <w:tr w:rsidR="002E371F" w:rsidRPr="002E371F" w14:paraId="2622E0B8" w14:textId="77777777" w:rsidTr="00C05C94">
        <w:tc>
          <w:tcPr>
            <w:tcW w:w="1032" w:type="pct"/>
            <w:tcBorders>
              <w:top w:val="single" w:sz="6" w:space="0" w:color="auto"/>
              <w:left w:val="single" w:sz="6" w:space="0" w:color="auto"/>
              <w:bottom w:val="single" w:sz="6" w:space="0" w:color="auto"/>
              <w:right w:val="single" w:sz="6" w:space="0" w:color="auto"/>
            </w:tcBorders>
            <w:hideMark/>
          </w:tcPr>
          <w:p w14:paraId="35DE83C1" w14:textId="77777777" w:rsidR="002E371F" w:rsidRPr="002E371F" w:rsidRDefault="002E371F">
            <w:pPr>
              <w:autoSpaceDE w:val="0"/>
              <w:autoSpaceDN w:val="0"/>
              <w:rPr>
                <w:bCs/>
                <w:sz w:val="22"/>
                <w:szCs w:val="22"/>
                <w:lang w:val="en-GB"/>
              </w:rPr>
            </w:pPr>
            <w:r w:rsidRPr="002E371F">
              <w:rPr>
                <w:spacing w:val="-1"/>
                <w:sz w:val="22"/>
                <w:szCs w:val="22"/>
                <w:lang w:val="en-GB"/>
              </w:rPr>
              <w:t>Undersøgelser</w:t>
            </w:r>
          </w:p>
        </w:tc>
        <w:tc>
          <w:tcPr>
            <w:tcW w:w="595" w:type="pct"/>
            <w:tcBorders>
              <w:top w:val="single" w:sz="6" w:space="0" w:color="auto"/>
              <w:left w:val="single" w:sz="6" w:space="0" w:color="auto"/>
              <w:bottom w:val="single" w:sz="6" w:space="0" w:color="auto"/>
              <w:right w:val="single" w:sz="6" w:space="0" w:color="auto"/>
            </w:tcBorders>
          </w:tcPr>
          <w:p w14:paraId="347160ED" w14:textId="77777777" w:rsidR="002E371F" w:rsidRPr="002E371F" w:rsidRDefault="002E371F">
            <w:pPr>
              <w:autoSpaceDE w:val="0"/>
              <w:autoSpaceDN w:val="0"/>
              <w:rPr>
                <w:sz w:val="22"/>
                <w:szCs w:val="22"/>
                <w:lang w:val="en-GB" w:eastAsia="da-DK"/>
              </w:rPr>
            </w:pPr>
          </w:p>
        </w:tc>
        <w:tc>
          <w:tcPr>
            <w:tcW w:w="881" w:type="pct"/>
            <w:tcBorders>
              <w:top w:val="single" w:sz="6" w:space="0" w:color="auto"/>
              <w:left w:val="single" w:sz="6" w:space="0" w:color="auto"/>
              <w:bottom w:val="single" w:sz="6" w:space="0" w:color="auto"/>
              <w:right w:val="single" w:sz="6" w:space="0" w:color="auto"/>
            </w:tcBorders>
            <w:hideMark/>
          </w:tcPr>
          <w:p w14:paraId="7CA02774" w14:textId="77777777" w:rsidR="002E371F" w:rsidRPr="002E371F" w:rsidRDefault="002E371F">
            <w:pPr>
              <w:autoSpaceDE w:val="0"/>
              <w:autoSpaceDN w:val="0"/>
              <w:rPr>
                <w:sz w:val="22"/>
                <w:szCs w:val="22"/>
              </w:rPr>
            </w:pPr>
            <w:r w:rsidRPr="002E371F">
              <w:rPr>
                <w:spacing w:val="-1"/>
                <w:sz w:val="22"/>
                <w:szCs w:val="22"/>
              </w:rPr>
              <w:t xml:space="preserve">Øget alanin-aminotransferase, øget </w:t>
            </w:r>
            <w:r w:rsidRPr="002E371F">
              <w:rPr>
                <w:b/>
                <w:bCs/>
                <w:spacing w:val="-1"/>
                <w:sz w:val="22"/>
                <w:szCs w:val="22"/>
              </w:rPr>
              <w:t>as</w:t>
            </w:r>
            <w:r w:rsidRPr="002E371F">
              <w:rPr>
                <w:spacing w:val="-1"/>
                <w:sz w:val="22"/>
                <w:szCs w:val="22"/>
              </w:rPr>
              <w:t>partat-</w:t>
            </w:r>
            <w:r w:rsidRPr="002E371F">
              <w:rPr>
                <w:b/>
                <w:bCs/>
                <w:spacing w:val="-1"/>
                <w:sz w:val="22"/>
                <w:szCs w:val="22"/>
              </w:rPr>
              <w:t>a</w:t>
            </w:r>
            <w:r w:rsidRPr="002E371F">
              <w:rPr>
                <w:spacing w:val="-1"/>
                <w:sz w:val="22"/>
                <w:szCs w:val="22"/>
              </w:rPr>
              <w:t>mino</w:t>
            </w:r>
            <w:r w:rsidRPr="002E371F">
              <w:rPr>
                <w:b/>
                <w:bCs/>
                <w:spacing w:val="-1"/>
                <w:sz w:val="22"/>
                <w:szCs w:val="22"/>
              </w:rPr>
              <w:t>t</w:t>
            </w:r>
            <w:r w:rsidRPr="002E371F">
              <w:rPr>
                <w:spacing w:val="-1"/>
                <w:sz w:val="22"/>
                <w:szCs w:val="22"/>
              </w:rPr>
              <w:t>ransferase, nedsat total</w:t>
            </w:r>
            <w:r w:rsidRPr="002E371F">
              <w:rPr>
                <w:spacing w:val="-1"/>
                <w:sz w:val="22"/>
                <w:szCs w:val="22"/>
              </w:rPr>
              <w:noBreakHyphen/>
              <w:t>protein, nedsat blodalbumin, positiv direkte Coombs’ test, forhøjet serumkrea-tinin, øget basisk fosfatase i blodet, øget serumkar-bamid, forlænget aktiveret partiel tromboplastin-tid</w:t>
            </w:r>
          </w:p>
        </w:tc>
        <w:tc>
          <w:tcPr>
            <w:tcW w:w="748" w:type="pct"/>
            <w:tcBorders>
              <w:top w:val="single" w:sz="6" w:space="0" w:color="auto"/>
              <w:left w:val="single" w:sz="6" w:space="0" w:color="auto"/>
              <w:bottom w:val="single" w:sz="6" w:space="0" w:color="auto"/>
              <w:right w:val="single" w:sz="6" w:space="0" w:color="auto"/>
            </w:tcBorders>
            <w:hideMark/>
          </w:tcPr>
          <w:p w14:paraId="271698A9" w14:textId="77777777" w:rsidR="002E371F" w:rsidRPr="002E371F" w:rsidRDefault="002E371F">
            <w:pPr>
              <w:autoSpaceDE w:val="0"/>
              <w:autoSpaceDN w:val="0"/>
              <w:rPr>
                <w:sz w:val="22"/>
                <w:szCs w:val="22"/>
              </w:rPr>
            </w:pPr>
            <w:r w:rsidRPr="002E371F">
              <w:rPr>
                <w:sz w:val="22"/>
                <w:szCs w:val="22"/>
              </w:rPr>
              <w:t>Nedsat blodglucose, øget blodbilirubin, forlænget protrombintid</w:t>
            </w:r>
          </w:p>
        </w:tc>
        <w:tc>
          <w:tcPr>
            <w:tcW w:w="794" w:type="pct"/>
            <w:tcBorders>
              <w:top w:val="single" w:sz="6" w:space="0" w:color="auto"/>
              <w:left w:val="single" w:sz="6" w:space="0" w:color="auto"/>
              <w:bottom w:val="single" w:sz="6" w:space="0" w:color="auto"/>
              <w:right w:val="single" w:sz="6" w:space="0" w:color="auto"/>
            </w:tcBorders>
          </w:tcPr>
          <w:p w14:paraId="28EB4744" w14:textId="77777777" w:rsidR="002E371F" w:rsidRPr="002E371F" w:rsidRDefault="002E371F">
            <w:pPr>
              <w:autoSpaceDE w:val="0"/>
              <w:autoSpaceDN w:val="0"/>
              <w:rPr>
                <w:sz w:val="22"/>
                <w:szCs w:val="22"/>
                <w:lang w:eastAsia="da-DK"/>
              </w:rPr>
            </w:pPr>
          </w:p>
        </w:tc>
        <w:tc>
          <w:tcPr>
            <w:tcW w:w="950" w:type="pct"/>
            <w:tcBorders>
              <w:top w:val="single" w:sz="6" w:space="0" w:color="auto"/>
              <w:left w:val="single" w:sz="6" w:space="0" w:color="auto"/>
              <w:bottom w:val="single" w:sz="6" w:space="0" w:color="auto"/>
              <w:right w:val="single" w:sz="6" w:space="0" w:color="auto"/>
            </w:tcBorders>
            <w:hideMark/>
          </w:tcPr>
          <w:p w14:paraId="6519B432" w14:textId="77777777" w:rsidR="002E371F" w:rsidRPr="002E371F" w:rsidRDefault="002E371F">
            <w:pPr>
              <w:autoSpaceDE w:val="0"/>
              <w:autoSpaceDN w:val="0"/>
              <w:rPr>
                <w:rFonts w:eastAsia="Batang"/>
                <w:bCs/>
                <w:sz w:val="22"/>
                <w:szCs w:val="22"/>
                <w:lang w:eastAsia="da-DK"/>
              </w:rPr>
            </w:pPr>
            <w:r w:rsidRPr="002E371F">
              <w:rPr>
                <w:sz w:val="22"/>
                <w:szCs w:val="22"/>
              </w:rPr>
              <w:t>Forlænget blødningstid, øget gamma-glutamyl-transferase</w:t>
            </w:r>
          </w:p>
        </w:tc>
      </w:tr>
    </w:tbl>
    <w:p w14:paraId="486C9515" w14:textId="77777777" w:rsidR="002E371F" w:rsidRDefault="002E371F" w:rsidP="002E371F">
      <w:pPr>
        <w:ind w:left="851" w:hanging="851"/>
        <w:rPr>
          <w:i/>
          <w:iCs/>
          <w:sz w:val="18"/>
          <w:szCs w:val="18"/>
        </w:rPr>
      </w:pPr>
      <w:r>
        <w:rPr>
          <w:i/>
          <w:iCs/>
          <w:sz w:val="18"/>
          <w:szCs w:val="18"/>
        </w:rPr>
        <w:t>* Bivirkning, der er identificeret efter markedsføringen</w:t>
      </w:r>
    </w:p>
    <w:p w14:paraId="08A032FB" w14:textId="77777777" w:rsidR="002E371F" w:rsidRPr="002E371F" w:rsidRDefault="002E371F" w:rsidP="002E371F">
      <w:pPr>
        <w:ind w:left="851"/>
        <w:rPr>
          <w:sz w:val="24"/>
          <w:szCs w:val="24"/>
        </w:rPr>
      </w:pPr>
    </w:p>
    <w:p w14:paraId="04D06D53" w14:textId="77777777" w:rsidR="002E371F" w:rsidRPr="002E371F" w:rsidRDefault="002E371F" w:rsidP="002E371F">
      <w:pPr>
        <w:ind w:left="851"/>
        <w:rPr>
          <w:sz w:val="24"/>
          <w:szCs w:val="24"/>
        </w:rPr>
      </w:pPr>
      <w:r w:rsidRPr="002E371F">
        <w:rPr>
          <w:sz w:val="24"/>
          <w:szCs w:val="24"/>
        </w:rPr>
        <w:t>Piperacillinbehandling er blevet forbundet med en øget forekomst af feber og udslæt hos patienter med cystisk fibrose.</w:t>
      </w:r>
    </w:p>
    <w:p w14:paraId="4AFECE16" w14:textId="77777777" w:rsidR="002E371F" w:rsidRPr="002E371F" w:rsidRDefault="002E371F" w:rsidP="002E371F">
      <w:pPr>
        <w:ind w:left="851"/>
        <w:rPr>
          <w:sz w:val="24"/>
          <w:szCs w:val="24"/>
        </w:rPr>
      </w:pPr>
    </w:p>
    <w:p w14:paraId="2C350007" w14:textId="77777777" w:rsidR="002E371F" w:rsidRPr="002E371F" w:rsidRDefault="002E371F" w:rsidP="002E371F">
      <w:pPr>
        <w:keepNext/>
        <w:ind w:left="851"/>
        <w:rPr>
          <w:sz w:val="24"/>
          <w:szCs w:val="24"/>
          <w:u w:val="single"/>
        </w:rPr>
      </w:pPr>
      <w:r w:rsidRPr="002E371F">
        <w:rPr>
          <w:sz w:val="24"/>
          <w:szCs w:val="24"/>
          <w:u w:val="single"/>
        </w:rPr>
        <w:t>Klasseeffekter ved betalaktam-antibiotika</w:t>
      </w:r>
    </w:p>
    <w:p w14:paraId="084EE4D0" w14:textId="77777777" w:rsidR="002E371F" w:rsidRPr="002E371F" w:rsidRDefault="002E371F" w:rsidP="002E371F">
      <w:pPr>
        <w:ind w:left="851"/>
        <w:rPr>
          <w:sz w:val="24"/>
          <w:szCs w:val="24"/>
        </w:rPr>
      </w:pPr>
      <w:r w:rsidRPr="002E371F">
        <w:rPr>
          <w:sz w:val="24"/>
          <w:szCs w:val="24"/>
        </w:rPr>
        <w:t>Betalaktam-antibiotika, herunder piperacillin/tazobactam, kan medføre manifestationer i form af encefalopati og krampeanfald (se pkt. 4.4).</w:t>
      </w:r>
    </w:p>
    <w:p w14:paraId="55ACB1FD" w14:textId="77777777" w:rsidR="002E371F" w:rsidRPr="002E371F" w:rsidRDefault="002E371F" w:rsidP="002E371F">
      <w:pPr>
        <w:ind w:left="851"/>
        <w:rPr>
          <w:i/>
          <w:noProof/>
          <w:sz w:val="24"/>
          <w:szCs w:val="24"/>
        </w:rPr>
      </w:pPr>
    </w:p>
    <w:p w14:paraId="5D351A1D" w14:textId="77777777" w:rsidR="002E371F" w:rsidRPr="002E371F" w:rsidRDefault="002E371F" w:rsidP="002E371F">
      <w:pPr>
        <w:keepNext/>
        <w:autoSpaceDE w:val="0"/>
        <w:autoSpaceDN w:val="0"/>
        <w:adjustRightInd w:val="0"/>
        <w:ind w:left="851"/>
        <w:rPr>
          <w:sz w:val="24"/>
          <w:szCs w:val="24"/>
          <w:u w:val="single"/>
        </w:rPr>
      </w:pPr>
      <w:r w:rsidRPr="002E371F">
        <w:rPr>
          <w:noProof/>
          <w:sz w:val="24"/>
          <w:szCs w:val="24"/>
          <w:u w:val="single"/>
        </w:rPr>
        <w:t>Indberetning af formodede bivirkninger</w:t>
      </w:r>
    </w:p>
    <w:p w14:paraId="5937B741" w14:textId="77777777" w:rsidR="002E371F" w:rsidRPr="002E371F" w:rsidRDefault="002E371F" w:rsidP="002E371F">
      <w:pPr>
        <w:autoSpaceDE w:val="0"/>
        <w:autoSpaceDN w:val="0"/>
        <w:adjustRightInd w:val="0"/>
        <w:ind w:left="851"/>
        <w:rPr>
          <w:noProof/>
          <w:sz w:val="24"/>
          <w:szCs w:val="24"/>
        </w:rPr>
      </w:pPr>
      <w:r w:rsidRPr="002E371F">
        <w:rPr>
          <w:noProof/>
          <w:sz w:val="24"/>
          <w:szCs w:val="24"/>
        </w:rPr>
        <w:t>Når lægemidlet er godkendt, er indberetning af formodede bivirkninger vigtig.</w:t>
      </w:r>
      <w:r w:rsidRPr="002E371F">
        <w:rPr>
          <w:sz w:val="24"/>
          <w:szCs w:val="24"/>
        </w:rPr>
        <w:t xml:space="preserve"> </w:t>
      </w:r>
      <w:r w:rsidRPr="002E371F">
        <w:rPr>
          <w:noProof/>
          <w:sz w:val="24"/>
          <w:szCs w:val="24"/>
        </w:rPr>
        <w:t>Det muliggør løbende overvågning af benefit/risk-forholdet for lægemidlet.</w:t>
      </w:r>
      <w:r w:rsidRPr="002E371F">
        <w:rPr>
          <w:sz w:val="24"/>
          <w:szCs w:val="24"/>
        </w:rPr>
        <w:t xml:space="preserve"> </w:t>
      </w:r>
      <w:r w:rsidRPr="002E371F">
        <w:rPr>
          <w:noProof/>
          <w:sz w:val="24"/>
          <w:szCs w:val="24"/>
        </w:rPr>
        <w:t>Sundhedspersoner anmodes om at indberette alle formodede bivirkninger via</w:t>
      </w:r>
    </w:p>
    <w:p w14:paraId="497E27F5" w14:textId="77777777" w:rsidR="002E371F" w:rsidRPr="002E371F" w:rsidRDefault="002E371F" w:rsidP="002E371F">
      <w:pPr>
        <w:autoSpaceDE w:val="0"/>
        <w:autoSpaceDN w:val="0"/>
        <w:adjustRightInd w:val="0"/>
        <w:ind w:left="851"/>
        <w:rPr>
          <w:noProof/>
          <w:sz w:val="24"/>
          <w:szCs w:val="24"/>
        </w:rPr>
      </w:pPr>
    </w:p>
    <w:p w14:paraId="07CFB8B3" w14:textId="77777777" w:rsidR="002E371F" w:rsidRPr="002E371F" w:rsidRDefault="002E371F" w:rsidP="002E371F">
      <w:pPr>
        <w:tabs>
          <w:tab w:val="left" w:pos="851"/>
        </w:tabs>
        <w:ind w:left="851"/>
        <w:rPr>
          <w:noProof/>
          <w:sz w:val="24"/>
          <w:szCs w:val="24"/>
        </w:rPr>
      </w:pPr>
      <w:r w:rsidRPr="002E371F">
        <w:rPr>
          <w:noProof/>
          <w:sz w:val="24"/>
          <w:szCs w:val="24"/>
        </w:rPr>
        <w:t xml:space="preserve">Lægemiddelstyrelsen </w:t>
      </w:r>
    </w:p>
    <w:p w14:paraId="46ED6492" w14:textId="77777777" w:rsidR="002E371F" w:rsidRPr="002E371F" w:rsidRDefault="002E371F" w:rsidP="002E371F">
      <w:pPr>
        <w:tabs>
          <w:tab w:val="left" w:pos="851"/>
        </w:tabs>
        <w:ind w:left="851"/>
        <w:rPr>
          <w:rFonts w:eastAsia="Calibri"/>
          <w:noProof/>
          <w:sz w:val="24"/>
          <w:szCs w:val="24"/>
          <w:lang w:eastAsia="zh-CN"/>
        </w:rPr>
      </w:pPr>
      <w:r w:rsidRPr="002E371F">
        <w:rPr>
          <w:rFonts w:eastAsia="Calibri"/>
          <w:sz w:val="24"/>
          <w:szCs w:val="24"/>
          <w:lang w:eastAsia="zh-CN"/>
        </w:rPr>
        <w:t>Axel Heides Gade 1</w:t>
      </w:r>
    </w:p>
    <w:p w14:paraId="1C382210" w14:textId="77777777" w:rsidR="002E371F" w:rsidRPr="002E371F" w:rsidRDefault="002E371F" w:rsidP="002E371F">
      <w:pPr>
        <w:tabs>
          <w:tab w:val="left" w:pos="851"/>
        </w:tabs>
        <w:ind w:left="851"/>
        <w:rPr>
          <w:rFonts w:eastAsia="Calibri"/>
          <w:noProof/>
          <w:sz w:val="24"/>
          <w:szCs w:val="24"/>
          <w:lang w:eastAsia="zh-CN"/>
        </w:rPr>
      </w:pPr>
      <w:r w:rsidRPr="002E371F">
        <w:rPr>
          <w:rFonts w:eastAsia="Calibri"/>
          <w:noProof/>
          <w:sz w:val="24"/>
          <w:szCs w:val="24"/>
          <w:lang w:eastAsia="zh-CN"/>
        </w:rPr>
        <w:t xml:space="preserve">DK-2300 </w:t>
      </w:r>
      <w:r w:rsidRPr="002E371F">
        <w:rPr>
          <w:rFonts w:eastAsia="Calibri"/>
          <w:sz w:val="24"/>
          <w:szCs w:val="24"/>
          <w:lang w:eastAsia="zh-CN"/>
        </w:rPr>
        <w:t>København S</w:t>
      </w:r>
    </w:p>
    <w:p w14:paraId="307F7E4E" w14:textId="08221D38" w:rsidR="002E371F" w:rsidRPr="002E371F" w:rsidRDefault="002E371F" w:rsidP="002E371F">
      <w:pPr>
        <w:autoSpaceDE w:val="0"/>
        <w:autoSpaceDN w:val="0"/>
        <w:adjustRightInd w:val="0"/>
        <w:ind w:left="851"/>
        <w:rPr>
          <w:noProof/>
          <w:sz w:val="24"/>
          <w:szCs w:val="24"/>
        </w:rPr>
      </w:pPr>
      <w:r w:rsidRPr="002E371F">
        <w:rPr>
          <w:sz w:val="24"/>
          <w:szCs w:val="24"/>
        </w:rPr>
        <w:t xml:space="preserve">Websted: </w:t>
      </w:r>
      <w:r w:rsidRPr="00C05C94">
        <w:rPr>
          <w:sz w:val="24"/>
          <w:szCs w:val="24"/>
        </w:rPr>
        <w:t>www.meldenbivirkning.dk</w:t>
      </w:r>
    </w:p>
    <w:p w14:paraId="0E1E3703" w14:textId="2A669572" w:rsidR="00B03BD7" w:rsidRDefault="00B03BD7">
      <w:pPr>
        <w:rPr>
          <w:sz w:val="24"/>
          <w:szCs w:val="24"/>
        </w:rPr>
      </w:pPr>
      <w:r>
        <w:rPr>
          <w:sz w:val="24"/>
          <w:szCs w:val="24"/>
        </w:rPr>
        <w:br w:type="page"/>
      </w:r>
    </w:p>
    <w:p w14:paraId="3C7FF115" w14:textId="77777777" w:rsidR="009260DE" w:rsidRPr="002E371F" w:rsidRDefault="009260DE" w:rsidP="002E371F">
      <w:pPr>
        <w:tabs>
          <w:tab w:val="left" w:pos="851"/>
        </w:tabs>
        <w:ind w:left="851"/>
        <w:rPr>
          <w:sz w:val="24"/>
          <w:szCs w:val="24"/>
        </w:rPr>
      </w:pPr>
    </w:p>
    <w:p w14:paraId="3831253D"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19B597D2" w14:textId="77777777" w:rsidR="00B03BD7" w:rsidRPr="00B03BD7" w:rsidRDefault="00B03BD7" w:rsidP="00B03BD7">
      <w:pPr>
        <w:tabs>
          <w:tab w:val="left" w:pos="851"/>
        </w:tabs>
        <w:ind w:left="851"/>
        <w:rPr>
          <w:sz w:val="24"/>
          <w:szCs w:val="24"/>
        </w:rPr>
      </w:pPr>
    </w:p>
    <w:p w14:paraId="668E1E97" w14:textId="77777777" w:rsidR="00B03BD7" w:rsidRPr="00B03BD7" w:rsidRDefault="00B03BD7" w:rsidP="00B03BD7">
      <w:pPr>
        <w:tabs>
          <w:tab w:val="left" w:pos="851"/>
        </w:tabs>
        <w:ind w:left="851"/>
        <w:rPr>
          <w:sz w:val="24"/>
          <w:szCs w:val="24"/>
          <w:u w:val="single"/>
        </w:rPr>
      </w:pPr>
      <w:r w:rsidRPr="00B03BD7">
        <w:rPr>
          <w:sz w:val="24"/>
          <w:szCs w:val="24"/>
          <w:u w:val="single"/>
        </w:rPr>
        <w:t>Symptomer</w:t>
      </w:r>
    </w:p>
    <w:p w14:paraId="753875BF" w14:textId="77777777" w:rsidR="00B03BD7" w:rsidRPr="00B03BD7" w:rsidRDefault="00B03BD7" w:rsidP="00B03BD7">
      <w:pPr>
        <w:tabs>
          <w:tab w:val="left" w:pos="851"/>
        </w:tabs>
        <w:ind w:left="851"/>
        <w:rPr>
          <w:sz w:val="24"/>
          <w:szCs w:val="24"/>
        </w:rPr>
      </w:pPr>
      <w:r w:rsidRPr="00B03BD7">
        <w:rPr>
          <w:sz w:val="24"/>
          <w:szCs w:val="24"/>
        </w:rPr>
        <w:t>Der er efter markedsføring rapporteret om overdosering med piperacillin/tazobactam.</w:t>
      </w:r>
    </w:p>
    <w:p w14:paraId="120A1A00" w14:textId="77777777" w:rsidR="00B03BD7" w:rsidRPr="00B03BD7" w:rsidRDefault="00B03BD7" w:rsidP="00B03BD7">
      <w:pPr>
        <w:tabs>
          <w:tab w:val="left" w:pos="851"/>
        </w:tabs>
        <w:ind w:left="851"/>
        <w:rPr>
          <w:sz w:val="24"/>
          <w:szCs w:val="24"/>
        </w:rPr>
      </w:pPr>
      <w:r w:rsidRPr="00B03BD7">
        <w:rPr>
          <w:sz w:val="24"/>
          <w:szCs w:val="24"/>
        </w:rPr>
        <w:t>Størstedelen af disse bivirkninger, herunder kvalme, opkastning og diarré, er også blevet rapporteret med den sædvanlige anbefalede dosis. Patienterne kan opleve neuromuskulær irritabilitet eller kramper, hvis der gives højere intravenøse doser end anbefalet (især ved tilstedeværelse af nyresvigt).</w:t>
      </w:r>
    </w:p>
    <w:p w14:paraId="28941DFC" w14:textId="77777777" w:rsidR="00B03BD7" w:rsidRPr="00B03BD7" w:rsidRDefault="00B03BD7" w:rsidP="00B03BD7">
      <w:pPr>
        <w:tabs>
          <w:tab w:val="left" w:pos="851"/>
        </w:tabs>
        <w:ind w:left="851"/>
        <w:rPr>
          <w:sz w:val="24"/>
          <w:szCs w:val="24"/>
        </w:rPr>
      </w:pPr>
    </w:p>
    <w:p w14:paraId="554F17EC" w14:textId="77777777" w:rsidR="00B03BD7" w:rsidRPr="00B03BD7" w:rsidRDefault="00B03BD7" w:rsidP="00B03BD7">
      <w:pPr>
        <w:tabs>
          <w:tab w:val="left" w:pos="851"/>
        </w:tabs>
        <w:ind w:left="851"/>
        <w:rPr>
          <w:sz w:val="24"/>
          <w:szCs w:val="24"/>
          <w:u w:val="single"/>
        </w:rPr>
      </w:pPr>
      <w:r w:rsidRPr="00B03BD7">
        <w:rPr>
          <w:sz w:val="24"/>
          <w:szCs w:val="24"/>
          <w:u w:val="single"/>
        </w:rPr>
        <w:t>Behandling</w:t>
      </w:r>
    </w:p>
    <w:p w14:paraId="5655AE98" w14:textId="77777777" w:rsidR="00B03BD7" w:rsidRPr="00B03BD7" w:rsidRDefault="00B03BD7" w:rsidP="00B03BD7">
      <w:pPr>
        <w:tabs>
          <w:tab w:val="left" w:pos="851"/>
        </w:tabs>
        <w:ind w:left="851"/>
        <w:rPr>
          <w:sz w:val="24"/>
          <w:szCs w:val="24"/>
        </w:rPr>
      </w:pPr>
      <w:r w:rsidRPr="00B03BD7">
        <w:rPr>
          <w:sz w:val="24"/>
          <w:szCs w:val="24"/>
        </w:rPr>
        <w:t>I tilfælde af en overdosis, bør behandling med piperacillin/tazobactam seponeres. Der findes ingen specifik antidot.</w:t>
      </w:r>
    </w:p>
    <w:p w14:paraId="3017F2B5" w14:textId="77777777" w:rsidR="00B03BD7" w:rsidRPr="00B03BD7" w:rsidRDefault="00B03BD7" w:rsidP="00B03BD7">
      <w:pPr>
        <w:tabs>
          <w:tab w:val="left" w:pos="851"/>
        </w:tabs>
        <w:ind w:left="851"/>
        <w:rPr>
          <w:sz w:val="24"/>
          <w:szCs w:val="24"/>
        </w:rPr>
      </w:pPr>
      <w:r w:rsidRPr="00B03BD7">
        <w:rPr>
          <w:sz w:val="24"/>
          <w:szCs w:val="24"/>
        </w:rPr>
        <w:t>Behandlingen bør være understøttende og symptomatisk i overensstemmelse med patientens kliniske præsentation.</w:t>
      </w:r>
    </w:p>
    <w:p w14:paraId="21C6DC67" w14:textId="77777777" w:rsidR="00B03BD7" w:rsidRPr="00B03BD7" w:rsidRDefault="00B03BD7" w:rsidP="00B03BD7">
      <w:pPr>
        <w:tabs>
          <w:tab w:val="left" w:pos="851"/>
        </w:tabs>
        <w:ind w:left="851"/>
        <w:rPr>
          <w:sz w:val="24"/>
          <w:szCs w:val="24"/>
        </w:rPr>
      </w:pPr>
      <w:r w:rsidRPr="00B03BD7">
        <w:rPr>
          <w:sz w:val="24"/>
          <w:szCs w:val="24"/>
        </w:rPr>
        <w:t>For høje serumkoncentrationer af enten piperacillin eller tazobactam kan reduceres ved hjælp af hæmodialyse (se pkt. 4.4).</w:t>
      </w:r>
    </w:p>
    <w:p w14:paraId="35D9395D" w14:textId="77777777" w:rsidR="009260DE" w:rsidRPr="00C84483" w:rsidRDefault="009260DE" w:rsidP="009260DE">
      <w:pPr>
        <w:tabs>
          <w:tab w:val="left" w:pos="851"/>
        </w:tabs>
        <w:ind w:left="851"/>
        <w:rPr>
          <w:sz w:val="24"/>
          <w:szCs w:val="24"/>
        </w:rPr>
      </w:pPr>
    </w:p>
    <w:p w14:paraId="697A855E"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1C5B4629" w14:textId="20C46BC1" w:rsidR="009260DE" w:rsidRPr="00C84483" w:rsidRDefault="00B03BD7" w:rsidP="009260DE">
      <w:pPr>
        <w:tabs>
          <w:tab w:val="left" w:pos="851"/>
        </w:tabs>
        <w:ind w:left="851"/>
        <w:rPr>
          <w:sz w:val="24"/>
          <w:szCs w:val="24"/>
        </w:rPr>
      </w:pPr>
      <w:r>
        <w:rPr>
          <w:sz w:val="24"/>
          <w:szCs w:val="24"/>
        </w:rPr>
        <w:t>B</w:t>
      </w:r>
    </w:p>
    <w:p w14:paraId="749F52A8" w14:textId="77777777" w:rsidR="009260DE" w:rsidRPr="00C84483" w:rsidRDefault="009260DE" w:rsidP="009260DE">
      <w:pPr>
        <w:tabs>
          <w:tab w:val="left" w:pos="851"/>
        </w:tabs>
        <w:ind w:left="851"/>
        <w:rPr>
          <w:sz w:val="24"/>
          <w:szCs w:val="24"/>
        </w:rPr>
      </w:pPr>
    </w:p>
    <w:p w14:paraId="1F32E6FA" w14:textId="77777777" w:rsidR="009260DE" w:rsidRPr="00C84483" w:rsidRDefault="009260DE" w:rsidP="009260DE">
      <w:pPr>
        <w:tabs>
          <w:tab w:val="left" w:pos="851"/>
        </w:tabs>
        <w:ind w:left="851"/>
        <w:rPr>
          <w:sz w:val="24"/>
          <w:szCs w:val="24"/>
        </w:rPr>
      </w:pPr>
    </w:p>
    <w:p w14:paraId="7ED3C6AE"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D79F474" w14:textId="77777777" w:rsidR="009260DE" w:rsidRPr="00C84483" w:rsidRDefault="009260DE" w:rsidP="009260DE">
      <w:pPr>
        <w:tabs>
          <w:tab w:val="left" w:pos="851"/>
        </w:tabs>
        <w:ind w:left="851"/>
        <w:rPr>
          <w:sz w:val="24"/>
          <w:szCs w:val="24"/>
        </w:rPr>
      </w:pPr>
    </w:p>
    <w:p w14:paraId="6AA3C7B3"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1AC22C71" w14:textId="77777777" w:rsidR="00B03BD7" w:rsidRPr="00B03BD7" w:rsidRDefault="00B03BD7" w:rsidP="00B03BD7">
      <w:pPr>
        <w:tabs>
          <w:tab w:val="left" w:pos="851"/>
        </w:tabs>
        <w:ind w:left="851"/>
        <w:rPr>
          <w:sz w:val="24"/>
          <w:szCs w:val="24"/>
        </w:rPr>
      </w:pPr>
      <w:bookmarkStart w:id="1" w:name="_Hlk218248784"/>
      <w:r w:rsidRPr="00B03BD7">
        <w:rPr>
          <w:sz w:val="24"/>
          <w:szCs w:val="24"/>
        </w:rPr>
        <w:t xml:space="preserve">Farmakoterapeutisk klassifikation: </w:t>
      </w:r>
      <w:r w:rsidRPr="00B03BD7">
        <w:rPr>
          <w:bCs/>
          <w:sz w:val="24"/>
          <w:szCs w:val="24"/>
        </w:rPr>
        <w:t>Antibakterielle midler til systemisk brug, kombination af penicilliner, inklusive beta-lactamase inhibitorer</w:t>
      </w:r>
      <w:r w:rsidRPr="00B03BD7">
        <w:rPr>
          <w:sz w:val="24"/>
          <w:szCs w:val="24"/>
        </w:rPr>
        <w:t>. ATC-kode: J01CR05.</w:t>
      </w:r>
    </w:p>
    <w:p w14:paraId="262F9876" w14:textId="77777777" w:rsidR="00B03BD7" w:rsidRPr="00B03BD7" w:rsidRDefault="00B03BD7" w:rsidP="00B03BD7">
      <w:pPr>
        <w:tabs>
          <w:tab w:val="left" w:pos="851"/>
        </w:tabs>
        <w:ind w:left="851"/>
        <w:rPr>
          <w:bCs/>
          <w:sz w:val="24"/>
          <w:szCs w:val="24"/>
        </w:rPr>
      </w:pPr>
    </w:p>
    <w:p w14:paraId="0AF89D32" w14:textId="77777777" w:rsidR="00B03BD7" w:rsidRPr="00B03BD7" w:rsidRDefault="00B03BD7" w:rsidP="00B03BD7">
      <w:pPr>
        <w:tabs>
          <w:tab w:val="left" w:pos="851"/>
        </w:tabs>
        <w:ind w:left="851"/>
        <w:rPr>
          <w:bCs/>
          <w:sz w:val="24"/>
          <w:szCs w:val="24"/>
          <w:u w:val="single"/>
        </w:rPr>
      </w:pPr>
      <w:r w:rsidRPr="00B03BD7">
        <w:rPr>
          <w:bCs/>
          <w:sz w:val="24"/>
          <w:szCs w:val="24"/>
          <w:u w:val="single"/>
        </w:rPr>
        <w:t>Virkningsmekanisme</w:t>
      </w:r>
    </w:p>
    <w:p w14:paraId="7EB32EB9" w14:textId="77777777" w:rsidR="00B03BD7" w:rsidRPr="00B03BD7" w:rsidRDefault="00B03BD7" w:rsidP="00B03BD7">
      <w:pPr>
        <w:tabs>
          <w:tab w:val="left" w:pos="851"/>
        </w:tabs>
        <w:ind w:left="851"/>
        <w:rPr>
          <w:sz w:val="24"/>
          <w:szCs w:val="24"/>
        </w:rPr>
      </w:pPr>
      <w:r w:rsidRPr="00B03BD7">
        <w:rPr>
          <w:sz w:val="24"/>
          <w:szCs w:val="24"/>
        </w:rPr>
        <w:t>Piperacillin, der er en bredspektret, semisyntetisk penicillin, virker bakteriedræbende ved at hæmme både septum- og cellevægssyntesen.</w:t>
      </w:r>
    </w:p>
    <w:p w14:paraId="3B146BD0" w14:textId="77777777" w:rsidR="00B03BD7" w:rsidRPr="00B03BD7" w:rsidRDefault="00B03BD7" w:rsidP="00B03BD7">
      <w:pPr>
        <w:tabs>
          <w:tab w:val="left" w:pos="851"/>
        </w:tabs>
        <w:ind w:left="851"/>
        <w:rPr>
          <w:sz w:val="24"/>
          <w:szCs w:val="24"/>
        </w:rPr>
      </w:pPr>
      <w:r w:rsidRPr="00B03BD7">
        <w:rPr>
          <w:sz w:val="24"/>
          <w:szCs w:val="24"/>
        </w:rPr>
        <w:t>Tazobactam, der er et betalaktam, der er strukturelt relateret til penicilliner, er en hæmmer af mange betalaktamaser, der almindeligvis forårsager resistens over for penicilliner og cefalosporiner, men det hæmmer ikke AmpC-enzymer eller metallobetalaktamaser. Tazobactam udvider piperacillins antibiotiske spektrum til også at omfatte mange betalaktamaseproducerende bakterier, der er blevet resistente over for piperacillin alene.</w:t>
      </w:r>
    </w:p>
    <w:p w14:paraId="1978E71A" w14:textId="77777777" w:rsidR="00B03BD7" w:rsidRPr="00B03BD7" w:rsidRDefault="00B03BD7" w:rsidP="00B03BD7">
      <w:pPr>
        <w:tabs>
          <w:tab w:val="left" w:pos="851"/>
        </w:tabs>
        <w:ind w:left="851"/>
        <w:rPr>
          <w:bCs/>
          <w:sz w:val="24"/>
          <w:szCs w:val="24"/>
        </w:rPr>
      </w:pPr>
    </w:p>
    <w:p w14:paraId="4E46906F" w14:textId="77777777" w:rsidR="00B03BD7" w:rsidRPr="00B03BD7" w:rsidRDefault="00B03BD7" w:rsidP="00B03BD7">
      <w:pPr>
        <w:tabs>
          <w:tab w:val="left" w:pos="851"/>
        </w:tabs>
        <w:ind w:left="851"/>
        <w:rPr>
          <w:bCs/>
          <w:sz w:val="24"/>
          <w:szCs w:val="24"/>
          <w:u w:val="single"/>
        </w:rPr>
      </w:pPr>
      <w:r w:rsidRPr="00B03BD7">
        <w:rPr>
          <w:bCs/>
          <w:sz w:val="24"/>
          <w:szCs w:val="24"/>
          <w:u w:val="single"/>
        </w:rPr>
        <w:t>Farmakokinetisk/farmakodynamisk forhold</w:t>
      </w:r>
    </w:p>
    <w:p w14:paraId="041FD0D0" w14:textId="77777777" w:rsidR="00B03BD7" w:rsidRPr="00B03BD7" w:rsidRDefault="00B03BD7" w:rsidP="00B03BD7">
      <w:pPr>
        <w:tabs>
          <w:tab w:val="left" w:pos="851"/>
        </w:tabs>
        <w:ind w:left="851"/>
        <w:rPr>
          <w:sz w:val="24"/>
          <w:szCs w:val="24"/>
        </w:rPr>
      </w:pPr>
      <w:r w:rsidRPr="00B03BD7">
        <w:rPr>
          <w:sz w:val="24"/>
          <w:szCs w:val="24"/>
        </w:rPr>
        <w:t>Tiden over den minimumshæmmende koncentration (T&gt;MIC) anses for at være den væsentligste farmakodynamiske determinant for piperacillins effektivitet.</w:t>
      </w:r>
    </w:p>
    <w:p w14:paraId="539A70E9" w14:textId="77777777" w:rsidR="00B03BD7" w:rsidRPr="00B03BD7" w:rsidRDefault="00B03BD7" w:rsidP="00B03BD7">
      <w:pPr>
        <w:tabs>
          <w:tab w:val="left" w:pos="851"/>
        </w:tabs>
        <w:ind w:left="851"/>
        <w:rPr>
          <w:b/>
          <w:sz w:val="24"/>
          <w:szCs w:val="24"/>
          <w:u w:val="single"/>
        </w:rPr>
      </w:pPr>
    </w:p>
    <w:p w14:paraId="66EA8112" w14:textId="77777777" w:rsidR="00B03BD7" w:rsidRPr="00B03BD7" w:rsidRDefault="00B03BD7" w:rsidP="00B03BD7">
      <w:pPr>
        <w:tabs>
          <w:tab w:val="left" w:pos="851"/>
        </w:tabs>
        <w:ind w:left="851"/>
        <w:rPr>
          <w:bCs/>
          <w:sz w:val="24"/>
          <w:szCs w:val="24"/>
          <w:u w:val="single"/>
        </w:rPr>
      </w:pPr>
      <w:r w:rsidRPr="00B03BD7">
        <w:rPr>
          <w:bCs/>
          <w:sz w:val="24"/>
          <w:szCs w:val="24"/>
          <w:u w:val="single"/>
        </w:rPr>
        <w:t>Resistensmekanisme</w:t>
      </w:r>
    </w:p>
    <w:p w14:paraId="4D6674FE" w14:textId="77777777" w:rsidR="00B03BD7" w:rsidRPr="00B03BD7" w:rsidRDefault="00B03BD7" w:rsidP="00B03BD7">
      <w:pPr>
        <w:tabs>
          <w:tab w:val="left" w:pos="851"/>
        </w:tabs>
        <w:ind w:left="851"/>
        <w:rPr>
          <w:sz w:val="24"/>
          <w:szCs w:val="24"/>
        </w:rPr>
      </w:pPr>
      <w:r w:rsidRPr="00B03BD7">
        <w:rPr>
          <w:sz w:val="24"/>
          <w:szCs w:val="24"/>
        </w:rPr>
        <w:t>De to vigtigste mekanismer, der giver resistens over for piperacillin/tazobactam, er:</w:t>
      </w:r>
    </w:p>
    <w:p w14:paraId="6EA30BDD" w14:textId="77777777" w:rsidR="00B03BD7" w:rsidRPr="00B03BD7" w:rsidRDefault="00B03BD7" w:rsidP="00B03BD7">
      <w:pPr>
        <w:numPr>
          <w:ilvl w:val="0"/>
          <w:numId w:val="7"/>
        </w:numPr>
        <w:tabs>
          <w:tab w:val="left" w:pos="851"/>
        </w:tabs>
        <w:ind w:left="1134" w:hanging="283"/>
        <w:rPr>
          <w:sz w:val="24"/>
          <w:szCs w:val="24"/>
        </w:rPr>
      </w:pPr>
      <w:r w:rsidRPr="00B03BD7">
        <w:rPr>
          <w:sz w:val="24"/>
          <w:szCs w:val="24"/>
        </w:rPr>
        <w:t>Inaktivering af piperacillinkomponenten gennem de betalaktamaser, der ikke hæmmes af tazobactam: betalaktamaser i molekylærklasse B, C og D. Derudover yder tazobactam ikke beskyttelse mod betalaktamaser med udvidet spektrum (ESBL’er) i molekylærklasse A- og D</w:t>
      </w:r>
      <w:r w:rsidRPr="00B03BD7">
        <w:rPr>
          <w:sz w:val="24"/>
          <w:szCs w:val="24"/>
        </w:rPr>
        <w:noBreakHyphen/>
        <w:t>enzymgrupperne.</w:t>
      </w:r>
    </w:p>
    <w:p w14:paraId="000B0417" w14:textId="77777777" w:rsidR="00B03BD7" w:rsidRPr="00B03BD7" w:rsidRDefault="00B03BD7" w:rsidP="00B03BD7">
      <w:pPr>
        <w:numPr>
          <w:ilvl w:val="0"/>
          <w:numId w:val="7"/>
        </w:numPr>
        <w:tabs>
          <w:tab w:val="left" w:pos="851"/>
        </w:tabs>
        <w:ind w:left="1134" w:hanging="283"/>
        <w:rPr>
          <w:sz w:val="24"/>
          <w:szCs w:val="24"/>
        </w:rPr>
      </w:pPr>
      <w:r w:rsidRPr="00B03BD7">
        <w:rPr>
          <w:sz w:val="24"/>
          <w:szCs w:val="24"/>
        </w:rPr>
        <w:t>Ændring af penicillinbindende proteiner (PBP’er), hvilket medfører reduktion af piperacillins affinitet over for det molekylære mål i bakterier.</w:t>
      </w:r>
    </w:p>
    <w:p w14:paraId="41A8A1EC" w14:textId="77777777" w:rsidR="00B03BD7" w:rsidRPr="00B03BD7" w:rsidRDefault="00B03BD7" w:rsidP="00B03BD7">
      <w:pPr>
        <w:tabs>
          <w:tab w:val="left" w:pos="851"/>
        </w:tabs>
        <w:ind w:left="851"/>
        <w:rPr>
          <w:sz w:val="24"/>
          <w:szCs w:val="24"/>
        </w:rPr>
      </w:pPr>
    </w:p>
    <w:p w14:paraId="7D58C415" w14:textId="77777777" w:rsidR="00B03BD7" w:rsidRPr="00B03BD7" w:rsidRDefault="00B03BD7" w:rsidP="00B03BD7">
      <w:pPr>
        <w:tabs>
          <w:tab w:val="left" w:pos="851"/>
        </w:tabs>
        <w:ind w:left="851"/>
        <w:rPr>
          <w:sz w:val="24"/>
          <w:szCs w:val="24"/>
        </w:rPr>
      </w:pPr>
      <w:r w:rsidRPr="00B03BD7">
        <w:rPr>
          <w:sz w:val="24"/>
          <w:szCs w:val="24"/>
        </w:rPr>
        <w:lastRenderedPageBreak/>
        <w:t>Derudover kan ændringer i bakteriel membranpermeabilitet samt ekspression af flerstofseffluxpumper medføre eller bidrage til bakteriel resistens over for piperacillin/tazobactam, især ved gramnegative bakterier.</w:t>
      </w:r>
    </w:p>
    <w:p w14:paraId="51674FF1" w14:textId="77777777" w:rsidR="00B03BD7" w:rsidRPr="00B03BD7" w:rsidRDefault="00B03BD7" w:rsidP="00B03BD7">
      <w:pPr>
        <w:tabs>
          <w:tab w:val="left" w:pos="851"/>
        </w:tabs>
        <w:ind w:left="851"/>
        <w:rPr>
          <w:bCs/>
          <w:sz w:val="24"/>
          <w:szCs w:val="24"/>
        </w:rPr>
      </w:pPr>
    </w:p>
    <w:p w14:paraId="0372A333" w14:textId="77777777" w:rsidR="00B03BD7" w:rsidRPr="00B03BD7" w:rsidRDefault="00B03BD7" w:rsidP="00B03BD7">
      <w:pPr>
        <w:tabs>
          <w:tab w:val="left" w:pos="851"/>
        </w:tabs>
        <w:ind w:left="851"/>
        <w:rPr>
          <w:sz w:val="24"/>
          <w:szCs w:val="24"/>
          <w:u w:val="single"/>
        </w:rPr>
      </w:pPr>
      <w:r w:rsidRPr="00B03BD7">
        <w:rPr>
          <w:sz w:val="24"/>
          <w:szCs w:val="24"/>
          <w:u w:val="single"/>
        </w:rPr>
        <w:t>Grænseværdier ved følsomhedstestning</w:t>
      </w:r>
    </w:p>
    <w:p w14:paraId="5FEB9C6A" w14:textId="77777777" w:rsidR="00B03BD7" w:rsidRPr="00B03BD7" w:rsidRDefault="00B03BD7" w:rsidP="00B03BD7">
      <w:pPr>
        <w:tabs>
          <w:tab w:val="left" w:pos="851"/>
        </w:tabs>
        <w:ind w:left="851"/>
        <w:rPr>
          <w:sz w:val="24"/>
          <w:szCs w:val="24"/>
        </w:rPr>
      </w:pPr>
      <w:r w:rsidRPr="00B03BD7">
        <w:rPr>
          <w:sz w:val="24"/>
          <w:szCs w:val="24"/>
        </w:rPr>
        <w:t>MIC (mindste inhiberende koncentration)-fortolkningskriterierne for følsomhedstestning er fastlagt af European Committee on Antimicrobial Susceptibility Testing (EUCAST) for piperacillin/tazobaktam og er anført her: https://www.ema.europa.eu/documents/other/minimum-inhibitory-concentration-mic-breakpoints_en.xlsx</w:t>
      </w:r>
    </w:p>
    <w:p w14:paraId="6CDC73E2" w14:textId="77777777" w:rsidR="00B03BD7" w:rsidRPr="00B03BD7" w:rsidRDefault="00B03BD7" w:rsidP="00B03BD7">
      <w:pPr>
        <w:tabs>
          <w:tab w:val="left" w:pos="851"/>
        </w:tabs>
        <w:ind w:left="851"/>
        <w:rPr>
          <w:bCs/>
          <w:sz w:val="24"/>
          <w:szCs w:val="24"/>
        </w:rPr>
      </w:pPr>
    </w:p>
    <w:p w14:paraId="60569C16" w14:textId="77777777" w:rsidR="00B03BD7" w:rsidRPr="00B03BD7" w:rsidRDefault="00B03BD7" w:rsidP="00B03BD7">
      <w:pPr>
        <w:tabs>
          <w:tab w:val="left" w:pos="851"/>
        </w:tabs>
        <w:ind w:left="851"/>
        <w:rPr>
          <w:bCs/>
          <w:sz w:val="24"/>
          <w:szCs w:val="24"/>
          <w:u w:val="single"/>
        </w:rPr>
      </w:pPr>
      <w:r w:rsidRPr="00B03BD7">
        <w:rPr>
          <w:bCs/>
          <w:sz w:val="24"/>
          <w:szCs w:val="24"/>
          <w:u w:val="single"/>
        </w:rPr>
        <w:t>Resistens</w:t>
      </w:r>
    </w:p>
    <w:p w14:paraId="75AEE2E9" w14:textId="77777777" w:rsidR="00B03BD7" w:rsidRPr="00B03BD7" w:rsidRDefault="00B03BD7" w:rsidP="00B03BD7">
      <w:pPr>
        <w:tabs>
          <w:tab w:val="left" w:pos="851"/>
        </w:tabs>
        <w:ind w:left="851"/>
        <w:rPr>
          <w:sz w:val="24"/>
          <w:szCs w:val="24"/>
        </w:rPr>
      </w:pPr>
      <w:r w:rsidRPr="00B03BD7">
        <w:rPr>
          <w:sz w:val="24"/>
          <w:szCs w:val="24"/>
        </w:rPr>
        <w:t>Prævalensen af erhvervet resistens kan variere geografisk og over tid for bestemte arter, og lokal information vedrørende resistens er ønskelig, især ved behandling af svære infektioner. Råd fra eksperter skal om nødvendigt indhentes, når den lokale prævalens af resistens er af en sådan karakter, at nytten af lægemidlet, i det mindste ved visse infektionstyper, er tvivlsom.</w:t>
      </w:r>
    </w:p>
    <w:p w14:paraId="51440C90" w14:textId="77777777" w:rsidR="00B03BD7" w:rsidRPr="00B03BD7" w:rsidRDefault="00B03BD7" w:rsidP="00B03BD7">
      <w:pPr>
        <w:tabs>
          <w:tab w:val="left" w:pos="851"/>
        </w:tabs>
        <w:ind w:left="851"/>
        <w:rPr>
          <w:bCs/>
          <w:sz w:val="24"/>
          <w:szCs w:val="24"/>
        </w:rPr>
      </w:pPr>
    </w:p>
    <w:p w14:paraId="3AA2DD55" w14:textId="77777777" w:rsidR="00B03BD7" w:rsidRPr="00B03BD7" w:rsidRDefault="00B03BD7" w:rsidP="00B03BD7">
      <w:pPr>
        <w:tabs>
          <w:tab w:val="left" w:pos="851"/>
        </w:tabs>
        <w:ind w:left="851"/>
        <w:rPr>
          <w:bCs/>
          <w:sz w:val="24"/>
          <w:szCs w:val="24"/>
        </w:rPr>
      </w:pPr>
      <w:r w:rsidRPr="00B03BD7">
        <w:rPr>
          <w:bCs/>
          <w:sz w:val="24"/>
          <w:szCs w:val="24"/>
        </w:rPr>
        <w:t>Inddeling af relevante arter i forhold til følsomhed over for piperacillin/tazobactam.</w:t>
      </w:r>
    </w:p>
    <w:p w14:paraId="1511EABC" w14:textId="77777777" w:rsidR="00B03BD7" w:rsidRPr="00B03BD7" w:rsidRDefault="00B03BD7" w:rsidP="00B03BD7">
      <w:pPr>
        <w:tabs>
          <w:tab w:val="left" w:pos="851"/>
        </w:tabs>
        <w:ind w:left="851"/>
        <w:rPr>
          <w:bCs/>
          <w:sz w:val="24"/>
          <w:szCs w:val="24"/>
        </w:rPr>
      </w:pPr>
    </w:p>
    <w:p w14:paraId="6B66F481" w14:textId="77777777" w:rsidR="00B03BD7" w:rsidRPr="00B03BD7" w:rsidRDefault="00B03BD7" w:rsidP="00B03BD7">
      <w:pPr>
        <w:tabs>
          <w:tab w:val="left" w:pos="851"/>
        </w:tabs>
        <w:ind w:left="851"/>
        <w:rPr>
          <w:b/>
          <w:sz w:val="24"/>
          <w:szCs w:val="24"/>
        </w:rPr>
      </w:pPr>
      <w:r w:rsidRPr="00B03BD7">
        <w:rPr>
          <w:b/>
          <w:sz w:val="24"/>
          <w:szCs w:val="24"/>
        </w:rPr>
        <w:t>Almindeligt følsomme arter</w:t>
      </w:r>
    </w:p>
    <w:p w14:paraId="67BEDA45" w14:textId="77777777" w:rsidR="00B03BD7" w:rsidRPr="00B03BD7" w:rsidRDefault="00B03BD7" w:rsidP="00B03BD7">
      <w:pPr>
        <w:tabs>
          <w:tab w:val="left" w:pos="851"/>
        </w:tabs>
        <w:ind w:left="851"/>
        <w:rPr>
          <w:b/>
          <w:sz w:val="24"/>
          <w:szCs w:val="24"/>
        </w:rPr>
      </w:pPr>
    </w:p>
    <w:p w14:paraId="1FC86801" w14:textId="77777777" w:rsidR="00B03BD7" w:rsidRPr="00B03BD7" w:rsidRDefault="00B03BD7" w:rsidP="00B03BD7">
      <w:pPr>
        <w:tabs>
          <w:tab w:val="left" w:pos="851"/>
        </w:tabs>
        <w:ind w:left="851"/>
        <w:rPr>
          <w:sz w:val="24"/>
          <w:szCs w:val="24"/>
          <w:u w:val="single"/>
        </w:rPr>
      </w:pPr>
      <w:r w:rsidRPr="00B03BD7">
        <w:rPr>
          <w:sz w:val="24"/>
          <w:szCs w:val="24"/>
          <w:u w:val="single"/>
        </w:rPr>
        <w:t>Aerobe grampositive mikroorganismer</w:t>
      </w:r>
    </w:p>
    <w:p w14:paraId="664AA728" w14:textId="77777777" w:rsidR="00B03BD7" w:rsidRPr="00B03BD7" w:rsidRDefault="00B03BD7" w:rsidP="00B03BD7">
      <w:pPr>
        <w:tabs>
          <w:tab w:val="left" w:pos="851"/>
        </w:tabs>
        <w:ind w:left="851"/>
        <w:rPr>
          <w:i/>
          <w:iCs/>
          <w:sz w:val="24"/>
          <w:szCs w:val="24"/>
        </w:rPr>
      </w:pPr>
      <w:r w:rsidRPr="00B03BD7">
        <w:rPr>
          <w:i/>
          <w:iCs/>
          <w:sz w:val="24"/>
          <w:szCs w:val="24"/>
        </w:rPr>
        <w:t xml:space="preserve">Enterococcus faecalis </w:t>
      </w:r>
      <w:r w:rsidRPr="00B03BD7">
        <w:rPr>
          <w:sz w:val="24"/>
          <w:szCs w:val="24"/>
        </w:rPr>
        <w:t>(kun ampicillin- eller penicillinfølsomme isolater)</w:t>
      </w:r>
    </w:p>
    <w:p w14:paraId="58FB9D98" w14:textId="77777777" w:rsidR="00B03BD7" w:rsidRPr="00B03BD7" w:rsidRDefault="00B03BD7" w:rsidP="00B03BD7">
      <w:pPr>
        <w:tabs>
          <w:tab w:val="left" w:pos="851"/>
        </w:tabs>
        <w:ind w:left="851"/>
        <w:rPr>
          <w:i/>
          <w:iCs/>
          <w:sz w:val="24"/>
          <w:szCs w:val="24"/>
        </w:rPr>
      </w:pPr>
      <w:r w:rsidRPr="00B03BD7">
        <w:rPr>
          <w:i/>
          <w:iCs/>
          <w:sz w:val="24"/>
          <w:szCs w:val="24"/>
        </w:rPr>
        <w:t>Listeria monocytogenes</w:t>
      </w:r>
    </w:p>
    <w:p w14:paraId="47D9B7EB" w14:textId="77777777" w:rsidR="00B03BD7" w:rsidRPr="00B03BD7" w:rsidRDefault="00B03BD7" w:rsidP="00B03BD7">
      <w:pPr>
        <w:tabs>
          <w:tab w:val="left" w:pos="851"/>
        </w:tabs>
        <w:ind w:left="851"/>
        <w:rPr>
          <w:sz w:val="24"/>
          <w:szCs w:val="24"/>
        </w:rPr>
      </w:pPr>
      <w:r w:rsidRPr="00B03BD7">
        <w:rPr>
          <w:i/>
          <w:iCs/>
          <w:sz w:val="24"/>
          <w:szCs w:val="24"/>
        </w:rPr>
        <w:t xml:space="preserve">Staphylococcus aureus </w:t>
      </w:r>
      <w:r w:rsidRPr="00B03BD7">
        <w:rPr>
          <w:sz w:val="24"/>
          <w:szCs w:val="24"/>
        </w:rPr>
        <w:t>(kun methicillin</w:t>
      </w:r>
      <w:r w:rsidRPr="00B03BD7">
        <w:rPr>
          <w:sz w:val="24"/>
          <w:szCs w:val="24"/>
        </w:rPr>
        <w:noBreakHyphen/>
        <w:t>følsomme isolater)</w:t>
      </w:r>
    </w:p>
    <w:p w14:paraId="06719B33" w14:textId="77777777" w:rsidR="00B03BD7" w:rsidRPr="00B03BD7" w:rsidRDefault="00B03BD7" w:rsidP="00B03BD7">
      <w:pPr>
        <w:tabs>
          <w:tab w:val="left" w:pos="851"/>
        </w:tabs>
        <w:ind w:left="851"/>
        <w:rPr>
          <w:i/>
          <w:iCs/>
          <w:sz w:val="24"/>
          <w:szCs w:val="24"/>
        </w:rPr>
      </w:pPr>
      <w:r w:rsidRPr="00B03BD7">
        <w:rPr>
          <w:i/>
          <w:iCs/>
          <w:sz w:val="24"/>
          <w:szCs w:val="24"/>
        </w:rPr>
        <w:t>Staphylococcus</w:t>
      </w:r>
      <w:r w:rsidRPr="00B03BD7">
        <w:rPr>
          <w:i/>
          <w:iCs/>
          <w:sz w:val="24"/>
          <w:szCs w:val="24"/>
        </w:rPr>
        <w:noBreakHyphen/>
      </w:r>
      <w:r w:rsidRPr="00B03BD7">
        <w:rPr>
          <w:sz w:val="24"/>
          <w:szCs w:val="24"/>
        </w:rPr>
        <w:t>arter, koagulase</w:t>
      </w:r>
      <w:r w:rsidRPr="00B03BD7">
        <w:rPr>
          <w:sz w:val="24"/>
          <w:szCs w:val="24"/>
        </w:rPr>
        <w:noBreakHyphen/>
        <w:t>negative (kun methicillin</w:t>
      </w:r>
      <w:r w:rsidRPr="00B03BD7">
        <w:rPr>
          <w:sz w:val="24"/>
          <w:szCs w:val="24"/>
        </w:rPr>
        <w:noBreakHyphen/>
        <w:t>følsomme isolater)</w:t>
      </w:r>
    </w:p>
    <w:p w14:paraId="4F5BAB6C" w14:textId="77777777" w:rsidR="00B03BD7" w:rsidRPr="00B03BD7" w:rsidRDefault="00B03BD7" w:rsidP="00B03BD7">
      <w:pPr>
        <w:tabs>
          <w:tab w:val="left" w:pos="851"/>
        </w:tabs>
        <w:ind w:left="851"/>
        <w:rPr>
          <w:i/>
          <w:iCs/>
          <w:sz w:val="24"/>
          <w:szCs w:val="24"/>
        </w:rPr>
      </w:pPr>
      <w:r w:rsidRPr="00B03BD7">
        <w:rPr>
          <w:i/>
          <w:iCs/>
          <w:sz w:val="24"/>
          <w:szCs w:val="24"/>
        </w:rPr>
        <w:t>Streptococcus agalactiae</w:t>
      </w:r>
      <w:r w:rsidRPr="00B03BD7">
        <w:rPr>
          <w:sz w:val="24"/>
          <w:szCs w:val="24"/>
        </w:rPr>
        <w:t xml:space="preserve"> (gruppe B</w:t>
      </w:r>
      <w:r w:rsidRPr="00B03BD7">
        <w:rPr>
          <w:sz w:val="24"/>
          <w:szCs w:val="24"/>
        </w:rPr>
        <w:noBreakHyphen/>
        <w:t>streptokokker)†</w:t>
      </w:r>
    </w:p>
    <w:p w14:paraId="0ACC3B69" w14:textId="77777777" w:rsidR="00B03BD7" w:rsidRPr="00B03BD7" w:rsidRDefault="00B03BD7" w:rsidP="00B03BD7">
      <w:pPr>
        <w:tabs>
          <w:tab w:val="left" w:pos="851"/>
        </w:tabs>
        <w:ind w:left="851"/>
        <w:rPr>
          <w:i/>
          <w:iCs/>
          <w:sz w:val="24"/>
          <w:szCs w:val="24"/>
          <w:lang w:val="nb-NO"/>
        </w:rPr>
      </w:pPr>
      <w:r w:rsidRPr="00B03BD7">
        <w:rPr>
          <w:i/>
          <w:iCs/>
          <w:sz w:val="24"/>
          <w:szCs w:val="24"/>
          <w:lang w:val="nb-NO"/>
        </w:rPr>
        <w:t>Streptococcus pyogenes</w:t>
      </w:r>
      <w:r w:rsidRPr="00B03BD7">
        <w:rPr>
          <w:sz w:val="24"/>
          <w:szCs w:val="24"/>
          <w:lang w:val="nb-NO"/>
        </w:rPr>
        <w:t xml:space="preserve"> (gruppe A</w:t>
      </w:r>
      <w:r w:rsidRPr="00B03BD7">
        <w:rPr>
          <w:sz w:val="24"/>
          <w:szCs w:val="24"/>
          <w:lang w:val="nb-NO"/>
        </w:rPr>
        <w:noBreakHyphen/>
        <w:t>streptokokker)†</w:t>
      </w:r>
    </w:p>
    <w:p w14:paraId="580FD135" w14:textId="77777777" w:rsidR="00B03BD7" w:rsidRPr="00B03BD7" w:rsidRDefault="00B03BD7" w:rsidP="00B03BD7">
      <w:pPr>
        <w:tabs>
          <w:tab w:val="left" w:pos="851"/>
        </w:tabs>
        <w:ind w:left="851"/>
        <w:rPr>
          <w:sz w:val="24"/>
          <w:szCs w:val="24"/>
          <w:lang w:val="nb-NO"/>
        </w:rPr>
      </w:pPr>
    </w:p>
    <w:p w14:paraId="71D9C295" w14:textId="77777777" w:rsidR="00B03BD7" w:rsidRPr="00B03BD7" w:rsidRDefault="00B03BD7" w:rsidP="00B03BD7">
      <w:pPr>
        <w:tabs>
          <w:tab w:val="left" w:pos="851"/>
        </w:tabs>
        <w:ind w:left="851"/>
        <w:rPr>
          <w:i/>
          <w:iCs/>
          <w:sz w:val="24"/>
          <w:szCs w:val="24"/>
          <w:lang w:val="nb-NO"/>
        </w:rPr>
      </w:pPr>
      <w:r w:rsidRPr="00B03BD7">
        <w:rPr>
          <w:sz w:val="24"/>
          <w:szCs w:val="24"/>
          <w:u w:val="single"/>
          <w:lang w:val="nb-NO"/>
        </w:rPr>
        <w:t>Aerobe gramnegative mikroorganismer</w:t>
      </w:r>
    </w:p>
    <w:p w14:paraId="4A0AB049" w14:textId="77777777" w:rsidR="00B03BD7" w:rsidRPr="00B03BD7" w:rsidRDefault="00B03BD7" w:rsidP="00B03BD7">
      <w:pPr>
        <w:tabs>
          <w:tab w:val="left" w:pos="851"/>
        </w:tabs>
        <w:ind w:left="851"/>
        <w:rPr>
          <w:i/>
          <w:iCs/>
          <w:sz w:val="24"/>
          <w:szCs w:val="24"/>
          <w:lang w:val="nb-NO"/>
        </w:rPr>
      </w:pPr>
      <w:r w:rsidRPr="00B03BD7">
        <w:rPr>
          <w:i/>
          <w:iCs/>
          <w:sz w:val="24"/>
          <w:szCs w:val="24"/>
          <w:lang w:val="nb-NO"/>
        </w:rPr>
        <w:t>Citrobacter koseri</w:t>
      </w:r>
    </w:p>
    <w:p w14:paraId="1719B890" w14:textId="77777777" w:rsidR="00B03BD7" w:rsidRPr="00B03BD7" w:rsidRDefault="00B03BD7" w:rsidP="00B03BD7">
      <w:pPr>
        <w:tabs>
          <w:tab w:val="left" w:pos="851"/>
        </w:tabs>
        <w:ind w:left="851"/>
        <w:rPr>
          <w:i/>
          <w:iCs/>
          <w:sz w:val="24"/>
          <w:szCs w:val="24"/>
          <w:lang w:val="nb-NO"/>
        </w:rPr>
      </w:pPr>
      <w:r w:rsidRPr="00B03BD7">
        <w:rPr>
          <w:i/>
          <w:iCs/>
          <w:sz w:val="24"/>
          <w:szCs w:val="24"/>
          <w:lang w:val="nb-NO"/>
        </w:rPr>
        <w:t>Haemophilus influenzae</w:t>
      </w:r>
    </w:p>
    <w:p w14:paraId="50CA3032" w14:textId="77777777" w:rsidR="00B03BD7" w:rsidRPr="00B03BD7" w:rsidRDefault="00B03BD7" w:rsidP="00B03BD7">
      <w:pPr>
        <w:tabs>
          <w:tab w:val="left" w:pos="851"/>
        </w:tabs>
        <w:ind w:left="851"/>
        <w:rPr>
          <w:i/>
          <w:iCs/>
          <w:sz w:val="24"/>
          <w:szCs w:val="24"/>
          <w:lang w:val="nb-NO"/>
        </w:rPr>
      </w:pPr>
      <w:r w:rsidRPr="00B03BD7">
        <w:rPr>
          <w:i/>
          <w:iCs/>
          <w:sz w:val="24"/>
          <w:szCs w:val="24"/>
          <w:lang w:val="nb-NO"/>
        </w:rPr>
        <w:t>Moraxella catarrhalis</w:t>
      </w:r>
    </w:p>
    <w:p w14:paraId="77A7DDBB" w14:textId="77777777" w:rsidR="00B03BD7" w:rsidRPr="00B03BD7" w:rsidRDefault="00B03BD7" w:rsidP="00B03BD7">
      <w:pPr>
        <w:tabs>
          <w:tab w:val="left" w:pos="851"/>
        </w:tabs>
        <w:ind w:left="851"/>
        <w:rPr>
          <w:i/>
          <w:iCs/>
          <w:sz w:val="24"/>
          <w:szCs w:val="24"/>
          <w:lang w:val="nb-NO"/>
        </w:rPr>
      </w:pPr>
      <w:r w:rsidRPr="00B03BD7">
        <w:rPr>
          <w:i/>
          <w:iCs/>
          <w:sz w:val="24"/>
          <w:szCs w:val="24"/>
          <w:lang w:val="nb-NO"/>
        </w:rPr>
        <w:t>Proteus mirabilis</w:t>
      </w:r>
    </w:p>
    <w:p w14:paraId="7DF23A87" w14:textId="77777777" w:rsidR="00B03BD7" w:rsidRPr="00B03BD7" w:rsidRDefault="00B03BD7" w:rsidP="00B03BD7">
      <w:pPr>
        <w:tabs>
          <w:tab w:val="left" w:pos="851"/>
        </w:tabs>
        <w:ind w:left="851"/>
        <w:rPr>
          <w:b/>
          <w:sz w:val="24"/>
          <w:szCs w:val="24"/>
          <w:lang w:val="nb-NO"/>
        </w:rPr>
      </w:pPr>
    </w:p>
    <w:p w14:paraId="50BC46F3" w14:textId="77777777" w:rsidR="00B03BD7" w:rsidRPr="00B03BD7" w:rsidRDefault="00B03BD7" w:rsidP="00B03BD7">
      <w:pPr>
        <w:tabs>
          <w:tab w:val="left" w:pos="851"/>
        </w:tabs>
        <w:ind w:left="851"/>
        <w:rPr>
          <w:sz w:val="24"/>
          <w:szCs w:val="24"/>
          <w:u w:val="single"/>
          <w:lang w:val="nb-NO"/>
        </w:rPr>
      </w:pPr>
      <w:r w:rsidRPr="00B03BD7">
        <w:rPr>
          <w:sz w:val="24"/>
          <w:szCs w:val="24"/>
          <w:u w:val="single"/>
          <w:lang w:val="nb-NO"/>
        </w:rPr>
        <w:t>Anaerobe grampositive mikroorganismer</w:t>
      </w:r>
    </w:p>
    <w:p w14:paraId="61FAC67F" w14:textId="77777777" w:rsidR="00B03BD7" w:rsidRPr="00B03BD7" w:rsidRDefault="00B03BD7" w:rsidP="00B03BD7">
      <w:pPr>
        <w:tabs>
          <w:tab w:val="left" w:pos="851"/>
        </w:tabs>
        <w:ind w:left="851"/>
        <w:rPr>
          <w:i/>
          <w:iCs/>
          <w:sz w:val="24"/>
          <w:szCs w:val="24"/>
          <w:lang w:val="nb-NO"/>
        </w:rPr>
      </w:pPr>
      <w:r w:rsidRPr="00B03BD7">
        <w:rPr>
          <w:i/>
          <w:iCs/>
          <w:sz w:val="24"/>
          <w:szCs w:val="24"/>
          <w:lang w:val="nb-NO"/>
        </w:rPr>
        <w:t>Clostridium</w:t>
      </w:r>
      <w:r w:rsidRPr="00B03BD7">
        <w:rPr>
          <w:i/>
          <w:iCs/>
          <w:sz w:val="24"/>
          <w:szCs w:val="24"/>
          <w:lang w:val="nb-NO"/>
        </w:rPr>
        <w:noBreakHyphen/>
      </w:r>
      <w:r w:rsidRPr="00B03BD7">
        <w:rPr>
          <w:sz w:val="24"/>
          <w:szCs w:val="24"/>
          <w:lang w:val="nb-NO"/>
        </w:rPr>
        <w:t>arter</w:t>
      </w:r>
    </w:p>
    <w:p w14:paraId="6C9DD764" w14:textId="77777777" w:rsidR="00B03BD7" w:rsidRPr="00B03BD7" w:rsidRDefault="00B03BD7" w:rsidP="00B03BD7">
      <w:pPr>
        <w:tabs>
          <w:tab w:val="left" w:pos="851"/>
        </w:tabs>
        <w:ind w:left="851"/>
        <w:rPr>
          <w:i/>
          <w:iCs/>
          <w:sz w:val="24"/>
          <w:szCs w:val="24"/>
          <w:lang w:val="nb-NO"/>
        </w:rPr>
      </w:pPr>
      <w:r w:rsidRPr="00B03BD7">
        <w:rPr>
          <w:i/>
          <w:iCs/>
          <w:sz w:val="24"/>
          <w:szCs w:val="24"/>
          <w:lang w:val="nb-NO"/>
        </w:rPr>
        <w:t>Eubacterium</w:t>
      </w:r>
      <w:r w:rsidRPr="00B03BD7">
        <w:rPr>
          <w:i/>
          <w:iCs/>
          <w:sz w:val="24"/>
          <w:szCs w:val="24"/>
          <w:lang w:val="nb-NO"/>
        </w:rPr>
        <w:noBreakHyphen/>
      </w:r>
      <w:r w:rsidRPr="00B03BD7">
        <w:rPr>
          <w:sz w:val="24"/>
          <w:szCs w:val="24"/>
          <w:lang w:val="nb-NO"/>
        </w:rPr>
        <w:t>arter</w:t>
      </w:r>
    </w:p>
    <w:p w14:paraId="7E5D0EAF" w14:textId="77777777" w:rsidR="00B03BD7" w:rsidRPr="00B03BD7" w:rsidRDefault="00B03BD7" w:rsidP="00B03BD7">
      <w:pPr>
        <w:tabs>
          <w:tab w:val="left" w:pos="851"/>
        </w:tabs>
        <w:ind w:left="851"/>
        <w:rPr>
          <w:i/>
          <w:iCs/>
          <w:sz w:val="24"/>
          <w:szCs w:val="24"/>
          <w:lang w:val="nb-NO"/>
        </w:rPr>
      </w:pPr>
      <w:r w:rsidRPr="00B03BD7">
        <w:rPr>
          <w:i/>
          <w:iCs/>
          <w:sz w:val="24"/>
          <w:szCs w:val="24"/>
          <w:lang w:val="nb-NO"/>
        </w:rPr>
        <w:t>Anaerobic grampositive cocci</w:t>
      </w:r>
      <w:r w:rsidRPr="00B03BD7">
        <w:rPr>
          <w:sz w:val="24"/>
          <w:szCs w:val="24"/>
          <w:lang w:val="nb-NO"/>
        </w:rPr>
        <w:t>††</w:t>
      </w:r>
    </w:p>
    <w:p w14:paraId="53095D6A" w14:textId="77777777" w:rsidR="00B03BD7" w:rsidRPr="00B03BD7" w:rsidRDefault="00B03BD7" w:rsidP="00B03BD7">
      <w:pPr>
        <w:tabs>
          <w:tab w:val="left" w:pos="851"/>
        </w:tabs>
        <w:ind w:left="851"/>
        <w:rPr>
          <w:sz w:val="24"/>
          <w:szCs w:val="24"/>
          <w:lang w:val="nb-NO"/>
        </w:rPr>
      </w:pPr>
    </w:p>
    <w:p w14:paraId="29517F81" w14:textId="77777777" w:rsidR="00B03BD7" w:rsidRPr="00B03BD7" w:rsidRDefault="00B03BD7" w:rsidP="00B03BD7">
      <w:pPr>
        <w:tabs>
          <w:tab w:val="left" w:pos="851"/>
        </w:tabs>
        <w:ind w:left="851"/>
        <w:rPr>
          <w:sz w:val="24"/>
          <w:szCs w:val="24"/>
          <w:u w:val="single"/>
          <w:lang w:val="nb-NO"/>
        </w:rPr>
      </w:pPr>
      <w:r w:rsidRPr="00B03BD7">
        <w:rPr>
          <w:sz w:val="24"/>
          <w:szCs w:val="24"/>
          <w:u w:val="single"/>
          <w:lang w:val="nb-NO"/>
        </w:rPr>
        <w:t>Anaerobe gramnegative mikroorganismer</w:t>
      </w:r>
    </w:p>
    <w:p w14:paraId="36954318" w14:textId="77777777" w:rsidR="00B03BD7" w:rsidRPr="00B03BD7" w:rsidRDefault="00B03BD7" w:rsidP="00B03BD7">
      <w:pPr>
        <w:tabs>
          <w:tab w:val="left" w:pos="851"/>
        </w:tabs>
        <w:ind w:left="851"/>
        <w:rPr>
          <w:i/>
          <w:iCs/>
          <w:sz w:val="24"/>
          <w:szCs w:val="24"/>
          <w:lang w:val="nb-NO"/>
        </w:rPr>
      </w:pPr>
      <w:r w:rsidRPr="00B03BD7">
        <w:rPr>
          <w:i/>
          <w:iCs/>
          <w:sz w:val="24"/>
          <w:szCs w:val="24"/>
          <w:lang w:val="nb-NO"/>
        </w:rPr>
        <w:t>Bacteroides fragilis</w:t>
      </w:r>
      <w:r w:rsidRPr="00B03BD7">
        <w:rPr>
          <w:i/>
          <w:iCs/>
          <w:sz w:val="24"/>
          <w:szCs w:val="24"/>
          <w:lang w:val="nb-NO"/>
        </w:rPr>
        <w:noBreakHyphen/>
      </w:r>
      <w:r w:rsidRPr="00B03BD7">
        <w:rPr>
          <w:sz w:val="24"/>
          <w:szCs w:val="24"/>
          <w:lang w:val="nb-NO"/>
        </w:rPr>
        <w:t>gruppen</w:t>
      </w:r>
    </w:p>
    <w:p w14:paraId="173BB149" w14:textId="77777777" w:rsidR="00B03BD7" w:rsidRPr="00B03BD7" w:rsidRDefault="00B03BD7" w:rsidP="00B03BD7">
      <w:pPr>
        <w:tabs>
          <w:tab w:val="left" w:pos="851"/>
        </w:tabs>
        <w:ind w:left="851"/>
        <w:rPr>
          <w:i/>
          <w:iCs/>
          <w:sz w:val="24"/>
          <w:szCs w:val="24"/>
          <w:lang w:val="nb-NO"/>
        </w:rPr>
      </w:pPr>
      <w:r w:rsidRPr="00B03BD7">
        <w:rPr>
          <w:i/>
          <w:iCs/>
          <w:sz w:val="24"/>
          <w:szCs w:val="24"/>
          <w:lang w:val="nb-NO"/>
        </w:rPr>
        <w:t>Fusobacterium</w:t>
      </w:r>
      <w:r w:rsidRPr="00B03BD7">
        <w:rPr>
          <w:i/>
          <w:iCs/>
          <w:sz w:val="24"/>
          <w:szCs w:val="24"/>
          <w:lang w:val="nb-NO"/>
        </w:rPr>
        <w:noBreakHyphen/>
      </w:r>
      <w:r w:rsidRPr="00B03BD7">
        <w:rPr>
          <w:sz w:val="24"/>
          <w:szCs w:val="24"/>
          <w:lang w:val="nb-NO"/>
        </w:rPr>
        <w:t>arter</w:t>
      </w:r>
    </w:p>
    <w:p w14:paraId="680CEE85" w14:textId="77777777" w:rsidR="00B03BD7" w:rsidRPr="00B03BD7" w:rsidRDefault="00B03BD7" w:rsidP="00B03BD7">
      <w:pPr>
        <w:tabs>
          <w:tab w:val="left" w:pos="851"/>
        </w:tabs>
        <w:ind w:left="851"/>
        <w:rPr>
          <w:i/>
          <w:iCs/>
          <w:sz w:val="24"/>
          <w:szCs w:val="24"/>
          <w:lang w:val="nb-NO"/>
        </w:rPr>
      </w:pPr>
      <w:r w:rsidRPr="00B03BD7">
        <w:rPr>
          <w:i/>
          <w:iCs/>
          <w:sz w:val="24"/>
          <w:szCs w:val="24"/>
          <w:lang w:val="nb-NO"/>
        </w:rPr>
        <w:t>Porphyromonas</w:t>
      </w:r>
      <w:r w:rsidRPr="00B03BD7">
        <w:rPr>
          <w:sz w:val="24"/>
          <w:szCs w:val="24"/>
          <w:lang w:val="nb-NO"/>
        </w:rPr>
        <w:noBreakHyphen/>
        <w:t>arter</w:t>
      </w:r>
    </w:p>
    <w:p w14:paraId="53275C93" w14:textId="77777777" w:rsidR="00B03BD7" w:rsidRPr="00B03BD7" w:rsidRDefault="00B03BD7" w:rsidP="00B03BD7">
      <w:pPr>
        <w:tabs>
          <w:tab w:val="left" w:pos="851"/>
        </w:tabs>
        <w:ind w:left="851"/>
        <w:rPr>
          <w:sz w:val="24"/>
          <w:szCs w:val="24"/>
        </w:rPr>
      </w:pPr>
      <w:r w:rsidRPr="00B03BD7">
        <w:rPr>
          <w:i/>
          <w:iCs/>
          <w:sz w:val="24"/>
          <w:szCs w:val="24"/>
        </w:rPr>
        <w:t>Prevotella</w:t>
      </w:r>
      <w:r w:rsidRPr="00B03BD7">
        <w:rPr>
          <w:i/>
          <w:iCs/>
          <w:sz w:val="24"/>
          <w:szCs w:val="24"/>
        </w:rPr>
        <w:noBreakHyphen/>
      </w:r>
      <w:r w:rsidRPr="00B03BD7">
        <w:rPr>
          <w:sz w:val="24"/>
          <w:szCs w:val="24"/>
        </w:rPr>
        <w:t>arter</w:t>
      </w:r>
    </w:p>
    <w:p w14:paraId="281761B3" w14:textId="77777777" w:rsidR="00B03BD7" w:rsidRPr="00B03BD7" w:rsidRDefault="00B03BD7" w:rsidP="00B03BD7">
      <w:pPr>
        <w:tabs>
          <w:tab w:val="left" w:pos="851"/>
        </w:tabs>
        <w:ind w:left="851"/>
        <w:rPr>
          <w:b/>
          <w:sz w:val="24"/>
          <w:szCs w:val="24"/>
        </w:rPr>
      </w:pPr>
    </w:p>
    <w:p w14:paraId="240BD1E4" w14:textId="77777777" w:rsidR="00B03BD7" w:rsidRPr="00B03BD7" w:rsidRDefault="00B03BD7" w:rsidP="00B03BD7">
      <w:pPr>
        <w:tabs>
          <w:tab w:val="left" w:pos="851"/>
        </w:tabs>
        <w:ind w:left="851"/>
        <w:rPr>
          <w:b/>
          <w:bCs/>
          <w:sz w:val="24"/>
          <w:szCs w:val="24"/>
        </w:rPr>
      </w:pPr>
      <w:r w:rsidRPr="00B03BD7">
        <w:rPr>
          <w:b/>
          <w:bCs/>
          <w:sz w:val="24"/>
          <w:szCs w:val="24"/>
        </w:rPr>
        <w:t>Arter, hvor erhvervet resistens kan være et problem</w:t>
      </w:r>
    </w:p>
    <w:p w14:paraId="50301668" w14:textId="77777777" w:rsidR="00B03BD7" w:rsidRDefault="00B03BD7" w:rsidP="00B03BD7">
      <w:pPr>
        <w:tabs>
          <w:tab w:val="left" w:pos="851"/>
        </w:tabs>
        <w:ind w:left="851"/>
        <w:rPr>
          <w:sz w:val="24"/>
          <w:szCs w:val="24"/>
          <w:u w:val="single"/>
        </w:rPr>
      </w:pPr>
    </w:p>
    <w:p w14:paraId="747FE4B4" w14:textId="0B68D7EB" w:rsidR="00B03BD7" w:rsidRPr="00B03BD7" w:rsidRDefault="00B03BD7" w:rsidP="00B03BD7">
      <w:pPr>
        <w:tabs>
          <w:tab w:val="left" w:pos="851"/>
        </w:tabs>
        <w:ind w:left="851"/>
        <w:rPr>
          <w:sz w:val="24"/>
          <w:szCs w:val="24"/>
          <w:u w:val="single"/>
        </w:rPr>
      </w:pPr>
      <w:r w:rsidRPr="00B03BD7">
        <w:rPr>
          <w:sz w:val="24"/>
          <w:szCs w:val="24"/>
          <w:u w:val="single"/>
        </w:rPr>
        <w:t>Aerobe grampositive mikroorganismer</w:t>
      </w:r>
    </w:p>
    <w:p w14:paraId="6975B52A" w14:textId="77777777" w:rsidR="00B03BD7" w:rsidRPr="00B03BD7" w:rsidRDefault="00B03BD7" w:rsidP="00B03BD7">
      <w:pPr>
        <w:tabs>
          <w:tab w:val="left" w:pos="851"/>
        </w:tabs>
        <w:ind w:left="851"/>
        <w:rPr>
          <w:i/>
          <w:iCs/>
          <w:sz w:val="24"/>
          <w:szCs w:val="24"/>
        </w:rPr>
      </w:pPr>
      <w:r w:rsidRPr="00B03BD7">
        <w:rPr>
          <w:i/>
          <w:iCs/>
          <w:sz w:val="24"/>
          <w:szCs w:val="24"/>
        </w:rPr>
        <w:t>Enterococcus faecium</w:t>
      </w:r>
    </w:p>
    <w:p w14:paraId="63B3FC20" w14:textId="77777777" w:rsidR="00B03BD7" w:rsidRPr="00B03BD7" w:rsidRDefault="00B03BD7" w:rsidP="00B03BD7">
      <w:pPr>
        <w:tabs>
          <w:tab w:val="left" w:pos="851"/>
        </w:tabs>
        <w:ind w:left="851"/>
        <w:rPr>
          <w:i/>
          <w:iCs/>
          <w:sz w:val="24"/>
          <w:szCs w:val="24"/>
        </w:rPr>
      </w:pPr>
      <w:r w:rsidRPr="00B03BD7">
        <w:rPr>
          <w:i/>
          <w:iCs/>
          <w:sz w:val="24"/>
          <w:szCs w:val="24"/>
        </w:rPr>
        <w:lastRenderedPageBreak/>
        <w:t>Streptococcus pneumoniae</w:t>
      </w:r>
      <w:r w:rsidRPr="00B03BD7">
        <w:rPr>
          <w:sz w:val="24"/>
          <w:szCs w:val="24"/>
        </w:rPr>
        <w:t>†</w:t>
      </w:r>
    </w:p>
    <w:p w14:paraId="0ADC38BC" w14:textId="77777777" w:rsidR="00B03BD7" w:rsidRPr="00B03BD7" w:rsidRDefault="00B03BD7" w:rsidP="00B03BD7">
      <w:pPr>
        <w:tabs>
          <w:tab w:val="left" w:pos="851"/>
        </w:tabs>
        <w:ind w:left="851"/>
        <w:rPr>
          <w:i/>
          <w:iCs/>
          <w:sz w:val="24"/>
          <w:szCs w:val="24"/>
        </w:rPr>
      </w:pPr>
      <w:r w:rsidRPr="00B03BD7">
        <w:rPr>
          <w:i/>
          <w:iCs/>
          <w:sz w:val="24"/>
          <w:szCs w:val="24"/>
        </w:rPr>
        <w:t>Streptococcus viridans</w:t>
      </w:r>
      <w:r w:rsidRPr="00B03BD7">
        <w:rPr>
          <w:i/>
          <w:iCs/>
          <w:sz w:val="24"/>
          <w:szCs w:val="24"/>
        </w:rPr>
        <w:noBreakHyphen/>
      </w:r>
      <w:r w:rsidRPr="00B03BD7">
        <w:rPr>
          <w:sz w:val="24"/>
          <w:szCs w:val="24"/>
        </w:rPr>
        <w:t>gruppen†</w:t>
      </w:r>
    </w:p>
    <w:p w14:paraId="3D79475C" w14:textId="77777777" w:rsidR="00B03BD7" w:rsidRPr="00B03BD7" w:rsidRDefault="00B03BD7" w:rsidP="00B03BD7">
      <w:pPr>
        <w:tabs>
          <w:tab w:val="left" w:pos="851"/>
        </w:tabs>
        <w:ind w:left="851"/>
        <w:rPr>
          <w:sz w:val="24"/>
          <w:szCs w:val="24"/>
        </w:rPr>
      </w:pPr>
    </w:p>
    <w:p w14:paraId="70B35DB3" w14:textId="77777777" w:rsidR="00B03BD7" w:rsidRPr="00B03BD7" w:rsidRDefault="00B03BD7" w:rsidP="00B03BD7">
      <w:pPr>
        <w:tabs>
          <w:tab w:val="left" w:pos="851"/>
        </w:tabs>
        <w:ind w:left="851"/>
        <w:rPr>
          <w:sz w:val="24"/>
          <w:szCs w:val="24"/>
          <w:u w:val="single"/>
        </w:rPr>
      </w:pPr>
      <w:r w:rsidRPr="00B03BD7">
        <w:rPr>
          <w:sz w:val="24"/>
          <w:szCs w:val="24"/>
          <w:u w:val="single"/>
        </w:rPr>
        <w:t>Aerobe gramnegative mikroorganismer</w:t>
      </w:r>
    </w:p>
    <w:p w14:paraId="2C1E8E98" w14:textId="77777777" w:rsidR="00B03BD7" w:rsidRPr="00B03BD7" w:rsidRDefault="00B03BD7" w:rsidP="00B03BD7">
      <w:pPr>
        <w:tabs>
          <w:tab w:val="left" w:pos="851"/>
        </w:tabs>
        <w:ind w:left="851"/>
        <w:rPr>
          <w:i/>
          <w:iCs/>
          <w:sz w:val="24"/>
          <w:szCs w:val="24"/>
        </w:rPr>
      </w:pPr>
      <w:r w:rsidRPr="00B03BD7">
        <w:rPr>
          <w:i/>
          <w:iCs/>
          <w:sz w:val="24"/>
          <w:szCs w:val="24"/>
        </w:rPr>
        <w:t>Acinetobacter baumannii</w:t>
      </w:r>
    </w:p>
    <w:p w14:paraId="2B512CB8" w14:textId="77777777" w:rsidR="00B03BD7" w:rsidRPr="00B03BD7" w:rsidRDefault="00B03BD7" w:rsidP="00B03BD7">
      <w:pPr>
        <w:tabs>
          <w:tab w:val="left" w:pos="851"/>
        </w:tabs>
        <w:ind w:left="851"/>
        <w:rPr>
          <w:i/>
          <w:iCs/>
          <w:sz w:val="24"/>
          <w:szCs w:val="24"/>
          <w:lang w:val="en-US"/>
        </w:rPr>
      </w:pPr>
      <w:r w:rsidRPr="00B03BD7">
        <w:rPr>
          <w:i/>
          <w:iCs/>
          <w:sz w:val="24"/>
          <w:szCs w:val="24"/>
          <w:lang w:val="en-US"/>
        </w:rPr>
        <w:t>Citrobacter freundii</w:t>
      </w:r>
    </w:p>
    <w:p w14:paraId="642D5DF7" w14:textId="77777777" w:rsidR="00B03BD7" w:rsidRPr="00B03BD7" w:rsidRDefault="00B03BD7" w:rsidP="00B03BD7">
      <w:pPr>
        <w:tabs>
          <w:tab w:val="left" w:pos="851"/>
        </w:tabs>
        <w:ind w:left="851"/>
        <w:rPr>
          <w:i/>
          <w:iCs/>
          <w:sz w:val="24"/>
          <w:szCs w:val="24"/>
          <w:lang w:val="en-US"/>
        </w:rPr>
      </w:pPr>
      <w:r w:rsidRPr="00B03BD7">
        <w:rPr>
          <w:i/>
          <w:iCs/>
          <w:sz w:val="24"/>
          <w:szCs w:val="24"/>
          <w:lang w:val="en-US"/>
        </w:rPr>
        <w:t>Enterobacter</w:t>
      </w:r>
      <w:r w:rsidRPr="00B03BD7">
        <w:rPr>
          <w:sz w:val="24"/>
          <w:szCs w:val="24"/>
          <w:lang w:val="en-US"/>
        </w:rPr>
        <w:noBreakHyphen/>
        <w:t>arter</w:t>
      </w:r>
    </w:p>
    <w:p w14:paraId="3B7AC5BE" w14:textId="77777777" w:rsidR="00B03BD7" w:rsidRPr="00B03BD7" w:rsidRDefault="00B03BD7" w:rsidP="00B03BD7">
      <w:pPr>
        <w:tabs>
          <w:tab w:val="left" w:pos="851"/>
        </w:tabs>
        <w:ind w:left="851"/>
        <w:rPr>
          <w:i/>
          <w:iCs/>
          <w:sz w:val="24"/>
          <w:szCs w:val="24"/>
          <w:lang w:val="en-US"/>
        </w:rPr>
      </w:pPr>
      <w:r w:rsidRPr="00B03BD7">
        <w:rPr>
          <w:i/>
          <w:iCs/>
          <w:sz w:val="24"/>
          <w:szCs w:val="24"/>
          <w:lang w:val="en-US"/>
        </w:rPr>
        <w:t>Escherichia coli</w:t>
      </w:r>
    </w:p>
    <w:p w14:paraId="7000CAE9" w14:textId="77777777" w:rsidR="00B03BD7" w:rsidRPr="00B03BD7" w:rsidRDefault="00B03BD7" w:rsidP="00B03BD7">
      <w:pPr>
        <w:tabs>
          <w:tab w:val="left" w:pos="851"/>
        </w:tabs>
        <w:ind w:left="851"/>
        <w:rPr>
          <w:i/>
          <w:iCs/>
          <w:sz w:val="24"/>
          <w:szCs w:val="24"/>
          <w:lang w:val="en-US"/>
        </w:rPr>
      </w:pPr>
      <w:r w:rsidRPr="00B03BD7">
        <w:rPr>
          <w:i/>
          <w:iCs/>
          <w:sz w:val="24"/>
          <w:szCs w:val="24"/>
          <w:lang w:val="en-US"/>
        </w:rPr>
        <w:t>Klebsiella pneumoniae</w:t>
      </w:r>
    </w:p>
    <w:p w14:paraId="69753205" w14:textId="77777777" w:rsidR="00B03BD7" w:rsidRPr="00B03BD7" w:rsidRDefault="00B03BD7" w:rsidP="00B03BD7">
      <w:pPr>
        <w:tabs>
          <w:tab w:val="left" w:pos="851"/>
        </w:tabs>
        <w:ind w:left="851"/>
        <w:rPr>
          <w:i/>
          <w:iCs/>
          <w:sz w:val="24"/>
          <w:szCs w:val="24"/>
          <w:lang w:val="fi-FI"/>
        </w:rPr>
      </w:pPr>
      <w:r w:rsidRPr="00B03BD7">
        <w:rPr>
          <w:i/>
          <w:iCs/>
          <w:sz w:val="24"/>
          <w:szCs w:val="24"/>
          <w:lang w:val="fi-FI"/>
        </w:rPr>
        <w:t>Morganella morganii</w:t>
      </w:r>
    </w:p>
    <w:p w14:paraId="500CE0E0" w14:textId="77777777" w:rsidR="00B03BD7" w:rsidRPr="00B03BD7" w:rsidRDefault="00B03BD7" w:rsidP="00B03BD7">
      <w:pPr>
        <w:tabs>
          <w:tab w:val="left" w:pos="851"/>
        </w:tabs>
        <w:ind w:left="851"/>
        <w:rPr>
          <w:i/>
          <w:iCs/>
          <w:sz w:val="24"/>
          <w:szCs w:val="24"/>
          <w:lang w:val="fi-FI"/>
        </w:rPr>
      </w:pPr>
      <w:r w:rsidRPr="00B03BD7">
        <w:rPr>
          <w:i/>
          <w:iCs/>
          <w:sz w:val="24"/>
          <w:szCs w:val="24"/>
          <w:lang w:val="fi-FI"/>
        </w:rPr>
        <w:t>Proteus vulgaris</w:t>
      </w:r>
    </w:p>
    <w:p w14:paraId="191BE345" w14:textId="77777777" w:rsidR="00B03BD7" w:rsidRPr="00B03BD7" w:rsidRDefault="00B03BD7" w:rsidP="00B03BD7">
      <w:pPr>
        <w:tabs>
          <w:tab w:val="left" w:pos="851"/>
        </w:tabs>
        <w:ind w:left="851"/>
        <w:rPr>
          <w:i/>
          <w:iCs/>
          <w:sz w:val="24"/>
          <w:szCs w:val="24"/>
          <w:lang w:val="fi-FI"/>
        </w:rPr>
      </w:pPr>
      <w:r w:rsidRPr="00B03BD7">
        <w:rPr>
          <w:i/>
          <w:iCs/>
          <w:sz w:val="24"/>
          <w:szCs w:val="24"/>
          <w:lang w:val="fi-FI"/>
        </w:rPr>
        <w:t>Providencia ssp.</w:t>
      </w:r>
    </w:p>
    <w:p w14:paraId="5DEA8523" w14:textId="77777777" w:rsidR="00B03BD7" w:rsidRPr="00B03BD7" w:rsidRDefault="00B03BD7" w:rsidP="00B03BD7">
      <w:pPr>
        <w:tabs>
          <w:tab w:val="left" w:pos="851"/>
        </w:tabs>
        <w:ind w:left="851"/>
        <w:rPr>
          <w:i/>
          <w:iCs/>
          <w:sz w:val="24"/>
          <w:szCs w:val="24"/>
          <w:lang w:val="sv-SE"/>
        </w:rPr>
      </w:pPr>
      <w:r w:rsidRPr="00B03BD7">
        <w:rPr>
          <w:i/>
          <w:iCs/>
          <w:sz w:val="24"/>
          <w:szCs w:val="24"/>
          <w:lang w:val="sv-SE"/>
        </w:rPr>
        <w:t>Pseudomonas aeruginosa</w:t>
      </w:r>
    </w:p>
    <w:p w14:paraId="09027CF7" w14:textId="77777777" w:rsidR="00B03BD7" w:rsidRPr="00B03BD7" w:rsidRDefault="00B03BD7" w:rsidP="00B03BD7">
      <w:pPr>
        <w:tabs>
          <w:tab w:val="left" w:pos="851"/>
        </w:tabs>
        <w:ind w:left="851"/>
        <w:rPr>
          <w:sz w:val="24"/>
          <w:szCs w:val="24"/>
          <w:lang w:val="sv-SE"/>
        </w:rPr>
      </w:pPr>
      <w:r w:rsidRPr="00B03BD7">
        <w:rPr>
          <w:i/>
          <w:iCs/>
          <w:sz w:val="24"/>
          <w:szCs w:val="24"/>
          <w:lang w:val="sv-SE"/>
        </w:rPr>
        <w:t>Serratia</w:t>
      </w:r>
      <w:r w:rsidRPr="00B03BD7">
        <w:rPr>
          <w:i/>
          <w:iCs/>
          <w:sz w:val="24"/>
          <w:szCs w:val="24"/>
          <w:lang w:val="sv-SE"/>
        </w:rPr>
        <w:noBreakHyphen/>
      </w:r>
      <w:r w:rsidRPr="00B03BD7">
        <w:rPr>
          <w:sz w:val="24"/>
          <w:szCs w:val="24"/>
          <w:lang w:val="sv-SE"/>
        </w:rPr>
        <w:t>arter</w:t>
      </w:r>
    </w:p>
    <w:p w14:paraId="3F80BCC3" w14:textId="77777777" w:rsidR="00B03BD7" w:rsidRPr="00B03BD7" w:rsidRDefault="00B03BD7" w:rsidP="00B03BD7">
      <w:pPr>
        <w:tabs>
          <w:tab w:val="left" w:pos="851"/>
        </w:tabs>
        <w:ind w:left="851"/>
        <w:rPr>
          <w:b/>
          <w:sz w:val="24"/>
          <w:szCs w:val="24"/>
          <w:lang w:val="sv-SE"/>
        </w:rPr>
      </w:pPr>
    </w:p>
    <w:p w14:paraId="48D6650C" w14:textId="77777777" w:rsidR="00B03BD7" w:rsidRPr="00B03BD7" w:rsidRDefault="00B03BD7" w:rsidP="00B03BD7">
      <w:pPr>
        <w:tabs>
          <w:tab w:val="left" w:pos="851"/>
        </w:tabs>
        <w:ind w:left="851"/>
        <w:rPr>
          <w:b/>
          <w:bCs/>
          <w:sz w:val="24"/>
          <w:szCs w:val="24"/>
          <w:lang w:val="sv-SE"/>
        </w:rPr>
      </w:pPr>
      <w:r w:rsidRPr="00B03BD7">
        <w:rPr>
          <w:b/>
          <w:bCs/>
          <w:sz w:val="24"/>
          <w:szCs w:val="24"/>
          <w:lang w:val="sv-SE"/>
        </w:rPr>
        <w:t>Naturligt resistente organismer</w:t>
      </w:r>
    </w:p>
    <w:p w14:paraId="0C8AC318" w14:textId="77777777" w:rsidR="00B03BD7" w:rsidRDefault="00B03BD7" w:rsidP="00B03BD7">
      <w:pPr>
        <w:tabs>
          <w:tab w:val="left" w:pos="851"/>
        </w:tabs>
        <w:ind w:left="851"/>
        <w:rPr>
          <w:sz w:val="24"/>
          <w:szCs w:val="24"/>
          <w:u w:val="single"/>
          <w:lang w:val="sv-SE"/>
        </w:rPr>
      </w:pPr>
    </w:p>
    <w:p w14:paraId="63EF5FE3" w14:textId="5FD86AEC" w:rsidR="00B03BD7" w:rsidRPr="00B03BD7" w:rsidRDefault="00B03BD7" w:rsidP="00B03BD7">
      <w:pPr>
        <w:tabs>
          <w:tab w:val="left" w:pos="851"/>
        </w:tabs>
        <w:ind w:left="851"/>
        <w:rPr>
          <w:sz w:val="24"/>
          <w:szCs w:val="24"/>
          <w:u w:val="single"/>
          <w:lang w:val="sv-SE"/>
        </w:rPr>
      </w:pPr>
      <w:r w:rsidRPr="00B03BD7">
        <w:rPr>
          <w:sz w:val="24"/>
          <w:szCs w:val="24"/>
          <w:u w:val="single"/>
          <w:lang w:val="sv-SE"/>
        </w:rPr>
        <w:t>Aerobe grampositive mikroorganismer</w:t>
      </w:r>
    </w:p>
    <w:p w14:paraId="713E8232" w14:textId="77777777" w:rsidR="00B03BD7" w:rsidRPr="00B03BD7" w:rsidRDefault="00B03BD7" w:rsidP="00B03BD7">
      <w:pPr>
        <w:tabs>
          <w:tab w:val="left" w:pos="851"/>
        </w:tabs>
        <w:ind w:left="851"/>
        <w:rPr>
          <w:i/>
          <w:iCs/>
          <w:sz w:val="24"/>
          <w:szCs w:val="24"/>
          <w:lang w:val="sv-SE"/>
        </w:rPr>
      </w:pPr>
      <w:r w:rsidRPr="00B03BD7">
        <w:rPr>
          <w:i/>
          <w:iCs/>
          <w:sz w:val="24"/>
          <w:szCs w:val="24"/>
          <w:lang w:val="sv-SE"/>
        </w:rPr>
        <w:t>Corynebacterium jeikeium</w:t>
      </w:r>
    </w:p>
    <w:p w14:paraId="0615A63D" w14:textId="77777777" w:rsidR="00B03BD7" w:rsidRPr="00B03BD7" w:rsidRDefault="00B03BD7" w:rsidP="00B03BD7">
      <w:pPr>
        <w:tabs>
          <w:tab w:val="left" w:pos="851"/>
        </w:tabs>
        <w:ind w:left="851"/>
        <w:rPr>
          <w:sz w:val="24"/>
          <w:szCs w:val="24"/>
          <w:lang w:val="sv-SE"/>
        </w:rPr>
      </w:pPr>
    </w:p>
    <w:p w14:paraId="07971F32" w14:textId="77777777" w:rsidR="00B03BD7" w:rsidRPr="00B03BD7" w:rsidRDefault="00B03BD7" w:rsidP="00B03BD7">
      <w:pPr>
        <w:tabs>
          <w:tab w:val="left" w:pos="851"/>
        </w:tabs>
        <w:ind w:left="851"/>
        <w:rPr>
          <w:sz w:val="24"/>
          <w:szCs w:val="24"/>
          <w:u w:val="single"/>
          <w:lang w:val="sv-SE"/>
        </w:rPr>
      </w:pPr>
      <w:r w:rsidRPr="00B03BD7">
        <w:rPr>
          <w:sz w:val="24"/>
          <w:szCs w:val="24"/>
          <w:u w:val="single"/>
          <w:lang w:val="sv-SE"/>
        </w:rPr>
        <w:t>Aerobe gramnegative mikroorganismer</w:t>
      </w:r>
    </w:p>
    <w:p w14:paraId="4B947B02" w14:textId="77777777" w:rsidR="00B03BD7" w:rsidRPr="00B03BD7" w:rsidRDefault="00B03BD7" w:rsidP="00B03BD7">
      <w:pPr>
        <w:tabs>
          <w:tab w:val="left" w:pos="851"/>
        </w:tabs>
        <w:ind w:left="851"/>
        <w:rPr>
          <w:i/>
          <w:iCs/>
          <w:sz w:val="24"/>
          <w:szCs w:val="24"/>
          <w:lang w:val="sv-SE"/>
        </w:rPr>
      </w:pPr>
      <w:r w:rsidRPr="00B03BD7">
        <w:rPr>
          <w:i/>
          <w:iCs/>
          <w:sz w:val="24"/>
          <w:szCs w:val="24"/>
          <w:lang w:val="sv-SE"/>
        </w:rPr>
        <w:t>Burkholderia cepacia</w:t>
      </w:r>
    </w:p>
    <w:p w14:paraId="1A3FDE43" w14:textId="77777777" w:rsidR="00B03BD7" w:rsidRPr="00B03BD7" w:rsidRDefault="00B03BD7" w:rsidP="00B03BD7">
      <w:pPr>
        <w:tabs>
          <w:tab w:val="left" w:pos="851"/>
        </w:tabs>
        <w:ind w:left="851"/>
        <w:rPr>
          <w:i/>
          <w:iCs/>
          <w:sz w:val="24"/>
          <w:szCs w:val="24"/>
          <w:lang w:val="sv-SE"/>
        </w:rPr>
      </w:pPr>
      <w:r w:rsidRPr="00B03BD7">
        <w:rPr>
          <w:i/>
          <w:iCs/>
          <w:sz w:val="24"/>
          <w:szCs w:val="24"/>
          <w:lang w:val="sv-SE"/>
        </w:rPr>
        <w:t>Legionella</w:t>
      </w:r>
      <w:r w:rsidRPr="00B03BD7">
        <w:rPr>
          <w:i/>
          <w:iCs/>
          <w:sz w:val="24"/>
          <w:szCs w:val="24"/>
          <w:lang w:val="sv-SE"/>
        </w:rPr>
        <w:noBreakHyphen/>
      </w:r>
      <w:r w:rsidRPr="00B03BD7">
        <w:rPr>
          <w:sz w:val="24"/>
          <w:szCs w:val="24"/>
          <w:lang w:val="sv-SE"/>
        </w:rPr>
        <w:t>arter</w:t>
      </w:r>
    </w:p>
    <w:p w14:paraId="1F3E5E59" w14:textId="77777777" w:rsidR="00B03BD7" w:rsidRPr="00B03BD7" w:rsidRDefault="00B03BD7" w:rsidP="00B03BD7">
      <w:pPr>
        <w:tabs>
          <w:tab w:val="left" w:pos="851"/>
        </w:tabs>
        <w:ind w:left="851"/>
        <w:rPr>
          <w:i/>
          <w:iCs/>
          <w:sz w:val="24"/>
          <w:szCs w:val="24"/>
          <w:lang w:val="sv-SE"/>
        </w:rPr>
      </w:pPr>
      <w:r w:rsidRPr="00B03BD7">
        <w:rPr>
          <w:i/>
          <w:iCs/>
          <w:sz w:val="24"/>
          <w:szCs w:val="24"/>
          <w:lang w:val="sv-SE"/>
        </w:rPr>
        <w:t>Ochrobactrum anthropi</w:t>
      </w:r>
    </w:p>
    <w:p w14:paraId="36B6440A" w14:textId="77777777" w:rsidR="00B03BD7" w:rsidRPr="00B03BD7" w:rsidRDefault="00B03BD7" w:rsidP="00B03BD7">
      <w:pPr>
        <w:tabs>
          <w:tab w:val="left" w:pos="851"/>
        </w:tabs>
        <w:ind w:left="851"/>
        <w:rPr>
          <w:i/>
          <w:iCs/>
          <w:sz w:val="24"/>
          <w:szCs w:val="24"/>
          <w:lang w:val="sv-SE"/>
        </w:rPr>
      </w:pPr>
      <w:r w:rsidRPr="00B03BD7">
        <w:rPr>
          <w:i/>
          <w:iCs/>
          <w:sz w:val="24"/>
          <w:szCs w:val="24"/>
          <w:lang w:val="sv-SE"/>
        </w:rPr>
        <w:t>Stenotrophomonas maltophilia</w:t>
      </w:r>
    </w:p>
    <w:p w14:paraId="095D06F5" w14:textId="77777777" w:rsidR="00B03BD7" w:rsidRPr="00B03BD7" w:rsidRDefault="00B03BD7" w:rsidP="00B03BD7">
      <w:pPr>
        <w:tabs>
          <w:tab w:val="left" w:pos="851"/>
        </w:tabs>
        <w:ind w:left="851"/>
        <w:rPr>
          <w:sz w:val="24"/>
          <w:szCs w:val="24"/>
          <w:lang w:val="sv-SE"/>
        </w:rPr>
      </w:pPr>
    </w:p>
    <w:p w14:paraId="50E097E1" w14:textId="77777777" w:rsidR="00B03BD7" w:rsidRPr="00B03BD7" w:rsidRDefault="00B03BD7" w:rsidP="00B03BD7">
      <w:pPr>
        <w:tabs>
          <w:tab w:val="left" w:pos="851"/>
        </w:tabs>
        <w:ind w:left="851"/>
        <w:rPr>
          <w:sz w:val="24"/>
          <w:szCs w:val="24"/>
          <w:u w:val="single"/>
          <w:lang w:val="sv-SE"/>
        </w:rPr>
      </w:pPr>
      <w:r w:rsidRPr="00B03BD7">
        <w:rPr>
          <w:sz w:val="24"/>
          <w:szCs w:val="24"/>
          <w:u w:val="single"/>
          <w:lang w:val="sv-SE"/>
        </w:rPr>
        <w:t>Andre mikroorganismer</w:t>
      </w:r>
    </w:p>
    <w:p w14:paraId="532F7964" w14:textId="77777777" w:rsidR="00B03BD7" w:rsidRPr="00B03BD7" w:rsidRDefault="00B03BD7" w:rsidP="00B03BD7">
      <w:pPr>
        <w:tabs>
          <w:tab w:val="left" w:pos="851"/>
        </w:tabs>
        <w:ind w:left="851"/>
        <w:rPr>
          <w:i/>
          <w:iCs/>
          <w:sz w:val="24"/>
          <w:szCs w:val="24"/>
          <w:lang w:val="sv-SE"/>
        </w:rPr>
      </w:pPr>
      <w:r w:rsidRPr="00B03BD7">
        <w:rPr>
          <w:i/>
          <w:iCs/>
          <w:sz w:val="24"/>
          <w:szCs w:val="24"/>
          <w:lang w:val="sv-SE"/>
        </w:rPr>
        <w:t>Chlamydophila pneumoniae</w:t>
      </w:r>
    </w:p>
    <w:p w14:paraId="5F50C552" w14:textId="77777777" w:rsidR="00B03BD7" w:rsidRPr="00B03BD7" w:rsidRDefault="00B03BD7" w:rsidP="00B03BD7">
      <w:pPr>
        <w:tabs>
          <w:tab w:val="left" w:pos="851"/>
        </w:tabs>
        <w:ind w:left="851"/>
        <w:rPr>
          <w:i/>
          <w:iCs/>
          <w:sz w:val="24"/>
          <w:szCs w:val="24"/>
          <w:lang w:val="sv-SE"/>
        </w:rPr>
      </w:pPr>
      <w:r w:rsidRPr="00B03BD7">
        <w:rPr>
          <w:i/>
          <w:iCs/>
          <w:sz w:val="24"/>
          <w:szCs w:val="24"/>
          <w:lang w:val="sv-SE"/>
        </w:rPr>
        <w:t>Mycoplasma pneumoniae</w:t>
      </w:r>
    </w:p>
    <w:p w14:paraId="38AECC62" w14:textId="77777777" w:rsidR="00B03BD7" w:rsidRPr="00B03BD7" w:rsidRDefault="00B03BD7" w:rsidP="00B03BD7">
      <w:pPr>
        <w:tabs>
          <w:tab w:val="left" w:pos="851"/>
        </w:tabs>
        <w:ind w:left="851"/>
        <w:rPr>
          <w:b/>
          <w:sz w:val="24"/>
          <w:szCs w:val="24"/>
          <w:lang w:val="sv-SE"/>
        </w:rPr>
      </w:pPr>
    </w:p>
    <w:p w14:paraId="24E38D2A" w14:textId="77777777" w:rsidR="00B03BD7" w:rsidRPr="00B03BD7" w:rsidRDefault="00B03BD7" w:rsidP="00B03BD7">
      <w:pPr>
        <w:tabs>
          <w:tab w:val="left" w:pos="851"/>
        </w:tabs>
        <w:ind w:left="851"/>
        <w:rPr>
          <w:sz w:val="20"/>
          <w:lang w:val="sv-SE"/>
        </w:rPr>
      </w:pPr>
      <w:r w:rsidRPr="00B03BD7">
        <w:rPr>
          <w:sz w:val="20"/>
          <w:lang w:val="sv-SE"/>
        </w:rPr>
        <w:t xml:space="preserve">† Streptokokker er ikke </w:t>
      </w:r>
      <w:r w:rsidRPr="00B03BD7">
        <w:rPr>
          <w:sz w:val="20"/>
        </w:rPr>
        <w:t>β</w:t>
      </w:r>
      <w:r w:rsidRPr="00B03BD7">
        <w:rPr>
          <w:sz w:val="20"/>
          <w:lang w:val="sv-SE"/>
        </w:rPr>
        <w:t xml:space="preserve">-laktamaseproducerende bakterier; resistens hos disse organismer skyldes modifikationer i penicillinbindende proteiner (PBP’er), og derfor er følsomme isolater kun følsomme over for piperacillin. Penicillinresistens er ikke rapporteret for </w:t>
      </w:r>
      <w:r w:rsidRPr="00B03BD7">
        <w:rPr>
          <w:i/>
          <w:iCs/>
          <w:sz w:val="20"/>
          <w:lang w:val="sv-SE"/>
        </w:rPr>
        <w:t>S. pyogenes</w:t>
      </w:r>
      <w:r w:rsidRPr="00B03BD7">
        <w:rPr>
          <w:sz w:val="20"/>
          <w:lang w:val="sv-SE"/>
        </w:rPr>
        <w:t xml:space="preserve">. </w:t>
      </w:r>
    </w:p>
    <w:p w14:paraId="48AB5BA0" w14:textId="77777777" w:rsidR="00B03BD7" w:rsidRPr="00B03BD7" w:rsidRDefault="00B03BD7" w:rsidP="00B03BD7">
      <w:pPr>
        <w:tabs>
          <w:tab w:val="left" w:pos="851"/>
        </w:tabs>
        <w:ind w:left="851"/>
        <w:rPr>
          <w:b/>
          <w:sz w:val="20"/>
          <w:lang w:val="sv-SE"/>
        </w:rPr>
      </w:pPr>
      <w:r w:rsidRPr="00B03BD7">
        <w:rPr>
          <w:sz w:val="20"/>
          <w:vertAlign w:val="superscript"/>
          <w:lang w:val="sv-SE"/>
        </w:rPr>
        <w:t>††</w:t>
      </w:r>
      <w:r w:rsidRPr="00B03BD7">
        <w:rPr>
          <w:sz w:val="20"/>
          <w:lang w:val="sv-SE"/>
        </w:rPr>
        <w:t xml:space="preserve"> Inklusive </w:t>
      </w:r>
      <w:r w:rsidRPr="00B03BD7">
        <w:rPr>
          <w:i/>
          <w:iCs/>
          <w:sz w:val="20"/>
          <w:lang w:val="sv-SE"/>
        </w:rPr>
        <w:t>Anaerococcus</w:t>
      </w:r>
      <w:r w:rsidRPr="00B03BD7">
        <w:rPr>
          <w:sz w:val="20"/>
          <w:lang w:val="sv-SE"/>
        </w:rPr>
        <w:t xml:space="preserve">, </w:t>
      </w:r>
      <w:r w:rsidRPr="00B03BD7">
        <w:rPr>
          <w:i/>
          <w:iCs/>
          <w:sz w:val="20"/>
          <w:lang w:val="sv-SE"/>
        </w:rPr>
        <w:t>Finegoldia</w:t>
      </w:r>
      <w:r w:rsidRPr="00B03BD7">
        <w:rPr>
          <w:sz w:val="20"/>
          <w:lang w:val="sv-SE"/>
        </w:rPr>
        <w:t xml:space="preserve">, </w:t>
      </w:r>
      <w:r w:rsidRPr="00B03BD7">
        <w:rPr>
          <w:i/>
          <w:iCs/>
          <w:sz w:val="20"/>
          <w:lang w:val="sv-SE"/>
        </w:rPr>
        <w:t>Parvimonas</w:t>
      </w:r>
      <w:r w:rsidRPr="00B03BD7">
        <w:rPr>
          <w:sz w:val="20"/>
          <w:lang w:val="sv-SE"/>
        </w:rPr>
        <w:t xml:space="preserve">, </w:t>
      </w:r>
      <w:r w:rsidRPr="00B03BD7">
        <w:rPr>
          <w:i/>
          <w:iCs/>
          <w:sz w:val="20"/>
          <w:lang w:val="sv-SE"/>
        </w:rPr>
        <w:t>Peptoniphilus</w:t>
      </w:r>
      <w:r w:rsidRPr="00B03BD7">
        <w:rPr>
          <w:sz w:val="20"/>
          <w:lang w:val="sv-SE"/>
        </w:rPr>
        <w:t xml:space="preserve"> og </w:t>
      </w:r>
      <w:r w:rsidRPr="00B03BD7">
        <w:rPr>
          <w:i/>
          <w:iCs/>
          <w:sz w:val="20"/>
          <w:lang w:val="sv-SE"/>
        </w:rPr>
        <w:t>Peptostreptococcus spp</w:t>
      </w:r>
      <w:r w:rsidRPr="00B03BD7">
        <w:rPr>
          <w:sz w:val="20"/>
          <w:lang w:val="sv-SE"/>
        </w:rPr>
        <w:t>.</w:t>
      </w:r>
    </w:p>
    <w:p w14:paraId="70E6DB05" w14:textId="77777777" w:rsidR="00B03BD7" w:rsidRPr="00B03BD7" w:rsidRDefault="00B03BD7" w:rsidP="00B03BD7">
      <w:pPr>
        <w:tabs>
          <w:tab w:val="left" w:pos="851"/>
        </w:tabs>
        <w:ind w:left="851"/>
        <w:rPr>
          <w:bCs/>
          <w:sz w:val="24"/>
          <w:szCs w:val="24"/>
          <w:lang w:val="sv-SE"/>
        </w:rPr>
      </w:pPr>
    </w:p>
    <w:p w14:paraId="636D3D1C" w14:textId="77777777" w:rsidR="00B03BD7" w:rsidRPr="00B03BD7" w:rsidRDefault="00B03BD7" w:rsidP="00B03BD7">
      <w:pPr>
        <w:tabs>
          <w:tab w:val="left" w:pos="851"/>
        </w:tabs>
        <w:ind w:left="851"/>
        <w:rPr>
          <w:i/>
          <w:iCs/>
          <w:sz w:val="24"/>
          <w:szCs w:val="24"/>
          <w:lang w:val="sv-SE"/>
        </w:rPr>
      </w:pPr>
      <w:r w:rsidRPr="00B03BD7">
        <w:rPr>
          <w:i/>
          <w:iCs/>
          <w:sz w:val="24"/>
          <w:szCs w:val="24"/>
          <w:lang w:val="sv-SE"/>
        </w:rPr>
        <w:t>Merino-studiet (blodbaneinfektioner på grund af ESBL-producerende bakterier)</w:t>
      </w:r>
    </w:p>
    <w:p w14:paraId="70CE4365" w14:textId="77777777" w:rsidR="00B03BD7" w:rsidRPr="00B03BD7" w:rsidRDefault="00B03BD7" w:rsidP="00B03BD7">
      <w:pPr>
        <w:tabs>
          <w:tab w:val="left" w:pos="851"/>
        </w:tabs>
        <w:ind w:left="851"/>
        <w:rPr>
          <w:sz w:val="24"/>
          <w:szCs w:val="24"/>
          <w:lang w:val="sv-SE"/>
        </w:rPr>
      </w:pPr>
      <w:r w:rsidRPr="00B03BD7">
        <w:rPr>
          <w:sz w:val="24"/>
          <w:szCs w:val="24"/>
          <w:lang w:val="sv-SE"/>
        </w:rPr>
        <w:t xml:space="preserve">I et prospektivt, non-inferioritet, parallel-gruppe, publiceret randomiseret klinisk studie resulterede definitiv (dvs. baseret på følsomhed bekræftet </w:t>
      </w:r>
      <w:r w:rsidRPr="00B03BD7">
        <w:rPr>
          <w:i/>
          <w:iCs/>
          <w:sz w:val="24"/>
          <w:szCs w:val="24"/>
          <w:lang w:val="sv-SE"/>
        </w:rPr>
        <w:t>in vitro</w:t>
      </w:r>
      <w:r w:rsidRPr="00B03BD7">
        <w:rPr>
          <w:sz w:val="24"/>
          <w:szCs w:val="24"/>
          <w:lang w:val="sv-SE"/>
        </w:rPr>
        <w:t xml:space="preserve">) behandling med piperacillin/tazobactam sammenlignet med meropenem, ikke i non-inferiør 30-dages mortalitet hos voksne patienter med ikke-ceftriaxon-følsom </w:t>
      </w:r>
      <w:r w:rsidRPr="00B03BD7">
        <w:rPr>
          <w:i/>
          <w:iCs/>
          <w:sz w:val="24"/>
          <w:szCs w:val="24"/>
          <w:lang w:val="sv-SE"/>
        </w:rPr>
        <w:t>E. coli</w:t>
      </w:r>
      <w:r w:rsidRPr="00B03BD7">
        <w:rPr>
          <w:sz w:val="24"/>
          <w:szCs w:val="24"/>
          <w:lang w:val="sv-SE"/>
        </w:rPr>
        <w:t xml:space="preserve"> eller </w:t>
      </w:r>
      <w:r w:rsidRPr="00B03BD7">
        <w:rPr>
          <w:i/>
          <w:iCs/>
          <w:sz w:val="24"/>
          <w:szCs w:val="24"/>
          <w:lang w:val="sv-SE"/>
        </w:rPr>
        <w:t>K. pneumoniae</w:t>
      </w:r>
      <w:r w:rsidRPr="00B03BD7">
        <w:rPr>
          <w:sz w:val="24"/>
          <w:szCs w:val="24"/>
          <w:lang w:val="sv-SE"/>
        </w:rPr>
        <w:t xml:space="preserve"> blodbaneinfektioner.</w:t>
      </w:r>
    </w:p>
    <w:p w14:paraId="33FC6CEF" w14:textId="77777777" w:rsidR="00B03BD7" w:rsidRPr="00B03BD7" w:rsidRDefault="00B03BD7" w:rsidP="00B03BD7">
      <w:pPr>
        <w:tabs>
          <w:tab w:val="left" w:pos="851"/>
        </w:tabs>
        <w:ind w:left="851"/>
        <w:rPr>
          <w:sz w:val="24"/>
          <w:szCs w:val="24"/>
        </w:rPr>
      </w:pPr>
      <w:r w:rsidRPr="00B03BD7">
        <w:rPr>
          <w:sz w:val="24"/>
          <w:szCs w:val="24"/>
        </w:rPr>
        <w:t>I alt 23 ud af 187 patienter (12,3 %), der blev randomiseret til piperacillin/tazobactam, nåede det primære effektmål for mortalitet efter 30 dage sammenlignet med 7 ud af 191 (3,7 %) patienter, der blev randomiseret til meropenem (risikoforskel 8,6 % [ensidet 97,5 % CI − ∞ til 14,5 %]; P = 0,90 for non-inferioritet). Forskellen nåede ikke non-inferioritetsmarginen på 5 %.</w:t>
      </w:r>
    </w:p>
    <w:p w14:paraId="75EBCE62" w14:textId="77777777" w:rsidR="00B03BD7" w:rsidRPr="00B03BD7" w:rsidRDefault="00B03BD7" w:rsidP="00B03BD7">
      <w:pPr>
        <w:tabs>
          <w:tab w:val="left" w:pos="851"/>
        </w:tabs>
        <w:ind w:left="851"/>
        <w:rPr>
          <w:sz w:val="24"/>
          <w:szCs w:val="24"/>
        </w:rPr>
      </w:pPr>
    </w:p>
    <w:p w14:paraId="72598354" w14:textId="77777777" w:rsidR="00B03BD7" w:rsidRPr="00B03BD7" w:rsidRDefault="00B03BD7" w:rsidP="00B03BD7">
      <w:pPr>
        <w:tabs>
          <w:tab w:val="left" w:pos="851"/>
        </w:tabs>
        <w:ind w:left="851"/>
        <w:rPr>
          <w:sz w:val="24"/>
          <w:szCs w:val="24"/>
        </w:rPr>
      </w:pPr>
      <w:r w:rsidRPr="00B03BD7">
        <w:rPr>
          <w:sz w:val="24"/>
          <w:szCs w:val="24"/>
        </w:rPr>
        <w:t>Virkningerne var konsistente i en analyse af populationen per-protokol, hvor 18 ud af 170 patienter (10,6 %) i piperacillin/tazobactam-gruppen nåede det primære effektmål, sammenlignet med 7 ud af 186 (3,8 %) i meropenem-gruppen (risikoforskel 6,8 % [1-sidet 97,5 % CI − ∞ til 12,8 %]; P = 0,76 for non-inferioritet).</w:t>
      </w:r>
    </w:p>
    <w:p w14:paraId="6F1025EC" w14:textId="77777777" w:rsidR="00B03BD7" w:rsidRPr="00B03BD7" w:rsidRDefault="00B03BD7" w:rsidP="00B03BD7">
      <w:pPr>
        <w:tabs>
          <w:tab w:val="left" w:pos="851"/>
        </w:tabs>
        <w:ind w:left="851"/>
        <w:rPr>
          <w:sz w:val="24"/>
          <w:szCs w:val="24"/>
        </w:rPr>
      </w:pPr>
      <w:r w:rsidRPr="00B03BD7">
        <w:rPr>
          <w:sz w:val="24"/>
          <w:szCs w:val="24"/>
        </w:rPr>
        <w:lastRenderedPageBreak/>
        <w:t>Klinisk og mikrobiologisk remission (sekundære effektmål) ved dag 4 forekom hos 121 ud af 177 patienter (68,4 %) i piperacillin/tazobactam-gruppen sammenlignet med 138 ud af 185 (74,6 %) meropenem-randomiserede patienter (risikoforskel 6,2 % [95% CI – 15,5 til 3,1 %]; P = 0,19). Hvad angår de sekundære effektmål, var de statistiske test 2-sidede, og P &lt; 0,05 blev betragtet som signifikant.</w:t>
      </w:r>
    </w:p>
    <w:p w14:paraId="598BCB0A" w14:textId="77777777" w:rsidR="00B03BD7" w:rsidRPr="00B03BD7" w:rsidRDefault="00B03BD7" w:rsidP="00B03BD7">
      <w:pPr>
        <w:tabs>
          <w:tab w:val="left" w:pos="851"/>
        </w:tabs>
        <w:ind w:left="851"/>
        <w:rPr>
          <w:sz w:val="24"/>
          <w:szCs w:val="24"/>
        </w:rPr>
      </w:pPr>
    </w:p>
    <w:p w14:paraId="62F925A8" w14:textId="77777777" w:rsidR="00B03BD7" w:rsidRPr="00B03BD7" w:rsidRDefault="00B03BD7" w:rsidP="00B03BD7">
      <w:pPr>
        <w:tabs>
          <w:tab w:val="left" w:pos="851"/>
        </w:tabs>
        <w:ind w:left="851"/>
        <w:rPr>
          <w:sz w:val="24"/>
          <w:szCs w:val="24"/>
        </w:rPr>
      </w:pPr>
      <w:r w:rsidRPr="00B03BD7">
        <w:rPr>
          <w:sz w:val="24"/>
          <w:szCs w:val="24"/>
        </w:rPr>
        <w:t>I dette studie blev der set ubalance i mortaliteten mellem studiegrupperne. Det blev antaget, at dødsfaldene i piperacillin/tazobactam-gruppen snarere var relateret til underliggende sygdomme end til den samtidige infektion.</w:t>
      </w:r>
      <w:bookmarkEnd w:id="1"/>
    </w:p>
    <w:p w14:paraId="7F02B35F" w14:textId="77777777" w:rsidR="009260DE" w:rsidRPr="00C84483" w:rsidRDefault="009260DE" w:rsidP="009260DE">
      <w:pPr>
        <w:tabs>
          <w:tab w:val="left" w:pos="851"/>
        </w:tabs>
        <w:ind w:left="851"/>
        <w:rPr>
          <w:sz w:val="24"/>
          <w:szCs w:val="24"/>
        </w:rPr>
      </w:pPr>
    </w:p>
    <w:p w14:paraId="25A831CF"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51B7F0C" w14:textId="77777777" w:rsidR="00694BA6" w:rsidRDefault="00694BA6" w:rsidP="00694BA6">
      <w:pPr>
        <w:tabs>
          <w:tab w:val="left" w:pos="851"/>
        </w:tabs>
        <w:ind w:left="851"/>
        <w:rPr>
          <w:bCs/>
          <w:sz w:val="24"/>
          <w:szCs w:val="24"/>
          <w:u w:val="single"/>
        </w:rPr>
      </w:pPr>
    </w:p>
    <w:p w14:paraId="7E00ECDF" w14:textId="24978D7B" w:rsidR="00694BA6" w:rsidRPr="00694BA6" w:rsidRDefault="00694BA6" w:rsidP="00694BA6">
      <w:pPr>
        <w:tabs>
          <w:tab w:val="left" w:pos="851"/>
        </w:tabs>
        <w:ind w:left="851"/>
        <w:rPr>
          <w:bCs/>
          <w:sz w:val="24"/>
          <w:szCs w:val="24"/>
          <w:u w:val="single"/>
        </w:rPr>
      </w:pPr>
      <w:r w:rsidRPr="00694BA6">
        <w:rPr>
          <w:bCs/>
          <w:sz w:val="24"/>
          <w:szCs w:val="24"/>
          <w:u w:val="single"/>
        </w:rPr>
        <w:t>Absorption</w:t>
      </w:r>
    </w:p>
    <w:p w14:paraId="048C3528" w14:textId="77777777" w:rsidR="00694BA6" w:rsidRPr="00694BA6" w:rsidRDefault="00694BA6" w:rsidP="00694BA6">
      <w:pPr>
        <w:tabs>
          <w:tab w:val="left" w:pos="851"/>
        </w:tabs>
        <w:ind w:left="851"/>
        <w:rPr>
          <w:sz w:val="24"/>
          <w:szCs w:val="24"/>
        </w:rPr>
      </w:pPr>
      <w:r w:rsidRPr="00694BA6">
        <w:rPr>
          <w:sz w:val="24"/>
          <w:szCs w:val="24"/>
        </w:rPr>
        <w:t>De højeste piperacillin- og tazobactam-koncentrationer, der er set efter 4 g/0,5 g indgivet over 30 minutter ved intravenøs infusion, er hhv. 298 µg/ml og 34 µg/ml.</w:t>
      </w:r>
    </w:p>
    <w:p w14:paraId="11DFE2AD" w14:textId="77777777" w:rsidR="00694BA6" w:rsidRPr="00694BA6" w:rsidRDefault="00694BA6" w:rsidP="00694BA6">
      <w:pPr>
        <w:tabs>
          <w:tab w:val="left" w:pos="851"/>
        </w:tabs>
        <w:ind w:left="851"/>
        <w:rPr>
          <w:sz w:val="24"/>
          <w:szCs w:val="24"/>
        </w:rPr>
      </w:pPr>
    </w:p>
    <w:p w14:paraId="5507C197" w14:textId="77777777" w:rsidR="00694BA6" w:rsidRPr="00694BA6" w:rsidRDefault="00694BA6" w:rsidP="00694BA6">
      <w:pPr>
        <w:tabs>
          <w:tab w:val="left" w:pos="851"/>
        </w:tabs>
        <w:ind w:left="851"/>
        <w:rPr>
          <w:bCs/>
          <w:sz w:val="24"/>
          <w:szCs w:val="24"/>
          <w:u w:val="single"/>
        </w:rPr>
      </w:pPr>
      <w:r w:rsidRPr="00694BA6">
        <w:rPr>
          <w:bCs/>
          <w:sz w:val="24"/>
          <w:szCs w:val="24"/>
          <w:u w:val="single"/>
        </w:rPr>
        <w:t>Fordeling</w:t>
      </w:r>
    </w:p>
    <w:p w14:paraId="259AA748" w14:textId="77777777" w:rsidR="00694BA6" w:rsidRPr="00694BA6" w:rsidRDefault="00694BA6" w:rsidP="00694BA6">
      <w:pPr>
        <w:tabs>
          <w:tab w:val="left" w:pos="851"/>
        </w:tabs>
        <w:ind w:left="851"/>
        <w:rPr>
          <w:sz w:val="24"/>
          <w:szCs w:val="24"/>
        </w:rPr>
      </w:pPr>
      <w:r w:rsidRPr="00694BA6">
        <w:rPr>
          <w:sz w:val="24"/>
          <w:szCs w:val="24"/>
        </w:rPr>
        <w:t>Både piperacillin og tazobactam bindes ca. 30 % til plasmaproteiner. Hverken piperacillins eller tazobactams proteinbinding påvirkes af tilstedeværelsen af det andet stof. Tazobactam</w:t>
      </w:r>
      <w:r w:rsidRPr="00694BA6">
        <w:rPr>
          <w:sz w:val="24"/>
          <w:szCs w:val="24"/>
        </w:rPr>
        <w:noBreakHyphen/>
        <w:t>metabolittens proteinbinding er ubetydelig.</w:t>
      </w:r>
    </w:p>
    <w:p w14:paraId="39103E70" w14:textId="77777777" w:rsidR="00694BA6" w:rsidRPr="00694BA6" w:rsidRDefault="00694BA6" w:rsidP="00694BA6">
      <w:pPr>
        <w:tabs>
          <w:tab w:val="left" w:pos="851"/>
        </w:tabs>
        <w:ind w:left="851"/>
        <w:rPr>
          <w:sz w:val="24"/>
          <w:szCs w:val="24"/>
        </w:rPr>
      </w:pPr>
    </w:p>
    <w:p w14:paraId="3F381AE4" w14:textId="77777777" w:rsidR="00694BA6" w:rsidRPr="00694BA6" w:rsidRDefault="00694BA6" w:rsidP="00694BA6">
      <w:pPr>
        <w:tabs>
          <w:tab w:val="left" w:pos="851"/>
        </w:tabs>
        <w:ind w:left="851"/>
        <w:rPr>
          <w:sz w:val="24"/>
          <w:szCs w:val="24"/>
        </w:rPr>
      </w:pPr>
      <w:r w:rsidRPr="00694BA6">
        <w:rPr>
          <w:sz w:val="24"/>
          <w:szCs w:val="24"/>
        </w:rPr>
        <w:t>Piperacillin/tazobactam fordeles i stor udstrækning i væv og kropsvæsker, herunder tarmslimhinder, galdeblære, lunger, galde og knogler. Den gennemsnitlige koncentration i væv er generelt 50-100 % af plasmakoncentrationen. Fordelingen i cerebrospinalvæsken er lav hos forsøgspersoner med ikke</w:t>
      </w:r>
      <w:r w:rsidRPr="00694BA6">
        <w:rPr>
          <w:sz w:val="24"/>
          <w:szCs w:val="24"/>
        </w:rPr>
        <w:noBreakHyphen/>
        <w:t>betændte meninges, som ved andre penicilliner.</w:t>
      </w:r>
    </w:p>
    <w:p w14:paraId="666C6C40" w14:textId="77777777" w:rsidR="00694BA6" w:rsidRPr="00694BA6" w:rsidRDefault="00694BA6" w:rsidP="00694BA6">
      <w:pPr>
        <w:tabs>
          <w:tab w:val="left" w:pos="851"/>
        </w:tabs>
        <w:ind w:left="851"/>
        <w:rPr>
          <w:sz w:val="24"/>
          <w:szCs w:val="24"/>
        </w:rPr>
      </w:pPr>
    </w:p>
    <w:p w14:paraId="6881C1C4" w14:textId="77777777" w:rsidR="00694BA6" w:rsidRPr="00694BA6" w:rsidRDefault="00694BA6" w:rsidP="00694BA6">
      <w:pPr>
        <w:tabs>
          <w:tab w:val="left" w:pos="851"/>
        </w:tabs>
        <w:ind w:left="851"/>
        <w:rPr>
          <w:bCs/>
          <w:sz w:val="24"/>
          <w:szCs w:val="24"/>
          <w:u w:val="single"/>
        </w:rPr>
      </w:pPr>
      <w:r w:rsidRPr="00694BA6">
        <w:rPr>
          <w:bCs/>
          <w:sz w:val="24"/>
          <w:szCs w:val="24"/>
          <w:u w:val="single"/>
        </w:rPr>
        <w:t>Biotransformation</w:t>
      </w:r>
    </w:p>
    <w:p w14:paraId="54F37955" w14:textId="77777777" w:rsidR="00694BA6" w:rsidRPr="00694BA6" w:rsidRDefault="00694BA6" w:rsidP="00694BA6">
      <w:pPr>
        <w:tabs>
          <w:tab w:val="left" w:pos="851"/>
        </w:tabs>
        <w:ind w:left="851"/>
        <w:rPr>
          <w:sz w:val="24"/>
          <w:szCs w:val="24"/>
        </w:rPr>
      </w:pPr>
      <w:r w:rsidRPr="00694BA6">
        <w:rPr>
          <w:sz w:val="24"/>
          <w:szCs w:val="24"/>
        </w:rPr>
        <w:t>Piperacillin metaboliseres til en mindre mikrobiologisk aktiv desethylmetabolit. Tazobactam metaboliseres til en enkelt metabolit, der har vist sig at være mikrobiologisk inaktiv.</w:t>
      </w:r>
    </w:p>
    <w:p w14:paraId="1B8298C2" w14:textId="77777777" w:rsidR="00694BA6" w:rsidRPr="00694BA6" w:rsidRDefault="00694BA6" w:rsidP="00694BA6">
      <w:pPr>
        <w:tabs>
          <w:tab w:val="left" w:pos="851"/>
        </w:tabs>
        <w:ind w:left="851"/>
        <w:rPr>
          <w:sz w:val="24"/>
          <w:szCs w:val="24"/>
          <w:u w:val="single"/>
        </w:rPr>
      </w:pPr>
    </w:p>
    <w:p w14:paraId="7C2B0D02" w14:textId="77777777" w:rsidR="00694BA6" w:rsidRPr="00694BA6" w:rsidRDefault="00694BA6" w:rsidP="00694BA6">
      <w:pPr>
        <w:tabs>
          <w:tab w:val="left" w:pos="851"/>
        </w:tabs>
        <w:ind w:left="851"/>
        <w:rPr>
          <w:sz w:val="24"/>
          <w:szCs w:val="24"/>
          <w:u w:val="single"/>
        </w:rPr>
      </w:pPr>
      <w:r w:rsidRPr="00694BA6">
        <w:rPr>
          <w:sz w:val="24"/>
          <w:szCs w:val="24"/>
          <w:u w:val="single"/>
        </w:rPr>
        <w:t>Elimination</w:t>
      </w:r>
    </w:p>
    <w:p w14:paraId="1A9F1152" w14:textId="77777777" w:rsidR="00694BA6" w:rsidRPr="00694BA6" w:rsidRDefault="00694BA6" w:rsidP="00694BA6">
      <w:pPr>
        <w:tabs>
          <w:tab w:val="left" w:pos="851"/>
        </w:tabs>
        <w:ind w:left="851"/>
        <w:rPr>
          <w:sz w:val="24"/>
          <w:szCs w:val="24"/>
        </w:rPr>
      </w:pPr>
      <w:r w:rsidRPr="00694BA6">
        <w:rPr>
          <w:sz w:val="24"/>
          <w:szCs w:val="24"/>
        </w:rPr>
        <w:t>Piperacillin og tazobactam elimineres gennem nyrerne via glomerulær filtration og tubulær sekretion.</w:t>
      </w:r>
    </w:p>
    <w:p w14:paraId="6368398C" w14:textId="77777777" w:rsidR="00694BA6" w:rsidRPr="00694BA6" w:rsidRDefault="00694BA6" w:rsidP="00694BA6">
      <w:pPr>
        <w:tabs>
          <w:tab w:val="left" w:pos="851"/>
        </w:tabs>
        <w:ind w:left="851"/>
        <w:rPr>
          <w:sz w:val="24"/>
          <w:szCs w:val="24"/>
        </w:rPr>
      </w:pPr>
      <w:r w:rsidRPr="00694BA6">
        <w:rPr>
          <w:sz w:val="24"/>
          <w:szCs w:val="24"/>
        </w:rPr>
        <w:t>Piperacillin udskilles hurtigt i uforandret form, og 68 % af den administrerede dosis genfindes i urinen. Tazobactam og dets metabolit elimineres primært gennem renal udskillelse, og 80 % af den administrerede dosis genfindes i uforandret form og resten som metabolit. Piperacillin, tazobactam og desethylpiperacillin udskilles også i galden.</w:t>
      </w:r>
    </w:p>
    <w:p w14:paraId="3074A9FE" w14:textId="77777777" w:rsidR="00694BA6" w:rsidRPr="00694BA6" w:rsidRDefault="00694BA6" w:rsidP="00694BA6">
      <w:pPr>
        <w:tabs>
          <w:tab w:val="left" w:pos="851"/>
        </w:tabs>
        <w:ind w:left="851"/>
        <w:rPr>
          <w:sz w:val="24"/>
          <w:szCs w:val="24"/>
        </w:rPr>
      </w:pPr>
    </w:p>
    <w:p w14:paraId="06AA51F7" w14:textId="77777777" w:rsidR="00694BA6" w:rsidRPr="00694BA6" w:rsidRDefault="00694BA6" w:rsidP="00694BA6">
      <w:pPr>
        <w:tabs>
          <w:tab w:val="left" w:pos="851"/>
        </w:tabs>
        <w:ind w:left="851"/>
        <w:rPr>
          <w:sz w:val="24"/>
          <w:szCs w:val="24"/>
        </w:rPr>
      </w:pPr>
      <w:r w:rsidRPr="00694BA6">
        <w:rPr>
          <w:sz w:val="24"/>
          <w:szCs w:val="24"/>
        </w:rPr>
        <w:t>Efter indgift af en eller flere doser af piperacillin/tazobactam hos raske forsøgspersoner varierede plasmahalveringstiden af piperacillin og tazobactam fra 0,7 til 1,2 timer, og den var ikke påvirket af hverken dosis eller infusionsvarighed. Eliminationshalveringstiden af både piperacillin og tazobactam øges ved nedsat renal clearance.</w:t>
      </w:r>
    </w:p>
    <w:p w14:paraId="4F17184B" w14:textId="77777777" w:rsidR="00694BA6" w:rsidRPr="00694BA6" w:rsidRDefault="00694BA6" w:rsidP="00694BA6">
      <w:pPr>
        <w:tabs>
          <w:tab w:val="left" w:pos="851"/>
        </w:tabs>
        <w:ind w:left="851"/>
        <w:rPr>
          <w:sz w:val="24"/>
          <w:szCs w:val="24"/>
        </w:rPr>
      </w:pPr>
      <w:r w:rsidRPr="00694BA6">
        <w:rPr>
          <w:sz w:val="24"/>
          <w:szCs w:val="24"/>
        </w:rPr>
        <w:t xml:space="preserve"> </w:t>
      </w:r>
    </w:p>
    <w:p w14:paraId="440BCB7D" w14:textId="77777777" w:rsidR="00694BA6" w:rsidRPr="00694BA6" w:rsidRDefault="00694BA6" w:rsidP="00694BA6">
      <w:pPr>
        <w:tabs>
          <w:tab w:val="left" w:pos="851"/>
        </w:tabs>
        <w:ind w:left="851"/>
        <w:rPr>
          <w:sz w:val="24"/>
          <w:szCs w:val="24"/>
        </w:rPr>
      </w:pPr>
      <w:r w:rsidRPr="00694BA6">
        <w:rPr>
          <w:sz w:val="24"/>
          <w:szCs w:val="24"/>
        </w:rPr>
        <w:t>Tazobactam medfører ingen signifikant ændring i piperacillins farmakokinetik. Piperacillin synes at reducere clearance af tazobactam en smule.</w:t>
      </w:r>
    </w:p>
    <w:p w14:paraId="138A56E0" w14:textId="77777777" w:rsidR="00694BA6" w:rsidRPr="00694BA6" w:rsidRDefault="00694BA6" w:rsidP="00694BA6">
      <w:pPr>
        <w:tabs>
          <w:tab w:val="left" w:pos="851"/>
        </w:tabs>
        <w:ind w:left="851"/>
        <w:rPr>
          <w:sz w:val="24"/>
          <w:szCs w:val="24"/>
        </w:rPr>
      </w:pPr>
    </w:p>
    <w:p w14:paraId="3D338865" w14:textId="77777777" w:rsidR="00694BA6" w:rsidRPr="00694BA6" w:rsidRDefault="00694BA6" w:rsidP="00694BA6">
      <w:pPr>
        <w:tabs>
          <w:tab w:val="left" w:pos="851"/>
        </w:tabs>
        <w:ind w:left="851"/>
        <w:rPr>
          <w:bCs/>
          <w:sz w:val="24"/>
          <w:szCs w:val="24"/>
          <w:u w:val="single"/>
        </w:rPr>
      </w:pPr>
      <w:r w:rsidRPr="00694BA6">
        <w:rPr>
          <w:bCs/>
          <w:sz w:val="24"/>
          <w:szCs w:val="24"/>
          <w:u w:val="single"/>
        </w:rPr>
        <w:t>Særlige populationer</w:t>
      </w:r>
    </w:p>
    <w:p w14:paraId="7D046D4B" w14:textId="77777777" w:rsidR="00694BA6" w:rsidRPr="00694BA6" w:rsidRDefault="00694BA6" w:rsidP="00694BA6">
      <w:pPr>
        <w:tabs>
          <w:tab w:val="left" w:pos="851"/>
        </w:tabs>
        <w:ind w:left="851"/>
        <w:rPr>
          <w:sz w:val="24"/>
          <w:szCs w:val="24"/>
        </w:rPr>
      </w:pPr>
      <w:r w:rsidRPr="00694BA6">
        <w:rPr>
          <w:sz w:val="24"/>
          <w:szCs w:val="24"/>
        </w:rPr>
        <w:t xml:space="preserve">Halveringstiden af piperacillin og tazobactam stiger med henholdsvis ca. 25 % og 18 % hos patienter med levercirrose sammenlignet med raske forsøgspersoner.  </w:t>
      </w:r>
    </w:p>
    <w:p w14:paraId="2DE1D7F3" w14:textId="77777777" w:rsidR="00694BA6" w:rsidRPr="00694BA6" w:rsidRDefault="00694BA6" w:rsidP="00694BA6">
      <w:pPr>
        <w:tabs>
          <w:tab w:val="left" w:pos="851"/>
        </w:tabs>
        <w:ind w:left="851"/>
        <w:rPr>
          <w:sz w:val="24"/>
          <w:szCs w:val="24"/>
        </w:rPr>
      </w:pPr>
    </w:p>
    <w:p w14:paraId="4C2648F0" w14:textId="77777777" w:rsidR="00694BA6" w:rsidRPr="00694BA6" w:rsidRDefault="00694BA6" w:rsidP="00694BA6">
      <w:pPr>
        <w:tabs>
          <w:tab w:val="left" w:pos="851"/>
        </w:tabs>
        <w:ind w:left="851"/>
        <w:rPr>
          <w:sz w:val="24"/>
          <w:szCs w:val="24"/>
        </w:rPr>
      </w:pPr>
      <w:r w:rsidRPr="00694BA6">
        <w:rPr>
          <w:sz w:val="24"/>
          <w:szCs w:val="24"/>
        </w:rPr>
        <w:lastRenderedPageBreak/>
        <w:t>Eliminationshalveringstiden af både piperacillin og tazobactam øges ved nedsat kreatininclearance.</w:t>
      </w:r>
    </w:p>
    <w:p w14:paraId="73C8F9D9" w14:textId="77777777" w:rsidR="00694BA6" w:rsidRPr="00694BA6" w:rsidRDefault="00694BA6" w:rsidP="00694BA6">
      <w:pPr>
        <w:tabs>
          <w:tab w:val="left" w:pos="851"/>
        </w:tabs>
        <w:ind w:left="851"/>
        <w:rPr>
          <w:sz w:val="24"/>
          <w:szCs w:val="24"/>
        </w:rPr>
      </w:pPr>
      <w:r w:rsidRPr="00694BA6">
        <w:rPr>
          <w:sz w:val="24"/>
          <w:szCs w:val="24"/>
        </w:rPr>
        <w:t xml:space="preserve">Halveringstiden af piperacillin og tazobactam stiger til hhv. det dobbelte og til det firdobbelte ved en kreatininclearance på under 20 ml/min sammenlignet med patienter med normal nyrefunktion. </w:t>
      </w:r>
    </w:p>
    <w:p w14:paraId="0025F1CC" w14:textId="77777777" w:rsidR="00694BA6" w:rsidRPr="00694BA6" w:rsidRDefault="00694BA6" w:rsidP="00694BA6">
      <w:pPr>
        <w:tabs>
          <w:tab w:val="left" w:pos="851"/>
        </w:tabs>
        <w:ind w:left="851"/>
        <w:rPr>
          <w:sz w:val="24"/>
          <w:szCs w:val="24"/>
        </w:rPr>
      </w:pPr>
    </w:p>
    <w:p w14:paraId="4AB9CB3E" w14:textId="77777777" w:rsidR="00694BA6" w:rsidRPr="00694BA6" w:rsidRDefault="00694BA6" w:rsidP="00694BA6">
      <w:pPr>
        <w:tabs>
          <w:tab w:val="left" w:pos="851"/>
        </w:tabs>
        <w:ind w:left="851"/>
        <w:rPr>
          <w:sz w:val="24"/>
          <w:szCs w:val="24"/>
        </w:rPr>
      </w:pPr>
      <w:r w:rsidRPr="00694BA6">
        <w:rPr>
          <w:sz w:val="24"/>
          <w:szCs w:val="24"/>
        </w:rPr>
        <w:t>Hæmodialyse fjerner 30</w:t>
      </w:r>
      <w:r w:rsidRPr="00694BA6">
        <w:rPr>
          <w:sz w:val="24"/>
          <w:szCs w:val="24"/>
        </w:rPr>
        <w:noBreakHyphen/>
        <w:t>50 % af piperacillin/tazobactam, og yderligere 5 % af tazobactam</w:t>
      </w:r>
      <w:r w:rsidRPr="00694BA6">
        <w:rPr>
          <w:sz w:val="24"/>
          <w:szCs w:val="24"/>
        </w:rPr>
        <w:noBreakHyphen/>
        <w:t>dosen fjernes som tazobactam-metabolit. Peritonealdialyse fjerner henholdsvis ca. 6 % og 21 % af piperacillin- og tazobactam-doserne, og op til 18 % af tazobactam-dosen fjernes som tazobactam-metabolit.</w:t>
      </w:r>
    </w:p>
    <w:p w14:paraId="54B6E2D7" w14:textId="77777777" w:rsidR="00694BA6" w:rsidRPr="00694BA6" w:rsidRDefault="00694BA6" w:rsidP="00694BA6">
      <w:pPr>
        <w:tabs>
          <w:tab w:val="left" w:pos="851"/>
        </w:tabs>
        <w:ind w:left="851"/>
        <w:rPr>
          <w:b/>
          <w:sz w:val="24"/>
          <w:szCs w:val="24"/>
        </w:rPr>
      </w:pPr>
    </w:p>
    <w:p w14:paraId="072927C1" w14:textId="77777777" w:rsidR="00694BA6" w:rsidRPr="00694BA6" w:rsidRDefault="00694BA6" w:rsidP="00694BA6">
      <w:pPr>
        <w:tabs>
          <w:tab w:val="left" w:pos="851"/>
        </w:tabs>
        <w:ind w:left="851"/>
        <w:rPr>
          <w:i/>
          <w:sz w:val="24"/>
          <w:szCs w:val="24"/>
        </w:rPr>
      </w:pPr>
      <w:r w:rsidRPr="00694BA6">
        <w:rPr>
          <w:i/>
          <w:sz w:val="24"/>
          <w:szCs w:val="24"/>
        </w:rPr>
        <w:t>Pædiatrisk population</w:t>
      </w:r>
    </w:p>
    <w:p w14:paraId="50E6BBD4" w14:textId="77777777" w:rsidR="00694BA6" w:rsidRPr="00694BA6" w:rsidRDefault="00694BA6" w:rsidP="00694BA6">
      <w:pPr>
        <w:tabs>
          <w:tab w:val="left" w:pos="851"/>
        </w:tabs>
        <w:ind w:left="851"/>
        <w:rPr>
          <w:sz w:val="24"/>
          <w:szCs w:val="24"/>
        </w:rPr>
      </w:pPr>
      <w:r w:rsidRPr="00694BA6">
        <w:rPr>
          <w:sz w:val="24"/>
          <w:szCs w:val="24"/>
        </w:rPr>
        <w:t>I en farmakokinetisk populationsanalyse var den skønnede clearance hos patienter på 9 måneder til12 år sammenlignelig med clearance hos voksne, og den gennemsnitlige værdi for populationen (SE) var 5,64 (0,34) ml/min/kg. Estimatet for piperacillinclearance er 80 % af denne værdi hos pædiatriske patienter på 2</w:t>
      </w:r>
      <w:r w:rsidRPr="00694BA6">
        <w:rPr>
          <w:sz w:val="24"/>
          <w:szCs w:val="24"/>
        </w:rPr>
        <w:noBreakHyphen/>
        <w:t>9 måneder. Populationsgennemsnittet (SE) for piperacillins fordelingsvolumen er 0,243 (0,011) l/kg og er uafhængigt af alder.</w:t>
      </w:r>
    </w:p>
    <w:p w14:paraId="3EC08E01" w14:textId="77777777" w:rsidR="00694BA6" w:rsidRPr="00694BA6" w:rsidRDefault="00694BA6" w:rsidP="00694BA6">
      <w:pPr>
        <w:tabs>
          <w:tab w:val="left" w:pos="851"/>
        </w:tabs>
        <w:ind w:left="851"/>
        <w:rPr>
          <w:sz w:val="24"/>
          <w:szCs w:val="24"/>
        </w:rPr>
      </w:pPr>
    </w:p>
    <w:p w14:paraId="7C149BF8" w14:textId="77777777" w:rsidR="00694BA6" w:rsidRPr="00694BA6" w:rsidRDefault="00694BA6" w:rsidP="00694BA6">
      <w:pPr>
        <w:tabs>
          <w:tab w:val="left" w:pos="851"/>
        </w:tabs>
        <w:ind w:left="851"/>
        <w:rPr>
          <w:i/>
          <w:sz w:val="24"/>
          <w:szCs w:val="24"/>
        </w:rPr>
      </w:pPr>
      <w:r w:rsidRPr="00694BA6">
        <w:rPr>
          <w:i/>
          <w:sz w:val="24"/>
          <w:szCs w:val="24"/>
        </w:rPr>
        <w:t>Ældre patienter</w:t>
      </w:r>
    </w:p>
    <w:p w14:paraId="3DB0709B" w14:textId="77777777" w:rsidR="00694BA6" w:rsidRPr="00694BA6" w:rsidRDefault="00694BA6" w:rsidP="00694BA6">
      <w:pPr>
        <w:tabs>
          <w:tab w:val="left" w:pos="851"/>
        </w:tabs>
        <w:ind w:left="851"/>
        <w:rPr>
          <w:sz w:val="24"/>
          <w:szCs w:val="24"/>
        </w:rPr>
      </w:pPr>
      <w:r w:rsidRPr="00694BA6">
        <w:rPr>
          <w:sz w:val="24"/>
          <w:szCs w:val="24"/>
        </w:rPr>
        <w:t>Den gennemsnitlige halveringstid af piperacillin og tazobactam var hos ældre henholdsvis 32 % og 55 % længere end hos yngre forsøgspersoner. Denne forskel kan skyldes aldersrelaterede forandringer i kreatininclearance.</w:t>
      </w:r>
    </w:p>
    <w:p w14:paraId="34DCB95C" w14:textId="77777777" w:rsidR="00694BA6" w:rsidRPr="00694BA6" w:rsidRDefault="00694BA6" w:rsidP="00694BA6">
      <w:pPr>
        <w:tabs>
          <w:tab w:val="left" w:pos="851"/>
        </w:tabs>
        <w:ind w:left="851"/>
        <w:rPr>
          <w:sz w:val="24"/>
          <w:szCs w:val="24"/>
        </w:rPr>
      </w:pPr>
    </w:p>
    <w:p w14:paraId="12BFCA1A" w14:textId="77777777" w:rsidR="00694BA6" w:rsidRPr="00694BA6" w:rsidRDefault="00694BA6" w:rsidP="00694BA6">
      <w:pPr>
        <w:tabs>
          <w:tab w:val="left" w:pos="851"/>
        </w:tabs>
        <w:ind w:left="851"/>
        <w:rPr>
          <w:i/>
          <w:sz w:val="24"/>
          <w:szCs w:val="24"/>
        </w:rPr>
      </w:pPr>
      <w:r w:rsidRPr="00694BA6">
        <w:rPr>
          <w:i/>
          <w:sz w:val="24"/>
          <w:szCs w:val="24"/>
        </w:rPr>
        <w:t>Race</w:t>
      </w:r>
    </w:p>
    <w:p w14:paraId="62B90C74" w14:textId="77777777" w:rsidR="00694BA6" w:rsidRPr="00694BA6" w:rsidRDefault="00694BA6" w:rsidP="00694BA6">
      <w:pPr>
        <w:tabs>
          <w:tab w:val="left" w:pos="851"/>
        </w:tabs>
        <w:ind w:left="851"/>
        <w:rPr>
          <w:iCs/>
          <w:sz w:val="24"/>
          <w:szCs w:val="24"/>
        </w:rPr>
      </w:pPr>
      <w:r w:rsidRPr="00694BA6">
        <w:rPr>
          <w:iCs/>
          <w:sz w:val="24"/>
          <w:szCs w:val="24"/>
        </w:rPr>
        <w:t>Der blev ikke observeret nogen forskel i piperacillins og tazobactams farmakokinetik mellem asiatiske (n=9) og kaukasiske (n=9) raske frivillige forsøgspersoner, der fik en enkelt 4 g/0,5 g dosis.</w:t>
      </w:r>
    </w:p>
    <w:p w14:paraId="45BBF6B0" w14:textId="77777777" w:rsidR="009260DE" w:rsidRPr="00C84483" w:rsidRDefault="009260DE" w:rsidP="009260DE">
      <w:pPr>
        <w:tabs>
          <w:tab w:val="left" w:pos="851"/>
        </w:tabs>
        <w:ind w:left="851"/>
        <w:rPr>
          <w:sz w:val="24"/>
          <w:szCs w:val="24"/>
        </w:rPr>
      </w:pPr>
    </w:p>
    <w:p w14:paraId="56F3A5B6"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43350D9" w14:textId="77777777" w:rsidR="00694BA6" w:rsidRPr="00694BA6" w:rsidRDefault="00694BA6" w:rsidP="00694BA6">
      <w:pPr>
        <w:tabs>
          <w:tab w:val="left" w:pos="851"/>
        </w:tabs>
        <w:ind w:left="851"/>
        <w:rPr>
          <w:sz w:val="24"/>
          <w:szCs w:val="24"/>
        </w:rPr>
      </w:pPr>
      <w:r w:rsidRPr="00694BA6">
        <w:rPr>
          <w:sz w:val="24"/>
          <w:szCs w:val="24"/>
        </w:rPr>
        <w:t>Prækliniske data viser ingen særlig risiko for mennesker vurderet ud fra konventionelle studier af toksicitet og genotoksicitet efter gentagne doser. Der er ikke udført undersøgelser af karcinogeniciteten af piperacillin/tazobactam.</w:t>
      </w:r>
    </w:p>
    <w:p w14:paraId="1FB17DE2" w14:textId="77777777" w:rsidR="00694BA6" w:rsidRPr="00694BA6" w:rsidRDefault="00694BA6" w:rsidP="00694BA6">
      <w:pPr>
        <w:tabs>
          <w:tab w:val="left" w:pos="851"/>
        </w:tabs>
        <w:ind w:left="851"/>
        <w:rPr>
          <w:sz w:val="24"/>
          <w:szCs w:val="24"/>
        </w:rPr>
      </w:pPr>
    </w:p>
    <w:p w14:paraId="773713E6" w14:textId="77777777" w:rsidR="00694BA6" w:rsidRPr="00694BA6" w:rsidRDefault="00694BA6" w:rsidP="00694BA6">
      <w:pPr>
        <w:tabs>
          <w:tab w:val="left" w:pos="851"/>
        </w:tabs>
        <w:ind w:left="851"/>
        <w:rPr>
          <w:sz w:val="24"/>
          <w:szCs w:val="24"/>
        </w:rPr>
      </w:pPr>
      <w:r w:rsidRPr="00694BA6">
        <w:rPr>
          <w:sz w:val="24"/>
          <w:szCs w:val="24"/>
        </w:rPr>
        <w:t>I et forsøg vedrørende fertilitet og generel reproduktion hos rotter, hvor der blev anvendt intraperitoneal administration af tazobactam eller kombinationen piperacillin/tazobactam, blev der rapporteret om et fald i kuldstørrelse og et øget antal fostre med forsinket knogledannelse og ribbensvariationer sideløbende med maternel toksicitet. F1</w:t>
      </w:r>
      <w:r w:rsidRPr="00694BA6">
        <w:rPr>
          <w:sz w:val="24"/>
          <w:szCs w:val="24"/>
        </w:rPr>
        <w:noBreakHyphen/>
        <w:t>generationens fertilitet og F2</w:t>
      </w:r>
      <w:r w:rsidRPr="00694BA6">
        <w:rPr>
          <w:sz w:val="24"/>
          <w:szCs w:val="24"/>
        </w:rPr>
        <w:noBreakHyphen/>
        <w:t>generationens embryonale udvikling var ikke påvirket.</w:t>
      </w:r>
    </w:p>
    <w:p w14:paraId="170365BA" w14:textId="77777777" w:rsidR="00694BA6" w:rsidRPr="00694BA6" w:rsidRDefault="00694BA6" w:rsidP="00694BA6">
      <w:pPr>
        <w:tabs>
          <w:tab w:val="left" w:pos="851"/>
        </w:tabs>
        <w:ind w:left="851"/>
        <w:rPr>
          <w:sz w:val="24"/>
          <w:szCs w:val="24"/>
        </w:rPr>
      </w:pPr>
    </w:p>
    <w:p w14:paraId="78625E1E" w14:textId="77777777" w:rsidR="00694BA6" w:rsidRPr="00694BA6" w:rsidRDefault="00694BA6" w:rsidP="00694BA6">
      <w:pPr>
        <w:tabs>
          <w:tab w:val="left" w:pos="851"/>
        </w:tabs>
        <w:ind w:left="851"/>
        <w:rPr>
          <w:sz w:val="24"/>
          <w:szCs w:val="24"/>
        </w:rPr>
      </w:pPr>
      <w:r w:rsidRPr="00694BA6">
        <w:rPr>
          <w:sz w:val="24"/>
          <w:szCs w:val="24"/>
        </w:rPr>
        <w:t>Teratogenicitetsstudier, hvor der blev anvendt intravenøs administration af tazobactam eller kombinationen piperacillin/tazobactam hos mus og rotter, medførte let nedsat fødselsvægt hos rotter ved doser, der var toksiske hos moderdyrene, men viste ikke nogen teratogene virkninger.</w:t>
      </w:r>
    </w:p>
    <w:p w14:paraId="70C1A506" w14:textId="77777777" w:rsidR="00694BA6" w:rsidRPr="00694BA6" w:rsidRDefault="00694BA6" w:rsidP="00694BA6">
      <w:pPr>
        <w:tabs>
          <w:tab w:val="left" w:pos="851"/>
        </w:tabs>
        <w:ind w:left="851"/>
        <w:rPr>
          <w:sz w:val="24"/>
          <w:szCs w:val="24"/>
        </w:rPr>
      </w:pPr>
      <w:r w:rsidRPr="00694BA6">
        <w:rPr>
          <w:sz w:val="24"/>
          <w:szCs w:val="24"/>
        </w:rPr>
        <w:t xml:space="preserve"> </w:t>
      </w:r>
    </w:p>
    <w:p w14:paraId="4FE4C865" w14:textId="77777777" w:rsidR="00694BA6" w:rsidRPr="00694BA6" w:rsidRDefault="00694BA6" w:rsidP="00694BA6">
      <w:pPr>
        <w:tabs>
          <w:tab w:val="left" w:pos="851"/>
        </w:tabs>
        <w:ind w:left="851"/>
        <w:rPr>
          <w:sz w:val="24"/>
          <w:szCs w:val="24"/>
        </w:rPr>
      </w:pPr>
      <w:r w:rsidRPr="00694BA6">
        <w:rPr>
          <w:sz w:val="24"/>
          <w:szCs w:val="24"/>
        </w:rPr>
        <w:t>Den peri-/postnatale udvikling var hæmmet (reduceret fødselsvægt, øget antal dødfødsler, øget dødelighed blandt afkommet) sideløbende med toksicitet hos moderdyrene efter intraperitoneal administration af tazobactam eller kombinationen piperacillin/tazobactam hos rotter.</w:t>
      </w:r>
    </w:p>
    <w:p w14:paraId="29F9F034" w14:textId="4ADFE5EF" w:rsidR="009260DE" w:rsidRDefault="009260DE" w:rsidP="009260DE">
      <w:pPr>
        <w:tabs>
          <w:tab w:val="left" w:pos="851"/>
        </w:tabs>
        <w:ind w:left="851"/>
        <w:rPr>
          <w:sz w:val="24"/>
          <w:szCs w:val="24"/>
        </w:rPr>
      </w:pPr>
    </w:p>
    <w:p w14:paraId="0A84D8E5" w14:textId="77777777" w:rsidR="00694BA6" w:rsidRPr="00C84483" w:rsidRDefault="00694BA6" w:rsidP="009260DE">
      <w:pPr>
        <w:tabs>
          <w:tab w:val="left" w:pos="851"/>
        </w:tabs>
        <w:ind w:left="851"/>
        <w:rPr>
          <w:sz w:val="24"/>
          <w:szCs w:val="24"/>
        </w:rPr>
      </w:pPr>
    </w:p>
    <w:p w14:paraId="7480C3CB" w14:textId="77777777" w:rsidR="009260DE" w:rsidRPr="00C84483" w:rsidRDefault="009260DE" w:rsidP="009260DE">
      <w:pPr>
        <w:tabs>
          <w:tab w:val="left" w:pos="851"/>
        </w:tabs>
        <w:ind w:left="851" w:hanging="851"/>
        <w:rPr>
          <w:b/>
          <w:sz w:val="24"/>
          <w:szCs w:val="24"/>
        </w:rPr>
      </w:pPr>
      <w:r w:rsidRPr="00C84483">
        <w:rPr>
          <w:b/>
          <w:sz w:val="24"/>
          <w:szCs w:val="24"/>
        </w:rPr>
        <w:lastRenderedPageBreak/>
        <w:t>6.</w:t>
      </w:r>
      <w:r w:rsidRPr="00C84483">
        <w:rPr>
          <w:b/>
          <w:sz w:val="24"/>
          <w:szCs w:val="24"/>
        </w:rPr>
        <w:tab/>
        <w:t>FARMACEUTISKE OPLYSNINGER</w:t>
      </w:r>
    </w:p>
    <w:p w14:paraId="0AE438D6" w14:textId="77777777" w:rsidR="009260DE" w:rsidRPr="00BA09F1" w:rsidRDefault="009260DE" w:rsidP="009260DE">
      <w:pPr>
        <w:tabs>
          <w:tab w:val="left" w:pos="851"/>
        </w:tabs>
        <w:ind w:left="851"/>
        <w:rPr>
          <w:sz w:val="24"/>
          <w:szCs w:val="24"/>
        </w:rPr>
      </w:pPr>
    </w:p>
    <w:p w14:paraId="70652768"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C4E9ABC" w14:textId="77777777" w:rsidR="00694BA6" w:rsidRDefault="00694BA6" w:rsidP="00694BA6">
      <w:pPr>
        <w:tabs>
          <w:tab w:val="left" w:pos="851"/>
        </w:tabs>
        <w:ind w:left="851"/>
        <w:rPr>
          <w:u w:val="single"/>
        </w:rPr>
      </w:pPr>
    </w:p>
    <w:p w14:paraId="3891F434" w14:textId="3837B604" w:rsidR="00694BA6" w:rsidRPr="00694BA6" w:rsidRDefault="00694BA6" w:rsidP="00694BA6">
      <w:pPr>
        <w:tabs>
          <w:tab w:val="left" w:pos="851"/>
        </w:tabs>
        <w:ind w:left="851"/>
        <w:rPr>
          <w:u w:val="single"/>
        </w:rPr>
      </w:pPr>
      <w:r w:rsidRPr="00694BA6">
        <w:rPr>
          <w:u w:val="single"/>
        </w:rPr>
        <w:t>Solvens</w:t>
      </w:r>
    </w:p>
    <w:p w14:paraId="52523DA4" w14:textId="77777777" w:rsidR="00694BA6" w:rsidRPr="00694BA6" w:rsidRDefault="00694BA6" w:rsidP="00694BA6">
      <w:pPr>
        <w:tabs>
          <w:tab w:val="left" w:pos="851"/>
        </w:tabs>
        <w:ind w:left="851"/>
      </w:pPr>
      <w:r w:rsidRPr="00694BA6">
        <w:t>Natriumchlorid</w:t>
      </w:r>
    </w:p>
    <w:p w14:paraId="381392BF" w14:textId="77777777" w:rsidR="00694BA6" w:rsidRPr="00694BA6" w:rsidRDefault="00694BA6" w:rsidP="00694BA6">
      <w:pPr>
        <w:tabs>
          <w:tab w:val="left" w:pos="851"/>
        </w:tabs>
        <w:ind w:left="851"/>
      </w:pPr>
      <w:r w:rsidRPr="00694BA6">
        <w:t>Vand til injektionsvæsker</w:t>
      </w:r>
    </w:p>
    <w:p w14:paraId="61F17EE1" w14:textId="77777777" w:rsidR="00694BA6" w:rsidRPr="00694BA6" w:rsidRDefault="00694BA6" w:rsidP="00694BA6">
      <w:pPr>
        <w:tabs>
          <w:tab w:val="left" w:pos="851"/>
        </w:tabs>
        <w:ind w:left="851"/>
      </w:pPr>
    </w:p>
    <w:p w14:paraId="089D613F" w14:textId="77777777" w:rsidR="00694BA6" w:rsidRPr="00694BA6" w:rsidRDefault="00694BA6" w:rsidP="00694BA6">
      <w:pPr>
        <w:tabs>
          <w:tab w:val="left" w:pos="851"/>
        </w:tabs>
        <w:ind w:left="851"/>
        <w:rPr>
          <w:u w:val="single"/>
        </w:rPr>
      </w:pPr>
      <w:r w:rsidRPr="00694BA6">
        <w:rPr>
          <w:u w:val="single"/>
        </w:rPr>
        <w:t>Pulver</w:t>
      </w:r>
    </w:p>
    <w:p w14:paraId="18A869C2" w14:textId="77777777" w:rsidR="00694BA6" w:rsidRPr="00694BA6" w:rsidRDefault="00694BA6" w:rsidP="00694BA6">
      <w:pPr>
        <w:tabs>
          <w:tab w:val="left" w:pos="851"/>
        </w:tabs>
        <w:ind w:left="851"/>
      </w:pPr>
      <w:r w:rsidRPr="00694BA6">
        <w:t>Natriumcitratdihydrat</w:t>
      </w:r>
    </w:p>
    <w:p w14:paraId="0FEDEFFA" w14:textId="77777777" w:rsidR="00694BA6" w:rsidRPr="00694BA6" w:rsidRDefault="00694BA6" w:rsidP="00694BA6">
      <w:pPr>
        <w:tabs>
          <w:tab w:val="left" w:pos="851"/>
        </w:tabs>
        <w:ind w:left="851"/>
      </w:pPr>
      <w:bookmarkStart w:id="2" w:name="_Hlk218248981"/>
      <w:r w:rsidRPr="00694BA6">
        <w:t>Dinatriumedetatdihydrat</w:t>
      </w:r>
      <w:bookmarkEnd w:id="2"/>
    </w:p>
    <w:p w14:paraId="35FB1720" w14:textId="77777777" w:rsidR="009260DE" w:rsidRPr="00C84483" w:rsidRDefault="009260DE" w:rsidP="009260DE">
      <w:pPr>
        <w:tabs>
          <w:tab w:val="left" w:pos="851"/>
        </w:tabs>
        <w:ind w:left="851"/>
        <w:rPr>
          <w:sz w:val="24"/>
          <w:szCs w:val="24"/>
        </w:rPr>
      </w:pPr>
    </w:p>
    <w:p w14:paraId="7CB2E915"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4FCE1BDE" w14:textId="3AA46E96" w:rsidR="00694BA6" w:rsidRPr="00694BA6" w:rsidRDefault="00694BA6" w:rsidP="00694BA6">
      <w:pPr>
        <w:tabs>
          <w:tab w:val="left" w:pos="851"/>
        </w:tabs>
        <w:ind w:left="851"/>
        <w:rPr>
          <w:sz w:val="24"/>
          <w:szCs w:val="24"/>
        </w:rPr>
      </w:pPr>
      <w:r w:rsidRPr="00694BA6">
        <w:rPr>
          <w:sz w:val="24"/>
          <w:szCs w:val="24"/>
        </w:rPr>
        <w:t>Dette lægemiddel må ikke blandes med andre lægemidler.</w:t>
      </w:r>
    </w:p>
    <w:p w14:paraId="310FF941" w14:textId="77777777" w:rsidR="00694BA6" w:rsidRPr="00694BA6" w:rsidRDefault="00694BA6" w:rsidP="00694BA6">
      <w:pPr>
        <w:tabs>
          <w:tab w:val="left" w:pos="851"/>
        </w:tabs>
        <w:ind w:left="851"/>
        <w:rPr>
          <w:sz w:val="24"/>
          <w:szCs w:val="24"/>
        </w:rPr>
      </w:pPr>
    </w:p>
    <w:p w14:paraId="4CD9F1C7" w14:textId="77777777" w:rsidR="00694BA6" w:rsidRPr="00694BA6" w:rsidRDefault="00694BA6" w:rsidP="00694BA6">
      <w:pPr>
        <w:tabs>
          <w:tab w:val="left" w:pos="851"/>
        </w:tabs>
        <w:ind w:left="851"/>
        <w:rPr>
          <w:sz w:val="24"/>
          <w:szCs w:val="24"/>
        </w:rPr>
      </w:pPr>
      <w:r w:rsidRPr="00694BA6">
        <w:rPr>
          <w:sz w:val="24"/>
          <w:szCs w:val="24"/>
        </w:rPr>
        <w:t xml:space="preserve">Når Piperacillin/Tazobactam "B. Braun" anvendes samtidigt med andre antibiotika (f.eks. aminoglykosider) skal stofferne administreres hver for sig. Hvis man blander betalaktamantibiotika med et aminoglykosid </w:t>
      </w:r>
      <w:r w:rsidRPr="00694BA6">
        <w:rPr>
          <w:i/>
          <w:iCs/>
          <w:sz w:val="24"/>
          <w:szCs w:val="24"/>
        </w:rPr>
        <w:t>in vitro</w:t>
      </w:r>
      <w:r w:rsidRPr="00694BA6">
        <w:rPr>
          <w:sz w:val="24"/>
          <w:szCs w:val="24"/>
        </w:rPr>
        <w:t xml:space="preserve"> kan det føre til væsentlig inaktivering af aminoglykosidet.</w:t>
      </w:r>
    </w:p>
    <w:p w14:paraId="601D3DDA" w14:textId="77777777" w:rsidR="00694BA6" w:rsidRPr="00694BA6" w:rsidRDefault="00694BA6" w:rsidP="00694BA6">
      <w:pPr>
        <w:tabs>
          <w:tab w:val="left" w:pos="851"/>
        </w:tabs>
        <w:ind w:left="851"/>
        <w:rPr>
          <w:sz w:val="24"/>
          <w:szCs w:val="24"/>
        </w:rPr>
      </w:pPr>
    </w:p>
    <w:p w14:paraId="5CDAB6E0" w14:textId="77777777" w:rsidR="00694BA6" w:rsidRPr="00694BA6" w:rsidRDefault="00694BA6" w:rsidP="00694BA6">
      <w:pPr>
        <w:tabs>
          <w:tab w:val="left" w:pos="851"/>
        </w:tabs>
        <w:ind w:left="851"/>
        <w:rPr>
          <w:sz w:val="24"/>
          <w:szCs w:val="24"/>
        </w:rPr>
      </w:pPr>
      <w:r w:rsidRPr="00694BA6">
        <w:rPr>
          <w:sz w:val="24"/>
          <w:szCs w:val="24"/>
        </w:rPr>
        <w:t>Piperacillin/Tazobactam "B. Braun" bør hverken blandes eller administreres med andre stoffer i en sprøjte, en infusion via Y</w:t>
      </w:r>
      <w:r w:rsidRPr="00694BA6">
        <w:rPr>
          <w:sz w:val="24"/>
          <w:szCs w:val="24"/>
        </w:rPr>
        <w:noBreakHyphen/>
        <w:t>kobling, en infusionsflaske eller en to</w:t>
      </w:r>
      <w:r w:rsidRPr="00694BA6">
        <w:rPr>
          <w:sz w:val="24"/>
          <w:szCs w:val="24"/>
        </w:rPr>
        <w:noBreakHyphen/>
        <w:t>kammerpose, da forligeligheden ikke er fastlagt.</w:t>
      </w:r>
    </w:p>
    <w:p w14:paraId="4DA691AE" w14:textId="77777777" w:rsidR="00694BA6" w:rsidRPr="00694BA6" w:rsidRDefault="00694BA6" w:rsidP="00694BA6">
      <w:pPr>
        <w:tabs>
          <w:tab w:val="left" w:pos="851"/>
        </w:tabs>
        <w:ind w:left="851"/>
        <w:rPr>
          <w:sz w:val="24"/>
          <w:szCs w:val="24"/>
        </w:rPr>
      </w:pPr>
    </w:p>
    <w:p w14:paraId="0A2FA60B" w14:textId="77777777" w:rsidR="00694BA6" w:rsidRPr="00694BA6" w:rsidRDefault="00694BA6" w:rsidP="00694BA6">
      <w:pPr>
        <w:tabs>
          <w:tab w:val="left" w:pos="851"/>
        </w:tabs>
        <w:ind w:left="851"/>
        <w:rPr>
          <w:sz w:val="24"/>
          <w:szCs w:val="24"/>
        </w:rPr>
      </w:pPr>
      <w:r w:rsidRPr="00694BA6">
        <w:rPr>
          <w:sz w:val="24"/>
          <w:szCs w:val="24"/>
        </w:rPr>
        <w:t>Piperacillin/Tazobactam "B. Braun" bør ikke tilsættes blodprodukter eller albumin-hydrolysater.</w:t>
      </w:r>
    </w:p>
    <w:p w14:paraId="2BAFB792" w14:textId="77777777" w:rsidR="009260DE" w:rsidRPr="00694BA6" w:rsidRDefault="009260DE" w:rsidP="009260DE">
      <w:pPr>
        <w:tabs>
          <w:tab w:val="left" w:pos="851"/>
        </w:tabs>
        <w:ind w:left="851"/>
        <w:rPr>
          <w:sz w:val="24"/>
          <w:szCs w:val="24"/>
        </w:rPr>
      </w:pPr>
    </w:p>
    <w:p w14:paraId="0F22367B"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7124E248" w14:textId="77777777" w:rsidR="00694BA6" w:rsidRDefault="00694BA6" w:rsidP="00694BA6">
      <w:pPr>
        <w:tabs>
          <w:tab w:val="left" w:pos="851"/>
        </w:tabs>
        <w:ind w:left="851"/>
        <w:rPr>
          <w:sz w:val="24"/>
          <w:szCs w:val="24"/>
          <w:u w:val="single"/>
        </w:rPr>
      </w:pPr>
    </w:p>
    <w:p w14:paraId="5E166721" w14:textId="1E7106F7" w:rsidR="00694BA6" w:rsidRPr="00694BA6" w:rsidRDefault="00694BA6" w:rsidP="00694BA6">
      <w:pPr>
        <w:tabs>
          <w:tab w:val="left" w:pos="851"/>
        </w:tabs>
        <w:ind w:left="851"/>
        <w:rPr>
          <w:sz w:val="24"/>
          <w:szCs w:val="24"/>
          <w:u w:val="single"/>
        </w:rPr>
      </w:pPr>
      <w:r w:rsidRPr="00694BA6">
        <w:rPr>
          <w:sz w:val="24"/>
          <w:szCs w:val="24"/>
          <w:u w:val="single"/>
        </w:rPr>
        <w:t>Opbevaringstid før rekonstitution</w:t>
      </w:r>
    </w:p>
    <w:p w14:paraId="1C7F4511" w14:textId="77777777" w:rsidR="00694BA6" w:rsidRPr="00694BA6" w:rsidRDefault="00694BA6" w:rsidP="00694BA6">
      <w:pPr>
        <w:tabs>
          <w:tab w:val="left" w:pos="851"/>
        </w:tabs>
        <w:ind w:left="851"/>
        <w:rPr>
          <w:sz w:val="24"/>
          <w:szCs w:val="24"/>
        </w:rPr>
      </w:pPr>
      <w:r w:rsidRPr="00694BA6">
        <w:rPr>
          <w:sz w:val="24"/>
          <w:szCs w:val="24"/>
        </w:rPr>
        <w:t>2 år</w:t>
      </w:r>
    </w:p>
    <w:p w14:paraId="59895C1D" w14:textId="77777777" w:rsidR="00694BA6" w:rsidRPr="00694BA6" w:rsidRDefault="00694BA6" w:rsidP="00694BA6">
      <w:pPr>
        <w:tabs>
          <w:tab w:val="left" w:pos="851"/>
        </w:tabs>
        <w:ind w:left="851"/>
        <w:rPr>
          <w:sz w:val="24"/>
          <w:szCs w:val="24"/>
        </w:rPr>
      </w:pPr>
    </w:p>
    <w:p w14:paraId="059FB48F" w14:textId="77777777" w:rsidR="00694BA6" w:rsidRPr="00694BA6" w:rsidRDefault="00694BA6" w:rsidP="00694BA6">
      <w:pPr>
        <w:tabs>
          <w:tab w:val="left" w:pos="851"/>
        </w:tabs>
        <w:ind w:left="851"/>
        <w:rPr>
          <w:sz w:val="24"/>
          <w:szCs w:val="24"/>
          <w:u w:val="single"/>
        </w:rPr>
      </w:pPr>
      <w:r w:rsidRPr="00694BA6">
        <w:rPr>
          <w:sz w:val="24"/>
          <w:szCs w:val="24"/>
          <w:u w:val="single"/>
        </w:rPr>
        <w:t>Opbevaringstid efter rekonstitution</w:t>
      </w:r>
    </w:p>
    <w:p w14:paraId="5ADE7444" w14:textId="77777777" w:rsidR="00694BA6" w:rsidRPr="00694BA6" w:rsidRDefault="00694BA6" w:rsidP="00694BA6">
      <w:pPr>
        <w:tabs>
          <w:tab w:val="left" w:pos="851"/>
        </w:tabs>
        <w:ind w:left="851"/>
        <w:rPr>
          <w:sz w:val="24"/>
          <w:szCs w:val="24"/>
        </w:rPr>
      </w:pPr>
      <w:r w:rsidRPr="00694BA6">
        <w:rPr>
          <w:sz w:val="24"/>
          <w:szCs w:val="24"/>
        </w:rPr>
        <w:t>Det rekonstituerede lægemiddel er kun beregnet til engangsbrug.</w:t>
      </w:r>
    </w:p>
    <w:p w14:paraId="231F35E3" w14:textId="77777777" w:rsidR="00694BA6" w:rsidRPr="00694BA6" w:rsidRDefault="00694BA6" w:rsidP="00694BA6">
      <w:pPr>
        <w:tabs>
          <w:tab w:val="left" w:pos="851"/>
        </w:tabs>
        <w:ind w:left="851"/>
        <w:rPr>
          <w:sz w:val="24"/>
          <w:szCs w:val="24"/>
        </w:rPr>
      </w:pPr>
    </w:p>
    <w:p w14:paraId="7F630F7E" w14:textId="49A90BC4" w:rsidR="00694BA6" w:rsidRPr="00694BA6" w:rsidRDefault="00694BA6" w:rsidP="00694BA6">
      <w:pPr>
        <w:tabs>
          <w:tab w:val="left" w:pos="851"/>
        </w:tabs>
        <w:ind w:left="851"/>
        <w:rPr>
          <w:sz w:val="24"/>
          <w:szCs w:val="24"/>
        </w:rPr>
      </w:pPr>
      <w:r w:rsidRPr="00694BA6">
        <w:rPr>
          <w:sz w:val="24"/>
          <w:szCs w:val="24"/>
        </w:rPr>
        <w:t>Den kemiske og fysiske brugsstabilitet er blevet påvist i 24 timer ved 25 °C eller 7 dage ved 2-8 °C. Fra et mikrobiologisk synspunkt bør produktet straks anvendes, medmindre åbnings</w:t>
      </w:r>
      <w:r w:rsidRPr="00694BA6">
        <w:rPr>
          <w:sz w:val="24"/>
          <w:szCs w:val="24"/>
        </w:rPr>
        <w:noBreakHyphen/>
        <w:t xml:space="preserve"> og rekonstitutionsmetoden udelukker risiko for kontaminering med mikroorganismer. Såfremt lægemidlet ikke anvendes straks, er opbevaringstid og -forhold efter anbrud brugerens eget ansvar.</w:t>
      </w:r>
    </w:p>
    <w:p w14:paraId="1656404C" w14:textId="77777777" w:rsidR="00694BA6" w:rsidRPr="00694BA6" w:rsidRDefault="00694BA6" w:rsidP="00694BA6">
      <w:pPr>
        <w:tabs>
          <w:tab w:val="left" w:pos="851"/>
        </w:tabs>
        <w:ind w:left="851"/>
        <w:rPr>
          <w:sz w:val="24"/>
          <w:szCs w:val="24"/>
        </w:rPr>
      </w:pPr>
    </w:p>
    <w:p w14:paraId="05ED7044" w14:textId="77777777" w:rsidR="00694BA6" w:rsidRPr="00694BA6" w:rsidRDefault="00694BA6" w:rsidP="00694BA6">
      <w:pPr>
        <w:tabs>
          <w:tab w:val="left" w:pos="851"/>
        </w:tabs>
        <w:ind w:left="851"/>
        <w:rPr>
          <w:sz w:val="24"/>
          <w:szCs w:val="24"/>
          <w:u w:val="single"/>
        </w:rPr>
      </w:pPr>
      <w:r w:rsidRPr="00694BA6">
        <w:rPr>
          <w:sz w:val="24"/>
          <w:szCs w:val="24"/>
          <w:u w:val="single"/>
        </w:rPr>
        <w:t>Opbevaringstid efter første åbning</w:t>
      </w:r>
    </w:p>
    <w:p w14:paraId="00F88D37" w14:textId="77777777" w:rsidR="00694BA6" w:rsidRPr="00694BA6" w:rsidRDefault="00694BA6" w:rsidP="00694BA6">
      <w:pPr>
        <w:tabs>
          <w:tab w:val="left" w:pos="851"/>
        </w:tabs>
        <w:ind w:left="851"/>
        <w:rPr>
          <w:sz w:val="24"/>
          <w:szCs w:val="24"/>
        </w:rPr>
      </w:pPr>
      <w:r w:rsidRPr="00694BA6">
        <w:rPr>
          <w:sz w:val="24"/>
          <w:szCs w:val="24"/>
        </w:rPr>
        <w:t>Den åbnede to-kammerpose skal anvendes straks.</w:t>
      </w:r>
    </w:p>
    <w:p w14:paraId="038A46AA" w14:textId="77777777" w:rsidR="009260DE" w:rsidRPr="00C84483" w:rsidRDefault="009260DE" w:rsidP="009260DE">
      <w:pPr>
        <w:tabs>
          <w:tab w:val="left" w:pos="851"/>
        </w:tabs>
        <w:ind w:left="851"/>
        <w:rPr>
          <w:sz w:val="24"/>
          <w:szCs w:val="24"/>
        </w:rPr>
      </w:pPr>
    </w:p>
    <w:p w14:paraId="6AC5929D"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398793C" w14:textId="77777777" w:rsidR="00087C90" w:rsidRPr="00087C90" w:rsidRDefault="00087C90" w:rsidP="00087C90">
      <w:pPr>
        <w:tabs>
          <w:tab w:val="left" w:pos="851"/>
        </w:tabs>
        <w:ind w:left="851"/>
        <w:rPr>
          <w:sz w:val="24"/>
          <w:szCs w:val="24"/>
        </w:rPr>
      </w:pPr>
      <w:bookmarkStart w:id="3" w:name="_Hlk218249089"/>
      <w:r w:rsidRPr="00087C90">
        <w:rPr>
          <w:sz w:val="24"/>
          <w:szCs w:val="24"/>
        </w:rPr>
        <w:t>Dette lægemiddel kræver ingen særlige forholdsregler vedrørende opbevaringen</w:t>
      </w:r>
    </w:p>
    <w:p w14:paraId="0B9B9096" w14:textId="77777777" w:rsidR="00087C90" w:rsidRDefault="00087C90" w:rsidP="00087C90">
      <w:pPr>
        <w:tabs>
          <w:tab w:val="left" w:pos="851"/>
        </w:tabs>
        <w:ind w:left="851"/>
        <w:rPr>
          <w:sz w:val="24"/>
          <w:szCs w:val="24"/>
        </w:rPr>
      </w:pPr>
    </w:p>
    <w:p w14:paraId="4B6FDA6C" w14:textId="516E32B1" w:rsidR="00087C90" w:rsidRPr="00087C90" w:rsidRDefault="00087C90" w:rsidP="00087C90">
      <w:pPr>
        <w:tabs>
          <w:tab w:val="left" w:pos="851"/>
        </w:tabs>
        <w:ind w:left="851"/>
        <w:rPr>
          <w:sz w:val="24"/>
          <w:szCs w:val="24"/>
        </w:rPr>
      </w:pPr>
      <w:r w:rsidRPr="00087C90">
        <w:rPr>
          <w:sz w:val="24"/>
          <w:szCs w:val="24"/>
        </w:rPr>
        <w:t>Den rekonstituerede opløsning må ikke nedfryses.</w:t>
      </w:r>
    </w:p>
    <w:p w14:paraId="1D1B4318" w14:textId="77777777" w:rsidR="00087C90" w:rsidRPr="00087C90" w:rsidRDefault="00087C90" w:rsidP="00087C90">
      <w:pPr>
        <w:tabs>
          <w:tab w:val="left" w:pos="851"/>
        </w:tabs>
        <w:ind w:left="851"/>
        <w:rPr>
          <w:sz w:val="24"/>
          <w:szCs w:val="24"/>
        </w:rPr>
      </w:pPr>
      <w:r w:rsidRPr="00087C90">
        <w:rPr>
          <w:sz w:val="24"/>
          <w:szCs w:val="24"/>
        </w:rPr>
        <w:t>For opbevaringsforhold efter rekonstituering af lægemidlet, se pkt. 6.3.</w:t>
      </w:r>
      <w:bookmarkEnd w:id="3"/>
    </w:p>
    <w:p w14:paraId="02B929A3" w14:textId="6A068DA0" w:rsidR="00087C90" w:rsidRDefault="00087C90">
      <w:pPr>
        <w:rPr>
          <w:sz w:val="24"/>
          <w:szCs w:val="24"/>
        </w:rPr>
      </w:pPr>
      <w:r>
        <w:rPr>
          <w:sz w:val="24"/>
          <w:szCs w:val="24"/>
        </w:rPr>
        <w:br w:type="page"/>
      </w:r>
    </w:p>
    <w:p w14:paraId="187429BD" w14:textId="77777777" w:rsidR="009260DE" w:rsidRPr="00C84483" w:rsidRDefault="009260DE" w:rsidP="009260DE">
      <w:pPr>
        <w:tabs>
          <w:tab w:val="left" w:pos="851"/>
        </w:tabs>
        <w:ind w:left="851"/>
        <w:rPr>
          <w:sz w:val="24"/>
          <w:szCs w:val="24"/>
        </w:rPr>
      </w:pPr>
    </w:p>
    <w:p w14:paraId="147EFC54"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202ED69A" w14:textId="77777777" w:rsidR="00087C90" w:rsidRPr="00087C90" w:rsidRDefault="00087C90" w:rsidP="00087C90">
      <w:pPr>
        <w:tabs>
          <w:tab w:val="left" w:pos="851"/>
        </w:tabs>
        <w:ind w:left="851"/>
        <w:rPr>
          <w:sz w:val="24"/>
          <w:szCs w:val="24"/>
        </w:rPr>
      </w:pPr>
      <w:r w:rsidRPr="00087C90">
        <w:rPr>
          <w:sz w:val="24"/>
          <w:szCs w:val="24"/>
        </w:rPr>
        <w:t>Piperacillin/Tazobactam "B. Braun" leveres i en farveløs flerlags-plastpose med to kamre bestående af PET/Alu/polypropylen copolymer og SEBS termoplastisk gummi med en sætport.</w:t>
      </w:r>
    </w:p>
    <w:p w14:paraId="3FEB9D79" w14:textId="77777777" w:rsidR="00087C90" w:rsidRPr="00087C90" w:rsidRDefault="00087C90" w:rsidP="00087C90">
      <w:pPr>
        <w:tabs>
          <w:tab w:val="left" w:pos="851"/>
        </w:tabs>
        <w:ind w:left="851"/>
        <w:rPr>
          <w:bCs/>
          <w:sz w:val="24"/>
          <w:szCs w:val="24"/>
          <w:u w:val="single"/>
        </w:rPr>
      </w:pPr>
      <w:r w:rsidRPr="00087C90">
        <w:rPr>
          <w:sz w:val="24"/>
          <w:szCs w:val="24"/>
        </w:rPr>
        <w:t>Den ene side af posen er uigennemsigtig, den anden side gennemsigtig.</w:t>
      </w:r>
    </w:p>
    <w:p w14:paraId="4D050864" w14:textId="77777777" w:rsidR="00087C90" w:rsidRPr="00087C90" w:rsidRDefault="00087C90" w:rsidP="00087C90">
      <w:pPr>
        <w:tabs>
          <w:tab w:val="left" w:pos="851"/>
        </w:tabs>
        <w:ind w:left="851"/>
        <w:rPr>
          <w:bCs/>
          <w:sz w:val="24"/>
          <w:szCs w:val="24"/>
        </w:rPr>
      </w:pPr>
    </w:p>
    <w:p w14:paraId="551FD193" w14:textId="77777777" w:rsidR="00087C90" w:rsidRPr="00087C90" w:rsidRDefault="00087C90" w:rsidP="00087C90">
      <w:pPr>
        <w:tabs>
          <w:tab w:val="left" w:pos="851"/>
        </w:tabs>
        <w:ind w:left="851"/>
        <w:rPr>
          <w:bCs/>
          <w:sz w:val="24"/>
          <w:szCs w:val="24"/>
        </w:rPr>
      </w:pPr>
      <w:r w:rsidRPr="00087C90">
        <w:rPr>
          <w:bCs/>
          <w:sz w:val="24"/>
          <w:szCs w:val="24"/>
        </w:rPr>
        <w:t>Fortyndingskammeret indeholder 100 ml steril natriumchloridopløsning (0,45 %).</w:t>
      </w:r>
    </w:p>
    <w:p w14:paraId="40B7C7CC" w14:textId="77777777" w:rsidR="00087C90" w:rsidRPr="00087C90" w:rsidRDefault="00087C90" w:rsidP="00087C90">
      <w:pPr>
        <w:tabs>
          <w:tab w:val="left" w:pos="851"/>
        </w:tabs>
        <w:ind w:left="851"/>
        <w:rPr>
          <w:bCs/>
          <w:sz w:val="24"/>
          <w:szCs w:val="24"/>
        </w:rPr>
      </w:pPr>
    </w:p>
    <w:p w14:paraId="75D64FD3" w14:textId="77777777" w:rsidR="00087C90" w:rsidRPr="00087C90" w:rsidRDefault="00087C90" w:rsidP="00087C90">
      <w:pPr>
        <w:tabs>
          <w:tab w:val="left" w:pos="851"/>
        </w:tabs>
        <w:ind w:left="851"/>
        <w:rPr>
          <w:bCs/>
          <w:sz w:val="24"/>
          <w:szCs w:val="24"/>
          <w:u w:val="single"/>
        </w:rPr>
      </w:pPr>
      <w:r w:rsidRPr="00087C90">
        <w:rPr>
          <w:bCs/>
          <w:sz w:val="24"/>
          <w:szCs w:val="24"/>
          <w:u w:val="single"/>
        </w:rPr>
        <w:t>Pakningsstørrelser</w:t>
      </w:r>
    </w:p>
    <w:p w14:paraId="6578BD51" w14:textId="48A82668" w:rsidR="00087C90" w:rsidRPr="00087C90" w:rsidRDefault="00087C90" w:rsidP="00087C90">
      <w:pPr>
        <w:tabs>
          <w:tab w:val="left" w:pos="851"/>
        </w:tabs>
        <w:ind w:left="851"/>
        <w:rPr>
          <w:bCs/>
          <w:sz w:val="24"/>
          <w:szCs w:val="24"/>
        </w:rPr>
      </w:pPr>
      <w:r w:rsidRPr="00087C90">
        <w:rPr>
          <w:bCs/>
          <w:sz w:val="24"/>
          <w:szCs w:val="24"/>
        </w:rPr>
        <w:t>To-kammerposerne er pakket i æsker med 24 enheder.</w:t>
      </w:r>
    </w:p>
    <w:p w14:paraId="10711485" w14:textId="39C14F02" w:rsidR="009260DE" w:rsidRDefault="009260DE" w:rsidP="009260DE">
      <w:pPr>
        <w:tabs>
          <w:tab w:val="left" w:pos="851"/>
        </w:tabs>
        <w:ind w:left="851"/>
        <w:rPr>
          <w:sz w:val="24"/>
          <w:szCs w:val="24"/>
        </w:rPr>
      </w:pPr>
    </w:p>
    <w:p w14:paraId="4800D538" w14:textId="6D9C981C" w:rsidR="00087C90" w:rsidRDefault="00087C90" w:rsidP="009260DE">
      <w:pPr>
        <w:tabs>
          <w:tab w:val="left" w:pos="851"/>
        </w:tabs>
        <w:ind w:left="851"/>
        <w:rPr>
          <w:sz w:val="24"/>
          <w:szCs w:val="24"/>
        </w:rPr>
      </w:pPr>
      <w:r>
        <w:rPr>
          <w:sz w:val="24"/>
          <w:szCs w:val="24"/>
        </w:rPr>
        <w:t>Ikke alle pakningsstørrelser er nødvendigvis markedsført.</w:t>
      </w:r>
    </w:p>
    <w:p w14:paraId="2B8459E4" w14:textId="77777777" w:rsidR="00087C90" w:rsidRPr="00C84483" w:rsidRDefault="00087C90" w:rsidP="009260DE">
      <w:pPr>
        <w:tabs>
          <w:tab w:val="left" w:pos="851"/>
        </w:tabs>
        <w:ind w:left="851"/>
        <w:rPr>
          <w:sz w:val="24"/>
          <w:szCs w:val="24"/>
        </w:rPr>
      </w:pPr>
    </w:p>
    <w:p w14:paraId="5D2CEF02"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277386D" w14:textId="77777777" w:rsidR="00087C90" w:rsidRPr="00087C90" w:rsidRDefault="00087C90" w:rsidP="00087C90">
      <w:pPr>
        <w:ind w:left="851"/>
        <w:rPr>
          <w:sz w:val="24"/>
          <w:szCs w:val="24"/>
          <w:lang w:eastAsia="da-DK"/>
        </w:rPr>
      </w:pPr>
      <w:r w:rsidRPr="00087C90">
        <w:rPr>
          <w:sz w:val="24"/>
          <w:szCs w:val="24"/>
        </w:rPr>
        <w:t>Dæk ikke noget af foliestrimlen med patientetiket.</w:t>
      </w:r>
    </w:p>
    <w:p w14:paraId="12BC9D18" w14:textId="77777777" w:rsidR="00087C90" w:rsidRPr="00087C90" w:rsidRDefault="00087C90" w:rsidP="00087C90">
      <w:pPr>
        <w:ind w:left="851"/>
        <w:rPr>
          <w:sz w:val="24"/>
          <w:szCs w:val="24"/>
        </w:rPr>
      </w:pPr>
      <w:r w:rsidRPr="00087C90">
        <w:rPr>
          <w:sz w:val="24"/>
          <w:szCs w:val="24"/>
        </w:rPr>
        <w:t>Må ikke bruges i serieforbindelser.</w:t>
      </w:r>
    </w:p>
    <w:p w14:paraId="68E35FFB" w14:textId="77777777" w:rsidR="00087C90" w:rsidRPr="00087C90" w:rsidRDefault="00087C90" w:rsidP="00087C90">
      <w:pPr>
        <w:ind w:left="851"/>
        <w:rPr>
          <w:sz w:val="24"/>
          <w:szCs w:val="24"/>
        </w:rPr>
      </w:pPr>
      <w:r w:rsidRPr="00087C90">
        <w:rPr>
          <w:sz w:val="24"/>
          <w:szCs w:val="24"/>
        </w:rPr>
        <w:t>Kassér posen, hvis foliestrimlen på posen er beskadiget.</w:t>
      </w:r>
    </w:p>
    <w:p w14:paraId="75E61E36" w14:textId="77777777" w:rsidR="00087C90" w:rsidRPr="00087C90" w:rsidRDefault="00087C90" w:rsidP="00087C90">
      <w:pPr>
        <w:ind w:left="851"/>
        <w:rPr>
          <w:sz w:val="24"/>
          <w:szCs w:val="24"/>
        </w:rPr>
      </w:pPr>
      <w:r w:rsidRPr="00087C90">
        <w:rPr>
          <w:sz w:val="24"/>
          <w:szCs w:val="24"/>
        </w:rPr>
        <w:t>Fjern først foliestrimlen, når lægemidlet skal bruges.</w:t>
      </w:r>
    </w:p>
    <w:p w14:paraId="1821EB64" w14:textId="77777777" w:rsidR="00087C90" w:rsidRPr="00087C90" w:rsidRDefault="00087C90" w:rsidP="00087C90">
      <w:pPr>
        <w:ind w:left="851"/>
        <w:rPr>
          <w:sz w:val="24"/>
          <w:szCs w:val="24"/>
        </w:rPr>
      </w:pPr>
      <w:r w:rsidRPr="00087C90">
        <w:rPr>
          <w:sz w:val="24"/>
          <w:szCs w:val="24"/>
        </w:rPr>
        <w:t>Kontroller lægemidlet visuelt inden rekonstitution. Opløsningen må kun anvendes, hvis den er klar, farveløs og uden synlige partikler.</w:t>
      </w:r>
    </w:p>
    <w:p w14:paraId="685012D9" w14:textId="77777777" w:rsidR="00087C90" w:rsidRPr="00087C90" w:rsidRDefault="00087C90" w:rsidP="00087C90">
      <w:pPr>
        <w:ind w:left="851"/>
        <w:rPr>
          <w:sz w:val="24"/>
          <w:szCs w:val="24"/>
        </w:rPr>
      </w:pPr>
    </w:p>
    <w:p w14:paraId="62EFFF86" w14:textId="77777777" w:rsidR="00087C90" w:rsidRPr="00087C90" w:rsidRDefault="00087C90" w:rsidP="00087C90">
      <w:pPr>
        <w:keepNext/>
        <w:ind w:left="851"/>
        <w:rPr>
          <w:bCs/>
          <w:spacing w:val="-3"/>
          <w:sz w:val="24"/>
          <w:szCs w:val="24"/>
          <w:u w:val="single"/>
        </w:rPr>
      </w:pPr>
      <w:r w:rsidRPr="00087C90">
        <w:rPr>
          <w:bCs/>
          <w:sz w:val="24"/>
          <w:szCs w:val="24"/>
          <w:u w:val="single"/>
        </w:rPr>
        <w:t xml:space="preserve">Vejledning for rekonstitution af </w:t>
      </w:r>
      <w:r w:rsidRPr="00087C90">
        <w:rPr>
          <w:spacing w:val="1"/>
          <w:sz w:val="24"/>
          <w:szCs w:val="24"/>
          <w:u w:val="single"/>
        </w:rPr>
        <w:t>Piperacillin/Tazobactam "B. Braun"</w:t>
      </w:r>
      <w:r w:rsidRPr="00087C90">
        <w:rPr>
          <w:bCs/>
          <w:spacing w:val="-3"/>
          <w:sz w:val="24"/>
          <w:szCs w:val="24"/>
          <w:u w:val="single"/>
        </w:rPr>
        <w:t xml:space="preserve"> to-kammerpose</w:t>
      </w:r>
    </w:p>
    <w:p w14:paraId="79316092" w14:textId="77777777" w:rsidR="00087C90" w:rsidRPr="00087C90" w:rsidRDefault="00087C90" w:rsidP="00C77D59">
      <w:pPr>
        <w:pStyle w:val="Listeafsnit"/>
        <w:numPr>
          <w:ilvl w:val="0"/>
          <w:numId w:val="8"/>
        </w:numPr>
        <w:ind w:left="1134" w:hanging="283"/>
        <w:rPr>
          <w:sz w:val="24"/>
          <w:szCs w:val="24"/>
        </w:rPr>
      </w:pPr>
      <w:r w:rsidRPr="00087C90">
        <w:rPr>
          <w:sz w:val="24"/>
          <w:szCs w:val="24"/>
        </w:rPr>
        <w:t>Fjern klistermærkerne halvvejs og fold beholderen ud</w:t>
      </w:r>
      <w:r w:rsidRPr="00087C90">
        <w:rPr>
          <w:sz w:val="24"/>
          <w:szCs w:val="24"/>
          <w:lang w:eastAsia="de-DE"/>
        </w:rPr>
        <w:t xml:space="preserve"> (fig. 1).</w:t>
      </w:r>
    </w:p>
    <w:p w14:paraId="7652B4CD" w14:textId="77777777" w:rsidR="00087C90" w:rsidRPr="00087C90" w:rsidRDefault="00087C90" w:rsidP="00C77D59">
      <w:pPr>
        <w:pStyle w:val="Listeafsnit"/>
        <w:numPr>
          <w:ilvl w:val="0"/>
          <w:numId w:val="8"/>
        </w:numPr>
        <w:ind w:left="1134" w:hanging="283"/>
        <w:rPr>
          <w:sz w:val="24"/>
          <w:szCs w:val="24"/>
        </w:rPr>
      </w:pPr>
      <w:r w:rsidRPr="00087C90">
        <w:rPr>
          <w:sz w:val="24"/>
          <w:szCs w:val="24"/>
        </w:rPr>
        <w:t>Fjern foliestrimlen fra pulverkammeret (fig. 2).</w:t>
      </w:r>
    </w:p>
    <w:p w14:paraId="5DEF0EBD" w14:textId="77777777" w:rsidR="00087C90" w:rsidRPr="00087C90" w:rsidRDefault="00087C90" w:rsidP="00C77D59">
      <w:pPr>
        <w:pStyle w:val="Listeafsnit"/>
        <w:numPr>
          <w:ilvl w:val="0"/>
          <w:numId w:val="8"/>
        </w:numPr>
        <w:ind w:left="1134" w:hanging="283"/>
        <w:rPr>
          <w:rStyle w:val="A3"/>
          <w:rFonts w:ascii="Times New Roman" w:hAnsi="Times New Roman"/>
          <w:sz w:val="24"/>
          <w:szCs w:val="24"/>
        </w:rPr>
      </w:pPr>
      <w:r w:rsidRPr="00087C90">
        <w:rPr>
          <w:rStyle w:val="A3"/>
          <w:sz w:val="24"/>
          <w:szCs w:val="24"/>
        </w:rPr>
        <w:t xml:space="preserve">Fold </w:t>
      </w:r>
      <w:r w:rsidRPr="00087C90">
        <w:rPr>
          <w:sz w:val="24"/>
          <w:szCs w:val="24"/>
        </w:rPr>
        <w:t>beholderen lige under solvensmærket og klem posen indtil forsegling mellem solvens og pulver</w:t>
      </w:r>
      <w:r w:rsidRPr="00087C90">
        <w:rPr>
          <w:rStyle w:val="A3"/>
          <w:sz w:val="24"/>
          <w:szCs w:val="24"/>
        </w:rPr>
        <w:t xml:space="preserve"> brydes (fig. 3).</w:t>
      </w:r>
    </w:p>
    <w:p w14:paraId="371542A6" w14:textId="77777777" w:rsidR="00087C90" w:rsidRPr="00087C90" w:rsidRDefault="00087C90" w:rsidP="00C77D59">
      <w:pPr>
        <w:pStyle w:val="Listeafsnit"/>
        <w:numPr>
          <w:ilvl w:val="0"/>
          <w:numId w:val="8"/>
        </w:numPr>
        <w:ind w:left="1134" w:hanging="283"/>
        <w:rPr>
          <w:rStyle w:val="A3"/>
          <w:sz w:val="24"/>
          <w:szCs w:val="24"/>
        </w:rPr>
      </w:pPr>
      <w:r w:rsidRPr="00087C90">
        <w:rPr>
          <w:rStyle w:val="A3"/>
          <w:sz w:val="24"/>
          <w:szCs w:val="24"/>
        </w:rPr>
        <w:t xml:space="preserve">Ryst </w:t>
      </w:r>
      <w:r w:rsidRPr="00087C90">
        <w:rPr>
          <w:sz w:val="24"/>
          <w:szCs w:val="24"/>
        </w:rPr>
        <w:t>blandingen af solvens og pulver indtil pulveret er helt</w:t>
      </w:r>
      <w:r w:rsidRPr="00087C90">
        <w:rPr>
          <w:rStyle w:val="A3"/>
          <w:sz w:val="24"/>
          <w:szCs w:val="24"/>
        </w:rPr>
        <w:t xml:space="preserve"> opløst.</w:t>
      </w:r>
    </w:p>
    <w:p w14:paraId="45AAB9EA" w14:textId="77777777" w:rsidR="00087C90" w:rsidRPr="00087C90" w:rsidRDefault="00087C90" w:rsidP="00C77D59">
      <w:pPr>
        <w:pStyle w:val="Listeafsnit"/>
        <w:numPr>
          <w:ilvl w:val="0"/>
          <w:numId w:val="8"/>
        </w:numPr>
        <w:ind w:left="1134" w:hanging="283"/>
        <w:rPr>
          <w:rStyle w:val="A3"/>
          <w:sz w:val="24"/>
          <w:szCs w:val="24"/>
        </w:rPr>
      </w:pPr>
      <w:r w:rsidRPr="00087C90">
        <w:rPr>
          <w:rStyle w:val="A3"/>
          <w:sz w:val="24"/>
          <w:szCs w:val="24"/>
        </w:rPr>
        <w:t>Undersøg</w:t>
      </w:r>
      <w:r w:rsidRPr="00087C90">
        <w:rPr>
          <w:sz w:val="24"/>
          <w:szCs w:val="24"/>
        </w:rPr>
        <w:t xml:space="preserve"> den rekonstituerede opløsning visuelt med hensyn til partikler. Opløsningen må kun anvendes, hvis den er klar, farveløs og uden synlige partikler</w:t>
      </w:r>
      <w:r w:rsidRPr="00087C90">
        <w:rPr>
          <w:rFonts w:cs="Rotis Sans Serif Pro"/>
          <w:color w:val="221E1F"/>
          <w:sz w:val="24"/>
          <w:szCs w:val="24"/>
        </w:rPr>
        <w:t>.</w:t>
      </w:r>
    </w:p>
    <w:p w14:paraId="41AB1728" w14:textId="77777777" w:rsidR="00087C90" w:rsidRPr="00087C90" w:rsidRDefault="00087C90" w:rsidP="00C77D59">
      <w:pPr>
        <w:pStyle w:val="Listeafsnit"/>
        <w:numPr>
          <w:ilvl w:val="0"/>
          <w:numId w:val="8"/>
        </w:numPr>
        <w:ind w:left="1134" w:hanging="283"/>
        <w:rPr>
          <w:rStyle w:val="A3"/>
          <w:sz w:val="24"/>
          <w:szCs w:val="24"/>
        </w:rPr>
      </w:pPr>
      <w:r w:rsidRPr="00087C90">
        <w:rPr>
          <w:rStyle w:val="A3"/>
          <w:sz w:val="24"/>
          <w:szCs w:val="24"/>
        </w:rPr>
        <w:t xml:space="preserve">Klem </w:t>
      </w:r>
      <w:r w:rsidRPr="00087C90">
        <w:rPr>
          <w:sz w:val="24"/>
          <w:szCs w:val="24"/>
        </w:rPr>
        <w:t>den foldede beholder lige under opløsningsmærket for at bryde den anden forsegling således at væsken har frit løb til</w:t>
      </w:r>
      <w:r w:rsidRPr="00087C90">
        <w:rPr>
          <w:rStyle w:val="A3"/>
          <w:sz w:val="24"/>
          <w:szCs w:val="24"/>
        </w:rPr>
        <w:t xml:space="preserve"> porten (fig. 4).</w:t>
      </w:r>
    </w:p>
    <w:p w14:paraId="5BA42881" w14:textId="77777777" w:rsidR="00087C90" w:rsidRPr="00087C90" w:rsidRDefault="00087C90" w:rsidP="00C77D59">
      <w:pPr>
        <w:pStyle w:val="Listeafsnit"/>
        <w:numPr>
          <w:ilvl w:val="0"/>
          <w:numId w:val="8"/>
        </w:numPr>
        <w:ind w:left="1134" w:hanging="283"/>
        <w:rPr>
          <w:rStyle w:val="A3"/>
          <w:sz w:val="24"/>
          <w:szCs w:val="24"/>
        </w:rPr>
      </w:pPr>
      <w:r w:rsidRPr="00087C90">
        <w:rPr>
          <w:rStyle w:val="A3"/>
          <w:sz w:val="24"/>
          <w:szCs w:val="24"/>
        </w:rPr>
        <w:t xml:space="preserve">Fjern </w:t>
      </w:r>
      <w:r w:rsidRPr="00087C90">
        <w:rPr>
          <w:sz w:val="24"/>
          <w:szCs w:val="24"/>
        </w:rPr>
        <w:t>folien, som dækker infusionsporten og indsæt et sterilt infusionssæt (fig. 5). Hæng posen op på et infusionsstativ for infusion af hele dosen eller kun en del af den (f.eks. til børn).</w:t>
      </w:r>
    </w:p>
    <w:p w14:paraId="43B2C7F0" w14:textId="77777777" w:rsidR="00087C90" w:rsidRDefault="00087C90" w:rsidP="00087C90"/>
    <w:tbl>
      <w:tblPr>
        <w:tblStyle w:val="Tabel-Gitter"/>
        <w:tblW w:w="612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50"/>
      </w:tblGrid>
      <w:tr w:rsidR="00087C90" w14:paraId="44537BC1" w14:textId="77777777" w:rsidTr="00C77D59">
        <w:tc>
          <w:tcPr>
            <w:tcW w:w="3070" w:type="dxa"/>
            <w:hideMark/>
          </w:tcPr>
          <w:p w14:paraId="3CAD0B51" w14:textId="77777777" w:rsidR="00087C90" w:rsidRPr="00087C90" w:rsidRDefault="00087C90">
            <w:pPr>
              <w:keepNext/>
              <w:ind w:left="284" w:hanging="284"/>
              <w:rPr>
                <w:lang w:eastAsia="de-DE"/>
              </w:rPr>
            </w:pPr>
            <w:r w:rsidRPr="00087C90">
              <w:rPr>
                <w:lang w:eastAsia="de-DE"/>
              </w:rPr>
              <w:t xml:space="preserve">1. </w:t>
            </w:r>
            <w:r w:rsidRPr="00087C90">
              <w:rPr>
                <w:lang w:eastAsia="de-DE"/>
              </w:rPr>
              <w:tab/>
            </w:r>
            <w:r w:rsidRPr="00087C90">
              <w:t>Fjern klistermærkerne halvvejs og</w:t>
            </w:r>
            <w:r w:rsidRPr="00087C90">
              <w:rPr>
                <w:lang w:eastAsia="de-DE"/>
              </w:rPr>
              <w:t xml:space="preserve"> fold beholderen ud</w:t>
            </w:r>
          </w:p>
        </w:tc>
        <w:tc>
          <w:tcPr>
            <w:tcW w:w="3050" w:type="dxa"/>
            <w:hideMark/>
          </w:tcPr>
          <w:p w14:paraId="5598070E" w14:textId="77777777" w:rsidR="00087C90" w:rsidRDefault="00087C90">
            <w:pPr>
              <w:ind w:left="284" w:hanging="284"/>
              <w:rPr>
                <w:lang w:val="en-US" w:eastAsia="de-DE"/>
              </w:rPr>
            </w:pPr>
            <w:r>
              <w:rPr>
                <w:lang w:val="en-US" w:eastAsia="de-DE"/>
              </w:rPr>
              <w:t xml:space="preserve">2. </w:t>
            </w:r>
            <w:r>
              <w:rPr>
                <w:lang w:val="en-US" w:eastAsia="de-DE"/>
              </w:rPr>
              <w:tab/>
            </w:r>
            <w:r>
              <w:rPr>
                <w:lang w:val="en-US"/>
              </w:rPr>
              <w:t>Fjern</w:t>
            </w:r>
            <w:r>
              <w:rPr>
                <w:spacing w:val="1"/>
                <w:lang w:val="en-US"/>
              </w:rPr>
              <w:t xml:space="preserve"> </w:t>
            </w:r>
            <w:r>
              <w:rPr>
                <w:lang w:val="en-US"/>
              </w:rPr>
              <w:t>foliestrimlen fra pulverkammeret</w:t>
            </w:r>
          </w:p>
        </w:tc>
      </w:tr>
      <w:tr w:rsidR="00087C90" w14:paraId="6CE1C359" w14:textId="77777777" w:rsidTr="00C77D59">
        <w:tc>
          <w:tcPr>
            <w:tcW w:w="3070" w:type="dxa"/>
            <w:vAlign w:val="center"/>
            <w:hideMark/>
          </w:tcPr>
          <w:p w14:paraId="51BF6285" w14:textId="1288EE0C" w:rsidR="00087C90" w:rsidRDefault="00087C90">
            <w:pPr>
              <w:widowControl w:val="0"/>
              <w:spacing w:after="200" w:line="276" w:lineRule="auto"/>
              <w:jc w:val="center"/>
              <w:rPr>
                <w:rStyle w:val="A3"/>
                <w:rFonts w:ascii="Times New Roman" w:hAnsi="Times New Roman" w:cs="Times New Roman"/>
              </w:rPr>
            </w:pPr>
            <w:r>
              <w:rPr>
                <w:noProof/>
                <w:lang w:val="en-US"/>
              </w:rPr>
              <w:drawing>
                <wp:inline distT="0" distB="0" distL="0" distR="0" wp14:anchorId="7D1A21FC" wp14:editId="0DD72A92">
                  <wp:extent cx="1765300" cy="1809750"/>
                  <wp:effectExtent l="0" t="0" r="635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1809750"/>
                          </a:xfrm>
                          <a:prstGeom prst="rect">
                            <a:avLst/>
                          </a:prstGeom>
                          <a:noFill/>
                          <a:ln>
                            <a:noFill/>
                          </a:ln>
                        </pic:spPr>
                      </pic:pic>
                    </a:graphicData>
                  </a:graphic>
                </wp:inline>
              </w:drawing>
            </w:r>
          </w:p>
        </w:tc>
        <w:tc>
          <w:tcPr>
            <w:tcW w:w="3050" w:type="dxa"/>
            <w:vAlign w:val="center"/>
            <w:hideMark/>
          </w:tcPr>
          <w:p w14:paraId="36336621" w14:textId="6EFC9FCA" w:rsidR="00087C90" w:rsidRDefault="00087C90">
            <w:pPr>
              <w:widowControl w:val="0"/>
              <w:spacing w:after="200" w:line="276" w:lineRule="auto"/>
              <w:jc w:val="center"/>
              <w:rPr>
                <w:rStyle w:val="A3"/>
                <w:lang w:val="en-US"/>
              </w:rPr>
            </w:pPr>
            <w:r>
              <w:rPr>
                <w:rFonts w:eastAsia="Calibri"/>
                <w:noProof/>
                <w:color w:val="221E1F"/>
                <w:sz w:val="24"/>
                <w:szCs w:val="24"/>
                <w:lang w:val="fi-FI" w:eastAsia="fi-FI"/>
              </w:rPr>
              <w:drawing>
                <wp:inline distT="0" distB="0" distL="0" distR="0" wp14:anchorId="6E96B7D5" wp14:editId="4F0E3463">
                  <wp:extent cx="1447800" cy="1943100"/>
                  <wp:effectExtent l="0" t="0" r="0" b="0"/>
                  <wp:docPr id="5" name="Billede 5" descr="A diagram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devic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943100"/>
                          </a:xfrm>
                          <a:prstGeom prst="rect">
                            <a:avLst/>
                          </a:prstGeom>
                          <a:noFill/>
                          <a:ln>
                            <a:noFill/>
                          </a:ln>
                        </pic:spPr>
                      </pic:pic>
                    </a:graphicData>
                  </a:graphic>
                </wp:inline>
              </w:drawing>
            </w:r>
          </w:p>
        </w:tc>
      </w:tr>
    </w:tbl>
    <w:p w14:paraId="2C10127D" w14:textId="77777777" w:rsidR="00087C90" w:rsidRDefault="00087C90" w:rsidP="00087C90">
      <w:pPr>
        <w:rPr>
          <w:sz w:val="22"/>
        </w:rPr>
      </w:pPr>
    </w:p>
    <w:p w14:paraId="7FA20146" w14:textId="77777777" w:rsidR="00087C90" w:rsidRDefault="00087C90" w:rsidP="00087C90"/>
    <w:tbl>
      <w:tblPr>
        <w:tblStyle w:val="Tabel-Git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50"/>
      </w:tblGrid>
      <w:tr w:rsidR="00087C90" w14:paraId="174A467D" w14:textId="77777777" w:rsidTr="00C77D59">
        <w:tc>
          <w:tcPr>
            <w:tcW w:w="3070" w:type="dxa"/>
            <w:hideMark/>
          </w:tcPr>
          <w:p w14:paraId="0517DFA8" w14:textId="77777777" w:rsidR="00087C90" w:rsidRPr="00087C90" w:rsidRDefault="00087C90" w:rsidP="00C77D59">
            <w:pPr>
              <w:keepNext/>
              <w:ind w:left="33"/>
              <w:rPr>
                <w:lang w:eastAsia="de-DE"/>
              </w:rPr>
            </w:pPr>
            <w:r w:rsidRPr="00087C90">
              <w:rPr>
                <w:lang w:eastAsia="de-DE"/>
              </w:rPr>
              <w:t xml:space="preserve">3. </w:t>
            </w:r>
            <w:r w:rsidRPr="00087C90">
              <w:rPr>
                <w:rStyle w:val="A3"/>
              </w:rPr>
              <w:t xml:space="preserve">Fold beholderen for at bryde den første forsegling </w:t>
            </w:r>
          </w:p>
        </w:tc>
        <w:tc>
          <w:tcPr>
            <w:tcW w:w="3050" w:type="dxa"/>
            <w:hideMark/>
          </w:tcPr>
          <w:p w14:paraId="7FEBE201" w14:textId="77777777" w:rsidR="00087C90" w:rsidRPr="00087C90" w:rsidRDefault="00087C90" w:rsidP="00C77D59">
            <w:pPr>
              <w:ind w:left="81"/>
              <w:rPr>
                <w:lang w:eastAsia="de-DE"/>
              </w:rPr>
            </w:pPr>
            <w:r w:rsidRPr="00087C90">
              <w:rPr>
                <w:lang w:eastAsia="de-DE"/>
              </w:rPr>
              <w:t>4. Klem den</w:t>
            </w:r>
            <w:r w:rsidRPr="00087C90">
              <w:rPr>
                <w:rStyle w:val="A3"/>
              </w:rPr>
              <w:t xml:space="preserve"> foldede beholder og bryd den anden forsegling</w:t>
            </w:r>
          </w:p>
        </w:tc>
      </w:tr>
      <w:tr w:rsidR="00087C90" w14:paraId="31AE5A3C" w14:textId="77777777" w:rsidTr="00C77D59">
        <w:tc>
          <w:tcPr>
            <w:tcW w:w="3070" w:type="dxa"/>
            <w:vAlign w:val="center"/>
            <w:hideMark/>
          </w:tcPr>
          <w:p w14:paraId="177EE249" w14:textId="5D8062E5" w:rsidR="00087C90" w:rsidRDefault="00087C90">
            <w:pPr>
              <w:widowControl w:val="0"/>
              <w:spacing w:after="200" w:line="276" w:lineRule="auto"/>
              <w:jc w:val="center"/>
              <w:rPr>
                <w:rStyle w:val="A3"/>
                <w:rFonts w:ascii="Times New Roman" w:hAnsi="Times New Roman" w:cs="Times New Roman"/>
              </w:rPr>
            </w:pPr>
            <w:r>
              <w:rPr>
                <w:rFonts w:cs="Rotis Sans Serif Pro"/>
                <w:noProof/>
                <w:color w:val="221E1F"/>
                <w:lang w:val="en-US"/>
              </w:rPr>
              <w:drawing>
                <wp:inline distT="0" distB="0" distL="0" distR="0" wp14:anchorId="271746D0" wp14:editId="7547C5E9">
                  <wp:extent cx="1384300" cy="1574800"/>
                  <wp:effectExtent l="0" t="0" r="6350" b="6350"/>
                  <wp:docPr id="4" name="Billede 4" descr="Et billede, der indeholder skitse, tegning, Stregtegning, clipar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 billede, der indeholder skitse, tegning, Stregtegning, clipart&#10;&#10;AI-genereret indhold kan være ukorrek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300" cy="1574800"/>
                          </a:xfrm>
                          <a:prstGeom prst="rect">
                            <a:avLst/>
                          </a:prstGeom>
                          <a:noFill/>
                          <a:ln>
                            <a:noFill/>
                          </a:ln>
                        </pic:spPr>
                      </pic:pic>
                    </a:graphicData>
                  </a:graphic>
                </wp:inline>
              </w:drawing>
            </w:r>
          </w:p>
        </w:tc>
        <w:tc>
          <w:tcPr>
            <w:tcW w:w="3050" w:type="dxa"/>
            <w:vAlign w:val="center"/>
            <w:hideMark/>
          </w:tcPr>
          <w:p w14:paraId="79BBB8D2" w14:textId="040EA5DF" w:rsidR="00087C90" w:rsidRDefault="00087C90">
            <w:pPr>
              <w:widowControl w:val="0"/>
              <w:spacing w:after="200" w:line="276" w:lineRule="auto"/>
              <w:jc w:val="center"/>
              <w:rPr>
                <w:rStyle w:val="A3"/>
                <w:lang w:val="en-US"/>
              </w:rPr>
            </w:pPr>
            <w:r>
              <w:rPr>
                <w:rFonts w:cs="Rotis Sans Serif Pro"/>
                <w:noProof/>
                <w:color w:val="221E1F"/>
                <w:lang w:val="en-US"/>
              </w:rPr>
              <w:drawing>
                <wp:inline distT="0" distB="0" distL="0" distR="0" wp14:anchorId="43046AB6" wp14:editId="02BC1217">
                  <wp:extent cx="1409700" cy="1377950"/>
                  <wp:effectExtent l="0" t="0" r="0" b="0"/>
                  <wp:docPr id="3" name="Billede 3" descr="Et billede, der indeholder skitse, tegning, Stregtegning, clipar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t billede, der indeholder skitse, tegning, Stregtegning, clipart&#10;&#10;AI-genereret indhold kan være ukorrek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377950"/>
                          </a:xfrm>
                          <a:prstGeom prst="rect">
                            <a:avLst/>
                          </a:prstGeom>
                          <a:noFill/>
                          <a:ln>
                            <a:noFill/>
                          </a:ln>
                        </pic:spPr>
                      </pic:pic>
                    </a:graphicData>
                  </a:graphic>
                </wp:inline>
              </w:drawing>
            </w:r>
          </w:p>
        </w:tc>
      </w:tr>
    </w:tbl>
    <w:p w14:paraId="08C872B6" w14:textId="77777777" w:rsidR="00087C90" w:rsidRDefault="00087C90" w:rsidP="00087C90">
      <w:pPr>
        <w:rPr>
          <w:sz w:val="22"/>
        </w:rPr>
      </w:pPr>
    </w:p>
    <w:p w14:paraId="0CE56B77" w14:textId="77777777" w:rsidR="00087C90" w:rsidRDefault="00087C90" w:rsidP="00087C90"/>
    <w:tbl>
      <w:tblPr>
        <w:tblStyle w:val="Tabel-Git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tblGrid>
      <w:tr w:rsidR="00087C90" w14:paraId="51C065BD" w14:textId="77777777" w:rsidTr="00C77D59">
        <w:tc>
          <w:tcPr>
            <w:tcW w:w="3070" w:type="dxa"/>
            <w:hideMark/>
          </w:tcPr>
          <w:p w14:paraId="5858624F" w14:textId="3D14449C" w:rsidR="00C77D59" w:rsidRPr="00C77D59" w:rsidRDefault="00087C90" w:rsidP="00C77D59">
            <w:pPr>
              <w:keepNext/>
              <w:ind w:left="220" w:hanging="220"/>
              <w:rPr>
                <w:rFonts w:ascii="Rotis Sans Serif Pro" w:hAnsi="Rotis Sans Serif Pro" w:cs="Rotis Sans Serif Pro"/>
                <w:color w:val="221E1F"/>
                <w:sz w:val="22"/>
                <w:szCs w:val="22"/>
              </w:rPr>
            </w:pPr>
            <w:r w:rsidRPr="00087C90">
              <w:t>5.</w:t>
            </w:r>
            <w:r w:rsidRPr="00087C90">
              <w:rPr>
                <w:spacing w:val="-14"/>
              </w:rPr>
              <w:t xml:space="preserve"> Fjern</w:t>
            </w:r>
            <w:r w:rsidRPr="00087C90">
              <w:rPr>
                <w:rStyle w:val="A3"/>
              </w:rPr>
              <w:t xml:space="preserve"> folien, som dækker infusionsporten</w:t>
            </w:r>
          </w:p>
        </w:tc>
      </w:tr>
      <w:tr w:rsidR="00087C90" w14:paraId="29A51B8A" w14:textId="77777777" w:rsidTr="00C77D59">
        <w:tc>
          <w:tcPr>
            <w:tcW w:w="3070" w:type="dxa"/>
            <w:vAlign w:val="center"/>
            <w:hideMark/>
          </w:tcPr>
          <w:p w14:paraId="5D0BD2DC" w14:textId="2B73048D" w:rsidR="00087C90" w:rsidRDefault="00087C90">
            <w:pPr>
              <w:widowControl w:val="0"/>
              <w:spacing w:after="200" w:line="276" w:lineRule="auto"/>
              <w:jc w:val="center"/>
              <w:rPr>
                <w:rStyle w:val="A3"/>
                <w:rFonts w:ascii="Times New Roman" w:hAnsi="Times New Roman" w:cs="Times New Roman"/>
              </w:rPr>
            </w:pPr>
            <w:r>
              <w:rPr>
                <w:noProof/>
                <w:lang w:val="en-US"/>
              </w:rPr>
              <w:drawing>
                <wp:inline distT="0" distB="0" distL="0" distR="0" wp14:anchorId="1B7E9718" wp14:editId="0CD03AF8">
                  <wp:extent cx="1352550" cy="2425700"/>
                  <wp:effectExtent l="0" t="0" r="0" b="0"/>
                  <wp:docPr id="2" name="Billede 2" descr="A white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rectangular object with a black bord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2425700"/>
                          </a:xfrm>
                          <a:prstGeom prst="rect">
                            <a:avLst/>
                          </a:prstGeom>
                          <a:noFill/>
                          <a:ln>
                            <a:noFill/>
                          </a:ln>
                        </pic:spPr>
                      </pic:pic>
                    </a:graphicData>
                  </a:graphic>
                </wp:inline>
              </w:drawing>
            </w:r>
          </w:p>
        </w:tc>
      </w:tr>
    </w:tbl>
    <w:p w14:paraId="3E1E39E6" w14:textId="77777777" w:rsidR="00087C90" w:rsidRDefault="00087C90" w:rsidP="00087C90">
      <w:pPr>
        <w:rPr>
          <w:sz w:val="22"/>
        </w:rPr>
      </w:pPr>
    </w:p>
    <w:p w14:paraId="28A0124F" w14:textId="77777777" w:rsidR="00087C90" w:rsidRPr="00C77D59" w:rsidRDefault="00087C90" w:rsidP="00C77D59">
      <w:pPr>
        <w:keepNext/>
        <w:ind w:left="851"/>
        <w:jc w:val="both"/>
        <w:rPr>
          <w:bCs/>
          <w:sz w:val="24"/>
          <w:szCs w:val="24"/>
          <w:u w:val="single"/>
        </w:rPr>
      </w:pPr>
      <w:r w:rsidRPr="00C77D59">
        <w:rPr>
          <w:bCs/>
          <w:sz w:val="24"/>
          <w:szCs w:val="24"/>
          <w:u w:val="single"/>
        </w:rPr>
        <w:t>Samtidig administration af aminoglykosider</w:t>
      </w:r>
    </w:p>
    <w:p w14:paraId="1FEB2DCD" w14:textId="77777777" w:rsidR="00087C90" w:rsidRPr="00C77D59" w:rsidRDefault="00087C90" w:rsidP="00C77D59">
      <w:pPr>
        <w:ind w:left="851"/>
        <w:rPr>
          <w:sz w:val="24"/>
          <w:szCs w:val="24"/>
        </w:rPr>
      </w:pPr>
      <w:r w:rsidRPr="00C77D59">
        <w:rPr>
          <w:sz w:val="24"/>
          <w:szCs w:val="24"/>
        </w:rPr>
        <w:t xml:space="preserve">Eftersom betalaktam-antibiotika inaktiverer aminoglykosid </w:t>
      </w:r>
      <w:r w:rsidRPr="00C77D59">
        <w:rPr>
          <w:i/>
          <w:iCs/>
          <w:sz w:val="24"/>
          <w:szCs w:val="24"/>
        </w:rPr>
        <w:t>in vitro</w:t>
      </w:r>
      <w:r w:rsidRPr="00C77D59">
        <w:rPr>
          <w:sz w:val="24"/>
          <w:szCs w:val="24"/>
        </w:rPr>
        <w:t>, anbefales det, at Piperacillin/Tazobactam "B. Braun" og aminoglykosidet indgives separat.</w:t>
      </w:r>
    </w:p>
    <w:p w14:paraId="1C48E7CB" w14:textId="77777777" w:rsidR="00087C90" w:rsidRPr="00C77D59" w:rsidRDefault="00087C90" w:rsidP="00C77D59">
      <w:pPr>
        <w:ind w:left="851"/>
        <w:rPr>
          <w:sz w:val="24"/>
          <w:szCs w:val="24"/>
        </w:rPr>
      </w:pPr>
    </w:p>
    <w:p w14:paraId="33F113D0" w14:textId="77777777" w:rsidR="00087C90" w:rsidRPr="00C77D59" w:rsidRDefault="00087C90" w:rsidP="00C77D59">
      <w:pPr>
        <w:ind w:left="851"/>
        <w:rPr>
          <w:sz w:val="24"/>
          <w:szCs w:val="24"/>
        </w:rPr>
      </w:pPr>
      <w:r w:rsidRPr="00C77D59">
        <w:rPr>
          <w:sz w:val="24"/>
          <w:szCs w:val="24"/>
        </w:rPr>
        <w:t>I situationer, hvor samtidig administration er anbefalet, er Piperacillin/Tazobactam "B. Braun" kun forligeligt med samtidig administration via Y</w:t>
      </w:r>
      <w:r w:rsidRPr="00C77D59">
        <w:rPr>
          <w:sz w:val="24"/>
          <w:szCs w:val="24"/>
        </w:rPr>
        <w:noBreakHyphen/>
        <w:t>kobling med følgende aminoglykosider under følgende forhold:</w:t>
      </w:r>
    </w:p>
    <w:p w14:paraId="4291EDD3" w14:textId="77777777" w:rsidR="00087C90" w:rsidRDefault="00087C90" w:rsidP="00087C90">
      <w:pPr>
        <w:rPr>
          <w:szCs w:val="22"/>
        </w:rPr>
      </w:pPr>
    </w:p>
    <w:tbl>
      <w:tblPr>
        <w:tblW w:w="8375" w:type="dxa"/>
        <w:tblInd w:w="843" w:type="dxa"/>
        <w:tblLayout w:type="fixed"/>
        <w:tblCellMar>
          <w:left w:w="112" w:type="dxa"/>
          <w:right w:w="0" w:type="dxa"/>
        </w:tblCellMar>
        <w:tblLook w:val="04A0" w:firstRow="1" w:lastRow="0" w:firstColumn="1" w:lastColumn="0" w:noHBand="0" w:noVBand="1"/>
      </w:tblPr>
      <w:tblGrid>
        <w:gridCol w:w="1701"/>
        <w:gridCol w:w="1417"/>
        <w:gridCol w:w="1417"/>
        <w:gridCol w:w="1701"/>
        <w:gridCol w:w="2139"/>
      </w:tblGrid>
      <w:tr w:rsidR="00087C90" w14:paraId="4434113D" w14:textId="77777777" w:rsidTr="001D0FF6">
        <w:trPr>
          <w:trHeight w:val="766"/>
        </w:trPr>
        <w:tc>
          <w:tcPr>
            <w:tcW w:w="1701" w:type="dxa"/>
            <w:tcBorders>
              <w:top w:val="single" w:sz="6" w:space="0" w:color="000000"/>
              <w:left w:val="single" w:sz="6" w:space="0" w:color="000000"/>
              <w:bottom w:val="single" w:sz="6" w:space="0" w:color="000000"/>
              <w:right w:val="single" w:sz="6" w:space="0" w:color="000000"/>
            </w:tcBorders>
            <w:vAlign w:val="center"/>
            <w:hideMark/>
          </w:tcPr>
          <w:p w14:paraId="735D9AA1" w14:textId="77777777" w:rsidR="00087C90" w:rsidRDefault="00087C90">
            <w:pPr>
              <w:keepNext/>
              <w:spacing w:line="256" w:lineRule="auto"/>
              <w:rPr>
                <w:szCs w:val="22"/>
                <w:lang w:val="en-GB"/>
              </w:rPr>
            </w:pPr>
            <w:r>
              <w:rPr>
                <w:b/>
                <w:szCs w:val="22"/>
                <w:lang w:val="en-GB"/>
              </w:rPr>
              <w:t xml:space="preserve">Aminoglykosid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2CE09865" w14:textId="77777777" w:rsidR="001D0FF6" w:rsidRDefault="00087C90">
            <w:pPr>
              <w:spacing w:line="256" w:lineRule="auto"/>
              <w:rPr>
                <w:b/>
                <w:szCs w:val="22"/>
                <w:lang w:val="en-GB"/>
              </w:rPr>
            </w:pPr>
            <w:r>
              <w:rPr>
                <w:b/>
                <w:szCs w:val="22"/>
                <w:lang w:val="en-GB"/>
              </w:rPr>
              <w:t>Piperacillin/</w:t>
            </w:r>
          </w:p>
          <w:p w14:paraId="690210AA" w14:textId="795AD66A" w:rsidR="00087C90" w:rsidRDefault="00087C90">
            <w:pPr>
              <w:spacing w:line="256" w:lineRule="auto"/>
              <w:rPr>
                <w:szCs w:val="22"/>
                <w:lang w:val="en-GB"/>
              </w:rPr>
            </w:pPr>
            <w:r>
              <w:rPr>
                <w:b/>
                <w:szCs w:val="22"/>
                <w:lang w:val="en-GB"/>
              </w:rPr>
              <w:t xml:space="preserve">tazobactam-dosis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0F464578" w14:textId="77777777" w:rsidR="00087C90" w:rsidRDefault="00087C90">
            <w:pPr>
              <w:spacing w:line="256" w:lineRule="auto"/>
              <w:ind w:left="15"/>
              <w:rPr>
                <w:szCs w:val="22"/>
                <w:lang w:val="en-GB"/>
              </w:rPr>
            </w:pPr>
            <w:r>
              <w:rPr>
                <w:b/>
                <w:szCs w:val="22"/>
                <w:lang w:val="en-GB"/>
              </w:rPr>
              <w:t>Piperacillin/</w:t>
            </w:r>
            <w:r>
              <w:rPr>
                <w:b/>
                <w:szCs w:val="22"/>
                <w:lang w:val="en-GB"/>
              </w:rPr>
              <w:br/>
              <w:t>tazobactam-solvens-volumen</w:t>
            </w:r>
          </w:p>
        </w:tc>
        <w:tc>
          <w:tcPr>
            <w:tcW w:w="1701" w:type="dxa"/>
            <w:tcBorders>
              <w:top w:val="single" w:sz="6" w:space="0" w:color="000000"/>
              <w:left w:val="single" w:sz="6" w:space="0" w:color="000000"/>
              <w:bottom w:val="single" w:sz="6" w:space="0" w:color="000000"/>
              <w:right w:val="single" w:sz="6" w:space="0" w:color="000000"/>
            </w:tcBorders>
            <w:hideMark/>
          </w:tcPr>
          <w:p w14:paraId="15E3BBCD" w14:textId="77777777" w:rsidR="00087C90" w:rsidRDefault="00087C90">
            <w:pPr>
              <w:spacing w:line="256" w:lineRule="auto"/>
              <w:rPr>
                <w:szCs w:val="22"/>
                <w:lang w:val="en-GB"/>
              </w:rPr>
            </w:pPr>
            <w:r>
              <w:rPr>
                <w:b/>
                <w:szCs w:val="22"/>
                <w:lang w:val="en-GB"/>
              </w:rPr>
              <w:t>Aminoglykosid-koncentrations-interval</w:t>
            </w:r>
          </w:p>
        </w:tc>
        <w:tc>
          <w:tcPr>
            <w:tcW w:w="2139" w:type="dxa"/>
            <w:tcBorders>
              <w:top w:val="single" w:sz="6" w:space="0" w:color="000000"/>
              <w:left w:val="single" w:sz="6" w:space="0" w:color="000000"/>
              <w:bottom w:val="single" w:sz="6" w:space="0" w:color="000000"/>
              <w:right w:val="single" w:sz="6" w:space="0" w:color="000000"/>
            </w:tcBorders>
            <w:vAlign w:val="center"/>
            <w:hideMark/>
          </w:tcPr>
          <w:p w14:paraId="5CA86B95" w14:textId="77777777" w:rsidR="00087C90" w:rsidRDefault="00087C90">
            <w:pPr>
              <w:spacing w:line="256" w:lineRule="auto"/>
              <w:rPr>
                <w:szCs w:val="22"/>
                <w:lang w:val="en-GB"/>
              </w:rPr>
            </w:pPr>
            <w:r>
              <w:rPr>
                <w:b/>
                <w:szCs w:val="22"/>
                <w:lang w:val="en-GB"/>
              </w:rPr>
              <w:t xml:space="preserve">Acceptable solvenser for aminoglykosider </w:t>
            </w:r>
          </w:p>
        </w:tc>
      </w:tr>
      <w:tr w:rsidR="00087C90" w14:paraId="6CB3465D" w14:textId="77777777" w:rsidTr="001D0FF6">
        <w:trPr>
          <w:trHeight w:val="945"/>
        </w:trPr>
        <w:tc>
          <w:tcPr>
            <w:tcW w:w="1701" w:type="dxa"/>
            <w:tcBorders>
              <w:top w:val="single" w:sz="6" w:space="0" w:color="000000"/>
              <w:left w:val="single" w:sz="6" w:space="0" w:color="000000"/>
              <w:bottom w:val="single" w:sz="6" w:space="0" w:color="000000"/>
              <w:right w:val="single" w:sz="6" w:space="0" w:color="000000"/>
            </w:tcBorders>
            <w:vAlign w:val="center"/>
            <w:hideMark/>
          </w:tcPr>
          <w:p w14:paraId="1C863066" w14:textId="77777777" w:rsidR="00087C90" w:rsidRDefault="00087C90">
            <w:pPr>
              <w:spacing w:line="256" w:lineRule="auto"/>
              <w:rPr>
                <w:szCs w:val="22"/>
                <w:lang w:val="en-GB"/>
              </w:rPr>
            </w:pPr>
            <w:r>
              <w:rPr>
                <w:szCs w:val="22"/>
                <w:lang w:val="en-GB"/>
              </w:rPr>
              <w:t xml:space="preserve">Amikacin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2FB675C" w14:textId="77777777" w:rsidR="00087C90" w:rsidRDefault="00087C90">
            <w:pPr>
              <w:spacing w:line="256" w:lineRule="auto"/>
              <w:rPr>
                <w:szCs w:val="22"/>
                <w:lang w:val="en-GB"/>
              </w:rPr>
            </w:pPr>
            <w:r>
              <w:rPr>
                <w:szCs w:val="22"/>
                <w:lang w:val="en-GB"/>
              </w:rPr>
              <w:t>4,5 g</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1B91800" w14:textId="77777777" w:rsidR="00087C90" w:rsidRDefault="00087C90">
            <w:pPr>
              <w:spacing w:line="256" w:lineRule="auto"/>
              <w:ind w:left="15"/>
              <w:rPr>
                <w:szCs w:val="22"/>
                <w:lang w:val="en-GB"/>
              </w:rPr>
            </w:pPr>
            <w:r>
              <w:rPr>
                <w:szCs w:val="22"/>
                <w:lang w:val="en-GB"/>
              </w:rPr>
              <w:t xml:space="preserve">100 ml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4DAA134" w14:textId="77777777" w:rsidR="00087C90" w:rsidRDefault="00087C90">
            <w:pPr>
              <w:spacing w:line="256" w:lineRule="auto"/>
              <w:rPr>
                <w:szCs w:val="22"/>
                <w:lang w:val="en-GB"/>
              </w:rPr>
            </w:pPr>
            <w:r>
              <w:rPr>
                <w:szCs w:val="22"/>
                <w:lang w:val="en-GB"/>
              </w:rPr>
              <w:t>1,75</w:t>
            </w:r>
            <w:r>
              <w:rPr>
                <w:szCs w:val="22"/>
                <w:lang w:val="en-GB"/>
              </w:rPr>
              <w:noBreakHyphen/>
              <w:t xml:space="preserve">7,5 mg/ml </w:t>
            </w:r>
          </w:p>
        </w:tc>
        <w:tc>
          <w:tcPr>
            <w:tcW w:w="2139" w:type="dxa"/>
            <w:tcBorders>
              <w:top w:val="single" w:sz="6" w:space="0" w:color="000000"/>
              <w:left w:val="single" w:sz="6" w:space="0" w:color="000000"/>
              <w:bottom w:val="single" w:sz="6" w:space="0" w:color="000000"/>
              <w:right w:val="single" w:sz="6" w:space="0" w:color="000000"/>
            </w:tcBorders>
            <w:hideMark/>
          </w:tcPr>
          <w:p w14:paraId="2266FC45" w14:textId="77777777" w:rsidR="00087C90" w:rsidRDefault="00087C90">
            <w:pPr>
              <w:spacing w:line="232" w:lineRule="auto"/>
              <w:rPr>
                <w:szCs w:val="22"/>
                <w:lang w:val="en-GB"/>
              </w:rPr>
            </w:pPr>
            <w:r>
              <w:rPr>
                <w:szCs w:val="22"/>
                <w:lang w:val="en-GB"/>
              </w:rPr>
              <w:t xml:space="preserve">0,9 % natriumchlorid eller </w:t>
            </w:r>
          </w:p>
          <w:p w14:paraId="63E89544" w14:textId="77777777" w:rsidR="00087C90" w:rsidRDefault="00087C90">
            <w:pPr>
              <w:spacing w:line="256" w:lineRule="auto"/>
              <w:rPr>
                <w:szCs w:val="22"/>
                <w:lang w:val="en-GB"/>
              </w:rPr>
            </w:pPr>
            <w:r>
              <w:rPr>
                <w:szCs w:val="22"/>
                <w:lang w:val="en-GB"/>
              </w:rPr>
              <w:t xml:space="preserve">5 % dextrose </w:t>
            </w:r>
          </w:p>
        </w:tc>
      </w:tr>
      <w:tr w:rsidR="00087C90" w14:paraId="5EF1D00F" w14:textId="77777777" w:rsidTr="001D0FF6">
        <w:trPr>
          <w:trHeight w:val="841"/>
        </w:trPr>
        <w:tc>
          <w:tcPr>
            <w:tcW w:w="1701" w:type="dxa"/>
            <w:tcBorders>
              <w:top w:val="single" w:sz="6" w:space="0" w:color="000000"/>
              <w:left w:val="single" w:sz="6" w:space="0" w:color="000000"/>
              <w:bottom w:val="single" w:sz="6" w:space="0" w:color="000000"/>
              <w:right w:val="single" w:sz="6" w:space="0" w:color="000000"/>
            </w:tcBorders>
            <w:vAlign w:val="center"/>
            <w:hideMark/>
          </w:tcPr>
          <w:p w14:paraId="349F56DF" w14:textId="77777777" w:rsidR="00087C90" w:rsidRDefault="00087C90">
            <w:pPr>
              <w:spacing w:line="256" w:lineRule="auto"/>
              <w:rPr>
                <w:szCs w:val="22"/>
                <w:lang w:val="en-GB"/>
              </w:rPr>
            </w:pPr>
            <w:r>
              <w:rPr>
                <w:szCs w:val="22"/>
                <w:lang w:val="en-GB"/>
              </w:rPr>
              <w:lastRenderedPageBreak/>
              <w:t xml:space="preserve">Gentamicin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5FD470DE" w14:textId="77777777" w:rsidR="00087C90" w:rsidRDefault="00087C90">
            <w:pPr>
              <w:spacing w:line="256" w:lineRule="auto"/>
              <w:rPr>
                <w:szCs w:val="22"/>
                <w:lang w:val="en-GB"/>
              </w:rPr>
            </w:pPr>
            <w:r>
              <w:rPr>
                <w:szCs w:val="22"/>
                <w:lang w:val="en-GB"/>
              </w:rPr>
              <w:t xml:space="preserve">4,5 g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73FAD5E7" w14:textId="77777777" w:rsidR="00087C90" w:rsidRDefault="00087C90">
            <w:pPr>
              <w:spacing w:line="256" w:lineRule="auto"/>
              <w:ind w:left="15"/>
              <w:rPr>
                <w:szCs w:val="22"/>
                <w:lang w:val="en-GB"/>
              </w:rPr>
            </w:pPr>
            <w:r>
              <w:rPr>
                <w:szCs w:val="22"/>
                <w:lang w:val="en-GB"/>
              </w:rPr>
              <w:t xml:space="preserve">100 ml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78ECF647" w14:textId="77777777" w:rsidR="00087C90" w:rsidRDefault="00087C90">
            <w:pPr>
              <w:spacing w:line="256" w:lineRule="auto"/>
              <w:rPr>
                <w:szCs w:val="22"/>
                <w:lang w:val="en-GB"/>
              </w:rPr>
            </w:pPr>
            <w:r>
              <w:rPr>
                <w:szCs w:val="22"/>
                <w:lang w:val="en-GB"/>
              </w:rPr>
              <w:t>0,7</w:t>
            </w:r>
            <w:r>
              <w:rPr>
                <w:szCs w:val="22"/>
                <w:lang w:val="en-GB"/>
              </w:rPr>
              <w:noBreakHyphen/>
              <w:t>3,32 mg/ml</w:t>
            </w:r>
          </w:p>
        </w:tc>
        <w:tc>
          <w:tcPr>
            <w:tcW w:w="2139" w:type="dxa"/>
            <w:tcBorders>
              <w:top w:val="single" w:sz="6" w:space="0" w:color="000000"/>
              <w:left w:val="single" w:sz="6" w:space="0" w:color="000000"/>
              <w:bottom w:val="single" w:sz="6" w:space="0" w:color="000000"/>
              <w:right w:val="single" w:sz="6" w:space="0" w:color="000000"/>
            </w:tcBorders>
            <w:hideMark/>
          </w:tcPr>
          <w:p w14:paraId="35B0E945" w14:textId="77777777" w:rsidR="00087C90" w:rsidRDefault="00087C90">
            <w:pPr>
              <w:spacing w:line="232" w:lineRule="auto"/>
              <w:rPr>
                <w:szCs w:val="22"/>
                <w:lang w:val="en-GB"/>
              </w:rPr>
            </w:pPr>
            <w:r>
              <w:rPr>
                <w:szCs w:val="22"/>
                <w:lang w:val="en-GB"/>
              </w:rPr>
              <w:t>0,9 % natriumchlorid eller 5 % dextrose</w:t>
            </w:r>
          </w:p>
        </w:tc>
      </w:tr>
    </w:tbl>
    <w:p w14:paraId="7DC7C109" w14:textId="77777777" w:rsidR="00087C90" w:rsidRDefault="00087C90" w:rsidP="00087C90">
      <w:pPr>
        <w:rPr>
          <w:sz w:val="22"/>
          <w:szCs w:val="22"/>
        </w:rPr>
      </w:pPr>
    </w:p>
    <w:p w14:paraId="7345848E" w14:textId="77777777" w:rsidR="00087C90" w:rsidRPr="00087C90" w:rsidRDefault="00087C90" w:rsidP="00087C90">
      <w:pPr>
        <w:ind w:left="851"/>
        <w:rPr>
          <w:sz w:val="24"/>
          <w:szCs w:val="24"/>
        </w:rPr>
      </w:pPr>
      <w:r w:rsidRPr="00087C90">
        <w:rPr>
          <w:sz w:val="24"/>
          <w:szCs w:val="24"/>
        </w:rPr>
        <w:t>De blandede opløsninger er stabile i op til 4 timer ved opbevaring ved 25 °C med Amikacin, hvorimod det er stabilt i op til 60 minutter ved opbevaring ved 25 °C med Gentamicin.</w:t>
      </w:r>
    </w:p>
    <w:p w14:paraId="4CFB3964" w14:textId="77777777" w:rsidR="00087C90" w:rsidRPr="00087C90" w:rsidRDefault="00087C90" w:rsidP="00087C90">
      <w:pPr>
        <w:ind w:left="851"/>
        <w:rPr>
          <w:sz w:val="24"/>
          <w:szCs w:val="24"/>
        </w:rPr>
      </w:pPr>
    </w:p>
    <w:p w14:paraId="5CD58A44" w14:textId="77777777" w:rsidR="00087C90" w:rsidRPr="00087C90" w:rsidRDefault="00087C90" w:rsidP="00087C90">
      <w:pPr>
        <w:ind w:left="851"/>
        <w:jc w:val="both"/>
        <w:rPr>
          <w:sz w:val="24"/>
          <w:szCs w:val="24"/>
        </w:rPr>
      </w:pPr>
      <w:r w:rsidRPr="00087C90">
        <w:rPr>
          <w:sz w:val="24"/>
          <w:szCs w:val="24"/>
        </w:rPr>
        <w:t>Se pkt. 6.2 vedrørende uforligeligheder.</w:t>
      </w:r>
    </w:p>
    <w:p w14:paraId="072643D9" w14:textId="77777777" w:rsidR="00087C90" w:rsidRPr="00087C90" w:rsidRDefault="00087C90" w:rsidP="00087C90">
      <w:pPr>
        <w:ind w:left="851" w:hanging="851"/>
        <w:jc w:val="both"/>
        <w:rPr>
          <w:sz w:val="24"/>
          <w:szCs w:val="24"/>
        </w:rPr>
      </w:pPr>
    </w:p>
    <w:p w14:paraId="620599F2" w14:textId="77777777" w:rsidR="00087C90" w:rsidRPr="00087C90" w:rsidRDefault="00087C90" w:rsidP="00087C90">
      <w:pPr>
        <w:ind w:left="851"/>
        <w:rPr>
          <w:sz w:val="24"/>
          <w:szCs w:val="24"/>
        </w:rPr>
      </w:pPr>
      <w:r w:rsidRPr="00087C90">
        <w:rPr>
          <w:sz w:val="24"/>
          <w:szCs w:val="24"/>
        </w:rPr>
        <w:t>Ikke anvendt lægemiddel samt affald heraf skal bortskaffes i henhold til lokale retningslinjer.</w:t>
      </w:r>
    </w:p>
    <w:p w14:paraId="0BEFC903" w14:textId="77777777" w:rsidR="00087C90" w:rsidRPr="00087C90" w:rsidRDefault="00087C90" w:rsidP="00087C90">
      <w:pPr>
        <w:ind w:left="851" w:hanging="851"/>
        <w:jc w:val="both"/>
        <w:rPr>
          <w:sz w:val="24"/>
          <w:szCs w:val="24"/>
        </w:rPr>
      </w:pPr>
    </w:p>
    <w:p w14:paraId="08FF2161" w14:textId="77777777" w:rsidR="00087C90" w:rsidRPr="00087C90" w:rsidRDefault="00087C90" w:rsidP="00087C90">
      <w:pPr>
        <w:ind w:left="851"/>
        <w:jc w:val="both"/>
        <w:rPr>
          <w:sz w:val="24"/>
          <w:szCs w:val="24"/>
        </w:rPr>
      </w:pPr>
      <w:r w:rsidRPr="00087C90">
        <w:rPr>
          <w:sz w:val="24"/>
          <w:szCs w:val="24"/>
        </w:rPr>
        <w:t>Kun til engangsbrug. Ubrugt opløsning skal kasseres.</w:t>
      </w:r>
    </w:p>
    <w:p w14:paraId="0905B8D1" w14:textId="77777777" w:rsidR="009260DE" w:rsidRPr="00087C90" w:rsidRDefault="009260DE" w:rsidP="00087C90">
      <w:pPr>
        <w:tabs>
          <w:tab w:val="left" w:pos="851"/>
        </w:tabs>
        <w:ind w:left="851"/>
        <w:rPr>
          <w:sz w:val="24"/>
          <w:szCs w:val="24"/>
        </w:rPr>
      </w:pPr>
    </w:p>
    <w:p w14:paraId="3B8FD981"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55FFC32" w14:textId="77777777" w:rsidR="001D0FF6" w:rsidRPr="001D0FF6" w:rsidRDefault="001D0FF6" w:rsidP="001D0FF6">
      <w:pPr>
        <w:tabs>
          <w:tab w:val="left" w:pos="851"/>
        </w:tabs>
        <w:ind w:left="851"/>
        <w:rPr>
          <w:sz w:val="24"/>
          <w:szCs w:val="24"/>
        </w:rPr>
      </w:pPr>
      <w:r w:rsidRPr="001D0FF6">
        <w:rPr>
          <w:sz w:val="24"/>
          <w:szCs w:val="24"/>
        </w:rPr>
        <w:t>B. Braun Melsungen AG</w:t>
      </w:r>
    </w:p>
    <w:p w14:paraId="2E5AFAEF" w14:textId="77777777" w:rsidR="001D0FF6" w:rsidRPr="001D0FF6" w:rsidRDefault="001D0FF6" w:rsidP="001D0FF6">
      <w:pPr>
        <w:tabs>
          <w:tab w:val="left" w:pos="851"/>
        </w:tabs>
        <w:ind w:left="851"/>
        <w:rPr>
          <w:sz w:val="24"/>
          <w:szCs w:val="24"/>
        </w:rPr>
      </w:pPr>
      <w:r w:rsidRPr="001D0FF6">
        <w:rPr>
          <w:sz w:val="24"/>
          <w:szCs w:val="24"/>
        </w:rPr>
        <w:t>Carl-Braun-Straße 1</w:t>
      </w:r>
    </w:p>
    <w:p w14:paraId="73596475" w14:textId="77777777" w:rsidR="001D0FF6" w:rsidRPr="001D0FF6" w:rsidRDefault="001D0FF6" w:rsidP="001D0FF6">
      <w:pPr>
        <w:tabs>
          <w:tab w:val="left" w:pos="851"/>
        </w:tabs>
        <w:ind w:left="851"/>
        <w:rPr>
          <w:sz w:val="24"/>
          <w:szCs w:val="24"/>
        </w:rPr>
      </w:pPr>
      <w:r w:rsidRPr="001D0FF6">
        <w:rPr>
          <w:sz w:val="24"/>
          <w:szCs w:val="24"/>
        </w:rPr>
        <w:t>34212 Melsungen</w:t>
      </w:r>
    </w:p>
    <w:p w14:paraId="476FE134" w14:textId="77777777" w:rsidR="001D0FF6" w:rsidRPr="001D0FF6" w:rsidRDefault="001D0FF6" w:rsidP="001D0FF6">
      <w:pPr>
        <w:tabs>
          <w:tab w:val="left" w:pos="851"/>
        </w:tabs>
        <w:ind w:left="851"/>
        <w:rPr>
          <w:sz w:val="24"/>
          <w:szCs w:val="24"/>
        </w:rPr>
      </w:pPr>
      <w:r w:rsidRPr="001D0FF6">
        <w:rPr>
          <w:sz w:val="24"/>
          <w:szCs w:val="24"/>
        </w:rPr>
        <w:t>Tyskland</w:t>
      </w:r>
    </w:p>
    <w:p w14:paraId="2A1F55BE" w14:textId="77777777" w:rsidR="001D0FF6" w:rsidRPr="001D0FF6" w:rsidRDefault="001D0FF6" w:rsidP="001D0FF6">
      <w:pPr>
        <w:tabs>
          <w:tab w:val="left" w:pos="851"/>
        </w:tabs>
        <w:ind w:left="851"/>
        <w:rPr>
          <w:sz w:val="24"/>
          <w:szCs w:val="24"/>
        </w:rPr>
      </w:pPr>
    </w:p>
    <w:p w14:paraId="0F29294D" w14:textId="77777777" w:rsidR="001D0FF6" w:rsidRPr="001D0FF6" w:rsidRDefault="001D0FF6" w:rsidP="001D0FF6">
      <w:pPr>
        <w:tabs>
          <w:tab w:val="left" w:pos="851"/>
        </w:tabs>
        <w:ind w:left="851"/>
        <w:rPr>
          <w:b/>
          <w:sz w:val="24"/>
          <w:szCs w:val="24"/>
        </w:rPr>
      </w:pPr>
      <w:r w:rsidRPr="001D0FF6">
        <w:rPr>
          <w:b/>
          <w:sz w:val="24"/>
          <w:szCs w:val="24"/>
        </w:rPr>
        <w:t>Repræsentant</w:t>
      </w:r>
    </w:p>
    <w:p w14:paraId="39222931" w14:textId="77777777" w:rsidR="001D0FF6" w:rsidRPr="00E8025C" w:rsidRDefault="001D0FF6" w:rsidP="001D0FF6">
      <w:pPr>
        <w:tabs>
          <w:tab w:val="left" w:pos="851"/>
        </w:tabs>
        <w:ind w:left="851"/>
        <w:rPr>
          <w:sz w:val="24"/>
          <w:szCs w:val="24"/>
          <w:lang w:val="en-US"/>
        </w:rPr>
      </w:pPr>
      <w:r w:rsidRPr="00E8025C">
        <w:rPr>
          <w:sz w:val="24"/>
          <w:szCs w:val="24"/>
          <w:lang w:val="en-US"/>
        </w:rPr>
        <w:t>B. Braun Medical A/S</w:t>
      </w:r>
    </w:p>
    <w:p w14:paraId="6E931BCF" w14:textId="77777777" w:rsidR="001D0FF6" w:rsidRPr="00E8025C" w:rsidRDefault="001D0FF6" w:rsidP="001D0FF6">
      <w:pPr>
        <w:tabs>
          <w:tab w:val="left" w:pos="851"/>
        </w:tabs>
        <w:ind w:left="851"/>
        <w:rPr>
          <w:sz w:val="24"/>
          <w:szCs w:val="24"/>
          <w:lang w:val="en-US"/>
        </w:rPr>
      </w:pPr>
      <w:r w:rsidRPr="00E8025C">
        <w:rPr>
          <w:sz w:val="24"/>
          <w:szCs w:val="24"/>
          <w:lang w:val="en-US"/>
        </w:rPr>
        <w:t>Dirch Passers Allé 27, 3. sal</w:t>
      </w:r>
    </w:p>
    <w:p w14:paraId="1C9EBA54" w14:textId="77777777" w:rsidR="001D0FF6" w:rsidRPr="001D0FF6" w:rsidRDefault="001D0FF6" w:rsidP="001D0FF6">
      <w:pPr>
        <w:tabs>
          <w:tab w:val="left" w:pos="851"/>
        </w:tabs>
        <w:ind w:left="851"/>
        <w:rPr>
          <w:sz w:val="24"/>
          <w:szCs w:val="24"/>
        </w:rPr>
      </w:pPr>
      <w:r w:rsidRPr="001D0FF6">
        <w:rPr>
          <w:sz w:val="24"/>
          <w:szCs w:val="24"/>
        </w:rPr>
        <w:t>2000 Frederiksberg</w:t>
      </w:r>
    </w:p>
    <w:p w14:paraId="1CC9EB6F" w14:textId="77777777" w:rsidR="009260DE" w:rsidRDefault="009260DE" w:rsidP="009260DE">
      <w:pPr>
        <w:tabs>
          <w:tab w:val="left" w:pos="851"/>
        </w:tabs>
        <w:ind w:left="851"/>
        <w:rPr>
          <w:sz w:val="24"/>
          <w:szCs w:val="24"/>
        </w:rPr>
      </w:pPr>
    </w:p>
    <w:p w14:paraId="7B0F4F45"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1560FFDB" w14:textId="46920758" w:rsidR="009260DE" w:rsidRPr="00C84483" w:rsidRDefault="001D0FF6" w:rsidP="009260DE">
      <w:pPr>
        <w:tabs>
          <w:tab w:val="left" w:pos="851"/>
        </w:tabs>
        <w:ind w:left="851"/>
        <w:rPr>
          <w:sz w:val="24"/>
          <w:szCs w:val="24"/>
        </w:rPr>
      </w:pPr>
      <w:r>
        <w:rPr>
          <w:sz w:val="24"/>
          <w:szCs w:val="24"/>
        </w:rPr>
        <w:t>73033</w:t>
      </w:r>
    </w:p>
    <w:p w14:paraId="45443CB7" w14:textId="77777777" w:rsidR="009260DE" w:rsidRPr="00C84483" w:rsidRDefault="009260DE" w:rsidP="009260DE">
      <w:pPr>
        <w:tabs>
          <w:tab w:val="left" w:pos="851"/>
        </w:tabs>
        <w:ind w:left="851"/>
        <w:jc w:val="both"/>
        <w:rPr>
          <w:sz w:val="24"/>
          <w:szCs w:val="24"/>
        </w:rPr>
      </w:pPr>
    </w:p>
    <w:p w14:paraId="65DA0F3F"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987CAC3" w14:textId="64005D61" w:rsidR="009260DE" w:rsidRPr="00C84483" w:rsidRDefault="00E8025C" w:rsidP="009260DE">
      <w:pPr>
        <w:tabs>
          <w:tab w:val="left" w:pos="851"/>
        </w:tabs>
        <w:ind w:left="851"/>
        <w:rPr>
          <w:sz w:val="24"/>
          <w:szCs w:val="24"/>
        </w:rPr>
      </w:pPr>
      <w:r>
        <w:rPr>
          <w:sz w:val="24"/>
          <w:szCs w:val="24"/>
        </w:rPr>
        <w:t>5. januar 2026</w:t>
      </w:r>
    </w:p>
    <w:p w14:paraId="697A83BD" w14:textId="77777777" w:rsidR="009260DE" w:rsidRPr="00C84483" w:rsidRDefault="009260DE" w:rsidP="009260DE">
      <w:pPr>
        <w:tabs>
          <w:tab w:val="left" w:pos="851"/>
        </w:tabs>
        <w:ind w:left="851"/>
        <w:rPr>
          <w:sz w:val="24"/>
          <w:szCs w:val="24"/>
        </w:rPr>
      </w:pPr>
    </w:p>
    <w:p w14:paraId="1C1CCEE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1839C384" w14:textId="1221A8E2" w:rsidR="009260DE" w:rsidRPr="00C84483" w:rsidRDefault="001D0FF6" w:rsidP="009260DE">
      <w:pPr>
        <w:tabs>
          <w:tab w:val="left" w:pos="851"/>
        </w:tabs>
        <w:ind w:left="851"/>
        <w:rPr>
          <w:sz w:val="24"/>
          <w:szCs w:val="24"/>
        </w:rPr>
      </w:pPr>
      <w:r>
        <w:rPr>
          <w:sz w:val="24"/>
          <w:szCs w:val="24"/>
        </w:rPr>
        <w:t>-</w:t>
      </w:r>
    </w:p>
    <w:sectPr w:rsidR="009260DE" w:rsidRPr="00C84483" w:rsidSect="000259B9">
      <w:footerReference w:type="default" r:id="rId13"/>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16763" w14:textId="77777777" w:rsidR="00694BA6" w:rsidRDefault="00694BA6">
      <w:r>
        <w:separator/>
      </w:r>
    </w:p>
  </w:endnote>
  <w:endnote w:type="continuationSeparator" w:id="0">
    <w:p w14:paraId="1203E54D" w14:textId="77777777" w:rsidR="00694BA6" w:rsidRDefault="0069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 Sans Serif Pro">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4AF3" w14:textId="77777777" w:rsidR="00694BA6" w:rsidRDefault="00694BA6">
    <w:pPr>
      <w:pStyle w:val="Sidefod"/>
      <w:pBdr>
        <w:bottom w:val="single" w:sz="6" w:space="1" w:color="auto"/>
      </w:pBdr>
    </w:pPr>
  </w:p>
  <w:p w14:paraId="410F2E82" w14:textId="77777777" w:rsidR="00694BA6" w:rsidRDefault="00694BA6" w:rsidP="00C42586">
    <w:pPr>
      <w:pStyle w:val="Sidefod"/>
      <w:tabs>
        <w:tab w:val="clear" w:pos="4819"/>
        <w:tab w:val="left" w:pos="8505"/>
      </w:tabs>
      <w:rPr>
        <w:i/>
        <w:sz w:val="18"/>
        <w:szCs w:val="18"/>
      </w:rPr>
    </w:pPr>
  </w:p>
  <w:p w14:paraId="7E781028" w14:textId="5F0116DE" w:rsidR="00694BA6" w:rsidRPr="00B373D7" w:rsidRDefault="00694BA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Piperacillin-Tazobactam B. Braun, pulver og solvens til infusionsvæske, opløsning 4+0,5 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CED6E" w14:textId="77777777" w:rsidR="00694BA6" w:rsidRDefault="00694BA6">
      <w:r>
        <w:separator/>
      </w:r>
    </w:p>
  </w:footnote>
  <w:footnote w:type="continuationSeparator" w:id="0">
    <w:p w14:paraId="154D0D45" w14:textId="77777777" w:rsidR="00694BA6" w:rsidRDefault="00694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0285F28"/>
    <w:multiLevelType w:val="hybridMultilevel"/>
    <w:tmpl w:val="2076BF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8AA3386"/>
    <w:multiLevelType w:val="hybridMultilevel"/>
    <w:tmpl w:val="85CE90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4AD7032"/>
    <w:multiLevelType w:val="hybridMultilevel"/>
    <w:tmpl w:val="08AAA3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36"/>
    <w:rsid w:val="000259B9"/>
    <w:rsid w:val="00041491"/>
    <w:rsid w:val="00050D16"/>
    <w:rsid w:val="000730CA"/>
    <w:rsid w:val="00074F2A"/>
    <w:rsid w:val="00087C90"/>
    <w:rsid w:val="000A1CA8"/>
    <w:rsid w:val="000A466B"/>
    <w:rsid w:val="000B058C"/>
    <w:rsid w:val="000D68B0"/>
    <w:rsid w:val="000E4EE6"/>
    <w:rsid w:val="001454E2"/>
    <w:rsid w:val="001D0FF6"/>
    <w:rsid w:val="00206CE8"/>
    <w:rsid w:val="0021526C"/>
    <w:rsid w:val="00283A2B"/>
    <w:rsid w:val="002B30AD"/>
    <w:rsid w:val="002C1EC0"/>
    <w:rsid w:val="002C2C01"/>
    <w:rsid w:val="002E371F"/>
    <w:rsid w:val="003A29AE"/>
    <w:rsid w:val="003A32D7"/>
    <w:rsid w:val="003B4074"/>
    <w:rsid w:val="003C769A"/>
    <w:rsid w:val="003D3A90"/>
    <w:rsid w:val="003F1838"/>
    <w:rsid w:val="004251C1"/>
    <w:rsid w:val="0045746C"/>
    <w:rsid w:val="0049104B"/>
    <w:rsid w:val="004A3FB9"/>
    <w:rsid w:val="004E3B12"/>
    <w:rsid w:val="00532310"/>
    <w:rsid w:val="00565F0F"/>
    <w:rsid w:val="005925E6"/>
    <w:rsid w:val="00594A86"/>
    <w:rsid w:val="00596D86"/>
    <w:rsid w:val="00637F5A"/>
    <w:rsid w:val="00641C65"/>
    <w:rsid w:val="006560B1"/>
    <w:rsid w:val="006756DD"/>
    <w:rsid w:val="00694BA6"/>
    <w:rsid w:val="0071241E"/>
    <w:rsid w:val="00737275"/>
    <w:rsid w:val="00740EEC"/>
    <w:rsid w:val="0078011A"/>
    <w:rsid w:val="00782AF4"/>
    <w:rsid w:val="00790EE7"/>
    <w:rsid w:val="007926FC"/>
    <w:rsid w:val="007B6649"/>
    <w:rsid w:val="0082576E"/>
    <w:rsid w:val="0089346F"/>
    <w:rsid w:val="00907F75"/>
    <w:rsid w:val="009260DE"/>
    <w:rsid w:val="0093258A"/>
    <w:rsid w:val="009C7BA3"/>
    <w:rsid w:val="009D1F5A"/>
    <w:rsid w:val="00A10294"/>
    <w:rsid w:val="00B003BF"/>
    <w:rsid w:val="00B03BD7"/>
    <w:rsid w:val="00B373D7"/>
    <w:rsid w:val="00B51B54"/>
    <w:rsid w:val="00B55271"/>
    <w:rsid w:val="00BD7931"/>
    <w:rsid w:val="00BF6243"/>
    <w:rsid w:val="00C05C94"/>
    <w:rsid w:val="00C36276"/>
    <w:rsid w:val="00C42586"/>
    <w:rsid w:val="00C45F6B"/>
    <w:rsid w:val="00C60CCD"/>
    <w:rsid w:val="00C77D59"/>
    <w:rsid w:val="00C84483"/>
    <w:rsid w:val="00C95551"/>
    <w:rsid w:val="00CB20D7"/>
    <w:rsid w:val="00D020B0"/>
    <w:rsid w:val="00D11748"/>
    <w:rsid w:val="00D237F6"/>
    <w:rsid w:val="00D34D98"/>
    <w:rsid w:val="00D366CF"/>
    <w:rsid w:val="00D42636"/>
    <w:rsid w:val="00D93992"/>
    <w:rsid w:val="00E108AA"/>
    <w:rsid w:val="00E3749A"/>
    <w:rsid w:val="00E7437F"/>
    <w:rsid w:val="00E8025C"/>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F9CAE"/>
  <w15:chartTrackingRefBased/>
  <w15:docId w15:val="{974A99BC-4266-405A-B826-11318FFC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uiPriority w:val="59"/>
    <w:rsid w:val="004A3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2E371F"/>
    <w:rPr>
      <w:color w:val="0000FF"/>
      <w:u w:val="single"/>
    </w:rPr>
  </w:style>
  <w:style w:type="paragraph" w:styleId="Listeafsnit">
    <w:name w:val="List Paragraph"/>
    <w:basedOn w:val="Normal"/>
    <w:uiPriority w:val="34"/>
    <w:qFormat/>
    <w:rsid w:val="00087C90"/>
    <w:pPr>
      <w:ind w:left="720"/>
      <w:contextualSpacing/>
    </w:pPr>
    <w:rPr>
      <w:sz w:val="22"/>
    </w:rPr>
  </w:style>
  <w:style w:type="character" w:customStyle="1" w:styleId="A3">
    <w:name w:val="A3"/>
    <w:uiPriority w:val="99"/>
    <w:rsid w:val="00087C90"/>
    <w:rPr>
      <w:rFonts w:ascii="Rotis Sans Serif Pro" w:hAnsi="Rotis Sans Serif Pro" w:cs="Rotis Sans Serif Pro" w:hint="default"/>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2784">
      <w:bodyDiv w:val="1"/>
      <w:marLeft w:val="0"/>
      <w:marRight w:val="0"/>
      <w:marTop w:val="0"/>
      <w:marBottom w:val="0"/>
      <w:divBdr>
        <w:top w:val="none" w:sz="0" w:space="0" w:color="auto"/>
        <w:left w:val="none" w:sz="0" w:space="0" w:color="auto"/>
        <w:bottom w:val="none" w:sz="0" w:space="0" w:color="auto"/>
        <w:right w:val="none" w:sz="0" w:space="0" w:color="auto"/>
      </w:divBdr>
    </w:div>
    <w:div w:id="95833423">
      <w:bodyDiv w:val="1"/>
      <w:marLeft w:val="0"/>
      <w:marRight w:val="0"/>
      <w:marTop w:val="0"/>
      <w:marBottom w:val="0"/>
      <w:divBdr>
        <w:top w:val="none" w:sz="0" w:space="0" w:color="auto"/>
        <w:left w:val="none" w:sz="0" w:space="0" w:color="auto"/>
        <w:bottom w:val="none" w:sz="0" w:space="0" w:color="auto"/>
        <w:right w:val="none" w:sz="0" w:space="0" w:color="auto"/>
      </w:divBdr>
    </w:div>
    <w:div w:id="98598884">
      <w:bodyDiv w:val="1"/>
      <w:marLeft w:val="0"/>
      <w:marRight w:val="0"/>
      <w:marTop w:val="0"/>
      <w:marBottom w:val="0"/>
      <w:divBdr>
        <w:top w:val="none" w:sz="0" w:space="0" w:color="auto"/>
        <w:left w:val="none" w:sz="0" w:space="0" w:color="auto"/>
        <w:bottom w:val="none" w:sz="0" w:space="0" w:color="auto"/>
        <w:right w:val="none" w:sz="0" w:space="0" w:color="auto"/>
      </w:divBdr>
    </w:div>
    <w:div w:id="140201491">
      <w:bodyDiv w:val="1"/>
      <w:marLeft w:val="0"/>
      <w:marRight w:val="0"/>
      <w:marTop w:val="0"/>
      <w:marBottom w:val="0"/>
      <w:divBdr>
        <w:top w:val="none" w:sz="0" w:space="0" w:color="auto"/>
        <w:left w:val="none" w:sz="0" w:space="0" w:color="auto"/>
        <w:bottom w:val="none" w:sz="0" w:space="0" w:color="auto"/>
        <w:right w:val="none" w:sz="0" w:space="0" w:color="auto"/>
      </w:divBdr>
    </w:div>
    <w:div w:id="14050960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6695365">
      <w:bodyDiv w:val="1"/>
      <w:marLeft w:val="0"/>
      <w:marRight w:val="0"/>
      <w:marTop w:val="0"/>
      <w:marBottom w:val="0"/>
      <w:divBdr>
        <w:top w:val="none" w:sz="0" w:space="0" w:color="auto"/>
        <w:left w:val="none" w:sz="0" w:space="0" w:color="auto"/>
        <w:bottom w:val="none" w:sz="0" w:space="0" w:color="auto"/>
        <w:right w:val="none" w:sz="0" w:space="0" w:color="auto"/>
      </w:divBdr>
    </w:div>
    <w:div w:id="301890871">
      <w:bodyDiv w:val="1"/>
      <w:marLeft w:val="0"/>
      <w:marRight w:val="0"/>
      <w:marTop w:val="0"/>
      <w:marBottom w:val="0"/>
      <w:divBdr>
        <w:top w:val="none" w:sz="0" w:space="0" w:color="auto"/>
        <w:left w:val="none" w:sz="0" w:space="0" w:color="auto"/>
        <w:bottom w:val="none" w:sz="0" w:space="0" w:color="auto"/>
        <w:right w:val="none" w:sz="0" w:space="0" w:color="auto"/>
      </w:divBdr>
    </w:div>
    <w:div w:id="319582954">
      <w:bodyDiv w:val="1"/>
      <w:marLeft w:val="0"/>
      <w:marRight w:val="0"/>
      <w:marTop w:val="0"/>
      <w:marBottom w:val="0"/>
      <w:divBdr>
        <w:top w:val="none" w:sz="0" w:space="0" w:color="auto"/>
        <w:left w:val="none" w:sz="0" w:space="0" w:color="auto"/>
        <w:bottom w:val="none" w:sz="0" w:space="0" w:color="auto"/>
        <w:right w:val="none" w:sz="0" w:space="0" w:color="auto"/>
      </w:divBdr>
    </w:div>
    <w:div w:id="336923528">
      <w:bodyDiv w:val="1"/>
      <w:marLeft w:val="0"/>
      <w:marRight w:val="0"/>
      <w:marTop w:val="0"/>
      <w:marBottom w:val="0"/>
      <w:divBdr>
        <w:top w:val="none" w:sz="0" w:space="0" w:color="auto"/>
        <w:left w:val="none" w:sz="0" w:space="0" w:color="auto"/>
        <w:bottom w:val="none" w:sz="0" w:space="0" w:color="auto"/>
        <w:right w:val="none" w:sz="0" w:space="0" w:color="auto"/>
      </w:divBdr>
    </w:div>
    <w:div w:id="429400827">
      <w:bodyDiv w:val="1"/>
      <w:marLeft w:val="0"/>
      <w:marRight w:val="0"/>
      <w:marTop w:val="0"/>
      <w:marBottom w:val="0"/>
      <w:divBdr>
        <w:top w:val="none" w:sz="0" w:space="0" w:color="auto"/>
        <w:left w:val="none" w:sz="0" w:space="0" w:color="auto"/>
        <w:bottom w:val="none" w:sz="0" w:space="0" w:color="auto"/>
        <w:right w:val="none" w:sz="0" w:space="0" w:color="auto"/>
      </w:divBdr>
    </w:div>
    <w:div w:id="463475356">
      <w:bodyDiv w:val="1"/>
      <w:marLeft w:val="0"/>
      <w:marRight w:val="0"/>
      <w:marTop w:val="0"/>
      <w:marBottom w:val="0"/>
      <w:divBdr>
        <w:top w:val="none" w:sz="0" w:space="0" w:color="auto"/>
        <w:left w:val="none" w:sz="0" w:space="0" w:color="auto"/>
        <w:bottom w:val="none" w:sz="0" w:space="0" w:color="auto"/>
        <w:right w:val="none" w:sz="0" w:space="0" w:color="auto"/>
      </w:divBdr>
    </w:div>
    <w:div w:id="464198874">
      <w:bodyDiv w:val="1"/>
      <w:marLeft w:val="0"/>
      <w:marRight w:val="0"/>
      <w:marTop w:val="0"/>
      <w:marBottom w:val="0"/>
      <w:divBdr>
        <w:top w:val="none" w:sz="0" w:space="0" w:color="auto"/>
        <w:left w:val="none" w:sz="0" w:space="0" w:color="auto"/>
        <w:bottom w:val="none" w:sz="0" w:space="0" w:color="auto"/>
        <w:right w:val="none" w:sz="0" w:space="0" w:color="auto"/>
      </w:divBdr>
    </w:div>
    <w:div w:id="532040278">
      <w:bodyDiv w:val="1"/>
      <w:marLeft w:val="0"/>
      <w:marRight w:val="0"/>
      <w:marTop w:val="0"/>
      <w:marBottom w:val="0"/>
      <w:divBdr>
        <w:top w:val="none" w:sz="0" w:space="0" w:color="auto"/>
        <w:left w:val="none" w:sz="0" w:space="0" w:color="auto"/>
        <w:bottom w:val="none" w:sz="0" w:space="0" w:color="auto"/>
        <w:right w:val="none" w:sz="0" w:space="0" w:color="auto"/>
      </w:divBdr>
    </w:div>
    <w:div w:id="542791074">
      <w:bodyDiv w:val="1"/>
      <w:marLeft w:val="0"/>
      <w:marRight w:val="0"/>
      <w:marTop w:val="0"/>
      <w:marBottom w:val="0"/>
      <w:divBdr>
        <w:top w:val="none" w:sz="0" w:space="0" w:color="auto"/>
        <w:left w:val="none" w:sz="0" w:space="0" w:color="auto"/>
        <w:bottom w:val="none" w:sz="0" w:space="0" w:color="auto"/>
        <w:right w:val="none" w:sz="0" w:space="0" w:color="auto"/>
      </w:divBdr>
    </w:div>
    <w:div w:id="639264683">
      <w:bodyDiv w:val="1"/>
      <w:marLeft w:val="0"/>
      <w:marRight w:val="0"/>
      <w:marTop w:val="0"/>
      <w:marBottom w:val="0"/>
      <w:divBdr>
        <w:top w:val="none" w:sz="0" w:space="0" w:color="auto"/>
        <w:left w:val="none" w:sz="0" w:space="0" w:color="auto"/>
        <w:bottom w:val="none" w:sz="0" w:space="0" w:color="auto"/>
        <w:right w:val="none" w:sz="0" w:space="0" w:color="auto"/>
      </w:divBdr>
    </w:div>
    <w:div w:id="720205842">
      <w:bodyDiv w:val="1"/>
      <w:marLeft w:val="0"/>
      <w:marRight w:val="0"/>
      <w:marTop w:val="0"/>
      <w:marBottom w:val="0"/>
      <w:divBdr>
        <w:top w:val="none" w:sz="0" w:space="0" w:color="auto"/>
        <w:left w:val="none" w:sz="0" w:space="0" w:color="auto"/>
        <w:bottom w:val="none" w:sz="0" w:space="0" w:color="auto"/>
        <w:right w:val="none" w:sz="0" w:space="0" w:color="auto"/>
      </w:divBdr>
    </w:div>
    <w:div w:id="731998184">
      <w:bodyDiv w:val="1"/>
      <w:marLeft w:val="0"/>
      <w:marRight w:val="0"/>
      <w:marTop w:val="0"/>
      <w:marBottom w:val="0"/>
      <w:divBdr>
        <w:top w:val="none" w:sz="0" w:space="0" w:color="auto"/>
        <w:left w:val="none" w:sz="0" w:space="0" w:color="auto"/>
        <w:bottom w:val="none" w:sz="0" w:space="0" w:color="auto"/>
        <w:right w:val="none" w:sz="0" w:space="0" w:color="auto"/>
      </w:divBdr>
    </w:div>
    <w:div w:id="768279300">
      <w:bodyDiv w:val="1"/>
      <w:marLeft w:val="0"/>
      <w:marRight w:val="0"/>
      <w:marTop w:val="0"/>
      <w:marBottom w:val="0"/>
      <w:divBdr>
        <w:top w:val="none" w:sz="0" w:space="0" w:color="auto"/>
        <w:left w:val="none" w:sz="0" w:space="0" w:color="auto"/>
        <w:bottom w:val="none" w:sz="0" w:space="0" w:color="auto"/>
        <w:right w:val="none" w:sz="0" w:space="0" w:color="auto"/>
      </w:divBdr>
    </w:div>
    <w:div w:id="815758317">
      <w:bodyDiv w:val="1"/>
      <w:marLeft w:val="0"/>
      <w:marRight w:val="0"/>
      <w:marTop w:val="0"/>
      <w:marBottom w:val="0"/>
      <w:divBdr>
        <w:top w:val="none" w:sz="0" w:space="0" w:color="auto"/>
        <w:left w:val="none" w:sz="0" w:space="0" w:color="auto"/>
        <w:bottom w:val="none" w:sz="0" w:space="0" w:color="auto"/>
        <w:right w:val="none" w:sz="0" w:space="0" w:color="auto"/>
      </w:divBdr>
    </w:div>
    <w:div w:id="985403706">
      <w:bodyDiv w:val="1"/>
      <w:marLeft w:val="0"/>
      <w:marRight w:val="0"/>
      <w:marTop w:val="0"/>
      <w:marBottom w:val="0"/>
      <w:divBdr>
        <w:top w:val="none" w:sz="0" w:space="0" w:color="auto"/>
        <w:left w:val="none" w:sz="0" w:space="0" w:color="auto"/>
        <w:bottom w:val="none" w:sz="0" w:space="0" w:color="auto"/>
        <w:right w:val="none" w:sz="0" w:space="0" w:color="auto"/>
      </w:divBdr>
    </w:div>
    <w:div w:id="1095907962">
      <w:bodyDiv w:val="1"/>
      <w:marLeft w:val="0"/>
      <w:marRight w:val="0"/>
      <w:marTop w:val="0"/>
      <w:marBottom w:val="0"/>
      <w:divBdr>
        <w:top w:val="none" w:sz="0" w:space="0" w:color="auto"/>
        <w:left w:val="none" w:sz="0" w:space="0" w:color="auto"/>
        <w:bottom w:val="none" w:sz="0" w:space="0" w:color="auto"/>
        <w:right w:val="none" w:sz="0" w:space="0" w:color="auto"/>
      </w:divBdr>
    </w:div>
    <w:div w:id="1141458531">
      <w:bodyDiv w:val="1"/>
      <w:marLeft w:val="0"/>
      <w:marRight w:val="0"/>
      <w:marTop w:val="0"/>
      <w:marBottom w:val="0"/>
      <w:divBdr>
        <w:top w:val="none" w:sz="0" w:space="0" w:color="auto"/>
        <w:left w:val="none" w:sz="0" w:space="0" w:color="auto"/>
        <w:bottom w:val="none" w:sz="0" w:space="0" w:color="auto"/>
        <w:right w:val="none" w:sz="0" w:space="0" w:color="auto"/>
      </w:divBdr>
    </w:div>
    <w:div w:id="1260486435">
      <w:bodyDiv w:val="1"/>
      <w:marLeft w:val="0"/>
      <w:marRight w:val="0"/>
      <w:marTop w:val="0"/>
      <w:marBottom w:val="0"/>
      <w:divBdr>
        <w:top w:val="none" w:sz="0" w:space="0" w:color="auto"/>
        <w:left w:val="none" w:sz="0" w:space="0" w:color="auto"/>
        <w:bottom w:val="none" w:sz="0" w:space="0" w:color="auto"/>
        <w:right w:val="none" w:sz="0" w:space="0" w:color="auto"/>
      </w:divBdr>
    </w:div>
    <w:div w:id="1338653616">
      <w:bodyDiv w:val="1"/>
      <w:marLeft w:val="0"/>
      <w:marRight w:val="0"/>
      <w:marTop w:val="0"/>
      <w:marBottom w:val="0"/>
      <w:divBdr>
        <w:top w:val="none" w:sz="0" w:space="0" w:color="auto"/>
        <w:left w:val="none" w:sz="0" w:space="0" w:color="auto"/>
        <w:bottom w:val="none" w:sz="0" w:space="0" w:color="auto"/>
        <w:right w:val="none" w:sz="0" w:space="0" w:color="auto"/>
      </w:divBdr>
    </w:div>
    <w:div w:id="1422027092">
      <w:bodyDiv w:val="1"/>
      <w:marLeft w:val="0"/>
      <w:marRight w:val="0"/>
      <w:marTop w:val="0"/>
      <w:marBottom w:val="0"/>
      <w:divBdr>
        <w:top w:val="none" w:sz="0" w:space="0" w:color="auto"/>
        <w:left w:val="none" w:sz="0" w:space="0" w:color="auto"/>
        <w:bottom w:val="none" w:sz="0" w:space="0" w:color="auto"/>
        <w:right w:val="none" w:sz="0" w:space="0" w:color="auto"/>
      </w:divBdr>
    </w:div>
    <w:div w:id="1426461296">
      <w:bodyDiv w:val="1"/>
      <w:marLeft w:val="0"/>
      <w:marRight w:val="0"/>
      <w:marTop w:val="0"/>
      <w:marBottom w:val="0"/>
      <w:divBdr>
        <w:top w:val="none" w:sz="0" w:space="0" w:color="auto"/>
        <w:left w:val="none" w:sz="0" w:space="0" w:color="auto"/>
        <w:bottom w:val="none" w:sz="0" w:space="0" w:color="auto"/>
        <w:right w:val="none" w:sz="0" w:space="0" w:color="auto"/>
      </w:divBdr>
    </w:div>
    <w:div w:id="1445996096">
      <w:bodyDiv w:val="1"/>
      <w:marLeft w:val="0"/>
      <w:marRight w:val="0"/>
      <w:marTop w:val="0"/>
      <w:marBottom w:val="0"/>
      <w:divBdr>
        <w:top w:val="none" w:sz="0" w:space="0" w:color="auto"/>
        <w:left w:val="none" w:sz="0" w:space="0" w:color="auto"/>
        <w:bottom w:val="none" w:sz="0" w:space="0" w:color="auto"/>
        <w:right w:val="none" w:sz="0" w:space="0" w:color="auto"/>
      </w:divBdr>
    </w:div>
    <w:div w:id="1542015211">
      <w:bodyDiv w:val="1"/>
      <w:marLeft w:val="0"/>
      <w:marRight w:val="0"/>
      <w:marTop w:val="0"/>
      <w:marBottom w:val="0"/>
      <w:divBdr>
        <w:top w:val="none" w:sz="0" w:space="0" w:color="auto"/>
        <w:left w:val="none" w:sz="0" w:space="0" w:color="auto"/>
        <w:bottom w:val="none" w:sz="0" w:space="0" w:color="auto"/>
        <w:right w:val="none" w:sz="0" w:space="0" w:color="auto"/>
      </w:divBdr>
    </w:div>
    <w:div w:id="1565528643">
      <w:bodyDiv w:val="1"/>
      <w:marLeft w:val="0"/>
      <w:marRight w:val="0"/>
      <w:marTop w:val="0"/>
      <w:marBottom w:val="0"/>
      <w:divBdr>
        <w:top w:val="none" w:sz="0" w:space="0" w:color="auto"/>
        <w:left w:val="none" w:sz="0" w:space="0" w:color="auto"/>
        <w:bottom w:val="none" w:sz="0" w:space="0" w:color="auto"/>
        <w:right w:val="none" w:sz="0" w:space="0" w:color="auto"/>
      </w:divBdr>
    </w:div>
    <w:div w:id="1567758977">
      <w:bodyDiv w:val="1"/>
      <w:marLeft w:val="0"/>
      <w:marRight w:val="0"/>
      <w:marTop w:val="0"/>
      <w:marBottom w:val="0"/>
      <w:divBdr>
        <w:top w:val="none" w:sz="0" w:space="0" w:color="auto"/>
        <w:left w:val="none" w:sz="0" w:space="0" w:color="auto"/>
        <w:bottom w:val="none" w:sz="0" w:space="0" w:color="auto"/>
        <w:right w:val="none" w:sz="0" w:space="0" w:color="auto"/>
      </w:divBdr>
    </w:div>
    <w:div w:id="1587424173">
      <w:bodyDiv w:val="1"/>
      <w:marLeft w:val="0"/>
      <w:marRight w:val="0"/>
      <w:marTop w:val="0"/>
      <w:marBottom w:val="0"/>
      <w:divBdr>
        <w:top w:val="none" w:sz="0" w:space="0" w:color="auto"/>
        <w:left w:val="none" w:sz="0" w:space="0" w:color="auto"/>
        <w:bottom w:val="none" w:sz="0" w:space="0" w:color="auto"/>
        <w:right w:val="none" w:sz="0" w:space="0" w:color="auto"/>
      </w:divBdr>
    </w:div>
    <w:div w:id="1614895092">
      <w:bodyDiv w:val="1"/>
      <w:marLeft w:val="0"/>
      <w:marRight w:val="0"/>
      <w:marTop w:val="0"/>
      <w:marBottom w:val="0"/>
      <w:divBdr>
        <w:top w:val="none" w:sz="0" w:space="0" w:color="auto"/>
        <w:left w:val="none" w:sz="0" w:space="0" w:color="auto"/>
        <w:bottom w:val="none" w:sz="0" w:space="0" w:color="auto"/>
        <w:right w:val="none" w:sz="0" w:space="0" w:color="auto"/>
      </w:divBdr>
    </w:div>
    <w:div w:id="1635217454">
      <w:bodyDiv w:val="1"/>
      <w:marLeft w:val="0"/>
      <w:marRight w:val="0"/>
      <w:marTop w:val="0"/>
      <w:marBottom w:val="0"/>
      <w:divBdr>
        <w:top w:val="none" w:sz="0" w:space="0" w:color="auto"/>
        <w:left w:val="none" w:sz="0" w:space="0" w:color="auto"/>
        <w:bottom w:val="none" w:sz="0" w:space="0" w:color="auto"/>
        <w:right w:val="none" w:sz="0" w:space="0" w:color="auto"/>
      </w:divBdr>
    </w:div>
    <w:div w:id="1636914334">
      <w:bodyDiv w:val="1"/>
      <w:marLeft w:val="0"/>
      <w:marRight w:val="0"/>
      <w:marTop w:val="0"/>
      <w:marBottom w:val="0"/>
      <w:divBdr>
        <w:top w:val="none" w:sz="0" w:space="0" w:color="auto"/>
        <w:left w:val="none" w:sz="0" w:space="0" w:color="auto"/>
        <w:bottom w:val="none" w:sz="0" w:space="0" w:color="auto"/>
        <w:right w:val="none" w:sz="0" w:space="0" w:color="auto"/>
      </w:divBdr>
    </w:div>
    <w:div w:id="1666861410">
      <w:bodyDiv w:val="1"/>
      <w:marLeft w:val="0"/>
      <w:marRight w:val="0"/>
      <w:marTop w:val="0"/>
      <w:marBottom w:val="0"/>
      <w:divBdr>
        <w:top w:val="none" w:sz="0" w:space="0" w:color="auto"/>
        <w:left w:val="none" w:sz="0" w:space="0" w:color="auto"/>
        <w:bottom w:val="none" w:sz="0" w:space="0" w:color="auto"/>
        <w:right w:val="none" w:sz="0" w:space="0" w:color="auto"/>
      </w:divBdr>
    </w:div>
    <w:div w:id="1709794518">
      <w:bodyDiv w:val="1"/>
      <w:marLeft w:val="0"/>
      <w:marRight w:val="0"/>
      <w:marTop w:val="0"/>
      <w:marBottom w:val="0"/>
      <w:divBdr>
        <w:top w:val="none" w:sz="0" w:space="0" w:color="auto"/>
        <w:left w:val="none" w:sz="0" w:space="0" w:color="auto"/>
        <w:bottom w:val="none" w:sz="0" w:space="0" w:color="auto"/>
        <w:right w:val="none" w:sz="0" w:space="0" w:color="auto"/>
      </w:divBdr>
    </w:div>
    <w:div w:id="1729301204">
      <w:bodyDiv w:val="1"/>
      <w:marLeft w:val="0"/>
      <w:marRight w:val="0"/>
      <w:marTop w:val="0"/>
      <w:marBottom w:val="0"/>
      <w:divBdr>
        <w:top w:val="none" w:sz="0" w:space="0" w:color="auto"/>
        <w:left w:val="none" w:sz="0" w:space="0" w:color="auto"/>
        <w:bottom w:val="none" w:sz="0" w:space="0" w:color="auto"/>
        <w:right w:val="none" w:sz="0" w:space="0" w:color="auto"/>
      </w:divBdr>
    </w:div>
    <w:div w:id="1750037794">
      <w:bodyDiv w:val="1"/>
      <w:marLeft w:val="0"/>
      <w:marRight w:val="0"/>
      <w:marTop w:val="0"/>
      <w:marBottom w:val="0"/>
      <w:divBdr>
        <w:top w:val="none" w:sz="0" w:space="0" w:color="auto"/>
        <w:left w:val="none" w:sz="0" w:space="0" w:color="auto"/>
        <w:bottom w:val="none" w:sz="0" w:space="0" w:color="auto"/>
        <w:right w:val="none" w:sz="0" w:space="0" w:color="auto"/>
      </w:divBdr>
    </w:div>
    <w:div w:id="1757049643">
      <w:bodyDiv w:val="1"/>
      <w:marLeft w:val="0"/>
      <w:marRight w:val="0"/>
      <w:marTop w:val="0"/>
      <w:marBottom w:val="0"/>
      <w:divBdr>
        <w:top w:val="none" w:sz="0" w:space="0" w:color="auto"/>
        <w:left w:val="none" w:sz="0" w:space="0" w:color="auto"/>
        <w:bottom w:val="none" w:sz="0" w:space="0" w:color="auto"/>
        <w:right w:val="none" w:sz="0" w:space="0" w:color="auto"/>
      </w:divBdr>
    </w:div>
    <w:div w:id="1800418103">
      <w:bodyDiv w:val="1"/>
      <w:marLeft w:val="0"/>
      <w:marRight w:val="0"/>
      <w:marTop w:val="0"/>
      <w:marBottom w:val="0"/>
      <w:divBdr>
        <w:top w:val="none" w:sz="0" w:space="0" w:color="auto"/>
        <w:left w:val="none" w:sz="0" w:space="0" w:color="auto"/>
        <w:bottom w:val="none" w:sz="0" w:space="0" w:color="auto"/>
        <w:right w:val="none" w:sz="0" w:space="0" w:color="auto"/>
      </w:divBdr>
    </w:div>
    <w:div w:id="1866868291">
      <w:bodyDiv w:val="1"/>
      <w:marLeft w:val="0"/>
      <w:marRight w:val="0"/>
      <w:marTop w:val="0"/>
      <w:marBottom w:val="0"/>
      <w:divBdr>
        <w:top w:val="none" w:sz="0" w:space="0" w:color="auto"/>
        <w:left w:val="none" w:sz="0" w:space="0" w:color="auto"/>
        <w:bottom w:val="none" w:sz="0" w:space="0" w:color="auto"/>
        <w:right w:val="none" w:sz="0" w:space="0" w:color="auto"/>
      </w:divBdr>
    </w:div>
    <w:div w:id="1954677417">
      <w:bodyDiv w:val="1"/>
      <w:marLeft w:val="0"/>
      <w:marRight w:val="0"/>
      <w:marTop w:val="0"/>
      <w:marBottom w:val="0"/>
      <w:divBdr>
        <w:top w:val="none" w:sz="0" w:space="0" w:color="auto"/>
        <w:left w:val="none" w:sz="0" w:space="0" w:color="auto"/>
        <w:bottom w:val="none" w:sz="0" w:space="0" w:color="auto"/>
        <w:right w:val="none" w:sz="0" w:space="0" w:color="auto"/>
      </w:divBdr>
    </w:div>
    <w:div w:id="2029793471">
      <w:bodyDiv w:val="1"/>
      <w:marLeft w:val="0"/>
      <w:marRight w:val="0"/>
      <w:marTop w:val="0"/>
      <w:marBottom w:val="0"/>
      <w:divBdr>
        <w:top w:val="none" w:sz="0" w:space="0" w:color="auto"/>
        <w:left w:val="none" w:sz="0" w:space="0" w:color="auto"/>
        <w:bottom w:val="none" w:sz="0" w:space="0" w:color="auto"/>
        <w:right w:val="none" w:sz="0" w:space="0" w:color="auto"/>
      </w:divBdr>
    </w:div>
    <w:div w:id="2034453785">
      <w:bodyDiv w:val="1"/>
      <w:marLeft w:val="0"/>
      <w:marRight w:val="0"/>
      <w:marTop w:val="0"/>
      <w:marBottom w:val="0"/>
      <w:divBdr>
        <w:top w:val="none" w:sz="0" w:space="0" w:color="auto"/>
        <w:left w:val="none" w:sz="0" w:space="0" w:color="auto"/>
        <w:bottom w:val="none" w:sz="0" w:space="0" w:color="auto"/>
        <w:right w:val="none" w:sz="0" w:space="0" w:color="auto"/>
      </w:divBdr>
    </w:div>
    <w:div w:id="2048410314">
      <w:bodyDiv w:val="1"/>
      <w:marLeft w:val="0"/>
      <w:marRight w:val="0"/>
      <w:marTop w:val="0"/>
      <w:marBottom w:val="0"/>
      <w:divBdr>
        <w:top w:val="none" w:sz="0" w:space="0" w:color="auto"/>
        <w:left w:val="none" w:sz="0" w:space="0" w:color="auto"/>
        <w:bottom w:val="none" w:sz="0" w:space="0" w:color="auto"/>
        <w:right w:val="none" w:sz="0" w:space="0" w:color="auto"/>
      </w:divBdr>
    </w:div>
    <w:div w:id="2115977403">
      <w:bodyDiv w:val="1"/>
      <w:marLeft w:val="0"/>
      <w:marRight w:val="0"/>
      <w:marTop w:val="0"/>
      <w:marBottom w:val="0"/>
      <w:divBdr>
        <w:top w:val="none" w:sz="0" w:space="0" w:color="auto"/>
        <w:left w:val="none" w:sz="0" w:space="0" w:color="auto"/>
        <w:bottom w:val="none" w:sz="0" w:space="0" w:color="auto"/>
        <w:right w:val="none" w:sz="0" w:space="0" w:color="auto"/>
      </w:divBdr>
    </w:div>
    <w:div w:id="213039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44</TotalTime>
  <Pages>18</Pages>
  <Words>4381</Words>
  <Characters>31379</Characters>
  <Application>Microsoft Office Word</Application>
  <DocSecurity>0</DocSecurity>
  <Lines>261</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2024122411 mt</dc:description>
  <cp:lastModifiedBy>Hanne Thy Iversen</cp:lastModifiedBy>
  <cp:revision>9</cp:revision>
  <cp:lastPrinted>2012-08-22T08:53:00Z</cp:lastPrinted>
  <dcterms:created xsi:type="dcterms:W3CDTF">2026-01-02T10:54:00Z</dcterms:created>
  <dcterms:modified xsi:type="dcterms:W3CDTF">2026-01-05T12:52:00Z</dcterms:modified>
</cp:coreProperties>
</file>