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D01D8" w14:textId="77777777" w:rsidR="004A3BF4" w:rsidRPr="00303008" w:rsidRDefault="00056601" w:rsidP="003963F1">
      <w:pPr>
        <w:rPr>
          <w:sz w:val="24"/>
          <w:szCs w:val="24"/>
          <w:lang w:val="en-GB"/>
        </w:rPr>
      </w:pPr>
      <w:bookmarkStart w:id="0" w:name="_GoBack"/>
      <w:bookmarkEnd w:id="0"/>
      <w:r w:rsidRPr="00303008">
        <w:rPr>
          <w:noProof/>
          <w:sz w:val="24"/>
          <w:szCs w:val="24"/>
          <w:lang w:val="en-GB"/>
        </w:rPr>
        <w:drawing>
          <wp:inline distT="0" distB="0" distL="0" distR="0" wp14:anchorId="375BA5EB" wp14:editId="51F8FB9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A0CC351" w14:textId="77777777" w:rsidR="006B3847" w:rsidRPr="00303008" w:rsidRDefault="006B3847" w:rsidP="003963F1">
      <w:pPr>
        <w:rPr>
          <w:sz w:val="24"/>
          <w:szCs w:val="24"/>
          <w:lang w:val="en-GB"/>
        </w:rPr>
      </w:pPr>
    </w:p>
    <w:p w14:paraId="76ADBA09" w14:textId="45EB79DB" w:rsidR="006B3847" w:rsidRPr="005A56F3" w:rsidRDefault="006B3847" w:rsidP="003963F1">
      <w:pPr>
        <w:tabs>
          <w:tab w:val="right" w:pos="9356"/>
        </w:tabs>
        <w:rPr>
          <w:b/>
          <w:sz w:val="24"/>
          <w:szCs w:val="24"/>
        </w:rPr>
      </w:pPr>
      <w:r w:rsidRPr="00303008">
        <w:rPr>
          <w:b/>
          <w:sz w:val="24"/>
          <w:szCs w:val="24"/>
          <w:lang w:val="en-GB"/>
        </w:rPr>
        <w:tab/>
      </w:r>
      <w:r w:rsidR="006D43B4">
        <w:rPr>
          <w:b/>
          <w:sz w:val="24"/>
          <w:szCs w:val="24"/>
        </w:rPr>
        <w:t>21</w:t>
      </w:r>
      <w:r w:rsidR="00505ECE" w:rsidRPr="005A56F3">
        <w:rPr>
          <w:b/>
          <w:sz w:val="24"/>
          <w:szCs w:val="24"/>
        </w:rPr>
        <w:t xml:space="preserve"> May 2024</w:t>
      </w:r>
    </w:p>
    <w:p w14:paraId="171DD9F7" w14:textId="21A087A5" w:rsidR="007C5D2A" w:rsidRDefault="007C5D2A" w:rsidP="003963F1">
      <w:pPr>
        <w:rPr>
          <w:sz w:val="24"/>
          <w:szCs w:val="24"/>
        </w:rPr>
      </w:pPr>
    </w:p>
    <w:p w14:paraId="26808ADA" w14:textId="2C5B92BB" w:rsidR="006D43B4" w:rsidRDefault="006D43B4" w:rsidP="003963F1">
      <w:pPr>
        <w:rPr>
          <w:sz w:val="24"/>
          <w:szCs w:val="24"/>
        </w:rPr>
      </w:pPr>
    </w:p>
    <w:p w14:paraId="5018D8FD" w14:textId="77777777" w:rsidR="006D43B4" w:rsidRPr="005A56F3" w:rsidRDefault="006D43B4" w:rsidP="003963F1">
      <w:pPr>
        <w:rPr>
          <w:sz w:val="24"/>
          <w:szCs w:val="24"/>
        </w:rPr>
      </w:pPr>
    </w:p>
    <w:p w14:paraId="6F3F9A11" w14:textId="77777777" w:rsidR="007C5D2A" w:rsidRPr="00303008" w:rsidRDefault="007C5D2A" w:rsidP="003963F1">
      <w:pPr>
        <w:jc w:val="center"/>
        <w:rPr>
          <w:b/>
          <w:sz w:val="24"/>
          <w:szCs w:val="24"/>
          <w:lang w:val="en-GB"/>
        </w:rPr>
      </w:pPr>
      <w:bookmarkStart w:id="1" w:name="_Hlk49158549"/>
      <w:r w:rsidRPr="00303008">
        <w:rPr>
          <w:b/>
          <w:sz w:val="24"/>
          <w:szCs w:val="24"/>
          <w:lang w:val="en-GB"/>
        </w:rPr>
        <w:t>SUMMARY OF PRODUCT CHARACTERISTICS</w:t>
      </w:r>
    </w:p>
    <w:bookmarkEnd w:id="1"/>
    <w:p w14:paraId="760666FF" w14:textId="77777777" w:rsidR="007C5D2A" w:rsidRPr="00303008" w:rsidRDefault="007C5D2A" w:rsidP="003963F1">
      <w:pPr>
        <w:jc w:val="center"/>
        <w:rPr>
          <w:sz w:val="24"/>
          <w:szCs w:val="24"/>
          <w:lang w:val="en-GB"/>
        </w:rPr>
      </w:pPr>
    </w:p>
    <w:p w14:paraId="6EAA4955" w14:textId="77777777" w:rsidR="007C5D2A" w:rsidRPr="00303008" w:rsidRDefault="007C5D2A" w:rsidP="003963F1">
      <w:pPr>
        <w:jc w:val="center"/>
        <w:rPr>
          <w:b/>
          <w:sz w:val="24"/>
          <w:szCs w:val="24"/>
          <w:lang w:val="en-GB"/>
        </w:rPr>
      </w:pPr>
      <w:r w:rsidRPr="00303008">
        <w:rPr>
          <w:b/>
          <w:sz w:val="24"/>
          <w:szCs w:val="24"/>
          <w:lang w:val="en-GB"/>
        </w:rPr>
        <w:t>for</w:t>
      </w:r>
    </w:p>
    <w:p w14:paraId="15CC3618" w14:textId="77777777" w:rsidR="007C5D2A" w:rsidRPr="00303008" w:rsidRDefault="007C5D2A" w:rsidP="003963F1">
      <w:pPr>
        <w:jc w:val="center"/>
        <w:rPr>
          <w:sz w:val="24"/>
          <w:szCs w:val="24"/>
          <w:lang w:val="en-GB"/>
        </w:rPr>
      </w:pPr>
    </w:p>
    <w:p w14:paraId="56440611" w14:textId="551B4B2D" w:rsidR="007C5D2A" w:rsidRPr="00303008" w:rsidRDefault="00BF4303" w:rsidP="003963F1">
      <w:pPr>
        <w:jc w:val="center"/>
        <w:rPr>
          <w:b/>
          <w:sz w:val="24"/>
          <w:szCs w:val="24"/>
          <w:lang w:val="en-GB"/>
        </w:rPr>
      </w:pPr>
      <w:proofErr w:type="spellStart"/>
      <w:r>
        <w:rPr>
          <w:b/>
          <w:sz w:val="24"/>
          <w:szCs w:val="24"/>
          <w:lang w:val="en-GB"/>
        </w:rPr>
        <w:t>Pirfenair</w:t>
      </w:r>
      <w:proofErr w:type="spellEnd"/>
      <w:r>
        <w:rPr>
          <w:b/>
          <w:sz w:val="24"/>
          <w:szCs w:val="24"/>
          <w:lang w:val="en-GB"/>
        </w:rPr>
        <w:t>, film</w:t>
      </w:r>
      <w:r w:rsidR="00FA11F8">
        <w:rPr>
          <w:b/>
          <w:sz w:val="24"/>
          <w:szCs w:val="24"/>
          <w:lang w:val="en-GB"/>
        </w:rPr>
        <w:t>-</w:t>
      </w:r>
      <w:r>
        <w:rPr>
          <w:b/>
          <w:sz w:val="24"/>
          <w:szCs w:val="24"/>
          <w:lang w:val="en-GB"/>
        </w:rPr>
        <w:t>coated tablets</w:t>
      </w:r>
    </w:p>
    <w:p w14:paraId="0AA9A1BB" w14:textId="77777777" w:rsidR="007C5D2A" w:rsidRPr="00303008" w:rsidRDefault="007C5D2A" w:rsidP="003963F1">
      <w:pPr>
        <w:jc w:val="both"/>
        <w:rPr>
          <w:sz w:val="24"/>
          <w:szCs w:val="24"/>
          <w:lang w:val="en-GB"/>
        </w:rPr>
      </w:pPr>
    </w:p>
    <w:p w14:paraId="28AE3776" w14:textId="77777777" w:rsidR="0042292D" w:rsidRPr="00303008" w:rsidRDefault="0042292D" w:rsidP="002636B7">
      <w:pPr>
        <w:jc w:val="both"/>
        <w:rPr>
          <w:sz w:val="24"/>
          <w:szCs w:val="24"/>
          <w:lang w:val="en-GB"/>
        </w:rPr>
      </w:pPr>
    </w:p>
    <w:p w14:paraId="3E926A02" w14:textId="77777777" w:rsidR="008F2F8C" w:rsidRPr="007B70E2" w:rsidRDefault="008F2F8C" w:rsidP="002636B7">
      <w:pPr>
        <w:tabs>
          <w:tab w:val="left" w:pos="8222"/>
        </w:tabs>
        <w:ind w:left="851" w:hanging="851"/>
        <w:rPr>
          <w:b/>
          <w:sz w:val="24"/>
          <w:szCs w:val="24"/>
          <w:lang w:val="en-GB"/>
        </w:rPr>
      </w:pPr>
      <w:r w:rsidRPr="007B70E2">
        <w:rPr>
          <w:b/>
          <w:sz w:val="24"/>
          <w:szCs w:val="24"/>
          <w:lang w:val="en-GB"/>
        </w:rPr>
        <w:t>0.</w:t>
      </w:r>
      <w:r w:rsidRPr="007B70E2">
        <w:rPr>
          <w:b/>
          <w:sz w:val="24"/>
          <w:szCs w:val="24"/>
          <w:lang w:val="en-GB"/>
        </w:rPr>
        <w:tab/>
      </w:r>
      <w:proofErr w:type="gramStart"/>
      <w:r w:rsidRPr="007B70E2">
        <w:rPr>
          <w:b/>
          <w:sz w:val="24"/>
          <w:szCs w:val="24"/>
          <w:lang w:val="en-GB"/>
        </w:rPr>
        <w:t>D.SP.NO</w:t>
      </w:r>
      <w:proofErr w:type="gramEnd"/>
      <w:r w:rsidRPr="007B70E2">
        <w:rPr>
          <w:b/>
          <w:sz w:val="24"/>
          <w:szCs w:val="24"/>
          <w:lang w:val="en-GB"/>
        </w:rPr>
        <w:t>.</w:t>
      </w:r>
    </w:p>
    <w:p w14:paraId="11F994CA" w14:textId="74096258" w:rsidR="008F2F8C" w:rsidRPr="007B70E2" w:rsidRDefault="007B70E2" w:rsidP="002636B7">
      <w:pPr>
        <w:tabs>
          <w:tab w:val="left" w:pos="8222"/>
        </w:tabs>
        <w:ind w:left="851"/>
        <w:rPr>
          <w:sz w:val="24"/>
          <w:szCs w:val="24"/>
          <w:lang w:val="en-GB"/>
        </w:rPr>
      </w:pPr>
      <w:r w:rsidRPr="007B70E2">
        <w:rPr>
          <w:sz w:val="24"/>
          <w:szCs w:val="24"/>
          <w:lang w:val="en-GB"/>
        </w:rPr>
        <w:t>32414</w:t>
      </w:r>
    </w:p>
    <w:p w14:paraId="2ECDB67E" w14:textId="77777777" w:rsidR="007C5D2A" w:rsidRPr="007B70E2" w:rsidRDefault="007C5D2A" w:rsidP="002636B7">
      <w:pPr>
        <w:tabs>
          <w:tab w:val="left" w:pos="851"/>
        </w:tabs>
        <w:jc w:val="both"/>
        <w:rPr>
          <w:sz w:val="24"/>
          <w:szCs w:val="24"/>
          <w:lang w:val="en-GB"/>
        </w:rPr>
      </w:pPr>
    </w:p>
    <w:p w14:paraId="24DEC097" w14:textId="77777777" w:rsidR="007C5D2A" w:rsidRPr="007B70E2" w:rsidRDefault="009925C9" w:rsidP="002636B7">
      <w:pPr>
        <w:tabs>
          <w:tab w:val="left" w:pos="851"/>
        </w:tabs>
        <w:ind w:left="851" w:hanging="851"/>
        <w:rPr>
          <w:sz w:val="24"/>
          <w:szCs w:val="24"/>
          <w:lang w:val="en-GB"/>
        </w:rPr>
      </w:pPr>
      <w:r w:rsidRPr="007B70E2">
        <w:rPr>
          <w:b/>
          <w:sz w:val="24"/>
          <w:szCs w:val="24"/>
          <w:lang w:val="en-GB"/>
        </w:rPr>
        <w:t>1.</w:t>
      </w:r>
      <w:r w:rsidR="007C5D2A" w:rsidRPr="007B70E2">
        <w:rPr>
          <w:b/>
          <w:sz w:val="24"/>
          <w:szCs w:val="24"/>
          <w:lang w:val="en-GB"/>
        </w:rPr>
        <w:tab/>
        <w:t>NAME OF THE MEDICINAL PRODUCT</w:t>
      </w:r>
    </w:p>
    <w:p w14:paraId="4C99C449" w14:textId="77777777" w:rsidR="007B70E2" w:rsidRPr="007B70E2" w:rsidRDefault="007B70E2" w:rsidP="002636B7">
      <w:pPr>
        <w:tabs>
          <w:tab w:val="left" w:pos="851"/>
        </w:tabs>
        <w:ind w:left="851"/>
        <w:rPr>
          <w:sz w:val="24"/>
          <w:szCs w:val="24"/>
          <w:lang w:val="en-GB"/>
        </w:rPr>
      </w:pPr>
      <w:proofErr w:type="spellStart"/>
      <w:r w:rsidRPr="007B70E2">
        <w:rPr>
          <w:sz w:val="24"/>
          <w:szCs w:val="24"/>
          <w:lang w:val="en-GB"/>
        </w:rPr>
        <w:t>Pirfenair</w:t>
      </w:r>
      <w:proofErr w:type="spellEnd"/>
    </w:p>
    <w:p w14:paraId="53F5B4F6" w14:textId="77777777" w:rsidR="007B70E2" w:rsidRPr="007B70E2" w:rsidRDefault="007B70E2" w:rsidP="002636B7">
      <w:pPr>
        <w:tabs>
          <w:tab w:val="left" w:pos="851"/>
        </w:tabs>
        <w:ind w:left="851"/>
        <w:rPr>
          <w:sz w:val="24"/>
          <w:szCs w:val="24"/>
          <w:lang w:val="en-GB"/>
        </w:rPr>
      </w:pPr>
    </w:p>
    <w:p w14:paraId="13607FF2" w14:textId="77777777" w:rsidR="007C5D2A" w:rsidRPr="007B70E2" w:rsidRDefault="009925C9" w:rsidP="002636B7">
      <w:pPr>
        <w:ind w:left="851" w:hanging="851"/>
        <w:rPr>
          <w:b/>
          <w:sz w:val="24"/>
          <w:szCs w:val="24"/>
          <w:lang w:val="en-GB"/>
        </w:rPr>
      </w:pPr>
      <w:r w:rsidRPr="007B70E2">
        <w:rPr>
          <w:b/>
          <w:sz w:val="24"/>
          <w:szCs w:val="24"/>
          <w:lang w:val="en-GB"/>
        </w:rPr>
        <w:t>2.</w:t>
      </w:r>
      <w:r w:rsidR="007C5D2A" w:rsidRPr="007B70E2">
        <w:rPr>
          <w:b/>
          <w:sz w:val="24"/>
          <w:szCs w:val="24"/>
          <w:lang w:val="en-GB"/>
        </w:rPr>
        <w:tab/>
        <w:t>QUALITATIVE AND QUANTITATIVE COMPOSITION</w:t>
      </w:r>
    </w:p>
    <w:p w14:paraId="63E91AB1" w14:textId="77777777" w:rsidR="007B70E2" w:rsidRPr="007B70E2" w:rsidRDefault="007B70E2" w:rsidP="002636B7">
      <w:pPr>
        <w:tabs>
          <w:tab w:val="left" w:pos="851"/>
        </w:tabs>
        <w:ind w:left="851"/>
        <w:rPr>
          <w:sz w:val="24"/>
          <w:szCs w:val="24"/>
          <w:lang w:val="en-GB"/>
        </w:rPr>
      </w:pPr>
      <w:r w:rsidRPr="007B70E2">
        <w:rPr>
          <w:sz w:val="24"/>
          <w:szCs w:val="24"/>
          <w:lang w:val="en-GB"/>
        </w:rPr>
        <w:t>Each film-coated tablet contains 267 mg pirfenidone.</w:t>
      </w:r>
    </w:p>
    <w:p w14:paraId="00B1F3DD" w14:textId="77777777" w:rsidR="007B70E2" w:rsidRPr="007B70E2" w:rsidRDefault="007B70E2" w:rsidP="002636B7">
      <w:pPr>
        <w:tabs>
          <w:tab w:val="left" w:pos="851"/>
        </w:tabs>
        <w:ind w:left="851"/>
        <w:rPr>
          <w:sz w:val="24"/>
          <w:szCs w:val="24"/>
          <w:lang w:val="en-GB"/>
        </w:rPr>
      </w:pPr>
      <w:r w:rsidRPr="007B70E2">
        <w:rPr>
          <w:sz w:val="24"/>
          <w:szCs w:val="24"/>
          <w:lang w:val="en-GB"/>
        </w:rPr>
        <w:t>Each film-coated tablet contains 801 mg pirfenidone.</w:t>
      </w:r>
    </w:p>
    <w:p w14:paraId="77C56C99" w14:textId="77777777" w:rsidR="007C5D2A" w:rsidRPr="007B70E2" w:rsidRDefault="007C5D2A" w:rsidP="002636B7">
      <w:pPr>
        <w:tabs>
          <w:tab w:val="left" w:pos="851"/>
        </w:tabs>
        <w:ind w:left="851"/>
        <w:rPr>
          <w:sz w:val="24"/>
          <w:szCs w:val="24"/>
          <w:lang w:val="en-GB"/>
        </w:rPr>
      </w:pPr>
    </w:p>
    <w:p w14:paraId="6BE424FD" w14:textId="77777777" w:rsidR="007C5D2A" w:rsidRPr="00303008" w:rsidRDefault="007C5D2A" w:rsidP="002636B7">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3EB10C1" w14:textId="1251C0AB" w:rsidR="00537D62" w:rsidRPr="00537D62" w:rsidRDefault="00537D62" w:rsidP="002636B7">
      <w:pPr>
        <w:tabs>
          <w:tab w:val="left" w:pos="851"/>
        </w:tabs>
        <w:ind w:left="851"/>
        <w:rPr>
          <w:sz w:val="24"/>
          <w:szCs w:val="24"/>
          <w:lang w:val="en-GB"/>
        </w:rPr>
      </w:pPr>
      <w:r w:rsidRPr="00537D62">
        <w:rPr>
          <w:sz w:val="24"/>
          <w:szCs w:val="24"/>
          <w:lang w:val="en-GB"/>
        </w:rPr>
        <w:t>Film-coated tablet</w:t>
      </w:r>
      <w:r>
        <w:rPr>
          <w:sz w:val="24"/>
          <w:szCs w:val="24"/>
          <w:lang w:val="en-GB"/>
        </w:rPr>
        <w:t>s</w:t>
      </w:r>
    </w:p>
    <w:p w14:paraId="4BEE9906" w14:textId="77777777" w:rsidR="00537D62" w:rsidRPr="00537D62" w:rsidRDefault="00537D62" w:rsidP="002636B7">
      <w:pPr>
        <w:tabs>
          <w:tab w:val="left" w:pos="851"/>
        </w:tabs>
        <w:ind w:left="851"/>
        <w:rPr>
          <w:sz w:val="24"/>
          <w:szCs w:val="24"/>
          <w:lang w:val="en-GB"/>
        </w:rPr>
      </w:pPr>
    </w:p>
    <w:p w14:paraId="2328F1D4" w14:textId="77777777" w:rsidR="00537D62" w:rsidRPr="00537D62" w:rsidRDefault="00537D62" w:rsidP="002636B7">
      <w:pPr>
        <w:tabs>
          <w:tab w:val="left" w:pos="851"/>
        </w:tabs>
        <w:ind w:left="851"/>
        <w:rPr>
          <w:sz w:val="24"/>
          <w:szCs w:val="24"/>
          <w:u w:val="single"/>
          <w:lang w:val="en-GB"/>
        </w:rPr>
      </w:pPr>
      <w:proofErr w:type="spellStart"/>
      <w:r w:rsidRPr="00537D62">
        <w:rPr>
          <w:sz w:val="24"/>
          <w:szCs w:val="24"/>
          <w:u w:val="single"/>
          <w:lang w:val="en-GB"/>
        </w:rPr>
        <w:t>Pirfenair</w:t>
      </w:r>
      <w:proofErr w:type="spellEnd"/>
      <w:r w:rsidRPr="00537D62">
        <w:rPr>
          <w:sz w:val="24"/>
          <w:szCs w:val="24"/>
          <w:u w:val="single"/>
          <w:lang w:val="en-GB"/>
        </w:rPr>
        <w:t xml:space="preserve"> 267 mg film-coated tablets</w:t>
      </w:r>
    </w:p>
    <w:p w14:paraId="1B715E03" w14:textId="0560330E" w:rsidR="00537D62" w:rsidRPr="00537D62" w:rsidRDefault="00537D62" w:rsidP="002636B7">
      <w:pPr>
        <w:tabs>
          <w:tab w:val="left" w:pos="851"/>
        </w:tabs>
        <w:ind w:left="851"/>
        <w:rPr>
          <w:sz w:val="24"/>
          <w:szCs w:val="24"/>
          <w:lang w:val="en-GB"/>
        </w:rPr>
      </w:pPr>
      <w:r>
        <w:rPr>
          <w:sz w:val="24"/>
          <w:szCs w:val="24"/>
          <w:lang w:val="en-GB"/>
        </w:rPr>
        <w:t>Y</w:t>
      </w:r>
      <w:r w:rsidRPr="00537D62">
        <w:rPr>
          <w:sz w:val="24"/>
          <w:szCs w:val="24"/>
          <w:lang w:val="en-GB"/>
        </w:rPr>
        <w:t>ellow, oval, approximately 1.2</w:t>
      </w:r>
      <w:r>
        <w:rPr>
          <w:sz w:val="24"/>
          <w:szCs w:val="24"/>
          <w:lang w:val="en-GB"/>
        </w:rPr>
        <w:t>×</w:t>
      </w:r>
      <w:r w:rsidRPr="00537D62">
        <w:rPr>
          <w:sz w:val="24"/>
          <w:szCs w:val="24"/>
          <w:lang w:val="en-GB"/>
        </w:rPr>
        <w:t>0.7 cm biconvex film-coated tablets, debossed with ‘SD267’ on one side.</w:t>
      </w:r>
    </w:p>
    <w:p w14:paraId="4EDAFB26" w14:textId="77777777" w:rsidR="00537D62" w:rsidRDefault="00537D62" w:rsidP="002636B7">
      <w:pPr>
        <w:tabs>
          <w:tab w:val="left" w:pos="851"/>
        </w:tabs>
        <w:ind w:left="851"/>
        <w:rPr>
          <w:sz w:val="24"/>
          <w:szCs w:val="24"/>
          <w:lang w:val="en-GB"/>
        </w:rPr>
      </w:pPr>
    </w:p>
    <w:p w14:paraId="0AD94818" w14:textId="77777777" w:rsidR="00537D62" w:rsidRPr="00537D62" w:rsidRDefault="00537D62" w:rsidP="002636B7">
      <w:pPr>
        <w:tabs>
          <w:tab w:val="left" w:pos="851"/>
        </w:tabs>
        <w:ind w:left="851"/>
        <w:rPr>
          <w:sz w:val="24"/>
          <w:szCs w:val="24"/>
          <w:u w:val="single"/>
          <w:lang w:val="en-GB"/>
        </w:rPr>
      </w:pPr>
      <w:proofErr w:type="spellStart"/>
      <w:r w:rsidRPr="00537D62">
        <w:rPr>
          <w:sz w:val="24"/>
          <w:szCs w:val="24"/>
          <w:u w:val="single"/>
          <w:lang w:val="en-GB"/>
        </w:rPr>
        <w:t>Pirfenair</w:t>
      </w:r>
      <w:proofErr w:type="spellEnd"/>
      <w:r w:rsidRPr="00537D62">
        <w:rPr>
          <w:sz w:val="24"/>
          <w:szCs w:val="24"/>
          <w:u w:val="single"/>
          <w:lang w:val="en-GB"/>
        </w:rPr>
        <w:t xml:space="preserve"> 801 mg film-coated tablets</w:t>
      </w:r>
    </w:p>
    <w:p w14:paraId="673062F8" w14:textId="0BC30ECB" w:rsidR="00537D62" w:rsidRPr="00537D62" w:rsidRDefault="00537D62" w:rsidP="002636B7">
      <w:pPr>
        <w:tabs>
          <w:tab w:val="left" w:pos="851"/>
        </w:tabs>
        <w:ind w:left="851"/>
        <w:rPr>
          <w:i/>
          <w:sz w:val="24"/>
          <w:szCs w:val="24"/>
          <w:lang w:val="en-GB"/>
        </w:rPr>
      </w:pPr>
      <w:r>
        <w:rPr>
          <w:sz w:val="24"/>
          <w:szCs w:val="24"/>
          <w:lang w:val="en-GB"/>
        </w:rPr>
        <w:t>D</w:t>
      </w:r>
      <w:r w:rsidRPr="00537D62">
        <w:rPr>
          <w:sz w:val="24"/>
          <w:szCs w:val="24"/>
          <w:lang w:val="en-GB"/>
        </w:rPr>
        <w:t>ark pink, oval, approximately 1.8</w:t>
      </w:r>
      <w:r>
        <w:rPr>
          <w:sz w:val="24"/>
          <w:szCs w:val="24"/>
          <w:lang w:val="en-GB"/>
        </w:rPr>
        <w:t>×</w:t>
      </w:r>
      <w:r w:rsidRPr="00537D62">
        <w:rPr>
          <w:sz w:val="24"/>
          <w:szCs w:val="24"/>
          <w:lang w:val="en-GB"/>
        </w:rPr>
        <w:t>0.9 cm biconvex film-coated tablets, debossed with ‘SD801’ on one side.</w:t>
      </w:r>
    </w:p>
    <w:p w14:paraId="073227A3" w14:textId="77777777" w:rsidR="007C5D2A" w:rsidRPr="00303008" w:rsidRDefault="007C5D2A" w:rsidP="002636B7">
      <w:pPr>
        <w:tabs>
          <w:tab w:val="left" w:pos="851"/>
        </w:tabs>
        <w:ind w:left="851"/>
        <w:rPr>
          <w:sz w:val="24"/>
          <w:szCs w:val="24"/>
          <w:lang w:val="en-GB"/>
        </w:rPr>
      </w:pPr>
    </w:p>
    <w:p w14:paraId="2A275150" w14:textId="77777777" w:rsidR="007C5D2A" w:rsidRPr="00303008" w:rsidRDefault="007C5D2A" w:rsidP="002636B7">
      <w:pPr>
        <w:tabs>
          <w:tab w:val="left" w:pos="851"/>
        </w:tabs>
        <w:ind w:left="851"/>
        <w:rPr>
          <w:sz w:val="24"/>
          <w:szCs w:val="24"/>
          <w:lang w:val="en-GB"/>
        </w:rPr>
      </w:pPr>
    </w:p>
    <w:p w14:paraId="41672D46" w14:textId="77777777" w:rsidR="007C5D2A" w:rsidRPr="00303008" w:rsidRDefault="007C5D2A" w:rsidP="002636B7">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2E40ADA6" w14:textId="77777777" w:rsidR="007C5D2A" w:rsidRPr="00303008" w:rsidRDefault="007C5D2A" w:rsidP="002636B7">
      <w:pPr>
        <w:tabs>
          <w:tab w:val="left" w:pos="851"/>
        </w:tabs>
        <w:ind w:left="851"/>
        <w:rPr>
          <w:sz w:val="24"/>
          <w:szCs w:val="24"/>
          <w:lang w:val="en-GB"/>
        </w:rPr>
      </w:pPr>
    </w:p>
    <w:p w14:paraId="02527D45" w14:textId="77777777" w:rsidR="007C5D2A" w:rsidRPr="00303008" w:rsidRDefault="007C5D2A" w:rsidP="002636B7">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10B45F98" w14:textId="2B0B3C66" w:rsidR="008171A0" w:rsidRPr="008171A0" w:rsidRDefault="008171A0" w:rsidP="002636B7">
      <w:pPr>
        <w:tabs>
          <w:tab w:val="left" w:pos="851"/>
        </w:tabs>
        <w:ind w:left="851"/>
        <w:rPr>
          <w:sz w:val="24"/>
          <w:szCs w:val="24"/>
          <w:lang w:val="en-GB"/>
        </w:rPr>
      </w:pPr>
      <w:r w:rsidRPr="008171A0">
        <w:rPr>
          <w:sz w:val="24"/>
          <w:szCs w:val="24"/>
          <w:lang w:val="en-US"/>
        </w:rPr>
        <w:t>Pirfenidone is indicated in adults for the treatment of idiopathic pulmonary fibrosis (IPF).</w:t>
      </w:r>
    </w:p>
    <w:p w14:paraId="58969DDA" w14:textId="77777777" w:rsidR="007C5D2A" w:rsidRPr="00303008" w:rsidRDefault="007C5D2A" w:rsidP="002636B7">
      <w:pPr>
        <w:tabs>
          <w:tab w:val="left" w:pos="851"/>
        </w:tabs>
        <w:ind w:left="851"/>
        <w:rPr>
          <w:sz w:val="24"/>
          <w:szCs w:val="24"/>
          <w:lang w:val="en-GB"/>
        </w:rPr>
      </w:pPr>
    </w:p>
    <w:p w14:paraId="25329F1F" w14:textId="77777777" w:rsidR="007C5D2A" w:rsidRPr="00303008" w:rsidRDefault="009925C9" w:rsidP="002636B7">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3C00EA73" w14:textId="479A9D98" w:rsidR="008171A0" w:rsidRPr="008171A0" w:rsidRDefault="008171A0" w:rsidP="002636B7">
      <w:pPr>
        <w:tabs>
          <w:tab w:val="left" w:pos="851"/>
        </w:tabs>
        <w:ind w:left="851"/>
        <w:rPr>
          <w:sz w:val="24"/>
          <w:szCs w:val="24"/>
          <w:lang w:val="en-US"/>
        </w:rPr>
      </w:pPr>
      <w:r w:rsidRPr="008171A0">
        <w:rPr>
          <w:sz w:val="24"/>
          <w:szCs w:val="24"/>
          <w:lang w:val="en-US"/>
        </w:rPr>
        <w:t xml:space="preserve">Treatment with </w:t>
      </w:r>
      <w:r w:rsidR="00FA11F8">
        <w:rPr>
          <w:sz w:val="24"/>
          <w:szCs w:val="24"/>
          <w:lang w:val="en-US"/>
        </w:rPr>
        <w:t>p</w:t>
      </w:r>
      <w:r w:rsidRPr="008171A0">
        <w:rPr>
          <w:sz w:val="24"/>
          <w:szCs w:val="24"/>
          <w:lang w:val="en-US"/>
        </w:rPr>
        <w:t>irfenidone should be initiated and supervised by specialist physicians experienced in the diagnosis and treatment of IPF.</w:t>
      </w:r>
    </w:p>
    <w:p w14:paraId="0A2F233C" w14:textId="342215D5" w:rsidR="00BE2B75" w:rsidRDefault="00BE2B75" w:rsidP="002636B7">
      <w:pPr>
        <w:rPr>
          <w:sz w:val="24"/>
          <w:szCs w:val="24"/>
          <w:lang w:val="en-US"/>
        </w:rPr>
      </w:pPr>
      <w:r>
        <w:rPr>
          <w:sz w:val="24"/>
          <w:szCs w:val="24"/>
          <w:lang w:val="en-US"/>
        </w:rPr>
        <w:br w:type="page"/>
      </w:r>
    </w:p>
    <w:p w14:paraId="1AAC6E8A" w14:textId="77777777" w:rsidR="008171A0" w:rsidRPr="008171A0" w:rsidRDefault="008171A0" w:rsidP="002636B7">
      <w:pPr>
        <w:tabs>
          <w:tab w:val="left" w:pos="851"/>
        </w:tabs>
        <w:ind w:left="851"/>
        <w:rPr>
          <w:sz w:val="24"/>
          <w:szCs w:val="24"/>
          <w:lang w:val="en-US"/>
        </w:rPr>
      </w:pPr>
    </w:p>
    <w:p w14:paraId="4D676606" w14:textId="77777777" w:rsidR="008171A0" w:rsidRPr="008171A0" w:rsidRDefault="008171A0" w:rsidP="002636B7">
      <w:pPr>
        <w:tabs>
          <w:tab w:val="left" w:pos="851"/>
        </w:tabs>
        <w:ind w:left="851"/>
        <w:rPr>
          <w:b/>
          <w:sz w:val="24"/>
          <w:szCs w:val="24"/>
          <w:lang w:val="en-US"/>
        </w:rPr>
      </w:pPr>
      <w:r w:rsidRPr="008171A0">
        <w:rPr>
          <w:b/>
          <w:sz w:val="24"/>
          <w:szCs w:val="24"/>
          <w:lang w:val="en-US"/>
        </w:rPr>
        <w:t>Posology</w:t>
      </w:r>
    </w:p>
    <w:p w14:paraId="12C1DAFC" w14:textId="77777777" w:rsidR="008171A0" w:rsidRPr="008171A0" w:rsidRDefault="008171A0" w:rsidP="002636B7">
      <w:pPr>
        <w:tabs>
          <w:tab w:val="left" w:pos="851"/>
        </w:tabs>
        <w:ind w:left="851"/>
        <w:rPr>
          <w:sz w:val="24"/>
          <w:szCs w:val="24"/>
          <w:lang w:val="en-US"/>
        </w:rPr>
      </w:pPr>
    </w:p>
    <w:p w14:paraId="31FAB11E" w14:textId="77777777" w:rsidR="008171A0" w:rsidRPr="008171A0" w:rsidRDefault="008171A0" w:rsidP="002636B7">
      <w:pPr>
        <w:tabs>
          <w:tab w:val="left" w:pos="851"/>
        </w:tabs>
        <w:ind w:left="851"/>
        <w:rPr>
          <w:sz w:val="24"/>
          <w:szCs w:val="24"/>
          <w:lang w:val="en-US"/>
        </w:rPr>
      </w:pPr>
      <w:r w:rsidRPr="008171A0">
        <w:rPr>
          <w:sz w:val="24"/>
          <w:szCs w:val="24"/>
          <w:u w:val="single"/>
          <w:lang w:val="en-US"/>
        </w:rPr>
        <w:t>Adults</w:t>
      </w:r>
    </w:p>
    <w:p w14:paraId="79698EE2" w14:textId="77777777" w:rsidR="008171A0" w:rsidRPr="008171A0" w:rsidRDefault="008171A0" w:rsidP="002636B7">
      <w:pPr>
        <w:tabs>
          <w:tab w:val="left" w:pos="851"/>
        </w:tabs>
        <w:ind w:left="851"/>
        <w:rPr>
          <w:sz w:val="24"/>
          <w:szCs w:val="24"/>
          <w:lang w:val="en-US"/>
        </w:rPr>
      </w:pPr>
      <w:r w:rsidRPr="008171A0">
        <w:rPr>
          <w:sz w:val="24"/>
          <w:szCs w:val="24"/>
          <w:lang w:val="en-US"/>
        </w:rPr>
        <w:t>Upon initiating treatment, the dose should be titrated to the recommended daily dose of 2403 mg/day over a 14-day period as follows:</w:t>
      </w:r>
    </w:p>
    <w:p w14:paraId="20430EB1" w14:textId="119C9921" w:rsidR="008171A0" w:rsidRPr="008171A0" w:rsidRDefault="008171A0" w:rsidP="002636B7">
      <w:pPr>
        <w:numPr>
          <w:ilvl w:val="0"/>
          <w:numId w:val="5"/>
        </w:numPr>
        <w:tabs>
          <w:tab w:val="left" w:pos="1134"/>
        </w:tabs>
        <w:ind w:firstLine="13"/>
        <w:rPr>
          <w:sz w:val="24"/>
          <w:szCs w:val="24"/>
          <w:lang w:val="en-US"/>
        </w:rPr>
      </w:pPr>
      <w:r w:rsidRPr="008171A0">
        <w:rPr>
          <w:sz w:val="24"/>
          <w:szCs w:val="24"/>
          <w:lang w:val="en-US"/>
        </w:rPr>
        <w:t>Days 1 to 7: a dose of 267 mg administered three times a day (801 mg/day)</w:t>
      </w:r>
    </w:p>
    <w:p w14:paraId="47977251" w14:textId="3FAB3059" w:rsidR="008171A0" w:rsidRPr="008171A0" w:rsidRDefault="008171A0" w:rsidP="002636B7">
      <w:pPr>
        <w:numPr>
          <w:ilvl w:val="0"/>
          <w:numId w:val="5"/>
        </w:numPr>
        <w:tabs>
          <w:tab w:val="left" w:pos="1134"/>
        </w:tabs>
        <w:ind w:firstLine="13"/>
        <w:rPr>
          <w:sz w:val="24"/>
          <w:szCs w:val="24"/>
          <w:lang w:val="en-US"/>
        </w:rPr>
      </w:pPr>
      <w:r w:rsidRPr="008171A0">
        <w:rPr>
          <w:sz w:val="24"/>
          <w:szCs w:val="24"/>
          <w:lang w:val="en-US"/>
        </w:rPr>
        <w:t>Days 8 to 14: a dose of 534 mg administered three times a day (1602 mg/day)</w:t>
      </w:r>
    </w:p>
    <w:p w14:paraId="18097B59" w14:textId="256AAA5D" w:rsidR="008171A0" w:rsidRPr="008171A0" w:rsidRDefault="008171A0" w:rsidP="002636B7">
      <w:pPr>
        <w:numPr>
          <w:ilvl w:val="0"/>
          <w:numId w:val="5"/>
        </w:numPr>
        <w:tabs>
          <w:tab w:val="left" w:pos="1134"/>
        </w:tabs>
        <w:ind w:firstLine="13"/>
        <w:rPr>
          <w:sz w:val="24"/>
          <w:szCs w:val="24"/>
          <w:lang w:val="en-US"/>
        </w:rPr>
      </w:pPr>
      <w:r w:rsidRPr="008171A0">
        <w:rPr>
          <w:sz w:val="24"/>
          <w:szCs w:val="24"/>
          <w:lang w:val="en-US"/>
        </w:rPr>
        <w:t>Day 15 onward: a dose of 801 mg administered three times a day (2403 mg/day)</w:t>
      </w:r>
    </w:p>
    <w:p w14:paraId="3ECDCAB7" w14:textId="77777777" w:rsidR="008171A0" w:rsidRPr="008171A0" w:rsidRDefault="008171A0" w:rsidP="002636B7">
      <w:pPr>
        <w:tabs>
          <w:tab w:val="left" w:pos="851"/>
        </w:tabs>
        <w:ind w:left="851"/>
        <w:rPr>
          <w:sz w:val="24"/>
          <w:szCs w:val="24"/>
          <w:lang w:val="en-US"/>
        </w:rPr>
      </w:pPr>
    </w:p>
    <w:p w14:paraId="77E6AFF6" w14:textId="77777777" w:rsidR="008171A0" w:rsidRPr="008171A0" w:rsidRDefault="008171A0" w:rsidP="002636B7">
      <w:pPr>
        <w:tabs>
          <w:tab w:val="left" w:pos="851"/>
        </w:tabs>
        <w:ind w:left="851"/>
        <w:rPr>
          <w:sz w:val="24"/>
          <w:szCs w:val="24"/>
          <w:lang w:val="en-US"/>
        </w:rPr>
      </w:pPr>
      <w:r w:rsidRPr="008171A0">
        <w:rPr>
          <w:sz w:val="24"/>
          <w:szCs w:val="24"/>
          <w:lang w:val="en-US"/>
        </w:rPr>
        <w:t>The recommended maintenance daily dose of Pirfenidone is 801 mg three times a day with food for a total of 2403 mg/day.</w:t>
      </w:r>
    </w:p>
    <w:p w14:paraId="67F95644" w14:textId="77777777" w:rsidR="008171A0" w:rsidRPr="008171A0" w:rsidRDefault="008171A0" w:rsidP="002636B7">
      <w:pPr>
        <w:tabs>
          <w:tab w:val="left" w:pos="851"/>
        </w:tabs>
        <w:ind w:left="851"/>
        <w:rPr>
          <w:sz w:val="24"/>
          <w:szCs w:val="24"/>
          <w:lang w:val="en-US"/>
        </w:rPr>
      </w:pPr>
    </w:p>
    <w:p w14:paraId="636F701A" w14:textId="77777777" w:rsidR="008171A0" w:rsidRPr="008171A0" w:rsidRDefault="008171A0" w:rsidP="002636B7">
      <w:pPr>
        <w:tabs>
          <w:tab w:val="left" w:pos="851"/>
        </w:tabs>
        <w:ind w:left="851"/>
        <w:rPr>
          <w:sz w:val="24"/>
          <w:szCs w:val="24"/>
          <w:lang w:val="en-US"/>
        </w:rPr>
      </w:pPr>
      <w:r w:rsidRPr="008171A0">
        <w:rPr>
          <w:sz w:val="24"/>
          <w:szCs w:val="24"/>
          <w:lang w:val="en-US"/>
        </w:rPr>
        <w:t>Doses above 2403 mg/day are not recommended for any patient (see section 4.9).</w:t>
      </w:r>
    </w:p>
    <w:p w14:paraId="452C89E2" w14:textId="77777777" w:rsidR="008171A0" w:rsidRPr="008171A0" w:rsidRDefault="008171A0" w:rsidP="002636B7">
      <w:pPr>
        <w:tabs>
          <w:tab w:val="left" w:pos="851"/>
        </w:tabs>
        <w:ind w:left="851"/>
        <w:rPr>
          <w:sz w:val="24"/>
          <w:szCs w:val="24"/>
          <w:lang w:val="en-US"/>
        </w:rPr>
      </w:pPr>
    </w:p>
    <w:p w14:paraId="58B28748" w14:textId="77777777" w:rsidR="008171A0" w:rsidRPr="008171A0" w:rsidRDefault="008171A0" w:rsidP="002636B7">
      <w:pPr>
        <w:tabs>
          <w:tab w:val="left" w:pos="851"/>
        </w:tabs>
        <w:ind w:left="851"/>
        <w:rPr>
          <w:sz w:val="24"/>
          <w:szCs w:val="24"/>
          <w:lang w:val="en-US"/>
        </w:rPr>
      </w:pPr>
      <w:r w:rsidRPr="008171A0">
        <w:rPr>
          <w:sz w:val="24"/>
          <w:szCs w:val="24"/>
          <w:lang w:val="en-US"/>
        </w:rPr>
        <w:t>Patients who miss 14 consecutive days or more of Pirfenidone treatment should re-initiate therapy by undergoing the initial 2-week titration regimen up to the recommended daily dose.</w:t>
      </w:r>
    </w:p>
    <w:p w14:paraId="53FCA960" w14:textId="77777777" w:rsidR="008171A0" w:rsidRPr="008171A0" w:rsidRDefault="008171A0" w:rsidP="002636B7">
      <w:pPr>
        <w:tabs>
          <w:tab w:val="left" w:pos="851"/>
        </w:tabs>
        <w:ind w:left="851"/>
        <w:rPr>
          <w:sz w:val="24"/>
          <w:szCs w:val="24"/>
          <w:lang w:val="en-US"/>
        </w:rPr>
      </w:pPr>
    </w:p>
    <w:p w14:paraId="1EFAA803" w14:textId="77777777" w:rsidR="008171A0" w:rsidRPr="008171A0" w:rsidRDefault="008171A0" w:rsidP="002636B7">
      <w:pPr>
        <w:tabs>
          <w:tab w:val="left" w:pos="851"/>
        </w:tabs>
        <w:ind w:left="851"/>
        <w:rPr>
          <w:sz w:val="24"/>
          <w:szCs w:val="24"/>
          <w:lang w:val="en-US"/>
        </w:rPr>
      </w:pPr>
      <w:r w:rsidRPr="008171A0">
        <w:rPr>
          <w:sz w:val="24"/>
          <w:szCs w:val="24"/>
          <w:lang w:val="en-US"/>
        </w:rPr>
        <w:t>For treatment interruption of less than 14 consecutive days, the dose can be resumed at the previous recommended daily dose without titration.</w:t>
      </w:r>
    </w:p>
    <w:p w14:paraId="110C304B" w14:textId="77777777" w:rsidR="008171A0" w:rsidRPr="008171A0" w:rsidRDefault="008171A0" w:rsidP="002636B7">
      <w:pPr>
        <w:tabs>
          <w:tab w:val="left" w:pos="851"/>
        </w:tabs>
        <w:ind w:left="851"/>
        <w:rPr>
          <w:b/>
          <w:sz w:val="24"/>
          <w:szCs w:val="24"/>
          <w:lang w:val="en-US"/>
        </w:rPr>
      </w:pPr>
    </w:p>
    <w:p w14:paraId="1BA55F60" w14:textId="77777777" w:rsidR="008171A0" w:rsidRPr="008171A0" w:rsidRDefault="008171A0" w:rsidP="002636B7">
      <w:pPr>
        <w:tabs>
          <w:tab w:val="left" w:pos="851"/>
        </w:tabs>
        <w:ind w:left="851"/>
        <w:rPr>
          <w:i/>
          <w:sz w:val="24"/>
          <w:szCs w:val="24"/>
          <w:lang w:val="en-US"/>
        </w:rPr>
      </w:pPr>
      <w:r w:rsidRPr="008171A0">
        <w:rPr>
          <w:i/>
          <w:sz w:val="24"/>
          <w:szCs w:val="24"/>
          <w:u w:val="single"/>
          <w:lang w:val="en-US"/>
        </w:rPr>
        <w:t>Dose adjustments and other considerations for safe use</w:t>
      </w:r>
    </w:p>
    <w:p w14:paraId="0E7253D3" w14:textId="77777777" w:rsidR="008171A0" w:rsidRDefault="008171A0" w:rsidP="002636B7">
      <w:pPr>
        <w:tabs>
          <w:tab w:val="left" w:pos="851"/>
        </w:tabs>
        <w:ind w:left="851"/>
        <w:rPr>
          <w:i/>
          <w:sz w:val="24"/>
          <w:szCs w:val="24"/>
          <w:lang w:val="en-US"/>
        </w:rPr>
      </w:pPr>
    </w:p>
    <w:p w14:paraId="3248AD35" w14:textId="61090C8D" w:rsidR="008171A0" w:rsidRPr="008171A0" w:rsidRDefault="008171A0" w:rsidP="002636B7">
      <w:pPr>
        <w:tabs>
          <w:tab w:val="left" w:pos="851"/>
        </w:tabs>
        <w:ind w:left="851"/>
        <w:rPr>
          <w:sz w:val="24"/>
          <w:szCs w:val="24"/>
          <w:lang w:val="en-US"/>
        </w:rPr>
      </w:pPr>
      <w:r w:rsidRPr="008171A0">
        <w:rPr>
          <w:i/>
          <w:sz w:val="24"/>
          <w:szCs w:val="24"/>
          <w:lang w:val="en-US"/>
        </w:rPr>
        <w:t xml:space="preserve">Gastrointestinal events: </w:t>
      </w:r>
      <w:r w:rsidRPr="008171A0">
        <w:rPr>
          <w:sz w:val="24"/>
          <w:szCs w:val="24"/>
          <w:lang w:val="en-US"/>
        </w:rPr>
        <w:t>In patients who experience intolerance to therapy due to gastrointestinal undesirable effects, patients should be reminded to take the medicinal product with food. If symptoms persist, the dose of pirfenidone may be reduced to 267 mg – 534 mg, two to three times a day with food with re-escalation to the recommended daily dose as tolerated. If symptoms continue, patients may be instructed to interrupt treatment for one to two weeks to allow symptoms to resolve.</w:t>
      </w:r>
    </w:p>
    <w:p w14:paraId="2929A119" w14:textId="77777777" w:rsidR="008171A0" w:rsidRPr="008171A0" w:rsidRDefault="008171A0" w:rsidP="002636B7">
      <w:pPr>
        <w:tabs>
          <w:tab w:val="left" w:pos="851"/>
        </w:tabs>
        <w:ind w:left="851"/>
        <w:rPr>
          <w:sz w:val="24"/>
          <w:szCs w:val="24"/>
          <w:lang w:val="en-US"/>
        </w:rPr>
      </w:pPr>
    </w:p>
    <w:p w14:paraId="3D160390" w14:textId="33335809" w:rsidR="008171A0" w:rsidRPr="008171A0" w:rsidRDefault="008171A0" w:rsidP="002636B7">
      <w:pPr>
        <w:tabs>
          <w:tab w:val="left" w:pos="851"/>
        </w:tabs>
        <w:ind w:left="851"/>
        <w:rPr>
          <w:sz w:val="24"/>
          <w:szCs w:val="24"/>
          <w:lang w:val="en-US"/>
        </w:rPr>
      </w:pPr>
      <w:r w:rsidRPr="008171A0">
        <w:rPr>
          <w:i/>
          <w:sz w:val="24"/>
          <w:szCs w:val="24"/>
          <w:lang w:val="en-US"/>
        </w:rPr>
        <w:t xml:space="preserve">Photosensitivity reaction or rash: </w:t>
      </w:r>
      <w:r w:rsidRPr="008171A0">
        <w:rPr>
          <w:sz w:val="24"/>
          <w:szCs w:val="24"/>
          <w:lang w:val="en-US"/>
        </w:rPr>
        <w:t>Patients who experience a mild to moderate photosensitivity reaction or rash should be reminded to use a sunblock daily and avoid exposure to the sun (see section 4.4). The dose of pirfenidone may be reduced to 801 mg each day (267 mg three times a day). If the rash persists after 7 days, Pirfenidone should be discontinued for 15 days, with re-escalation to the recommended daily dose in the same manner as the dose escalation period.</w:t>
      </w:r>
    </w:p>
    <w:p w14:paraId="10939018" w14:textId="77777777" w:rsidR="008171A0" w:rsidRPr="008171A0" w:rsidRDefault="008171A0" w:rsidP="002636B7">
      <w:pPr>
        <w:tabs>
          <w:tab w:val="left" w:pos="851"/>
        </w:tabs>
        <w:ind w:left="851"/>
        <w:rPr>
          <w:sz w:val="24"/>
          <w:szCs w:val="24"/>
          <w:lang w:val="en-US"/>
        </w:rPr>
      </w:pPr>
    </w:p>
    <w:p w14:paraId="080BA7F6" w14:textId="77777777" w:rsidR="008171A0" w:rsidRPr="008171A0" w:rsidRDefault="008171A0" w:rsidP="002636B7">
      <w:pPr>
        <w:tabs>
          <w:tab w:val="left" w:pos="851"/>
        </w:tabs>
        <w:ind w:left="851"/>
        <w:rPr>
          <w:sz w:val="24"/>
          <w:szCs w:val="24"/>
          <w:lang w:val="en-US"/>
        </w:rPr>
      </w:pPr>
      <w:r w:rsidRPr="008171A0">
        <w:rPr>
          <w:sz w:val="24"/>
          <w:szCs w:val="24"/>
          <w:lang w:val="en-US"/>
        </w:rPr>
        <w:t>Patients who experience severe photosensitivity reaction or rash should be instructed to interrupt the dose and to seek medical advice (see section 4.4). Once the rash has resolved, Pirfenidone may be re-introduced and re-escalated up to the recommended daily dose at the discretion of the physician.</w:t>
      </w:r>
    </w:p>
    <w:p w14:paraId="42374788" w14:textId="77777777" w:rsidR="008171A0" w:rsidRPr="008171A0" w:rsidRDefault="008171A0" w:rsidP="002636B7">
      <w:pPr>
        <w:tabs>
          <w:tab w:val="left" w:pos="851"/>
        </w:tabs>
        <w:ind w:left="851"/>
        <w:rPr>
          <w:sz w:val="24"/>
          <w:szCs w:val="24"/>
          <w:lang w:val="en-US"/>
        </w:rPr>
      </w:pPr>
    </w:p>
    <w:p w14:paraId="5DC00AF7" w14:textId="77777777" w:rsidR="008171A0" w:rsidRPr="008171A0" w:rsidRDefault="008171A0" w:rsidP="002636B7">
      <w:pPr>
        <w:tabs>
          <w:tab w:val="left" w:pos="851"/>
        </w:tabs>
        <w:ind w:left="851"/>
        <w:rPr>
          <w:sz w:val="24"/>
          <w:szCs w:val="24"/>
          <w:lang w:val="en-US"/>
        </w:rPr>
      </w:pPr>
      <w:r w:rsidRPr="008171A0">
        <w:rPr>
          <w:i/>
          <w:sz w:val="24"/>
          <w:szCs w:val="24"/>
          <w:lang w:val="en-US"/>
        </w:rPr>
        <w:t xml:space="preserve">Hepatic function: </w:t>
      </w:r>
      <w:r w:rsidRPr="008171A0">
        <w:rPr>
          <w:sz w:val="24"/>
          <w:szCs w:val="24"/>
          <w:lang w:val="en-US"/>
        </w:rPr>
        <w:t>In the event of significant elevation of alanine and/or aspartate aminotransferases (ALT/AST) with or without bilirubin elevation, the dose of pirfenidone should be adjusted or treatment discontinued according to the guidelines listed in section 4.4.</w:t>
      </w:r>
    </w:p>
    <w:p w14:paraId="2B71886A" w14:textId="641955A9" w:rsidR="00BE2B75" w:rsidRDefault="00BE2B75" w:rsidP="002636B7">
      <w:pPr>
        <w:rPr>
          <w:sz w:val="24"/>
          <w:szCs w:val="24"/>
          <w:lang w:val="en-US"/>
        </w:rPr>
      </w:pPr>
      <w:r>
        <w:rPr>
          <w:sz w:val="24"/>
          <w:szCs w:val="24"/>
          <w:lang w:val="en-US"/>
        </w:rPr>
        <w:br w:type="page"/>
      </w:r>
    </w:p>
    <w:p w14:paraId="3AF810B5" w14:textId="77777777" w:rsidR="008171A0" w:rsidRPr="008171A0" w:rsidRDefault="008171A0" w:rsidP="002636B7">
      <w:pPr>
        <w:tabs>
          <w:tab w:val="left" w:pos="851"/>
        </w:tabs>
        <w:ind w:left="851"/>
        <w:rPr>
          <w:sz w:val="24"/>
          <w:szCs w:val="24"/>
          <w:lang w:val="en-US"/>
        </w:rPr>
      </w:pPr>
    </w:p>
    <w:p w14:paraId="3D8B0673" w14:textId="77777777" w:rsidR="008171A0" w:rsidRPr="008171A0" w:rsidRDefault="008171A0" w:rsidP="002636B7">
      <w:pPr>
        <w:tabs>
          <w:tab w:val="left" w:pos="851"/>
        </w:tabs>
        <w:ind w:left="851"/>
        <w:rPr>
          <w:sz w:val="24"/>
          <w:szCs w:val="24"/>
          <w:lang w:val="en-US"/>
        </w:rPr>
      </w:pPr>
      <w:r w:rsidRPr="008171A0">
        <w:rPr>
          <w:sz w:val="24"/>
          <w:szCs w:val="24"/>
          <w:u w:val="single"/>
          <w:lang w:val="en-US"/>
        </w:rPr>
        <w:t>Special populations</w:t>
      </w:r>
    </w:p>
    <w:p w14:paraId="19834F9C" w14:textId="77777777" w:rsidR="008171A0" w:rsidRPr="008171A0" w:rsidRDefault="008171A0" w:rsidP="002636B7">
      <w:pPr>
        <w:tabs>
          <w:tab w:val="left" w:pos="851"/>
        </w:tabs>
        <w:ind w:left="851"/>
        <w:rPr>
          <w:sz w:val="24"/>
          <w:szCs w:val="24"/>
          <w:lang w:val="en-US"/>
        </w:rPr>
      </w:pPr>
    </w:p>
    <w:p w14:paraId="5D91C160" w14:textId="77777777" w:rsidR="008171A0" w:rsidRPr="008171A0" w:rsidRDefault="008171A0" w:rsidP="002636B7">
      <w:pPr>
        <w:tabs>
          <w:tab w:val="left" w:pos="851"/>
        </w:tabs>
        <w:ind w:left="851"/>
        <w:rPr>
          <w:i/>
          <w:sz w:val="24"/>
          <w:szCs w:val="24"/>
          <w:lang w:val="en-US"/>
        </w:rPr>
      </w:pPr>
      <w:r w:rsidRPr="008171A0">
        <w:rPr>
          <w:i/>
          <w:sz w:val="24"/>
          <w:szCs w:val="24"/>
          <w:lang w:val="en-US"/>
        </w:rPr>
        <w:t>Elderly</w:t>
      </w:r>
    </w:p>
    <w:p w14:paraId="3BB4786F" w14:textId="77777777" w:rsidR="008171A0" w:rsidRPr="008171A0" w:rsidRDefault="008171A0" w:rsidP="002636B7">
      <w:pPr>
        <w:tabs>
          <w:tab w:val="left" w:pos="851"/>
        </w:tabs>
        <w:ind w:left="851"/>
        <w:rPr>
          <w:sz w:val="24"/>
          <w:szCs w:val="24"/>
          <w:lang w:val="en-US"/>
        </w:rPr>
      </w:pPr>
      <w:r w:rsidRPr="008171A0">
        <w:rPr>
          <w:sz w:val="24"/>
          <w:szCs w:val="24"/>
          <w:lang w:val="en-US"/>
        </w:rPr>
        <w:t>No dose adjustment is necessary in patients 65 years and older (see section 5.2).</w:t>
      </w:r>
    </w:p>
    <w:p w14:paraId="157D1E22" w14:textId="77777777" w:rsidR="008171A0" w:rsidRPr="008171A0" w:rsidRDefault="008171A0" w:rsidP="002636B7">
      <w:pPr>
        <w:tabs>
          <w:tab w:val="left" w:pos="851"/>
        </w:tabs>
        <w:ind w:left="851"/>
        <w:rPr>
          <w:sz w:val="24"/>
          <w:szCs w:val="24"/>
          <w:lang w:val="en-US"/>
        </w:rPr>
      </w:pPr>
    </w:p>
    <w:p w14:paraId="7BF9AFBA" w14:textId="77777777" w:rsidR="008171A0" w:rsidRPr="008171A0" w:rsidRDefault="008171A0" w:rsidP="002636B7">
      <w:pPr>
        <w:tabs>
          <w:tab w:val="left" w:pos="851"/>
        </w:tabs>
        <w:ind w:left="851"/>
        <w:rPr>
          <w:i/>
          <w:sz w:val="24"/>
          <w:szCs w:val="24"/>
          <w:lang w:val="en-US"/>
        </w:rPr>
      </w:pPr>
      <w:r w:rsidRPr="008171A0">
        <w:rPr>
          <w:i/>
          <w:sz w:val="24"/>
          <w:szCs w:val="24"/>
          <w:lang w:val="en-US"/>
        </w:rPr>
        <w:t>Hepatic impairment</w:t>
      </w:r>
    </w:p>
    <w:p w14:paraId="34D7674F" w14:textId="77777777" w:rsidR="008171A0" w:rsidRPr="008171A0" w:rsidRDefault="008171A0" w:rsidP="002636B7">
      <w:pPr>
        <w:tabs>
          <w:tab w:val="left" w:pos="851"/>
        </w:tabs>
        <w:ind w:left="851"/>
        <w:rPr>
          <w:sz w:val="24"/>
          <w:szCs w:val="24"/>
          <w:lang w:val="en-US"/>
        </w:rPr>
      </w:pPr>
      <w:r w:rsidRPr="008171A0">
        <w:rPr>
          <w:sz w:val="24"/>
          <w:szCs w:val="24"/>
          <w:lang w:val="en-US"/>
        </w:rPr>
        <w:t>No dose adjustment is necessary in patients with mild to moderate hepatic impairment (i.e. Child-Pugh Class A and B). However, since plasma levels of pirfenidone may be increased in some individuals with mild to moderate hepatic impairment, caution should be used with Pirfenidone treatment in this population. Pirfenidone therapy should not be used in patients with severe hepatic impairment or end stage liver disease (see section 4.3, 4.4 and 5.2).</w:t>
      </w:r>
    </w:p>
    <w:p w14:paraId="46A31B8A" w14:textId="77777777" w:rsidR="008171A0" w:rsidRPr="008171A0" w:rsidRDefault="008171A0" w:rsidP="002636B7">
      <w:pPr>
        <w:tabs>
          <w:tab w:val="left" w:pos="851"/>
        </w:tabs>
        <w:ind w:left="851"/>
        <w:rPr>
          <w:sz w:val="24"/>
          <w:szCs w:val="24"/>
          <w:lang w:val="en-US"/>
        </w:rPr>
      </w:pPr>
    </w:p>
    <w:p w14:paraId="7A644ECD" w14:textId="77777777" w:rsidR="008171A0" w:rsidRPr="008171A0" w:rsidRDefault="008171A0" w:rsidP="002636B7">
      <w:pPr>
        <w:tabs>
          <w:tab w:val="left" w:pos="851"/>
        </w:tabs>
        <w:ind w:left="851"/>
        <w:rPr>
          <w:i/>
          <w:sz w:val="24"/>
          <w:szCs w:val="24"/>
          <w:lang w:val="en-US"/>
        </w:rPr>
      </w:pPr>
      <w:r w:rsidRPr="008171A0">
        <w:rPr>
          <w:i/>
          <w:sz w:val="24"/>
          <w:szCs w:val="24"/>
          <w:lang w:val="en-US"/>
        </w:rPr>
        <w:t>Renal impairment</w:t>
      </w:r>
    </w:p>
    <w:p w14:paraId="75300E39" w14:textId="77777777" w:rsidR="008171A0" w:rsidRPr="008171A0" w:rsidRDefault="008171A0" w:rsidP="002636B7">
      <w:pPr>
        <w:tabs>
          <w:tab w:val="left" w:pos="851"/>
        </w:tabs>
        <w:ind w:left="851"/>
        <w:rPr>
          <w:sz w:val="24"/>
          <w:szCs w:val="24"/>
          <w:lang w:val="en-US"/>
        </w:rPr>
      </w:pPr>
      <w:r w:rsidRPr="008171A0">
        <w:rPr>
          <w:sz w:val="24"/>
          <w:szCs w:val="24"/>
          <w:lang w:val="en-US"/>
        </w:rPr>
        <w:t>No dose adjustment is necessary in patients with mild renal impairment. Pirfenidone should be used with caution in patients with moderate (</w:t>
      </w:r>
      <w:proofErr w:type="spellStart"/>
      <w:r w:rsidRPr="008171A0">
        <w:rPr>
          <w:sz w:val="24"/>
          <w:szCs w:val="24"/>
          <w:lang w:val="en-US"/>
        </w:rPr>
        <w:t>CrCl</w:t>
      </w:r>
      <w:proofErr w:type="spellEnd"/>
      <w:r w:rsidRPr="008171A0">
        <w:rPr>
          <w:sz w:val="24"/>
          <w:szCs w:val="24"/>
          <w:lang w:val="en-US"/>
        </w:rPr>
        <w:t xml:space="preserve"> 30-50 ml/min) renal impairment. Pirfenidone therapy should not be used in patients with severe renal impairment (</w:t>
      </w:r>
      <w:proofErr w:type="spellStart"/>
      <w:r w:rsidRPr="008171A0">
        <w:rPr>
          <w:sz w:val="24"/>
          <w:szCs w:val="24"/>
          <w:lang w:val="en-US"/>
        </w:rPr>
        <w:t>CrCl</w:t>
      </w:r>
      <w:proofErr w:type="spellEnd"/>
      <w:r w:rsidRPr="008171A0">
        <w:rPr>
          <w:sz w:val="24"/>
          <w:szCs w:val="24"/>
          <w:lang w:val="en-US"/>
        </w:rPr>
        <w:t xml:space="preserve"> &lt;30 ml/min) or end stage renal disease requiring dialysis (see sections 4.3 and 5.2).</w:t>
      </w:r>
    </w:p>
    <w:p w14:paraId="4F9E955F" w14:textId="77777777" w:rsidR="008171A0" w:rsidRPr="008171A0" w:rsidRDefault="008171A0" w:rsidP="002636B7">
      <w:pPr>
        <w:tabs>
          <w:tab w:val="left" w:pos="851"/>
        </w:tabs>
        <w:ind w:left="851"/>
        <w:rPr>
          <w:sz w:val="24"/>
          <w:szCs w:val="24"/>
          <w:lang w:val="en-US"/>
        </w:rPr>
      </w:pPr>
    </w:p>
    <w:p w14:paraId="11D53050" w14:textId="77777777" w:rsidR="008171A0" w:rsidRPr="008171A0" w:rsidRDefault="008171A0" w:rsidP="002636B7">
      <w:pPr>
        <w:tabs>
          <w:tab w:val="left" w:pos="851"/>
        </w:tabs>
        <w:ind w:left="851"/>
        <w:rPr>
          <w:i/>
          <w:sz w:val="24"/>
          <w:szCs w:val="24"/>
          <w:lang w:val="en-US"/>
        </w:rPr>
      </w:pPr>
      <w:r w:rsidRPr="008171A0">
        <w:rPr>
          <w:i/>
          <w:sz w:val="24"/>
          <w:szCs w:val="24"/>
          <w:lang w:val="en-US"/>
        </w:rPr>
        <w:t>Paediatric population</w:t>
      </w:r>
    </w:p>
    <w:p w14:paraId="3AAB1586" w14:textId="77777777" w:rsidR="008171A0" w:rsidRPr="008171A0" w:rsidRDefault="008171A0" w:rsidP="002636B7">
      <w:pPr>
        <w:tabs>
          <w:tab w:val="left" w:pos="851"/>
        </w:tabs>
        <w:ind w:left="851"/>
        <w:rPr>
          <w:sz w:val="24"/>
          <w:szCs w:val="24"/>
          <w:lang w:val="en-US"/>
        </w:rPr>
      </w:pPr>
      <w:r w:rsidRPr="008171A0">
        <w:rPr>
          <w:sz w:val="24"/>
          <w:szCs w:val="24"/>
          <w:lang w:val="en-US"/>
        </w:rPr>
        <w:t>There is no relevant use of Pirfenidone in the paediatric population for the indication of IPF.</w:t>
      </w:r>
    </w:p>
    <w:p w14:paraId="506592D1" w14:textId="77777777" w:rsidR="008171A0" w:rsidRPr="008171A0" w:rsidRDefault="008171A0" w:rsidP="002636B7">
      <w:pPr>
        <w:tabs>
          <w:tab w:val="left" w:pos="851"/>
        </w:tabs>
        <w:ind w:left="851"/>
        <w:rPr>
          <w:sz w:val="24"/>
          <w:szCs w:val="24"/>
          <w:lang w:val="en-US"/>
        </w:rPr>
      </w:pPr>
    </w:p>
    <w:p w14:paraId="63BE2D4C" w14:textId="77777777" w:rsidR="008171A0" w:rsidRPr="008171A0" w:rsidRDefault="008171A0" w:rsidP="002636B7">
      <w:pPr>
        <w:tabs>
          <w:tab w:val="left" w:pos="851"/>
        </w:tabs>
        <w:ind w:left="851"/>
        <w:rPr>
          <w:b/>
          <w:sz w:val="24"/>
          <w:szCs w:val="24"/>
          <w:lang w:val="en-US"/>
        </w:rPr>
      </w:pPr>
      <w:r w:rsidRPr="008171A0">
        <w:rPr>
          <w:b/>
          <w:sz w:val="24"/>
          <w:szCs w:val="24"/>
          <w:lang w:val="en-US"/>
        </w:rPr>
        <w:t>Method of administration</w:t>
      </w:r>
    </w:p>
    <w:p w14:paraId="11DCA07E" w14:textId="77777777" w:rsidR="008171A0" w:rsidRPr="008171A0" w:rsidRDefault="008171A0" w:rsidP="002636B7">
      <w:pPr>
        <w:tabs>
          <w:tab w:val="left" w:pos="851"/>
        </w:tabs>
        <w:ind w:left="851"/>
        <w:rPr>
          <w:sz w:val="24"/>
          <w:szCs w:val="24"/>
          <w:lang w:val="en-US"/>
        </w:rPr>
      </w:pPr>
      <w:r w:rsidRPr="008171A0">
        <w:rPr>
          <w:sz w:val="24"/>
          <w:szCs w:val="24"/>
          <w:lang w:val="en-US"/>
        </w:rPr>
        <w:t>Pirfenidone is for oral use. The tablets are to be swallowed whole with water and taken with food to reduce the possibility of nausea and dizziness (see sections 4.8 and 5.2).</w:t>
      </w:r>
    </w:p>
    <w:p w14:paraId="39D00603" w14:textId="77777777" w:rsidR="007C5D2A" w:rsidRPr="008171A0" w:rsidRDefault="007C5D2A" w:rsidP="002636B7">
      <w:pPr>
        <w:tabs>
          <w:tab w:val="left" w:pos="851"/>
        </w:tabs>
        <w:ind w:left="851"/>
        <w:rPr>
          <w:sz w:val="24"/>
          <w:szCs w:val="24"/>
          <w:lang w:val="en-US"/>
        </w:rPr>
      </w:pPr>
    </w:p>
    <w:p w14:paraId="7C837801" w14:textId="77777777" w:rsidR="007C5D2A" w:rsidRPr="00303008" w:rsidRDefault="007C5D2A" w:rsidP="002636B7">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496206D3" w14:textId="77777777" w:rsidR="006E72CC" w:rsidRPr="006E72CC" w:rsidRDefault="006E72CC" w:rsidP="002636B7">
      <w:pPr>
        <w:numPr>
          <w:ilvl w:val="0"/>
          <w:numId w:val="5"/>
        </w:numPr>
        <w:tabs>
          <w:tab w:val="left" w:pos="1134"/>
        </w:tabs>
        <w:ind w:left="1134" w:hanging="283"/>
        <w:rPr>
          <w:sz w:val="24"/>
          <w:szCs w:val="24"/>
          <w:lang w:val="en-US"/>
        </w:rPr>
      </w:pPr>
      <w:r w:rsidRPr="006E72CC">
        <w:rPr>
          <w:sz w:val="24"/>
          <w:szCs w:val="24"/>
          <w:lang w:val="en-US"/>
        </w:rPr>
        <w:t>Hypersensitivity to the active substance or to any of the excipients listed in section 6.1.</w:t>
      </w:r>
    </w:p>
    <w:p w14:paraId="50ACA3CB" w14:textId="77777777" w:rsidR="006E72CC" w:rsidRPr="006E72CC" w:rsidRDefault="006E72CC" w:rsidP="002636B7">
      <w:pPr>
        <w:numPr>
          <w:ilvl w:val="0"/>
          <w:numId w:val="5"/>
        </w:numPr>
        <w:tabs>
          <w:tab w:val="left" w:pos="1134"/>
        </w:tabs>
        <w:ind w:left="1134" w:hanging="283"/>
        <w:rPr>
          <w:sz w:val="24"/>
          <w:szCs w:val="24"/>
          <w:lang w:val="en-US"/>
        </w:rPr>
      </w:pPr>
      <w:r w:rsidRPr="006E72CC">
        <w:rPr>
          <w:sz w:val="24"/>
          <w:szCs w:val="24"/>
          <w:lang w:val="en-US"/>
        </w:rPr>
        <w:t>History of angioedema with pirfenidone (see section 4.4).</w:t>
      </w:r>
    </w:p>
    <w:p w14:paraId="0A14861B" w14:textId="77777777" w:rsidR="006E72CC" w:rsidRPr="006E72CC" w:rsidRDefault="006E72CC" w:rsidP="002636B7">
      <w:pPr>
        <w:numPr>
          <w:ilvl w:val="0"/>
          <w:numId w:val="5"/>
        </w:numPr>
        <w:tabs>
          <w:tab w:val="left" w:pos="1134"/>
        </w:tabs>
        <w:ind w:left="1134" w:hanging="283"/>
        <w:rPr>
          <w:sz w:val="24"/>
          <w:szCs w:val="24"/>
          <w:lang w:val="en-US"/>
        </w:rPr>
      </w:pPr>
      <w:r w:rsidRPr="006E72CC">
        <w:rPr>
          <w:sz w:val="24"/>
          <w:szCs w:val="24"/>
          <w:lang w:val="en-US"/>
        </w:rPr>
        <w:t>Concomitant use of fluvoxamine (see section 4.5).</w:t>
      </w:r>
    </w:p>
    <w:p w14:paraId="506967BD" w14:textId="77777777" w:rsidR="006E72CC" w:rsidRPr="006E72CC" w:rsidRDefault="006E72CC" w:rsidP="002636B7">
      <w:pPr>
        <w:numPr>
          <w:ilvl w:val="0"/>
          <w:numId w:val="5"/>
        </w:numPr>
        <w:tabs>
          <w:tab w:val="left" w:pos="1134"/>
        </w:tabs>
        <w:ind w:left="1134" w:hanging="283"/>
        <w:rPr>
          <w:sz w:val="24"/>
          <w:szCs w:val="24"/>
          <w:lang w:val="en-US"/>
        </w:rPr>
      </w:pPr>
      <w:r w:rsidRPr="006E72CC">
        <w:rPr>
          <w:sz w:val="24"/>
          <w:szCs w:val="24"/>
          <w:lang w:val="en-US"/>
        </w:rPr>
        <w:t>Severe hepatic impairment or end stage liver disease (see sections 4.2 and 4.4).</w:t>
      </w:r>
    </w:p>
    <w:p w14:paraId="76BDA4C2" w14:textId="77777777" w:rsidR="006E72CC" w:rsidRPr="006E72CC" w:rsidRDefault="006E72CC" w:rsidP="002636B7">
      <w:pPr>
        <w:numPr>
          <w:ilvl w:val="0"/>
          <w:numId w:val="5"/>
        </w:numPr>
        <w:tabs>
          <w:tab w:val="left" w:pos="1134"/>
        </w:tabs>
        <w:ind w:left="1134" w:hanging="283"/>
        <w:rPr>
          <w:sz w:val="24"/>
          <w:szCs w:val="24"/>
          <w:lang w:val="en-US"/>
        </w:rPr>
      </w:pPr>
      <w:r w:rsidRPr="006E72CC">
        <w:rPr>
          <w:sz w:val="24"/>
          <w:szCs w:val="24"/>
          <w:lang w:val="en-US"/>
        </w:rPr>
        <w:t>Severe renal impairment (</w:t>
      </w:r>
      <w:proofErr w:type="spellStart"/>
      <w:r w:rsidRPr="006E72CC">
        <w:rPr>
          <w:sz w:val="24"/>
          <w:szCs w:val="24"/>
          <w:lang w:val="en-US"/>
        </w:rPr>
        <w:t>CrCl</w:t>
      </w:r>
      <w:proofErr w:type="spellEnd"/>
      <w:r w:rsidRPr="006E72CC">
        <w:rPr>
          <w:sz w:val="24"/>
          <w:szCs w:val="24"/>
          <w:lang w:val="en-US"/>
        </w:rPr>
        <w:t xml:space="preserve"> &lt;30 ml/min) or end stage renal disease requiring dialysis (see sections 4.2 and 5.2).</w:t>
      </w:r>
    </w:p>
    <w:p w14:paraId="3BA9A615" w14:textId="77777777" w:rsidR="007C5D2A" w:rsidRPr="006E72CC" w:rsidRDefault="007C5D2A" w:rsidP="002636B7">
      <w:pPr>
        <w:tabs>
          <w:tab w:val="left" w:pos="851"/>
        </w:tabs>
        <w:ind w:left="851"/>
        <w:rPr>
          <w:sz w:val="24"/>
          <w:szCs w:val="24"/>
          <w:lang w:val="en-US"/>
        </w:rPr>
      </w:pPr>
    </w:p>
    <w:p w14:paraId="76553A35" w14:textId="77777777" w:rsidR="007C5D2A" w:rsidRPr="00303008" w:rsidRDefault="007C5D2A" w:rsidP="002636B7">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47565616" w14:textId="77777777" w:rsidR="00F32EEE" w:rsidRDefault="00F32EEE" w:rsidP="002636B7">
      <w:pPr>
        <w:tabs>
          <w:tab w:val="left" w:pos="851"/>
        </w:tabs>
        <w:ind w:left="851"/>
        <w:rPr>
          <w:sz w:val="24"/>
          <w:szCs w:val="24"/>
          <w:u w:val="single"/>
          <w:lang w:val="en-US"/>
        </w:rPr>
      </w:pPr>
    </w:p>
    <w:p w14:paraId="0DDA3E98" w14:textId="0C5C2DD1" w:rsidR="006E72CC" w:rsidRPr="006E72CC" w:rsidRDefault="006E72CC" w:rsidP="002636B7">
      <w:pPr>
        <w:tabs>
          <w:tab w:val="left" w:pos="851"/>
        </w:tabs>
        <w:ind w:left="851"/>
        <w:rPr>
          <w:sz w:val="24"/>
          <w:szCs w:val="24"/>
          <w:lang w:val="en-US"/>
        </w:rPr>
      </w:pPr>
      <w:r w:rsidRPr="006E72CC">
        <w:rPr>
          <w:sz w:val="24"/>
          <w:szCs w:val="24"/>
          <w:u w:val="single"/>
          <w:lang w:val="en-US"/>
        </w:rPr>
        <w:t>Hepatic function</w:t>
      </w:r>
    </w:p>
    <w:p w14:paraId="00A017CD" w14:textId="77777777" w:rsidR="006E72CC" w:rsidRPr="006E72CC" w:rsidRDefault="006E72CC" w:rsidP="002636B7">
      <w:pPr>
        <w:tabs>
          <w:tab w:val="left" w:pos="851"/>
        </w:tabs>
        <w:ind w:left="851"/>
        <w:rPr>
          <w:sz w:val="24"/>
          <w:szCs w:val="24"/>
          <w:lang w:val="en-US"/>
        </w:rPr>
      </w:pPr>
      <w:r w:rsidRPr="006E72CC">
        <w:rPr>
          <w:sz w:val="24"/>
          <w:szCs w:val="24"/>
          <w:lang w:val="en-US"/>
        </w:rPr>
        <w:t>Elevated transaminases have been commonly reported in patients treated with Pirfenidone. Liver function tests (ALT, AST and bilirubin) should be performed prior to the initiation of treatment with Pirfenidone, and subsequently at monthly intervals for the first 6 months and then every 3 months thereafter (see section 4.8).</w:t>
      </w:r>
    </w:p>
    <w:p w14:paraId="18BDC60D" w14:textId="77777777" w:rsidR="006E72CC" w:rsidRPr="006E72CC" w:rsidRDefault="006E72CC" w:rsidP="002636B7">
      <w:pPr>
        <w:tabs>
          <w:tab w:val="left" w:pos="851"/>
        </w:tabs>
        <w:ind w:left="851"/>
        <w:rPr>
          <w:sz w:val="24"/>
          <w:szCs w:val="24"/>
          <w:lang w:val="en-US"/>
        </w:rPr>
      </w:pPr>
    </w:p>
    <w:p w14:paraId="4363AB81" w14:textId="77777777" w:rsidR="006E72CC" w:rsidRPr="006E72CC" w:rsidRDefault="006E72CC" w:rsidP="002636B7">
      <w:pPr>
        <w:tabs>
          <w:tab w:val="left" w:pos="851"/>
        </w:tabs>
        <w:ind w:left="851"/>
        <w:rPr>
          <w:sz w:val="24"/>
          <w:szCs w:val="24"/>
          <w:lang w:val="en-US"/>
        </w:rPr>
      </w:pPr>
      <w:r w:rsidRPr="006E72CC">
        <w:rPr>
          <w:sz w:val="24"/>
          <w:szCs w:val="24"/>
          <w:lang w:val="en-US"/>
        </w:rPr>
        <w:t>If a patient exhibits an aminotransferase elevation &gt;3 to &lt;5 x ULN without bilirubin elevation and without symptoms or signs of drug-induced liver injury after starting pirfenidone therapy, other causes should be excluded, and the patient monitored closely. Discontinuation of other medicines associated with liver toxicity should be considered. If clinically appropriate, the dose of pirfenidone should be reduced or interrupted. Once liver function tests are within normal limits pirfenidone may be re-escalated to the recommended daily dose if tolerated.</w:t>
      </w:r>
    </w:p>
    <w:p w14:paraId="61B73D7B" w14:textId="77777777" w:rsidR="006E72CC" w:rsidRPr="006E72CC" w:rsidRDefault="006E72CC" w:rsidP="002636B7">
      <w:pPr>
        <w:tabs>
          <w:tab w:val="left" w:pos="851"/>
        </w:tabs>
        <w:ind w:left="851"/>
        <w:rPr>
          <w:sz w:val="24"/>
          <w:szCs w:val="24"/>
          <w:lang w:val="en-US"/>
        </w:rPr>
      </w:pPr>
    </w:p>
    <w:p w14:paraId="4DBE7019" w14:textId="77777777" w:rsidR="006E72CC" w:rsidRPr="006E72CC" w:rsidRDefault="006E72CC" w:rsidP="002636B7">
      <w:pPr>
        <w:tabs>
          <w:tab w:val="left" w:pos="851"/>
        </w:tabs>
        <w:ind w:left="851"/>
        <w:rPr>
          <w:sz w:val="24"/>
          <w:szCs w:val="24"/>
          <w:lang w:val="en-US"/>
        </w:rPr>
      </w:pPr>
      <w:r w:rsidRPr="006E72CC">
        <w:rPr>
          <w:sz w:val="24"/>
          <w:szCs w:val="24"/>
          <w:u w:val="single"/>
          <w:lang w:val="en-US"/>
        </w:rPr>
        <w:t>Drug-induced liver injury</w:t>
      </w:r>
    </w:p>
    <w:p w14:paraId="1BEBC12A" w14:textId="77777777" w:rsidR="006E72CC" w:rsidRPr="006E72CC" w:rsidRDefault="006E72CC" w:rsidP="002636B7">
      <w:pPr>
        <w:tabs>
          <w:tab w:val="left" w:pos="851"/>
        </w:tabs>
        <w:ind w:left="851"/>
        <w:rPr>
          <w:sz w:val="24"/>
          <w:szCs w:val="24"/>
          <w:lang w:val="en-US"/>
        </w:rPr>
      </w:pPr>
      <w:r w:rsidRPr="006E72CC">
        <w:rPr>
          <w:sz w:val="24"/>
          <w:szCs w:val="24"/>
          <w:lang w:val="en-US"/>
        </w:rPr>
        <w:t>Uncommonly, elevations in AST and ALT were associated with concomitant bilirubin increases. Cases of severe drug-induced liver injury, including isolated cases with fatal outcome, have been reported post-marketing (see section 4.8).</w:t>
      </w:r>
    </w:p>
    <w:p w14:paraId="3E5E2F5D" w14:textId="77777777" w:rsidR="006E72CC" w:rsidRPr="006E72CC" w:rsidRDefault="006E72CC" w:rsidP="002636B7">
      <w:pPr>
        <w:tabs>
          <w:tab w:val="left" w:pos="851"/>
        </w:tabs>
        <w:ind w:left="851"/>
        <w:rPr>
          <w:sz w:val="24"/>
          <w:szCs w:val="24"/>
          <w:lang w:val="en-US"/>
        </w:rPr>
      </w:pPr>
    </w:p>
    <w:p w14:paraId="3E4BEB16" w14:textId="53C530CD" w:rsidR="006E72CC" w:rsidRPr="006E72CC" w:rsidRDefault="006E72CC" w:rsidP="002636B7">
      <w:pPr>
        <w:tabs>
          <w:tab w:val="left" w:pos="851"/>
        </w:tabs>
        <w:ind w:left="851"/>
        <w:rPr>
          <w:sz w:val="24"/>
          <w:szCs w:val="24"/>
          <w:lang w:val="en-US"/>
        </w:rPr>
      </w:pPr>
      <w:r w:rsidRPr="006E72CC">
        <w:rPr>
          <w:sz w:val="24"/>
          <w:szCs w:val="24"/>
          <w:lang w:val="en-US"/>
        </w:rPr>
        <w:t>In addition to the recommended regular monitoring of liver function tests, prompt clinical evaluation and measurement of liver function tests should be performed in patients who report symptoms that   may indicate liver injury, including fatigue, anorexia, right upper abdominal discomfort, dark urine, or jaundice.</w:t>
      </w:r>
    </w:p>
    <w:p w14:paraId="01867ED7" w14:textId="77777777" w:rsidR="006E72CC" w:rsidRPr="006E72CC" w:rsidRDefault="006E72CC" w:rsidP="002636B7">
      <w:pPr>
        <w:tabs>
          <w:tab w:val="left" w:pos="851"/>
        </w:tabs>
        <w:ind w:left="851"/>
        <w:rPr>
          <w:sz w:val="24"/>
          <w:szCs w:val="24"/>
          <w:lang w:val="en-US"/>
        </w:rPr>
      </w:pPr>
    </w:p>
    <w:p w14:paraId="1FBCBB66" w14:textId="77777777" w:rsidR="006E72CC" w:rsidRPr="006E72CC" w:rsidRDefault="006E72CC" w:rsidP="002636B7">
      <w:pPr>
        <w:tabs>
          <w:tab w:val="left" w:pos="851"/>
        </w:tabs>
        <w:ind w:left="851"/>
        <w:rPr>
          <w:sz w:val="24"/>
          <w:szCs w:val="24"/>
          <w:lang w:val="en-US"/>
        </w:rPr>
      </w:pPr>
      <w:r w:rsidRPr="006E72CC">
        <w:rPr>
          <w:sz w:val="24"/>
          <w:szCs w:val="24"/>
          <w:lang w:val="en-US"/>
        </w:rPr>
        <w:t xml:space="preserve">If a patient exhibits an aminotransferase elevation &gt;3 to &lt;5 x ULN accompanied by </w:t>
      </w:r>
      <w:proofErr w:type="spellStart"/>
      <w:r w:rsidRPr="006E72CC">
        <w:rPr>
          <w:sz w:val="24"/>
          <w:szCs w:val="24"/>
          <w:lang w:val="en-US"/>
        </w:rPr>
        <w:t>hyperbilirubinaemia</w:t>
      </w:r>
      <w:proofErr w:type="spellEnd"/>
      <w:r w:rsidRPr="006E72CC">
        <w:rPr>
          <w:sz w:val="24"/>
          <w:szCs w:val="24"/>
          <w:lang w:val="en-US"/>
        </w:rPr>
        <w:t xml:space="preserve"> or clinical signs or symptoms indicative of liver injury, pirfenidone should be permanently discontinued and the patient should not be </w:t>
      </w:r>
      <w:proofErr w:type="spellStart"/>
      <w:r w:rsidRPr="006E72CC">
        <w:rPr>
          <w:sz w:val="24"/>
          <w:szCs w:val="24"/>
          <w:lang w:val="en-US"/>
        </w:rPr>
        <w:t>rechallenged</w:t>
      </w:r>
      <w:proofErr w:type="spellEnd"/>
      <w:r w:rsidRPr="006E72CC">
        <w:rPr>
          <w:sz w:val="24"/>
          <w:szCs w:val="24"/>
          <w:lang w:val="en-US"/>
        </w:rPr>
        <w:t>.</w:t>
      </w:r>
    </w:p>
    <w:p w14:paraId="266E01DD" w14:textId="77777777" w:rsidR="006E72CC" w:rsidRPr="006E72CC" w:rsidRDefault="006E72CC" w:rsidP="002636B7">
      <w:pPr>
        <w:tabs>
          <w:tab w:val="left" w:pos="851"/>
        </w:tabs>
        <w:ind w:left="851"/>
        <w:rPr>
          <w:sz w:val="24"/>
          <w:szCs w:val="24"/>
          <w:lang w:val="en-US"/>
        </w:rPr>
      </w:pPr>
    </w:p>
    <w:p w14:paraId="654A370A" w14:textId="77777777" w:rsidR="006E72CC" w:rsidRPr="006E72CC" w:rsidRDefault="006E72CC" w:rsidP="002636B7">
      <w:pPr>
        <w:tabs>
          <w:tab w:val="left" w:pos="851"/>
        </w:tabs>
        <w:ind w:left="851"/>
        <w:rPr>
          <w:sz w:val="24"/>
          <w:szCs w:val="24"/>
          <w:lang w:val="en-US"/>
        </w:rPr>
      </w:pPr>
      <w:r w:rsidRPr="006E72CC">
        <w:rPr>
          <w:sz w:val="24"/>
          <w:szCs w:val="24"/>
          <w:lang w:val="en-US"/>
        </w:rPr>
        <w:t xml:space="preserve">If a patient exhibits an aminotransferase elevation to ≥5 x ULN, pirfenidone should be permanently discontinued and the patient should not be </w:t>
      </w:r>
      <w:proofErr w:type="spellStart"/>
      <w:r w:rsidRPr="006E72CC">
        <w:rPr>
          <w:sz w:val="24"/>
          <w:szCs w:val="24"/>
          <w:lang w:val="en-US"/>
        </w:rPr>
        <w:t>rechallenged</w:t>
      </w:r>
      <w:proofErr w:type="spellEnd"/>
      <w:r w:rsidRPr="006E72CC">
        <w:rPr>
          <w:sz w:val="24"/>
          <w:szCs w:val="24"/>
          <w:lang w:val="en-US"/>
        </w:rPr>
        <w:t>.</w:t>
      </w:r>
    </w:p>
    <w:p w14:paraId="6B2E6238" w14:textId="77777777" w:rsidR="006E72CC" w:rsidRPr="006E72CC" w:rsidRDefault="006E72CC" w:rsidP="002636B7">
      <w:pPr>
        <w:tabs>
          <w:tab w:val="left" w:pos="851"/>
        </w:tabs>
        <w:ind w:left="851"/>
        <w:rPr>
          <w:sz w:val="24"/>
          <w:szCs w:val="24"/>
          <w:lang w:val="en-US"/>
        </w:rPr>
      </w:pPr>
    </w:p>
    <w:p w14:paraId="6D7AEFEF" w14:textId="77777777" w:rsidR="006E72CC" w:rsidRPr="00F32EEE" w:rsidRDefault="006E72CC" w:rsidP="002636B7">
      <w:pPr>
        <w:tabs>
          <w:tab w:val="left" w:pos="851"/>
        </w:tabs>
        <w:ind w:left="851"/>
        <w:rPr>
          <w:i/>
          <w:sz w:val="24"/>
          <w:szCs w:val="24"/>
          <w:lang w:val="en-US"/>
        </w:rPr>
      </w:pPr>
      <w:r w:rsidRPr="00F32EEE">
        <w:rPr>
          <w:i/>
          <w:sz w:val="24"/>
          <w:szCs w:val="24"/>
          <w:lang w:val="en-US"/>
        </w:rPr>
        <w:t>Hepatic impairment</w:t>
      </w:r>
    </w:p>
    <w:p w14:paraId="20538BC1" w14:textId="77777777" w:rsidR="006E72CC" w:rsidRPr="006E72CC" w:rsidRDefault="006E72CC" w:rsidP="002636B7">
      <w:pPr>
        <w:tabs>
          <w:tab w:val="left" w:pos="851"/>
        </w:tabs>
        <w:ind w:left="851"/>
        <w:rPr>
          <w:sz w:val="24"/>
          <w:szCs w:val="24"/>
          <w:lang w:val="en-US"/>
        </w:rPr>
      </w:pPr>
      <w:r w:rsidRPr="006E72CC">
        <w:rPr>
          <w:sz w:val="24"/>
          <w:szCs w:val="24"/>
          <w:lang w:val="en-US"/>
        </w:rPr>
        <w:t>In subjects with moderate hepatic impairment (i.e. Child-Pugh Class B), pirfenidone exposure was increased by 60%. Pirfenidone should be used with caution in patients with pre-existing mild to moderate hepatic impairment (i.e. Child-Pugh Class A and B) given the potential for increased pirfenidone exposure. Patients should be monitored closely for signs of toxicity especially if they are concomitantly taking a known CYP1A2 inhibitor (see sections 4.5 and 5.2). Pirfenidone has not been studied in individuals with severe hepatic impairment and Pirfenidone must not be used in patients with severe hepatic impairment (see section 4.3).</w:t>
      </w:r>
    </w:p>
    <w:p w14:paraId="40251C31" w14:textId="77777777" w:rsidR="006E72CC" w:rsidRPr="006E72CC" w:rsidRDefault="006E72CC" w:rsidP="002636B7">
      <w:pPr>
        <w:tabs>
          <w:tab w:val="left" w:pos="851"/>
        </w:tabs>
        <w:ind w:left="851"/>
        <w:rPr>
          <w:sz w:val="24"/>
          <w:szCs w:val="24"/>
          <w:lang w:val="en-US"/>
        </w:rPr>
      </w:pPr>
    </w:p>
    <w:p w14:paraId="6AB75CAA" w14:textId="77777777" w:rsidR="006E72CC" w:rsidRPr="006E72CC" w:rsidRDefault="006E72CC" w:rsidP="002636B7">
      <w:pPr>
        <w:tabs>
          <w:tab w:val="left" w:pos="851"/>
        </w:tabs>
        <w:ind w:left="851"/>
        <w:rPr>
          <w:sz w:val="24"/>
          <w:szCs w:val="24"/>
          <w:lang w:val="en-US"/>
        </w:rPr>
      </w:pPr>
      <w:r w:rsidRPr="006E72CC">
        <w:rPr>
          <w:sz w:val="24"/>
          <w:szCs w:val="24"/>
          <w:u w:val="single"/>
          <w:lang w:val="en-US"/>
        </w:rPr>
        <w:t>Photosensitivity reaction and rash</w:t>
      </w:r>
    </w:p>
    <w:p w14:paraId="77B7C60F" w14:textId="77777777" w:rsidR="006E72CC" w:rsidRPr="006E72CC" w:rsidRDefault="006E72CC" w:rsidP="002636B7">
      <w:pPr>
        <w:tabs>
          <w:tab w:val="left" w:pos="851"/>
        </w:tabs>
        <w:ind w:left="851"/>
        <w:rPr>
          <w:sz w:val="24"/>
          <w:szCs w:val="24"/>
          <w:lang w:val="en-US"/>
        </w:rPr>
      </w:pPr>
      <w:r w:rsidRPr="006E72CC">
        <w:rPr>
          <w:sz w:val="24"/>
          <w:szCs w:val="24"/>
          <w:lang w:val="en-US"/>
        </w:rPr>
        <w:t xml:space="preserve">Exposure to direct sunlight (including sunlamps) should be avoided or </w:t>
      </w:r>
      <w:proofErr w:type="spellStart"/>
      <w:r w:rsidRPr="006E72CC">
        <w:rPr>
          <w:sz w:val="24"/>
          <w:szCs w:val="24"/>
          <w:lang w:val="en-US"/>
        </w:rPr>
        <w:t>minimised</w:t>
      </w:r>
      <w:proofErr w:type="spellEnd"/>
      <w:r w:rsidRPr="006E72CC">
        <w:rPr>
          <w:sz w:val="24"/>
          <w:szCs w:val="24"/>
          <w:lang w:val="en-US"/>
        </w:rPr>
        <w:t xml:space="preserve"> during treatment with pirfenidone. Patients should be instructed to use a sunblock daily, to wear clothing that protects against sun exposure, and to avoid other medicinal products known to cause photosensitivity. Patients should be instructed to report symptoms of photosensitivity reaction or rash to their physician. Severe photosensitivity reactions are uncommon. Dose adjustments or temporary treatment discontinuation may be necessary in mild to severe cases of photosensitivity reaction or rash (see section 4.2).</w:t>
      </w:r>
    </w:p>
    <w:p w14:paraId="60361D2A" w14:textId="77777777" w:rsidR="006E72CC" w:rsidRPr="006E72CC" w:rsidRDefault="006E72CC" w:rsidP="002636B7">
      <w:pPr>
        <w:tabs>
          <w:tab w:val="left" w:pos="851"/>
        </w:tabs>
        <w:ind w:left="851"/>
        <w:rPr>
          <w:sz w:val="24"/>
          <w:szCs w:val="24"/>
          <w:lang w:val="en-US"/>
        </w:rPr>
      </w:pPr>
    </w:p>
    <w:p w14:paraId="1709CDDF" w14:textId="77777777" w:rsidR="006E72CC" w:rsidRPr="006E72CC" w:rsidRDefault="006E72CC" w:rsidP="002636B7">
      <w:pPr>
        <w:tabs>
          <w:tab w:val="left" w:pos="851"/>
        </w:tabs>
        <w:ind w:left="851"/>
        <w:rPr>
          <w:sz w:val="24"/>
          <w:szCs w:val="24"/>
          <w:u w:val="single"/>
          <w:lang w:val="en-US"/>
        </w:rPr>
      </w:pPr>
      <w:r w:rsidRPr="006E72CC">
        <w:rPr>
          <w:sz w:val="24"/>
          <w:szCs w:val="24"/>
          <w:u w:val="single"/>
          <w:lang w:val="en-US"/>
        </w:rPr>
        <w:t>Severe skin reactions</w:t>
      </w:r>
    </w:p>
    <w:p w14:paraId="6BF7869D" w14:textId="77777777" w:rsidR="00A6538F" w:rsidRPr="009843B7" w:rsidRDefault="00A6538F" w:rsidP="009843B7">
      <w:pPr>
        <w:pStyle w:val="Brdtekst"/>
        <w:spacing w:line="228" w:lineRule="auto"/>
        <w:ind w:left="851" w:right="228"/>
        <w:rPr>
          <w:sz w:val="24"/>
          <w:szCs w:val="24"/>
        </w:rPr>
      </w:pPr>
      <w:r w:rsidRPr="009843B7">
        <w:rPr>
          <w:sz w:val="24"/>
          <w:szCs w:val="24"/>
        </w:rPr>
        <w:t>Stevens-Johnson syndrome (SJS), toxic epidermal necrolysis (TEN), and drug reaction with eosinophilia and systemic symptoms (DRESS), which can be life-threatening or fatal, have been reported post-marketing in association with pirfenidone treatment. If signs and</w:t>
      </w:r>
      <w:r w:rsidRPr="009843B7">
        <w:rPr>
          <w:spacing w:val="1"/>
          <w:sz w:val="24"/>
          <w:szCs w:val="24"/>
        </w:rPr>
        <w:t xml:space="preserve"> </w:t>
      </w:r>
      <w:r w:rsidRPr="009843B7">
        <w:rPr>
          <w:sz w:val="24"/>
          <w:szCs w:val="24"/>
        </w:rPr>
        <w:t>symptoms suggestive of these reactions appear, pirfenidone should be withdrawn immediately. If the</w:t>
      </w:r>
      <w:r w:rsidRPr="009843B7">
        <w:rPr>
          <w:spacing w:val="1"/>
          <w:sz w:val="24"/>
          <w:szCs w:val="24"/>
        </w:rPr>
        <w:t xml:space="preserve"> </w:t>
      </w:r>
      <w:r w:rsidRPr="009843B7">
        <w:rPr>
          <w:sz w:val="24"/>
          <w:szCs w:val="24"/>
        </w:rPr>
        <w:t>patient has developed SJS, TEN or DRESS with the use of pirfenidone, treatment with pirfenidone must not be restarted</w:t>
      </w:r>
      <w:r w:rsidRPr="009843B7">
        <w:rPr>
          <w:spacing w:val="-52"/>
          <w:sz w:val="24"/>
          <w:szCs w:val="24"/>
        </w:rPr>
        <w:t xml:space="preserve">    </w:t>
      </w:r>
      <w:r w:rsidRPr="009843B7">
        <w:rPr>
          <w:sz w:val="24"/>
          <w:szCs w:val="24"/>
        </w:rPr>
        <w:t xml:space="preserve"> and</w:t>
      </w:r>
      <w:r w:rsidRPr="009843B7">
        <w:rPr>
          <w:spacing w:val="-1"/>
          <w:sz w:val="24"/>
          <w:szCs w:val="24"/>
        </w:rPr>
        <w:t xml:space="preserve"> </w:t>
      </w:r>
      <w:r w:rsidRPr="009843B7">
        <w:rPr>
          <w:sz w:val="24"/>
          <w:szCs w:val="24"/>
        </w:rPr>
        <w:t>should be permanently</w:t>
      </w:r>
      <w:r w:rsidRPr="009843B7">
        <w:rPr>
          <w:spacing w:val="-3"/>
          <w:sz w:val="24"/>
          <w:szCs w:val="24"/>
        </w:rPr>
        <w:t xml:space="preserve"> </w:t>
      </w:r>
      <w:r w:rsidRPr="009843B7">
        <w:rPr>
          <w:sz w:val="24"/>
          <w:szCs w:val="24"/>
        </w:rPr>
        <w:t>discontinued.</w:t>
      </w:r>
    </w:p>
    <w:p w14:paraId="7A610022" w14:textId="77777777" w:rsidR="006E72CC" w:rsidRPr="009843B7" w:rsidRDefault="006E72CC" w:rsidP="009843B7">
      <w:pPr>
        <w:tabs>
          <w:tab w:val="left" w:pos="851"/>
        </w:tabs>
        <w:ind w:left="851"/>
        <w:rPr>
          <w:sz w:val="24"/>
          <w:szCs w:val="24"/>
          <w:lang w:val="en-US"/>
        </w:rPr>
      </w:pPr>
    </w:p>
    <w:p w14:paraId="764F146E" w14:textId="696BC51A" w:rsidR="006E72CC" w:rsidRPr="006E72CC" w:rsidRDefault="006E72CC" w:rsidP="002636B7">
      <w:pPr>
        <w:tabs>
          <w:tab w:val="left" w:pos="851"/>
        </w:tabs>
        <w:ind w:left="851"/>
        <w:rPr>
          <w:sz w:val="24"/>
          <w:szCs w:val="24"/>
          <w:lang w:val="en-US"/>
        </w:rPr>
      </w:pPr>
      <w:r w:rsidRPr="006E72CC">
        <w:rPr>
          <w:sz w:val="24"/>
          <w:szCs w:val="24"/>
          <w:u w:val="single"/>
          <w:lang w:val="en-US"/>
        </w:rPr>
        <w:t>Angioedema/</w:t>
      </w:r>
      <w:r w:rsidR="00F32EEE">
        <w:rPr>
          <w:sz w:val="24"/>
          <w:szCs w:val="24"/>
          <w:u w:val="single"/>
          <w:lang w:val="en-US"/>
        </w:rPr>
        <w:t>a</w:t>
      </w:r>
      <w:r w:rsidRPr="006E72CC">
        <w:rPr>
          <w:sz w:val="24"/>
          <w:szCs w:val="24"/>
          <w:u w:val="single"/>
          <w:lang w:val="en-US"/>
        </w:rPr>
        <w:t>naphylaxis</w:t>
      </w:r>
    </w:p>
    <w:p w14:paraId="05E0EA75" w14:textId="77777777" w:rsidR="006E72CC" w:rsidRPr="006E72CC" w:rsidRDefault="006E72CC" w:rsidP="002636B7">
      <w:pPr>
        <w:tabs>
          <w:tab w:val="left" w:pos="851"/>
        </w:tabs>
        <w:ind w:left="851"/>
        <w:rPr>
          <w:sz w:val="24"/>
          <w:szCs w:val="24"/>
          <w:lang w:val="en-US"/>
        </w:rPr>
      </w:pPr>
      <w:r w:rsidRPr="006E72CC">
        <w:rPr>
          <w:sz w:val="24"/>
          <w:szCs w:val="24"/>
          <w:lang w:val="en-US"/>
        </w:rPr>
        <w:t>Reports of angioedema (some serious) such as swelling of the face, lips and/or tongue which may be associated with difficulty breathing or wheezing have been received in association with use of pirfenidone in the post-marketing setting. Reports of anaphylactic reactions have also been received. Therefore, patients who develop signs or symptoms of angioedema or severe allergic reactions following administration of Pirfenidone should immediately discontinue treatment. Patients with angioedema or severe allergic reactions should be managed according to standard of care. Pirfenidone must not be used in patients with a history of angioedema or hypersensitivity due to Pirfenidone (see section 4.3).</w:t>
      </w:r>
    </w:p>
    <w:p w14:paraId="208F4B18" w14:textId="77777777" w:rsidR="006E72CC" w:rsidRPr="006E72CC" w:rsidRDefault="006E72CC" w:rsidP="002636B7">
      <w:pPr>
        <w:tabs>
          <w:tab w:val="left" w:pos="851"/>
        </w:tabs>
        <w:ind w:left="851"/>
        <w:rPr>
          <w:sz w:val="24"/>
          <w:szCs w:val="24"/>
          <w:lang w:val="en-US"/>
        </w:rPr>
      </w:pPr>
    </w:p>
    <w:p w14:paraId="3440A139" w14:textId="77777777" w:rsidR="006E72CC" w:rsidRPr="006E72CC" w:rsidRDefault="006E72CC" w:rsidP="002636B7">
      <w:pPr>
        <w:tabs>
          <w:tab w:val="left" w:pos="851"/>
        </w:tabs>
        <w:ind w:left="851"/>
        <w:rPr>
          <w:sz w:val="24"/>
          <w:szCs w:val="24"/>
          <w:lang w:val="en-US"/>
        </w:rPr>
      </w:pPr>
      <w:r w:rsidRPr="006E72CC">
        <w:rPr>
          <w:sz w:val="24"/>
          <w:szCs w:val="24"/>
          <w:u w:val="single"/>
          <w:lang w:val="en-US"/>
        </w:rPr>
        <w:t>Dizziness</w:t>
      </w:r>
    </w:p>
    <w:p w14:paraId="7C715CFC" w14:textId="77777777" w:rsidR="006E72CC" w:rsidRPr="006E72CC" w:rsidRDefault="006E72CC" w:rsidP="002636B7">
      <w:pPr>
        <w:tabs>
          <w:tab w:val="left" w:pos="851"/>
        </w:tabs>
        <w:ind w:left="851"/>
        <w:rPr>
          <w:sz w:val="24"/>
          <w:szCs w:val="24"/>
          <w:lang w:val="en-US"/>
        </w:rPr>
      </w:pPr>
      <w:r w:rsidRPr="006E72CC">
        <w:rPr>
          <w:sz w:val="24"/>
          <w:szCs w:val="24"/>
          <w:lang w:val="en-US"/>
        </w:rPr>
        <w:t>Dizziness has been reported in patients taking pirfenidone. Therefore, patients should know how they react to this medicinal product before they engage in activities requiring mental alertness or coordination (see section 4.7). In clinical studies, most patients who experienced dizziness had a single event, and most events resolved, with a median duration of 22 days. If dizziness does not improve or if it worsens in severity, dose adjustment or even discontinuation of pirfenidone may be warranted.</w:t>
      </w:r>
    </w:p>
    <w:p w14:paraId="24091F31" w14:textId="77777777" w:rsidR="006E72CC" w:rsidRPr="006E72CC" w:rsidRDefault="006E72CC" w:rsidP="002636B7">
      <w:pPr>
        <w:tabs>
          <w:tab w:val="left" w:pos="851"/>
        </w:tabs>
        <w:ind w:left="851"/>
        <w:rPr>
          <w:sz w:val="24"/>
          <w:szCs w:val="24"/>
          <w:lang w:val="en-US"/>
        </w:rPr>
      </w:pPr>
    </w:p>
    <w:p w14:paraId="0CFE6728" w14:textId="77777777" w:rsidR="006E72CC" w:rsidRPr="006E72CC" w:rsidRDefault="006E72CC" w:rsidP="002636B7">
      <w:pPr>
        <w:tabs>
          <w:tab w:val="left" w:pos="851"/>
        </w:tabs>
        <w:ind w:left="851"/>
        <w:rPr>
          <w:sz w:val="24"/>
          <w:szCs w:val="24"/>
          <w:lang w:val="en-US"/>
        </w:rPr>
      </w:pPr>
      <w:r w:rsidRPr="006E72CC">
        <w:rPr>
          <w:sz w:val="24"/>
          <w:szCs w:val="24"/>
          <w:u w:val="single"/>
          <w:lang w:val="en-US"/>
        </w:rPr>
        <w:t>Fatigue</w:t>
      </w:r>
    </w:p>
    <w:p w14:paraId="1694C153" w14:textId="77777777" w:rsidR="006E72CC" w:rsidRPr="006E72CC" w:rsidRDefault="006E72CC" w:rsidP="002636B7">
      <w:pPr>
        <w:tabs>
          <w:tab w:val="left" w:pos="851"/>
        </w:tabs>
        <w:ind w:left="851"/>
        <w:rPr>
          <w:sz w:val="24"/>
          <w:szCs w:val="24"/>
          <w:lang w:val="en-US"/>
        </w:rPr>
      </w:pPr>
      <w:r w:rsidRPr="006E72CC">
        <w:rPr>
          <w:sz w:val="24"/>
          <w:szCs w:val="24"/>
          <w:lang w:val="en-US"/>
        </w:rPr>
        <w:t>Fatigue has been reported in patients taking pirfenidone. Therefore, patients should know how they react to this medicinal product before they engage in activities requiring mental alertness or coordination (see section 4.7).</w:t>
      </w:r>
    </w:p>
    <w:p w14:paraId="63C93E4E" w14:textId="77777777" w:rsidR="006E72CC" w:rsidRPr="006E72CC" w:rsidRDefault="006E72CC" w:rsidP="002636B7">
      <w:pPr>
        <w:tabs>
          <w:tab w:val="left" w:pos="851"/>
        </w:tabs>
        <w:ind w:left="851"/>
        <w:rPr>
          <w:sz w:val="24"/>
          <w:szCs w:val="24"/>
          <w:lang w:val="en-US"/>
        </w:rPr>
      </w:pPr>
    </w:p>
    <w:p w14:paraId="3A68162B" w14:textId="77777777" w:rsidR="006E72CC" w:rsidRPr="006E72CC" w:rsidRDefault="006E72CC" w:rsidP="002636B7">
      <w:pPr>
        <w:tabs>
          <w:tab w:val="left" w:pos="851"/>
        </w:tabs>
        <w:ind w:left="851"/>
        <w:rPr>
          <w:sz w:val="24"/>
          <w:szCs w:val="24"/>
          <w:lang w:val="en-US"/>
        </w:rPr>
      </w:pPr>
      <w:r w:rsidRPr="006E72CC">
        <w:rPr>
          <w:sz w:val="24"/>
          <w:szCs w:val="24"/>
          <w:u w:val="single"/>
          <w:lang w:val="en-US"/>
        </w:rPr>
        <w:t>Weight loss</w:t>
      </w:r>
    </w:p>
    <w:p w14:paraId="6E0E9075" w14:textId="77777777" w:rsidR="006E72CC" w:rsidRPr="006E72CC" w:rsidRDefault="006E72CC" w:rsidP="002636B7">
      <w:pPr>
        <w:tabs>
          <w:tab w:val="left" w:pos="851"/>
        </w:tabs>
        <w:ind w:left="851"/>
        <w:rPr>
          <w:sz w:val="24"/>
          <w:szCs w:val="24"/>
          <w:lang w:val="en-US"/>
        </w:rPr>
      </w:pPr>
      <w:r w:rsidRPr="006E72CC">
        <w:rPr>
          <w:sz w:val="24"/>
          <w:szCs w:val="24"/>
          <w:lang w:val="en-US"/>
        </w:rPr>
        <w:t>Weight loss has been reported in patients treated with pirfenidone (see section 4.8). Physicians should monitor patient’s weight, and when appropriate encourage increased caloric intake if weight loss is considered to be of clinical significance.</w:t>
      </w:r>
    </w:p>
    <w:p w14:paraId="3FC8C4B3" w14:textId="77777777" w:rsidR="006E72CC" w:rsidRPr="006E72CC" w:rsidRDefault="006E72CC" w:rsidP="002636B7">
      <w:pPr>
        <w:tabs>
          <w:tab w:val="left" w:pos="851"/>
        </w:tabs>
        <w:ind w:left="851"/>
        <w:rPr>
          <w:sz w:val="24"/>
          <w:szCs w:val="24"/>
          <w:lang w:val="en-US"/>
        </w:rPr>
      </w:pPr>
    </w:p>
    <w:p w14:paraId="142EEBF5" w14:textId="77777777" w:rsidR="006E72CC" w:rsidRPr="006E72CC" w:rsidRDefault="006E72CC" w:rsidP="002636B7">
      <w:pPr>
        <w:tabs>
          <w:tab w:val="left" w:pos="851"/>
        </w:tabs>
        <w:ind w:left="851"/>
        <w:rPr>
          <w:sz w:val="24"/>
          <w:szCs w:val="24"/>
          <w:lang w:val="en-US"/>
        </w:rPr>
      </w:pPr>
      <w:proofErr w:type="spellStart"/>
      <w:r w:rsidRPr="006E72CC">
        <w:rPr>
          <w:sz w:val="24"/>
          <w:szCs w:val="24"/>
          <w:u w:val="single"/>
          <w:lang w:val="en-US"/>
        </w:rPr>
        <w:t>Hyponatraemia</w:t>
      </w:r>
      <w:proofErr w:type="spellEnd"/>
    </w:p>
    <w:p w14:paraId="26FE3900" w14:textId="77777777" w:rsidR="006E72CC" w:rsidRPr="006E72CC" w:rsidRDefault="006E72CC" w:rsidP="002636B7">
      <w:pPr>
        <w:tabs>
          <w:tab w:val="left" w:pos="851"/>
        </w:tabs>
        <w:ind w:left="851"/>
        <w:rPr>
          <w:sz w:val="24"/>
          <w:szCs w:val="24"/>
          <w:lang w:val="en-US"/>
        </w:rPr>
      </w:pPr>
      <w:proofErr w:type="spellStart"/>
      <w:r w:rsidRPr="006E72CC">
        <w:rPr>
          <w:sz w:val="24"/>
          <w:szCs w:val="24"/>
          <w:lang w:val="en-US"/>
        </w:rPr>
        <w:t>Hyponatraemia</w:t>
      </w:r>
      <w:proofErr w:type="spellEnd"/>
      <w:r w:rsidRPr="006E72CC">
        <w:rPr>
          <w:sz w:val="24"/>
          <w:szCs w:val="24"/>
          <w:lang w:val="en-US"/>
        </w:rPr>
        <w:t xml:space="preserve"> has been reported in patients treated with Pirfenidone (see section 4.8). As the symptoms of </w:t>
      </w:r>
      <w:proofErr w:type="spellStart"/>
      <w:r w:rsidRPr="006E72CC">
        <w:rPr>
          <w:sz w:val="24"/>
          <w:szCs w:val="24"/>
          <w:lang w:val="en-US"/>
        </w:rPr>
        <w:t>hyponatraemia</w:t>
      </w:r>
      <w:proofErr w:type="spellEnd"/>
      <w:r w:rsidRPr="006E72CC">
        <w:rPr>
          <w:sz w:val="24"/>
          <w:szCs w:val="24"/>
          <w:lang w:val="en-US"/>
        </w:rPr>
        <w:t xml:space="preserve"> may be subtle and masked by the presence of concomitant morbidities, regular monitoring of the relevant laboratory parameters is recommended, especially in the presence of evocative signs and symptoms such as nausea, headache or dizziness.</w:t>
      </w:r>
    </w:p>
    <w:p w14:paraId="01DD6DF3" w14:textId="77777777" w:rsidR="006E72CC" w:rsidRPr="006E72CC" w:rsidRDefault="006E72CC" w:rsidP="002636B7">
      <w:pPr>
        <w:tabs>
          <w:tab w:val="left" w:pos="851"/>
        </w:tabs>
        <w:ind w:left="851"/>
        <w:rPr>
          <w:sz w:val="24"/>
          <w:szCs w:val="24"/>
          <w:lang w:val="en-US"/>
        </w:rPr>
      </w:pPr>
    </w:p>
    <w:p w14:paraId="26CFB88E" w14:textId="77777777" w:rsidR="006E72CC" w:rsidRPr="006E72CC" w:rsidRDefault="006E72CC" w:rsidP="002636B7">
      <w:pPr>
        <w:tabs>
          <w:tab w:val="left" w:pos="851"/>
        </w:tabs>
        <w:ind w:left="851"/>
        <w:rPr>
          <w:sz w:val="24"/>
          <w:szCs w:val="24"/>
          <w:u w:val="single"/>
          <w:lang w:val="en-US"/>
        </w:rPr>
      </w:pPr>
      <w:r w:rsidRPr="006E72CC">
        <w:rPr>
          <w:sz w:val="24"/>
          <w:szCs w:val="24"/>
          <w:u w:val="single"/>
          <w:lang w:val="en-US"/>
        </w:rPr>
        <w:t>Information about excipients</w:t>
      </w:r>
    </w:p>
    <w:p w14:paraId="1E708BCA" w14:textId="11799F2A" w:rsidR="006E72CC" w:rsidRPr="006E72CC" w:rsidRDefault="00F32EEE" w:rsidP="002636B7">
      <w:pPr>
        <w:tabs>
          <w:tab w:val="left" w:pos="851"/>
        </w:tabs>
        <w:ind w:left="851"/>
        <w:rPr>
          <w:sz w:val="24"/>
          <w:szCs w:val="24"/>
          <w:lang w:val="en-US"/>
        </w:rPr>
      </w:pPr>
      <w:proofErr w:type="spellStart"/>
      <w:r>
        <w:rPr>
          <w:sz w:val="24"/>
          <w:szCs w:val="24"/>
          <w:lang w:val="en-US"/>
        </w:rPr>
        <w:t>Pirfenair</w:t>
      </w:r>
      <w:proofErr w:type="spellEnd"/>
      <w:r w:rsidR="006E72CC" w:rsidRPr="006E72CC">
        <w:rPr>
          <w:sz w:val="24"/>
          <w:szCs w:val="24"/>
          <w:lang w:val="en-US"/>
        </w:rPr>
        <w:t xml:space="preserve"> contains less than 1 mmol sodium (23 mg) per film-coated tablet, that is to say essentially ‘sodium-free’.</w:t>
      </w:r>
    </w:p>
    <w:p w14:paraId="28D7AA45" w14:textId="77777777" w:rsidR="007C5D2A" w:rsidRPr="006E72CC" w:rsidRDefault="007C5D2A" w:rsidP="002636B7">
      <w:pPr>
        <w:tabs>
          <w:tab w:val="left" w:pos="851"/>
        </w:tabs>
        <w:ind w:left="851"/>
        <w:rPr>
          <w:sz w:val="24"/>
          <w:szCs w:val="24"/>
          <w:lang w:val="en-US"/>
        </w:rPr>
      </w:pPr>
    </w:p>
    <w:p w14:paraId="74ABDAB3" w14:textId="77777777" w:rsidR="007C5D2A" w:rsidRPr="00303008" w:rsidRDefault="007C5D2A" w:rsidP="002636B7">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2DEA6CAE" w14:textId="2403BE7B" w:rsidR="00F32EEE" w:rsidRPr="00F32EEE" w:rsidRDefault="00F32EEE" w:rsidP="002636B7">
      <w:pPr>
        <w:tabs>
          <w:tab w:val="left" w:pos="851"/>
        </w:tabs>
        <w:ind w:left="851"/>
        <w:rPr>
          <w:sz w:val="24"/>
          <w:szCs w:val="24"/>
          <w:lang w:val="en-US"/>
        </w:rPr>
      </w:pPr>
      <w:r w:rsidRPr="00F32EEE">
        <w:rPr>
          <w:sz w:val="24"/>
          <w:szCs w:val="24"/>
          <w:lang w:val="en-US"/>
        </w:rPr>
        <w:t>Approximately 70–80</w:t>
      </w:r>
      <w:r w:rsidR="00C7145F">
        <w:rPr>
          <w:sz w:val="24"/>
          <w:szCs w:val="24"/>
          <w:lang w:val="en-US"/>
        </w:rPr>
        <w:t xml:space="preserve"> </w:t>
      </w:r>
      <w:r w:rsidRPr="00F32EEE">
        <w:rPr>
          <w:sz w:val="24"/>
          <w:szCs w:val="24"/>
          <w:lang w:val="en-US"/>
        </w:rPr>
        <w:t xml:space="preserve">% of pirfenidone is </w:t>
      </w:r>
      <w:proofErr w:type="spellStart"/>
      <w:r w:rsidRPr="00F32EEE">
        <w:rPr>
          <w:sz w:val="24"/>
          <w:szCs w:val="24"/>
          <w:lang w:val="en-US"/>
        </w:rPr>
        <w:t>metabolised</w:t>
      </w:r>
      <w:proofErr w:type="spellEnd"/>
      <w:r w:rsidRPr="00F32EEE">
        <w:rPr>
          <w:sz w:val="24"/>
          <w:szCs w:val="24"/>
          <w:lang w:val="en-US"/>
        </w:rPr>
        <w:t xml:space="preserve"> via CYP1A2 with minor contributions from other CYP isoenzymes including CYP2C9, 2C19, 2D6, and 2E1.</w:t>
      </w:r>
    </w:p>
    <w:p w14:paraId="15580D7B" w14:textId="77777777" w:rsidR="00F32EEE" w:rsidRPr="00F32EEE" w:rsidRDefault="00F32EEE" w:rsidP="002636B7">
      <w:pPr>
        <w:tabs>
          <w:tab w:val="left" w:pos="851"/>
        </w:tabs>
        <w:ind w:left="851"/>
        <w:rPr>
          <w:sz w:val="24"/>
          <w:szCs w:val="24"/>
          <w:lang w:val="en-US"/>
        </w:rPr>
      </w:pPr>
    </w:p>
    <w:p w14:paraId="6E09D8FC" w14:textId="77777777" w:rsidR="00F32EEE" w:rsidRPr="00F32EEE" w:rsidRDefault="00F32EEE" w:rsidP="002636B7">
      <w:pPr>
        <w:tabs>
          <w:tab w:val="left" w:pos="851"/>
        </w:tabs>
        <w:ind w:left="851"/>
        <w:rPr>
          <w:sz w:val="24"/>
          <w:szCs w:val="24"/>
          <w:lang w:val="en-US"/>
        </w:rPr>
      </w:pPr>
      <w:r w:rsidRPr="00F32EEE">
        <w:rPr>
          <w:sz w:val="24"/>
          <w:szCs w:val="24"/>
          <w:lang w:val="en-US"/>
        </w:rPr>
        <w:t>Consumption of grapefruit juice is associated with inhibition of CYP1A2 and should be avoided during treatment with pirfenidone.</w:t>
      </w:r>
    </w:p>
    <w:p w14:paraId="0AD62952" w14:textId="77777777" w:rsidR="00F32EEE" w:rsidRPr="00F32EEE" w:rsidRDefault="00F32EEE" w:rsidP="002636B7">
      <w:pPr>
        <w:tabs>
          <w:tab w:val="left" w:pos="851"/>
        </w:tabs>
        <w:ind w:left="851"/>
        <w:rPr>
          <w:sz w:val="24"/>
          <w:szCs w:val="24"/>
          <w:lang w:val="en-US"/>
        </w:rPr>
      </w:pPr>
    </w:p>
    <w:p w14:paraId="54FBE64F" w14:textId="77777777" w:rsidR="00F32EEE" w:rsidRPr="00F32EEE" w:rsidRDefault="00F32EEE" w:rsidP="002636B7">
      <w:pPr>
        <w:tabs>
          <w:tab w:val="left" w:pos="851"/>
        </w:tabs>
        <w:ind w:left="851"/>
        <w:rPr>
          <w:sz w:val="24"/>
          <w:szCs w:val="24"/>
          <w:lang w:val="en-US"/>
        </w:rPr>
      </w:pPr>
      <w:r w:rsidRPr="00F32EEE">
        <w:rPr>
          <w:sz w:val="24"/>
          <w:szCs w:val="24"/>
          <w:u w:val="single"/>
          <w:lang w:val="en-US"/>
        </w:rPr>
        <w:t>Fluvoxamine and inhibitors of CYP1A2</w:t>
      </w:r>
    </w:p>
    <w:p w14:paraId="6D3BBE5C" w14:textId="77777777" w:rsidR="00F32EEE" w:rsidRPr="00F32EEE" w:rsidRDefault="00F32EEE" w:rsidP="002636B7">
      <w:pPr>
        <w:tabs>
          <w:tab w:val="left" w:pos="851"/>
        </w:tabs>
        <w:ind w:left="851"/>
        <w:rPr>
          <w:sz w:val="24"/>
          <w:szCs w:val="24"/>
          <w:lang w:val="en-US"/>
        </w:rPr>
      </w:pPr>
      <w:r w:rsidRPr="00F32EEE">
        <w:rPr>
          <w:sz w:val="24"/>
          <w:szCs w:val="24"/>
          <w:lang w:val="en-US"/>
        </w:rPr>
        <w:t>In a Phase 1 study, the co-administration of Pirfenidone and fluvoxamine (a strong inhibitor of CYP1A2 with inhibitory effects on other CYP isoenzymes [CYP2C9, 2C19, and 2D6]) resulted in a 4-fold increase in exposure to pirfenidone in non-smokers.</w:t>
      </w:r>
    </w:p>
    <w:p w14:paraId="2802B1E1" w14:textId="77777777" w:rsidR="00F32EEE" w:rsidRPr="00F32EEE" w:rsidRDefault="00F32EEE" w:rsidP="002636B7">
      <w:pPr>
        <w:tabs>
          <w:tab w:val="left" w:pos="851"/>
        </w:tabs>
        <w:ind w:left="851"/>
        <w:rPr>
          <w:sz w:val="24"/>
          <w:szCs w:val="24"/>
          <w:lang w:val="en-US"/>
        </w:rPr>
      </w:pPr>
    </w:p>
    <w:p w14:paraId="0A6ED24B" w14:textId="77777777" w:rsidR="00F32EEE" w:rsidRPr="00F32EEE" w:rsidRDefault="00F32EEE" w:rsidP="002636B7">
      <w:pPr>
        <w:tabs>
          <w:tab w:val="left" w:pos="851"/>
        </w:tabs>
        <w:ind w:left="851"/>
        <w:rPr>
          <w:sz w:val="24"/>
          <w:szCs w:val="24"/>
          <w:lang w:val="en-US"/>
        </w:rPr>
      </w:pPr>
      <w:r w:rsidRPr="00F32EEE">
        <w:rPr>
          <w:sz w:val="24"/>
          <w:szCs w:val="24"/>
          <w:lang w:val="en-US"/>
        </w:rPr>
        <w:t>Pirfenidone is contraindicated in patients with concomitant use of fluvoxamine (see section 4.3). Fluvoxamine should be discontinued prior to the initiation of pirfenidone therapy and avoided during pirfenidone therapy due to the reduced clearance of pirfenidone. Other therapies that are inhibitors of both CYP1A2 and one or more other CYP isoenzymes involved in the metabolism of pirfenidone (e.g. CYP2C9, 2C19, and 2D6) should be avoided during pirfenidone treatment.</w:t>
      </w:r>
    </w:p>
    <w:p w14:paraId="58863AA5" w14:textId="77777777" w:rsidR="00F32EEE" w:rsidRPr="00F32EEE" w:rsidRDefault="00F32EEE" w:rsidP="002636B7">
      <w:pPr>
        <w:tabs>
          <w:tab w:val="left" w:pos="851"/>
        </w:tabs>
        <w:ind w:left="851"/>
        <w:rPr>
          <w:sz w:val="24"/>
          <w:szCs w:val="24"/>
          <w:lang w:val="en-US"/>
        </w:rPr>
      </w:pPr>
    </w:p>
    <w:p w14:paraId="3084BD02" w14:textId="77777777" w:rsidR="00F32EEE" w:rsidRPr="00F32EEE" w:rsidRDefault="00F32EEE" w:rsidP="002636B7">
      <w:pPr>
        <w:tabs>
          <w:tab w:val="left" w:pos="851"/>
        </w:tabs>
        <w:ind w:left="851"/>
        <w:rPr>
          <w:sz w:val="24"/>
          <w:szCs w:val="24"/>
          <w:lang w:val="en-US"/>
        </w:rPr>
      </w:pPr>
      <w:r w:rsidRPr="00F32EEE">
        <w:rPr>
          <w:i/>
          <w:sz w:val="24"/>
          <w:szCs w:val="24"/>
          <w:lang w:val="en-US"/>
        </w:rPr>
        <w:t xml:space="preserve">In vitro </w:t>
      </w:r>
      <w:r w:rsidRPr="00F32EEE">
        <w:rPr>
          <w:sz w:val="24"/>
          <w:szCs w:val="24"/>
          <w:lang w:val="en-US"/>
        </w:rPr>
        <w:t xml:space="preserve">and </w:t>
      </w:r>
      <w:r w:rsidRPr="00F32EEE">
        <w:rPr>
          <w:i/>
          <w:sz w:val="24"/>
          <w:szCs w:val="24"/>
          <w:lang w:val="en-US"/>
        </w:rPr>
        <w:t xml:space="preserve">in vivo </w:t>
      </w:r>
      <w:r w:rsidRPr="00F32EEE">
        <w:rPr>
          <w:sz w:val="24"/>
          <w:szCs w:val="24"/>
          <w:lang w:val="en-US"/>
        </w:rPr>
        <w:t xml:space="preserve">extrapolations indicate that strong and selective inhibitors of CYP1A2 (e.g. </w:t>
      </w:r>
      <w:proofErr w:type="spellStart"/>
      <w:r w:rsidRPr="00F32EEE">
        <w:rPr>
          <w:sz w:val="24"/>
          <w:szCs w:val="24"/>
          <w:lang w:val="en-US"/>
        </w:rPr>
        <w:t>enoxacin</w:t>
      </w:r>
      <w:proofErr w:type="spellEnd"/>
      <w:r w:rsidRPr="00F32EEE">
        <w:rPr>
          <w:sz w:val="24"/>
          <w:szCs w:val="24"/>
          <w:lang w:val="en-US"/>
        </w:rPr>
        <w:t>) have the potential to increase the exposure to pirfenidone by approximately 2 to 4-fold. If concomitant use of pirfenidone with a strong and selective inhibitor of CYP1A2 cannot be avoided, the dose of pirfenidone should be reduced to 801 mg daily (267 mg, three times a day). Patients should be closely monitored for emergence of adverse reactions associated with pirfenidone therapy. Discontinue pirfenidone if necessary (see sections 4.2 and 4.4).</w:t>
      </w:r>
    </w:p>
    <w:p w14:paraId="6F53D33C" w14:textId="77777777" w:rsidR="00F32EEE" w:rsidRPr="00F32EEE" w:rsidRDefault="00F32EEE" w:rsidP="002636B7">
      <w:pPr>
        <w:tabs>
          <w:tab w:val="left" w:pos="851"/>
        </w:tabs>
        <w:ind w:left="851"/>
        <w:rPr>
          <w:sz w:val="24"/>
          <w:szCs w:val="24"/>
          <w:lang w:val="en-US"/>
        </w:rPr>
      </w:pPr>
    </w:p>
    <w:p w14:paraId="7DDB9902" w14:textId="77777777" w:rsidR="00F32EEE" w:rsidRPr="00F32EEE" w:rsidRDefault="00F32EEE" w:rsidP="002636B7">
      <w:pPr>
        <w:tabs>
          <w:tab w:val="left" w:pos="851"/>
        </w:tabs>
        <w:ind w:left="851"/>
        <w:rPr>
          <w:sz w:val="24"/>
          <w:szCs w:val="24"/>
          <w:lang w:val="en-US"/>
        </w:rPr>
      </w:pPr>
      <w:r w:rsidRPr="00F32EEE">
        <w:rPr>
          <w:sz w:val="24"/>
          <w:szCs w:val="24"/>
          <w:lang w:val="en-US"/>
        </w:rPr>
        <w:t>Co-administration of pirfenidone and 750 mg of ciprofloxacin (a moderate inhibitor of CYP1A2) increased the exposure to pirfenidone by 81%. If ciprofloxacin at the dose of 750 mg two times a day cannot be avoided, the dose of pirfenidone should be reduced to 1602 mg daily (534 mg, three times a day). Pirfenidone should be used with caution when ciprofloxacin is used at a dose of 250 mg or 500 mg once or two times a day.</w:t>
      </w:r>
    </w:p>
    <w:p w14:paraId="6C89D770" w14:textId="77777777" w:rsidR="00F32EEE" w:rsidRPr="00F32EEE" w:rsidRDefault="00F32EEE" w:rsidP="002636B7">
      <w:pPr>
        <w:tabs>
          <w:tab w:val="left" w:pos="851"/>
        </w:tabs>
        <w:ind w:left="851"/>
        <w:rPr>
          <w:sz w:val="24"/>
          <w:szCs w:val="24"/>
          <w:lang w:val="en-US"/>
        </w:rPr>
      </w:pPr>
    </w:p>
    <w:p w14:paraId="7F1ACB4F" w14:textId="77777777" w:rsidR="00F32EEE" w:rsidRPr="00F32EEE" w:rsidRDefault="00F32EEE" w:rsidP="002636B7">
      <w:pPr>
        <w:tabs>
          <w:tab w:val="left" w:pos="851"/>
        </w:tabs>
        <w:ind w:left="851"/>
        <w:rPr>
          <w:sz w:val="24"/>
          <w:szCs w:val="24"/>
          <w:lang w:val="en-US"/>
        </w:rPr>
      </w:pPr>
      <w:r w:rsidRPr="00F32EEE">
        <w:rPr>
          <w:sz w:val="24"/>
          <w:szCs w:val="24"/>
          <w:lang w:val="en-US"/>
        </w:rPr>
        <w:t>Pirfenidone should be used with caution in patients treated with other moderate inhibitors of CYP1A2 (e.g. amiodarone, propafenone).</w:t>
      </w:r>
    </w:p>
    <w:p w14:paraId="41F69DFE" w14:textId="77777777" w:rsidR="00F32EEE" w:rsidRPr="00F32EEE" w:rsidRDefault="00F32EEE" w:rsidP="002636B7">
      <w:pPr>
        <w:tabs>
          <w:tab w:val="left" w:pos="851"/>
        </w:tabs>
        <w:ind w:left="851"/>
        <w:rPr>
          <w:sz w:val="24"/>
          <w:szCs w:val="24"/>
          <w:lang w:val="en-US"/>
        </w:rPr>
      </w:pPr>
    </w:p>
    <w:p w14:paraId="2D1802B3" w14:textId="77777777" w:rsidR="00F32EEE" w:rsidRPr="00F32EEE" w:rsidRDefault="00F32EEE" w:rsidP="002636B7">
      <w:pPr>
        <w:tabs>
          <w:tab w:val="left" w:pos="851"/>
        </w:tabs>
        <w:ind w:left="851"/>
        <w:rPr>
          <w:sz w:val="24"/>
          <w:szCs w:val="24"/>
          <w:lang w:val="en-US"/>
        </w:rPr>
      </w:pPr>
      <w:r w:rsidRPr="00F32EEE">
        <w:rPr>
          <w:sz w:val="24"/>
          <w:szCs w:val="24"/>
          <w:lang w:val="en-US"/>
        </w:rPr>
        <w:t>Special care should also be exercised if CYP1A2 inhibitors are being used concomitantly with potent inhibitors of one or more other CYP isoenzymes involved in the metabolism of pirfenidone such as CYP2C9 (e.g. amiodarone, fluconazole), 2C19 (e.g. chloramphenicol) and 2D6 (e.g. fluoxetine, paroxetine).</w:t>
      </w:r>
    </w:p>
    <w:p w14:paraId="0D2C5650" w14:textId="77777777" w:rsidR="00F32EEE" w:rsidRPr="00F32EEE" w:rsidRDefault="00F32EEE" w:rsidP="002636B7">
      <w:pPr>
        <w:tabs>
          <w:tab w:val="left" w:pos="851"/>
        </w:tabs>
        <w:ind w:left="851"/>
        <w:rPr>
          <w:sz w:val="24"/>
          <w:szCs w:val="24"/>
          <w:lang w:val="en-US"/>
        </w:rPr>
      </w:pPr>
    </w:p>
    <w:p w14:paraId="78F7E0E6" w14:textId="77777777" w:rsidR="00F32EEE" w:rsidRPr="00F32EEE" w:rsidRDefault="00F32EEE" w:rsidP="002636B7">
      <w:pPr>
        <w:tabs>
          <w:tab w:val="left" w:pos="851"/>
        </w:tabs>
        <w:ind w:left="851"/>
        <w:rPr>
          <w:sz w:val="24"/>
          <w:szCs w:val="24"/>
          <w:lang w:val="en-US"/>
        </w:rPr>
      </w:pPr>
      <w:r w:rsidRPr="00F32EEE">
        <w:rPr>
          <w:sz w:val="24"/>
          <w:szCs w:val="24"/>
          <w:u w:val="single"/>
          <w:lang w:val="en-US"/>
        </w:rPr>
        <w:t>Cigarette smoking and inducers of CYP1A2</w:t>
      </w:r>
    </w:p>
    <w:p w14:paraId="20817120" w14:textId="77777777" w:rsidR="00F32EEE" w:rsidRPr="00F32EEE" w:rsidRDefault="00F32EEE" w:rsidP="002636B7">
      <w:pPr>
        <w:tabs>
          <w:tab w:val="left" w:pos="851"/>
        </w:tabs>
        <w:ind w:left="851"/>
        <w:rPr>
          <w:sz w:val="24"/>
          <w:szCs w:val="24"/>
          <w:lang w:val="en-US"/>
        </w:rPr>
      </w:pPr>
      <w:r w:rsidRPr="00F32EEE">
        <w:rPr>
          <w:sz w:val="24"/>
          <w:szCs w:val="24"/>
          <w:lang w:val="en-US"/>
        </w:rPr>
        <w:t>A Phase 1 interaction study evaluated the effect of cigarette smoking (CYP1A2 inducer) on the pharmacokinetics of pirfenidone. The exposure to pirfenidone in smokers was 50% of that observed in non-smokers. Smoking has the potential to induce hepatic enzyme production and thus increase medicinal product clearance and decrease exposure. Concomitant use of strong inducers of CYP1A2 including smoking should be avoided during pirfenidone therapy based on the observed relationship between cigarette smoking and its potential to induce CYP1A2. Patients should be encouraged to discontinue use of strong inducers of CYP1A2 and to stop smoking before and during treatment with pirfenidone.</w:t>
      </w:r>
    </w:p>
    <w:p w14:paraId="20DDAF65" w14:textId="77777777" w:rsidR="00F32EEE" w:rsidRPr="00F32EEE" w:rsidRDefault="00F32EEE" w:rsidP="002636B7">
      <w:pPr>
        <w:tabs>
          <w:tab w:val="left" w:pos="851"/>
        </w:tabs>
        <w:ind w:left="851"/>
        <w:rPr>
          <w:sz w:val="24"/>
          <w:szCs w:val="24"/>
          <w:lang w:val="en-US"/>
        </w:rPr>
      </w:pPr>
    </w:p>
    <w:p w14:paraId="739E7634" w14:textId="77777777" w:rsidR="00F32EEE" w:rsidRPr="00F32EEE" w:rsidRDefault="00F32EEE" w:rsidP="002636B7">
      <w:pPr>
        <w:tabs>
          <w:tab w:val="left" w:pos="851"/>
        </w:tabs>
        <w:ind w:left="851"/>
        <w:rPr>
          <w:sz w:val="24"/>
          <w:szCs w:val="24"/>
          <w:lang w:val="en-US"/>
        </w:rPr>
      </w:pPr>
      <w:r w:rsidRPr="00F32EEE">
        <w:rPr>
          <w:sz w:val="24"/>
          <w:szCs w:val="24"/>
          <w:lang w:val="en-US"/>
        </w:rPr>
        <w:t>In the case of moderate inducers of CYP1A2 (e.g. omeprazole), concomitant use may theoretically result in a lowering of pirfenidone plasma levels.</w:t>
      </w:r>
    </w:p>
    <w:p w14:paraId="212991CB" w14:textId="77777777" w:rsidR="00F32EEE" w:rsidRPr="00F32EEE" w:rsidRDefault="00F32EEE" w:rsidP="002636B7">
      <w:pPr>
        <w:tabs>
          <w:tab w:val="left" w:pos="851"/>
        </w:tabs>
        <w:ind w:left="851"/>
        <w:rPr>
          <w:sz w:val="24"/>
          <w:szCs w:val="24"/>
          <w:lang w:val="en-US"/>
        </w:rPr>
      </w:pPr>
    </w:p>
    <w:p w14:paraId="52CAD79C" w14:textId="77777777" w:rsidR="00F32EEE" w:rsidRPr="00F32EEE" w:rsidRDefault="00F32EEE" w:rsidP="002636B7">
      <w:pPr>
        <w:tabs>
          <w:tab w:val="left" w:pos="851"/>
        </w:tabs>
        <w:ind w:left="851"/>
        <w:rPr>
          <w:sz w:val="24"/>
          <w:szCs w:val="24"/>
          <w:lang w:val="en-US"/>
        </w:rPr>
      </w:pPr>
      <w:r w:rsidRPr="00F32EEE">
        <w:rPr>
          <w:sz w:val="24"/>
          <w:szCs w:val="24"/>
          <w:lang w:val="en-US"/>
        </w:rPr>
        <w:t>Co-administration of medicinal products that act as potent inducers of both CYP1A2 and the other CYP isoenzymes involved in the metabolism of pirfenidone (e.g. rifampicin) may result in significant lowering of pirfenidone plasma levels. These medicinal products should be avoided whenever possible.</w:t>
      </w:r>
    </w:p>
    <w:p w14:paraId="036BF26D" w14:textId="77777777" w:rsidR="007C5D2A" w:rsidRPr="00303008" w:rsidRDefault="007C5D2A" w:rsidP="002636B7">
      <w:pPr>
        <w:tabs>
          <w:tab w:val="left" w:pos="851"/>
        </w:tabs>
        <w:ind w:left="851"/>
        <w:rPr>
          <w:sz w:val="24"/>
          <w:szCs w:val="24"/>
          <w:lang w:val="en-GB"/>
        </w:rPr>
      </w:pPr>
    </w:p>
    <w:p w14:paraId="5F3FE895" w14:textId="77777777" w:rsidR="007C5D2A" w:rsidRPr="00303008" w:rsidRDefault="007C5D2A" w:rsidP="002636B7">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146F67E8" w14:textId="77777777" w:rsidR="00C7145F" w:rsidRPr="00C7145F" w:rsidRDefault="00C7145F" w:rsidP="002636B7">
      <w:pPr>
        <w:tabs>
          <w:tab w:val="left" w:pos="851"/>
        </w:tabs>
        <w:ind w:left="851"/>
        <w:rPr>
          <w:sz w:val="24"/>
          <w:szCs w:val="24"/>
          <w:lang w:val="en-GB"/>
        </w:rPr>
      </w:pPr>
    </w:p>
    <w:p w14:paraId="10F1E888" w14:textId="77777777" w:rsidR="00C7145F" w:rsidRPr="00C7145F" w:rsidRDefault="00C7145F" w:rsidP="002636B7">
      <w:pPr>
        <w:tabs>
          <w:tab w:val="left" w:pos="851"/>
        </w:tabs>
        <w:ind w:left="851"/>
        <w:rPr>
          <w:sz w:val="24"/>
          <w:szCs w:val="24"/>
          <w:lang w:val="en-US"/>
        </w:rPr>
      </w:pPr>
      <w:r w:rsidRPr="00C7145F">
        <w:rPr>
          <w:sz w:val="24"/>
          <w:szCs w:val="24"/>
          <w:u w:val="single"/>
          <w:lang w:val="en-US"/>
        </w:rPr>
        <w:t>Pregnancy</w:t>
      </w:r>
    </w:p>
    <w:p w14:paraId="5C14AAC6" w14:textId="77777777" w:rsidR="00C7145F" w:rsidRPr="00C7145F" w:rsidRDefault="00C7145F" w:rsidP="002636B7">
      <w:pPr>
        <w:tabs>
          <w:tab w:val="left" w:pos="851"/>
        </w:tabs>
        <w:ind w:left="851"/>
        <w:rPr>
          <w:sz w:val="24"/>
          <w:szCs w:val="24"/>
          <w:lang w:val="en-US"/>
        </w:rPr>
      </w:pPr>
      <w:r w:rsidRPr="00C7145F">
        <w:rPr>
          <w:sz w:val="24"/>
          <w:szCs w:val="24"/>
          <w:lang w:val="en-US"/>
        </w:rPr>
        <w:t>There are no data from the use of Pirfenidone in pregnant women.</w:t>
      </w:r>
    </w:p>
    <w:p w14:paraId="1FE85901" w14:textId="77777777" w:rsidR="00C7145F" w:rsidRPr="00C7145F" w:rsidRDefault="00C7145F" w:rsidP="002636B7">
      <w:pPr>
        <w:tabs>
          <w:tab w:val="left" w:pos="851"/>
        </w:tabs>
        <w:ind w:left="851"/>
        <w:rPr>
          <w:sz w:val="24"/>
          <w:szCs w:val="24"/>
          <w:lang w:val="en-US"/>
        </w:rPr>
      </w:pPr>
      <w:r w:rsidRPr="00C7145F">
        <w:rPr>
          <w:sz w:val="24"/>
          <w:szCs w:val="24"/>
          <w:lang w:val="en-US"/>
        </w:rPr>
        <w:t>In animals placental transfer of pirfenidone and/or its metabolites occurs with the potential for accumulation of pirfenidone and/or its metabolites in amniotic fluid.</w:t>
      </w:r>
    </w:p>
    <w:p w14:paraId="2FAB447F" w14:textId="77777777" w:rsidR="00C7145F" w:rsidRPr="00C7145F" w:rsidRDefault="00C7145F" w:rsidP="002636B7">
      <w:pPr>
        <w:tabs>
          <w:tab w:val="left" w:pos="851"/>
        </w:tabs>
        <w:ind w:left="851"/>
        <w:rPr>
          <w:sz w:val="24"/>
          <w:szCs w:val="24"/>
          <w:lang w:val="en-US"/>
        </w:rPr>
      </w:pPr>
    </w:p>
    <w:p w14:paraId="586F7A67" w14:textId="77777777" w:rsidR="00C7145F" w:rsidRPr="00C7145F" w:rsidRDefault="00C7145F" w:rsidP="002636B7">
      <w:pPr>
        <w:tabs>
          <w:tab w:val="left" w:pos="851"/>
        </w:tabs>
        <w:ind w:left="851"/>
        <w:rPr>
          <w:sz w:val="24"/>
          <w:szCs w:val="24"/>
          <w:lang w:val="en-US"/>
        </w:rPr>
      </w:pPr>
      <w:r w:rsidRPr="00C7145F">
        <w:rPr>
          <w:sz w:val="24"/>
          <w:szCs w:val="24"/>
          <w:lang w:val="en-US"/>
        </w:rPr>
        <w:t xml:space="preserve">At high doses (≥1,000 mg/kg/day) rats exhibited prolongation of gestation and reduction in </w:t>
      </w:r>
      <w:proofErr w:type="spellStart"/>
      <w:r w:rsidRPr="00C7145F">
        <w:rPr>
          <w:sz w:val="24"/>
          <w:szCs w:val="24"/>
          <w:lang w:val="en-US"/>
        </w:rPr>
        <w:t>foetal</w:t>
      </w:r>
      <w:proofErr w:type="spellEnd"/>
      <w:r w:rsidRPr="00C7145F">
        <w:rPr>
          <w:sz w:val="24"/>
          <w:szCs w:val="24"/>
          <w:lang w:val="en-US"/>
        </w:rPr>
        <w:t xml:space="preserve"> viability.</w:t>
      </w:r>
    </w:p>
    <w:p w14:paraId="47B79915" w14:textId="77777777" w:rsidR="00C7145F" w:rsidRPr="00C7145F" w:rsidRDefault="00C7145F" w:rsidP="002636B7">
      <w:pPr>
        <w:tabs>
          <w:tab w:val="left" w:pos="851"/>
        </w:tabs>
        <w:ind w:left="851"/>
        <w:rPr>
          <w:sz w:val="24"/>
          <w:szCs w:val="24"/>
          <w:lang w:val="en-US"/>
        </w:rPr>
      </w:pPr>
      <w:r w:rsidRPr="00C7145F">
        <w:rPr>
          <w:sz w:val="24"/>
          <w:szCs w:val="24"/>
          <w:lang w:val="en-US"/>
        </w:rPr>
        <w:t>As a precautionary measure, it is preferable to avoid the use of Pirfenidone during pregnancy.</w:t>
      </w:r>
    </w:p>
    <w:p w14:paraId="6978A866" w14:textId="77777777" w:rsidR="00C7145F" w:rsidRPr="00C7145F" w:rsidRDefault="00C7145F" w:rsidP="002636B7">
      <w:pPr>
        <w:tabs>
          <w:tab w:val="left" w:pos="851"/>
        </w:tabs>
        <w:ind w:left="851"/>
        <w:rPr>
          <w:sz w:val="24"/>
          <w:szCs w:val="24"/>
          <w:lang w:val="en-US"/>
        </w:rPr>
      </w:pPr>
    </w:p>
    <w:p w14:paraId="54E12EDD" w14:textId="77777777" w:rsidR="00C7145F" w:rsidRPr="00C7145F" w:rsidRDefault="00C7145F" w:rsidP="002636B7">
      <w:pPr>
        <w:tabs>
          <w:tab w:val="left" w:pos="851"/>
        </w:tabs>
        <w:ind w:left="851"/>
        <w:rPr>
          <w:sz w:val="24"/>
          <w:szCs w:val="24"/>
          <w:lang w:val="en-US"/>
        </w:rPr>
      </w:pPr>
      <w:r w:rsidRPr="00C7145F">
        <w:rPr>
          <w:sz w:val="24"/>
          <w:szCs w:val="24"/>
          <w:u w:val="single"/>
          <w:lang w:val="en-US"/>
        </w:rPr>
        <w:t>Breast-feeding</w:t>
      </w:r>
    </w:p>
    <w:p w14:paraId="05B937E2" w14:textId="77777777" w:rsidR="00C7145F" w:rsidRPr="00C7145F" w:rsidRDefault="00C7145F" w:rsidP="002636B7">
      <w:pPr>
        <w:tabs>
          <w:tab w:val="left" w:pos="851"/>
        </w:tabs>
        <w:ind w:left="851"/>
        <w:rPr>
          <w:sz w:val="24"/>
          <w:szCs w:val="24"/>
          <w:lang w:val="en-US"/>
        </w:rPr>
      </w:pPr>
      <w:r w:rsidRPr="00C7145F">
        <w:rPr>
          <w:sz w:val="24"/>
          <w:szCs w:val="24"/>
          <w:lang w:val="en-US"/>
        </w:rPr>
        <w:t>It is unknown whether pirfenidone or its metabolites are excreted in human milk. Available pharmacokinetic data in animals have shown excretion of pirfenidone and/or its metabolites in milk with the potential for accumulation of pirfenidone and/or its metabolites in milk (see section 5.3). A risk to the breastfed infant cannot be excluded.</w:t>
      </w:r>
    </w:p>
    <w:p w14:paraId="2DA194D2" w14:textId="77777777" w:rsidR="00C7145F" w:rsidRPr="00C7145F" w:rsidRDefault="00C7145F" w:rsidP="002636B7">
      <w:pPr>
        <w:tabs>
          <w:tab w:val="left" w:pos="851"/>
        </w:tabs>
        <w:ind w:left="851"/>
        <w:rPr>
          <w:sz w:val="24"/>
          <w:szCs w:val="24"/>
          <w:lang w:val="en-US"/>
        </w:rPr>
      </w:pPr>
    </w:p>
    <w:p w14:paraId="2AD70D37" w14:textId="77777777" w:rsidR="00C7145F" w:rsidRPr="00C7145F" w:rsidRDefault="00C7145F" w:rsidP="002636B7">
      <w:pPr>
        <w:tabs>
          <w:tab w:val="left" w:pos="851"/>
        </w:tabs>
        <w:ind w:left="851"/>
        <w:rPr>
          <w:sz w:val="24"/>
          <w:szCs w:val="24"/>
          <w:lang w:val="en-US"/>
        </w:rPr>
      </w:pPr>
      <w:r w:rsidRPr="00C7145F">
        <w:rPr>
          <w:sz w:val="24"/>
          <w:szCs w:val="24"/>
          <w:lang w:val="en-US"/>
        </w:rPr>
        <w:t xml:space="preserve">A decision must be made whether to discontinue breast-feeding or to discontinue from Pirfenidone therapy, </w:t>
      </w:r>
      <w:proofErr w:type="gramStart"/>
      <w:r w:rsidRPr="00C7145F">
        <w:rPr>
          <w:sz w:val="24"/>
          <w:szCs w:val="24"/>
          <w:lang w:val="en-US"/>
        </w:rPr>
        <w:t>taking into account</w:t>
      </w:r>
      <w:proofErr w:type="gramEnd"/>
      <w:r w:rsidRPr="00C7145F">
        <w:rPr>
          <w:sz w:val="24"/>
          <w:szCs w:val="24"/>
          <w:lang w:val="en-US"/>
        </w:rPr>
        <w:t xml:space="preserve"> the benefit of breast-feeding for the child and the benefit of Pirfenidone therapy for the mother.</w:t>
      </w:r>
    </w:p>
    <w:p w14:paraId="1722B10D" w14:textId="77777777" w:rsidR="00C7145F" w:rsidRPr="00C7145F" w:rsidRDefault="00C7145F" w:rsidP="002636B7">
      <w:pPr>
        <w:tabs>
          <w:tab w:val="left" w:pos="851"/>
        </w:tabs>
        <w:ind w:left="851"/>
        <w:rPr>
          <w:sz w:val="24"/>
          <w:szCs w:val="24"/>
          <w:lang w:val="en-US"/>
        </w:rPr>
      </w:pPr>
    </w:p>
    <w:p w14:paraId="28EF10CC" w14:textId="77777777" w:rsidR="00C7145F" w:rsidRPr="00C7145F" w:rsidRDefault="00C7145F" w:rsidP="002636B7">
      <w:pPr>
        <w:tabs>
          <w:tab w:val="left" w:pos="851"/>
        </w:tabs>
        <w:ind w:left="851"/>
        <w:rPr>
          <w:sz w:val="24"/>
          <w:szCs w:val="24"/>
          <w:lang w:val="en-US"/>
        </w:rPr>
      </w:pPr>
      <w:r w:rsidRPr="00C7145F">
        <w:rPr>
          <w:sz w:val="24"/>
          <w:szCs w:val="24"/>
          <w:u w:val="single"/>
          <w:lang w:val="en-US"/>
        </w:rPr>
        <w:t>Fertility</w:t>
      </w:r>
    </w:p>
    <w:p w14:paraId="7BB089BA" w14:textId="77777777" w:rsidR="00C7145F" w:rsidRPr="00C7145F" w:rsidRDefault="00C7145F" w:rsidP="002636B7">
      <w:pPr>
        <w:tabs>
          <w:tab w:val="left" w:pos="851"/>
        </w:tabs>
        <w:ind w:left="851"/>
        <w:rPr>
          <w:sz w:val="24"/>
          <w:szCs w:val="24"/>
          <w:lang w:val="en-US"/>
        </w:rPr>
      </w:pPr>
      <w:r w:rsidRPr="00C7145F">
        <w:rPr>
          <w:sz w:val="24"/>
          <w:szCs w:val="24"/>
          <w:lang w:val="en-US"/>
        </w:rPr>
        <w:t>No adverse effects on fertility were observed in preclinical studies (see section 5.3).</w:t>
      </w:r>
    </w:p>
    <w:p w14:paraId="412A8519" w14:textId="77777777" w:rsidR="007C5D2A" w:rsidRPr="00C7145F" w:rsidRDefault="007C5D2A" w:rsidP="002636B7">
      <w:pPr>
        <w:tabs>
          <w:tab w:val="left" w:pos="851"/>
        </w:tabs>
        <w:ind w:left="851"/>
        <w:rPr>
          <w:sz w:val="24"/>
          <w:szCs w:val="24"/>
          <w:lang w:val="en-US"/>
        </w:rPr>
      </w:pPr>
    </w:p>
    <w:p w14:paraId="1740F696" w14:textId="77777777" w:rsidR="007C5D2A" w:rsidRPr="00303008" w:rsidRDefault="007C5D2A" w:rsidP="002636B7">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2C7D1F5D" w14:textId="3771B57B" w:rsidR="00C7145F" w:rsidRDefault="00FA11F8" w:rsidP="002636B7">
      <w:pPr>
        <w:tabs>
          <w:tab w:val="left" w:pos="851"/>
        </w:tabs>
        <w:ind w:left="851"/>
        <w:rPr>
          <w:sz w:val="24"/>
          <w:szCs w:val="24"/>
          <w:lang w:val="en-US"/>
        </w:rPr>
      </w:pPr>
      <w:r>
        <w:rPr>
          <w:sz w:val="24"/>
          <w:szCs w:val="24"/>
          <w:lang w:val="en-US"/>
        </w:rPr>
        <w:t>No t</w:t>
      </w:r>
      <w:r w:rsidR="00C7145F">
        <w:rPr>
          <w:sz w:val="24"/>
          <w:szCs w:val="24"/>
          <w:lang w:val="en-US"/>
        </w:rPr>
        <w:t>raffic warning.</w:t>
      </w:r>
    </w:p>
    <w:p w14:paraId="39B11C3E" w14:textId="335DB1DC" w:rsidR="00C7145F" w:rsidRPr="00C7145F" w:rsidRDefault="00C7145F" w:rsidP="002636B7">
      <w:pPr>
        <w:tabs>
          <w:tab w:val="left" w:pos="851"/>
        </w:tabs>
        <w:ind w:left="851"/>
        <w:rPr>
          <w:sz w:val="24"/>
          <w:szCs w:val="24"/>
          <w:lang w:val="en-US"/>
        </w:rPr>
      </w:pPr>
      <w:r w:rsidRPr="00C7145F">
        <w:rPr>
          <w:sz w:val="24"/>
          <w:szCs w:val="24"/>
          <w:lang w:val="en-US"/>
        </w:rPr>
        <w:t>Pirfenidone may cause dizziness and fatigue, which could have a moderate influence on the ability to drive or use machines, therefore patients should exercise caution when driving or operating machinery if they experience these symptoms.</w:t>
      </w:r>
    </w:p>
    <w:p w14:paraId="5A953E01" w14:textId="77777777" w:rsidR="00C7145F" w:rsidRPr="00C7145F" w:rsidRDefault="00C7145F" w:rsidP="002636B7">
      <w:pPr>
        <w:tabs>
          <w:tab w:val="left" w:pos="851"/>
        </w:tabs>
        <w:ind w:left="851"/>
        <w:rPr>
          <w:sz w:val="24"/>
          <w:szCs w:val="24"/>
          <w:lang w:val="en-GB"/>
        </w:rPr>
      </w:pPr>
    </w:p>
    <w:p w14:paraId="0C171F7B" w14:textId="77777777" w:rsidR="007C5D2A" w:rsidRPr="00303008" w:rsidRDefault="007C5D2A" w:rsidP="002636B7">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66CCD71A" w14:textId="77777777" w:rsidR="00DB638A" w:rsidRDefault="00DB638A" w:rsidP="002636B7">
      <w:pPr>
        <w:ind w:left="851"/>
        <w:rPr>
          <w:sz w:val="24"/>
          <w:szCs w:val="24"/>
          <w:u w:val="single"/>
          <w:lang w:val="en-US"/>
        </w:rPr>
      </w:pPr>
    </w:p>
    <w:p w14:paraId="05E28EFA" w14:textId="2BE762FA" w:rsidR="00DB638A" w:rsidRPr="00DB638A" w:rsidRDefault="00DB638A" w:rsidP="002636B7">
      <w:pPr>
        <w:ind w:left="851"/>
        <w:rPr>
          <w:sz w:val="24"/>
          <w:szCs w:val="24"/>
          <w:u w:val="single"/>
          <w:lang w:val="en-US"/>
        </w:rPr>
      </w:pPr>
      <w:r w:rsidRPr="00DB638A">
        <w:rPr>
          <w:sz w:val="24"/>
          <w:szCs w:val="24"/>
          <w:u w:val="single"/>
          <w:lang w:val="en-US"/>
        </w:rPr>
        <w:t>Summary of the safety profile</w:t>
      </w:r>
    </w:p>
    <w:p w14:paraId="5F93BE59" w14:textId="77777777" w:rsidR="00DB638A" w:rsidRPr="00DB638A" w:rsidRDefault="00DB638A" w:rsidP="002636B7">
      <w:pPr>
        <w:ind w:left="851"/>
        <w:rPr>
          <w:sz w:val="24"/>
          <w:szCs w:val="24"/>
          <w:lang w:val="en-US"/>
        </w:rPr>
      </w:pPr>
      <w:r w:rsidRPr="00DB638A">
        <w:rPr>
          <w:sz w:val="24"/>
          <w:szCs w:val="24"/>
          <w:lang w:val="en-US"/>
        </w:rPr>
        <w:t xml:space="preserve">The most frequently reported adverse reactions during clinical study experience with Pirfenidone at a dose of 2,403 mg/day compared to placebo, respectively, were nausea (32.4% versus 12.2%), rash (26.2% versus 7.7%), </w:t>
      </w:r>
      <w:proofErr w:type="spellStart"/>
      <w:r w:rsidRPr="00DB638A">
        <w:rPr>
          <w:sz w:val="24"/>
          <w:szCs w:val="24"/>
          <w:lang w:val="en-US"/>
        </w:rPr>
        <w:t>diarrhoea</w:t>
      </w:r>
      <w:proofErr w:type="spellEnd"/>
      <w:r w:rsidRPr="00DB638A">
        <w:rPr>
          <w:sz w:val="24"/>
          <w:szCs w:val="24"/>
          <w:lang w:val="en-US"/>
        </w:rPr>
        <w:t xml:space="preserve"> (18.8% versus 14.4%), fatigue (18.5% versus 10.4%), dyspepsia (16.1% versus 5.0%), decreased appetite (20.7%% versus 8.0%), headache (10.1% versus 7.7%), and photosensitivity reaction (9.3% versus 1.1%).</w:t>
      </w:r>
    </w:p>
    <w:p w14:paraId="41FA38A5" w14:textId="77777777" w:rsidR="00DB638A" w:rsidRPr="00DB638A" w:rsidRDefault="00DB638A" w:rsidP="002636B7">
      <w:pPr>
        <w:pStyle w:val="Brdtekst"/>
        <w:ind w:left="851"/>
        <w:rPr>
          <w:sz w:val="24"/>
          <w:szCs w:val="24"/>
        </w:rPr>
      </w:pPr>
    </w:p>
    <w:p w14:paraId="375BE364" w14:textId="77777777" w:rsidR="00DB638A" w:rsidRPr="00DB638A" w:rsidRDefault="00DB638A" w:rsidP="002636B7">
      <w:pPr>
        <w:ind w:left="851"/>
        <w:rPr>
          <w:sz w:val="24"/>
          <w:szCs w:val="24"/>
          <w:u w:val="single"/>
          <w:lang w:val="en-US"/>
        </w:rPr>
      </w:pPr>
      <w:r w:rsidRPr="00DB638A">
        <w:rPr>
          <w:sz w:val="24"/>
          <w:szCs w:val="24"/>
          <w:u w:val="single"/>
          <w:lang w:val="en-US"/>
        </w:rPr>
        <w:t>Tabulated list of adverse reactions</w:t>
      </w:r>
    </w:p>
    <w:p w14:paraId="5B2F37D0" w14:textId="77777777" w:rsidR="00DB638A" w:rsidRPr="00DB638A" w:rsidRDefault="00DB638A" w:rsidP="002636B7">
      <w:pPr>
        <w:ind w:left="851"/>
        <w:rPr>
          <w:sz w:val="24"/>
          <w:szCs w:val="24"/>
          <w:lang w:val="en-US"/>
        </w:rPr>
      </w:pPr>
      <w:r w:rsidRPr="00DB638A">
        <w:rPr>
          <w:sz w:val="24"/>
          <w:szCs w:val="24"/>
          <w:lang w:val="en-US"/>
        </w:rPr>
        <w:t>The safety of Pirfenidone has been evaluated in clinical studies including 1,650 volunteers and patients. More than 170 patients have been investigated in open studies for more than five years and some for up to 10 years.</w:t>
      </w:r>
    </w:p>
    <w:p w14:paraId="3D7D0127" w14:textId="77777777" w:rsidR="00DB638A" w:rsidRPr="00DB638A" w:rsidRDefault="00DB638A" w:rsidP="002636B7">
      <w:pPr>
        <w:ind w:left="851"/>
        <w:rPr>
          <w:sz w:val="24"/>
          <w:szCs w:val="24"/>
          <w:lang w:val="en-US"/>
        </w:rPr>
      </w:pPr>
    </w:p>
    <w:p w14:paraId="7FA1FFCB" w14:textId="77777777" w:rsidR="00DB638A" w:rsidRPr="00DB638A" w:rsidRDefault="00DB638A" w:rsidP="002636B7">
      <w:pPr>
        <w:ind w:left="851"/>
        <w:rPr>
          <w:sz w:val="24"/>
          <w:szCs w:val="24"/>
          <w:lang w:val="en-US"/>
        </w:rPr>
      </w:pPr>
      <w:r w:rsidRPr="00DB638A">
        <w:rPr>
          <w:sz w:val="24"/>
          <w:szCs w:val="24"/>
          <w:lang w:val="en-US"/>
        </w:rPr>
        <w:t>Table 1 shows the adverse reactions reported at a frequency of ≥2% in 623 patients receiving Pirfenidone at the recommended dose of 2,403 mg/day in three pooled pivotal Phase 3 studies. Adverse reactions from post-marketing experience are also listed in Table 1. Adverse reactions are listed by System Organ Class (SOC) and within each frequency grouping [Very common (≥1/10), common (≥1/100 to &lt;1/10), uncommon (≥1/1,000 to &lt;1/100), rare (≥1/10,000 to &lt;1/1,000), not known (cannot be estimated from the available data)] the adverse reactions are presented in order of decreasing seriousness.</w:t>
      </w:r>
    </w:p>
    <w:p w14:paraId="7BCED7B6" w14:textId="3E26C834" w:rsidR="009843B7" w:rsidRDefault="009843B7">
      <w:pPr>
        <w:rPr>
          <w:sz w:val="24"/>
          <w:szCs w:val="24"/>
          <w:lang w:val="en-US" w:eastAsia="en-US"/>
        </w:rPr>
      </w:pPr>
      <w:r w:rsidRPr="00E16A1D">
        <w:rPr>
          <w:sz w:val="24"/>
          <w:szCs w:val="24"/>
          <w:lang w:val="en-US"/>
        </w:rPr>
        <w:br w:type="page"/>
      </w:r>
    </w:p>
    <w:p w14:paraId="70DB3F64" w14:textId="77777777" w:rsidR="00DB638A" w:rsidRPr="00DB638A" w:rsidRDefault="00DB638A" w:rsidP="002636B7">
      <w:pPr>
        <w:pStyle w:val="Brdtekst"/>
        <w:ind w:left="851"/>
        <w:rPr>
          <w:sz w:val="24"/>
          <w:szCs w:val="24"/>
        </w:rPr>
      </w:pPr>
    </w:p>
    <w:tbl>
      <w:tblPr>
        <w:tblW w:w="904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5"/>
        <w:gridCol w:w="7160"/>
      </w:tblGrid>
      <w:tr w:rsidR="00DB638A" w:rsidRPr="005A56F3" w14:paraId="45A7FF77"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49365D59" w14:textId="204BF9CA" w:rsidR="00DB638A" w:rsidRDefault="00DB638A" w:rsidP="009843B7">
            <w:pPr>
              <w:pStyle w:val="TableParagraph"/>
              <w:tabs>
                <w:tab w:val="left" w:pos="1231"/>
              </w:tabs>
              <w:rPr>
                <w:b/>
              </w:rPr>
            </w:pPr>
            <w:r>
              <w:rPr>
                <w:b/>
              </w:rPr>
              <w:t>Table</w:t>
            </w:r>
            <w:r>
              <w:rPr>
                <w:b/>
                <w:spacing w:val="4"/>
              </w:rPr>
              <w:t xml:space="preserve"> </w:t>
            </w:r>
            <w:r>
              <w:rPr>
                <w:b/>
              </w:rPr>
              <w:t>1</w:t>
            </w:r>
            <w:r>
              <w:rPr>
                <w:b/>
              </w:rPr>
              <w:tab/>
            </w:r>
            <w:r>
              <w:rPr>
                <w:b/>
                <w:spacing w:val="-4"/>
              </w:rPr>
              <w:t xml:space="preserve">Adverse reactions </w:t>
            </w:r>
            <w:r>
              <w:rPr>
                <w:b/>
              </w:rPr>
              <w:t xml:space="preserve">by SOC </w:t>
            </w:r>
            <w:r>
              <w:rPr>
                <w:b/>
                <w:spacing w:val="-2"/>
              </w:rPr>
              <w:t xml:space="preserve">and </w:t>
            </w:r>
            <w:r>
              <w:rPr>
                <w:b/>
              </w:rPr>
              <w:t>MedDRA</w:t>
            </w:r>
            <w:r>
              <w:rPr>
                <w:b/>
                <w:spacing w:val="35"/>
              </w:rPr>
              <w:t xml:space="preserve"> </w:t>
            </w:r>
            <w:r>
              <w:rPr>
                <w:b/>
                <w:spacing w:val="-3"/>
              </w:rPr>
              <w:t>frequency</w:t>
            </w:r>
          </w:p>
        </w:tc>
      </w:tr>
      <w:tr w:rsidR="00DB638A" w14:paraId="7C9B6B3C"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590053CB" w14:textId="77777777" w:rsidR="00DB638A" w:rsidRDefault="00DB638A" w:rsidP="009843B7">
            <w:pPr>
              <w:pStyle w:val="TableParagraph"/>
              <w:rPr>
                <w:b/>
              </w:rPr>
            </w:pPr>
            <w:r>
              <w:rPr>
                <w:b/>
              </w:rPr>
              <w:t>Infections and infestations</w:t>
            </w:r>
          </w:p>
        </w:tc>
      </w:tr>
      <w:tr w:rsidR="00DB638A" w14:paraId="7E4FE6F4"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716DCA7D"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1BFE1A9E" w14:textId="77777777" w:rsidR="00DB638A" w:rsidRDefault="00DB638A" w:rsidP="009843B7">
            <w:pPr>
              <w:pStyle w:val="TableParagraph"/>
              <w:ind w:left="107"/>
            </w:pPr>
            <w:r>
              <w:t>Upper respiratory tract infection</w:t>
            </w:r>
          </w:p>
        </w:tc>
      </w:tr>
      <w:tr w:rsidR="00DB638A" w14:paraId="6D05100E"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5A5C0A63"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18075999" w14:textId="77777777" w:rsidR="00DB638A" w:rsidRDefault="00DB638A" w:rsidP="009843B7">
            <w:pPr>
              <w:pStyle w:val="TableParagraph"/>
              <w:ind w:left="107"/>
            </w:pPr>
            <w:r>
              <w:t>Urinary</w:t>
            </w:r>
            <w:r>
              <w:rPr>
                <w:spacing w:val="-4"/>
              </w:rPr>
              <w:t xml:space="preserve"> </w:t>
            </w:r>
            <w:r>
              <w:t>tract</w:t>
            </w:r>
            <w:r>
              <w:rPr>
                <w:spacing w:val="-2"/>
              </w:rPr>
              <w:t xml:space="preserve"> </w:t>
            </w:r>
            <w:r>
              <w:t>infection</w:t>
            </w:r>
          </w:p>
        </w:tc>
      </w:tr>
      <w:tr w:rsidR="00DB638A" w:rsidRPr="005A56F3" w14:paraId="720559C9"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7645E23E" w14:textId="77777777" w:rsidR="00DB638A" w:rsidRDefault="00DB638A" w:rsidP="009843B7">
            <w:pPr>
              <w:pStyle w:val="TableParagraph"/>
              <w:rPr>
                <w:b/>
              </w:rPr>
            </w:pPr>
            <w:r>
              <w:rPr>
                <w:b/>
              </w:rPr>
              <w:t>Blood and lymphatic system disorders</w:t>
            </w:r>
          </w:p>
        </w:tc>
      </w:tr>
      <w:tr w:rsidR="00DB638A" w14:paraId="110B0F65"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52525833" w14:textId="77777777" w:rsidR="00DB638A" w:rsidRDefault="00DB638A" w:rsidP="009843B7">
            <w:pPr>
              <w:pStyle w:val="TableParagraph"/>
            </w:pPr>
            <w:r>
              <w:t>Uncommon</w:t>
            </w:r>
          </w:p>
        </w:tc>
        <w:tc>
          <w:tcPr>
            <w:tcW w:w="7160" w:type="dxa"/>
            <w:tcBorders>
              <w:top w:val="single" w:sz="4" w:space="0" w:color="000000"/>
              <w:left w:val="single" w:sz="4" w:space="0" w:color="000000"/>
              <w:bottom w:val="single" w:sz="4" w:space="0" w:color="000000"/>
              <w:right w:val="single" w:sz="4" w:space="0" w:color="000000"/>
            </w:tcBorders>
            <w:hideMark/>
          </w:tcPr>
          <w:p w14:paraId="3C0E70D2" w14:textId="77777777" w:rsidR="00DB638A" w:rsidRDefault="00DB638A" w:rsidP="009843B7">
            <w:pPr>
              <w:pStyle w:val="TableParagraph"/>
              <w:ind w:left="107"/>
              <w:rPr>
                <w:sz w:val="13"/>
              </w:rPr>
            </w:pPr>
            <w:r>
              <w:t>Agranulocytosis</w:t>
            </w:r>
            <w:r>
              <w:rPr>
                <w:position w:val="9"/>
                <w:sz w:val="13"/>
              </w:rPr>
              <w:t>1</w:t>
            </w:r>
          </w:p>
        </w:tc>
      </w:tr>
      <w:tr w:rsidR="00DB638A" w14:paraId="5259CC6E"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705A46C4" w14:textId="77777777" w:rsidR="00DB638A" w:rsidRDefault="00DB638A" w:rsidP="009843B7">
            <w:pPr>
              <w:pStyle w:val="TableParagraph"/>
              <w:rPr>
                <w:b/>
              </w:rPr>
            </w:pPr>
            <w:r>
              <w:rPr>
                <w:b/>
              </w:rPr>
              <w:t>Immune system disorders</w:t>
            </w:r>
          </w:p>
        </w:tc>
      </w:tr>
      <w:tr w:rsidR="00DB638A" w14:paraId="78CC3FC6"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5A048248" w14:textId="77777777" w:rsidR="00DB638A" w:rsidRDefault="00DB638A" w:rsidP="009843B7">
            <w:pPr>
              <w:pStyle w:val="TableParagraph"/>
            </w:pPr>
            <w:r>
              <w:t>Uncommon</w:t>
            </w:r>
          </w:p>
        </w:tc>
        <w:tc>
          <w:tcPr>
            <w:tcW w:w="7160" w:type="dxa"/>
            <w:tcBorders>
              <w:top w:val="single" w:sz="4" w:space="0" w:color="000000"/>
              <w:left w:val="single" w:sz="4" w:space="0" w:color="000000"/>
              <w:bottom w:val="single" w:sz="4" w:space="0" w:color="000000"/>
              <w:right w:val="single" w:sz="4" w:space="0" w:color="000000"/>
            </w:tcBorders>
            <w:hideMark/>
          </w:tcPr>
          <w:p w14:paraId="7A06FAB1" w14:textId="77777777" w:rsidR="00DB638A" w:rsidRDefault="00DB638A" w:rsidP="009843B7">
            <w:pPr>
              <w:pStyle w:val="TableParagraph"/>
              <w:ind w:left="107"/>
              <w:rPr>
                <w:sz w:val="13"/>
              </w:rPr>
            </w:pPr>
            <w:r>
              <w:t>Angioedema</w:t>
            </w:r>
            <w:r>
              <w:rPr>
                <w:position w:val="9"/>
                <w:sz w:val="13"/>
              </w:rPr>
              <w:t>1</w:t>
            </w:r>
          </w:p>
        </w:tc>
      </w:tr>
      <w:tr w:rsidR="00DB638A" w14:paraId="038CA4F9"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4EB78949" w14:textId="77777777" w:rsidR="00DB638A" w:rsidRDefault="00DB638A" w:rsidP="009843B7">
            <w:pPr>
              <w:pStyle w:val="TableParagraph"/>
            </w:pPr>
            <w:r>
              <w:t>Not known</w:t>
            </w:r>
          </w:p>
        </w:tc>
        <w:tc>
          <w:tcPr>
            <w:tcW w:w="7160" w:type="dxa"/>
            <w:tcBorders>
              <w:top w:val="single" w:sz="4" w:space="0" w:color="000000"/>
              <w:left w:val="single" w:sz="4" w:space="0" w:color="000000"/>
              <w:bottom w:val="single" w:sz="4" w:space="0" w:color="000000"/>
              <w:right w:val="single" w:sz="4" w:space="0" w:color="000000"/>
            </w:tcBorders>
            <w:hideMark/>
          </w:tcPr>
          <w:p w14:paraId="721AA72F" w14:textId="77777777" w:rsidR="00DB638A" w:rsidRDefault="00DB638A" w:rsidP="009843B7">
            <w:pPr>
              <w:pStyle w:val="TableParagraph"/>
              <w:ind w:left="107"/>
              <w:rPr>
                <w:sz w:val="13"/>
              </w:rPr>
            </w:pPr>
            <w:r>
              <w:t>Anaphylaxis</w:t>
            </w:r>
            <w:r>
              <w:rPr>
                <w:position w:val="9"/>
                <w:sz w:val="13"/>
              </w:rPr>
              <w:t>1</w:t>
            </w:r>
          </w:p>
        </w:tc>
      </w:tr>
      <w:tr w:rsidR="00DB638A" w14:paraId="625188E0"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45A19157" w14:textId="77777777" w:rsidR="00DB638A" w:rsidRDefault="00DB638A" w:rsidP="009843B7">
            <w:pPr>
              <w:pStyle w:val="TableParagraph"/>
              <w:rPr>
                <w:b/>
              </w:rPr>
            </w:pPr>
            <w:r>
              <w:rPr>
                <w:b/>
              </w:rPr>
              <w:t>Metabolism and nutrition disorders</w:t>
            </w:r>
          </w:p>
        </w:tc>
      </w:tr>
      <w:tr w:rsidR="00DB638A" w14:paraId="1378795A"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6CFCE425"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3CC9596D" w14:textId="77777777" w:rsidR="00DB638A" w:rsidRDefault="00DB638A" w:rsidP="009843B7">
            <w:pPr>
              <w:pStyle w:val="TableParagraph"/>
              <w:ind w:left="107"/>
            </w:pPr>
            <w:r>
              <w:t>Weight decreased; decreased appetite</w:t>
            </w:r>
          </w:p>
        </w:tc>
      </w:tr>
      <w:tr w:rsidR="00DB638A" w14:paraId="5F30F3C7"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0FD42181" w14:textId="77777777" w:rsidR="00DB638A" w:rsidRDefault="00DB638A" w:rsidP="009843B7">
            <w:pPr>
              <w:pStyle w:val="TableParagraph"/>
            </w:pPr>
            <w:r>
              <w:t>Uncommon</w:t>
            </w:r>
          </w:p>
        </w:tc>
        <w:tc>
          <w:tcPr>
            <w:tcW w:w="7160" w:type="dxa"/>
            <w:tcBorders>
              <w:top w:val="single" w:sz="4" w:space="0" w:color="000000"/>
              <w:left w:val="single" w:sz="4" w:space="0" w:color="000000"/>
              <w:bottom w:val="single" w:sz="4" w:space="0" w:color="000000"/>
              <w:right w:val="single" w:sz="4" w:space="0" w:color="000000"/>
            </w:tcBorders>
            <w:hideMark/>
          </w:tcPr>
          <w:p w14:paraId="581600FE" w14:textId="77777777" w:rsidR="00DB638A" w:rsidRDefault="00DB638A" w:rsidP="009843B7">
            <w:pPr>
              <w:pStyle w:val="TableParagraph"/>
              <w:ind w:left="107"/>
              <w:rPr>
                <w:sz w:val="13"/>
              </w:rPr>
            </w:pPr>
            <w:proofErr w:type="spellStart"/>
            <w:r>
              <w:t>Hyponatraemia</w:t>
            </w:r>
            <w:proofErr w:type="spellEnd"/>
            <w:r>
              <w:rPr>
                <w:position w:val="9"/>
                <w:sz w:val="13"/>
              </w:rPr>
              <w:t>1</w:t>
            </w:r>
          </w:p>
        </w:tc>
      </w:tr>
      <w:tr w:rsidR="00DB638A" w14:paraId="7E322289"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7404FB85" w14:textId="77777777" w:rsidR="00DB638A" w:rsidRDefault="00DB638A" w:rsidP="009843B7">
            <w:pPr>
              <w:pStyle w:val="TableParagraph"/>
              <w:rPr>
                <w:b/>
              </w:rPr>
            </w:pPr>
            <w:r>
              <w:rPr>
                <w:b/>
              </w:rPr>
              <w:t>Psychiatric disorders</w:t>
            </w:r>
          </w:p>
        </w:tc>
      </w:tr>
      <w:tr w:rsidR="00DB638A" w14:paraId="3E5F6870"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6463E079"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66A761CA" w14:textId="77777777" w:rsidR="00DB638A" w:rsidRDefault="00DB638A" w:rsidP="009843B7">
            <w:pPr>
              <w:pStyle w:val="TableParagraph"/>
              <w:ind w:left="107"/>
            </w:pPr>
            <w:r>
              <w:t>Insomnia</w:t>
            </w:r>
          </w:p>
        </w:tc>
      </w:tr>
      <w:tr w:rsidR="00DB638A" w14:paraId="582676CE"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6D36534C" w14:textId="77777777" w:rsidR="00DB638A" w:rsidRDefault="00DB638A" w:rsidP="009843B7">
            <w:pPr>
              <w:pStyle w:val="TableParagraph"/>
              <w:rPr>
                <w:b/>
              </w:rPr>
            </w:pPr>
            <w:r>
              <w:rPr>
                <w:b/>
              </w:rPr>
              <w:t>Nervous system disorders</w:t>
            </w:r>
          </w:p>
        </w:tc>
      </w:tr>
      <w:tr w:rsidR="00DB638A" w14:paraId="6438CB86"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56A8A1C3"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1E52A962" w14:textId="77777777" w:rsidR="00DB638A" w:rsidRDefault="00DB638A" w:rsidP="009843B7">
            <w:pPr>
              <w:pStyle w:val="TableParagraph"/>
              <w:ind w:left="107"/>
            </w:pPr>
            <w:r>
              <w:t>Headache; dizziness</w:t>
            </w:r>
          </w:p>
        </w:tc>
      </w:tr>
      <w:tr w:rsidR="00DB638A" w14:paraId="17CB2D65"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71E4B2FC"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6DB36F8C" w14:textId="77777777" w:rsidR="00DB638A" w:rsidRDefault="00DB638A" w:rsidP="009843B7">
            <w:pPr>
              <w:pStyle w:val="TableParagraph"/>
              <w:ind w:left="107"/>
            </w:pPr>
            <w:r>
              <w:t>Somnolence; dysgeusia; lethargy</w:t>
            </w:r>
          </w:p>
        </w:tc>
      </w:tr>
      <w:tr w:rsidR="00DB638A" w14:paraId="5B1D2EFA"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689945F1" w14:textId="77777777" w:rsidR="00DB638A" w:rsidRDefault="00DB638A" w:rsidP="009843B7">
            <w:pPr>
              <w:pStyle w:val="TableParagraph"/>
              <w:rPr>
                <w:b/>
              </w:rPr>
            </w:pPr>
            <w:r>
              <w:rPr>
                <w:b/>
              </w:rPr>
              <w:t>Vascular disorders</w:t>
            </w:r>
          </w:p>
        </w:tc>
      </w:tr>
      <w:tr w:rsidR="00DB638A" w14:paraId="093DDDFB"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09A01367"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5D14FD14" w14:textId="77777777" w:rsidR="00DB638A" w:rsidRDefault="00DB638A" w:rsidP="009843B7">
            <w:pPr>
              <w:pStyle w:val="TableParagraph"/>
              <w:ind w:left="107"/>
            </w:pPr>
            <w:r>
              <w:t>Hot flush</w:t>
            </w:r>
          </w:p>
        </w:tc>
      </w:tr>
      <w:tr w:rsidR="00DB638A" w:rsidRPr="005A56F3" w14:paraId="4716C266"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2579A760" w14:textId="77777777" w:rsidR="00DB638A" w:rsidRDefault="00DB638A" w:rsidP="009843B7">
            <w:pPr>
              <w:pStyle w:val="TableParagraph"/>
              <w:rPr>
                <w:b/>
              </w:rPr>
            </w:pPr>
            <w:r>
              <w:rPr>
                <w:b/>
              </w:rPr>
              <w:t>Respiratory, thoracic and mediastinal disorders</w:t>
            </w:r>
          </w:p>
        </w:tc>
      </w:tr>
      <w:tr w:rsidR="00DB638A" w14:paraId="4407B532"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4F2CA98E"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7F719901" w14:textId="77777777" w:rsidR="00DB638A" w:rsidRDefault="00DB638A" w:rsidP="009843B7">
            <w:pPr>
              <w:pStyle w:val="TableParagraph"/>
              <w:ind w:left="107"/>
            </w:pPr>
            <w:proofErr w:type="spellStart"/>
            <w:r>
              <w:t>Dyspnoea</w:t>
            </w:r>
            <w:proofErr w:type="spellEnd"/>
            <w:r>
              <w:t>; cough</w:t>
            </w:r>
          </w:p>
        </w:tc>
      </w:tr>
      <w:tr w:rsidR="00DB638A" w14:paraId="5D966020"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76BF267D"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1E3475C2" w14:textId="77777777" w:rsidR="00DB638A" w:rsidRDefault="00DB638A" w:rsidP="009843B7">
            <w:pPr>
              <w:pStyle w:val="TableParagraph"/>
              <w:ind w:left="107"/>
            </w:pPr>
            <w:r>
              <w:t>Productive cough</w:t>
            </w:r>
          </w:p>
        </w:tc>
      </w:tr>
      <w:tr w:rsidR="00DB638A" w14:paraId="33AB61B7"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6CF2A4DB" w14:textId="77777777" w:rsidR="00DB638A" w:rsidRDefault="00DB638A" w:rsidP="009843B7">
            <w:pPr>
              <w:pStyle w:val="TableParagraph"/>
              <w:rPr>
                <w:b/>
              </w:rPr>
            </w:pPr>
            <w:r>
              <w:rPr>
                <w:b/>
              </w:rPr>
              <w:t>Gastrointestinal disorders</w:t>
            </w:r>
          </w:p>
        </w:tc>
      </w:tr>
      <w:tr w:rsidR="00DB638A" w:rsidRPr="005A56F3" w14:paraId="7FED0F59"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50D08292"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6A2DF3C0" w14:textId="77777777" w:rsidR="00DB638A" w:rsidRDefault="00DB638A" w:rsidP="009843B7">
            <w:pPr>
              <w:pStyle w:val="TableParagraph"/>
              <w:ind w:left="107"/>
            </w:pPr>
            <w:r>
              <w:t xml:space="preserve">Dyspepsia; nausea; </w:t>
            </w:r>
            <w:proofErr w:type="spellStart"/>
            <w:r>
              <w:t>diarrhoea</w:t>
            </w:r>
            <w:proofErr w:type="spellEnd"/>
            <w:r>
              <w:t>; gastroesophageal reflux disease; vomiting; constipation</w:t>
            </w:r>
          </w:p>
        </w:tc>
      </w:tr>
      <w:tr w:rsidR="00DB638A" w:rsidRPr="005A56F3" w14:paraId="0E98E299"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4472BA2D"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005D191B" w14:textId="1DBA8683" w:rsidR="00DB638A" w:rsidRDefault="00DB638A" w:rsidP="009843B7">
            <w:pPr>
              <w:pStyle w:val="TableParagraph"/>
              <w:ind w:left="107"/>
            </w:pPr>
            <w:r>
              <w:t>Abdominal distension; abdominal discomfort; abdominal pain; abdominal pain upper; stomach discomfort; gastritis; flatulence</w:t>
            </w:r>
          </w:p>
        </w:tc>
      </w:tr>
      <w:tr w:rsidR="00DB638A" w14:paraId="368D2EAD"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1A39CD7F" w14:textId="77777777" w:rsidR="00DB638A" w:rsidRDefault="00DB638A" w:rsidP="009843B7">
            <w:pPr>
              <w:pStyle w:val="TableParagraph"/>
              <w:rPr>
                <w:b/>
              </w:rPr>
            </w:pPr>
            <w:r>
              <w:rPr>
                <w:b/>
              </w:rPr>
              <w:t>Hepatobiliary disorders</w:t>
            </w:r>
          </w:p>
        </w:tc>
      </w:tr>
      <w:tr w:rsidR="00DB638A" w:rsidRPr="005A56F3" w14:paraId="4C11CE91"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61446EF4"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19617D54" w14:textId="77777777" w:rsidR="00DB638A" w:rsidRDefault="00DB638A" w:rsidP="009843B7">
            <w:pPr>
              <w:pStyle w:val="TableParagraph"/>
              <w:ind w:left="107"/>
            </w:pPr>
            <w:r>
              <w:t>ALT increased; AST increased; gamma glutamyl transferase increased</w:t>
            </w:r>
          </w:p>
        </w:tc>
      </w:tr>
      <w:tr w:rsidR="00DB638A" w:rsidRPr="005A56F3" w14:paraId="5369752E"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622E5C5A" w14:textId="77777777" w:rsidR="00DB638A" w:rsidRDefault="00DB638A" w:rsidP="009843B7">
            <w:pPr>
              <w:pStyle w:val="TableParagraph"/>
            </w:pPr>
            <w:r>
              <w:t>Uncommon</w:t>
            </w:r>
          </w:p>
        </w:tc>
        <w:tc>
          <w:tcPr>
            <w:tcW w:w="7160" w:type="dxa"/>
            <w:tcBorders>
              <w:top w:val="single" w:sz="4" w:space="0" w:color="000000"/>
              <w:left w:val="single" w:sz="4" w:space="0" w:color="000000"/>
              <w:bottom w:val="single" w:sz="4" w:space="0" w:color="000000"/>
              <w:right w:val="single" w:sz="4" w:space="0" w:color="000000"/>
            </w:tcBorders>
            <w:hideMark/>
          </w:tcPr>
          <w:p w14:paraId="2799D412" w14:textId="77777777" w:rsidR="00DB638A" w:rsidRDefault="00DB638A" w:rsidP="009843B7">
            <w:pPr>
              <w:pStyle w:val="TableParagraph"/>
              <w:ind w:left="107"/>
              <w:rPr>
                <w:sz w:val="13"/>
              </w:rPr>
            </w:pPr>
            <w:r>
              <w:t>Total serum bilirubin increased in combination with increases of ALT and AST</w:t>
            </w:r>
            <w:r>
              <w:rPr>
                <w:position w:val="9"/>
                <w:sz w:val="13"/>
              </w:rPr>
              <w:t>1</w:t>
            </w:r>
            <w:r>
              <w:t>; Drug-induced liver injury</w:t>
            </w:r>
            <w:r>
              <w:rPr>
                <w:position w:val="9"/>
                <w:sz w:val="13"/>
              </w:rPr>
              <w:t>2</w:t>
            </w:r>
          </w:p>
        </w:tc>
      </w:tr>
      <w:tr w:rsidR="00DB638A" w:rsidRPr="005A56F3" w14:paraId="02D55FBA"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0FC139DC" w14:textId="77777777" w:rsidR="00DB638A" w:rsidRDefault="00DB638A" w:rsidP="009843B7">
            <w:pPr>
              <w:pStyle w:val="TableParagraph"/>
              <w:rPr>
                <w:b/>
              </w:rPr>
            </w:pPr>
            <w:r>
              <w:rPr>
                <w:b/>
              </w:rPr>
              <w:t>Skin and subcutaneous tissue disorders</w:t>
            </w:r>
          </w:p>
        </w:tc>
      </w:tr>
      <w:tr w:rsidR="00DB638A" w14:paraId="360B12C5"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4EC61BE4"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2128D1F3" w14:textId="77777777" w:rsidR="00DB638A" w:rsidRDefault="00DB638A" w:rsidP="009843B7">
            <w:pPr>
              <w:pStyle w:val="TableParagraph"/>
              <w:ind w:left="107"/>
            </w:pPr>
            <w:r>
              <w:t>Rash</w:t>
            </w:r>
          </w:p>
        </w:tc>
      </w:tr>
      <w:tr w:rsidR="00DB638A" w:rsidRPr="005A56F3" w14:paraId="4EC3BF11"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61DBF1F2"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4DDDBDB6" w14:textId="77777777" w:rsidR="00DB638A" w:rsidRDefault="00DB638A" w:rsidP="009843B7">
            <w:pPr>
              <w:pStyle w:val="TableParagraph"/>
              <w:ind w:left="107"/>
            </w:pPr>
            <w:r>
              <w:t>Photosensitivity reaction; pruritus; erythema; dry skin; rash erythematous; rash macular; rash pruritic</w:t>
            </w:r>
          </w:p>
        </w:tc>
      </w:tr>
      <w:tr w:rsidR="00DB638A" w:rsidRPr="005A56F3" w14:paraId="3F95359F"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4685C1BF" w14:textId="77777777" w:rsidR="00DB638A" w:rsidRDefault="00DB638A" w:rsidP="009843B7">
            <w:pPr>
              <w:pStyle w:val="TableParagraph"/>
            </w:pPr>
            <w:r>
              <w:t>Not</w:t>
            </w:r>
            <w:r>
              <w:rPr>
                <w:spacing w:val="-1"/>
              </w:rPr>
              <w:t xml:space="preserve"> </w:t>
            </w:r>
            <w:r>
              <w:t>Known</w:t>
            </w:r>
          </w:p>
        </w:tc>
        <w:tc>
          <w:tcPr>
            <w:tcW w:w="7160" w:type="dxa"/>
            <w:tcBorders>
              <w:top w:val="single" w:sz="4" w:space="0" w:color="000000"/>
              <w:left w:val="single" w:sz="4" w:space="0" w:color="000000"/>
              <w:bottom w:val="single" w:sz="4" w:space="0" w:color="000000"/>
              <w:right w:val="single" w:sz="4" w:space="0" w:color="000000"/>
            </w:tcBorders>
            <w:hideMark/>
          </w:tcPr>
          <w:p w14:paraId="14669CAC" w14:textId="4052E250" w:rsidR="00DB638A" w:rsidRDefault="00DB638A" w:rsidP="009843B7">
            <w:pPr>
              <w:pStyle w:val="TableParagraph"/>
              <w:ind w:left="107"/>
            </w:pPr>
            <w:r>
              <w:t>Stevens-Johnson</w:t>
            </w:r>
            <w:r>
              <w:rPr>
                <w:spacing w:val="-4"/>
              </w:rPr>
              <w:t xml:space="preserve"> </w:t>
            </w:r>
            <w:r>
              <w:t>syndrome</w:t>
            </w:r>
            <w:r>
              <w:rPr>
                <w:vertAlign w:val="superscript"/>
              </w:rPr>
              <w:t>1</w:t>
            </w:r>
            <w:r>
              <w:t>;</w:t>
            </w:r>
            <w:r>
              <w:rPr>
                <w:spacing w:val="-2"/>
              </w:rPr>
              <w:t xml:space="preserve"> </w:t>
            </w:r>
            <w:r>
              <w:t>toxic</w:t>
            </w:r>
            <w:r>
              <w:rPr>
                <w:spacing w:val="-4"/>
              </w:rPr>
              <w:t xml:space="preserve"> </w:t>
            </w:r>
            <w:r>
              <w:t>epidermal</w:t>
            </w:r>
            <w:r>
              <w:rPr>
                <w:spacing w:val="-3"/>
              </w:rPr>
              <w:t xml:space="preserve"> </w:t>
            </w:r>
            <w:r>
              <w:t>necrolysis</w:t>
            </w:r>
            <w:r>
              <w:rPr>
                <w:vertAlign w:val="superscript"/>
              </w:rPr>
              <w:t>1</w:t>
            </w:r>
            <w:r w:rsidR="00A6538F">
              <w:t>; drug reaction with eosinophilia and systemic symptoms (DRESS)</w:t>
            </w:r>
            <w:r w:rsidR="00A6538F">
              <w:rPr>
                <w:vertAlign w:val="superscript"/>
              </w:rPr>
              <w:t>1</w:t>
            </w:r>
          </w:p>
        </w:tc>
      </w:tr>
      <w:tr w:rsidR="00DB638A" w:rsidRPr="005A56F3" w14:paraId="06FC6C2D"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5A36E502" w14:textId="77777777" w:rsidR="00DB638A" w:rsidRDefault="00DB638A" w:rsidP="009843B7">
            <w:pPr>
              <w:pStyle w:val="TableParagraph"/>
              <w:rPr>
                <w:b/>
              </w:rPr>
            </w:pPr>
            <w:r>
              <w:rPr>
                <w:b/>
              </w:rPr>
              <w:t>Musculoskeletal and connective tissue disorders</w:t>
            </w:r>
          </w:p>
        </w:tc>
      </w:tr>
      <w:tr w:rsidR="00DB638A" w14:paraId="21016132"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1CCEA3C9"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3E6E1AA7" w14:textId="77777777" w:rsidR="00DB638A" w:rsidRDefault="00DB638A" w:rsidP="009843B7">
            <w:pPr>
              <w:pStyle w:val="TableParagraph"/>
              <w:ind w:left="107"/>
            </w:pPr>
            <w:r>
              <w:t>Arthralgia</w:t>
            </w:r>
          </w:p>
        </w:tc>
      </w:tr>
      <w:tr w:rsidR="00DB638A" w14:paraId="233CCFE2"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4CFA7D8D"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40AF6184" w14:textId="77777777" w:rsidR="00DB638A" w:rsidRDefault="00DB638A" w:rsidP="009843B7">
            <w:pPr>
              <w:pStyle w:val="TableParagraph"/>
              <w:ind w:left="107"/>
            </w:pPr>
            <w:r>
              <w:t>Myalgia</w:t>
            </w:r>
          </w:p>
        </w:tc>
      </w:tr>
      <w:tr w:rsidR="00DB638A" w:rsidRPr="005A56F3" w14:paraId="68D40904"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6EFFDD27" w14:textId="77777777" w:rsidR="00DB638A" w:rsidRDefault="00DB638A" w:rsidP="009843B7">
            <w:pPr>
              <w:pStyle w:val="TableParagraph"/>
              <w:rPr>
                <w:b/>
              </w:rPr>
            </w:pPr>
            <w:r>
              <w:rPr>
                <w:b/>
              </w:rPr>
              <w:t>General disorders and administration site conditions</w:t>
            </w:r>
          </w:p>
        </w:tc>
      </w:tr>
      <w:tr w:rsidR="00DB638A" w14:paraId="3E5C1C57"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296AD55E" w14:textId="77777777" w:rsidR="00DB638A" w:rsidRDefault="00DB638A" w:rsidP="009843B7">
            <w:pPr>
              <w:pStyle w:val="TableParagraph"/>
            </w:pPr>
            <w:r>
              <w:t>Very Common</w:t>
            </w:r>
          </w:p>
        </w:tc>
        <w:tc>
          <w:tcPr>
            <w:tcW w:w="7160" w:type="dxa"/>
            <w:tcBorders>
              <w:top w:val="single" w:sz="4" w:space="0" w:color="000000"/>
              <w:left w:val="single" w:sz="4" w:space="0" w:color="000000"/>
              <w:bottom w:val="single" w:sz="4" w:space="0" w:color="000000"/>
              <w:right w:val="single" w:sz="4" w:space="0" w:color="000000"/>
            </w:tcBorders>
            <w:hideMark/>
          </w:tcPr>
          <w:p w14:paraId="028834BE" w14:textId="77777777" w:rsidR="00DB638A" w:rsidRDefault="00DB638A" w:rsidP="009843B7">
            <w:pPr>
              <w:pStyle w:val="TableParagraph"/>
              <w:ind w:left="107"/>
            </w:pPr>
            <w:r>
              <w:t>Fatigue</w:t>
            </w:r>
          </w:p>
        </w:tc>
      </w:tr>
      <w:tr w:rsidR="00DB638A" w:rsidRPr="005A56F3" w14:paraId="20E98696"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6EB7FBBD"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2341731B" w14:textId="77777777" w:rsidR="00DB638A" w:rsidRDefault="00DB638A" w:rsidP="009843B7">
            <w:pPr>
              <w:pStyle w:val="TableParagraph"/>
              <w:ind w:left="107"/>
            </w:pPr>
            <w:r>
              <w:t>Asthenia; non-cardiac chest pain</w:t>
            </w:r>
          </w:p>
        </w:tc>
      </w:tr>
      <w:tr w:rsidR="00DB638A" w:rsidRPr="005A56F3" w14:paraId="6BE388C0" w14:textId="77777777" w:rsidTr="009843B7">
        <w:trPr>
          <w:trHeight w:val="20"/>
        </w:trPr>
        <w:tc>
          <w:tcPr>
            <w:tcW w:w="9045" w:type="dxa"/>
            <w:gridSpan w:val="2"/>
            <w:tcBorders>
              <w:top w:val="single" w:sz="4" w:space="0" w:color="000000"/>
              <w:left w:val="single" w:sz="4" w:space="0" w:color="000000"/>
              <w:bottom w:val="single" w:sz="4" w:space="0" w:color="000000"/>
              <w:right w:val="single" w:sz="4" w:space="0" w:color="000000"/>
            </w:tcBorders>
            <w:hideMark/>
          </w:tcPr>
          <w:p w14:paraId="39DCEFAD" w14:textId="77777777" w:rsidR="00DB638A" w:rsidRDefault="00DB638A" w:rsidP="009843B7">
            <w:pPr>
              <w:pStyle w:val="TableParagraph"/>
              <w:rPr>
                <w:b/>
              </w:rPr>
            </w:pPr>
            <w:r>
              <w:rPr>
                <w:b/>
              </w:rPr>
              <w:t>Injury poisoning and procedural complications</w:t>
            </w:r>
          </w:p>
        </w:tc>
      </w:tr>
      <w:tr w:rsidR="00DB638A" w14:paraId="4461EE36" w14:textId="77777777" w:rsidTr="009843B7">
        <w:trPr>
          <w:trHeight w:val="20"/>
        </w:trPr>
        <w:tc>
          <w:tcPr>
            <w:tcW w:w="1885" w:type="dxa"/>
            <w:tcBorders>
              <w:top w:val="single" w:sz="4" w:space="0" w:color="000000"/>
              <w:left w:val="single" w:sz="4" w:space="0" w:color="000000"/>
              <w:bottom w:val="single" w:sz="4" w:space="0" w:color="000000"/>
              <w:right w:val="single" w:sz="4" w:space="0" w:color="000000"/>
            </w:tcBorders>
            <w:hideMark/>
          </w:tcPr>
          <w:p w14:paraId="130223D7" w14:textId="77777777" w:rsidR="00DB638A" w:rsidRDefault="00DB638A" w:rsidP="009843B7">
            <w:pPr>
              <w:pStyle w:val="TableParagraph"/>
            </w:pPr>
            <w:r>
              <w:t>Common</w:t>
            </w:r>
          </w:p>
        </w:tc>
        <w:tc>
          <w:tcPr>
            <w:tcW w:w="7160" w:type="dxa"/>
            <w:tcBorders>
              <w:top w:val="single" w:sz="4" w:space="0" w:color="000000"/>
              <w:left w:val="single" w:sz="4" w:space="0" w:color="000000"/>
              <w:bottom w:val="single" w:sz="4" w:space="0" w:color="000000"/>
              <w:right w:val="single" w:sz="4" w:space="0" w:color="000000"/>
            </w:tcBorders>
            <w:hideMark/>
          </w:tcPr>
          <w:p w14:paraId="5425ACC5" w14:textId="77777777" w:rsidR="00DB638A" w:rsidRDefault="00DB638A" w:rsidP="009843B7">
            <w:pPr>
              <w:pStyle w:val="TableParagraph"/>
              <w:ind w:left="107"/>
            </w:pPr>
            <w:r>
              <w:t>Sunburn</w:t>
            </w:r>
          </w:p>
        </w:tc>
      </w:tr>
    </w:tbl>
    <w:p w14:paraId="3D278996" w14:textId="77777777" w:rsidR="00A6538F" w:rsidRDefault="00A6538F" w:rsidP="00A6538F">
      <w:pPr>
        <w:pStyle w:val="Listeafsnit"/>
        <w:numPr>
          <w:ilvl w:val="0"/>
          <w:numId w:val="6"/>
        </w:numPr>
        <w:tabs>
          <w:tab w:val="left" w:pos="681"/>
        </w:tabs>
        <w:spacing w:before="17"/>
        <w:rPr>
          <w:sz w:val="20"/>
        </w:rPr>
      </w:pPr>
      <w:r>
        <w:rPr>
          <w:sz w:val="20"/>
        </w:rPr>
        <w:t>Identified through post-marketing</w:t>
      </w:r>
      <w:r>
        <w:rPr>
          <w:spacing w:val="-22"/>
          <w:sz w:val="20"/>
        </w:rPr>
        <w:t xml:space="preserve"> </w:t>
      </w:r>
      <w:r>
        <w:rPr>
          <w:sz w:val="20"/>
        </w:rPr>
        <w:t>surveillance (see section 4.4)</w:t>
      </w:r>
    </w:p>
    <w:p w14:paraId="1F476C17" w14:textId="77777777" w:rsidR="00DB638A" w:rsidRDefault="00DB638A" w:rsidP="002636B7">
      <w:pPr>
        <w:pStyle w:val="Listeafsnit"/>
        <w:numPr>
          <w:ilvl w:val="0"/>
          <w:numId w:val="6"/>
        </w:numPr>
        <w:tabs>
          <w:tab w:val="left" w:pos="680"/>
        </w:tabs>
        <w:ind w:hanging="561"/>
        <w:rPr>
          <w:sz w:val="20"/>
        </w:rPr>
      </w:pPr>
      <w:r>
        <w:rPr>
          <w:sz w:val="20"/>
        </w:rPr>
        <w:t>Cases of severe drug-induced liver injury, including reports with fatal outcome have been identified through post-marketing surveillance (see section 4.3,</w:t>
      </w:r>
      <w:r>
        <w:rPr>
          <w:spacing w:val="-19"/>
          <w:sz w:val="20"/>
        </w:rPr>
        <w:t xml:space="preserve"> </w:t>
      </w:r>
      <w:r>
        <w:rPr>
          <w:sz w:val="20"/>
        </w:rPr>
        <w:t>4.4).</w:t>
      </w:r>
    </w:p>
    <w:p w14:paraId="120A6787" w14:textId="06B3880F" w:rsidR="009843B7" w:rsidRDefault="009843B7">
      <w:pPr>
        <w:rPr>
          <w:sz w:val="24"/>
          <w:szCs w:val="24"/>
          <w:lang w:val="en-US"/>
        </w:rPr>
      </w:pPr>
    </w:p>
    <w:p w14:paraId="79F9A12B" w14:textId="77777777" w:rsidR="005A56F3" w:rsidRPr="00652FCA" w:rsidRDefault="005A56F3" w:rsidP="005A56F3">
      <w:pPr>
        <w:ind w:left="851"/>
        <w:rPr>
          <w:sz w:val="24"/>
          <w:szCs w:val="24"/>
          <w:lang w:val="en-US"/>
        </w:rPr>
      </w:pPr>
      <w:r w:rsidRPr="00652FCA">
        <w:rPr>
          <w:sz w:val="24"/>
          <w:szCs w:val="24"/>
          <w:lang w:val="en-US"/>
        </w:rPr>
        <w:t>Exposure-adjusted analyses of pooled clinical trials in IPF confirmed that the safety and tolerability profile of pirfenidone in IPF patients with advanced disease (n=366) is consistent with that established in IPF patients with non-advanced disease (n=942).</w:t>
      </w:r>
    </w:p>
    <w:p w14:paraId="2C4EDB04" w14:textId="77777777" w:rsidR="00DB638A" w:rsidRPr="00DB638A" w:rsidRDefault="00DB638A" w:rsidP="002636B7">
      <w:pPr>
        <w:pStyle w:val="Brdtekst"/>
        <w:ind w:left="851"/>
        <w:rPr>
          <w:sz w:val="24"/>
          <w:szCs w:val="24"/>
        </w:rPr>
      </w:pPr>
    </w:p>
    <w:p w14:paraId="34327039" w14:textId="77777777" w:rsidR="00DB638A" w:rsidRPr="00DB638A" w:rsidRDefault="00DB638A" w:rsidP="002636B7">
      <w:pPr>
        <w:pStyle w:val="Brdtekst"/>
        <w:ind w:left="851"/>
        <w:rPr>
          <w:sz w:val="24"/>
          <w:szCs w:val="24"/>
          <w:u w:val="single"/>
        </w:rPr>
      </w:pPr>
      <w:r w:rsidRPr="00DB638A">
        <w:rPr>
          <w:sz w:val="24"/>
          <w:szCs w:val="24"/>
          <w:u w:val="single"/>
        </w:rPr>
        <w:t>Description of selected adverse reactions</w:t>
      </w:r>
    </w:p>
    <w:p w14:paraId="0E080DCE" w14:textId="77777777" w:rsidR="00DB638A" w:rsidRPr="00DB638A" w:rsidRDefault="00DB638A" w:rsidP="002636B7">
      <w:pPr>
        <w:pStyle w:val="Brdtekst"/>
        <w:ind w:left="851"/>
        <w:rPr>
          <w:sz w:val="24"/>
          <w:szCs w:val="24"/>
        </w:rPr>
      </w:pPr>
    </w:p>
    <w:p w14:paraId="66065C2B" w14:textId="77777777" w:rsidR="00DB638A" w:rsidRPr="00DB638A" w:rsidRDefault="00DB638A" w:rsidP="002636B7">
      <w:pPr>
        <w:pStyle w:val="Brdtekst"/>
        <w:ind w:left="851"/>
        <w:rPr>
          <w:i/>
          <w:iCs/>
          <w:sz w:val="24"/>
          <w:szCs w:val="24"/>
        </w:rPr>
      </w:pPr>
      <w:r w:rsidRPr="00DB638A">
        <w:rPr>
          <w:i/>
          <w:iCs/>
          <w:sz w:val="24"/>
          <w:szCs w:val="24"/>
        </w:rPr>
        <w:t>Decreased appetite</w:t>
      </w:r>
    </w:p>
    <w:p w14:paraId="1D0AD0A3" w14:textId="77777777" w:rsidR="00DB638A" w:rsidRPr="00DB638A" w:rsidRDefault="00DB638A" w:rsidP="002636B7">
      <w:pPr>
        <w:pStyle w:val="Brdtekst"/>
        <w:ind w:left="851"/>
        <w:rPr>
          <w:sz w:val="24"/>
          <w:szCs w:val="24"/>
        </w:rPr>
      </w:pPr>
      <w:r w:rsidRPr="00DB638A">
        <w:rPr>
          <w:sz w:val="24"/>
          <w:szCs w:val="24"/>
        </w:rPr>
        <w:t>During the pivotal clinical trials, cases of decreased appetite were readily manageable and generally not associated with significant sequelae. Uncommonly, cases of decreased appetite were associated with significant weight loss and required medical intervention.</w:t>
      </w:r>
    </w:p>
    <w:p w14:paraId="42F2D016" w14:textId="77777777" w:rsidR="00DB638A" w:rsidRPr="00DB638A" w:rsidRDefault="00DB638A" w:rsidP="002636B7">
      <w:pPr>
        <w:pStyle w:val="Brdtekst"/>
        <w:ind w:left="851"/>
        <w:rPr>
          <w:sz w:val="24"/>
          <w:szCs w:val="24"/>
        </w:rPr>
      </w:pPr>
    </w:p>
    <w:p w14:paraId="7825B1C8" w14:textId="77777777" w:rsidR="00DB638A" w:rsidRPr="00DB638A" w:rsidRDefault="00DB638A" w:rsidP="002636B7">
      <w:pPr>
        <w:pStyle w:val="Brdtekst"/>
        <w:ind w:left="851"/>
        <w:rPr>
          <w:sz w:val="24"/>
          <w:szCs w:val="24"/>
        </w:rPr>
      </w:pPr>
      <w:r w:rsidRPr="00DB638A">
        <w:rPr>
          <w:sz w:val="24"/>
          <w:szCs w:val="24"/>
          <w:u w:val="single"/>
        </w:rPr>
        <w:t>Reporting of suspected adverse reactions</w:t>
      </w:r>
    </w:p>
    <w:p w14:paraId="3FFFB5BC" w14:textId="77777777" w:rsidR="000B3210" w:rsidRDefault="00DB638A" w:rsidP="002636B7">
      <w:pPr>
        <w:pStyle w:val="Brdtekst"/>
        <w:ind w:left="851"/>
        <w:rPr>
          <w:sz w:val="24"/>
          <w:szCs w:val="24"/>
        </w:rPr>
      </w:pPr>
      <w:r w:rsidRPr="00DB638A">
        <w:rPr>
          <w:sz w:val="24"/>
          <w:szCs w:val="24"/>
        </w:rPr>
        <w:t xml:space="preserve">Reporting suspected adverse reactions after </w:t>
      </w:r>
      <w:proofErr w:type="spellStart"/>
      <w:r w:rsidRPr="00DB638A">
        <w:rPr>
          <w:sz w:val="24"/>
          <w:szCs w:val="24"/>
        </w:rPr>
        <w:t>authorisation</w:t>
      </w:r>
      <w:proofErr w:type="spellEnd"/>
      <w:r w:rsidRPr="00DB638A">
        <w:rPr>
          <w:sz w:val="24"/>
          <w:szCs w:val="24"/>
        </w:rPr>
        <w:t xml:space="preserve"> of the medicinal product is important. It allows continued monitoring of the benefit/risk balance of the medicinal product. Healthcare professionals are asked to report any suspected adverse reactions </w:t>
      </w:r>
      <w:r w:rsidR="000B3210">
        <w:rPr>
          <w:sz w:val="24"/>
          <w:szCs w:val="24"/>
        </w:rPr>
        <w:t>via:</w:t>
      </w:r>
    </w:p>
    <w:p w14:paraId="2540247F" w14:textId="77777777" w:rsidR="000B3210" w:rsidRDefault="000B3210" w:rsidP="002636B7">
      <w:pPr>
        <w:pStyle w:val="Brdtekst"/>
        <w:ind w:left="851"/>
        <w:rPr>
          <w:sz w:val="24"/>
          <w:szCs w:val="24"/>
          <w:shd w:val="clear" w:color="auto" w:fill="C1C1C1"/>
        </w:rPr>
      </w:pPr>
    </w:p>
    <w:p w14:paraId="3CED252C" w14:textId="77777777" w:rsidR="000B3210" w:rsidRDefault="000B3210" w:rsidP="002636B7">
      <w:pPr>
        <w:ind w:left="851"/>
        <w:rPr>
          <w:sz w:val="24"/>
          <w:szCs w:val="24"/>
        </w:rPr>
      </w:pPr>
      <w:bookmarkStart w:id="2" w:name="_Hlk79581812"/>
      <w:r>
        <w:rPr>
          <w:sz w:val="24"/>
          <w:szCs w:val="24"/>
        </w:rPr>
        <w:t>Lægemiddelstyrelsen</w:t>
      </w:r>
    </w:p>
    <w:p w14:paraId="70B7CDC4" w14:textId="77777777" w:rsidR="000B3210" w:rsidRDefault="000B3210" w:rsidP="002636B7">
      <w:pPr>
        <w:ind w:left="851"/>
        <w:rPr>
          <w:sz w:val="24"/>
          <w:szCs w:val="24"/>
        </w:rPr>
      </w:pPr>
      <w:r>
        <w:rPr>
          <w:sz w:val="24"/>
          <w:szCs w:val="24"/>
        </w:rPr>
        <w:t>Axel Heides Gade 1</w:t>
      </w:r>
    </w:p>
    <w:p w14:paraId="565DCEAA" w14:textId="77777777" w:rsidR="000B3210" w:rsidRDefault="000B3210" w:rsidP="002636B7">
      <w:pPr>
        <w:ind w:left="851"/>
        <w:rPr>
          <w:sz w:val="24"/>
          <w:szCs w:val="24"/>
        </w:rPr>
      </w:pPr>
      <w:r>
        <w:rPr>
          <w:sz w:val="24"/>
          <w:szCs w:val="24"/>
        </w:rPr>
        <w:t>DK-2300 København S</w:t>
      </w:r>
    </w:p>
    <w:p w14:paraId="67CE3057" w14:textId="21D6465E" w:rsidR="000B3210" w:rsidRPr="00744D43" w:rsidRDefault="000B3210" w:rsidP="002636B7">
      <w:pPr>
        <w:ind w:left="851"/>
        <w:rPr>
          <w:sz w:val="24"/>
          <w:szCs w:val="24"/>
          <w:lang w:val="en-US"/>
        </w:rPr>
      </w:pPr>
      <w:r w:rsidRPr="00744D43">
        <w:rPr>
          <w:sz w:val="24"/>
          <w:szCs w:val="24"/>
          <w:lang w:val="en-US"/>
        </w:rPr>
        <w:t>Website: www.meldenbivirkning.dk</w:t>
      </w:r>
      <w:bookmarkEnd w:id="2"/>
    </w:p>
    <w:p w14:paraId="462ADF8C" w14:textId="77777777" w:rsidR="007C5D2A" w:rsidRPr="00DB638A" w:rsidRDefault="007C5D2A" w:rsidP="002636B7">
      <w:pPr>
        <w:tabs>
          <w:tab w:val="left" w:pos="851"/>
        </w:tabs>
        <w:ind w:left="851"/>
        <w:rPr>
          <w:sz w:val="24"/>
          <w:szCs w:val="24"/>
          <w:lang w:val="en-US"/>
        </w:rPr>
      </w:pPr>
    </w:p>
    <w:p w14:paraId="75CEE449" w14:textId="77777777" w:rsidR="007C5D2A" w:rsidRPr="00303008" w:rsidRDefault="007C5D2A" w:rsidP="002636B7">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5A696BE2" w14:textId="77777777" w:rsidR="00744D43" w:rsidRPr="00744D43" w:rsidRDefault="00744D43" w:rsidP="002636B7">
      <w:pPr>
        <w:tabs>
          <w:tab w:val="left" w:pos="851"/>
        </w:tabs>
        <w:ind w:left="851"/>
        <w:rPr>
          <w:sz w:val="24"/>
          <w:szCs w:val="24"/>
          <w:lang w:val="en-US"/>
        </w:rPr>
      </w:pPr>
      <w:r w:rsidRPr="00744D43">
        <w:rPr>
          <w:sz w:val="24"/>
          <w:szCs w:val="24"/>
          <w:lang w:val="en-US"/>
        </w:rPr>
        <w:t>There is limited clinical experience with overdose. Multiple doses of pirfenidone up to a total dose of 4,806 mg/day were administered as six 267 mg capsules three times daily to healthy adult volunteers over a 12-day dose escalation period. Adverse reactions were mild, transient, and consistent with the most frequently reported adverse reactions for pirfenidone.</w:t>
      </w:r>
    </w:p>
    <w:p w14:paraId="195CA9D3" w14:textId="77777777" w:rsidR="00744D43" w:rsidRPr="00744D43" w:rsidRDefault="00744D43" w:rsidP="002636B7">
      <w:pPr>
        <w:tabs>
          <w:tab w:val="left" w:pos="851"/>
        </w:tabs>
        <w:ind w:left="851"/>
        <w:rPr>
          <w:sz w:val="24"/>
          <w:szCs w:val="24"/>
          <w:lang w:val="en-US"/>
        </w:rPr>
      </w:pPr>
    </w:p>
    <w:p w14:paraId="12EBCCA3" w14:textId="77777777" w:rsidR="00744D43" w:rsidRPr="00744D43" w:rsidRDefault="00744D43" w:rsidP="002636B7">
      <w:pPr>
        <w:tabs>
          <w:tab w:val="left" w:pos="851"/>
        </w:tabs>
        <w:ind w:left="851"/>
        <w:rPr>
          <w:sz w:val="24"/>
          <w:szCs w:val="24"/>
          <w:lang w:val="en-US"/>
        </w:rPr>
      </w:pPr>
      <w:r w:rsidRPr="00744D43">
        <w:rPr>
          <w:sz w:val="24"/>
          <w:szCs w:val="24"/>
          <w:lang w:val="en-US"/>
        </w:rPr>
        <w:t>In the event of a suspected overdose, supportive medical care should be provided including monitoring of vital signs and close observation of the clinical status of the patient.</w:t>
      </w:r>
    </w:p>
    <w:p w14:paraId="563D8D32" w14:textId="77777777" w:rsidR="007C5D2A" w:rsidRPr="00744D43" w:rsidRDefault="007C5D2A" w:rsidP="002636B7">
      <w:pPr>
        <w:tabs>
          <w:tab w:val="left" w:pos="851"/>
        </w:tabs>
        <w:ind w:left="851"/>
        <w:rPr>
          <w:sz w:val="24"/>
          <w:szCs w:val="24"/>
          <w:lang w:val="en-US"/>
        </w:rPr>
      </w:pPr>
    </w:p>
    <w:p w14:paraId="125EABE8" w14:textId="77777777" w:rsidR="008F2F8C" w:rsidRPr="00303008" w:rsidRDefault="0042292D" w:rsidP="002636B7">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54F5969B" w14:textId="75A5E85C" w:rsidR="00AD2E36" w:rsidRPr="00303008" w:rsidRDefault="00993D83" w:rsidP="002636B7">
      <w:pPr>
        <w:tabs>
          <w:tab w:val="left" w:pos="851"/>
        </w:tabs>
        <w:ind w:left="851"/>
        <w:rPr>
          <w:sz w:val="24"/>
          <w:szCs w:val="24"/>
          <w:lang w:val="en-GB"/>
        </w:rPr>
      </w:pPr>
      <w:r>
        <w:rPr>
          <w:sz w:val="24"/>
          <w:szCs w:val="24"/>
          <w:lang w:val="en-GB"/>
        </w:rPr>
        <w:t>BEGR (only for hospitals)</w:t>
      </w:r>
    </w:p>
    <w:p w14:paraId="6C9FA268" w14:textId="77777777" w:rsidR="007C5D2A" w:rsidRPr="00303008" w:rsidRDefault="007C5D2A" w:rsidP="002636B7">
      <w:pPr>
        <w:tabs>
          <w:tab w:val="left" w:pos="851"/>
        </w:tabs>
        <w:ind w:left="851"/>
        <w:rPr>
          <w:sz w:val="24"/>
          <w:szCs w:val="24"/>
          <w:lang w:val="en-GB"/>
        </w:rPr>
      </w:pPr>
    </w:p>
    <w:p w14:paraId="4326516A" w14:textId="77777777" w:rsidR="00AD2E36" w:rsidRPr="00303008" w:rsidRDefault="00AD2E36" w:rsidP="002636B7">
      <w:pPr>
        <w:tabs>
          <w:tab w:val="left" w:pos="851"/>
        </w:tabs>
        <w:ind w:left="851"/>
        <w:rPr>
          <w:sz w:val="24"/>
          <w:szCs w:val="24"/>
          <w:lang w:val="en-GB"/>
        </w:rPr>
      </w:pPr>
    </w:p>
    <w:p w14:paraId="300E1D0F" w14:textId="77777777" w:rsidR="007C5D2A" w:rsidRPr="00303008" w:rsidRDefault="007C5D2A" w:rsidP="002636B7">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287DA237" w14:textId="77777777" w:rsidR="007C5D2A" w:rsidRDefault="007C5D2A" w:rsidP="002636B7">
      <w:pPr>
        <w:tabs>
          <w:tab w:val="left" w:pos="851"/>
        </w:tabs>
        <w:ind w:left="851"/>
        <w:rPr>
          <w:sz w:val="24"/>
          <w:szCs w:val="24"/>
          <w:lang w:val="en-GB"/>
        </w:rPr>
      </w:pPr>
    </w:p>
    <w:p w14:paraId="12D0BBD2" w14:textId="77777777" w:rsidR="007C5D2A" w:rsidRPr="00303008" w:rsidRDefault="007C5D2A" w:rsidP="002636B7">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3A3B7395" w14:textId="6C65578A" w:rsidR="00FA11F8" w:rsidRDefault="00FA11F8" w:rsidP="002636B7">
      <w:pPr>
        <w:tabs>
          <w:tab w:val="left" w:pos="851"/>
        </w:tabs>
        <w:ind w:left="851"/>
        <w:rPr>
          <w:sz w:val="24"/>
          <w:szCs w:val="24"/>
          <w:lang w:val="en-US"/>
        </w:rPr>
      </w:pPr>
      <w:r w:rsidRPr="00FA11F8">
        <w:rPr>
          <w:lang w:val="en-US"/>
        </w:rPr>
        <w:t xml:space="preserve">Pharmacotherapeutic group: </w:t>
      </w:r>
      <w:r w:rsidRPr="008A0726">
        <w:rPr>
          <w:sz w:val="24"/>
          <w:szCs w:val="24"/>
          <w:lang w:val="en-US"/>
        </w:rPr>
        <w:t>Immunosuppressants, other immunosuppressants</w:t>
      </w:r>
      <w:r w:rsidRPr="00FA11F8">
        <w:rPr>
          <w:sz w:val="24"/>
          <w:szCs w:val="24"/>
          <w:lang w:val="en-US"/>
        </w:rPr>
        <w:t xml:space="preserve">, </w:t>
      </w:r>
      <w:r w:rsidRPr="008A0726">
        <w:rPr>
          <w:sz w:val="24"/>
          <w:szCs w:val="24"/>
          <w:lang w:val="en-US"/>
        </w:rPr>
        <w:t>ATC code: L04AX05</w:t>
      </w:r>
      <w:r>
        <w:rPr>
          <w:sz w:val="24"/>
          <w:szCs w:val="24"/>
          <w:lang w:val="en-US"/>
        </w:rPr>
        <w:t xml:space="preserve">. </w:t>
      </w:r>
    </w:p>
    <w:p w14:paraId="1D41758C" w14:textId="77777777" w:rsidR="00FA11F8" w:rsidRDefault="00FA11F8" w:rsidP="002636B7">
      <w:pPr>
        <w:pStyle w:val="Brdtekst"/>
        <w:ind w:left="851"/>
        <w:rPr>
          <w:sz w:val="24"/>
          <w:szCs w:val="24"/>
        </w:rPr>
      </w:pPr>
    </w:p>
    <w:p w14:paraId="10256FC6" w14:textId="5E9535E5" w:rsidR="00385884" w:rsidRPr="0076460E" w:rsidRDefault="00385884" w:rsidP="002636B7">
      <w:pPr>
        <w:pStyle w:val="Brdtekst"/>
        <w:ind w:left="851"/>
        <w:rPr>
          <w:sz w:val="24"/>
          <w:szCs w:val="24"/>
        </w:rPr>
      </w:pPr>
      <w:r w:rsidRPr="0076460E">
        <w:rPr>
          <w:sz w:val="24"/>
          <w:szCs w:val="24"/>
        </w:rPr>
        <w:t>The mechanism of action of pirfenidone has not been fully established. However, existing data suggest that pirfenidone exerts both antifibrotic and anti-inflammatory properties in a variety of in vitro systems and animal models of pulmonary fibrosis (bleomycin- and transplant-induced fibrosis).</w:t>
      </w:r>
    </w:p>
    <w:p w14:paraId="073DABE4" w14:textId="77777777" w:rsidR="00385884" w:rsidRPr="0076460E" w:rsidRDefault="00385884" w:rsidP="002636B7">
      <w:pPr>
        <w:pStyle w:val="Brdtekst"/>
        <w:ind w:left="851"/>
        <w:rPr>
          <w:sz w:val="24"/>
          <w:szCs w:val="24"/>
        </w:rPr>
      </w:pPr>
    </w:p>
    <w:p w14:paraId="63F7FCB4" w14:textId="77777777" w:rsidR="00385884" w:rsidRPr="0076460E" w:rsidRDefault="00385884" w:rsidP="002636B7">
      <w:pPr>
        <w:pStyle w:val="Brdtekst"/>
        <w:ind w:left="851"/>
        <w:rPr>
          <w:sz w:val="24"/>
          <w:szCs w:val="24"/>
        </w:rPr>
      </w:pPr>
      <w:r w:rsidRPr="0076460E">
        <w:rPr>
          <w:sz w:val="24"/>
          <w:szCs w:val="24"/>
        </w:rPr>
        <w:t>IPF is a chronic fibrotic and inflammatory pulmonary disease affected by the synthesis and release of pro-inflammatory cytokines including tumour necrosis factor-alpha (TNF-α) and interleukin-1-beta (IL-1β) and pirfenidone has been shown to reduce the accumulation of inflammatory cells in response to various stimuli.</w:t>
      </w:r>
    </w:p>
    <w:p w14:paraId="34A64B7D" w14:textId="77777777" w:rsidR="005A56F3" w:rsidRDefault="005A56F3" w:rsidP="002636B7">
      <w:pPr>
        <w:pStyle w:val="Brdtekst"/>
        <w:ind w:left="851"/>
        <w:rPr>
          <w:sz w:val="24"/>
          <w:szCs w:val="24"/>
        </w:rPr>
      </w:pPr>
    </w:p>
    <w:p w14:paraId="3BA66C0B" w14:textId="411A9A82" w:rsidR="00385884" w:rsidRPr="0076460E" w:rsidRDefault="00385884" w:rsidP="002636B7">
      <w:pPr>
        <w:pStyle w:val="Brdtekst"/>
        <w:ind w:left="851"/>
        <w:rPr>
          <w:sz w:val="24"/>
          <w:szCs w:val="24"/>
        </w:rPr>
      </w:pPr>
      <w:r w:rsidRPr="0076460E">
        <w:rPr>
          <w:sz w:val="24"/>
          <w:szCs w:val="24"/>
        </w:rPr>
        <w:t>Pirfenidone attenuates fibroblast proliferation, production of fibrosis-associated proteins and cytokines, and the increased biosynthesis and accumulation of extracellular matrix in response to cytokine growth factors such as, transforming growth factor-beta (TGF-β) and platelet-derived growth factor (PDGF).</w:t>
      </w:r>
    </w:p>
    <w:p w14:paraId="7A8BB5FD" w14:textId="77777777" w:rsidR="00385884" w:rsidRPr="0076460E" w:rsidRDefault="00385884" w:rsidP="002636B7">
      <w:pPr>
        <w:pStyle w:val="Brdtekst"/>
        <w:ind w:left="851"/>
        <w:rPr>
          <w:sz w:val="24"/>
          <w:szCs w:val="24"/>
        </w:rPr>
      </w:pPr>
    </w:p>
    <w:p w14:paraId="5CD19C80" w14:textId="77777777" w:rsidR="00385884" w:rsidRPr="0076460E" w:rsidRDefault="00385884" w:rsidP="002636B7">
      <w:pPr>
        <w:pStyle w:val="Brdtekst"/>
        <w:ind w:left="851"/>
        <w:rPr>
          <w:sz w:val="24"/>
          <w:szCs w:val="24"/>
        </w:rPr>
      </w:pPr>
      <w:r w:rsidRPr="0076460E">
        <w:rPr>
          <w:sz w:val="24"/>
          <w:szCs w:val="24"/>
          <w:u w:val="single"/>
        </w:rPr>
        <w:t>Clinical efficacy</w:t>
      </w:r>
    </w:p>
    <w:p w14:paraId="3DC8A6F7" w14:textId="77777777" w:rsidR="00385884" w:rsidRPr="0076460E" w:rsidRDefault="00385884" w:rsidP="002636B7">
      <w:pPr>
        <w:pStyle w:val="Brdtekst"/>
        <w:ind w:left="851"/>
        <w:rPr>
          <w:sz w:val="24"/>
          <w:szCs w:val="24"/>
        </w:rPr>
      </w:pPr>
      <w:r w:rsidRPr="0076460E">
        <w:rPr>
          <w:sz w:val="24"/>
          <w:szCs w:val="24"/>
        </w:rPr>
        <w:t xml:space="preserve">The clinical efficacy of pirfenidone has been studied in four Phase 3, </w:t>
      </w:r>
      <w:proofErr w:type="spellStart"/>
      <w:r w:rsidRPr="0076460E">
        <w:rPr>
          <w:sz w:val="24"/>
          <w:szCs w:val="24"/>
        </w:rPr>
        <w:t>multicentre</w:t>
      </w:r>
      <w:proofErr w:type="spellEnd"/>
      <w:r w:rsidRPr="0076460E">
        <w:rPr>
          <w:sz w:val="24"/>
          <w:szCs w:val="24"/>
        </w:rPr>
        <w:t xml:space="preserve">, </w:t>
      </w:r>
      <w:proofErr w:type="spellStart"/>
      <w:r w:rsidRPr="0076460E">
        <w:rPr>
          <w:sz w:val="24"/>
          <w:szCs w:val="24"/>
        </w:rPr>
        <w:t>randomised</w:t>
      </w:r>
      <w:proofErr w:type="spellEnd"/>
      <w:r w:rsidRPr="0076460E">
        <w:rPr>
          <w:sz w:val="24"/>
          <w:szCs w:val="24"/>
        </w:rPr>
        <w:t>, double-blind, placebo-controlled studies in patients with IPF. Three of the Phase 3 studies (PIPF-004, PIPF-006, and PIPF-016) were multinational, and one (SP3) was conducted in Japan.</w:t>
      </w:r>
    </w:p>
    <w:p w14:paraId="55BA23C7" w14:textId="77777777" w:rsidR="00385884" w:rsidRPr="005A56F3" w:rsidRDefault="00385884" w:rsidP="005A56F3">
      <w:pPr>
        <w:ind w:left="851"/>
        <w:rPr>
          <w:sz w:val="24"/>
          <w:szCs w:val="24"/>
        </w:rPr>
      </w:pPr>
    </w:p>
    <w:p w14:paraId="3F6B1205" w14:textId="77777777" w:rsidR="005A56F3" w:rsidRPr="005A56F3" w:rsidRDefault="005A56F3" w:rsidP="005A56F3">
      <w:pPr>
        <w:ind w:left="851"/>
        <w:rPr>
          <w:sz w:val="24"/>
          <w:szCs w:val="24"/>
        </w:rPr>
      </w:pPr>
      <w:r w:rsidRPr="005A56F3">
        <w:rPr>
          <w:sz w:val="24"/>
          <w:szCs w:val="24"/>
        </w:rPr>
        <w:t>PIPF-004 and PIPF-006 compared treatment with pirfenidone 2403 mg/day to placebo. The studies were nearly identical in design, with few exceptions including an intermediate dose group (1,197 mg/day) in PIPF-004. In both studies, treatment was administered three times daily for a minimum of 72 weeks. The primary endpoint in both studies was the change from Baseline to Week 72 in percent predicted Forced Vital Capacity (FVC). In the combined PIPF-004 and PIPF-006 population treated with the dose of 2,403 mg/d comprising in total 692 patients, the median baseline percent predicted FVC values were 73.9% in the pirfenidone group and 72.0% in the placebo group (range: 50-123% and 48-138%, respectively), and the median baseline percent predicted Carbon Monoxide Diffusing Capacity (</w:t>
      </w:r>
      <w:proofErr w:type="spellStart"/>
      <w:r w:rsidRPr="005A56F3">
        <w:rPr>
          <w:sz w:val="24"/>
          <w:szCs w:val="24"/>
        </w:rPr>
        <w:t>DLco</w:t>
      </w:r>
      <w:proofErr w:type="spellEnd"/>
      <w:r w:rsidRPr="005A56F3">
        <w:rPr>
          <w:sz w:val="24"/>
          <w:szCs w:val="24"/>
        </w:rPr>
        <w:t xml:space="preserve">) 45.1% in the pirfenidone group and 45.6% in the placebo group (range: 25-81% and 21-94%, respectively). In PIPF-004, 2.4% in the pirfenidone group and 2.1% in the placebo group had percent predicted FVC below 50% and/or percent predicted </w:t>
      </w:r>
      <w:proofErr w:type="spellStart"/>
      <w:r w:rsidRPr="005A56F3">
        <w:rPr>
          <w:sz w:val="24"/>
          <w:szCs w:val="24"/>
        </w:rPr>
        <w:t>DLco</w:t>
      </w:r>
      <w:proofErr w:type="spellEnd"/>
      <w:r w:rsidRPr="005A56F3">
        <w:rPr>
          <w:sz w:val="24"/>
          <w:szCs w:val="24"/>
        </w:rPr>
        <w:t xml:space="preserve"> below 35% at Baseline. In PIPF-006, 1.0% in the pirfenidone group and 1.4% in the placebo group had percent predicted FVC below 50% and/or percent predicted </w:t>
      </w:r>
      <w:proofErr w:type="spellStart"/>
      <w:r w:rsidRPr="005A56F3">
        <w:rPr>
          <w:sz w:val="24"/>
          <w:szCs w:val="24"/>
        </w:rPr>
        <w:t>DLco</w:t>
      </w:r>
      <w:proofErr w:type="spellEnd"/>
      <w:r w:rsidRPr="005A56F3">
        <w:rPr>
          <w:sz w:val="24"/>
          <w:szCs w:val="24"/>
        </w:rPr>
        <w:t xml:space="preserve"> below 35% at Baseline.</w:t>
      </w:r>
    </w:p>
    <w:p w14:paraId="267E87E1" w14:textId="77777777" w:rsidR="00385884" w:rsidRPr="005A56F3" w:rsidRDefault="00385884" w:rsidP="005A56F3">
      <w:pPr>
        <w:ind w:left="851"/>
        <w:rPr>
          <w:sz w:val="24"/>
          <w:szCs w:val="24"/>
        </w:rPr>
      </w:pPr>
    </w:p>
    <w:p w14:paraId="5F2F905D" w14:textId="77777777" w:rsidR="00385884" w:rsidRPr="0076460E" w:rsidRDefault="00385884" w:rsidP="002636B7">
      <w:pPr>
        <w:pStyle w:val="Brdtekst"/>
        <w:ind w:left="851"/>
        <w:rPr>
          <w:i/>
          <w:sz w:val="24"/>
          <w:szCs w:val="24"/>
        </w:rPr>
      </w:pPr>
      <w:r w:rsidRPr="0076460E">
        <w:rPr>
          <w:sz w:val="24"/>
          <w:szCs w:val="24"/>
        </w:rPr>
        <w:t>In study PIPF-004, the decline of percent predicted FVC from Baseline at Week 72 of treatment was significantly reduced in patients receiving pirfenidone (N=174) compared with patients receiving placebo (N=174; p=0.001, rank ANCOVA). Treatment with pirfenidone also significantly reduced the decline of percent predicted FVC from Baseline at Weeks 24 (p=0.014), 36 (p&lt;0.001), 48 (p&lt;0.001), and 60 (p&lt;0.001). At Week 72, a decline from baseline in percent predicted FVC of ≥10% (a threshold indicative of the risk of mortality in IPF) was seen in 20% of patients receiving pirfenidone compared to 35% receiving placebo (Table 2)</w:t>
      </w:r>
      <w:r w:rsidRPr="0076460E">
        <w:rPr>
          <w:i/>
          <w:sz w:val="24"/>
          <w:szCs w:val="24"/>
        </w:rPr>
        <w:t>.</w:t>
      </w:r>
    </w:p>
    <w:p w14:paraId="3EC22085" w14:textId="77777777" w:rsidR="00385884" w:rsidRDefault="00385884" w:rsidP="002636B7">
      <w:pPr>
        <w:pStyle w:val="Brdtekst"/>
        <w:rPr>
          <w:i/>
          <w:sz w:val="21"/>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3"/>
        <w:gridCol w:w="1584"/>
        <w:gridCol w:w="1332"/>
      </w:tblGrid>
      <w:tr w:rsidR="00385884" w:rsidRPr="005A56F3" w14:paraId="48D3D971" w14:textId="77777777" w:rsidTr="002636B7">
        <w:trPr>
          <w:trHeight w:val="583"/>
        </w:trPr>
        <w:tc>
          <w:tcPr>
            <w:tcW w:w="7099" w:type="dxa"/>
            <w:gridSpan w:val="3"/>
            <w:tcBorders>
              <w:top w:val="single" w:sz="4" w:space="0" w:color="000000"/>
              <w:left w:val="single" w:sz="4" w:space="0" w:color="000000"/>
              <w:bottom w:val="single" w:sz="4" w:space="0" w:color="000000"/>
              <w:right w:val="single" w:sz="4" w:space="0" w:color="000000"/>
            </w:tcBorders>
            <w:hideMark/>
          </w:tcPr>
          <w:p w14:paraId="386654E6" w14:textId="3A603A02" w:rsidR="00385884" w:rsidRDefault="00385884" w:rsidP="002636B7">
            <w:pPr>
              <w:pStyle w:val="TableParagraph"/>
              <w:tabs>
                <w:tab w:val="left" w:pos="1231"/>
              </w:tabs>
              <w:ind w:left="107"/>
              <w:rPr>
                <w:b/>
              </w:rPr>
            </w:pPr>
            <w:r>
              <w:rPr>
                <w:b/>
              </w:rPr>
              <w:t>Table</w:t>
            </w:r>
            <w:r>
              <w:rPr>
                <w:b/>
                <w:spacing w:val="4"/>
              </w:rPr>
              <w:t xml:space="preserve"> </w:t>
            </w:r>
            <w:r>
              <w:rPr>
                <w:b/>
              </w:rPr>
              <w:t>2</w:t>
            </w:r>
            <w:r>
              <w:rPr>
                <w:b/>
              </w:rPr>
              <w:tab/>
            </w:r>
            <w:r>
              <w:rPr>
                <w:b/>
                <w:spacing w:val="-3"/>
              </w:rPr>
              <w:t xml:space="preserve">Categorical assessment </w:t>
            </w:r>
            <w:r>
              <w:rPr>
                <w:b/>
              </w:rPr>
              <w:t xml:space="preserve">of change </w:t>
            </w:r>
            <w:r>
              <w:rPr>
                <w:b/>
                <w:spacing w:val="-4"/>
              </w:rPr>
              <w:t xml:space="preserve">from </w:t>
            </w:r>
            <w:r>
              <w:rPr>
                <w:b/>
              </w:rPr>
              <w:t>Baseline to Week</w:t>
            </w:r>
            <w:r>
              <w:rPr>
                <w:b/>
                <w:spacing w:val="-7"/>
              </w:rPr>
              <w:t xml:space="preserve"> </w:t>
            </w:r>
            <w:r>
              <w:rPr>
                <w:b/>
              </w:rPr>
              <w:t>72</w:t>
            </w:r>
            <w:r>
              <w:rPr>
                <w:b/>
                <w:w w:val="101"/>
              </w:rPr>
              <w:t xml:space="preserve"> </w:t>
            </w:r>
            <w:r>
              <w:rPr>
                <w:b/>
                <w:spacing w:val="-3"/>
              </w:rPr>
              <w:t xml:space="preserve">in </w:t>
            </w:r>
            <w:r>
              <w:rPr>
                <w:b/>
              </w:rPr>
              <w:t xml:space="preserve">percent predicted FVC </w:t>
            </w:r>
            <w:r>
              <w:rPr>
                <w:b/>
                <w:spacing w:val="-3"/>
              </w:rPr>
              <w:t xml:space="preserve">in </w:t>
            </w:r>
            <w:r>
              <w:rPr>
                <w:b/>
              </w:rPr>
              <w:t>study</w:t>
            </w:r>
            <w:r>
              <w:rPr>
                <w:b/>
                <w:spacing w:val="-2"/>
              </w:rPr>
              <w:t xml:space="preserve"> </w:t>
            </w:r>
            <w:r>
              <w:rPr>
                <w:b/>
              </w:rPr>
              <w:t>PIPF-004</w:t>
            </w:r>
          </w:p>
        </w:tc>
      </w:tr>
      <w:tr w:rsidR="00385884" w14:paraId="742F73E1" w14:textId="77777777" w:rsidTr="002636B7">
        <w:trPr>
          <w:trHeight w:hRule="exact" w:val="770"/>
        </w:trPr>
        <w:tc>
          <w:tcPr>
            <w:tcW w:w="4183" w:type="dxa"/>
            <w:tcBorders>
              <w:top w:val="single" w:sz="4" w:space="0" w:color="000000"/>
              <w:left w:val="single" w:sz="4" w:space="0" w:color="000000"/>
              <w:bottom w:val="single" w:sz="4" w:space="0" w:color="000000"/>
              <w:right w:val="single" w:sz="4" w:space="0" w:color="000000"/>
            </w:tcBorders>
          </w:tcPr>
          <w:p w14:paraId="02498E62" w14:textId="77777777" w:rsidR="00385884" w:rsidRPr="00385884" w:rsidRDefault="00385884" w:rsidP="002636B7">
            <w:pPr>
              <w:rPr>
                <w:lang w:val="en-US"/>
              </w:rPr>
            </w:pPr>
          </w:p>
        </w:tc>
        <w:tc>
          <w:tcPr>
            <w:tcW w:w="1584" w:type="dxa"/>
            <w:tcBorders>
              <w:top w:val="single" w:sz="4" w:space="0" w:color="000000"/>
              <w:left w:val="single" w:sz="4" w:space="0" w:color="000000"/>
              <w:bottom w:val="single" w:sz="4" w:space="0" w:color="000000"/>
              <w:right w:val="single" w:sz="4" w:space="0" w:color="000000"/>
            </w:tcBorders>
            <w:hideMark/>
          </w:tcPr>
          <w:p w14:paraId="5AE80045" w14:textId="77777777" w:rsidR="00385884" w:rsidRDefault="00385884" w:rsidP="002636B7">
            <w:pPr>
              <w:pStyle w:val="TableParagraph"/>
              <w:ind w:left="165" w:hanging="13"/>
              <w:jc w:val="center"/>
              <w:rPr>
                <w:b/>
              </w:rPr>
            </w:pPr>
            <w:r>
              <w:rPr>
                <w:b/>
              </w:rPr>
              <w:t>Pirfenidone 2,403 mg/day</w:t>
            </w:r>
          </w:p>
          <w:p w14:paraId="115F3987" w14:textId="77777777" w:rsidR="00385884" w:rsidRDefault="00385884" w:rsidP="002636B7">
            <w:pPr>
              <w:pStyle w:val="TableParagraph"/>
              <w:ind w:left="302"/>
              <w:jc w:val="center"/>
              <w:rPr>
                <w:b/>
              </w:rPr>
            </w:pPr>
            <w:r>
              <w:rPr>
                <w:b/>
              </w:rPr>
              <w:t>(N = 174)</w:t>
            </w:r>
          </w:p>
        </w:tc>
        <w:tc>
          <w:tcPr>
            <w:tcW w:w="1332" w:type="dxa"/>
            <w:tcBorders>
              <w:top w:val="single" w:sz="4" w:space="0" w:color="000000"/>
              <w:left w:val="single" w:sz="4" w:space="0" w:color="000000"/>
              <w:bottom w:val="single" w:sz="4" w:space="0" w:color="000000"/>
              <w:right w:val="single" w:sz="4" w:space="0" w:color="000000"/>
            </w:tcBorders>
          </w:tcPr>
          <w:p w14:paraId="0D2EAE16" w14:textId="77777777" w:rsidR="00385884" w:rsidRDefault="00385884" w:rsidP="002636B7">
            <w:pPr>
              <w:pStyle w:val="TableParagraph"/>
              <w:ind w:left="0"/>
              <w:rPr>
                <w:i/>
                <w:sz w:val="23"/>
              </w:rPr>
            </w:pPr>
          </w:p>
          <w:p w14:paraId="52D944C1" w14:textId="77777777" w:rsidR="00385884" w:rsidRDefault="00385884" w:rsidP="002636B7">
            <w:pPr>
              <w:pStyle w:val="TableParagraph"/>
              <w:ind w:left="230" w:firstLine="64"/>
              <w:rPr>
                <w:b/>
              </w:rPr>
            </w:pPr>
            <w:r>
              <w:rPr>
                <w:b/>
              </w:rPr>
              <w:t>Placebo (N = 174)</w:t>
            </w:r>
          </w:p>
        </w:tc>
      </w:tr>
      <w:tr w:rsidR="00385884" w14:paraId="030A4FE8" w14:textId="77777777" w:rsidTr="002636B7">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5B7D81C9" w14:textId="77777777" w:rsidR="00385884" w:rsidRDefault="00385884" w:rsidP="002636B7">
            <w:pPr>
              <w:pStyle w:val="TableParagraph"/>
              <w:ind w:left="107"/>
            </w:pPr>
            <w:r>
              <w:t>Decline of ≥10% or death or lung transplant</w:t>
            </w:r>
          </w:p>
        </w:tc>
        <w:tc>
          <w:tcPr>
            <w:tcW w:w="1584" w:type="dxa"/>
            <w:tcBorders>
              <w:top w:val="single" w:sz="4" w:space="0" w:color="000000"/>
              <w:left w:val="single" w:sz="4" w:space="0" w:color="000000"/>
              <w:bottom w:val="single" w:sz="4" w:space="0" w:color="000000"/>
              <w:right w:val="single" w:sz="4" w:space="0" w:color="000000"/>
            </w:tcBorders>
            <w:hideMark/>
          </w:tcPr>
          <w:p w14:paraId="78E8F061" w14:textId="77777777" w:rsidR="00385884" w:rsidRDefault="00385884" w:rsidP="002636B7">
            <w:pPr>
              <w:pStyle w:val="TableParagraph"/>
              <w:ind w:left="302"/>
              <w:jc w:val="center"/>
            </w:pPr>
            <w:r>
              <w:t>35 (20%)</w:t>
            </w:r>
          </w:p>
        </w:tc>
        <w:tc>
          <w:tcPr>
            <w:tcW w:w="1332" w:type="dxa"/>
            <w:tcBorders>
              <w:top w:val="single" w:sz="4" w:space="0" w:color="000000"/>
              <w:left w:val="single" w:sz="4" w:space="0" w:color="000000"/>
              <w:bottom w:val="single" w:sz="4" w:space="0" w:color="000000"/>
              <w:right w:val="single" w:sz="4" w:space="0" w:color="000000"/>
            </w:tcBorders>
            <w:hideMark/>
          </w:tcPr>
          <w:p w14:paraId="1B5ABCD1" w14:textId="77777777" w:rsidR="00385884" w:rsidRDefault="00385884" w:rsidP="002636B7">
            <w:pPr>
              <w:pStyle w:val="TableParagraph"/>
              <w:ind w:left="179"/>
              <w:jc w:val="center"/>
            </w:pPr>
            <w:r>
              <w:t>60 (34%)</w:t>
            </w:r>
          </w:p>
        </w:tc>
      </w:tr>
      <w:tr w:rsidR="00385884" w14:paraId="49C2D9C8" w14:textId="77777777" w:rsidTr="002636B7">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3DA830AD" w14:textId="77777777" w:rsidR="00385884" w:rsidRDefault="00385884" w:rsidP="002636B7">
            <w:pPr>
              <w:pStyle w:val="TableParagraph"/>
              <w:ind w:left="107"/>
            </w:pPr>
            <w:r>
              <w:t>Decline of less than 10%</w:t>
            </w:r>
          </w:p>
        </w:tc>
        <w:tc>
          <w:tcPr>
            <w:tcW w:w="1584" w:type="dxa"/>
            <w:tcBorders>
              <w:top w:val="single" w:sz="4" w:space="0" w:color="000000"/>
              <w:left w:val="single" w:sz="4" w:space="0" w:color="000000"/>
              <w:bottom w:val="single" w:sz="4" w:space="0" w:color="000000"/>
              <w:right w:val="single" w:sz="4" w:space="0" w:color="000000"/>
            </w:tcBorders>
            <w:hideMark/>
          </w:tcPr>
          <w:p w14:paraId="78603BEE" w14:textId="77777777" w:rsidR="00385884" w:rsidRDefault="00385884" w:rsidP="002636B7">
            <w:pPr>
              <w:pStyle w:val="TableParagraph"/>
              <w:ind w:left="302"/>
              <w:jc w:val="center"/>
            </w:pPr>
            <w:r>
              <w:t>97 (56%)</w:t>
            </w:r>
          </w:p>
        </w:tc>
        <w:tc>
          <w:tcPr>
            <w:tcW w:w="1332" w:type="dxa"/>
            <w:tcBorders>
              <w:top w:val="single" w:sz="4" w:space="0" w:color="000000"/>
              <w:left w:val="single" w:sz="4" w:space="0" w:color="000000"/>
              <w:bottom w:val="single" w:sz="4" w:space="0" w:color="000000"/>
              <w:right w:val="single" w:sz="4" w:space="0" w:color="000000"/>
            </w:tcBorders>
            <w:hideMark/>
          </w:tcPr>
          <w:p w14:paraId="1EE81D90" w14:textId="77777777" w:rsidR="00385884" w:rsidRDefault="00385884" w:rsidP="002636B7">
            <w:pPr>
              <w:pStyle w:val="TableParagraph"/>
              <w:ind w:left="179"/>
              <w:jc w:val="center"/>
            </w:pPr>
            <w:r>
              <w:t>90 (52%)</w:t>
            </w:r>
          </w:p>
        </w:tc>
      </w:tr>
      <w:tr w:rsidR="00385884" w14:paraId="4406FDE4" w14:textId="77777777" w:rsidTr="002636B7">
        <w:trPr>
          <w:trHeight w:hRule="exact" w:val="331"/>
        </w:trPr>
        <w:tc>
          <w:tcPr>
            <w:tcW w:w="4183" w:type="dxa"/>
            <w:tcBorders>
              <w:top w:val="single" w:sz="4" w:space="0" w:color="000000"/>
              <w:left w:val="single" w:sz="4" w:space="0" w:color="000000"/>
              <w:bottom w:val="single" w:sz="4" w:space="0" w:color="000000"/>
              <w:right w:val="single" w:sz="4" w:space="0" w:color="000000"/>
            </w:tcBorders>
            <w:hideMark/>
          </w:tcPr>
          <w:p w14:paraId="53299789" w14:textId="77777777" w:rsidR="00385884" w:rsidRDefault="00385884" w:rsidP="002636B7">
            <w:pPr>
              <w:pStyle w:val="TableParagraph"/>
              <w:ind w:left="107"/>
            </w:pPr>
            <w:r>
              <w:t>No decline (FVC change &gt;0%)</w:t>
            </w:r>
          </w:p>
        </w:tc>
        <w:tc>
          <w:tcPr>
            <w:tcW w:w="1584" w:type="dxa"/>
            <w:tcBorders>
              <w:top w:val="single" w:sz="4" w:space="0" w:color="000000"/>
              <w:left w:val="single" w:sz="4" w:space="0" w:color="000000"/>
              <w:bottom w:val="single" w:sz="4" w:space="0" w:color="000000"/>
              <w:right w:val="single" w:sz="4" w:space="0" w:color="000000"/>
            </w:tcBorders>
            <w:hideMark/>
          </w:tcPr>
          <w:p w14:paraId="7DA7405A" w14:textId="77777777" w:rsidR="00385884" w:rsidRDefault="00385884" w:rsidP="002636B7">
            <w:pPr>
              <w:pStyle w:val="TableParagraph"/>
              <w:ind w:left="302"/>
              <w:jc w:val="center"/>
            </w:pPr>
            <w:r>
              <w:t>42 (24%)</w:t>
            </w:r>
          </w:p>
        </w:tc>
        <w:tc>
          <w:tcPr>
            <w:tcW w:w="1332" w:type="dxa"/>
            <w:tcBorders>
              <w:top w:val="single" w:sz="4" w:space="0" w:color="000000"/>
              <w:left w:val="single" w:sz="4" w:space="0" w:color="000000"/>
              <w:bottom w:val="single" w:sz="4" w:space="0" w:color="000000"/>
              <w:right w:val="single" w:sz="4" w:space="0" w:color="000000"/>
            </w:tcBorders>
            <w:hideMark/>
          </w:tcPr>
          <w:p w14:paraId="145CB7E1" w14:textId="77777777" w:rsidR="00385884" w:rsidRDefault="00385884" w:rsidP="002636B7">
            <w:pPr>
              <w:pStyle w:val="TableParagraph"/>
              <w:ind w:left="179"/>
              <w:jc w:val="center"/>
            </w:pPr>
            <w:r>
              <w:t>24 (14%)</w:t>
            </w:r>
          </w:p>
        </w:tc>
      </w:tr>
    </w:tbl>
    <w:p w14:paraId="5B46F4C9" w14:textId="77777777" w:rsidR="00385884" w:rsidRPr="0076460E" w:rsidRDefault="00385884" w:rsidP="002636B7">
      <w:pPr>
        <w:pStyle w:val="Brdtekst"/>
        <w:ind w:left="851"/>
        <w:rPr>
          <w:i/>
          <w:sz w:val="24"/>
          <w:szCs w:val="24"/>
        </w:rPr>
      </w:pPr>
    </w:p>
    <w:p w14:paraId="4C299E82" w14:textId="77777777" w:rsidR="00385884" w:rsidRPr="0076460E" w:rsidRDefault="00385884" w:rsidP="002636B7">
      <w:pPr>
        <w:pStyle w:val="Brdtekst"/>
        <w:ind w:left="851"/>
        <w:rPr>
          <w:sz w:val="24"/>
          <w:szCs w:val="24"/>
        </w:rPr>
      </w:pPr>
      <w:r w:rsidRPr="0076460E">
        <w:rPr>
          <w:sz w:val="24"/>
          <w:szCs w:val="24"/>
        </w:rPr>
        <w:t xml:space="preserve">Although there was no difference between patients receiving pirfenidone compared to placebo in change from Baseline to Week 72 of distance walked during a </w:t>
      </w:r>
      <w:proofErr w:type="gramStart"/>
      <w:r w:rsidRPr="0076460E">
        <w:rPr>
          <w:sz w:val="24"/>
          <w:szCs w:val="24"/>
        </w:rPr>
        <w:t>six minute</w:t>
      </w:r>
      <w:proofErr w:type="gramEnd"/>
      <w:r w:rsidRPr="0076460E">
        <w:rPr>
          <w:sz w:val="24"/>
          <w:szCs w:val="24"/>
        </w:rPr>
        <w:t xml:space="preserve"> walk test (6MWT) by the prespecified rank ANCOVA, in an </w:t>
      </w:r>
      <w:r w:rsidRPr="0076460E">
        <w:rPr>
          <w:i/>
          <w:sz w:val="24"/>
          <w:szCs w:val="24"/>
        </w:rPr>
        <w:t xml:space="preserve">ad hoc </w:t>
      </w:r>
      <w:r w:rsidRPr="0076460E">
        <w:rPr>
          <w:sz w:val="24"/>
          <w:szCs w:val="24"/>
        </w:rPr>
        <w:t>analysis, 37% of patients receiving Pirfenidone showed a decline of ≥50 m in 6MWT distance, compared to 47% of patients receiving placebo in PIPF-004.</w:t>
      </w:r>
    </w:p>
    <w:p w14:paraId="73B2B2BF" w14:textId="77777777" w:rsidR="00385884" w:rsidRPr="0076460E" w:rsidRDefault="00385884" w:rsidP="002636B7">
      <w:pPr>
        <w:pStyle w:val="Brdtekst"/>
        <w:ind w:left="851"/>
        <w:rPr>
          <w:sz w:val="24"/>
          <w:szCs w:val="24"/>
        </w:rPr>
      </w:pPr>
    </w:p>
    <w:p w14:paraId="29803B34" w14:textId="77777777" w:rsidR="00385884" w:rsidRPr="0076460E" w:rsidRDefault="00385884" w:rsidP="002636B7">
      <w:pPr>
        <w:pStyle w:val="Brdtekst"/>
        <w:ind w:left="851"/>
        <w:rPr>
          <w:sz w:val="24"/>
          <w:szCs w:val="24"/>
        </w:rPr>
      </w:pPr>
      <w:r w:rsidRPr="0076460E">
        <w:rPr>
          <w:sz w:val="24"/>
          <w:szCs w:val="24"/>
        </w:rPr>
        <w:t>In study PIPF-006, treatment with pirfenidone (N=171) did not reduce the decline of percent predicted FVC from Baseline at Week 72 compared with placebo (N=173; p=0.501). However, treatment with pirfenidone reduced the decline of percent predicted FVC from Baseline at Weeks 24 (p&lt;0.001), 36 (p=0.011), and 48 (p=0.005). At Week 72, a decline in FVC of ≥10% was seen in 23% of patients receiving pirfenidone and 27% receiving placebo (Table 3).</w:t>
      </w:r>
    </w:p>
    <w:p w14:paraId="521F0604" w14:textId="77777777" w:rsidR="00385884" w:rsidRPr="0076460E" w:rsidRDefault="00385884" w:rsidP="002636B7">
      <w:pPr>
        <w:pStyle w:val="Brdtekst"/>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98"/>
        <w:gridCol w:w="1562"/>
        <w:gridCol w:w="1753"/>
      </w:tblGrid>
      <w:tr w:rsidR="00385884" w:rsidRPr="005A56F3" w14:paraId="0FABE683" w14:textId="77777777" w:rsidTr="002636B7">
        <w:trPr>
          <w:trHeight w:val="583"/>
        </w:trPr>
        <w:tc>
          <w:tcPr>
            <w:tcW w:w="7513" w:type="dxa"/>
            <w:gridSpan w:val="3"/>
            <w:tcBorders>
              <w:top w:val="single" w:sz="4" w:space="0" w:color="000000"/>
              <w:left w:val="single" w:sz="4" w:space="0" w:color="000000"/>
              <w:bottom w:val="single" w:sz="4" w:space="0" w:color="000000"/>
              <w:right w:val="single" w:sz="4" w:space="0" w:color="000000"/>
            </w:tcBorders>
            <w:hideMark/>
          </w:tcPr>
          <w:p w14:paraId="47BF444C" w14:textId="6D32EFEA" w:rsidR="00385884" w:rsidRDefault="00385884" w:rsidP="002636B7">
            <w:pPr>
              <w:pStyle w:val="TableParagraph"/>
              <w:tabs>
                <w:tab w:val="left" w:pos="1231"/>
              </w:tabs>
              <w:rPr>
                <w:b/>
              </w:rPr>
            </w:pPr>
            <w:r>
              <w:rPr>
                <w:b/>
              </w:rPr>
              <w:t>Table</w:t>
            </w:r>
            <w:r>
              <w:rPr>
                <w:b/>
                <w:spacing w:val="4"/>
              </w:rPr>
              <w:t xml:space="preserve"> </w:t>
            </w:r>
            <w:r>
              <w:rPr>
                <w:b/>
              </w:rPr>
              <w:t>3</w:t>
            </w:r>
            <w:r>
              <w:rPr>
                <w:b/>
              </w:rPr>
              <w:tab/>
            </w:r>
            <w:r>
              <w:rPr>
                <w:b/>
                <w:spacing w:val="-3"/>
              </w:rPr>
              <w:t xml:space="preserve">Categorical assessment </w:t>
            </w:r>
            <w:r>
              <w:rPr>
                <w:b/>
              </w:rPr>
              <w:t xml:space="preserve">of change </w:t>
            </w:r>
            <w:r>
              <w:rPr>
                <w:b/>
                <w:spacing w:val="-4"/>
              </w:rPr>
              <w:t xml:space="preserve">from </w:t>
            </w:r>
            <w:r>
              <w:rPr>
                <w:b/>
              </w:rPr>
              <w:t>Baseline to</w:t>
            </w:r>
            <w:r>
              <w:rPr>
                <w:b/>
                <w:spacing w:val="16"/>
              </w:rPr>
              <w:t xml:space="preserve"> </w:t>
            </w:r>
            <w:r>
              <w:rPr>
                <w:b/>
              </w:rPr>
              <w:t>Week</w:t>
            </w:r>
            <w:r>
              <w:rPr>
                <w:b/>
                <w:spacing w:val="-7"/>
              </w:rPr>
              <w:t xml:space="preserve"> </w:t>
            </w:r>
            <w:r>
              <w:rPr>
                <w:b/>
              </w:rPr>
              <w:t>72</w:t>
            </w:r>
            <w:r>
              <w:rPr>
                <w:b/>
                <w:w w:val="101"/>
              </w:rPr>
              <w:t xml:space="preserve"> </w:t>
            </w:r>
            <w:r>
              <w:rPr>
                <w:b/>
                <w:spacing w:val="-3"/>
              </w:rPr>
              <w:t xml:space="preserve">in </w:t>
            </w:r>
            <w:r w:rsidR="00652FCA">
              <w:rPr>
                <w:b/>
                <w:spacing w:val="-3"/>
              </w:rPr>
              <w:tab/>
            </w:r>
            <w:r>
              <w:rPr>
                <w:b/>
              </w:rPr>
              <w:t xml:space="preserve">percent predicted FVC </w:t>
            </w:r>
            <w:r>
              <w:rPr>
                <w:b/>
                <w:spacing w:val="-3"/>
              </w:rPr>
              <w:t xml:space="preserve">in </w:t>
            </w:r>
            <w:r>
              <w:rPr>
                <w:b/>
              </w:rPr>
              <w:t>study</w:t>
            </w:r>
            <w:r>
              <w:rPr>
                <w:b/>
                <w:spacing w:val="-2"/>
              </w:rPr>
              <w:t xml:space="preserve"> </w:t>
            </w:r>
            <w:r>
              <w:rPr>
                <w:b/>
              </w:rPr>
              <w:t>PIPF-006</w:t>
            </w:r>
          </w:p>
        </w:tc>
      </w:tr>
      <w:tr w:rsidR="00385884" w14:paraId="4AB755CC" w14:textId="77777777" w:rsidTr="002636B7">
        <w:trPr>
          <w:trHeight w:hRule="exact" w:val="770"/>
        </w:trPr>
        <w:tc>
          <w:tcPr>
            <w:tcW w:w="4198" w:type="dxa"/>
            <w:tcBorders>
              <w:top w:val="single" w:sz="4" w:space="0" w:color="000000"/>
              <w:left w:val="single" w:sz="4" w:space="0" w:color="000000"/>
              <w:bottom w:val="single" w:sz="4" w:space="0" w:color="000000"/>
              <w:right w:val="single" w:sz="4" w:space="0" w:color="000000"/>
            </w:tcBorders>
          </w:tcPr>
          <w:p w14:paraId="50B6ED54" w14:textId="77777777" w:rsidR="00385884" w:rsidRPr="00385884" w:rsidRDefault="00385884" w:rsidP="002636B7">
            <w:pPr>
              <w:rPr>
                <w:lang w:val="en-US"/>
              </w:rPr>
            </w:pPr>
          </w:p>
        </w:tc>
        <w:tc>
          <w:tcPr>
            <w:tcW w:w="1562" w:type="dxa"/>
            <w:tcBorders>
              <w:top w:val="single" w:sz="4" w:space="0" w:color="000000"/>
              <w:left w:val="single" w:sz="4" w:space="0" w:color="000000"/>
              <w:bottom w:val="single" w:sz="4" w:space="0" w:color="000000"/>
              <w:right w:val="single" w:sz="4" w:space="0" w:color="000000"/>
            </w:tcBorders>
            <w:hideMark/>
          </w:tcPr>
          <w:p w14:paraId="14BBA322" w14:textId="77777777" w:rsidR="00385884" w:rsidRDefault="00385884" w:rsidP="002636B7">
            <w:pPr>
              <w:pStyle w:val="TableParagraph"/>
              <w:ind w:left="158" w:hanging="13"/>
              <w:jc w:val="center"/>
              <w:rPr>
                <w:b/>
              </w:rPr>
            </w:pPr>
            <w:r>
              <w:rPr>
                <w:b/>
              </w:rPr>
              <w:t>Pirfenidone 2,403 mg/day</w:t>
            </w:r>
          </w:p>
          <w:p w14:paraId="7D6E0D3D" w14:textId="77777777" w:rsidR="00385884" w:rsidRDefault="00385884" w:rsidP="002636B7">
            <w:pPr>
              <w:pStyle w:val="TableParagraph"/>
              <w:ind w:left="332"/>
              <w:jc w:val="center"/>
              <w:rPr>
                <w:b/>
              </w:rPr>
            </w:pPr>
            <w:r>
              <w:rPr>
                <w:b/>
              </w:rPr>
              <w:t>(N = 171)</w:t>
            </w:r>
          </w:p>
        </w:tc>
        <w:tc>
          <w:tcPr>
            <w:tcW w:w="1753" w:type="dxa"/>
            <w:tcBorders>
              <w:top w:val="single" w:sz="4" w:space="0" w:color="000000"/>
              <w:left w:val="single" w:sz="4" w:space="0" w:color="000000"/>
              <w:bottom w:val="single" w:sz="4" w:space="0" w:color="000000"/>
              <w:right w:val="single" w:sz="4" w:space="0" w:color="000000"/>
            </w:tcBorders>
          </w:tcPr>
          <w:p w14:paraId="01FEDEB7" w14:textId="77777777" w:rsidR="00385884" w:rsidRDefault="00385884" w:rsidP="002636B7">
            <w:pPr>
              <w:pStyle w:val="TableParagraph"/>
              <w:ind w:left="0"/>
              <w:rPr>
                <w:sz w:val="23"/>
              </w:rPr>
            </w:pPr>
          </w:p>
          <w:p w14:paraId="72F8B0E0" w14:textId="77777777" w:rsidR="002636B7" w:rsidRDefault="00385884" w:rsidP="002636B7">
            <w:pPr>
              <w:pStyle w:val="TableParagraph"/>
              <w:ind w:left="251" w:firstLine="72"/>
              <w:rPr>
                <w:b/>
              </w:rPr>
            </w:pPr>
            <w:r>
              <w:rPr>
                <w:b/>
              </w:rPr>
              <w:t xml:space="preserve">Placebo </w:t>
            </w:r>
          </w:p>
          <w:p w14:paraId="29B2C835" w14:textId="7855144C" w:rsidR="00385884" w:rsidRDefault="00385884" w:rsidP="002636B7">
            <w:pPr>
              <w:pStyle w:val="TableParagraph"/>
              <w:ind w:left="251" w:firstLine="72"/>
              <w:rPr>
                <w:b/>
              </w:rPr>
            </w:pPr>
            <w:r>
              <w:rPr>
                <w:b/>
              </w:rPr>
              <w:t>(N = 173)</w:t>
            </w:r>
          </w:p>
        </w:tc>
      </w:tr>
      <w:tr w:rsidR="00385884" w14:paraId="73460A22" w14:textId="77777777" w:rsidTr="002636B7">
        <w:trPr>
          <w:trHeight w:hRule="exact" w:val="324"/>
        </w:trPr>
        <w:tc>
          <w:tcPr>
            <w:tcW w:w="4198" w:type="dxa"/>
            <w:tcBorders>
              <w:top w:val="single" w:sz="4" w:space="0" w:color="000000"/>
              <w:left w:val="single" w:sz="4" w:space="0" w:color="000000"/>
              <w:bottom w:val="single" w:sz="4" w:space="0" w:color="000000"/>
              <w:right w:val="single" w:sz="4" w:space="0" w:color="000000"/>
            </w:tcBorders>
            <w:hideMark/>
          </w:tcPr>
          <w:p w14:paraId="76635AF5" w14:textId="77777777" w:rsidR="00385884" w:rsidRDefault="00385884" w:rsidP="002636B7">
            <w:pPr>
              <w:pStyle w:val="TableParagraph"/>
            </w:pPr>
            <w:r>
              <w:t>Decline of ≥10% or death or lung transplant</w:t>
            </w:r>
          </w:p>
        </w:tc>
        <w:tc>
          <w:tcPr>
            <w:tcW w:w="1562" w:type="dxa"/>
            <w:tcBorders>
              <w:top w:val="single" w:sz="4" w:space="0" w:color="000000"/>
              <w:left w:val="single" w:sz="4" w:space="0" w:color="000000"/>
              <w:bottom w:val="single" w:sz="4" w:space="0" w:color="000000"/>
              <w:right w:val="single" w:sz="4" w:space="0" w:color="000000"/>
            </w:tcBorders>
            <w:hideMark/>
          </w:tcPr>
          <w:p w14:paraId="5CA55FC4" w14:textId="77777777" w:rsidR="00385884" w:rsidRDefault="00385884" w:rsidP="002636B7">
            <w:pPr>
              <w:pStyle w:val="TableParagraph"/>
              <w:ind w:left="321"/>
              <w:jc w:val="center"/>
            </w:pPr>
            <w:r>
              <w:t>39 (23%)</w:t>
            </w:r>
          </w:p>
        </w:tc>
        <w:tc>
          <w:tcPr>
            <w:tcW w:w="1753" w:type="dxa"/>
            <w:tcBorders>
              <w:top w:val="single" w:sz="4" w:space="0" w:color="000000"/>
              <w:left w:val="single" w:sz="4" w:space="0" w:color="000000"/>
              <w:bottom w:val="single" w:sz="4" w:space="0" w:color="000000"/>
              <w:right w:val="single" w:sz="4" w:space="0" w:color="000000"/>
            </w:tcBorders>
            <w:hideMark/>
          </w:tcPr>
          <w:p w14:paraId="4F57B84C" w14:textId="77777777" w:rsidR="00385884" w:rsidRDefault="00385884" w:rsidP="002636B7">
            <w:pPr>
              <w:pStyle w:val="TableParagraph"/>
              <w:ind w:left="256"/>
              <w:jc w:val="center"/>
            </w:pPr>
            <w:r>
              <w:t>46 (27%)</w:t>
            </w:r>
          </w:p>
        </w:tc>
      </w:tr>
      <w:tr w:rsidR="00385884" w14:paraId="247477C2" w14:textId="77777777" w:rsidTr="002636B7">
        <w:trPr>
          <w:trHeight w:hRule="exact" w:val="324"/>
        </w:trPr>
        <w:tc>
          <w:tcPr>
            <w:tcW w:w="4198" w:type="dxa"/>
            <w:tcBorders>
              <w:top w:val="single" w:sz="4" w:space="0" w:color="000000"/>
              <w:left w:val="single" w:sz="4" w:space="0" w:color="000000"/>
              <w:bottom w:val="single" w:sz="4" w:space="0" w:color="000000"/>
              <w:right w:val="single" w:sz="4" w:space="0" w:color="000000"/>
            </w:tcBorders>
            <w:hideMark/>
          </w:tcPr>
          <w:p w14:paraId="60FFA1FA" w14:textId="77777777" w:rsidR="00385884" w:rsidRDefault="00385884" w:rsidP="002636B7">
            <w:pPr>
              <w:pStyle w:val="TableParagraph"/>
            </w:pPr>
            <w:r>
              <w:t>Decline of less than 10%</w:t>
            </w:r>
          </w:p>
        </w:tc>
        <w:tc>
          <w:tcPr>
            <w:tcW w:w="1562" w:type="dxa"/>
            <w:tcBorders>
              <w:top w:val="single" w:sz="4" w:space="0" w:color="000000"/>
              <w:left w:val="single" w:sz="4" w:space="0" w:color="000000"/>
              <w:bottom w:val="single" w:sz="4" w:space="0" w:color="000000"/>
              <w:right w:val="single" w:sz="4" w:space="0" w:color="000000"/>
            </w:tcBorders>
            <w:hideMark/>
          </w:tcPr>
          <w:p w14:paraId="49F5D5C0" w14:textId="77777777" w:rsidR="00385884" w:rsidRDefault="00385884" w:rsidP="002636B7">
            <w:pPr>
              <w:pStyle w:val="TableParagraph"/>
              <w:ind w:left="321"/>
              <w:jc w:val="center"/>
            </w:pPr>
            <w:r>
              <w:t>88 (52%)</w:t>
            </w:r>
          </w:p>
        </w:tc>
        <w:tc>
          <w:tcPr>
            <w:tcW w:w="1753" w:type="dxa"/>
            <w:tcBorders>
              <w:top w:val="single" w:sz="4" w:space="0" w:color="000000"/>
              <w:left w:val="single" w:sz="4" w:space="0" w:color="000000"/>
              <w:bottom w:val="single" w:sz="4" w:space="0" w:color="000000"/>
              <w:right w:val="single" w:sz="4" w:space="0" w:color="000000"/>
            </w:tcBorders>
            <w:hideMark/>
          </w:tcPr>
          <w:p w14:paraId="77161019" w14:textId="77777777" w:rsidR="00385884" w:rsidRDefault="00385884" w:rsidP="002636B7">
            <w:pPr>
              <w:pStyle w:val="TableParagraph"/>
              <w:ind w:left="256"/>
              <w:jc w:val="center"/>
            </w:pPr>
            <w:r>
              <w:t>89 (51%)</w:t>
            </w:r>
          </w:p>
        </w:tc>
      </w:tr>
      <w:tr w:rsidR="00385884" w14:paraId="10C7CEA3" w14:textId="77777777" w:rsidTr="002636B7">
        <w:trPr>
          <w:trHeight w:hRule="exact" w:val="331"/>
        </w:trPr>
        <w:tc>
          <w:tcPr>
            <w:tcW w:w="4198" w:type="dxa"/>
            <w:tcBorders>
              <w:top w:val="single" w:sz="4" w:space="0" w:color="000000"/>
              <w:left w:val="single" w:sz="4" w:space="0" w:color="000000"/>
              <w:bottom w:val="single" w:sz="4" w:space="0" w:color="000000"/>
              <w:right w:val="single" w:sz="4" w:space="0" w:color="000000"/>
            </w:tcBorders>
            <w:hideMark/>
          </w:tcPr>
          <w:p w14:paraId="23231DE0" w14:textId="77777777" w:rsidR="00385884" w:rsidRDefault="00385884" w:rsidP="002636B7">
            <w:pPr>
              <w:pStyle w:val="TableParagraph"/>
            </w:pPr>
            <w:r>
              <w:t>No decline (FVC change &gt;0%)</w:t>
            </w:r>
          </w:p>
        </w:tc>
        <w:tc>
          <w:tcPr>
            <w:tcW w:w="1562" w:type="dxa"/>
            <w:tcBorders>
              <w:top w:val="single" w:sz="4" w:space="0" w:color="000000"/>
              <w:left w:val="single" w:sz="4" w:space="0" w:color="000000"/>
              <w:bottom w:val="single" w:sz="4" w:space="0" w:color="000000"/>
              <w:right w:val="single" w:sz="4" w:space="0" w:color="000000"/>
            </w:tcBorders>
            <w:hideMark/>
          </w:tcPr>
          <w:p w14:paraId="153DF065" w14:textId="77777777" w:rsidR="00385884" w:rsidRDefault="00385884" w:rsidP="002636B7">
            <w:pPr>
              <w:pStyle w:val="TableParagraph"/>
              <w:ind w:left="321"/>
              <w:jc w:val="center"/>
            </w:pPr>
            <w:r>
              <w:t>44 (26%)</w:t>
            </w:r>
          </w:p>
        </w:tc>
        <w:tc>
          <w:tcPr>
            <w:tcW w:w="1753" w:type="dxa"/>
            <w:tcBorders>
              <w:top w:val="single" w:sz="4" w:space="0" w:color="000000"/>
              <w:left w:val="single" w:sz="4" w:space="0" w:color="000000"/>
              <w:bottom w:val="single" w:sz="4" w:space="0" w:color="000000"/>
              <w:right w:val="single" w:sz="4" w:space="0" w:color="000000"/>
            </w:tcBorders>
            <w:hideMark/>
          </w:tcPr>
          <w:p w14:paraId="043C1A40" w14:textId="77777777" w:rsidR="00385884" w:rsidRDefault="00385884" w:rsidP="002636B7">
            <w:pPr>
              <w:pStyle w:val="TableParagraph"/>
              <w:ind w:left="256"/>
              <w:jc w:val="center"/>
            </w:pPr>
            <w:r>
              <w:t>38 (22%)</w:t>
            </w:r>
          </w:p>
        </w:tc>
      </w:tr>
    </w:tbl>
    <w:p w14:paraId="5C4EFE55" w14:textId="77777777" w:rsidR="00385884" w:rsidRPr="0076460E" w:rsidRDefault="00385884" w:rsidP="002636B7">
      <w:pPr>
        <w:pStyle w:val="Brdtekst"/>
        <w:ind w:left="851"/>
        <w:rPr>
          <w:sz w:val="24"/>
          <w:szCs w:val="24"/>
        </w:rPr>
      </w:pPr>
    </w:p>
    <w:p w14:paraId="5D7FE8C8" w14:textId="77777777" w:rsidR="00385884" w:rsidRPr="0076460E" w:rsidRDefault="00385884" w:rsidP="002636B7">
      <w:pPr>
        <w:pStyle w:val="Brdtekst"/>
        <w:ind w:left="851"/>
        <w:rPr>
          <w:sz w:val="24"/>
          <w:szCs w:val="24"/>
        </w:rPr>
      </w:pPr>
      <w:r w:rsidRPr="0076460E">
        <w:rPr>
          <w:sz w:val="24"/>
          <w:szCs w:val="24"/>
        </w:rPr>
        <w:t xml:space="preserve">The decline in 6MWT distance from Baseline to Week 72 was significantly reduced compared with placebo in study PIPF-006 (p&lt;0.001, rank ANCOVA). Additionally, in an </w:t>
      </w:r>
      <w:r w:rsidRPr="0076460E">
        <w:rPr>
          <w:i/>
          <w:sz w:val="24"/>
          <w:szCs w:val="24"/>
        </w:rPr>
        <w:t xml:space="preserve">ad hoc </w:t>
      </w:r>
      <w:r w:rsidRPr="0076460E">
        <w:rPr>
          <w:sz w:val="24"/>
          <w:szCs w:val="24"/>
        </w:rPr>
        <w:t>analysis, 33% of patients receiving pirfenidone showed a decline of ≥50 m in 6MWT distance, compared to 47% of patients receiving placebo in PIPF-006.</w:t>
      </w:r>
    </w:p>
    <w:p w14:paraId="0F121BB3" w14:textId="77777777" w:rsidR="00385884" w:rsidRPr="0076460E" w:rsidRDefault="00385884" w:rsidP="002636B7">
      <w:pPr>
        <w:pStyle w:val="Brdtekst"/>
        <w:ind w:left="851"/>
        <w:rPr>
          <w:sz w:val="24"/>
          <w:szCs w:val="24"/>
        </w:rPr>
      </w:pPr>
    </w:p>
    <w:p w14:paraId="44BD49BD" w14:textId="49A67896" w:rsidR="00385884" w:rsidRPr="0076460E" w:rsidRDefault="00385884" w:rsidP="002636B7">
      <w:pPr>
        <w:pStyle w:val="Brdtekst"/>
        <w:ind w:left="851"/>
        <w:rPr>
          <w:sz w:val="24"/>
          <w:szCs w:val="24"/>
        </w:rPr>
      </w:pPr>
      <w:r w:rsidRPr="0076460E">
        <w:rPr>
          <w:sz w:val="24"/>
          <w:szCs w:val="24"/>
        </w:rPr>
        <w:t>In a pooled analysis of survival in PIPF-004 and PIPF-006 the mortality rate with pirfenidone 2403 mg/day group was 7.8% compared with 9.8% with placebo (HR 0.77 [95% CI, 0.47–1.28]).</w:t>
      </w:r>
    </w:p>
    <w:p w14:paraId="2CC2BBD7" w14:textId="77777777" w:rsidR="00385884" w:rsidRPr="0076460E" w:rsidRDefault="00385884" w:rsidP="002636B7">
      <w:pPr>
        <w:pStyle w:val="Brdtekst"/>
        <w:ind w:left="851"/>
        <w:rPr>
          <w:sz w:val="24"/>
          <w:szCs w:val="24"/>
        </w:rPr>
      </w:pPr>
    </w:p>
    <w:p w14:paraId="45ACFB53" w14:textId="77777777" w:rsidR="00385884" w:rsidRPr="0076460E" w:rsidRDefault="00385884" w:rsidP="002636B7">
      <w:pPr>
        <w:pStyle w:val="Brdtekst"/>
        <w:ind w:left="851"/>
        <w:rPr>
          <w:sz w:val="24"/>
          <w:szCs w:val="24"/>
        </w:rPr>
      </w:pPr>
      <w:r w:rsidRPr="0076460E">
        <w:rPr>
          <w:sz w:val="24"/>
          <w:szCs w:val="24"/>
        </w:rPr>
        <w:t xml:space="preserve">PIPF-016 compared treatment with pirfenidone 2,403 mg/day to placebo. Treatment was administered three times daily for 52 weeks. The primary endpoint was the change from Baseline to Week 52 in percent predicted FVC. In a total of 555 patients, the median baseline percent predicted FVC and </w:t>
      </w:r>
      <w:r w:rsidRPr="0076460E">
        <w:rPr>
          <w:position w:val="1"/>
          <w:sz w:val="24"/>
          <w:szCs w:val="24"/>
        </w:rPr>
        <w:t>%DL</w:t>
      </w:r>
      <w:r w:rsidRPr="0076460E">
        <w:rPr>
          <w:sz w:val="24"/>
          <w:szCs w:val="24"/>
        </w:rPr>
        <w:t xml:space="preserve">CO </w:t>
      </w:r>
      <w:r w:rsidRPr="0076460E">
        <w:rPr>
          <w:spacing w:val="-3"/>
          <w:position w:val="1"/>
          <w:sz w:val="24"/>
          <w:szCs w:val="24"/>
        </w:rPr>
        <w:t xml:space="preserve">were </w:t>
      </w:r>
      <w:r w:rsidRPr="0076460E">
        <w:rPr>
          <w:position w:val="1"/>
          <w:sz w:val="24"/>
          <w:szCs w:val="24"/>
        </w:rPr>
        <w:t xml:space="preserve">68% (range: 48–91%) </w:t>
      </w:r>
      <w:r w:rsidRPr="0076460E">
        <w:rPr>
          <w:spacing w:val="-4"/>
          <w:position w:val="1"/>
          <w:sz w:val="24"/>
          <w:szCs w:val="24"/>
        </w:rPr>
        <w:t xml:space="preserve">and </w:t>
      </w:r>
      <w:r w:rsidRPr="0076460E">
        <w:rPr>
          <w:position w:val="1"/>
          <w:sz w:val="24"/>
          <w:szCs w:val="24"/>
        </w:rPr>
        <w:t xml:space="preserve">42% </w:t>
      </w:r>
      <w:r w:rsidRPr="0076460E">
        <w:rPr>
          <w:spacing w:val="-3"/>
          <w:position w:val="1"/>
          <w:sz w:val="24"/>
          <w:szCs w:val="24"/>
        </w:rPr>
        <w:t xml:space="preserve">(range: </w:t>
      </w:r>
      <w:r w:rsidRPr="0076460E">
        <w:rPr>
          <w:position w:val="1"/>
          <w:sz w:val="24"/>
          <w:szCs w:val="24"/>
        </w:rPr>
        <w:t xml:space="preserve">27–170%), respectively. </w:t>
      </w:r>
      <w:r w:rsidRPr="0076460E">
        <w:rPr>
          <w:spacing w:val="-4"/>
          <w:position w:val="1"/>
          <w:sz w:val="24"/>
          <w:szCs w:val="24"/>
        </w:rPr>
        <w:t xml:space="preserve">Two </w:t>
      </w:r>
      <w:r w:rsidRPr="0076460E">
        <w:rPr>
          <w:position w:val="1"/>
          <w:sz w:val="24"/>
          <w:szCs w:val="24"/>
        </w:rPr>
        <w:t xml:space="preserve">percent of patients had </w:t>
      </w:r>
      <w:r w:rsidRPr="0076460E">
        <w:rPr>
          <w:spacing w:val="-3"/>
          <w:position w:val="1"/>
          <w:sz w:val="24"/>
          <w:szCs w:val="24"/>
        </w:rPr>
        <w:t xml:space="preserve">percent </w:t>
      </w:r>
      <w:r w:rsidRPr="0076460E">
        <w:rPr>
          <w:position w:val="1"/>
          <w:sz w:val="24"/>
          <w:szCs w:val="24"/>
        </w:rPr>
        <w:t xml:space="preserve">predicted </w:t>
      </w:r>
      <w:r w:rsidRPr="0076460E">
        <w:rPr>
          <w:spacing w:val="-4"/>
          <w:position w:val="1"/>
          <w:sz w:val="24"/>
          <w:szCs w:val="24"/>
        </w:rPr>
        <w:t xml:space="preserve">FVC </w:t>
      </w:r>
      <w:r w:rsidRPr="0076460E">
        <w:rPr>
          <w:spacing w:val="-3"/>
          <w:position w:val="1"/>
          <w:sz w:val="24"/>
          <w:szCs w:val="24"/>
        </w:rPr>
        <w:t xml:space="preserve">below </w:t>
      </w:r>
      <w:r w:rsidRPr="0076460E">
        <w:rPr>
          <w:position w:val="1"/>
          <w:sz w:val="24"/>
          <w:szCs w:val="24"/>
        </w:rPr>
        <w:t xml:space="preserve">50% and </w:t>
      </w:r>
      <w:r w:rsidRPr="0076460E">
        <w:rPr>
          <w:spacing w:val="-3"/>
          <w:position w:val="1"/>
          <w:sz w:val="24"/>
          <w:szCs w:val="24"/>
        </w:rPr>
        <w:t xml:space="preserve">21% </w:t>
      </w:r>
      <w:r w:rsidRPr="0076460E">
        <w:rPr>
          <w:position w:val="1"/>
          <w:sz w:val="24"/>
          <w:szCs w:val="24"/>
        </w:rPr>
        <w:t xml:space="preserve">of patients had a </w:t>
      </w:r>
      <w:r w:rsidRPr="0076460E">
        <w:rPr>
          <w:spacing w:val="-3"/>
          <w:position w:val="1"/>
          <w:sz w:val="24"/>
          <w:szCs w:val="24"/>
        </w:rPr>
        <w:t xml:space="preserve">percent </w:t>
      </w:r>
      <w:r w:rsidRPr="0076460E">
        <w:rPr>
          <w:position w:val="1"/>
          <w:sz w:val="24"/>
          <w:szCs w:val="24"/>
        </w:rPr>
        <w:t>predicted DL</w:t>
      </w:r>
      <w:r w:rsidRPr="0076460E">
        <w:rPr>
          <w:sz w:val="24"/>
          <w:szCs w:val="24"/>
        </w:rPr>
        <w:t xml:space="preserve">CO </w:t>
      </w:r>
      <w:r w:rsidRPr="0076460E">
        <w:rPr>
          <w:spacing w:val="-3"/>
          <w:position w:val="1"/>
          <w:sz w:val="24"/>
          <w:szCs w:val="24"/>
        </w:rPr>
        <w:t xml:space="preserve">below </w:t>
      </w:r>
      <w:r w:rsidRPr="0076460E">
        <w:rPr>
          <w:position w:val="1"/>
          <w:sz w:val="24"/>
          <w:szCs w:val="24"/>
        </w:rPr>
        <w:t xml:space="preserve">35% </w:t>
      </w:r>
      <w:r w:rsidRPr="0076460E">
        <w:rPr>
          <w:sz w:val="24"/>
          <w:szCs w:val="24"/>
        </w:rPr>
        <w:t>at</w:t>
      </w:r>
      <w:r w:rsidRPr="0076460E">
        <w:rPr>
          <w:spacing w:val="4"/>
          <w:sz w:val="24"/>
          <w:szCs w:val="24"/>
        </w:rPr>
        <w:t xml:space="preserve"> </w:t>
      </w:r>
      <w:r w:rsidRPr="0076460E">
        <w:rPr>
          <w:sz w:val="24"/>
          <w:szCs w:val="24"/>
        </w:rPr>
        <w:t>Baseline.</w:t>
      </w:r>
    </w:p>
    <w:p w14:paraId="18327F4A" w14:textId="77777777" w:rsidR="00385884" w:rsidRPr="0076460E" w:rsidRDefault="00385884" w:rsidP="002636B7">
      <w:pPr>
        <w:pStyle w:val="Brdtekst"/>
        <w:ind w:left="851"/>
        <w:rPr>
          <w:sz w:val="24"/>
          <w:szCs w:val="24"/>
        </w:rPr>
      </w:pPr>
    </w:p>
    <w:p w14:paraId="6449EF14" w14:textId="77777777" w:rsidR="00385884" w:rsidRPr="0076460E" w:rsidRDefault="00385884" w:rsidP="002636B7">
      <w:pPr>
        <w:pStyle w:val="Brdtekst"/>
        <w:ind w:left="851"/>
        <w:rPr>
          <w:sz w:val="24"/>
          <w:szCs w:val="24"/>
        </w:rPr>
      </w:pPr>
      <w:r w:rsidRPr="0076460E">
        <w:rPr>
          <w:sz w:val="24"/>
          <w:szCs w:val="24"/>
        </w:rPr>
        <w:t>In study PIPF-016, the decline of percent predicted FVC from Baseline at Week 52 of treatment was significantly reduced in patients receiving pirfenidone (N=278) compared with patients receiving placebo (N=277; p&lt;0.000001, rank ANCOVA). Treatment with Pirfenidone also significantly reduced the decline of percent predicted FVC from Baseline at Weeks 13 (p&lt;0.000001), 26 (p&lt;0.000001), and 39 (p=0.000002). At Week 52, a decline from Baseline in percent predicted FVC of ≥10% or death was seen in 17% of patients receiving pirfenidone compared to 32% receiving placebo (Table 4).</w:t>
      </w:r>
    </w:p>
    <w:p w14:paraId="74145997" w14:textId="77777777" w:rsidR="00385884" w:rsidRPr="0076460E" w:rsidRDefault="00385884" w:rsidP="002636B7">
      <w:pPr>
        <w:pStyle w:val="Brdtekst"/>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3"/>
        <w:gridCol w:w="1584"/>
        <w:gridCol w:w="1604"/>
      </w:tblGrid>
      <w:tr w:rsidR="00385884" w:rsidRPr="005A56F3" w14:paraId="5122745E" w14:textId="77777777" w:rsidTr="00652FCA">
        <w:trPr>
          <w:trHeight w:val="590"/>
        </w:trPr>
        <w:tc>
          <w:tcPr>
            <w:tcW w:w="7371" w:type="dxa"/>
            <w:gridSpan w:val="3"/>
            <w:tcBorders>
              <w:top w:val="single" w:sz="4" w:space="0" w:color="000000"/>
              <w:left w:val="single" w:sz="4" w:space="0" w:color="000000"/>
              <w:bottom w:val="single" w:sz="4" w:space="0" w:color="000000"/>
              <w:right w:val="single" w:sz="4" w:space="0" w:color="000000"/>
            </w:tcBorders>
            <w:hideMark/>
          </w:tcPr>
          <w:p w14:paraId="4BBDF30F" w14:textId="562ADAD8" w:rsidR="00385884" w:rsidRDefault="00385884" w:rsidP="002636B7">
            <w:pPr>
              <w:pStyle w:val="TableParagraph"/>
              <w:tabs>
                <w:tab w:val="left" w:pos="1231"/>
              </w:tabs>
              <w:ind w:left="107"/>
              <w:rPr>
                <w:b/>
              </w:rPr>
            </w:pPr>
            <w:r>
              <w:rPr>
                <w:b/>
              </w:rPr>
              <w:t>Table</w:t>
            </w:r>
            <w:r>
              <w:rPr>
                <w:b/>
                <w:spacing w:val="4"/>
              </w:rPr>
              <w:t xml:space="preserve"> </w:t>
            </w:r>
            <w:r>
              <w:rPr>
                <w:b/>
              </w:rPr>
              <w:t>4</w:t>
            </w:r>
            <w:r>
              <w:rPr>
                <w:b/>
              </w:rPr>
              <w:tab/>
            </w:r>
            <w:r>
              <w:rPr>
                <w:b/>
                <w:spacing w:val="-3"/>
              </w:rPr>
              <w:t xml:space="preserve">Categorical assessment </w:t>
            </w:r>
            <w:r>
              <w:rPr>
                <w:b/>
              </w:rPr>
              <w:t xml:space="preserve">of change </w:t>
            </w:r>
            <w:r>
              <w:rPr>
                <w:b/>
                <w:spacing w:val="-4"/>
              </w:rPr>
              <w:t xml:space="preserve">from </w:t>
            </w:r>
            <w:r>
              <w:rPr>
                <w:b/>
              </w:rPr>
              <w:t>Baseline to</w:t>
            </w:r>
            <w:r>
              <w:rPr>
                <w:b/>
                <w:spacing w:val="16"/>
              </w:rPr>
              <w:t xml:space="preserve"> </w:t>
            </w:r>
            <w:r>
              <w:rPr>
                <w:b/>
              </w:rPr>
              <w:t>Week</w:t>
            </w:r>
            <w:r>
              <w:rPr>
                <w:b/>
                <w:spacing w:val="-7"/>
              </w:rPr>
              <w:t xml:space="preserve"> </w:t>
            </w:r>
            <w:r>
              <w:rPr>
                <w:b/>
              </w:rPr>
              <w:t>52</w:t>
            </w:r>
            <w:r>
              <w:rPr>
                <w:b/>
                <w:w w:val="101"/>
              </w:rPr>
              <w:t xml:space="preserve"> </w:t>
            </w:r>
            <w:r>
              <w:rPr>
                <w:b/>
                <w:spacing w:val="-3"/>
              </w:rPr>
              <w:t xml:space="preserve">in </w:t>
            </w:r>
            <w:r w:rsidR="00652FCA">
              <w:rPr>
                <w:b/>
                <w:spacing w:val="-3"/>
              </w:rPr>
              <w:tab/>
            </w:r>
            <w:r>
              <w:rPr>
                <w:b/>
              </w:rPr>
              <w:t xml:space="preserve">percent predicted FVC </w:t>
            </w:r>
            <w:r>
              <w:rPr>
                <w:b/>
                <w:spacing w:val="-3"/>
              </w:rPr>
              <w:t xml:space="preserve">in </w:t>
            </w:r>
            <w:r>
              <w:rPr>
                <w:b/>
              </w:rPr>
              <w:t>study</w:t>
            </w:r>
            <w:r>
              <w:rPr>
                <w:b/>
                <w:spacing w:val="-2"/>
              </w:rPr>
              <w:t xml:space="preserve"> </w:t>
            </w:r>
            <w:r>
              <w:rPr>
                <w:b/>
              </w:rPr>
              <w:t>PIPF-016</w:t>
            </w:r>
          </w:p>
        </w:tc>
      </w:tr>
      <w:tr w:rsidR="00385884" w14:paraId="5E95B8DD" w14:textId="77777777" w:rsidTr="00652FCA">
        <w:trPr>
          <w:trHeight w:hRule="exact" w:val="763"/>
        </w:trPr>
        <w:tc>
          <w:tcPr>
            <w:tcW w:w="4183" w:type="dxa"/>
            <w:tcBorders>
              <w:top w:val="single" w:sz="4" w:space="0" w:color="000000"/>
              <w:left w:val="single" w:sz="4" w:space="0" w:color="000000"/>
              <w:bottom w:val="single" w:sz="4" w:space="0" w:color="000000"/>
              <w:right w:val="single" w:sz="4" w:space="0" w:color="000000"/>
            </w:tcBorders>
          </w:tcPr>
          <w:p w14:paraId="31D725E6" w14:textId="77777777" w:rsidR="00385884" w:rsidRPr="00385884" w:rsidRDefault="00385884" w:rsidP="002636B7">
            <w:pPr>
              <w:rPr>
                <w:lang w:val="en-US"/>
              </w:rPr>
            </w:pPr>
          </w:p>
        </w:tc>
        <w:tc>
          <w:tcPr>
            <w:tcW w:w="1584" w:type="dxa"/>
            <w:tcBorders>
              <w:top w:val="single" w:sz="4" w:space="0" w:color="000000"/>
              <w:left w:val="single" w:sz="4" w:space="0" w:color="000000"/>
              <w:bottom w:val="single" w:sz="4" w:space="0" w:color="000000"/>
              <w:right w:val="single" w:sz="4" w:space="0" w:color="000000"/>
            </w:tcBorders>
            <w:hideMark/>
          </w:tcPr>
          <w:p w14:paraId="25D5A3AD" w14:textId="77777777" w:rsidR="00385884" w:rsidRDefault="00385884" w:rsidP="002636B7">
            <w:pPr>
              <w:pStyle w:val="TableParagraph"/>
              <w:ind w:left="165" w:hanging="13"/>
              <w:jc w:val="center"/>
              <w:rPr>
                <w:b/>
              </w:rPr>
            </w:pPr>
            <w:r>
              <w:rPr>
                <w:b/>
              </w:rPr>
              <w:t>Pirfenidone 2,403 mg/day</w:t>
            </w:r>
          </w:p>
          <w:p w14:paraId="0FF4E364" w14:textId="77777777" w:rsidR="00385884" w:rsidRDefault="00385884" w:rsidP="002636B7">
            <w:pPr>
              <w:pStyle w:val="TableParagraph"/>
              <w:ind w:left="302"/>
              <w:jc w:val="center"/>
              <w:rPr>
                <w:b/>
              </w:rPr>
            </w:pPr>
            <w:r>
              <w:rPr>
                <w:b/>
              </w:rPr>
              <w:t>(N = 278)</w:t>
            </w:r>
          </w:p>
        </w:tc>
        <w:tc>
          <w:tcPr>
            <w:tcW w:w="1604" w:type="dxa"/>
            <w:tcBorders>
              <w:top w:val="single" w:sz="4" w:space="0" w:color="000000"/>
              <w:left w:val="single" w:sz="4" w:space="0" w:color="000000"/>
              <w:bottom w:val="single" w:sz="4" w:space="0" w:color="000000"/>
              <w:right w:val="single" w:sz="4" w:space="0" w:color="000000"/>
            </w:tcBorders>
          </w:tcPr>
          <w:p w14:paraId="40C42801" w14:textId="77777777" w:rsidR="00385884" w:rsidRDefault="00385884" w:rsidP="002636B7">
            <w:pPr>
              <w:pStyle w:val="TableParagraph"/>
              <w:ind w:left="0"/>
            </w:pPr>
          </w:p>
          <w:p w14:paraId="7F27E405" w14:textId="77777777" w:rsidR="00652FCA" w:rsidRDefault="00385884" w:rsidP="002636B7">
            <w:pPr>
              <w:pStyle w:val="TableParagraph"/>
              <w:ind w:left="230" w:firstLine="64"/>
              <w:rPr>
                <w:b/>
              </w:rPr>
            </w:pPr>
            <w:r>
              <w:rPr>
                <w:b/>
              </w:rPr>
              <w:t xml:space="preserve">Placebo </w:t>
            </w:r>
          </w:p>
          <w:p w14:paraId="403F7C70" w14:textId="28AFE66E" w:rsidR="00385884" w:rsidRDefault="00385884" w:rsidP="002636B7">
            <w:pPr>
              <w:pStyle w:val="TableParagraph"/>
              <w:ind w:left="230" w:firstLine="64"/>
              <w:rPr>
                <w:b/>
              </w:rPr>
            </w:pPr>
            <w:r>
              <w:rPr>
                <w:b/>
              </w:rPr>
              <w:t>(N = 277)</w:t>
            </w:r>
          </w:p>
        </w:tc>
      </w:tr>
      <w:tr w:rsidR="00385884" w14:paraId="60D434D5" w14:textId="77777777" w:rsidTr="00652FCA">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30E1F0DE" w14:textId="77777777" w:rsidR="00385884" w:rsidRDefault="00385884" w:rsidP="002636B7">
            <w:pPr>
              <w:pStyle w:val="TableParagraph"/>
              <w:ind w:left="107"/>
            </w:pPr>
            <w:r>
              <w:t>Decline of ≥10% or death</w:t>
            </w:r>
          </w:p>
        </w:tc>
        <w:tc>
          <w:tcPr>
            <w:tcW w:w="1584" w:type="dxa"/>
            <w:tcBorders>
              <w:top w:val="single" w:sz="4" w:space="0" w:color="000000"/>
              <w:left w:val="single" w:sz="4" w:space="0" w:color="000000"/>
              <w:bottom w:val="single" w:sz="4" w:space="0" w:color="000000"/>
              <w:right w:val="single" w:sz="4" w:space="0" w:color="000000"/>
            </w:tcBorders>
            <w:hideMark/>
          </w:tcPr>
          <w:p w14:paraId="66E254C8" w14:textId="77777777" w:rsidR="00385884" w:rsidRDefault="00385884" w:rsidP="002636B7">
            <w:pPr>
              <w:pStyle w:val="TableParagraph"/>
              <w:ind w:left="302"/>
              <w:jc w:val="center"/>
            </w:pPr>
            <w:r>
              <w:t>46 (17%)</w:t>
            </w:r>
          </w:p>
        </w:tc>
        <w:tc>
          <w:tcPr>
            <w:tcW w:w="1604" w:type="dxa"/>
            <w:tcBorders>
              <w:top w:val="single" w:sz="4" w:space="0" w:color="000000"/>
              <w:left w:val="single" w:sz="4" w:space="0" w:color="000000"/>
              <w:bottom w:val="single" w:sz="4" w:space="0" w:color="000000"/>
              <w:right w:val="single" w:sz="4" w:space="0" w:color="000000"/>
            </w:tcBorders>
            <w:hideMark/>
          </w:tcPr>
          <w:p w14:paraId="13DB5839" w14:textId="77777777" w:rsidR="00385884" w:rsidRDefault="00385884" w:rsidP="002636B7">
            <w:pPr>
              <w:pStyle w:val="TableParagraph"/>
              <w:ind w:left="179"/>
              <w:jc w:val="center"/>
            </w:pPr>
            <w:r>
              <w:t>88 (32%)</w:t>
            </w:r>
          </w:p>
        </w:tc>
      </w:tr>
      <w:tr w:rsidR="00385884" w14:paraId="5D724F6D" w14:textId="77777777" w:rsidTr="00652FCA">
        <w:trPr>
          <w:trHeight w:hRule="exact" w:val="324"/>
        </w:trPr>
        <w:tc>
          <w:tcPr>
            <w:tcW w:w="4183" w:type="dxa"/>
            <w:tcBorders>
              <w:top w:val="single" w:sz="4" w:space="0" w:color="000000"/>
              <w:left w:val="single" w:sz="4" w:space="0" w:color="000000"/>
              <w:bottom w:val="single" w:sz="4" w:space="0" w:color="000000"/>
              <w:right w:val="single" w:sz="4" w:space="0" w:color="000000"/>
            </w:tcBorders>
            <w:hideMark/>
          </w:tcPr>
          <w:p w14:paraId="47FBBD13" w14:textId="77777777" w:rsidR="00385884" w:rsidRDefault="00385884" w:rsidP="002636B7">
            <w:pPr>
              <w:pStyle w:val="TableParagraph"/>
              <w:ind w:left="107"/>
            </w:pPr>
            <w:r>
              <w:t>Decline of less than 10%</w:t>
            </w:r>
          </w:p>
        </w:tc>
        <w:tc>
          <w:tcPr>
            <w:tcW w:w="1584" w:type="dxa"/>
            <w:tcBorders>
              <w:top w:val="single" w:sz="4" w:space="0" w:color="000000"/>
              <w:left w:val="single" w:sz="4" w:space="0" w:color="000000"/>
              <w:bottom w:val="single" w:sz="4" w:space="0" w:color="000000"/>
              <w:right w:val="single" w:sz="4" w:space="0" w:color="000000"/>
            </w:tcBorders>
            <w:hideMark/>
          </w:tcPr>
          <w:p w14:paraId="1F9158BF" w14:textId="77777777" w:rsidR="00385884" w:rsidRDefault="00385884" w:rsidP="002636B7">
            <w:pPr>
              <w:pStyle w:val="TableParagraph"/>
              <w:ind w:left="302"/>
              <w:jc w:val="center"/>
            </w:pPr>
            <w:r>
              <w:t>169 (61%)</w:t>
            </w:r>
          </w:p>
        </w:tc>
        <w:tc>
          <w:tcPr>
            <w:tcW w:w="1604" w:type="dxa"/>
            <w:tcBorders>
              <w:top w:val="single" w:sz="4" w:space="0" w:color="000000"/>
              <w:left w:val="single" w:sz="4" w:space="0" w:color="000000"/>
              <w:bottom w:val="single" w:sz="4" w:space="0" w:color="000000"/>
              <w:right w:val="single" w:sz="4" w:space="0" w:color="000000"/>
            </w:tcBorders>
            <w:hideMark/>
          </w:tcPr>
          <w:p w14:paraId="26065EDF" w14:textId="77777777" w:rsidR="00385884" w:rsidRDefault="00385884" w:rsidP="002636B7">
            <w:pPr>
              <w:pStyle w:val="TableParagraph"/>
              <w:ind w:left="179"/>
              <w:jc w:val="center"/>
            </w:pPr>
            <w:r>
              <w:t>162 (58%)</w:t>
            </w:r>
          </w:p>
        </w:tc>
      </w:tr>
      <w:tr w:rsidR="00385884" w14:paraId="320757C6" w14:textId="77777777" w:rsidTr="00652FCA">
        <w:trPr>
          <w:trHeight w:hRule="exact" w:val="331"/>
        </w:trPr>
        <w:tc>
          <w:tcPr>
            <w:tcW w:w="4183" w:type="dxa"/>
            <w:tcBorders>
              <w:top w:val="single" w:sz="4" w:space="0" w:color="000000"/>
              <w:left w:val="single" w:sz="4" w:space="0" w:color="000000"/>
              <w:bottom w:val="single" w:sz="4" w:space="0" w:color="000000"/>
              <w:right w:val="single" w:sz="4" w:space="0" w:color="000000"/>
            </w:tcBorders>
            <w:hideMark/>
          </w:tcPr>
          <w:p w14:paraId="055DEE34" w14:textId="77777777" w:rsidR="00385884" w:rsidRDefault="00385884" w:rsidP="002636B7">
            <w:pPr>
              <w:pStyle w:val="TableParagraph"/>
              <w:ind w:left="107"/>
            </w:pPr>
            <w:r>
              <w:t>No decline (FVC change &gt;0%)</w:t>
            </w:r>
          </w:p>
        </w:tc>
        <w:tc>
          <w:tcPr>
            <w:tcW w:w="1584" w:type="dxa"/>
            <w:tcBorders>
              <w:top w:val="single" w:sz="4" w:space="0" w:color="000000"/>
              <w:left w:val="single" w:sz="4" w:space="0" w:color="000000"/>
              <w:bottom w:val="single" w:sz="4" w:space="0" w:color="000000"/>
              <w:right w:val="single" w:sz="4" w:space="0" w:color="000000"/>
            </w:tcBorders>
            <w:hideMark/>
          </w:tcPr>
          <w:p w14:paraId="7F88000D" w14:textId="77777777" w:rsidR="00385884" w:rsidRDefault="00385884" w:rsidP="002636B7">
            <w:pPr>
              <w:pStyle w:val="TableParagraph"/>
              <w:ind w:left="298"/>
              <w:jc w:val="center"/>
              <w:rPr>
                <w:sz w:val="20"/>
              </w:rPr>
            </w:pPr>
            <w:r>
              <w:rPr>
                <w:sz w:val="20"/>
              </w:rPr>
              <w:t>63 (23%)</w:t>
            </w:r>
          </w:p>
        </w:tc>
        <w:tc>
          <w:tcPr>
            <w:tcW w:w="1604" w:type="dxa"/>
            <w:tcBorders>
              <w:top w:val="single" w:sz="4" w:space="0" w:color="000000"/>
              <w:left w:val="single" w:sz="4" w:space="0" w:color="000000"/>
              <w:bottom w:val="single" w:sz="4" w:space="0" w:color="000000"/>
              <w:right w:val="single" w:sz="4" w:space="0" w:color="000000"/>
            </w:tcBorders>
            <w:hideMark/>
          </w:tcPr>
          <w:p w14:paraId="1F76F7A6" w14:textId="77777777" w:rsidR="00385884" w:rsidRDefault="00385884" w:rsidP="002636B7">
            <w:pPr>
              <w:pStyle w:val="TableParagraph"/>
              <w:ind w:left="172"/>
              <w:jc w:val="center"/>
              <w:rPr>
                <w:sz w:val="20"/>
              </w:rPr>
            </w:pPr>
            <w:r>
              <w:rPr>
                <w:sz w:val="20"/>
              </w:rPr>
              <w:t>27 (10%)</w:t>
            </w:r>
          </w:p>
        </w:tc>
      </w:tr>
    </w:tbl>
    <w:p w14:paraId="5EBF10CF" w14:textId="77777777" w:rsidR="00385884" w:rsidRDefault="00385884" w:rsidP="002636B7">
      <w:pPr>
        <w:pStyle w:val="Brdtekst"/>
        <w:rPr>
          <w:sz w:val="20"/>
        </w:rPr>
      </w:pPr>
    </w:p>
    <w:p w14:paraId="62F4B2C8" w14:textId="77777777" w:rsidR="00385884" w:rsidRPr="0076460E" w:rsidRDefault="00385884" w:rsidP="002636B7">
      <w:pPr>
        <w:pStyle w:val="Brdtekst"/>
        <w:ind w:left="851"/>
        <w:rPr>
          <w:sz w:val="24"/>
          <w:szCs w:val="24"/>
        </w:rPr>
      </w:pPr>
      <w:r w:rsidRPr="0076460E">
        <w:rPr>
          <w:sz w:val="24"/>
          <w:szCs w:val="24"/>
        </w:rPr>
        <w:t>The decline in distance walked during a 6MWT from Baseline to Week 52 was significantly reduced in patients receiving Pirfenidone compared with patients receiving placebo in PIPF-016 (p=0.036, rank ANCOVA); 26% of patients receiving pirfenidone showed a decline of ≥50 m in 6MWT distance compared to 36% of patients receiving placebo.</w:t>
      </w:r>
    </w:p>
    <w:p w14:paraId="607B9DD6" w14:textId="77777777" w:rsidR="00385884" w:rsidRPr="0076460E" w:rsidRDefault="00385884" w:rsidP="002636B7">
      <w:pPr>
        <w:pStyle w:val="Brdtekst"/>
        <w:ind w:left="851"/>
        <w:rPr>
          <w:sz w:val="24"/>
          <w:szCs w:val="24"/>
        </w:rPr>
      </w:pPr>
    </w:p>
    <w:p w14:paraId="01630C43" w14:textId="77777777" w:rsidR="00385884" w:rsidRPr="0076460E" w:rsidRDefault="00385884" w:rsidP="002636B7">
      <w:pPr>
        <w:pStyle w:val="Brdtekst"/>
        <w:ind w:left="851"/>
        <w:rPr>
          <w:sz w:val="24"/>
          <w:szCs w:val="24"/>
        </w:rPr>
      </w:pPr>
      <w:r w:rsidRPr="0076460E">
        <w:rPr>
          <w:sz w:val="24"/>
          <w:szCs w:val="24"/>
        </w:rPr>
        <w:t>In a pre-specified pooled analysis of studies PIPF-016, PIPF-004, and PIPF-006 at Month 12, all-cause mortality was significantly lower in pirfenidone 2403 mg/day group (3.5%, 22 of 623 patients) compared with placebo (6.7%, 42 of 624 patients), resulting in a 48% reduction in the risk of all-cause mortality within the first 12 months (HR 0.52 [95% CI, 0.31–0.87], p=0.0107, log-rank test).</w:t>
      </w:r>
    </w:p>
    <w:p w14:paraId="4FDA20EF" w14:textId="77777777" w:rsidR="00385884" w:rsidRPr="0076460E" w:rsidRDefault="00385884" w:rsidP="002636B7">
      <w:pPr>
        <w:pStyle w:val="Brdtekst"/>
        <w:ind w:left="851"/>
        <w:rPr>
          <w:sz w:val="24"/>
          <w:szCs w:val="24"/>
        </w:rPr>
      </w:pPr>
    </w:p>
    <w:p w14:paraId="5132760C" w14:textId="0C3EEB3D" w:rsidR="00385884" w:rsidRPr="0076460E" w:rsidRDefault="00385884" w:rsidP="002636B7">
      <w:pPr>
        <w:pStyle w:val="Brdtekst"/>
        <w:ind w:left="851"/>
        <w:rPr>
          <w:sz w:val="24"/>
          <w:szCs w:val="24"/>
        </w:rPr>
      </w:pPr>
      <w:r w:rsidRPr="0076460E">
        <w:rPr>
          <w:sz w:val="24"/>
          <w:szCs w:val="24"/>
        </w:rPr>
        <w:t xml:space="preserve">The study </w:t>
      </w:r>
      <w:r w:rsidRPr="0076460E">
        <w:rPr>
          <w:spacing w:val="-3"/>
          <w:sz w:val="24"/>
          <w:szCs w:val="24"/>
        </w:rPr>
        <w:t xml:space="preserve">(SP3) </w:t>
      </w:r>
      <w:r w:rsidRPr="0076460E">
        <w:rPr>
          <w:sz w:val="24"/>
          <w:szCs w:val="24"/>
        </w:rPr>
        <w:t xml:space="preserve">in </w:t>
      </w:r>
      <w:r w:rsidRPr="0076460E">
        <w:rPr>
          <w:spacing w:val="-3"/>
          <w:sz w:val="24"/>
          <w:szCs w:val="24"/>
        </w:rPr>
        <w:t xml:space="preserve">Japanese </w:t>
      </w:r>
      <w:r w:rsidRPr="0076460E">
        <w:rPr>
          <w:sz w:val="24"/>
          <w:szCs w:val="24"/>
        </w:rPr>
        <w:t xml:space="preserve">patients compared </w:t>
      </w:r>
      <w:r w:rsidRPr="0076460E">
        <w:rPr>
          <w:spacing w:val="-3"/>
          <w:sz w:val="24"/>
          <w:szCs w:val="24"/>
        </w:rPr>
        <w:t xml:space="preserve">pirfenidone </w:t>
      </w:r>
      <w:r w:rsidRPr="0076460E">
        <w:rPr>
          <w:sz w:val="24"/>
          <w:szCs w:val="24"/>
        </w:rPr>
        <w:t xml:space="preserve">1800 </w:t>
      </w:r>
      <w:r w:rsidRPr="0076460E">
        <w:rPr>
          <w:spacing w:val="-3"/>
          <w:sz w:val="24"/>
          <w:szCs w:val="24"/>
        </w:rPr>
        <w:t xml:space="preserve">mg/day (comparable </w:t>
      </w:r>
      <w:r w:rsidRPr="0076460E">
        <w:rPr>
          <w:sz w:val="24"/>
          <w:szCs w:val="24"/>
        </w:rPr>
        <w:t xml:space="preserve">to </w:t>
      </w:r>
      <w:r w:rsidRPr="0076460E">
        <w:rPr>
          <w:spacing w:val="-3"/>
          <w:sz w:val="24"/>
          <w:szCs w:val="24"/>
        </w:rPr>
        <w:t xml:space="preserve">2403 mg/day </w:t>
      </w:r>
      <w:r w:rsidRPr="0076460E">
        <w:rPr>
          <w:sz w:val="24"/>
          <w:szCs w:val="24"/>
        </w:rPr>
        <w:t xml:space="preserve">in the US </w:t>
      </w:r>
      <w:r w:rsidRPr="0076460E">
        <w:rPr>
          <w:spacing w:val="-4"/>
          <w:sz w:val="24"/>
          <w:szCs w:val="24"/>
        </w:rPr>
        <w:t xml:space="preserve">and </w:t>
      </w:r>
      <w:r w:rsidRPr="0076460E">
        <w:rPr>
          <w:sz w:val="24"/>
          <w:szCs w:val="24"/>
        </w:rPr>
        <w:t xml:space="preserve">European populations of PIPF-004/006 on a </w:t>
      </w:r>
      <w:r w:rsidRPr="0076460E">
        <w:rPr>
          <w:spacing w:val="-3"/>
          <w:sz w:val="24"/>
          <w:szCs w:val="24"/>
        </w:rPr>
        <w:t>weight-</w:t>
      </w:r>
      <w:proofErr w:type="spellStart"/>
      <w:r w:rsidRPr="0076460E">
        <w:rPr>
          <w:spacing w:val="-3"/>
          <w:sz w:val="24"/>
          <w:szCs w:val="24"/>
        </w:rPr>
        <w:t>normalised</w:t>
      </w:r>
      <w:proofErr w:type="spellEnd"/>
      <w:r w:rsidRPr="0076460E">
        <w:rPr>
          <w:spacing w:val="-3"/>
          <w:sz w:val="24"/>
          <w:szCs w:val="24"/>
        </w:rPr>
        <w:t xml:space="preserve"> basis) </w:t>
      </w:r>
      <w:r w:rsidRPr="0076460E">
        <w:rPr>
          <w:sz w:val="24"/>
          <w:szCs w:val="24"/>
        </w:rPr>
        <w:t xml:space="preserve">with placebo (N=110, </w:t>
      </w:r>
      <w:r w:rsidRPr="0076460E">
        <w:rPr>
          <w:spacing w:val="-4"/>
          <w:sz w:val="24"/>
          <w:szCs w:val="24"/>
        </w:rPr>
        <w:t xml:space="preserve">N=109, </w:t>
      </w:r>
      <w:r w:rsidRPr="0076460E">
        <w:rPr>
          <w:spacing w:val="-3"/>
          <w:sz w:val="24"/>
          <w:szCs w:val="24"/>
        </w:rPr>
        <w:t xml:space="preserve">respectively). Treatment </w:t>
      </w:r>
      <w:r w:rsidRPr="0076460E">
        <w:rPr>
          <w:sz w:val="24"/>
          <w:szCs w:val="24"/>
        </w:rPr>
        <w:t xml:space="preserve">with pirfenidone significantly </w:t>
      </w:r>
      <w:r w:rsidRPr="0076460E">
        <w:rPr>
          <w:spacing w:val="-3"/>
          <w:sz w:val="24"/>
          <w:szCs w:val="24"/>
        </w:rPr>
        <w:t xml:space="preserve">reduced </w:t>
      </w:r>
      <w:r w:rsidRPr="0076460E">
        <w:rPr>
          <w:sz w:val="24"/>
          <w:szCs w:val="24"/>
        </w:rPr>
        <w:t xml:space="preserve">mean decline in vital capacity (VC) at Week 52 </w:t>
      </w:r>
      <w:r w:rsidRPr="0076460E">
        <w:rPr>
          <w:spacing w:val="-3"/>
          <w:sz w:val="24"/>
          <w:szCs w:val="24"/>
        </w:rPr>
        <w:t xml:space="preserve">(the primary </w:t>
      </w:r>
      <w:r w:rsidRPr="0076460E">
        <w:rPr>
          <w:sz w:val="24"/>
          <w:szCs w:val="24"/>
        </w:rPr>
        <w:t xml:space="preserve">endpoint) </w:t>
      </w:r>
      <w:r w:rsidRPr="0076460E">
        <w:rPr>
          <w:spacing w:val="-3"/>
          <w:sz w:val="24"/>
          <w:szCs w:val="24"/>
        </w:rPr>
        <w:t xml:space="preserve">compared </w:t>
      </w:r>
      <w:r w:rsidRPr="0076460E">
        <w:rPr>
          <w:sz w:val="24"/>
          <w:szCs w:val="24"/>
        </w:rPr>
        <w:t xml:space="preserve">with </w:t>
      </w:r>
      <w:r w:rsidRPr="0076460E">
        <w:rPr>
          <w:spacing w:val="-3"/>
          <w:sz w:val="24"/>
          <w:szCs w:val="24"/>
        </w:rPr>
        <w:t xml:space="preserve">placebo </w:t>
      </w:r>
      <w:r w:rsidRPr="0076460E">
        <w:rPr>
          <w:sz w:val="24"/>
          <w:szCs w:val="24"/>
        </w:rPr>
        <w:t xml:space="preserve">(-0.09±0.02 l </w:t>
      </w:r>
      <w:r w:rsidRPr="0076460E">
        <w:rPr>
          <w:spacing w:val="-3"/>
          <w:sz w:val="24"/>
          <w:szCs w:val="24"/>
        </w:rPr>
        <w:t xml:space="preserve">versus </w:t>
      </w:r>
      <w:r w:rsidRPr="0076460E">
        <w:rPr>
          <w:sz w:val="24"/>
          <w:szCs w:val="24"/>
        </w:rPr>
        <w:t xml:space="preserve">-0.16±0.02 l respectively, p=0.042). </w:t>
      </w:r>
    </w:p>
    <w:p w14:paraId="17E7943C" w14:textId="2D9A830D" w:rsidR="00385884" w:rsidRPr="00E94C9F" w:rsidRDefault="00385884" w:rsidP="00E94C9F">
      <w:pPr>
        <w:ind w:left="851"/>
        <w:rPr>
          <w:sz w:val="24"/>
          <w:szCs w:val="24"/>
        </w:rPr>
      </w:pPr>
    </w:p>
    <w:p w14:paraId="2A25A3E4" w14:textId="514CD34B" w:rsidR="00E94C9F" w:rsidRPr="00E94C9F" w:rsidRDefault="00E94C9F" w:rsidP="00E94C9F">
      <w:pPr>
        <w:ind w:left="851"/>
        <w:rPr>
          <w:sz w:val="24"/>
          <w:szCs w:val="24"/>
          <w:lang w:val="en-US"/>
        </w:rPr>
      </w:pPr>
      <w:r w:rsidRPr="00E94C9F">
        <w:rPr>
          <w:i/>
          <w:iCs/>
          <w:sz w:val="24"/>
          <w:szCs w:val="24"/>
          <w:lang w:val="en-US"/>
        </w:rPr>
        <w:t xml:space="preserve">IPF patients with advanced lung function impairment </w:t>
      </w:r>
    </w:p>
    <w:p w14:paraId="010D34EE" w14:textId="77777777" w:rsidR="00E94C9F" w:rsidRPr="00E94C9F" w:rsidRDefault="00E94C9F" w:rsidP="00E94C9F">
      <w:pPr>
        <w:ind w:left="851"/>
        <w:rPr>
          <w:sz w:val="24"/>
          <w:szCs w:val="24"/>
        </w:rPr>
      </w:pPr>
      <w:r w:rsidRPr="00E94C9F">
        <w:rPr>
          <w:sz w:val="24"/>
          <w:szCs w:val="24"/>
        </w:rPr>
        <w:t xml:space="preserve">In </w:t>
      </w:r>
      <w:proofErr w:type="spellStart"/>
      <w:r w:rsidRPr="00E94C9F">
        <w:rPr>
          <w:sz w:val="24"/>
          <w:szCs w:val="24"/>
        </w:rPr>
        <w:t>pooled</w:t>
      </w:r>
      <w:proofErr w:type="spellEnd"/>
      <w:r w:rsidRPr="00E94C9F">
        <w:rPr>
          <w:sz w:val="24"/>
          <w:szCs w:val="24"/>
        </w:rPr>
        <w:t xml:space="preserve"> post-hoc analyses of studies PIPF-004, PIPF-006 and PIPF-016, in the population of advanced IPF (n = 170) with FVC &lt; 50% at baseline and/or </w:t>
      </w:r>
      <w:proofErr w:type="spellStart"/>
      <w:r w:rsidRPr="00E94C9F">
        <w:rPr>
          <w:sz w:val="24"/>
          <w:szCs w:val="24"/>
        </w:rPr>
        <w:t>DLco</w:t>
      </w:r>
      <w:proofErr w:type="spellEnd"/>
      <w:r w:rsidRPr="00E94C9F">
        <w:rPr>
          <w:sz w:val="24"/>
          <w:szCs w:val="24"/>
        </w:rPr>
        <w:t xml:space="preserve"> &lt; 35% at baseline, the annual decline of FVC in patients receiving pirfenidone (n=90) compared with patients receiving placebo (n=80) was -150.9 mL and -277.6 mL, respectively.</w:t>
      </w:r>
    </w:p>
    <w:p w14:paraId="72B42C6E" w14:textId="77777777" w:rsidR="00E94C9F" w:rsidRPr="00E94C9F" w:rsidRDefault="00E94C9F" w:rsidP="00E94C9F">
      <w:pPr>
        <w:ind w:left="851"/>
        <w:rPr>
          <w:sz w:val="24"/>
          <w:szCs w:val="24"/>
        </w:rPr>
      </w:pPr>
    </w:p>
    <w:p w14:paraId="05196AFB" w14:textId="77777777" w:rsidR="00E94C9F" w:rsidRPr="00E94C9F" w:rsidRDefault="00E94C9F" w:rsidP="00E94C9F">
      <w:pPr>
        <w:ind w:left="851"/>
        <w:rPr>
          <w:sz w:val="24"/>
          <w:szCs w:val="24"/>
        </w:rPr>
      </w:pPr>
      <w:r w:rsidRPr="00E94C9F">
        <w:rPr>
          <w:sz w:val="24"/>
          <w:szCs w:val="24"/>
        </w:rPr>
        <w:t xml:space="preserve">In MA29957, a supportive 52-week Phase IIb, </w:t>
      </w:r>
      <w:proofErr w:type="spellStart"/>
      <w:r w:rsidRPr="00E94C9F">
        <w:rPr>
          <w:sz w:val="24"/>
          <w:szCs w:val="24"/>
        </w:rPr>
        <w:t>multicentre</w:t>
      </w:r>
      <w:proofErr w:type="spellEnd"/>
      <w:r w:rsidRPr="00E94C9F">
        <w:rPr>
          <w:sz w:val="24"/>
          <w:szCs w:val="24"/>
        </w:rPr>
        <w:t xml:space="preserve">, </w:t>
      </w:r>
      <w:proofErr w:type="spellStart"/>
      <w:r w:rsidRPr="00E94C9F">
        <w:rPr>
          <w:sz w:val="24"/>
          <w:szCs w:val="24"/>
        </w:rPr>
        <w:t>randomised</w:t>
      </w:r>
      <w:proofErr w:type="spellEnd"/>
      <w:r w:rsidRPr="00E94C9F">
        <w:rPr>
          <w:sz w:val="24"/>
          <w:szCs w:val="24"/>
        </w:rPr>
        <w:t xml:space="preserve">, double-blind, placebo-controlled clinical trial in </w:t>
      </w:r>
      <w:proofErr w:type="gramStart"/>
      <w:r w:rsidRPr="00E94C9F">
        <w:rPr>
          <w:sz w:val="24"/>
          <w:szCs w:val="24"/>
        </w:rPr>
        <w:t>IPF patients</w:t>
      </w:r>
      <w:proofErr w:type="gramEnd"/>
      <w:r w:rsidRPr="00E94C9F">
        <w:rPr>
          <w:sz w:val="24"/>
          <w:szCs w:val="24"/>
        </w:rPr>
        <w:t xml:space="preserve"> with advanced lung function impairment (</w:t>
      </w:r>
      <w:proofErr w:type="spellStart"/>
      <w:r w:rsidRPr="00E94C9F">
        <w:rPr>
          <w:sz w:val="24"/>
          <w:szCs w:val="24"/>
        </w:rPr>
        <w:t>DLco</w:t>
      </w:r>
      <w:proofErr w:type="spellEnd"/>
      <w:r w:rsidRPr="00E94C9F">
        <w:rPr>
          <w:sz w:val="24"/>
          <w:szCs w:val="24"/>
        </w:rPr>
        <w:t xml:space="preserve"> &lt; 40% of predicted) and at high risk of grade 3 pulmonary hypertension, 89 patients treated with pirfenidone monotherapy had a similar decline in FVC as pirfenidone-treated patients in the post-hoc analysis of the pooled phase 3 trials PIPF-004, PIPF-006, and PIPF-016.</w:t>
      </w:r>
    </w:p>
    <w:p w14:paraId="1BA263DD" w14:textId="77777777" w:rsidR="00E94C9F" w:rsidRPr="00E94C9F" w:rsidRDefault="00E94C9F" w:rsidP="00E94C9F">
      <w:pPr>
        <w:ind w:left="851"/>
        <w:rPr>
          <w:sz w:val="24"/>
          <w:szCs w:val="24"/>
        </w:rPr>
      </w:pPr>
    </w:p>
    <w:p w14:paraId="2A2E8E86" w14:textId="77777777" w:rsidR="00385884" w:rsidRPr="0076460E" w:rsidRDefault="00385884" w:rsidP="002636B7">
      <w:pPr>
        <w:pStyle w:val="Brdtekst"/>
        <w:ind w:left="851"/>
        <w:rPr>
          <w:sz w:val="24"/>
          <w:szCs w:val="24"/>
          <w:u w:val="single"/>
        </w:rPr>
      </w:pPr>
      <w:r w:rsidRPr="0076460E">
        <w:rPr>
          <w:sz w:val="24"/>
          <w:szCs w:val="24"/>
          <w:u w:val="single"/>
        </w:rPr>
        <w:t>Paediatric population</w:t>
      </w:r>
    </w:p>
    <w:p w14:paraId="48CEB3FD" w14:textId="77777777" w:rsidR="00385884" w:rsidRPr="0076460E" w:rsidRDefault="00385884" w:rsidP="002636B7">
      <w:pPr>
        <w:pStyle w:val="Brdtekst"/>
        <w:ind w:left="851"/>
        <w:rPr>
          <w:sz w:val="24"/>
          <w:szCs w:val="24"/>
        </w:rPr>
      </w:pPr>
      <w:r w:rsidRPr="0076460E">
        <w:rPr>
          <w:sz w:val="24"/>
          <w:szCs w:val="24"/>
        </w:rPr>
        <w:t>The European Medicines Agency has waived the obligation to submit the results of studies with pirfenidone in all subsets of the paediatric population in IPF (see section 4.2 for information on paediatric use).</w:t>
      </w:r>
    </w:p>
    <w:p w14:paraId="6F9A8B14" w14:textId="77777777" w:rsidR="007C5D2A" w:rsidRPr="0076460E" w:rsidRDefault="007C5D2A" w:rsidP="002636B7">
      <w:pPr>
        <w:tabs>
          <w:tab w:val="left" w:pos="851"/>
        </w:tabs>
        <w:ind w:left="851"/>
        <w:rPr>
          <w:sz w:val="24"/>
          <w:szCs w:val="24"/>
          <w:lang w:val="en-US"/>
        </w:rPr>
      </w:pPr>
    </w:p>
    <w:p w14:paraId="16D660CD" w14:textId="5059843B" w:rsidR="007C5D2A" w:rsidRPr="00303008" w:rsidRDefault="007C5D2A" w:rsidP="002636B7">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36FBB0FB" w14:textId="77777777" w:rsidR="00302448" w:rsidRPr="002636B7" w:rsidRDefault="00302448" w:rsidP="002636B7">
      <w:pPr>
        <w:pStyle w:val="Brdtekst"/>
        <w:ind w:left="851" w:hanging="1"/>
        <w:rPr>
          <w:sz w:val="24"/>
          <w:szCs w:val="24"/>
        </w:rPr>
      </w:pPr>
    </w:p>
    <w:p w14:paraId="70C1690B" w14:textId="77777777" w:rsidR="00302448" w:rsidRPr="00302448" w:rsidRDefault="00302448" w:rsidP="002636B7">
      <w:pPr>
        <w:pStyle w:val="Brdtekst"/>
        <w:ind w:left="851" w:hanging="1"/>
        <w:rPr>
          <w:sz w:val="24"/>
          <w:szCs w:val="24"/>
        </w:rPr>
      </w:pPr>
      <w:r w:rsidRPr="00302448">
        <w:rPr>
          <w:sz w:val="24"/>
          <w:szCs w:val="24"/>
          <w:u w:val="single"/>
        </w:rPr>
        <w:t>Absorption</w:t>
      </w:r>
    </w:p>
    <w:p w14:paraId="43A509B5" w14:textId="6C557723" w:rsidR="00302448" w:rsidRPr="00302448" w:rsidRDefault="00302448" w:rsidP="002636B7">
      <w:pPr>
        <w:pStyle w:val="Brdtekst"/>
        <w:ind w:left="851" w:hanging="1"/>
        <w:rPr>
          <w:sz w:val="24"/>
          <w:szCs w:val="24"/>
        </w:rPr>
      </w:pPr>
      <w:r w:rsidRPr="00302448">
        <w:rPr>
          <w:sz w:val="24"/>
          <w:szCs w:val="24"/>
        </w:rPr>
        <w:t xml:space="preserve">Administration of pirfenidone capsules with food results in a large reduction in </w:t>
      </w:r>
      <w:proofErr w:type="spellStart"/>
      <w:r w:rsidRPr="00302448">
        <w:rPr>
          <w:sz w:val="24"/>
          <w:szCs w:val="24"/>
        </w:rPr>
        <w:t>Cmax</w:t>
      </w:r>
      <w:proofErr w:type="spellEnd"/>
      <w:r w:rsidRPr="00302448">
        <w:rPr>
          <w:sz w:val="24"/>
          <w:szCs w:val="24"/>
        </w:rPr>
        <w:t xml:space="preserve"> (by 50%) and a smaller effect on AUC, compared to the fasted state. Following oral administration of a single dose of 801 mg to healthy older adult volunteers (50-66 years of age) in the fed state, the rate of pirfenidone absorption slowed, while the AUC in the fed state was approximately 80-85% of the AUC observed in the fasted state. Compared to the fasted state, the oral administration of pirfenidone with food reduced pirfenidone </w:t>
      </w:r>
      <w:proofErr w:type="spellStart"/>
      <w:r w:rsidRPr="00302448">
        <w:rPr>
          <w:sz w:val="24"/>
          <w:szCs w:val="24"/>
        </w:rPr>
        <w:t>Cmax</w:t>
      </w:r>
      <w:proofErr w:type="spellEnd"/>
      <w:r w:rsidRPr="00302448">
        <w:rPr>
          <w:sz w:val="24"/>
          <w:szCs w:val="24"/>
        </w:rPr>
        <w:t xml:space="preserve"> by 40% in tablet formulation. A reduced incidence of adverse events (nausea and dizziness) was observed in </w:t>
      </w:r>
      <w:r w:rsidRPr="00302448">
        <w:rPr>
          <w:spacing w:val="-3"/>
          <w:sz w:val="24"/>
          <w:szCs w:val="24"/>
        </w:rPr>
        <w:t xml:space="preserve">fed </w:t>
      </w:r>
      <w:r w:rsidRPr="00302448">
        <w:rPr>
          <w:sz w:val="24"/>
          <w:szCs w:val="24"/>
        </w:rPr>
        <w:t xml:space="preserve">subjects </w:t>
      </w:r>
      <w:r w:rsidRPr="00302448">
        <w:rPr>
          <w:spacing w:val="-4"/>
          <w:sz w:val="24"/>
          <w:szCs w:val="24"/>
        </w:rPr>
        <w:t xml:space="preserve">when </w:t>
      </w:r>
      <w:r w:rsidRPr="00302448">
        <w:rPr>
          <w:sz w:val="24"/>
          <w:szCs w:val="24"/>
        </w:rPr>
        <w:t xml:space="preserve">compared </w:t>
      </w:r>
      <w:r w:rsidR="00E94C9F">
        <w:rPr>
          <w:sz w:val="24"/>
          <w:szCs w:val="24"/>
        </w:rPr>
        <w:t xml:space="preserve">to the </w:t>
      </w:r>
      <w:r w:rsidRPr="00302448">
        <w:rPr>
          <w:spacing w:val="-3"/>
          <w:sz w:val="24"/>
          <w:szCs w:val="24"/>
        </w:rPr>
        <w:t xml:space="preserve">fasted </w:t>
      </w:r>
      <w:r w:rsidR="00E94C9F">
        <w:rPr>
          <w:spacing w:val="-3"/>
          <w:sz w:val="24"/>
          <w:szCs w:val="24"/>
        </w:rPr>
        <w:t>group</w:t>
      </w:r>
      <w:r w:rsidRPr="00302448">
        <w:rPr>
          <w:spacing w:val="-4"/>
          <w:sz w:val="24"/>
          <w:szCs w:val="24"/>
        </w:rPr>
        <w:t xml:space="preserve">. </w:t>
      </w:r>
      <w:r w:rsidRPr="00302448">
        <w:rPr>
          <w:sz w:val="24"/>
          <w:szCs w:val="24"/>
        </w:rPr>
        <w:t xml:space="preserve">Therefore, </w:t>
      </w:r>
      <w:r w:rsidRPr="00302448">
        <w:rPr>
          <w:spacing w:val="-3"/>
          <w:sz w:val="24"/>
          <w:szCs w:val="24"/>
        </w:rPr>
        <w:t xml:space="preserve">it </w:t>
      </w:r>
      <w:r w:rsidRPr="00302448">
        <w:rPr>
          <w:sz w:val="24"/>
          <w:szCs w:val="24"/>
        </w:rPr>
        <w:t xml:space="preserve">is recommended that pirfenidone be administered with </w:t>
      </w:r>
      <w:r w:rsidRPr="00302448">
        <w:rPr>
          <w:spacing w:val="-3"/>
          <w:sz w:val="24"/>
          <w:szCs w:val="24"/>
        </w:rPr>
        <w:t xml:space="preserve">food </w:t>
      </w:r>
      <w:r w:rsidRPr="00302448">
        <w:rPr>
          <w:sz w:val="24"/>
          <w:szCs w:val="24"/>
        </w:rPr>
        <w:t xml:space="preserve">to reduce the </w:t>
      </w:r>
      <w:r w:rsidRPr="00302448">
        <w:rPr>
          <w:spacing w:val="-3"/>
          <w:sz w:val="24"/>
          <w:szCs w:val="24"/>
        </w:rPr>
        <w:t xml:space="preserve">incidence </w:t>
      </w:r>
      <w:r w:rsidRPr="00302448">
        <w:rPr>
          <w:sz w:val="24"/>
          <w:szCs w:val="24"/>
        </w:rPr>
        <w:t xml:space="preserve">of </w:t>
      </w:r>
      <w:r w:rsidRPr="00302448">
        <w:rPr>
          <w:spacing w:val="-3"/>
          <w:sz w:val="24"/>
          <w:szCs w:val="24"/>
        </w:rPr>
        <w:t xml:space="preserve">nausea </w:t>
      </w:r>
      <w:r w:rsidRPr="00302448">
        <w:rPr>
          <w:spacing w:val="-4"/>
          <w:sz w:val="24"/>
          <w:szCs w:val="24"/>
        </w:rPr>
        <w:t xml:space="preserve">and </w:t>
      </w:r>
      <w:r w:rsidRPr="00302448">
        <w:rPr>
          <w:spacing w:val="-3"/>
          <w:sz w:val="24"/>
          <w:szCs w:val="24"/>
        </w:rPr>
        <w:t>dizziness.</w:t>
      </w:r>
    </w:p>
    <w:p w14:paraId="2D724410" w14:textId="77777777" w:rsidR="00302448" w:rsidRPr="00302448" w:rsidRDefault="00302448" w:rsidP="002636B7">
      <w:pPr>
        <w:pStyle w:val="Brdtekst"/>
        <w:ind w:left="851" w:hanging="1"/>
        <w:rPr>
          <w:sz w:val="24"/>
          <w:szCs w:val="24"/>
        </w:rPr>
      </w:pPr>
    </w:p>
    <w:p w14:paraId="605073BF" w14:textId="7218F131" w:rsidR="003963F1" w:rsidRDefault="00302448" w:rsidP="002636B7">
      <w:pPr>
        <w:pStyle w:val="Brdtekst"/>
        <w:ind w:left="851" w:hanging="1"/>
        <w:rPr>
          <w:sz w:val="24"/>
          <w:szCs w:val="24"/>
        </w:rPr>
      </w:pPr>
      <w:r w:rsidRPr="00302448">
        <w:rPr>
          <w:sz w:val="24"/>
          <w:szCs w:val="24"/>
        </w:rPr>
        <w:t>The absolute bioavailability of pirfenidone has not been determined in</w:t>
      </w:r>
      <w:r w:rsidR="003963F1">
        <w:rPr>
          <w:sz w:val="24"/>
          <w:szCs w:val="24"/>
        </w:rPr>
        <w:t xml:space="preserve"> h</w:t>
      </w:r>
      <w:r w:rsidRPr="00302448">
        <w:rPr>
          <w:sz w:val="24"/>
          <w:szCs w:val="24"/>
        </w:rPr>
        <w:t>umans.</w:t>
      </w:r>
    </w:p>
    <w:p w14:paraId="41E9DEB6" w14:textId="77777777" w:rsidR="003963F1" w:rsidRDefault="003963F1" w:rsidP="002636B7">
      <w:pPr>
        <w:pStyle w:val="Brdtekst"/>
        <w:ind w:left="851" w:hanging="1"/>
        <w:rPr>
          <w:sz w:val="24"/>
          <w:szCs w:val="24"/>
        </w:rPr>
      </w:pPr>
    </w:p>
    <w:p w14:paraId="13A9F574" w14:textId="4276BD7E" w:rsidR="00302448" w:rsidRPr="00302448" w:rsidRDefault="00302448" w:rsidP="002636B7">
      <w:pPr>
        <w:pStyle w:val="Brdtekst"/>
        <w:ind w:left="851" w:hanging="1"/>
        <w:rPr>
          <w:sz w:val="24"/>
          <w:szCs w:val="24"/>
        </w:rPr>
      </w:pPr>
      <w:proofErr w:type="spellStart"/>
      <w:r w:rsidRPr="00302448">
        <w:rPr>
          <w:sz w:val="24"/>
          <w:szCs w:val="24"/>
          <w:u w:val="single"/>
        </w:rPr>
        <w:t>Distributon</w:t>
      </w:r>
      <w:proofErr w:type="spellEnd"/>
    </w:p>
    <w:p w14:paraId="7A3A1C3C" w14:textId="77777777" w:rsidR="00302448" w:rsidRPr="00302448" w:rsidRDefault="00302448" w:rsidP="002636B7">
      <w:pPr>
        <w:pStyle w:val="Brdtekst"/>
        <w:ind w:left="851" w:hanging="1"/>
        <w:rPr>
          <w:sz w:val="24"/>
          <w:szCs w:val="24"/>
        </w:rPr>
      </w:pPr>
      <w:r w:rsidRPr="00302448">
        <w:rPr>
          <w:sz w:val="24"/>
          <w:szCs w:val="24"/>
        </w:rPr>
        <w:t xml:space="preserve">Pirfenidone binds to human plasma proteins, primarily to serum albumin. The overall mean binding ranged from 50% to 58% at concentrations observed in clinical studies (1 to 100 </w:t>
      </w:r>
      <w:proofErr w:type="spellStart"/>
      <w:r w:rsidRPr="00302448">
        <w:rPr>
          <w:sz w:val="24"/>
          <w:szCs w:val="24"/>
        </w:rPr>
        <w:t>μg</w:t>
      </w:r>
      <w:proofErr w:type="spellEnd"/>
      <w:r w:rsidRPr="00302448">
        <w:rPr>
          <w:sz w:val="24"/>
          <w:szCs w:val="24"/>
        </w:rPr>
        <w:t>/ml). Mean apparent oral steady-state volume of distribution is approximately 70 l, indicating that pirfenidone distribution to tissues is modest.</w:t>
      </w:r>
    </w:p>
    <w:p w14:paraId="225A135F" w14:textId="77777777" w:rsidR="00302448" w:rsidRPr="00302448" w:rsidRDefault="00302448" w:rsidP="002636B7">
      <w:pPr>
        <w:pStyle w:val="Brdtekst"/>
        <w:ind w:left="851" w:hanging="1"/>
        <w:rPr>
          <w:sz w:val="24"/>
          <w:szCs w:val="24"/>
        </w:rPr>
      </w:pPr>
    </w:p>
    <w:p w14:paraId="74A5FACD" w14:textId="77777777" w:rsidR="00302448" w:rsidRPr="00302448" w:rsidRDefault="00302448" w:rsidP="002636B7">
      <w:pPr>
        <w:pStyle w:val="Brdtekst"/>
        <w:ind w:left="851" w:hanging="1"/>
        <w:rPr>
          <w:sz w:val="24"/>
          <w:szCs w:val="24"/>
        </w:rPr>
      </w:pPr>
      <w:r w:rsidRPr="00302448">
        <w:rPr>
          <w:sz w:val="24"/>
          <w:szCs w:val="24"/>
          <w:u w:val="single"/>
        </w:rPr>
        <w:t>Biotransformation</w:t>
      </w:r>
    </w:p>
    <w:p w14:paraId="1AFFDA42" w14:textId="77777777" w:rsidR="00302448" w:rsidRPr="00302448" w:rsidRDefault="00302448" w:rsidP="002636B7">
      <w:pPr>
        <w:pStyle w:val="Brdtekst"/>
        <w:ind w:left="851" w:hanging="1"/>
        <w:rPr>
          <w:sz w:val="24"/>
          <w:szCs w:val="24"/>
        </w:rPr>
      </w:pPr>
      <w:r w:rsidRPr="00302448">
        <w:rPr>
          <w:sz w:val="24"/>
          <w:szCs w:val="24"/>
        </w:rPr>
        <w:t xml:space="preserve">Approximately </w:t>
      </w:r>
      <w:r w:rsidRPr="00302448">
        <w:rPr>
          <w:spacing w:val="-3"/>
          <w:sz w:val="24"/>
          <w:szCs w:val="24"/>
        </w:rPr>
        <w:t xml:space="preserve">70–80% </w:t>
      </w:r>
      <w:r w:rsidRPr="00302448">
        <w:rPr>
          <w:sz w:val="24"/>
          <w:szCs w:val="24"/>
        </w:rPr>
        <w:t xml:space="preserve">of pirfenidone is </w:t>
      </w:r>
      <w:proofErr w:type="spellStart"/>
      <w:r w:rsidRPr="00302448">
        <w:rPr>
          <w:spacing w:val="-3"/>
          <w:sz w:val="24"/>
          <w:szCs w:val="24"/>
        </w:rPr>
        <w:t>metabolised</w:t>
      </w:r>
      <w:proofErr w:type="spellEnd"/>
      <w:r w:rsidRPr="00302448">
        <w:rPr>
          <w:spacing w:val="-3"/>
          <w:sz w:val="24"/>
          <w:szCs w:val="24"/>
        </w:rPr>
        <w:t xml:space="preserve"> via </w:t>
      </w:r>
      <w:r w:rsidRPr="00302448">
        <w:rPr>
          <w:sz w:val="24"/>
          <w:szCs w:val="24"/>
        </w:rPr>
        <w:t xml:space="preserve">CYP1A2 with </w:t>
      </w:r>
      <w:r w:rsidRPr="00302448">
        <w:rPr>
          <w:spacing w:val="-3"/>
          <w:sz w:val="24"/>
          <w:szCs w:val="24"/>
        </w:rPr>
        <w:t xml:space="preserve">minor </w:t>
      </w:r>
      <w:r w:rsidRPr="00302448">
        <w:rPr>
          <w:sz w:val="24"/>
          <w:szCs w:val="24"/>
        </w:rPr>
        <w:t xml:space="preserve">contributions </w:t>
      </w:r>
      <w:r w:rsidRPr="00302448">
        <w:rPr>
          <w:spacing w:val="-4"/>
          <w:sz w:val="24"/>
          <w:szCs w:val="24"/>
        </w:rPr>
        <w:t xml:space="preserve">from </w:t>
      </w:r>
      <w:r w:rsidRPr="00302448">
        <w:rPr>
          <w:sz w:val="24"/>
          <w:szCs w:val="24"/>
        </w:rPr>
        <w:t xml:space="preserve">other </w:t>
      </w:r>
      <w:r w:rsidRPr="00302448">
        <w:rPr>
          <w:spacing w:val="-3"/>
          <w:sz w:val="24"/>
          <w:szCs w:val="24"/>
        </w:rPr>
        <w:t xml:space="preserve">CYP isoenzymes </w:t>
      </w:r>
      <w:r w:rsidRPr="00302448">
        <w:rPr>
          <w:sz w:val="24"/>
          <w:szCs w:val="24"/>
        </w:rPr>
        <w:t xml:space="preserve">including CYP2C9, 2C19, 2D6, and 2E1. </w:t>
      </w:r>
      <w:r w:rsidRPr="00302448">
        <w:rPr>
          <w:i/>
          <w:spacing w:val="-5"/>
          <w:sz w:val="24"/>
          <w:szCs w:val="24"/>
        </w:rPr>
        <w:t xml:space="preserve">In </w:t>
      </w:r>
      <w:r w:rsidRPr="00302448">
        <w:rPr>
          <w:i/>
          <w:sz w:val="24"/>
          <w:szCs w:val="24"/>
        </w:rPr>
        <w:t xml:space="preserve">vitro </w:t>
      </w:r>
      <w:r w:rsidRPr="00302448">
        <w:rPr>
          <w:sz w:val="24"/>
          <w:szCs w:val="24"/>
        </w:rPr>
        <w:t xml:space="preserve">data indicate </w:t>
      </w:r>
      <w:r w:rsidRPr="00302448">
        <w:rPr>
          <w:spacing w:val="-5"/>
          <w:sz w:val="24"/>
          <w:szCs w:val="24"/>
        </w:rPr>
        <w:t xml:space="preserve">some </w:t>
      </w:r>
      <w:r w:rsidRPr="00302448">
        <w:rPr>
          <w:sz w:val="24"/>
          <w:szCs w:val="24"/>
        </w:rPr>
        <w:t xml:space="preserve">pharmacologically </w:t>
      </w:r>
      <w:r w:rsidRPr="00302448">
        <w:rPr>
          <w:spacing w:val="-3"/>
          <w:sz w:val="24"/>
          <w:szCs w:val="24"/>
        </w:rPr>
        <w:t xml:space="preserve">relevant </w:t>
      </w:r>
      <w:r w:rsidRPr="00302448">
        <w:rPr>
          <w:sz w:val="24"/>
          <w:szCs w:val="24"/>
        </w:rPr>
        <w:t xml:space="preserve">activity of the major </w:t>
      </w:r>
      <w:r w:rsidRPr="00302448">
        <w:rPr>
          <w:spacing w:val="-3"/>
          <w:sz w:val="24"/>
          <w:szCs w:val="24"/>
        </w:rPr>
        <w:t xml:space="preserve">metabolite (5-carboxy-pirfenidone) </w:t>
      </w:r>
      <w:r w:rsidRPr="00302448">
        <w:rPr>
          <w:sz w:val="24"/>
          <w:szCs w:val="24"/>
        </w:rPr>
        <w:t xml:space="preserve">at concentrations in </w:t>
      </w:r>
      <w:r w:rsidRPr="00302448">
        <w:rPr>
          <w:spacing w:val="-3"/>
          <w:sz w:val="24"/>
          <w:szCs w:val="24"/>
        </w:rPr>
        <w:t xml:space="preserve">excess </w:t>
      </w:r>
      <w:r w:rsidRPr="00302448">
        <w:rPr>
          <w:sz w:val="24"/>
          <w:szCs w:val="24"/>
        </w:rPr>
        <w:t xml:space="preserve">of peak </w:t>
      </w:r>
      <w:r w:rsidRPr="00302448">
        <w:rPr>
          <w:spacing w:val="-5"/>
          <w:sz w:val="24"/>
          <w:szCs w:val="24"/>
        </w:rPr>
        <w:t xml:space="preserve">plasma </w:t>
      </w:r>
      <w:r w:rsidRPr="00302448">
        <w:rPr>
          <w:sz w:val="24"/>
          <w:szCs w:val="24"/>
        </w:rPr>
        <w:t xml:space="preserve">concentrations in IPF </w:t>
      </w:r>
      <w:r w:rsidRPr="00302448">
        <w:rPr>
          <w:spacing w:val="-3"/>
          <w:sz w:val="24"/>
          <w:szCs w:val="24"/>
        </w:rPr>
        <w:t xml:space="preserve">patients. </w:t>
      </w:r>
      <w:r w:rsidRPr="00302448">
        <w:rPr>
          <w:sz w:val="24"/>
          <w:szCs w:val="24"/>
        </w:rPr>
        <w:t xml:space="preserve">This </w:t>
      </w:r>
      <w:r w:rsidRPr="00302448">
        <w:rPr>
          <w:spacing w:val="-3"/>
          <w:sz w:val="24"/>
          <w:szCs w:val="24"/>
        </w:rPr>
        <w:t xml:space="preserve">may become </w:t>
      </w:r>
      <w:r w:rsidRPr="00302448">
        <w:rPr>
          <w:sz w:val="24"/>
          <w:szCs w:val="24"/>
        </w:rPr>
        <w:t xml:space="preserve">clinically relevant in patients with moderate </w:t>
      </w:r>
      <w:r w:rsidRPr="00302448">
        <w:rPr>
          <w:spacing w:val="-3"/>
          <w:sz w:val="24"/>
          <w:szCs w:val="24"/>
        </w:rPr>
        <w:t xml:space="preserve">renal impairment </w:t>
      </w:r>
      <w:r w:rsidRPr="00302448">
        <w:rPr>
          <w:spacing w:val="-4"/>
          <w:sz w:val="24"/>
          <w:szCs w:val="24"/>
        </w:rPr>
        <w:t xml:space="preserve">where </w:t>
      </w:r>
      <w:r w:rsidRPr="00302448">
        <w:rPr>
          <w:spacing w:val="-3"/>
          <w:sz w:val="24"/>
          <w:szCs w:val="24"/>
        </w:rPr>
        <w:t xml:space="preserve">plasma </w:t>
      </w:r>
      <w:r w:rsidRPr="00302448">
        <w:rPr>
          <w:spacing w:val="-4"/>
          <w:sz w:val="24"/>
          <w:szCs w:val="24"/>
        </w:rPr>
        <w:t xml:space="preserve">exposure </w:t>
      </w:r>
      <w:r w:rsidRPr="00302448">
        <w:rPr>
          <w:sz w:val="24"/>
          <w:szCs w:val="24"/>
        </w:rPr>
        <w:t>to 5-carboxy-pirfenidone is</w:t>
      </w:r>
      <w:r w:rsidRPr="00302448">
        <w:rPr>
          <w:spacing w:val="32"/>
          <w:sz w:val="24"/>
          <w:szCs w:val="24"/>
        </w:rPr>
        <w:t xml:space="preserve"> </w:t>
      </w:r>
      <w:r w:rsidRPr="00302448">
        <w:rPr>
          <w:sz w:val="24"/>
          <w:szCs w:val="24"/>
        </w:rPr>
        <w:t>increased.</w:t>
      </w:r>
    </w:p>
    <w:p w14:paraId="6464D776" w14:textId="77777777" w:rsidR="00302448" w:rsidRPr="00302448" w:rsidRDefault="00302448" w:rsidP="002636B7">
      <w:pPr>
        <w:pStyle w:val="Brdtekst"/>
        <w:ind w:left="851" w:hanging="1"/>
        <w:rPr>
          <w:sz w:val="24"/>
          <w:szCs w:val="24"/>
        </w:rPr>
      </w:pPr>
    </w:p>
    <w:p w14:paraId="0BAAC0A2" w14:textId="77777777" w:rsidR="00302448" w:rsidRPr="00302448" w:rsidRDefault="00302448" w:rsidP="002636B7">
      <w:pPr>
        <w:pStyle w:val="Brdtekst"/>
        <w:ind w:left="851" w:hanging="1"/>
        <w:rPr>
          <w:sz w:val="24"/>
          <w:szCs w:val="24"/>
        </w:rPr>
      </w:pPr>
      <w:r w:rsidRPr="00302448">
        <w:rPr>
          <w:sz w:val="24"/>
          <w:szCs w:val="24"/>
          <w:u w:val="single"/>
        </w:rPr>
        <w:t>Elimination</w:t>
      </w:r>
    </w:p>
    <w:p w14:paraId="6CE260C8" w14:textId="6AD7F62A" w:rsidR="00302448" w:rsidRPr="00302448" w:rsidRDefault="00302448" w:rsidP="002636B7">
      <w:pPr>
        <w:pStyle w:val="Brdtekst"/>
        <w:ind w:left="851" w:hanging="1"/>
        <w:rPr>
          <w:sz w:val="24"/>
          <w:szCs w:val="24"/>
        </w:rPr>
      </w:pPr>
      <w:r w:rsidRPr="00302448">
        <w:rPr>
          <w:sz w:val="24"/>
          <w:szCs w:val="24"/>
        </w:rPr>
        <w:t xml:space="preserve">The oral clearance of pirfenidone appears modestly saturable. </w:t>
      </w:r>
      <w:r w:rsidRPr="00302448">
        <w:rPr>
          <w:spacing w:val="-5"/>
          <w:sz w:val="24"/>
          <w:szCs w:val="24"/>
        </w:rPr>
        <w:t xml:space="preserve">In </w:t>
      </w:r>
      <w:r w:rsidRPr="00302448">
        <w:rPr>
          <w:sz w:val="24"/>
          <w:szCs w:val="24"/>
        </w:rPr>
        <w:t xml:space="preserve">a </w:t>
      </w:r>
      <w:r w:rsidRPr="00302448">
        <w:rPr>
          <w:spacing w:val="-3"/>
          <w:sz w:val="24"/>
          <w:szCs w:val="24"/>
        </w:rPr>
        <w:t xml:space="preserve">multiple-dose, dose-ranging </w:t>
      </w:r>
      <w:r w:rsidRPr="00302448">
        <w:rPr>
          <w:sz w:val="24"/>
          <w:szCs w:val="24"/>
        </w:rPr>
        <w:t xml:space="preserve">study in healthy older adults administered doses ranging </w:t>
      </w:r>
      <w:r w:rsidRPr="00302448">
        <w:rPr>
          <w:spacing w:val="-3"/>
          <w:sz w:val="24"/>
          <w:szCs w:val="24"/>
        </w:rPr>
        <w:t xml:space="preserve">from </w:t>
      </w:r>
      <w:r w:rsidRPr="00302448">
        <w:rPr>
          <w:sz w:val="24"/>
          <w:szCs w:val="24"/>
        </w:rPr>
        <w:t xml:space="preserve">267 </w:t>
      </w:r>
      <w:r w:rsidRPr="00302448">
        <w:rPr>
          <w:spacing w:val="-4"/>
          <w:sz w:val="24"/>
          <w:szCs w:val="24"/>
        </w:rPr>
        <w:t xml:space="preserve">mg </w:t>
      </w:r>
      <w:r w:rsidRPr="00302448">
        <w:rPr>
          <w:sz w:val="24"/>
          <w:szCs w:val="24"/>
        </w:rPr>
        <w:t xml:space="preserve">to </w:t>
      </w:r>
      <w:r w:rsidRPr="00302448">
        <w:rPr>
          <w:spacing w:val="-3"/>
          <w:sz w:val="24"/>
          <w:szCs w:val="24"/>
        </w:rPr>
        <w:t xml:space="preserve">1,335 </w:t>
      </w:r>
      <w:r w:rsidRPr="00302448">
        <w:rPr>
          <w:spacing w:val="-5"/>
          <w:sz w:val="24"/>
          <w:szCs w:val="24"/>
        </w:rPr>
        <w:t xml:space="preserve">mg </w:t>
      </w:r>
      <w:r w:rsidRPr="00302448">
        <w:rPr>
          <w:sz w:val="24"/>
          <w:szCs w:val="24"/>
        </w:rPr>
        <w:t xml:space="preserve">three </w:t>
      </w:r>
      <w:r w:rsidRPr="00302448">
        <w:rPr>
          <w:spacing w:val="-3"/>
          <w:sz w:val="24"/>
          <w:szCs w:val="24"/>
        </w:rPr>
        <w:t xml:space="preserve">times </w:t>
      </w:r>
      <w:r w:rsidRPr="00302448">
        <w:rPr>
          <w:sz w:val="24"/>
          <w:szCs w:val="24"/>
        </w:rPr>
        <w:t xml:space="preserve">a day, the mean clearance decreased by approximately 25% </w:t>
      </w:r>
      <w:r w:rsidRPr="00302448">
        <w:rPr>
          <w:spacing w:val="-3"/>
          <w:sz w:val="24"/>
          <w:szCs w:val="24"/>
        </w:rPr>
        <w:t xml:space="preserve">above </w:t>
      </w:r>
      <w:r w:rsidRPr="00302448">
        <w:rPr>
          <w:sz w:val="24"/>
          <w:szCs w:val="24"/>
        </w:rPr>
        <w:t xml:space="preserve">a </w:t>
      </w:r>
      <w:r w:rsidRPr="00302448">
        <w:rPr>
          <w:spacing w:val="-3"/>
          <w:sz w:val="24"/>
          <w:szCs w:val="24"/>
        </w:rPr>
        <w:t xml:space="preserve">dose </w:t>
      </w:r>
      <w:r w:rsidRPr="00302448">
        <w:rPr>
          <w:sz w:val="24"/>
          <w:szCs w:val="24"/>
        </w:rPr>
        <w:t xml:space="preserve">of 801 </w:t>
      </w:r>
      <w:r w:rsidRPr="00302448">
        <w:rPr>
          <w:spacing w:val="-5"/>
          <w:sz w:val="24"/>
          <w:szCs w:val="24"/>
        </w:rPr>
        <w:t xml:space="preserve">mg </w:t>
      </w:r>
      <w:r w:rsidRPr="00302448">
        <w:rPr>
          <w:spacing w:val="-3"/>
          <w:sz w:val="24"/>
          <w:szCs w:val="24"/>
        </w:rPr>
        <w:t xml:space="preserve">three </w:t>
      </w:r>
      <w:r w:rsidRPr="00302448">
        <w:rPr>
          <w:sz w:val="24"/>
          <w:szCs w:val="24"/>
        </w:rPr>
        <w:t xml:space="preserve">times a day. </w:t>
      </w:r>
      <w:r w:rsidRPr="00302448">
        <w:rPr>
          <w:spacing w:val="-4"/>
          <w:sz w:val="24"/>
          <w:szCs w:val="24"/>
        </w:rPr>
        <w:t xml:space="preserve">Following </w:t>
      </w:r>
      <w:r w:rsidRPr="00302448">
        <w:rPr>
          <w:spacing w:val="-2"/>
          <w:sz w:val="24"/>
          <w:szCs w:val="24"/>
        </w:rPr>
        <w:t xml:space="preserve">single </w:t>
      </w:r>
      <w:r w:rsidRPr="00302448">
        <w:rPr>
          <w:spacing w:val="-3"/>
          <w:sz w:val="24"/>
          <w:szCs w:val="24"/>
        </w:rPr>
        <w:t xml:space="preserve">dose </w:t>
      </w:r>
      <w:r w:rsidRPr="00302448">
        <w:rPr>
          <w:sz w:val="24"/>
          <w:szCs w:val="24"/>
        </w:rPr>
        <w:t xml:space="preserve">administration of pirfenidone in healthy </w:t>
      </w:r>
      <w:r w:rsidRPr="00302448">
        <w:rPr>
          <w:spacing w:val="-3"/>
          <w:sz w:val="24"/>
          <w:szCs w:val="24"/>
        </w:rPr>
        <w:t xml:space="preserve">older adults, </w:t>
      </w:r>
      <w:r w:rsidRPr="00302448">
        <w:rPr>
          <w:sz w:val="24"/>
          <w:szCs w:val="24"/>
        </w:rPr>
        <w:t xml:space="preserve">the </w:t>
      </w:r>
      <w:r w:rsidRPr="00302448">
        <w:rPr>
          <w:spacing w:val="-4"/>
          <w:sz w:val="24"/>
          <w:szCs w:val="24"/>
        </w:rPr>
        <w:t xml:space="preserve">mean </w:t>
      </w:r>
      <w:r w:rsidRPr="00302448">
        <w:rPr>
          <w:spacing w:val="-3"/>
          <w:sz w:val="24"/>
          <w:szCs w:val="24"/>
        </w:rPr>
        <w:t xml:space="preserve">apparent terminal </w:t>
      </w:r>
      <w:r w:rsidRPr="00302448">
        <w:rPr>
          <w:sz w:val="24"/>
          <w:szCs w:val="24"/>
        </w:rPr>
        <w:t xml:space="preserve">elimination </w:t>
      </w:r>
      <w:r w:rsidRPr="00302448">
        <w:rPr>
          <w:spacing w:val="-3"/>
          <w:sz w:val="24"/>
          <w:szCs w:val="24"/>
        </w:rPr>
        <w:t xml:space="preserve">half-life was </w:t>
      </w:r>
      <w:r w:rsidRPr="00302448">
        <w:rPr>
          <w:sz w:val="24"/>
          <w:szCs w:val="24"/>
        </w:rPr>
        <w:t xml:space="preserve">approximately 2.4 </w:t>
      </w:r>
      <w:r w:rsidRPr="00302448">
        <w:rPr>
          <w:spacing w:val="-4"/>
          <w:sz w:val="24"/>
          <w:szCs w:val="24"/>
        </w:rPr>
        <w:t xml:space="preserve">hours. </w:t>
      </w:r>
      <w:r w:rsidRPr="00302448">
        <w:rPr>
          <w:sz w:val="24"/>
          <w:szCs w:val="24"/>
        </w:rPr>
        <w:t xml:space="preserve">Approximately 80% of an orally </w:t>
      </w:r>
      <w:r w:rsidRPr="00302448">
        <w:rPr>
          <w:spacing w:val="-3"/>
          <w:sz w:val="24"/>
          <w:szCs w:val="24"/>
        </w:rPr>
        <w:t xml:space="preserve">administered dose </w:t>
      </w:r>
      <w:r w:rsidRPr="00302448">
        <w:rPr>
          <w:sz w:val="24"/>
          <w:szCs w:val="24"/>
        </w:rPr>
        <w:t xml:space="preserve">of pirfenidone is cleared in the urine within 24 </w:t>
      </w:r>
      <w:r w:rsidRPr="00302448">
        <w:rPr>
          <w:spacing w:val="-3"/>
          <w:sz w:val="24"/>
          <w:szCs w:val="24"/>
        </w:rPr>
        <w:t xml:space="preserve">hours </w:t>
      </w:r>
      <w:r w:rsidRPr="00302448">
        <w:rPr>
          <w:sz w:val="24"/>
          <w:szCs w:val="24"/>
        </w:rPr>
        <w:t xml:space="preserve">of </w:t>
      </w:r>
      <w:r w:rsidRPr="00302448">
        <w:rPr>
          <w:spacing w:val="-3"/>
          <w:sz w:val="24"/>
          <w:szCs w:val="24"/>
        </w:rPr>
        <w:t xml:space="preserve">dosing. </w:t>
      </w:r>
      <w:r w:rsidRPr="00302448">
        <w:rPr>
          <w:sz w:val="24"/>
          <w:szCs w:val="24"/>
        </w:rPr>
        <w:t xml:space="preserve">The majority of pirfenidone is excreted as </w:t>
      </w:r>
      <w:r w:rsidRPr="00302448">
        <w:rPr>
          <w:spacing w:val="-3"/>
          <w:sz w:val="24"/>
          <w:szCs w:val="24"/>
        </w:rPr>
        <w:t xml:space="preserve">the </w:t>
      </w:r>
      <w:r w:rsidRPr="00302448">
        <w:rPr>
          <w:sz w:val="24"/>
          <w:szCs w:val="24"/>
        </w:rPr>
        <w:t xml:space="preserve">5-carboxy-pirfenidone </w:t>
      </w:r>
      <w:r w:rsidRPr="00302448">
        <w:rPr>
          <w:spacing w:val="-3"/>
          <w:sz w:val="24"/>
          <w:szCs w:val="24"/>
        </w:rPr>
        <w:t xml:space="preserve">metabolite </w:t>
      </w:r>
      <w:r w:rsidRPr="00302448">
        <w:rPr>
          <w:sz w:val="24"/>
          <w:szCs w:val="24"/>
        </w:rPr>
        <w:t xml:space="preserve">(&gt;95% of that </w:t>
      </w:r>
      <w:r w:rsidRPr="00302448">
        <w:rPr>
          <w:spacing w:val="-3"/>
          <w:sz w:val="24"/>
          <w:szCs w:val="24"/>
        </w:rPr>
        <w:t xml:space="preserve">recovered), </w:t>
      </w:r>
      <w:r w:rsidRPr="00302448">
        <w:rPr>
          <w:sz w:val="24"/>
          <w:szCs w:val="24"/>
        </w:rPr>
        <w:t xml:space="preserve">with less than 1% </w:t>
      </w:r>
      <w:r w:rsidRPr="00302448">
        <w:rPr>
          <w:spacing w:val="-4"/>
          <w:sz w:val="24"/>
          <w:szCs w:val="24"/>
        </w:rPr>
        <w:t xml:space="preserve">of </w:t>
      </w:r>
      <w:r w:rsidRPr="00302448">
        <w:rPr>
          <w:sz w:val="24"/>
          <w:szCs w:val="24"/>
        </w:rPr>
        <w:t xml:space="preserve">pirfenidone excreted </w:t>
      </w:r>
      <w:r w:rsidRPr="00302448">
        <w:rPr>
          <w:spacing w:val="-3"/>
          <w:sz w:val="24"/>
          <w:szCs w:val="24"/>
        </w:rPr>
        <w:t xml:space="preserve">unchanged </w:t>
      </w:r>
      <w:r w:rsidRPr="00302448">
        <w:rPr>
          <w:sz w:val="24"/>
          <w:szCs w:val="24"/>
        </w:rPr>
        <w:t>in</w:t>
      </w:r>
      <w:r w:rsidRPr="00302448">
        <w:rPr>
          <w:spacing w:val="32"/>
          <w:sz w:val="24"/>
          <w:szCs w:val="24"/>
        </w:rPr>
        <w:t xml:space="preserve"> </w:t>
      </w:r>
      <w:r w:rsidRPr="00302448">
        <w:rPr>
          <w:spacing w:val="-3"/>
          <w:sz w:val="24"/>
          <w:szCs w:val="24"/>
        </w:rPr>
        <w:t>urine.</w:t>
      </w:r>
    </w:p>
    <w:p w14:paraId="28211747" w14:textId="77777777" w:rsidR="00302448" w:rsidRPr="00302448" w:rsidRDefault="00302448" w:rsidP="002636B7">
      <w:pPr>
        <w:pStyle w:val="Brdtekst"/>
        <w:ind w:left="851" w:hanging="1"/>
        <w:rPr>
          <w:sz w:val="24"/>
          <w:szCs w:val="24"/>
        </w:rPr>
      </w:pPr>
    </w:p>
    <w:p w14:paraId="1626850D" w14:textId="77777777" w:rsidR="00302448" w:rsidRPr="00302448" w:rsidRDefault="00302448" w:rsidP="002636B7">
      <w:pPr>
        <w:pStyle w:val="Brdtekst"/>
        <w:ind w:left="851" w:hanging="1"/>
        <w:rPr>
          <w:sz w:val="24"/>
          <w:szCs w:val="24"/>
        </w:rPr>
      </w:pPr>
      <w:r w:rsidRPr="00302448">
        <w:rPr>
          <w:sz w:val="24"/>
          <w:szCs w:val="24"/>
          <w:u w:val="single"/>
        </w:rPr>
        <w:t>Special populations</w:t>
      </w:r>
    </w:p>
    <w:p w14:paraId="5ECB1132" w14:textId="77777777" w:rsidR="00302448" w:rsidRPr="00302448" w:rsidRDefault="00302448" w:rsidP="002636B7">
      <w:pPr>
        <w:pStyle w:val="Brdtekst"/>
        <w:ind w:left="851" w:hanging="1"/>
        <w:rPr>
          <w:sz w:val="24"/>
          <w:szCs w:val="24"/>
        </w:rPr>
      </w:pPr>
    </w:p>
    <w:p w14:paraId="2F5FA453" w14:textId="77777777" w:rsidR="00302448" w:rsidRPr="003963F1" w:rsidRDefault="00302448" w:rsidP="002636B7">
      <w:pPr>
        <w:ind w:left="851" w:hanging="1"/>
        <w:rPr>
          <w:i/>
          <w:sz w:val="24"/>
          <w:szCs w:val="24"/>
          <w:lang w:val="en-US"/>
        </w:rPr>
      </w:pPr>
      <w:r w:rsidRPr="003963F1">
        <w:rPr>
          <w:i/>
          <w:sz w:val="24"/>
          <w:szCs w:val="24"/>
          <w:lang w:val="en-US"/>
        </w:rPr>
        <w:t>Hepatic impairment</w:t>
      </w:r>
    </w:p>
    <w:p w14:paraId="032FD2FB" w14:textId="77777777" w:rsidR="00302448" w:rsidRPr="00302448" w:rsidRDefault="00302448" w:rsidP="002636B7">
      <w:pPr>
        <w:pStyle w:val="Brdtekst"/>
        <w:ind w:left="851" w:hanging="1"/>
        <w:rPr>
          <w:sz w:val="24"/>
          <w:szCs w:val="24"/>
        </w:rPr>
      </w:pPr>
      <w:r w:rsidRPr="00302448">
        <w:rPr>
          <w:sz w:val="24"/>
          <w:szCs w:val="24"/>
        </w:rPr>
        <w:t>The pharmacokinetics of pirfenidone and the 5-carboxy-pirfenidone metabolite were compared in subjects with moderate hepatic impairment (Child-Pugh Class B) and in subjects with normal hepatic function. Results showed that there was a mean increase of 60% in pirfenidone exposure after a single dose of 801 mg pirfenidone (3 x 267 mg capsule) in patients with moderate hepatic impairment.</w:t>
      </w:r>
    </w:p>
    <w:p w14:paraId="5CBD9DF4" w14:textId="77777777" w:rsidR="00302448" w:rsidRPr="00302448" w:rsidRDefault="00302448" w:rsidP="002636B7">
      <w:pPr>
        <w:pStyle w:val="Brdtekst"/>
        <w:ind w:left="851" w:hanging="1"/>
        <w:rPr>
          <w:sz w:val="24"/>
          <w:szCs w:val="24"/>
        </w:rPr>
      </w:pPr>
      <w:r w:rsidRPr="00302448">
        <w:rPr>
          <w:sz w:val="24"/>
          <w:szCs w:val="24"/>
        </w:rPr>
        <w:t>Pirfenidone should be used with caution in patients with mild to moderate hepatic impairment and patients should be monitored closely for signs of toxicity especially if they are concomitantly taking a known CYP1A2 inhibitor (see sections 4.2 and 4.4). Pirfenidone is contraindicated in severe hepatic impairment and end stage liver disease (see sections 4.2 and 4.3).</w:t>
      </w:r>
    </w:p>
    <w:p w14:paraId="71619160" w14:textId="77777777" w:rsidR="00302448" w:rsidRPr="00302448" w:rsidRDefault="00302448" w:rsidP="002636B7">
      <w:pPr>
        <w:pStyle w:val="Brdtekst"/>
        <w:ind w:left="851" w:hanging="1"/>
        <w:rPr>
          <w:sz w:val="24"/>
          <w:szCs w:val="24"/>
        </w:rPr>
      </w:pPr>
    </w:p>
    <w:p w14:paraId="47130AC2" w14:textId="77777777" w:rsidR="00302448" w:rsidRPr="003963F1" w:rsidRDefault="00302448" w:rsidP="002636B7">
      <w:pPr>
        <w:ind w:left="851" w:hanging="1"/>
        <w:rPr>
          <w:i/>
          <w:sz w:val="24"/>
          <w:szCs w:val="24"/>
          <w:lang w:val="en-US"/>
        </w:rPr>
      </w:pPr>
      <w:r w:rsidRPr="003963F1">
        <w:rPr>
          <w:i/>
          <w:sz w:val="24"/>
          <w:szCs w:val="24"/>
          <w:lang w:val="en-US"/>
        </w:rPr>
        <w:t>Renal impairment</w:t>
      </w:r>
    </w:p>
    <w:p w14:paraId="040F9258" w14:textId="2B0A10E8" w:rsidR="00302448" w:rsidRPr="00302448" w:rsidRDefault="00302448" w:rsidP="002636B7">
      <w:pPr>
        <w:pStyle w:val="Brdtekst"/>
        <w:ind w:left="851" w:hanging="1"/>
        <w:rPr>
          <w:sz w:val="24"/>
          <w:szCs w:val="24"/>
        </w:rPr>
      </w:pPr>
      <w:r w:rsidRPr="00302448">
        <w:rPr>
          <w:sz w:val="24"/>
          <w:szCs w:val="24"/>
        </w:rPr>
        <w:t xml:space="preserve">No clinically relevant differences in </w:t>
      </w:r>
      <w:r w:rsidRPr="00302448">
        <w:rPr>
          <w:spacing w:val="-3"/>
          <w:sz w:val="24"/>
          <w:szCs w:val="24"/>
        </w:rPr>
        <w:t xml:space="preserve">the </w:t>
      </w:r>
      <w:r w:rsidRPr="00302448">
        <w:rPr>
          <w:sz w:val="24"/>
          <w:szCs w:val="24"/>
        </w:rPr>
        <w:t xml:space="preserve">pharmacokinetics of pirfenidone </w:t>
      </w:r>
      <w:r w:rsidRPr="00302448">
        <w:rPr>
          <w:spacing w:val="-3"/>
          <w:sz w:val="24"/>
          <w:szCs w:val="24"/>
        </w:rPr>
        <w:t xml:space="preserve">were observed </w:t>
      </w:r>
      <w:r w:rsidRPr="00302448">
        <w:rPr>
          <w:sz w:val="24"/>
          <w:szCs w:val="24"/>
        </w:rPr>
        <w:t xml:space="preserve">in subjects with mild to </w:t>
      </w:r>
      <w:r w:rsidRPr="00302448">
        <w:rPr>
          <w:spacing w:val="-3"/>
          <w:sz w:val="24"/>
          <w:szCs w:val="24"/>
        </w:rPr>
        <w:t xml:space="preserve">severe renal impairment </w:t>
      </w:r>
      <w:r w:rsidRPr="00302448">
        <w:rPr>
          <w:sz w:val="24"/>
          <w:szCs w:val="24"/>
        </w:rPr>
        <w:t xml:space="preserve">compared with </w:t>
      </w:r>
      <w:r w:rsidRPr="00302448">
        <w:rPr>
          <w:spacing w:val="-3"/>
          <w:sz w:val="24"/>
          <w:szCs w:val="24"/>
        </w:rPr>
        <w:t xml:space="preserve">subjects </w:t>
      </w:r>
      <w:r w:rsidRPr="00302448">
        <w:rPr>
          <w:sz w:val="24"/>
          <w:szCs w:val="24"/>
        </w:rPr>
        <w:t xml:space="preserve">with </w:t>
      </w:r>
      <w:r w:rsidRPr="00302448">
        <w:rPr>
          <w:spacing w:val="-4"/>
          <w:sz w:val="24"/>
          <w:szCs w:val="24"/>
        </w:rPr>
        <w:t xml:space="preserve">normal </w:t>
      </w:r>
      <w:r w:rsidRPr="00302448">
        <w:rPr>
          <w:sz w:val="24"/>
          <w:szCs w:val="24"/>
        </w:rPr>
        <w:t xml:space="preserve">renal </w:t>
      </w:r>
      <w:r w:rsidRPr="00302448">
        <w:rPr>
          <w:spacing w:val="-3"/>
          <w:sz w:val="24"/>
          <w:szCs w:val="24"/>
        </w:rPr>
        <w:t xml:space="preserve">function. </w:t>
      </w:r>
      <w:r w:rsidRPr="00302448">
        <w:rPr>
          <w:sz w:val="24"/>
          <w:szCs w:val="24"/>
        </w:rPr>
        <w:t xml:space="preserve">The </w:t>
      </w:r>
      <w:r w:rsidRPr="00302448">
        <w:rPr>
          <w:spacing w:val="-3"/>
          <w:sz w:val="24"/>
          <w:szCs w:val="24"/>
        </w:rPr>
        <w:t xml:space="preserve">parent </w:t>
      </w:r>
      <w:r w:rsidRPr="00302448">
        <w:rPr>
          <w:sz w:val="24"/>
          <w:szCs w:val="24"/>
        </w:rPr>
        <w:t xml:space="preserve">substance is predominantly </w:t>
      </w:r>
      <w:proofErr w:type="spellStart"/>
      <w:r w:rsidRPr="00302448">
        <w:rPr>
          <w:spacing w:val="-3"/>
          <w:sz w:val="24"/>
          <w:szCs w:val="24"/>
        </w:rPr>
        <w:t>metabolised</w:t>
      </w:r>
      <w:proofErr w:type="spellEnd"/>
      <w:r w:rsidRPr="00302448">
        <w:rPr>
          <w:spacing w:val="-3"/>
          <w:sz w:val="24"/>
          <w:szCs w:val="24"/>
        </w:rPr>
        <w:t xml:space="preserve"> </w:t>
      </w:r>
      <w:r w:rsidRPr="00302448">
        <w:rPr>
          <w:sz w:val="24"/>
          <w:szCs w:val="24"/>
        </w:rPr>
        <w:t xml:space="preserve">to 5-carboxy-pirfenidone. The mean (SD) AUC0-∞ of 5- carboxy-pirfenidone </w:t>
      </w:r>
      <w:r w:rsidRPr="00302448">
        <w:rPr>
          <w:spacing w:val="-3"/>
          <w:sz w:val="24"/>
          <w:szCs w:val="24"/>
        </w:rPr>
        <w:t xml:space="preserve">was </w:t>
      </w:r>
      <w:r w:rsidRPr="00302448">
        <w:rPr>
          <w:sz w:val="24"/>
          <w:szCs w:val="24"/>
        </w:rPr>
        <w:t xml:space="preserve">significantly </w:t>
      </w:r>
      <w:r w:rsidRPr="00302448">
        <w:rPr>
          <w:spacing w:val="-3"/>
          <w:sz w:val="24"/>
          <w:szCs w:val="24"/>
        </w:rPr>
        <w:t xml:space="preserve">higher </w:t>
      </w:r>
      <w:r w:rsidRPr="00302448">
        <w:rPr>
          <w:sz w:val="24"/>
          <w:szCs w:val="24"/>
        </w:rPr>
        <w:t xml:space="preserve">in the </w:t>
      </w:r>
      <w:r w:rsidRPr="00302448">
        <w:rPr>
          <w:spacing w:val="-3"/>
          <w:sz w:val="24"/>
          <w:szCs w:val="24"/>
        </w:rPr>
        <w:t xml:space="preserve">moderate </w:t>
      </w:r>
      <w:r w:rsidRPr="00302448">
        <w:rPr>
          <w:sz w:val="24"/>
          <w:szCs w:val="24"/>
        </w:rPr>
        <w:t>(p</w:t>
      </w:r>
      <w:r w:rsidR="009843B7">
        <w:rPr>
          <w:sz w:val="24"/>
          <w:szCs w:val="24"/>
        </w:rPr>
        <w:t> </w:t>
      </w:r>
      <w:r w:rsidRPr="00302448">
        <w:rPr>
          <w:sz w:val="24"/>
          <w:szCs w:val="24"/>
        </w:rPr>
        <w:t xml:space="preserve">= 0.009) </w:t>
      </w:r>
      <w:r w:rsidRPr="00302448">
        <w:rPr>
          <w:spacing w:val="-4"/>
          <w:sz w:val="24"/>
          <w:szCs w:val="24"/>
        </w:rPr>
        <w:t xml:space="preserve">and </w:t>
      </w:r>
      <w:r w:rsidRPr="00302448">
        <w:rPr>
          <w:spacing w:val="-3"/>
          <w:sz w:val="24"/>
          <w:szCs w:val="24"/>
        </w:rPr>
        <w:t xml:space="preserve">severe </w:t>
      </w:r>
      <w:r w:rsidRPr="00302448">
        <w:rPr>
          <w:sz w:val="24"/>
          <w:szCs w:val="24"/>
        </w:rPr>
        <w:t xml:space="preserve">(p &lt; 0.0001) </w:t>
      </w:r>
      <w:r w:rsidRPr="00302448">
        <w:rPr>
          <w:spacing w:val="-3"/>
          <w:sz w:val="24"/>
          <w:szCs w:val="24"/>
        </w:rPr>
        <w:t xml:space="preserve">renal impairment </w:t>
      </w:r>
      <w:r w:rsidRPr="00302448">
        <w:rPr>
          <w:sz w:val="24"/>
          <w:szCs w:val="24"/>
        </w:rPr>
        <w:t xml:space="preserve">groups than in the </w:t>
      </w:r>
      <w:r w:rsidRPr="00302448">
        <w:rPr>
          <w:spacing w:val="-3"/>
          <w:sz w:val="24"/>
          <w:szCs w:val="24"/>
        </w:rPr>
        <w:t xml:space="preserve">group </w:t>
      </w:r>
      <w:r w:rsidRPr="00302448">
        <w:rPr>
          <w:sz w:val="24"/>
          <w:szCs w:val="24"/>
        </w:rPr>
        <w:t xml:space="preserve">with </w:t>
      </w:r>
      <w:r w:rsidRPr="00302448">
        <w:rPr>
          <w:spacing w:val="-4"/>
          <w:sz w:val="24"/>
          <w:szCs w:val="24"/>
        </w:rPr>
        <w:t xml:space="preserve">normal </w:t>
      </w:r>
      <w:r w:rsidRPr="00302448">
        <w:rPr>
          <w:sz w:val="24"/>
          <w:szCs w:val="24"/>
        </w:rPr>
        <w:t xml:space="preserve">renal </w:t>
      </w:r>
      <w:r w:rsidRPr="00302448">
        <w:rPr>
          <w:spacing w:val="-3"/>
          <w:sz w:val="24"/>
          <w:szCs w:val="24"/>
        </w:rPr>
        <w:t xml:space="preserve">function; 100 </w:t>
      </w:r>
      <w:r w:rsidRPr="00302448">
        <w:rPr>
          <w:sz w:val="24"/>
          <w:szCs w:val="24"/>
        </w:rPr>
        <w:t xml:space="preserve">(26.3) </w:t>
      </w:r>
      <w:proofErr w:type="spellStart"/>
      <w:r w:rsidRPr="00302448">
        <w:rPr>
          <w:spacing w:val="-3"/>
          <w:sz w:val="24"/>
          <w:szCs w:val="24"/>
        </w:rPr>
        <w:t>mg•h</w:t>
      </w:r>
      <w:proofErr w:type="spellEnd"/>
      <w:r w:rsidRPr="00302448">
        <w:rPr>
          <w:spacing w:val="-3"/>
          <w:sz w:val="24"/>
          <w:szCs w:val="24"/>
        </w:rPr>
        <w:t xml:space="preserve">/L </w:t>
      </w:r>
      <w:r w:rsidRPr="00302448">
        <w:rPr>
          <w:spacing w:val="-4"/>
          <w:sz w:val="24"/>
          <w:szCs w:val="24"/>
        </w:rPr>
        <w:t xml:space="preserve">and </w:t>
      </w:r>
      <w:r w:rsidRPr="00302448">
        <w:rPr>
          <w:sz w:val="24"/>
          <w:szCs w:val="24"/>
        </w:rPr>
        <w:t xml:space="preserve">168 (67.4) </w:t>
      </w:r>
      <w:proofErr w:type="spellStart"/>
      <w:r w:rsidRPr="00302448">
        <w:rPr>
          <w:spacing w:val="-4"/>
          <w:sz w:val="24"/>
          <w:szCs w:val="24"/>
        </w:rPr>
        <w:t>mg•h</w:t>
      </w:r>
      <w:proofErr w:type="spellEnd"/>
      <w:r w:rsidRPr="00302448">
        <w:rPr>
          <w:spacing w:val="-4"/>
          <w:sz w:val="24"/>
          <w:szCs w:val="24"/>
        </w:rPr>
        <w:t xml:space="preserve">/L </w:t>
      </w:r>
      <w:r w:rsidRPr="00302448">
        <w:rPr>
          <w:sz w:val="24"/>
          <w:szCs w:val="24"/>
        </w:rPr>
        <w:t xml:space="preserve">compared to 28.7 (4.99) </w:t>
      </w:r>
      <w:proofErr w:type="spellStart"/>
      <w:r w:rsidRPr="00302448">
        <w:rPr>
          <w:spacing w:val="-4"/>
          <w:sz w:val="24"/>
          <w:szCs w:val="24"/>
        </w:rPr>
        <w:t>mg•h</w:t>
      </w:r>
      <w:proofErr w:type="spellEnd"/>
      <w:r w:rsidRPr="00302448">
        <w:rPr>
          <w:spacing w:val="-4"/>
          <w:sz w:val="24"/>
          <w:szCs w:val="24"/>
        </w:rPr>
        <w:t>/L</w:t>
      </w:r>
      <w:r w:rsidRPr="00302448">
        <w:rPr>
          <w:spacing w:val="32"/>
          <w:sz w:val="24"/>
          <w:szCs w:val="24"/>
        </w:rPr>
        <w:t xml:space="preserve"> </w:t>
      </w:r>
      <w:r w:rsidRPr="00302448">
        <w:rPr>
          <w:sz w:val="24"/>
          <w:szCs w:val="24"/>
        </w:rPr>
        <w:t>respectively.</w:t>
      </w:r>
    </w:p>
    <w:p w14:paraId="6840BFD3" w14:textId="1F697EB7" w:rsidR="00CA16D5" w:rsidRDefault="00CA16D5">
      <w:pPr>
        <w:rPr>
          <w:sz w:val="20"/>
          <w:szCs w:val="22"/>
          <w:lang w:val="en-US" w:eastAsia="en-US"/>
        </w:rPr>
      </w:pPr>
      <w:r>
        <w:rPr>
          <w:sz w:val="20"/>
        </w:rPr>
        <w:br w:type="page"/>
      </w:r>
    </w:p>
    <w:p w14:paraId="2D2EEF19" w14:textId="77777777" w:rsidR="00302448" w:rsidRDefault="00302448" w:rsidP="002636B7">
      <w:pPr>
        <w:pStyle w:val="Brdtekst"/>
        <w:rPr>
          <w:sz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669"/>
        <w:gridCol w:w="2364"/>
        <w:gridCol w:w="2799"/>
        <w:gridCol w:w="2790"/>
      </w:tblGrid>
      <w:tr w:rsidR="00302448" w14:paraId="75DF58AF" w14:textId="77777777" w:rsidTr="009843B7">
        <w:trPr>
          <w:trHeight w:val="20"/>
        </w:trPr>
        <w:tc>
          <w:tcPr>
            <w:tcW w:w="867" w:type="pct"/>
            <w:vMerge w:val="restart"/>
            <w:tcBorders>
              <w:top w:val="single" w:sz="6" w:space="0" w:color="000000"/>
              <w:left w:val="single" w:sz="6" w:space="0" w:color="000000"/>
              <w:bottom w:val="single" w:sz="4" w:space="0" w:color="000000"/>
              <w:right w:val="single" w:sz="6" w:space="0" w:color="000000"/>
            </w:tcBorders>
            <w:hideMark/>
          </w:tcPr>
          <w:p w14:paraId="170BF92A" w14:textId="77777777" w:rsidR="00302448" w:rsidRDefault="00302448" w:rsidP="002636B7">
            <w:pPr>
              <w:pStyle w:val="TableParagraph"/>
              <w:ind w:left="266" w:hanging="12"/>
              <w:jc w:val="center"/>
              <w:rPr>
                <w:b/>
                <w:sz w:val="20"/>
              </w:rPr>
            </w:pPr>
            <w:r>
              <w:rPr>
                <w:b/>
                <w:sz w:val="20"/>
              </w:rPr>
              <w:t>Renal Impairment Group</w:t>
            </w:r>
          </w:p>
        </w:tc>
        <w:tc>
          <w:tcPr>
            <w:tcW w:w="1228" w:type="pct"/>
            <w:vMerge w:val="restart"/>
            <w:tcBorders>
              <w:top w:val="single" w:sz="6" w:space="0" w:color="000000"/>
              <w:left w:val="single" w:sz="6" w:space="0" w:color="000000"/>
              <w:bottom w:val="single" w:sz="4" w:space="0" w:color="000000"/>
              <w:right w:val="single" w:sz="6" w:space="0" w:color="000000"/>
            </w:tcBorders>
          </w:tcPr>
          <w:p w14:paraId="41628F3C" w14:textId="77777777" w:rsidR="00302448" w:rsidRDefault="00302448" w:rsidP="002636B7">
            <w:pPr>
              <w:pStyle w:val="TableParagraph"/>
              <w:ind w:left="0"/>
              <w:rPr>
                <w:sz w:val="29"/>
              </w:rPr>
            </w:pPr>
          </w:p>
          <w:p w14:paraId="7D1DB581" w14:textId="77777777" w:rsidR="00302448" w:rsidRDefault="00302448" w:rsidP="002636B7">
            <w:pPr>
              <w:pStyle w:val="TableParagraph"/>
              <w:ind w:left="727"/>
              <w:rPr>
                <w:b/>
                <w:sz w:val="20"/>
              </w:rPr>
            </w:pPr>
            <w:r>
              <w:rPr>
                <w:b/>
                <w:sz w:val="20"/>
              </w:rPr>
              <w:t>Statistics</w:t>
            </w:r>
          </w:p>
        </w:tc>
        <w:tc>
          <w:tcPr>
            <w:tcW w:w="2904" w:type="pct"/>
            <w:gridSpan w:val="2"/>
            <w:tcBorders>
              <w:top w:val="single" w:sz="6" w:space="0" w:color="000000"/>
              <w:left w:val="single" w:sz="6" w:space="0" w:color="000000"/>
              <w:bottom w:val="single" w:sz="4" w:space="0" w:color="000000"/>
              <w:right w:val="single" w:sz="6" w:space="0" w:color="000000"/>
            </w:tcBorders>
            <w:hideMark/>
          </w:tcPr>
          <w:p w14:paraId="77C9055A" w14:textId="77777777" w:rsidR="00302448" w:rsidRDefault="00302448" w:rsidP="002636B7">
            <w:pPr>
              <w:pStyle w:val="TableParagraph"/>
              <w:ind w:left="1858"/>
              <w:jc w:val="center"/>
              <w:rPr>
                <w:b/>
                <w:sz w:val="20"/>
              </w:rPr>
            </w:pPr>
            <w:r>
              <w:rPr>
                <w:b/>
                <w:sz w:val="20"/>
              </w:rPr>
              <w:t>AUC</w:t>
            </w:r>
            <w:r>
              <w:rPr>
                <w:b/>
                <w:sz w:val="12"/>
              </w:rPr>
              <w:t>0-</w:t>
            </w:r>
            <w:r>
              <w:rPr>
                <w:b/>
                <w:position w:val="-1"/>
                <w:sz w:val="12"/>
              </w:rPr>
              <w:t xml:space="preserve">∞ </w:t>
            </w:r>
            <w:r>
              <w:rPr>
                <w:b/>
                <w:sz w:val="20"/>
              </w:rPr>
              <w:t>(</w:t>
            </w:r>
            <w:proofErr w:type="spellStart"/>
            <w:r>
              <w:rPr>
                <w:b/>
                <w:sz w:val="20"/>
              </w:rPr>
              <w:t>mg•hr</w:t>
            </w:r>
            <w:proofErr w:type="spellEnd"/>
            <w:r>
              <w:rPr>
                <w:b/>
                <w:sz w:val="20"/>
              </w:rPr>
              <w:t>/L)</w:t>
            </w:r>
          </w:p>
        </w:tc>
      </w:tr>
      <w:tr w:rsidR="00302448" w14:paraId="1612C509" w14:textId="77777777" w:rsidTr="009843B7">
        <w:trPr>
          <w:trHeight w:val="20"/>
        </w:trPr>
        <w:tc>
          <w:tcPr>
            <w:tcW w:w="867" w:type="pct"/>
            <w:vMerge/>
            <w:tcBorders>
              <w:top w:val="single" w:sz="6" w:space="0" w:color="000000"/>
              <w:left w:val="single" w:sz="6" w:space="0" w:color="000000"/>
              <w:bottom w:val="single" w:sz="4" w:space="0" w:color="000000"/>
              <w:right w:val="single" w:sz="6" w:space="0" w:color="000000"/>
            </w:tcBorders>
            <w:vAlign w:val="center"/>
            <w:hideMark/>
          </w:tcPr>
          <w:p w14:paraId="145A2FAE" w14:textId="77777777" w:rsidR="00302448" w:rsidRDefault="00302448" w:rsidP="002636B7">
            <w:pPr>
              <w:rPr>
                <w:b/>
                <w:sz w:val="20"/>
                <w:szCs w:val="22"/>
                <w:lang w:val="en-US" w:eastAsia="en-US"/>
              </w:rPr>
            </w:pPr>
          </w:p>
        </w:tc>
        <w:tc>
          <w:tcPr>
            <w:tcW w:w="1228" w:type="pct"/>
            <w:vMerge/>
            <w:tcBorders>
              <w:top w:val="single" w:sz="6" w:space="0" w:color="000000"/>
              <w:left w:val="single" w:sz="6" w:space="0" w:color="000000"/>
              <w:bottom w:val="single" w:sz="4" w:space="0" w:color="000000"/>
              <w:right w:val="single" w:sz="6" w:space="0" w:color="000000"/>
            </w:tcBorders>
            <w:vAlign w:val="center"/>
            <w:hideMark/>
          </w:tcPr>
          <w:p w14:paraId="62E3F4A9" w14:textId="77777777" w:rsidR="00302448" w:rsidRDefault="00302448" w:rsidP="002636B7">
            <w:pPr>
              <w:rPr>
                <w:b/>
                <w:sz w:val="20"/>
                <w:szCs w:val="22"/>
                <w:lang w:val="en-US" w:eastAsia="en-US"/>
              </w:rPr>
            </w:pPr>
          </w:p>
        </w:tc>
        <w:tc>
          <w:tcPr>
            <w:tcW w:w="1454" w:type="pct"/>
            <w:tcBorders>
              <w:top w:val="single" w:sz="4" w:space="0" w:color="000000"/>
              <w:left w:val="single" w:sz="6" w:space="0" w:color="000000"/>
              <w:bottom w:val="single" w:sz="4" w:space="0" w:color="000000"/>
              <w:right w:val="single" w:sz="6" w:space="0" w:color="000000"/>
            </w:tcBorders>
            <w:hideMark/>
          </w:tcPr>
          <w:p w14:paraId="5E2DD80D" w14:textId="77777777" w:rsidR="00302448" w:rsidRDefault="00302448" w:rsidP="002636B7">
            <w:pPr>
              <w:pStyle w:val="TableParagraph"/>
              <w:ind w:left="628"/>
              <w:jc w:val="center"/>
              <w:rPr>
                <w:b/>
                <w:sz w:val="20"/>
              </w:rPr>
            </w:pPr>
            <w:r>
              <w:rPr>
                <w:b/>
                <w:sz w:val="20"/>
              </w:rPr>
              <w:t>Pirfenidone</w:t>
            </w:r>
          </w:p>
        </w:tc>
        <w:tc>
          <w:tcPr>
            <w:tcW w:w="1450" w:type="pct"/>
            <w:tcBorders>
              <w:top w:val="single" w:sz="4" w:space="0" w:color="000000"/>
              <w:left w:val="single" w:sz="6" w:space="0" w:color="000000"/>
              <w:bottom w:val="single" w:sz="4" w:space="0" w:color="000000"/>
              <w:right w:val="single" w:sz="6" w:space="0" w:color="000000"/>
            </w:tcBorders>
            <w:hideMark/>
          </w:tcPr>
          <w:p w14:paraId="1FC650B4" w14:textId="77777777" w:rsidR="00302448" w:rsidRDefault="00302448" w:rsidP="002636B7">
            <w:pPr>
              <w:pStyle w:val="TableParagraph"/>
              <w:ind w:left="308"/>
              <w:jc w:val="center"/>
              <w:rPr>
                <w:b/>
                <w:sz w:val="20"/>
              </w:rPr>
            </w:pPr>
            <w:r>
              <w:rPr>
                <w:b/>
                <w:sz w:val="20"/>
              </w:rPr>
              <w:t>5-Carboxy-Pirfenidone</w:t>
            </w:r>
          </w:p>
        </w:tc>
      </w:tr>
      <w:tr w:rsidR="00302448" w14:paraId="1FD65355" w14:textId="77777777" w:rsidTr="009843B7">
        <w:trPr>
          <w:trHeight w:val="20"/>
        </w:trPr>
        <w:tc>
          <w:tcPr>
            <w:tcW w:w="867" w:type="pct"/>
            <w:tcBorders>
              <w:top w:val="single" w:sz="4" w:space="0" w:color="000000"/>
              <w:left w:val="single" w:sz="6" w:space="0" w:color="000000"/>
              <w:bottom w:val="nil"/>
              <w:right w:val="single" w:sz="6" w:space="0" w:color="000000"/>
            </w:tcBorders>
            <w:hideMark/>
          </w:tcPr>
          <w:p w14:paraId="691DB439" w14:textId="77777777" w:rsidR="00302448" w:rsidRDefault="00302448" w:rsidP="002636B7">
            <w:pPr>
              <w:pStyle w:val="TableParagraph"/>
              <w:ind w:left="370"/>
              <w:jc w:val="center"/>
              <w:rPr>
                <w:sz w:val="20"/>
              </w:rPr>
            </w:pPr>
            <w:r>
              <w:rPr>
                <w:sz w:val="20"/>
              </w:rPr>
              <w:t>Normal</w:t>
            </w:r>
          </w:p>
        </w:tc>
        <w:tc>
          <w:tcPr>
            <w:tcW w:w="1228" w:type="pct"/>
            <w:tcBorders>
              <w:top w:val="single" w:sz="4" w:space="0" w:color="000000"/>
              <w:left w:val="single" w:sz="6" w:space="0" w:color="000000"/>
              <w:bottom w:val="nil"/>
              <w:right w:val="single" w:sz="6" w:space="0" w:color="000000"/>
            </w:tcBorders>
            <w:hideMark/>
          </w:tcPr>
          <w:p w14:paraId="3397D343" w14:textId="77777777" w:rsidR="00302448" w:rsidRDefault="00302448" w:rsidP="002636B7">
            <w:pPr>
              <w:pStyle w:val="TableParagraph"/>
              <w:ind w:left="283"/>
              <w:jc w:val="center"/>
              <w:rPr>
                <w:sz w:val="20"/>
              </w:rPr>
            </w:pPr>
            <w:r>
              <w:rPr>
                <w:sz w:val="20"/>
              </w:rPr>
              <w:t>Mean (SD)</w:t>
            </w:r>
          </w:p>
        </w:tc>
        <w:tc>
          <w:tcPr>
            <w:tcW w:w="1454" w:type="pct"/>
            <w:tcBorders>
              <w:top w:val="single" w:sz="4" w:space="0" w:color="000000"/>
              <w:left w:val="single" w:sz="6" w:space="0" w:color="000000"/>
              <w:bottom w:val="nil"/>
              <w:right w:val="single" w:sz="6" w:space="0" w:color="000000"/>
            </w:tcBorders>
            <w:hideMark/>
          </w:tcPr>
          <w:p w14:paraId="62908209" w14:textId="77777777" w:rsidR="00302448" w:rsidRDefault="00302448" w:rsidP="002636B7">
            <w:pPr>
              <w:pStyle w:val="TableParagraph"/>
              <w:ind w:left="624"/>
              <w:jc w:val="center"/>
              <w:rPr>
                <w:sz w:val="20"/>
              </w:rPr>
            </w:pPr>
            <w:r>
              <w:rPr>
                <w:sz w:val="20"/>
              </w:rPr>
              <w:t>42.6 (17.9)</w:t>
            </w:r>
          </w:p>
        </w:tc>
        <w:tc>
          <w:tcPr>
            <w:tcW w:w="1450" w:type="pct"/>
            <w:tcBorders>
              <w:top w:val="single" w:sz="4" w:space="0" w:color="000000"/>
              <w:left w:val="single" w:sz="6" w:space="0" w:color="000000"/>
              <w:bottom w:val="nil"/>
              <w:right w:val="single" w:sz="6" w:space="0" w:color="000000"/>
            </w:tcBorders>
            <w:hideMark/>
          </w:tcPr>
          <w:p w14:paraId="5CD98529" w14:textId="77777777" w:rsidR="00302448" w:rsidRDefault="00302448" w:rsidP="002636B7">
            <w:pPr>
              <w:pStyle w:val="TableParagraph"/>
              <w:ind w:left="293"/>
              <w:jc w:val="center"/>
              <w:rPr>
                <w:sz w:val="20"/>
              </w:rPr>
            </w:pPr>
            <w:r>
              <w:rPr>
                <w:sz w:val="20"/>
              </w:rPr>
              <w:t>28.7 (4.99)</w:t>
            </w:r>
          </w:p>
        </w:tc>
      </w:tr>
      <w:tr w:rsidR="00302448" w14:paraId="288CCB74" w14:textId="77777777" w:rsidTr="009843B7">
        <w:trPr>
          <w:trHeight w:val="20"/>
        </w:trPr>
        <w:tc>
          <w:tcPr>
            <w:tcW w:w="867" w:type="pct"/>
            <w:tcBorders>
              <w:top w:val="nil"/>
              <w:left w:val="single" w:sz="6" w:space="0" w:color="000000"/>
              <w:bottom w:val="single" w:sz="6" w:space="0" w:color="000000"/>
              <w:right w:val="single" w:sz="6" w:space="0" w:color="000000"/>
            </w:tcBorders>
            <w:hideMark/>
          </w:tcPr>
          <w:p w14:paraId="7C47AAC2" w14:textId="77777777" w:rsidR="00302448" w:rsidRDefault="00302448" w:rsidP="002636B7">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6" w:space="0" w:color="000000"/>
              <w:right w:val="single" w:sz="6" w:space="0" w:color="000000"/>
            </w:tcBorders>
            <w:hideMark/>
          </w:tcPr>
          <w:p w14:paraId="646ECE3C" w14:textId="77777777" w:rsidR="00302448" w:rsidRDefault="00302448" w:rsidP="002636B7">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6" w:space="0" w:color="000000"/>
              <w:right w:val="single" w:sz="6" w:space="0" w:color="000000"/>
            </w:tcBorders>
            <w:hideMark/>
          </w:tcPr>
          <w:p w14:paraId="09EAB415" w14:textId="77777777" w:rsidR="00302448" w:rsidRDefault="00302448" w:rsidP="002636B7">
            <w:pPr>
              <w:pStyle w:val="TableParagraph"/>
              <w:ind w:left="631"/>
              <w:jc w:val="center"/>
              <w:rPr>
                <w:sz w:val="20"/>
              </w:rPr>
            </w:pPr>
            <w:r>
              <w:rPr>
                <w:sz w:val="20"/>
              </w:rPr>
              <w:t>42.0 (33.1–55.6)</w:t>
            </w:r>
          </w:p>
        </w:tc>
        <w:tc>
          <w:tcPr>
            <w:tcW w:w="1450" w:type="pct"/>
            <w:tcBorders>
              <w:top w:val="nil"/>
              <w:left w:val="single" w:sz="6" w:space="0" w:color="000000"/>
              <w:bottom w:val="single" w:sz="6" w:space="0" w:color="000000"/>
              <w:right w:val="single" w:sz="6" w:space="0" w:color="000000"/>
            </w:tcBorders>
            <w:hideMark/>
          </w:tcPr>
          <w:p w14:paraId="0C0B4CC5" w14:textId="77777777" w:rsidR="00302448" w:rsidRDefault="00302448" w:rsidP="002636B7">
            <w:pPr>
              <w:pStyle w:val="TableParagraph"/>
              <w:ind w:left="297"/>
              <w:jc w:val="center"/>
              <w:rPr>
                <w:sz w:val="20"/>
              </w:rPr>
            </w:pPr>
            <w:r>
              <w:rPr>
                <w:sz w:val="20"/>
              </w:rPr>
              <w:t>30.8 (24.1–32.1)</w:t>
            </w:r>
          </w:p>
        </w:tc>
      </w:tr>
      <w:tr w:rsidR="00302448" w14:paraId="7703B28C" w14:textId="77777777" w:rsidTr="009843B7">
        <w:trPr>
          <w:trHeight w:val="20"/>
        </w:trPr>
        <w:tc>
          <w:tcPr>
            <w:tcW w:w="867" w:type="pct"/>
            <w:tcBorders>
              <w:top w:val="single" w:sz="6" w:space="0" w:color="000000"/>
              <w:left w:val="single" w:sz="6" w:space="0" w:color="000000"/>
              <w:bottom w:val="nil"/>
              <w:right w:val="single" w:sz="6" w:space="0" w:color="000000"/>
            </w:tcBorders>
            <w:hideMark/>
          </w:tcPr>
          <w:p w14:paraId="3C65E939" w14:textId="77777777" w:rsidR="00302448" w:rsidRDefault="00302448" w:rsidP="002636B7">
            <w:pPr>
              <w:pStyle w:val="TableParagraph"/>
              <w:ind w:left="377"/>
              <w:jc w:val="center"/>
              <w:rPr>
                <w:sz w:val="20"/>
              </w:rPr>
            </w:pPr>
            <w:r>
              <w:rPr>
                <w:sz w:val="20"/>
              </w:rPr>
              <w:t>Mild</w:t>
            </w:r>
          </w:p>
        </w:tc>
        <w:tc>
          <w:tcPr>
            <w:tcW w:w="1228" w:type="pct"/>
            <w:tcBorders>
              <w:top w:val="single" w:sz="6" w:space="0" w:color="000000"/>
              <w:left w:val="single" w:sz="6" w:space="0" w:color="000000"/>
              <w:bottom w:val="nil"/>
              <w:right w:val="single" w:sz="6" w:space="0" w:color="000000"/>
            </w:tcBorders>
            <w:hideMark/>
          </w:tcPr>
          <w:p w14:paraId="2CB0FF82" w14:textId="77777777" w:rsidR="00302448" w:rsidRDefault="00302448" w:rsidP="002636B7">
            <w:pPr>
              <w:pStyle w:val="TableParagraph"/>
              <w:ind w:left="283"/>
              <w:jc w:val="center"/>
              <w:rPr>
                <w:sz w:val="20"/>
              </w:rPr>
            </w:pPr>
            <w:r>
              <w:rPr>
                <w:sz w:val="20"/>
              </w:rPr>
              <w:t>Mean (SD)</w:t>
            </w:r>
          </w:p>
        </w:tc>
        <w:tc>
          <w:tcPr>
            <w:tcW w:w="1454" w:type="pct"/>
            <w:tcBorders>
              <w:top w:val="single" w:sz="6" w:space="0" w:color="000000"/>
              <w:left w:val="single" w:sz="6" w:space="0" w:color="000000"/>
              <w:bottom w:val="nil"/>
              <w:right w:val="single" w:sz="6" w:space="0" w:color="000000"/>
            </w:tcBorders>
            <w:hideMark/>
          </w:tcPr>
          <w:p w14:paraId="1D46E2DD" w14:textId="77777777" w:rsidR="00302448" w:rsidRDefault="00302448" w:rsidP="002636B7">
            <w:pPr>
              <w:pStyle w:val="TableParagraph"/>
              <w:ind w:left="624"/>
              <w:jc w:val="center"/>
              <w:rPr>
                <w:sz w:val="20"/>
              </w:rPr>
            </w:pPr>
            <w:r>
              <w:rPr>
                <w:sz w:val="20"/>
              </w:rPr>
              <w:t>59.1 (21.5)</w:t>
            </w:r>
          </w:p>
        </w:tc>
        <w:tc>
          <w:tcPr>
            <w:tcW w:w="1450" w:type="pct"/>
            <w:tcBorders>
              <w:top w:val="single" w:sz="6" w:space="0" w:color="000000"/>
              <w:left w:val="single" w:sz="6" w:space="0" w:color="000000"/>
              <w:bottom w:val="nil"/>
              <w:right w:val="single" w:sz="6" w:space="0" w:color="000000"/>
            </w:tcBorders>
            <w:hideMark/>
          </w:tcPr>
          <w:p w14:paraId="3989D02A" w14:textId="1886C275" w:rsidR="00302448" w:rsidRDefault="00302448" w:rsidP="002636B7">
            <w:pPr>
              <w:pStyle w:val="TableParagraph"/>
              <w:ind w:left="304"/>
              <w:jc w:val="center"/>
              <w:rPr>
                <w:sz w:val="20"/>
              </w:rPr>
            </w:pPr>
            <w:r>
              <w:rPr>
                <w:sz w:val="20"/>
              </w:rPr>
              <w:t>49.3</w:t>
            </w:r>
            <w:r w:rsidR="00C233FD" w:rsidRPr="00C233FD">
              <w:rPr>
                <w:sz w:val="20"/>
                <w:vertAlign w:val="superscript"/>
              </w:rPr>
              <w:t>a</w:t>
            </w:r>
            <w:r>
              <w:rPr>
                <w:sz w:val="20"/>
              </w:rPr>
              <w:t xml:space="preserve"> (14.6)</w:t>
            </w:r>
          </w:p>
        </w:tc>
      </w:tr>
      <w:tr w:rsidR="00302448" w14:paraId="1737D613" w14:textId="77777777" w:rsidTr="009843B7">
        <w:trPr>
          <w:trHeight w:val="20"/>
        </w:trPr>
        <w:tc>
          <w:tcPr>
            <w:tcW w:w="867" w:type="pct"/>
            <w:tcBorders>
              <w:top w:val="nil"/>
              <w:left w:val="single" w:sz="6" w:space="0" w:color="000000"/>
              <w:bottom w:val="single" w:sz="4" w:space="0" w:color="000000"/>
              <w:right w:val="single" w:sz="6" w:space="0" w:color="000000"/>
            </w:tcBorders>
            <w:hideMark/>
          </w:tcPr>
          <w:p w14:paraId="63E59626" w14:textId="77777777" w:rsidR="00302448" w:rsidRDefault="00302448" w:rsidP="002636B7">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4" w:space="0" w:color="000000"/>
              <w:right w:val="single" w:sz="6" w:space="0" w:color="000000"/>
            </w:tcBorders>
            <w:hideMark/>
          </w:tcPr>
          <w:p w14:paraId="79BE2238" w14:textId="77777777" w:rsidR="00302448" w:rsidRDefault="00302448" w:rsidP="002636B7">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4" w:space="0" w:color="000000"/>
              <w:right w:val="single" w:sz="6" w:space="0" w:color="000000"/>
            </w:tcBorders>
            <w:hideMark/>
          </w:tcPr>
          <w:p w14:paraId="0E33A633" w14:textId="77777777" w:rsidR="00302448" w:rsidRDefault="00302448" w:rsidP="002636B7">
            <w:pPr>
              <w:pStyle w:val="TableParagraph"/>
              <w:ind w:left="631"/>
              <w:jc w:val="center"/>
              <w:rPr>
                <w:sz w:val="20"/>
              </w:rPr>
            </w:pPr>
            <w:r>
              <w:rPr>
                <w:sz w:val="20"/>
              </w:rPr>
              <w:t>51.6 (43.7–80.3)</w:t>
            </w:r>
          </w:p>
        </w:tc>
        <w:tc>
          <w:tcPr>
            <w:tcW w:w="1450" w:type="pct"/>
            <w:tcBorders>
              <w:top w:val="nil"/>
              <w:left w:val="single" w:sz="6" w:space="0" w:color="000000"/>
              <w:bottom w:val="single" w:sz="4" w:space="0" w:color="000000"/>
              <w:right w:val="single" w:sz="6" w:space="0" w:color="000000"/>
            </w:tcBorders>
            <w:hideMark/>
          </w:tcPr>
          <w:p w14:paraId="6E7B9CB6" w14:textId="77777777" w:rsidR="00302448" w:rsidRDefault="00302448" w:rsidP="002636B7">
            <w:pPr>
              <w:pStyle w:val="TableParagraph"/>
              <w:ind w:left="297"/>
              <w:jc w:val="center"/>
              <w:rPr>
                <w:sz w:val="20"/>
              </w:rPr>
            </w:pPr>
            <w:r>
              <w:rPr>
                <w:sz w:val="20"/>
              </w:rPr>
              <w:t>43.0 (38.8–56.8)</w:t>
            </w:r>
          </w:p>
        </w:tc>
      </w:tr>
      <w:tr w:rsidR="00302448" w14:paraId="7103DDE8" w14:textId="77777777" w:rsidTr="009843B7">
        <w:trPr>
          <w:trHeight w:val="20"/>
        </w:trPr>
        <w:tc>
          <w:tcPr>
            <w:tcW w:w="867" w:type="pct"/>
            <w:tcBorders>
              <w:top w:val="single" w:sz="4" w:space="0" w:color="000000"/>
              <w:left w:val="single" w:sz="6" w:space="0" w:color="000000"/>
              <w:bottom w:val="nil"/>
              <w:right w:val="single" w:sz="6" w:space="0" w:color="000000"/>
            </w:tcBorders>
            <w:hideMark/>
          </w:tcPr>
          <w:p w14:paraId="541C565E" w14:textId="77777777" w:rsidR="00302448" w:rsidRDefault="00302448" w:rsidP="002636B7">
            <w:pPr>
              <w:pStyle w:val="TableParagraph"/>
              <w:ind w:left="377"/>
              <w:jc w:val="center"/>
              <w:rPr>
                <w:sz w:val="20"/>
              </w:rPr>
            </w:pPr>
            <w:r>
              <w:rPr>
                <w:sz w:val="20"/>
              </w:rPr>
              <w:t>Moderate</w:t>
            </w:r>
          </w:p>
        </w:tc>
        <w:tc>
          <w:tcPr>
            <w:tcW w:w="1228" w:type="pct"/>
            <w:tcBorders>
              <w:top w:val="single" w:sz="4" w:space="0" w:color="000000"/>
              <w:left w:val="single" w:sz="6" w:space="0" w:color="000000"/>
              <w:bottom w:val="nil"/>
              <w:right w:val="single" w:sz="6" w:space="0" w:color="000000"/>
            </w:tcBorders>
            <w:hideMark/>
          </w:tcPr>
          <w:p w14:paraId="5E2A2837" w14:textId="77777777" w:rsidR="00302448" w:rsidRDefault="00302448" w:rsidP="002636B7">
            <w:pPr>
              <w:pStyle w:val="TableParagraph"/>
              <w:ind w:left="283"/>
              <w:jc w:val="center"/>
              <w:rPr>
                <w:sz w:val="20"/>
              </w:rPr>
            </w:pPr>
            <w:r>
              <w:rPr>
                <w:sz w:val="20"/>
              </w:rPr>
              <w:t>Mean (SD)</w:t>
            </w:r>
          </w:p>
        </w:tc>
        <w:tc>
          <w:tcPr>
            <w:tcW w:w="1454" w:type="pct"/>
            <w:tcBorders>
              <w:top w:val="single" w:sz="4" w:space="0" w:color="000000"/>
              <w:left w:val="single" w:sz="6" w:space="0" w:color="000000"/>
              <w:bottom w:val="nil"/>
              <w:right w:val="single" w:sz="6" w:space="0" w:color="000000"/>
            </w:tcBorders>
            <w:hideMark/>
          </w:tcPr>
          <w:p w14:paraId="1255BE8B" w14:textId="77777777" w:rsidR="00302448" w:rsidRDefault="00302448" w:rsidP="002636B7">
            <w:pPr>
              <w:pStyle w:val="TableParagraph"/>
              <w:ind w:left="624"/>
              <w:jc w:val="center"/>
              <w:rPr>
                <w:sz w:val="20"/>
              </w:rPr>
            </w:pPr>
            <w:r>
              <w:rPr>
                <w:sz w:val="20"/>
              </w:rPr>
              <w:t>63.5 (19.5)</w:t>
            </w:r>
          </w:p>
        </w:tc>
        <w:tc>
          <w:tcPr>
            <w:tcW w:w="1450" w:type="pct"/>
            <w:tcBorders>
              <w:top w:val="single" w:sz="4" w:space="0" w:color="000000"/>
              <w:left w:val="single" w:sz="6" w:space="0" w:color="000000"/>
              <w:bottom w:val="nil"/>
              <w:right w:val="single" w:sz="6" w:space="0" w:color="000000"/>
            </w:tcBorders>
            <w:hideMark/>
          </w:tcPr>
          <w:p w14:paraId="6680A9ED" w14:textId="04DEB6CF" w:rsidR="00302448" w:rsidRDefault="00302448" w:rsidP="002636B7">
            <w:pPr>
              <w:pStyle w:val="TableParagraph"/>
              <w:ind w:left="863"/>
              <w:rPr>
                <w:sz w:val="20"/>
              </w:rPr>
            </w:pPr>
            <w:r>
              <w:rPr>
                <w:sz w:val="20"/>
              </w:rPr>
              <w:t>100</w:t>
            </w:r>
            <w:r w:rsidR="00C233FD" w:rsidRPr="00C233FD">
              <w:rPr>
                <w:sz w:val="20"/>
                <w:vertAlign w:val="superscript"/>
              </w:rPr>
              <w:t>b</w:t>
            </w:r>
            <w:r>
              <w:rPr>
                <w:sz w:val="20"/>
              </w:rPr>
              <w:t xml:space="preserve"> (26.3)</w:t>
            </w:r>
          </w:p>
        </w:tc>
      </w:tr>
      <w:tr w:rsidR="00302448" w14:paraId="068663EC" w14:textId="77777777" w:rsidTr="009843B7">
        <w:trPr>
          <w:trHeight w:val="20"/>
        </w:trPr>
        <w:tc>
          <w:tcPr>
            <w:tcW w:w="867" w:type="pct"/>
            <w:tcBorders>
              <w:top w:val="nil"/>
              <w:left w:val="single" w:sz="6" w:space="0" w:color="000000"/>
              <w:bottom w:val="single" w:sz="4" w:space="0" w:color="000000"/>
              <w:right w:val="single" w:sz="6" w:space="0" w:color="000000"/>
            </w:tcBorders>
            <w:hideMark/>
          </w:tcPr>
          <w:p w14:paraId="3C65144D" w14:textId="77777777" w:rsidR="00302448" w:rsidRDefault="00302448" w:rsidP="002636B7">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4" w:space="0" w:color="000000"/>
              <w:right w:val="single" w:sz="6" w:space="0" w:color="000000"/>
            </w:tcBorders>
            <w:hideMark/>
          </w:tcPr>
          <w:p w14:paraId="0CC8B41A" w14:textId="77777777" w:rsidR="00302448" w:rsidRDefault="00302448" w:rsidP="002636B7">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4" w:space="0" w:color="000000"/>
              <w:right w:val="single" w:sz="6" w:space="0" w:color="000000"/>
            </w:tcBorders>
            <w:hideMark/>
          </w:tcPr>
          <w:p w14:paraId="0AB21307" w14:textId="77777777" w:rsidR="00302448" w:rsidRDefault="00302448" w:rsidP="002636B7">
            <w:pPr>
              <w:pStyle w:val="TableParagraph"/>
              <w:ind w:left="631"/>
              <w:jc w:val="center"/>
              <w:rPr>
                <w:sz w:val="20"/>
              </w:rPr>
            </w:pPr>
            <w:r>
              <w:rPr>
                <w:sz w:val="20"/>
              </w:rPr>
              <w:t>66.7 (47.7–76.7)</w:t>
            </w:r>
          </w:p>
        </w:tc>
        <w:tc>
          <w:tcPr>
            <w:tcW w:w="1450" w:type="pct"/>
            <w:tcBorders>
              <w:top w:val="nil"/>
              <w:left w:val="single" w:sz="6" w:space="0" w:color="000000"/>
              <w:bottom w:val="single" w:sz="4" w:space="0" w:color="000000"/>
              <w:right w:val="single" w:sz="6" w:space="0" w:color="000000"/>
            </w:tcBorders>
            <w:hideMark/>
          </w:tcPr>
          <w:p w14:paraId="6C90B541" w14:textId="77777777" w:rsidR="00302448" w:rsidRDefault="00302448" w:rsidP="002636B7">
            <w:pPr>
              <w:pStyle w:val="TableParagraph"/>
              <w:ind w:left="304"/>
              <w:jc w:val="center"/>
              <w:rPr>
                <w:sz w:val="20"/>
              </w:rPr>
            </w:pPr>
            <w:r>
              <w:rPr>
                <w:sz w:val="20"/>
              </w:rPr>
              <w:t>96.3 (75.2–123)</w:t>
            </w:r>
          </w:p>
        </w:tc>
      </w:tr>
      <w:tr w:rsidR="00302448" w14:paraId="7113639C" w14:textId="77777777" w:rsidTr="009843B7">
        <w:trPr>
          <w:trHeight w:val="20"/>
        </w:trPr>
        <w:tc>
          <w:tcPr>
            <w:tcW w:w="867" w:type="pct"/>
            <w:tcBorders>
              <w:top w:val="single" w:sz="4" w:space="0" w:color="000000"/>
              <w:left w:val="single" w:sz="6" w:space="0" w:color="000000"/>
              <w:bottom w:val="nil"/>
              <w:right w:val="single" w:sz="6" w:space="0" w:color="000000"/>
            </w:tcBorders>
            <w:hideMark/>
          </w:tcPr>
          <w:p w14:paraId="6CB3F806" w14:textId="77777777" w:rsidR="00302448" w:rsidRDefault="00302448" w:rsidP="002636B7">
            <w:pPr>
              <w:pStyle w:val="TableParagraph"/>
              <w:ind w:left="375"/>
              <w:jc w:val="center"/>
              <w:rPr>
                <w:sz w:val="20"/>
              </w:rPr>
            </w:pPr>
            <w:r>
              <w:rPr>
                <w:sz w:val="20"/>
              </w:rPr>
              <w:t>Severe</w:t>
            </w:r>
          </w:p>
        </w:tc>
        <w:tc>
          <w:tcPr>
            <w:tcW w:w="1228" w:type="pct"/>
            <w:tcBorders>
              <w:top w:val="single" w:sz="4" w:space="0" w:color="000000"/>
              <w:left w:val="single" w:sz="6" w:space="0" w:color="000000"/>
              <w:bottom w:val="nil"/>
              <w:right w:val="single" w:sz="6" w:space="0" w:color="000000"/>
            </w:tcBorders>
            <w:hideMark/>
          </w:tcPr>
          <w:p w14:paraId="4F3EED39" w14:textId="77777777" w:rsidR="00302448" w:rsidRDefault="00302448" w:rsidP="002636B7">
            <w:pPr>
              <w:pStyle w:val="TableParagraph"/>
              <w:ind w:left="283"/>
              <w:jc w:val="center"/>
              <w:rPr>
                <w:sz w:val="20"/>
              </w:rPr>
            </w:pPr>
            <w:r>
              <w:rPr>
                <w:sz w:val="20"/>
              </w:rPr>
              <w:t>Mean (SD)</w:t>
            </w:r>
          </w:p>
        </w:tc>
        <w:tc>
          <w:tcPr>
            <w:tcW w:w="1454" w:type="pct"/>
            <w:tcBorders>
              <w:top w:val="single" w:sz="4" w:space="0" w:color="000000"/>
              <w:left w:val="single" w:sz="6" w:space="0" w:color="000000"/>
              <w:bottom w:val="nil"/>
              <w:right w:val="single" w:sz="6" w:space="0" w:color="000000"/>
            </w:tcBorders>
            <w:hideMark/>
          </w:tcPr>
          <w:p w14:paraId="3C1F850A" w14:textId="77777777" w:rsidR="00302448" w:rsidRDefault="00302448" w:rsidP="002636B7">
            <w:pPr>
              <w:pStyle w:val="TableParagraph"/>
              <w:ind w:left="624"/>
              <w:jc w:val="center"/>
              <w:rPr>
                <w:sz w:val="20"/>
              </w:rPr>
            </w:pPr>
            <w:r>
              <w:rPr>
                <w:sz w:val="20"/>
              </w:rPr>
              <w:t>46.7 (10.9)</w:t>
            </w:r>
          </w:p>
        </w:tc>
        <w:tc>
          <w:tcPr>
            <w:tcW w:w="1450" w:type="pct"/>
            <w:tcBorders>
              <w:top w:val="single" w:sz="4" w:space="0" w:color="000000"/>
              <w:left w:val="single" w:sz="6" w:space="0" w:color="000000"/>
              <w:bottom w:val="nil"/>
              <w:right w:val="single" w:sz="6" w:space="0" w:color="000000"/>
            </w:tcBorders>
            <w:hideMark/>
          </w:tcPr>
          <w:p w14:paraId="4533D8DD" w14:textId="6F17CE6E" w:rsidR="00302448" w:rsidRDefault="00302448" w:rsidP="002636B7">
            <w:pPr>
              <w:pStyle w:val="TableParagraph"/>
              <w:ind w:left="863"/>
              <w:rPr>
                <w:sz w:val="20"/>
              </w:rPr>
            </w:pPr>
            <w:r>
              <w:rPr>
                <w:sz w:val="20"/>
              </w:rPr>
              <w:t>168</w:t>
            </w:r>
            <w:r w:rsidR="00C233FD" w:rsidRPr="00C233FD">
              <w:rPr>
                <w:sz w:val="20"/>
                <w:vertAlign w:val="superscript"/>
              </w:rPr>
              <w:t>c</w:t>
            </w:r>
            <w:r>
              <w:rPr>
                <w:sz w:val="20"/>
              </w:rPr>
              <w:t xml:space="preserve"> (67.4)</w:t>
            </w:r>
          </w:p>
        </w:tc>
      </w:tr>
      <w:tr w:rsidR="00302448" w14:paraId="7108ED87" w14:textId="77777777" w:rsidTr="009843B7">
        <w:trPr>
          <w:trHeight w:val="20"/>
        </w:trPr>
        <w:tc>
          <w:tcPr>
            <w:tcW w:w="867" w:type="pct"/>
            <w:tcBorders>
              <w:top w:val="nil"/>
              <w:left w:val="single" w:sz="6" w:space="0" w:color="000000"/>
              <w:bottom w:val="single" w:sz="4" w:space="0" w:color="000000"/>
              <w:right w:val="single" w:sz="6" w:space="0" w:color="000000"/>
            </w:tcBorders>
            <w:hideMark/>
          </w:tcPr>
          <w:p w14:paraId="0FE142E6" w14:textId="77777777" w:rsidR="00302448" w:rsidRDefault="00302448" w:rsidP="002636B7">
            <w:pPr>
              <w:pStyle w:val="TableParagraph"/>
              <w:ind w:left="377"/>
              <w:jc w:val="center"/>
              <w:rPr>
                <w:sz w:val="20"/>
              </w:rPr>
            </w:pPr>
            <w:r>
              <w:rPr>
                <w:sz w:val="20"/>
              </w:rPr>
              <w:t xml:space="preserve">n </w:t>
            </w:r>
            <w:r>
              <w:rPr>
                <w:rFonts w:ascii="Symbol" w:hAnsi="Symbol"/>
                <w:sz w:val="20"/>
              </w:rPr>
              <w:t></w:t>
            </w:r>
            <w:r>
              <w:rPr>
                <w:sz w:val="20"/>
              </w:rPr>
              <w:t xml:space="preserve"> 6</w:t>
            </w:r>
          </w:p>
        </w:tc>
        <w:tc>
          <w:tcPr>
            <w:tcW w:w="1228" w:type="pct"/>
            <w:tcBorders>
              <w:top w:val="nil"/>
              <w:left w:val="single" w:sz="6" w:space="0" w:color="000000"/>
              <w:bottom w:val="single" w:sz="4" w:space="0" w:color="000000"/>
              <w:right w:val="single" w:sz="6" w:space="0" w:color="000000"/>
            </w:tcBorders>
            <w:hideMark/>
          </w:tcPr>
          <w:p w14:paraId="4FD02255" w14:textId="77777777" w:rsidR="00302448" w:rsidRDefault="00302448" w:rsidP="002636B7">
            <w:pPr>
              <w:pStyle w:val="TableParagraph"/>
              <w:ind w:left="290"/>
              <w:jc w:val="center"/>
              <w:rPr>
                <w:sz w:val="20"/>
              </w:rPr>
            </w:pPr>
            <w:r>
              <w:rPr>
                <w:sz w:val="20"/>
              </w:rPr>
              <w:t>Median (25</w:t>
            </w:r>
            <w:proofErr w:type="spellStart"/>
            <w:r>
              <w:rPr>
                <w:position w:val="9"/>
                <w:sz w:val="20"/>
              </w:rPr>
              <w:t>th</w:t>
            </w:r>
            <w:proofErr w:type="spellEnd"/>
            <w:r>
              <w:rPr>
                <w:sz w:val="20"/>
              </w:rPr>
              <w:t>–75</w:t>
            </w:r>
            <w:proofErr w:type="spellStart"/>
            <w:r>
              <w:rPr>
                <w:position w:val="9"/>
                <w:sz w:val="20"/>
              </w:rPr>
              <w:t>th</w:t>
            </w:r>
            <w:proofErr w:type="spellEnd"/>
            <w:r>
              <w:rPr>
                <w:sz w:val="20"/>
              </w:rPr>
              <w:t>)</w:t>
            </w:r>
          </w:p>
        </w:tc>
        <w:tc>
          <w:tcPr>
            <w:tcW w:w="1454" w:type="pct"/>
            <w:tcBorders>
              <w:top w:val="nil"/>
              <w:left w:val="single" w:sz="6" w:space="0" w:color="000000"/>
              <w:bottom w:val="single" w:sz="4" w:space="0" w:color="000000"/>
              <w:right w:val="single" w:sz="6" w:space="0" w:color="000000"/>
            </w:tcBorders>
            <w:hideMark/>
          </w:tcPr>
          <w:p w14:paraId="7EC1FA3B" w14:textId="77777777" w:rsidR="00302448" w:rsidRDefault="00302448" w:rsidP="002636B7">
            <w:pPr>
              <w:pStyle w:val="TableParagraph"/>
              <w:ind w:left="631"/>
              <w:jc w:val="center"/>
              <w:rPr>
                <w:sz w:val="20"/>
              </w:rPr>
            </w:pPr>
            <w:r>
              <w:rPr>
                <w:sz w:val="20"/>
              </w:rPr>
              <w:t>49.4 (40.7–55.8)</w:t>
            </w:r>
          </w:p>
        </w:tc>
        <w:tc>
          <w:tcPr>
            <w:tcW w:w="1450" w:type="pct"/>
            <w:tcBorders>
              <w:top w:val="nil"/>
              <w:left w:val="single" w:sz="6" w:space="0" w:color="000000"/>
              <w:bottom w:val="single" w:sz="4" w:space="0" w:color="000000"/>
              <w:right w:val="single" w:sz="6" w:space="0" w:color="000000"/>
            </w:tcBorders>
            <w:hideMark/>
          </w:tcPr>
          <w:p w14:paraId="72A9A417" w14:textId="77777777" w:rsidR="00302448" w:rsidRDefault="00302448" w:rsidP="002636B7">
            <w:pPr>
              <w:pStyle w:val="TableParagraph"/>
              <w:ind w:left="304"/>
              <w:jc w:val="center"/>
              <w:rPr>
                <w:sz w:val="20"/>
              </w:rPr>
            </w:pPr>
            <w:r>
              <w:rPr>
                <w:sz w:val="20"/>
              </w:rPr>
              <w:t>150 (123–248)</w:t>
            </w:r>
          </w:p>
        </w:tc>
      </w:tr>
    </w:tbl>
    <w:p w14:paraId="0F97FE9E" w14:textId="77777777" w:rsidR="00302448" w:rsidRPr="00302448" w:rsidRDefault="00302448" w:rsidP="009843B7">
      <w:pPr>
        <w:ind w:hanging="1"/>
        <w:rPr>
          <w:sz w:val="20"/>
          <w:lang w:val="en-US"/>
        </w:rPr>
      </w:pPr>
      <w:r w:rsidRPr="00302448">
        <w:rPr>
          <w:sz w:val="20"/>
          <w:lang w:val="en-US"/>
        </w:rPr>
        <w:t>AUC</w:t>
      </w:r>
      <w:r w:rsidRPr="00302448">
        <w:rPr>
          <w:position w:val="-1"/>
          <w:sz w:val="20"/>
          <w:lang w:val="en-US"/>
        </w:rPr>
        <w:t>0-∞ =</w:t>
      </w:r>
      <w:r w:rsidRPr="00302448">
        <w:rPr>
          <w:sz w:val="20"/>
          <w:lang w:val="en-US"/>
        </w:rPr>
        <w:t xml:space="preserve"> area under the concentration-time curve from time zero to infinity.</w:t>
      </w:r>
    </w:p>
    <w:p w14:paraId="550FBA81" w14:textId="77777777" w:rsidR="00302448" w:rsidRPr="00302448" w:rsidRDefault="00302448" w:rsidP="009843B7">
      <w:pPr>
        <w:ind w:hanging="1"/>
        <w:rPr>
          <w:sz w:val="20"/>
          <w:lang w:val="en-US"/>
        </w:rPr>
      </w:pPr>
      <w:r w:rsidRPr="00302448">
        <w:rPr>
          <w:position w:val="9"/>
          <w:sz w:val="20"/>
          <w:lang w:val="en-US"/>
        </w:rPr>
        <w:t xml:space="preserve">a </w:t>
      </w:r>
      <w:r w:rsidRPr="00302448">
        <w:rPr>
          <w:sz w:val="20"/>
          <w:lang w:val="en-US"/>
        </w:rPr>
        <w:t>p-value versus Normal = 1.00 (pair-wise comparison with Bonferroni)</w:t>
      </w:r>
    </w:p>
    <w:p w14:paraId="5772CF2A" w14:textId="77777777" w:rsidR="00302448" w:rsidRPr="00302448" w:rsidRDefault="00302448" w:rsidP="009843B7">
      <w:pPr>
        <w:ind w:hanging="1"/>
        <w:rPr>
          <w:sz w:val="20"/>
          <w:lang w:val="en-US"/>
        </w:rPr>
      </w:pPr>
      <w:r w:rsidRPr="00302448">
        <w:rPr>
          <w:position w:val="9"/>
          <w:sz w:val="20"/>
          <w:lang w:val="en-US"/>
        </w:rPr>
        <w:t xml:space="preserve">b </w:t>
      </w:r>
      <w:r w:rsidRPr="00302448">
        <w:rPr>
          <w:sz w:val="20"/>
          <w:lang w:val="en-US"/>
        </w:rPr>
        <w:t xml:space="preserve">p-value </w:t>
      </w:r>
      <w:r w:rsidRPr="00302448">
        <w:rPr>
          <w:spacing w:val="-3"/>
          <w:sz w:val="20"/>
          <w:lang w:val="en-US"/>
        </w:rPr>
        <w:t xml:space="preserve">versus Normal </w:t>
      </w:r>
      <w:r w:rsidRPr="00302448">
        <w:rPr>
          <w:sz w:val="20"/>
          <w:lang w:val="en-US"/>
        </w:rPr>
        <w:t xml:space="preserve">= 0.009 (pair-wise comparison with Bonferroni) </w:t>
      </w:r>
    </w:p>
    <w:p w14:paraId="6A82521A" w14:textId="77777777" w:rsidR="00302448" w:rsidRPr="00302448" w:rsidRDefault="00302448" w:rsidP="009843B7">
      <w:pPr>
        <w:ind w:hanging="1"/>
        <w:rPr>
          <w:sz w:val="20"/>
          <w:lang w:val="en-US"/>
        </w:rPr>
      </w:pPr>
      <w:r w:rsidRPr="00302448">
        <w:rPr>
          <w:position w:val="9"/>
          <w:sz w:val="20"/>
          <w:lang w:val="en-US"/>
        </w:rPr>
        <w:t xml:space="preserve">c </w:t>
      </w:r>
      <w:r w:rsidRPr="00302448">
        <w:rPr>
          <w:sz w:val="20"/>
          <w:lang w:val="en-US"/>
        </w:rPr>
        <w:t xml:space="preserve">p-value </w:t>
      </w:r>
      <w:r w:rsidRPr="00302448">
        <w:rPr>
          <w:spacing w:val="-3"/>
          <w:sz w:val="20"/>
          <w:lang w:val="en-US"/>
        </w:rPr>
        <w:t xml:space="preserve">versus </w:t>
      </w:r>
      <w:r w:rsidRPr="00302448">
        <w:rPr>
          <w:sz w:val="20"/>
          <w:lang w:val="en-US"/>
        </w:rPr>
        <w:t>Normal &lt; 0.0001 (pair-wise comparison with</w:t>
      </w:r>
      <w:r w:rsidRPr="00302448">
        <w:rPr>
          <w:spacing w:val="-14"/>
          <w:sz w:val="20"/>
          <w:lang w:val="en-US"/>
        </w:rPr>
        <w:t xml:space="preserve"> </w:t>
      </w:r>
      <w:r w:rsidRPr="00302448">
        <w:rPr>
          <w:sz w:val="20"/>
          <w:lang w:val="en-US"/>
        </w:rPr>
        <w:t>Bonferroni)</w:t>
      </w:r>
    </w:p>
    <w:p w14:paraId="2494931A" w14:textId="77777777" w:rsidR="00302448" w:rsidRPr="00302448" w:rsidRDefault="00302448" w:rsidP="009843B7">
      <w:pPr>
        <w:ind w:left="851" w:hanging="1"/>
        <w:rPr>
          <w:sz w:val="24"/>
          <w:szCs w:val="24"/>
          <w:lang w:val="en-US"/>
        </w:rPr>
      </w:pPr>
    </w:p>
    <w:p w14:paraId="72DC163F" w14:textId="77777777" w:rsidR="00302448" w:rsidRPr="00302448" w:rsidRDefault="00302448" w:rsidP="002636B7">
      <w:pPr>
        <w:pStyle w:val="Brdtekst"/>
        <w:ind w:left="851" w:hanging="1"/>
        <w:rPr>
          <w:sz w:val="24"/>
          <w:szCs w:val="24"/>
        </w:rPr>
      </w:pPr>
      <w:r w:rsidRPr="00302448">
        <w:rPr>
          <w:sz w:val="24"/>
          <w:szCs w:val="24"/>
        </w:rPr>
        <w:t>Exposure to 5-carboxy-pirfenidone increases 3.5-fold or more in patients with moderate renal impairment. Clinically relevant pharmacodynamic activity of the metabolite in patients with moderate renal impairment cannot be excluded. No dose adjustment is required in patients with mild renal impairment who are receiving pirfenidone. Pirfenidone should be used with caution in patients with moderate renal impairment. The use of pirfenidone is contraindicated in patients with severe renal impairment (</w:t>
      </w:r>
      <w:proofErr w:type="spellStart"/>
      <w:r w:rsidRPr="00302448">
        <w:rPr>
          <w:sz w:val="24"/>
          <w:szCs w:val="24"/>
        </w:rPr>
        <w:t>CrCl</w:t>
      </w:r>
      <w:proofErr w:type="spellEnd"/>
      <w:r w:rsidRPr="00302448">
        <w:rPr>
          <w:sz w:val="24"/>
          <w:szCs w:val="24"/>
        </w:rPr>
        <w:t xml:space="preserve"> &lt;30ml/min) or end stage renal disease requiring dialysis (see sections 4.2 and 4.3).</w:t>
      </w:r>
    </w:p>
    <w:p w14:paraId="004E6BDF" w14:textId="77777777" w:rsidR="00302448" w:rsidRPr="00302448" w:rsidRDefault="00302448" w:rsidP="002636B7">
      <w:pPr>
        <w:pStyle w:val="Brdtekst"/>
        <w:ind w:left="851" w:hanging="1"/>
        <w:rPr>
          <w:sz w:val="24"/>
          <w:szCs w:val="24"/>
        </w:rPr>
      </w:pPr>
    </w:p>
    <w:p w14:paraId="5B8CFC96" w14:textId="77777777" w:rsidR="00302448" w:rsidRPr="00302448" w:rsidRDefault="00302448" w:rsidP="002636B7">
      <w:pPr>
        <w:pStyle w:val="Brdtekst"/>
        <w:ind w:left="851" w:hanging="1"/>
        <w:rPr>
          <w:sz w:val="24"/>
          <w:szCs w:val="24"/>
        </w:rPr>
      </w:pPr>
      <w:r w:rsidRPr="00302448">
        <w:rPr>
          <w:sz w:val="24"/>
          <w:szCs w:val="24"/>
        </w:rPr>
        <w:t>Population pharmacokinetic analyses from 4 studies in healthy subjects or subjects with renal impairment and one study in patients with IPF showed no clinically relevant effect of age, gender or body size on the pharmacokinetics of pirfenidone.</w:t>
      </w:r>
    </w:p>
    <w:p w14:paraId="3E3B8443" w14:textId="77777777" w:rsidR="007C5D2A" w:rsidRPr="00302448" w:rsidRDefault="007C5D2A" w:rsidP="002636B7">
      <w:pPr>
        <w:tabs>
          <w:tab w:val="left" w:pos="851"/>
        </w:tabs>
        <w:ind w:left="851" w:hanging="1"/>
        <w:rPr>
          <w:sz w:val="24"/>
          <w:szCs w:val="24"/>
          <w:lang w:val="en-US"/>
        </w:rPr>
      </w:pPr>
    </w:p>
    <w:p w14:paraId="0C4DCD8B" w14:textId="77777777" w:rsidR="007C5D2A" w:rsidRPr="00303008" w:rsidRDefault="00180A12" w:rsidP="002636B7">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269C9816" w14:textId="77777777" w:rsidR="007C3FA2" w:rsidRPr="007C3FA2" w:rsidRDefault="007C3FA2" w:rsidP="002636B7">
      <w:pPr>
        <w:tabs>
          <w:tab w:val="left" w:pos="851"/>
        </w:tabs>
        <w:ind w:left="851"/>
        <w:rPr>
          <w:sz w:val="24"/>
          <w:szCs w:val="24"/>
          <w:lang w:val="en-US"/>
        </w:rPr>
      </w:pPr>
      <w:r w:rsidRPr="007C3FA2">
        <w:rPr>
          <w:sz w:val="24"/>
          <w:szCs w:val="24"/>
          <w:lang w:val="en-US"/>
        </w:rPr>
        <w:t>Non-clinical data reveal no special hazard for humans based on conventional studies of safety pharmacology, repeated dose toxicity, genotoxicity and carcinogenic potential.</w:t>
      </w:r>
    </w:p>
    <w:p w14:paraId="60834720" w14:textId="77777777" w:rsidR="007C3FA2" w:rsidRPr="007C3FA2" w:rsidRDefault="007C3FA2" w:rsidP="002636B7">
      <w:pPr>
        <w:tabs>
          <w:tab w:val="left" w:pos="851"/>
        </w:tabs>
        <w:ind w:left="851"/>
        <w:rPr>
          <w:sz w:val="24"/>
          <w:szCs w:val="24"/>
          <w:lang w:val="en-US"/>
        </w:rPr>
      </w:pPr>
    </w:p>
    <w:p w14:paraId="274C8D3D" w14:textId="77777777" w:rsidR="007C3FA2" w:rsidRPr="007C3FA2" w:rsidRDefault="007C3FA2" w:rsidP="002636B7">
      <w:pPr>
        <w:tabs>
          <w:tab w:val="left" w:pos="851"/>
        </w:tabs>
        <w:ind w:left="851"/>
        <w:rPr>
          <w:sz w:val="24"/>
          <w:szCs w:val="24"/>
          <w:lang w:val="en-US"/>
        </w:rPr>
      </w:pPr>
      <w:r w:rsidRPr="007C3FA2">
        <w:rPr>
          <w:sz w:val="24"/>
          <w:szCs w:val="24"/>
          <w:lang w:val="en-US"/>
        </w:rPr>
        <w:t>In repeated dose toxicity studies increases in liver weight were observed in mice, rats and dogs; this was often accompanied by hepatic centrilobular hypertrophy. Reversibility was observed after cessation of treatment. An increased incidence of liver tumours was observed in carcinogenicity studies conducted in rats and mice. These hepatic findings are consistent with an induction of hepatic microsomal enzymes, an effect which has not been observed in patients receiving pirfenidone. These findings are not considered relevant to humans.</w:t>
      </w:r>
    </w:p>
    <w:p w14:paraId="3ED3253E" w14:textId="77777777" w:rsidR="007C3FA2" w:rsidRPr="007C3FA2" w:rsidRDefault="007C3FA2" w:rsidP="002636B7">
      <w:pPr>
        <w:tabs>
          <w:tab w:val="left" w:pos="851"/>
        </w:tabs>
        <w:ind w:left="851"/>
        <w:rPr>
          <w:sz w:val="24"/>
          <w:szCs w:val="24"/>
          <w:lang w:val="en-US"/>
        </w:rPr>
      </w:pPr>
    </w:p>
    <w:p w14:paraId="45488B52" w14:textId="77777777" w:rsidR="007C3FA2" w:rsidRPr="007C3FA2" w:rsidRDefault="007C3FA2" w:rsidP="002636B7">
      <w:pPr>
        <w:tabs>
          <w:tab w:val="left" w:pos="851"/>
        </w:tabs>
        <w:ind w:left="851"/>
        <w:rPr>
          <w:sz w:val="24"/>
          <w:szCs w:val="24"/>
          <w:lang w:val="en-US"/>
        </w:rPr>
      </w:pPr>
      <w:r w:rsidRPr="007C3FA2">
        <w:rPr>
          <w:sz w:val="24"/>
          <w:szCs w:val="24"/>
          <w:lang w:val="en-US"/>
        </w:rPr>
        <w:t>A statistically significant increase in uterine tumours was observed in female rats administered 1,500 mg/kg/day, 37 times the human dose of 2,403 mg/day. The results of mechanistic studies indicate that the occurrence of uterine tumours is probably related to a chronic dopamine-mediated sex hormone imbalance involving a species-specific endocrine mechanism in the rat which is not present in humans.</w:t>
      </w:r>
    </w:p>
    <w:p w14:paraId="0B15B3CA" w14:textId="77777777" w:rsidR="007C3FA2" w:rsidRPr="007C3FA2" w:rsidRDefault="007C3FA2" w:rsidP="002636B7">
      <w:pPr>
        <w:tabs>
          <w:tab w:val="left" w:pos="851"/>
        </w:tabs>
        <w:ind w:left="851"/>
        <w:rPr>
          <w:sz w:val="24"/>
          <w:szCs w:val="24"/>
          <w:lang w:val="en-US"/>
        </w:rPr>
      </w:pPr>
    </w:p>
    <w:p w14:paraId="5A9F0E8B" w14:textId="77777777" w:rsidR="007C3FA2" w:rsidRPr="007C3FA2" w:rsidRDefault="007C3FA2" w:rsidP="002636B7">
      <w:pPr>
        <w:tabs>
          <w:tab w:val="left" w:pos="851"/>
        </w:tabs>
        <w:ind w:left="851"/>
        <w:rPr>
          <w:sz w:val="24"/>
          <w:szCs w:val="24"/>
          <w:lang w:val="en-US"/>
        </w:rPr>
      </w:pPr>
      <w:r w:rsidRPr="007C3FA2">
        <w:rPr>
          <w:sz w:val="24"/>
          <w:szCs w:val="24"/>
          <w:lang w:val="en-US"/>
        </w:rPr>
        <w:t xml:space="preserve">Reproductive toxicology studies demonstrated no adverse effects on male and female fertility or postnatal development of offspring in rats and there was no evidence of teratogenicity in rats (1,000 mg/kg/day) or rabbits (300 mg/kg/day). In animals placental transfer of pirfenidone and/or its metabolites occurs with the potential for accumulation of pirfenidone and/or its metabolites in amniotic fluid. At high doses (≥450 mg/kg/day) rats exhibited a prolongation of </w:t>
      </w:r>
      <w:proofErr w:type="spellStart"/>
      <w:r w:rsidRPr="007C3FA2">
        <w:rPr>
          <w:sz w:val="24"/>
          <w:szCs w:val="24"/>
          <w:lang w:val="en-US"/>
        </w:rPr>
        <w:t>oestrous</w:t>
      </w:r>
      <w:proofErr w:type="spellEnd"/>
      <w:r w:rsidRPr="007C3FA2">
        <w:rPr>
          <w:sz w:val="24"/>
          <w:szCs w:val="24"/>
          <w:lang w:val="en-US"/>
        </w:rPr>
        <w:t xml:space="preserve"> cycle and a high incidence of irregular cycles. At high doses (≥1,000 mg/kg/day) rats exhibited a prolongation of gestation and reduction in fetal viability. Studies in lactating rats indicate that pirfenidone and/or its metabolites are excreted in milk with the potential for accumulation of pirfenidone and/or its metabolites in milk.</w:t>
      </w:r>
    </w:p>
    <w:p w14:paraId="22FDD33F" w14:textId="77777777" w:rsidR="007C3FA2" w:rsidRPr="007C3FA2" w:rsidRDefault="007C3FA2" w:rsidP="002636B7">
      <w:pPr>
        <w:tabs>
          <w:tab w:val="left" w:pos="851"/>
        </w:tabs>
        <w:ind w:left="851"/>
        <w:rPr>
          <w:sz w:val="24"/>
          <w:szCs w:val="24"/>
          <w:lang w:val="en-US"/>
        </w:rPr>
      </w:pPr>
      <w:r w:rsidRPr="007C3FA2">
        <w:rPr>
          <w:sz w:val="24"/>
          <w:szCs w:val="24"/>
          <w:lang w:val="en-US"/>
        </w:rPr>
        <w:t xml:space="preserve">Pirfenidone showed no indication of mutagenic or genotoxic activity in a standard battery of tests and when tested under UV exposure was not mutagenic. When tested under UV exposure pirfenidone was positive in a </w:t>
      </w:r>
      <w:proofErr w:type="spellStart"/>
      <w:r w:rsidRPr="007C3FA2">
        <w:rPr>
          <w:sz w:val="24"/>
          <w:szCs w:val="24"/>
          <w:lang w:val="en-US"/>
        </w:rPr>
        <w:t>photoclastogenic</w:t>
      </w:r>
      <w:proofErr w:type="spellEnd"/>
      <w:r w:rsidRPr="007C3FA2">
        <w:rPr>
          <w:sz w:val="24"/>
          <w:szCs w:val="24"/>
          <w:lang w:val="en-US"/>
        </w:rPr>
        <w:t xml:space="preserve"> assay in Chinese hamster lung cells.</w:t>
      </w:r>
    </w:p>
    <w:p w14:paraId="7E9DEF2D" w14:textId="77777777" w:rsidR="007C3FA2" w:rsidRPr="007C3FA2" w:rsidRDefault="007C3FA2" w:rsidP="002636B7">
      <w:pPr>
        <w:tabs>
          <w:tab w:val="left" w:pos="851"/>
        </w:tabs>
        <w:ind w:left="851"/>
        <w:rPr>
          <w:sz w:val="24"/>
          <w:szCs w:val="24"/>
          <w:lang w:val="en-US"/>
        </w:rPr>
      </w:pPr>
    </w:p>
    <w:p w14:paraId="0BED82A5" w14:textId="77777777" w:rsidR="007C3FA2" w:rsidRPr="007C3FA2" w:rsidRDefault="007C3FA2" w:rsidP="002636B7">
      <w:pPr>
        <w:tabs>
          <w:tab w:val="left" w:pos="851"/>
        </w:tabs>
        <w:ind w:left="851"/>
        <w:rPr>
          <w:sz w:val="24"/>
          <w:szCs w:val="24"/>
          <w:lang w:val="en-US"/>
        </w:rPr>
      </w:pPr>
      <w:r w:rsidRPr="007C3FA2">
        <w:rPr>
          <w:sz w:val="24"/>
          <w:szCs w:val="24"/>
          <w:lang w:val="en-US"/>
        </w:rPr>
        <w:t xml:space="preserve">Phototoxicity and irritation were noted in guinea pigs after oral administration of pirfenidone and with exposure to UVA/UVB light. The severity of phototoxic lesions was </w:t>
      </w:r>
      <w:proofErr w:type="spellStart"/>
      <w:r w:rsidRPr="007C3FA2">
        <w:rPr>
          <w:sz w:val="24"/>
          <w:szCs w:val="24"/>
          <w:lang w:val="en-US"/>
        </w:rPr>
        <w:t>minimised</w:t>
      </w:r>
      <w:proofErr w:type="spellEnd"/>
      <w:r w:rsidRPr="007C3FA2">
        <w:rPr>
          <w:sz w:val="24"/>
          <w:szCs w:val="24"/>
          <w:lang w:val="en-US"/>
        </w:rPr>
        <w:t xml:space="preserve"> by application of sunscreen.</w:t>
      </w:r>
    </w:p>
    <w:p w14:paraId="31B999A2" w14:textId="77777777" w:rsidR="007C3FA2" w:rsidRPr="007C3FA2" w:rsidRDefault="007C3FA2" w:rsidP="002636B7">
      <w:pPr>
        <w:tabs>
          <w:tab w:val="left" w:pos="851"/>
        </w:tabs>
        <w:ind w:left="851"/>
        <w:rPr>
          <w:sz w:val="24"/>
          <w:szCs w:val="24"/>
          <w:lang w:val="en-US"/>
        </w:rPr>
      </w:pPr>
    </w:p>
    <w:p w14:paraId="662BE7B4" w14:textId="77777777" w:rsidR="007C5D2A" w:rsidRPr="00303008" w:rsidRDefault="007C5D2A" w:rsidP="002636B7">
      <w:pPr>
        <w:tabs>
          <w:tab w:val="left" w:pos="851"/>
        </w:tabs>
        <w:ind w:left="851"/>
        <w:rPr>
          <w:sz w:val="24"/>
          <w:szCs w:val="24"/>
          <w:lang w:val="en-GB"/>
        </w:rPr>
      </w:pPr>
    </w:p>
    <w:p w14:paraId="3D64D801" w14:textId="77777777" w:rsidR="007C5D2A" w:rsidRPr="00303008" w:rsidRDefault="009925C9" w:rsidP="002636B7">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0BF829E" w14:textId="77777777" w:rsidR="007C5D2A" w:rsidRPr="00303008" w:rsidRDefault="007C5D2A" w:rsidP="002636B7">
      <w:pPr>
        <w:tabs>
          <w:tab w:val="left" w:pos="851"/>
        </w:tabs>
        <w:ind w:left="851"/>
        <w:rPr>
          <w:sz w:val="24"/>
          <w:szCs w:val="24"/>
          <w:lang w:val="en-GB"/>
        </w:rPr>
      </w:pPr>
    </w:p>
    <w:p w14:paraId="2E02C296" w14:textId="77777777" w:rsidR="007C5D2A" w:rsidRPr="00303008" w:rsidRDefault="007C5D2A" w:rsidP="002636B7">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60F73ACA" w14:textId="77777777" w:rsidR="00CD42FB" w:rsidRPr="00CD42FB" w:rsidRDefault="00CD42FB" w:rsidP="002636B7">
      <w:pPr>
        <w:tabs>
          <w:tab w:val="left" w:pos="851"/>
        </w:tabs>
        <w:ind w:left="851"/>
        <w:rPr>
          <w:sz w:val="24"/>
          <w:szCs w:val="24"/>
          <w:lang w:val="en-GB"/>
        </w:rPr>
      </w:pPr>
    </w:p>
    <w:p w14:paraId="07973A71" w14:textId="77777777" w:rsidR="00CD42FB" w:rsidRPr="00CD42FB" w:rsidRDefault="00CD42FB" w:rsidP="002636B7">
      <w:pPr>
        <w:tabs>
          <w:tab w:val="left" w:pos="851"/>
        </w:tabs>
        <w:ind w:left="851"/>
        <w:rPr>
          <w:sz w:val="24"/>
          <w:szCs w:val="24"/>
          <w:u w:val="single"/>
          <w:lang w:val="en-GB"/>
        </w:rPr>
      </w:pPr>
      <w:r w:rsidRPr="00CD42FB">
        <w:rPr>
          <w:sz w:val="24"/>
          <w:szCs w:val="24"/>
          <w:u w:val="single"/>
          <w:lang w:val="en-GB"/>
        </w:rPr>
        <w:t>Tablet core</w:t>
      </w:r>
    </w:p>
    <w:p w14:paraId="4FA9B979" w14:textId="77777777" w:rsidR="00CD42FB" w:rsidRPr="00CD42FB" w:rsidRDefault="00CD42FB" w:rsidP="002636B7">
      <w:pPr>
        <w:tabs>
          <w:tab w:val="left" w:pos="851"/>
        </w:tabs>
        <w:ind w:left="851"/>
        <w:rPr>
          <w:sz w:val="24"/>
          <w:szCs w:val="24"/>
          <w:lang w:val="en-GB"/>
        </w:rPr>
      </w:pPr>
      <w:proofErr w:type="spellStart"/>
      <w:r w:rsidRPr="00CD42FB">
        <w:rPr>
          <w:sz w:val="24"/>
          <w:szCs w:val="24"/>
          <w:lang w:val="en-GB"/>
        </w:rPr>
        <w:t>Pregelatinised</w:t>
      </w:r>
      <w:proofErr w:type="spellEnd"/>
      <w:r w:rsidRPr="00CD42FB">
        <w:rPr>
          <w:sz w:val="24"/>
          <w:szCs w:val="24"/>
          <w:lang w:val="en-GB"/>
        </w:rPr>
        <w:t xml:space="preserve"> starch </w:t>
      </w:r>
    </w:p>
    <w:p w14:paraId="3D3D282E" w14:textId="77777777" w:rsidR="00CD42FB" w:rsidRPr="00CD42FB" w:rsidRDefault="00CD42FB" w:rsidP="002636B7">
      <w:pPr>
        <w:tabs>
          <w:tab w:val="left" w:pos="851"/>
        </w:tabs>
        <w:ind w:left="851"/>
        <w:rPr>
          <w:sz w:val="24"/>
          <w:szCs w:val="24"/>
          <w:lang w:val="en-GB"/>
        </w:rPr>
      </w:pPr>
      <w:r w:rsidRPr="00CD42FB">
        <w:rPr>
          <w:sz w:val="24"/>
          <w:szCs w:val="24"/>
          <w:lang w:val="en-GB"/>
        </w:rPr>
        <w:t>Croscarmellose sodium (E468)</w:t>
      </w:r>
    </w:p>
    <w:p w14:paraId="6E3B42A7" w14:textId="77777777" w:rsidR="00CD42FB" w:rsidRPr="00CD42FB" w:rsidRDefault="00CD42FB" w:rsidP="002636B7">
      <w:pPr>
        <w:tabs>
          <w:tab w:val="left" w:pos="851"/>
        </w:tabs>
        <w:ind w:left="851"/>
        <w:rPr>
          <w:sz w:val="24"/>
          <w:szCs w:val="24"/>
          <w:lang w:val="en-GB"/>
        </w:rPr>
      </w:pPr>
      <w:r w:rsidRPr="00CD42FB">
        <w:rPr>
          <w:sz w:val="24"/>
          <w:szCs w:val="24"/>
          <w:lang w:val="en-GB"/>
        </w:rPr>
        <w:t>Hydroxypropyl cellulose (E463)</w:t>
      </w:r>
    </w:p>
    <w:p w14:paraId="7278E79E" w14:textId="77777777" w:rsidR="00CD42FB" w:rsidRPr="00CD42FB" w:rsidRDefault="00CD42FB" w:rsidP="002636B7">
      <w:pPr>
        <w:tabs>
          <w:tab w:val="left" w:pos="851"/>
        </w:tabs>
        <w:ind w:left="851"/>
        <w:rPr>
          <w:sz w:val="24"/>
          <w:szCs w:val="24"/>
          <w:lang w:val="en-GB"/>
        </w:rPr>
      </w:pPr>
      <w:r w:rsidRPr="00CD42FB">
        <w:rPr>
          <w:sz w:val="24"/>
          <w:szCs w:val="24"/>
          <w:lang w:val="en-GB"/>
        </w:rPr>
        <w:t>Silicon dioxide (E551)</w:t>
      </w:r>
    </w:p>
    <w:p w14:paraId="235A886B" w14:textId="77777777" w:rsidR="00CD42FB" w:rsidRPr="00CD42FB" w:rsidRDefault="00CD42FB" w:rsidP="002636B7">
      <w:pPr>
        <w:tabs>
          <w:tab w:val="left" w:pos="851"/>
        </w:tabs>
        <w:ind w:left="851"/>
        <w:rPr>
          <w:sz w:val="24"/>
          <w:szCs w:val="24"/>
          <w:lang w:val="en-GB"/>
        </w:rPr>
      </w:pPr>
      <w:r w:rsidRPr="00CD42FB">
        <w:rPr>
          <w:sz w:val="24"/>
          <w:szCs w:val="24"/>
          <w:lang w:val="en-GB"/>
        </w:rPr>
        <w:t>Magnesium stearate (E572)</w:t>
      </w:r>
    </w:p>
    <w:p w14:paraId="633039A0" w14:textId="77777777" w:rsidR="00CD42FB" w:rsidRPr="00CD42FB" w:rsidRDefault="00CD42FB" w:rsidP="002636B7">
      <w:pPr>
        <w:tabs>
          <w:tab w:val="left" w:pos="851"/>
        </w:tabs>
        <w:ind w:left="851"/>
        <w:rPr>
          <w:sz w:val="24"/>
          <w:szCs w:val="24"/>
          <w:lang w:val="en-GB"/>
        </w:rPr>
      </w:pPr>
    </w:p>
    <w:p w14:paraId="4C1F9746" w14:textId="77777777" w:rsidR="00CD42FB" w:rsidRPr="00CD42FB" w:rsidRDefault="00CD42FB" w:rsidP="002636B7">
      <w:pPr>
        <w:tabs>
          <w:tab w:val="left" w:pos="851"/>
        </w:tabs>
        <w:ind w:left="851"/>
        <w:rPr>
          <w:sz w:val="24"/>
          <w:szCs w:val="24"/>
          <w:u w:val="single"/>
          <w:lang w:val="en-GB"/>
        </w:rPr>
      </w:pPr>
      <w:r w:rsidRPr="00CD42FB">
        <w:rPr>
          <w:sz w:val="24"/>
          <w:szCs w:val="24"/>
          <w:u w:val="single"/>
          <w:lang w:val="en-GB"/>
        </w:rPr>
        <w:t>Tablet coating</w:t>
      </w:r>
    </w:p>
    <w:p w14:paraId="182E47D8" w14:textId="77777777" w:rsidR="00CD42FB" w:rsidRDefault="00CD42FB" w:rsidP="002636B7">
      <w:pPr>
        <w:tabs>
          <w:tab w:val="left" w:pos="851"/>
        </w:tabs>
        <w:ind w:left="851"/>
        <w:rPr>
          <w:sz w:val="24"/>
          <w:szCs w:val="24"/>
          <w:lang w:val="en-GB"/>
        </w:rPr>
      </w:pPr>
    </w:p>
    <w:p w14:paraId="72FB44B3" w14:textId="5736F8C2" w:rsidR="00CD42FB" w:rsidRPr="00CD42FB" w:rsidRDefault="00CD42FB" w:rsidP="002636B7">
      <w:pPr>
        <w:tabs>
          <w:tab w:val="left" w:pos="851"/>
        </w:tabs>
        <w:ind w:left="851"/>
        <w:rPr>
          <w:i/>
          <w:sz w:val="24"/>
          <w:szCs w:val="24"/>
          <w:lang w:val="en-GB"/>
        </w:rPr>
      </w:pPr>
      <w:proofErr w:type="spellStart"/>
      <w:r w:rsidRPr="00CD42FB">
        <w:rPr>
          <w:i/>
          <w:sz w:val="24"/>
          <w:szCs w:val="24"/>
          <w:lang w:val="en-GB"/>
        </w:rPr>
        <w:t>Pirfenair</w:t>
      </w:r>
      <w:proofErr w:type="spellEnd"/>
      <w:r w:rsidRPr="00CD42FB">
        <w:rPr>
          <w:i/>
          <w:sz w:val="24"/>
          <w:szCs w:val="24"/>
          <w:lang w:val="en-GB"/>
        </w:rPr>
        <w:t xml:space="preserve"> 267 mg film-coated tablets</w:t>
      </w:r>
    </w:p>
    <w:p w14:paraId="2C8772ED" w14:textId="77777777" w:rsidR="00CD42FB" w:rsidRPr="00CD42FB" w:rsidRDefault="00CD42FB" w:rsidP="002636B7">
      <w:pPr>
        <w:tabs>
          <w:tab w:val="left" w:pos="851"/>
        </w:tabs>
        <w:ind w:left="851"/>
        <w:rPr>
          <w:sz w:val="24"/>
          <w:szCs w:val="24"/>
          <w:lang w:val="en-GB"/>
        </w:rPr>
      </w:pPr>
      <w:proofErr w:type="spellStart"/>
      <w:r w:rsidRPr="00CD42FB">
        <w:rPr>
          <w:sz w:val="24"/>
          <w:szCs w:val="24"/>
          <w:lang w:val="en-GB"/>
        </w:rPr>
        <w:t>Opadry</w:t>
      </w:r>
      <w:proofErr w:type="spellEnd"/>
      <w:r w:rsidRPr="00CD42FB">
        <w:rPr>
          <w:sz w:val="24"/>
          <w:szCs w:val="24"/>
          <w:lang w:val="en-GB"/>
        </w:rPr>
        <w:t xml:space="preserve"> yellow 85F220100:</w:t>
      </w:r>
    </w:p>
    <w:p w14:paraId="6350B727" w14:textId="77777777" w:rsidR="00CD42FB" w:rsidRPr="00CD42FB" w:rsidRDefault="00CD42FB" w:rsidP="002636B7">
      <w:pPr>
        <w:tabs>
          <w:tab w:val="left" w:pos="851"/>
        </w:tabs>
        <w:ind w:left="851"/>
        <w:rPr>
          <w:sz w:val="24"/>
          <w:szCs w:val="24"/>
          <w:lang w:val="en-GB"/>
        </w:rPr>
      </w:pPr>
      <w:r w:rsidRPr="00CD42FB">
        <w:rPr>
          <w:sz w:val="24"/>
          <w:szCs w:val="24"/>
          <w:lang w:val="en-GB"/>
        </w:rPr>
        <w:t>Polyvinyl alcohol – Part. hydrolysed (E1203)</w:t>
      </w:r>
    </w:p>
    <w:p w14:paraId="2A8F30D4" w14:textId="77777777" w:rsidR="00CD42FB" w:rsidRPr="00CD42FB" w:rsidRDefault="00CD42FB" w:rsidP="002636B7">
      <w:pPr>
        <w:tabs>
          <w:tab w:val="left" w:pos="851"/>
        </w:tabs>
        <w:ind w:left="851"/>
        <w:rPr>
          <w:sz w:val="24"/>
          <w:szCs w:val="24"/>
          <w:lang w:val="nl-NL"/>
        </w:rPr>
      </w:pPr>
      <w:r w:rsidRPr="00CD42FB">
        <w:rPr>
          <w:sz w:val="24"/>
          <w:szCs w:val="24"/>
          <w:lang w:val="nl-NL"/>
        </w:rPr>
        <w:t>Titanium dioxide (E171)</w:t>
      </w:r>
    </w:p>
    <w:p w14:paraId="525110CD" w14:textId="77777777" w:rsidR="00CD42FB" w:rsidRPr="00CD42FB" w:rsidRDefault="00CD42FB" w:rsidP="002636B7">
      <w:pPr>
        <w:tabs>
          <w:tab w:val="left" w:pos="851"/>
        </w:tabs>
        <w:ind w:left="851"/>
        <w:rPr>
          <w:sz w:val="24"/>
          <w:szCs w:val="24"/>
          <w:lang w:val="en-US"/>
        </w:rPr>
      </w:pPr>
      <w:r w:rsidRPr="00CD42FB">
        <w:rPr>
          <w:sz w:val="24"/>
          <w:szCs w:val="24"/>
          <w:lang w:val="en-US"/>
        </w:rPr>
        <w:t>Macrogol 3350</w:t>
      </w:r>
    </w:p>
    <w:p w14:paraId="0AFE75DF" w14:textId="77777777" w:rsidR="00CD42FB" w:rsidRPr="00CD42FB" w:rsidRDefault="00CD42FB" w:rsidP="002636B7">
      <w:pPr>
        <w:tabs>
          <w:tab w:val="left" w:pos="851"/>
        </w:tabs>
        <w:ind w:left="851"/>
        <w:rPr>
          <w:sz w:val="24"/>
          <w:szCs w:val="24"/>
          <w:lang w:val="en-GB"/>
        </w:rPr>
      </w:pPr>
      <w:r w:rsidRPr="00CD42FB">
        <w:rPr>
          <w:sz w:val="24"/>
          <w:szCs w:val="24"/>
          <w:lang w:val="en-GB"/>
        </w:rPr>
        <w:t>Talc (E553B)</w:t>
      </w:r>
    </w:p>
    <w:p w14:paraId="5EFCA6FB" w14:textId="77777777" w:rsidR="00CD42FB" w:rsidRPr="00CD42FB" w:rsidRDefault="00CD42FB" w:rsidP="002636B7">
      <w:pPr>
        <w:tabs>
          <w:tab w:val="left" w:pos="851"/>
        </w:tabs>
        <w:ind w:left="851"/>
        <w:rPr>
          <w:sz w:val="24"/>
          <w:szCs w:val="24"/>
          <w:lang w:val="en-GB"/>
        </w:rPr>
      </w:pPr>
      <w:r w:rsidRPr="00CD42FB">
        <w:rPr>
          <w:sz w:val="24"/>
          <w:szCs w:val="24"/>
          <w:lang w:val="en-GB"/>
        </w:rPr>
        <w:t>Iron oxide yellow (E172)</w:t>
      </w:r>
    </w:p>
    <w:p w14:paraId="1D9EC327" w14:textId="77777777" w:rsidR="00CD42FB" w:rsidRPr="00CD42FB" w:rsidRDefault="00CD42FB" w:rsidP="002636B7">
      <w:pPr>
        <w:tabs>
          <w:tab w:val="left" w:pos="851"/>
        </w:tabs>
        <w:ind w:left="851"/>
        <w:rPr>
          <w:sz w:val="24"/>
          <w:szCs w:val="24"/>
          <w:lang w:val="en-GB"/>
        </w:rPr>
      </w:pPr>
    </w:p>
    <w:p w14:paraId="278C5552" w14:textId="6297BD89" w:rsidR="00CD42FB" w:rsidRPr="00F14A2E" w:rsidRDefault="00CD42FB" w:rsidP="002636B7">
      <w:pPr>
        <w:tabs>
          <w:tab w:val="left" w:pos="851"/>
        </w:tabs>
        <w:ind w:left="851"/>
        <w:rPr>
          <w:i/>
          <w:sz w:val="24"/>
          <w:szCs w:val="24"/>
          <w:lang w:val="en-GB"/>
        </w:rPr>
      </w:pPr>
      <w:proofErr w:type="spellStart"/>
      <w:r w:rsidRPr="00F14A2E">
        <w:rPr>
          <w:i/>
          <w:sz w:val="24"/>
          <w:szCs w:val="24"/>
          <w:lang w:val="en-GB"/>
        </w:rPr>
        <w:t>Pirfenair</w:t>
      </w:r>
      <w:proofErr w:type="spellEnd"/>
      <w:r w:rsidRPr="00F14A2E">
        <w:rPr>
          <w:i/>
          <w:sz w:val="24"/>
          <w:szCs w:val="24"/>
          <w:lang w:val="en-GB"/>
        </w:rPr>
        <w:t xml:space="preserve"> 801 mg film-coated tablet</w:t>
      </w:r>
      <w:r w:rsidR="00F14A2E">
        <w:rPr>
          <w:i/>
          <w:sz w:val="24"/>
          <w:szCs w:val="24"/>
          <w:lang w:val="en-GB"/>
        </w:rPr>
        <w:t>s</w:t>
      </w:r>
    </w:p>
    <w:p w14:paraId="4DB1EFA6" w14:textId="77777777" w:rsidR="00CD42FB" w:rsidRPr="00CD42FB" w:rsidRDefault="00CD42FB" w:rsidP="002636B7">
      <w:pPr>
        <w:tabs>
          <w:tab w:val="left" w:pos="851"/>
        </w:tabs>
        <w:ind w:left="851"/>
        <w:rPr>
          <w:sz w:val="24"/>
          <w:szCs w:val="24"/>
          <w:lang w:val="en-GB"/>
        </w:rPr>
      </w:pPr>
      <w:proofErr w:type="spellStart"/>
      <w:r w:rsidRPr="00CD42FB">
        <w:rPr>
          <w:sz w:val="24"/>
          <w:szCs w:val="24"/>
          <w:lang w:val="en-GB"/>
        </w:rPr>
        <w:t>Opadry</w:t>
      </w:r>
      <w:proofErr w:type="spellEnd"/>
      <w:r w:rsidRPr="00CD42FB">
        <w:rPr>
          <w:sz w:val="24"/>
          <w:szCs w:val="24"/>
          <w:lang w:val="en-GB"/>
        </w:rPr>
        <w:t xml:space="preserve"> pink 85F240048:</w:t>
      </w:r>
    </w:p>
    <w:p w14:paraId="3E438A5F" w14:textId="77777777" w:rsidR="00CD42FB" w:rsidRPr="00CD42FB" w:rsidRDefault="00CD42FB" w:rsidP="002636B7">
      <w:pPr>
        <w:tabs>
          <w:tab w:val="left" w:pos="851"/>
        </w:tabs>
        <w:ind w:left="851"/>
        <w:rPr>
          <w:sz w:val="24"/>
          <w:szCs w:val="24"/>
          <w:lang w:val="en-GB"/>
        </w:rPr>
      </w:pPr>
      <w:r w:rsidRPr="00CD42FB">
        <w:rPr>
          <w:sz w:val="24"/>
          <w:szCs w:val="24"/>
          <w:lang w:val="en-GB"/>
        </w:rPr>
        <w:t>Polyvinyl alcohol – Part. hydrolysed (E1203)</w:t>
      </w:r>
    </w:p>
    <w:p w14:paraId="40203AE6" w14:textId="77777777" w:rsidR="00CD42FB" w:rsidRPr="00CD42FB" w:rsidRDefault="00CD42FB" w:rsidP="002636B7">
      <w:pPr>
        <w:tabs>
          <w:tab w:val="left" w:pos="851"/>
        </w:tabs>
        <w:ind w:left="851"/>
        <w:rPr>
          <w:sz w:val="24"/>
          <w:szCs w:val="24"/>
          <w:lang w:val="nl-NL"/>
        </w:rPr>
      </w:pPr>
      <w:r w:rsidRPr="00CD42FB">
        <w:rPr>
          <w:sz w:val="24"/>
          <w:szCs w:val="24"/>
          <w:lang w:val="nl-NL"/>
        </w:rPr>
        <w:t>Titanium dioxide (E171)</w:t>
      </w:r>
    </w:p>
    <w:p w14:paraId="2F8061F9" w14:textId="77777777" w:rsidR="00CD42FB" w:rsidRPr="00CD42FB" w:rsidRDefault="00CD42FB" w:rsidP="002636B7">
      <w:pPr>
        <w:tabs>
          <w:tab w:val="left" w:pos="851"/>
        </w:tabs>
        <w:ind w:left="851"/>
        <w:rPr>
          <w:sz w:val="24"/>
          <w:szCs w:val="24"/>
          <w:lang w:val="nl-NL"/>
        </w:rPr>
      </w:pPr>
      <w:r w:rsidRPr="00CD42FB">
        <w:rPr>
          <w:sz w:val="24"/>
          <w:szCs w:val="24"/>
          <w:lang w:val="nl-NL"/>
        </w:rPr>
        <w:t>Macrogol 3350</w:t>
      </w:r>
    </w:p>
    <w:p w14:paraId="6B3B4DD1" w14:textId="77777777" w:rsidR="00CD42FB" w:rsidRPr="00CD42FB" w:rsidRDefault="00CD42FB" w:rsidP="002636B7">
      <w:pPr>
        <w:tabs>
          <w:tab w:val="left" w:pos="851"/>
        </w:tabs>
        <w:ind w:left="851"/>
        <w:rPr>
          <w:sz w:val="24"/>
          <w:szCs w:val="24"/>
          <w:lang w:val="en-GB"/>
        </w:rPr>
      </w:pPr>
      <w:r w:rsidRPr="00CD42FB">
        <w:rPr>
          <w:sz w:val="24"/>
          <w:szCs w:val="24"/>
          <w:lang w:val="en-GB"/>
        </w:rPr>
        <w:t>Talc (E553B)</w:t>
      </w:r>
    </w:p>
    <w:p w14:paraId="5D254C40" w14:textId="77777777" w:rsidR="00CD42FB" w:rsidRPr="00CD42FB" w:rsidRDefault="00CD42FB" w:rsidP="002636B7">
      <w:pPr>
        <w:tabs>
          <w:tab w:val="left" w:pos="851"/>
        </w:tabs>
        <w:ind w:left="851"/>
        <w:rPr>
          <w:sz w:val="24"/>
          <w:szCs w:val="24"/>
          <w:lang w:val="en-GB"/>
        </w:rPr>
      </w:pPr>
      <w:r w:rsidRPr="00CD42FB">
        <w:rPr>
          <w:sz w:val="24"/>
          <w:szCs w:val="24"/>
          <w:lang w:val="en-GB"/>
        </w:rPr>
        <w:t>Iron oxide yellow (E172)</w:t>
      </w:r>
    </w:p>
    <w:p w14:paraId="7AEB20DE" w14:textId="77777777" w:rsidR="00CD42FB" w:rsidRPr="00CD42FB" w:rsidRDefault="00CD42FB" w:rsidP="002636B7">
      <w:pPr>
        <w:tabs>
          <w:tab w:val="left" w:pos="851"/>
        </w:tabs>
        <w:ind w:left="851"/>
        <w:rPr>
          <w:sz w:val="24"/>
          <w:szCs w:val="24"/>
          <w:lang w:val="en-GB"/>
        </w:rPr>
      </w:pPr>
      <w:r w:rsidRPr="00CD42FB">
        <w:rPr>
          <w:sz w:val="24"/>
          <w:szCs w:val="24"/>
          <w:lang w:val="en-GB"/>
        </w:rPr>
        <w:t>Iron oxide red (E172)</w:t>
      </w:r>
    </w:p>
    <w:p w14:paraId="2958DAE3" w14:textId="77777777" w:rsidR="00CD42FB" w:rsidRPr="00CD42FB" w:rsidRDefault="00CD42FB" w:rsidP="002636B7">
      <w:pPr>
        <w:tabs>
          <w:tab w:val="left" w:pos="851"/>
        </w:tabs>
        <w:ind w:left="851"/>
        <w:rPr>
          <w:sz w:val="24"/>
          <w:szCs w:val="24"/>
          <w:lang w:val="en-GB"/>
        </w:rPr>
      </w:pPr>
      <w:r w:rsidRPr="00CD42FB">
        <w:rPr>
          <w:sz w:val="24"/>
          <w:szCs w:val="24"/>
          <w:lang w:val="en-GB"/>
        </w:rPr>
        <w:t>Iron oxide black (E172)</w:t>
      </w:r>
    </w:p>
    <w:p w14:paraId="1D1EC0CE" w14:textId="77777777" w:rsidR="007C5D2A" w:rsidRPr="00303008" w:rsidRDefault="007C5D2A" w:rsidP="002636B7">
      <w:pPr>
        <w:tabs>
          <w:tab w:val="left" w:pos="851"/>
        </w:tabs>
        <w:ind w:left="851"/>
        <w:rPr>
          <w:sz w:val="24"/>
          <w:szCs w:val="24"/>
          <w:lang w:val="en-GB"/>
        </w:rPr>
      </w:pPr>
    </w:p>
    <w:p w14:paraId="3FD74D71" w14:textId="77777777" w:rsidR="007C5D2A" w:rsidRPr="00303008" w:rsidRDefault="007C5D2A" w:rsidP="002636B7">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41C2C124" w14:textId="4F2BEB57" w:rsidR="007C5D2A" w:rsidRPr="00303008" w:rsidRDefault="002410A6" w:rsidP="002636B7">
      <w:pPr>
        <w:tabs>
          <w:tab w:val="left" w:pos="851"/>
        </w:tabs>
        <w:ind w:left="851"/>
        <w:rPr>
          <w:sz w:val="24"/>
          <w:szCs w:val="24"/>
          <w:lang w:val="en-GB"/>
        </w:rPr>
      </w:pPr>
      <w:r>
        <w:rPr>
          <w:sz w:val="24"/>
          <w:szCs w:val="24"/>
          <w:lang w:val="en-GB"/>
        </w:rPr>
        <w:t>Not applicable.</w:t>
      </w:r>
    </w:p>
    <w:p w14:paraId="67785ACB" w14:textId="7C9769E5" w:rsidR="00CA16D5" w:rsidRDefault="00CA16D5">
      <w:pPr>
        <w:rPr>
          <w:sz w:val="24"/>
          <w:szCs w:val="24"/>
          <w:lang w:val="en-GB"/>
        </w:rPr>
      </w:pPr>
      <w:r>
        <w:rPr>
          <w:sz w:val="24"/>
          <w:szCs w:val="24"/>
          <w:lang w:val="en-GB"/>
        </w:rPr>
        <w:br w:type="page"/>
      </w:r>
    </w:p>
    <w:p w14:paraId="57C671E6" w14:textId="77777777" w:rsidR="007C5D2A" w:rsidRPr="00303008" w:rsidRDefault="007C5D2A" w:rsidP="002636B7">
      <w:pPr>
        <w:tabs>
          <w:tab w:val="left" w:pos="851"/>
        </w:tabs>
        <w:ind w:left="851"/>
        <w:rPr>
          <w:sz w:val="24"/>
          <w:szCs w:val="24"/>
          <w:lang w:val="en-GB"/>
        </w:rPr>
      </w:pPr>
    </w:p>
    <w:p w14:paraId="0F3FF9FC" w14:textId="75308237" w:rsidR="007C5D2A" w:rsidRPr="00303008" w:rsidRDefault="007C5D2A" w:rsidP="002636B7">
      <w:pPr>
        <w:ind w:left="851" w:hanging="851"/>
        <w:rPr>
          <w:b/>
          <w:sz w:val="24"/>
          <w:szCs w:val="24"/>
          <w:lang w:val="en-GB"/>
        </w:rPr>
      </w:pPr>
      <w:r w:rsidRPr="00303008">
        <w:rPr>
          <w:b/>
          <w:sz w:val="24"/>
          <w:szCs w:val="24"/>
          <w:lang w:val="en-GB"/>
        </w:rPr>
        <w:t>6.3</w:t>
      </w:r>
      <w:r w:rsidRPr="00303008">
        <w:rPr>
          <w:b/>
          <w:sz w:val="24"/>
          <w:szCs w:val="24"/>
          <w:lang w:val="en-GB"/>
        </w:rPr>
        <w:tab/>
        <w:t>Shelf</w:t>
      </w:r>
      <w:r w:rsidR="002636B7">
        <w:rPr>
          <w:b/>
          <w:sz w:val="24"/>
          <w:szCs w:val="24"/>
          <w:lang w:val="en-GB"/>
        </w:rPr>
        <w:t xml:space="preserve"> </w:t>
      </w:r>
      <w:r w:rsidRPr="00303008">
        <w:rPr>
          <w:b/>
          <w:sz w:val="24"/>
          <w:szCs w:val="24"/>
          <w:lang w:val="en-GB"/>
        </w:rPr>
        <w:t>life</w:t>
      </w:r>
    </w:p>
    <w:p w14:paraId="24660307" w14:textId="2C32F2DA" w:rsidR="007C5D2A" w:rsidRPr="00303008" w:rsidRDefault="002410A6" w:rsidP="002636B7">
      <w:pPr>
        <w:tabs>
          <w:tab w:val="left" w:pos="851"/>
        </w:tabs>
        <w:ind w:left="851"/>
        <w:rPr>
          <w:sz w:val="24"/>
          <w:szCs w:val="24"/>
          <w:lang w:val="en-GB"/>
        </w:rPr>
      </w:pPr>
      <w:r>
        <w:rPr>
          <w:sz w:val="24"/>
          <w:szCs w:val="24"/>
          <w:lang w:val="en-GB"/>
        </w:rPr>
        <w:t>3 years.</w:t>
      </w:r>
    </w:p>
    <w:p w14:paraId="788EEC25" w14:textId="77777777" w:rsidR="007C5D2A" w:rsidRPr="00303008" w:rsidRDefault="007C5D2A" w:rsidP="002636B7">
      <w:pPr>
        <w:tabs>
          <w:tab w:val="left" w:pos="851"/>
        </w:tabs>
        <w:ind w:left="851"/>
        <w:rPr>
          <w:sz w:val="24"/>
          <w:szCs w:val="24"/>
          <w:lang w:val="en-GB"/>
        </w:rPr>
      </w:pPr>
    </w:p>
    <w:p w14:paraId="1E064805" w14:textId="77777777" w:rsidR="007C5D2A" w:rsidRPr="00303008" w:rsidRDefault="007C5D2A" w:rsidP="002636B7">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4DDE4803" w14:textId="5D8E908E" w:rsidR="002410A6" w:rsidRPr="002410A6" w:rsidRDefault="002410A6" w:rsidP="002636B7">
      <w:pPr>
        <w:tabs>
          <w:tab w:val="left" w:pos="851"/>
        </w:tabs>
        <w:ind w:left="851"/>
        <w:rPr>
          <w:sz w:val="24"/>
          <w:szCs w:val="24"/>
          <w:lang w:val="en-GB"/>
        </w:rPr>
      </w:pPr>
      <w:r w:rsidRPr="002410A6">
        <w:rPr>
          <w:sz w:val="24"/>
          <w:szCs w:val="24"/>
          <w:lang w:val="en-GB"/>
        </w:rPr>
        <w:t>Do not store above 30</w:t>
      </w:r>
      <w:r>
        <w:rPr>
          <w:sz w:val="24"/>
          <w:szCs w:val="24"/>
          <w:lang w:val="en-GB"/>
        </w:rPr>
        <w:t xml:space="preserve"> </w:t>
      </w:r>
      <w:r w:rsidRPr="002410A6">
        <w:rPr>
          <w:sz w:val="24"/>
          <w:szCs w:val="24"/>
          <w:lang w:val="en-GB"/>
        </w:rPr>
        <w:t>°C.</w:t>
      </w:r>
    </w:p>
    <w:p w14:paraId="6022AFE0" w14:textId="77777777" w:rsidR="007C5D2A" w:rsidRPr="00303008" w:rsidRDefault="007C5D2A" w:rsidP="002636B7">
      <w:pPr>
        <w:tabs>
          <w:tab w:val="left" w:pos="851"/>
        </w:tabs>
        <w:ind w:left="851"/>
        <w:rPr>
          <w:sz w:val="24"/>
          <w:szCs w:val="24"/>
          <w:lang w:val="en-GB"/>
        </w:rPr>
      </w:pPr>
    </w:p>
    <w:p w14:paraId="2DC21AFD" w14:textId="77777777" w:rsidR="007C5D2A" w:rsidRPr="00303008" w:rsidRDefault="007C5D2A" w:rsidP="002636B7">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0D26561E" w14:textId="77777777" w:rsidR="00FF2772" w:rsidRPr="002636B7" w:rsidRDefault="00FF2772" w:rsidP="002636B7">
      <w:pPr>
        <w:pStyle w:val="Default"/>
        <w:ind w:left="851"/>
        <w:jc w:val="both"/>
        <w:rPr>
          <w:lang w:val="en-GB"/>
        </w:rPr>
      </w:pPr>
    </w:p>
    <w:p w14:paraId="12C18E85" w14:textId="129F87B8" w:rsidR="00C01768" w:rsidRPr="002636B7" w:rsidRDefault="00C01768" w:rsidP="002636B7">
      <w:pPr>
        <w:pStyle w:val="Default"/>
        <w:ind w:left="851"/>
        <w:jc w:val="both"/>
        <w:rPr>
          <w:b/>
          <w:lang w:val="en-GB"/>
        </w:rPr>
      </w:pPr>
      <w:proofErr w:type="spellStart"/>
      <w:r w:rsidRPr="002636B7">
        <w:rPr>
          <w:b/>
          <w:lang w:val="en-GB"/>
        </w:rPr>
        <w:t>Pirfenair</w:t>
      </w:r>
      <w:proofErr w:type="spellEnd"/>
      <w:r w:rsidRPr="002636B7">
        <w:rPr>
          <w:b/>
          <w:lang w:val="en-GB"/>
        </w:rPr>
        <w:t xml:space="preserve"> 267 mg film-coated tablets</w:t>
      </w:r>
    </w:p>
    <w:p w14:paraId="32775E9D" w14:textId="77777777" w:rsidR="00FF2772" w:rsidRPr="002636B7" w:rsidRDefault="00FF2772" w:rsidP="002636B7">
      <w:pPr>
        <w:pStyle w:val="Default"/>
        <w:ind w:left="851"/>
        <w:jc w:val="both"/>
        <w:rPr>
          <w:lang w:val="en-GB"/>
        </w:rPr>
      </w:pPr>
    </w:p>
    <w:p w14:paraId="6312D1E1" w14:textId="13ED059F" w:rsidR="00C01768" w:rsidRPr="002636B7" w:rsidRDefault="00C01768" w:rsidP="002636B7">
      <w:pPr>
        <w:pStyle w:val="Default"/>
        <w:ind w:left="851"/>
        <w:jc w:val="both"/>
        <w:rPr>
          <w:u w:val="single"/>
          <w:lang w:val="en-GB"/>
        </w:rPr>
      </w:pPr>
      <w:r w:rsidRPr="002636B7">
        <w:rPr>
          <w:u w:val="single"/>
          <w:lang w:val="en-GB"/>
        </w:rPr>
        <w:t>HDPE bottle with a child resistant polypropylene (PP) closure</w:t>
      </w:r>
    </w:p>
    <w:p w14:paraId="4ABC6942" w14:textId="77777777" w:rsidR="00FF2772" w:rsidRPr="002636B7" w:rsidRDefault="00FF2772" w:rsidP="002636B7">
      <w:pPr>
        <w:pStyle w:val="Default"/>
        <w:ind w:left="851"/>
        <w:jc w:val="both"/>
        <w:rPr>
          <w:u w:val="single"/>
          <w:lang w:val="en-GB"/>
        </w:rPr>
      </w:pPr>
    </w:p>
    <w:p w14:paraId="640A7DAD" w14:textId="12C28030" w:rsidR="00C01768" w:rsidRPr="002636B7" w:rsidRDefault="00C01768" w:rsidP="002636B7">
      <w:pPr>
        <w:pStyle w:val="Default"/>
        <w:ind w:left="851"/>
        <w:jc w:val="both"/>
        <w:rPr>
          <w:i/>
          <w:lang w:val="en-GB"/>
        </w:rPr>
      </w:pPr>
      <w:r w:rsidRPr="002636B7">
        <w:rPr>
          <w:i/>
          <w:lang w:val="en-GB"/>
        </w:rPr>
        <w:t>Pack sizes</w:t>
      </w:r>
    </w:p>
    <w:p w14:paraId="018446FE" w14:textId="77777777" w:rsidR="00C01768" w:rsidRPr="002636B7" w:rsidRDefault="00C01768" w:rsidP="002636B7">
      <w:pPr>
        <w:pStyle w:val="Default"/>
        <w:ind w:left="851"/>
        <w:jc w:val="both"/>
        <w:rPr>
          <w:lang w:val="en-GB"/>
        </w:rPr>
      </w:pPr>
      <w:r w:rsidRPr="002636B7">
        <w:rPr>
          <w:lang w:val="en-GB"/>
        </w:rPr>
        <w:t>1 bottle containing 21 film-coated tablets</w:t>
      </w:r>
    </w:p>
    <w:p w14:paraId="4AA43C63" w14:textId="77777777" w:rsidR="00C01768" w:rsidRPr="002636B7" w:rsidRDefault="00C01768" w:rsidP="002636B7">
      <w:pPr>
        <w:pStyle w:val="Default"/>
        <w:ind w:left="851"/>
        <w:jc w:val="both"/>
        <w:rPr>
          <w:lang w:val="en-GB"/>
        </w:rPr>
      </w:pPr>
      <w:r w:rsidRPr="002636B7">
        <w:rPr>
          <w:lang w:val="en-GB"/>
        </w:rPr>
        <w:t>2 bottles each containing 21 film-coated tablets (42 film-coated tablets in total)</w:t>
      </w:r>
    </w:p>
    <w:p w14:paraId="19AD9210" w14:textId="77777777" w:rsidR="00C01768" w:rsidRPr="002636B7" w:rsidRDefault="00C01768" w:rsidP="002636B7">
      <w:pPr>
        <w:pStyle w:val="Default"/>
        <w:ind w:left="851"/>
        <w:jc w:val="both"/>
        <w:rPr>
          <w:lang w:val="en-GB"/>
        </w:rPr>
      </w:pPr>
      <w:r w:rsidRPr="002636B7">
        <w:rPr>
          <w:lang w:val="en-GB"/>
        </w:rPr>
        <w:t>1 bottle containing 42 film-coated tablets</w:t>
      </w:r>
    </w:p>
    <w:p w14:paraId="32C92490" w14:textId="77777777" w:rsidR="00C01768" w:rsidRPr="002636B7" w:rsidRDefault="00C01768" w:rsidP="002636B7">
      <w:pPr>
        <w:pStyle w:val="Default"/>
        <w:ind w:left="851"/>
        <w:jc w:val="both"/>
        <w:rPr>
          <w:lang w:val="en-GB"/>
        </w:rPr>
      </w:pPr>
      <w:r w:rsidRPr="002636B7">
        <w:rPr>
          <w:lang w:val="en-GB"/>
        </w:rPr>
        <w:t>1 bottle containing 90 film-coated tablets</w:t>
      </w:r>
    </w:p>
    <w:p w14:paraId="698C7D5B" w14:textId="77777777" w:rsidR="00C01768" w:rsidRPr="002636B7" w:rsidRDefault="00C01768" w:rsidP="002636B7">
      <w:pPr>
        <w:pStyle w:val="Default"/>
        <w:ind w:left="851"/>
        <w:jc w:val="both"/>
        <w:rPr>
          <w:lang w:val="en-GB"/>
        </w:rPr>
      </w:pPr>
      <w:r w:rsidRPr="002636B7">
        <w:rPr>
          <w:lang w:val="en-GB"/>
        </w:rPr>
        <w:t>2 bottles each containing 90 film-coated tablets (180 film-coated tablets in total)</w:t>
      </w:r>
    </w:p>
    <w:p w14:paraId="4DB1EC1E" w14:textId="77777777" w:rsidR="00C01768" w:rsidRPr="002636B7" w:rsidRDefault="00C01768" w:rsidP="002636B7">
      <w:pPr>
        <w:pStyle w:val="Default"/>
        <w:ind w:left="851"/>
        <w:jc w:val="both"/>
        <w:rPr>
          <w:lang w:val="en-GB"/>
        </w:rPr>
      </w:pPr>
      <w:r w:rsidRPr="002636B7">
        <w:rPr>
          <w:lang w:val="en-GB"/>
        </w:rPr>
        <w:t>1 bottle containing 180 film-coated tablets</w:t>
      </w:r>
    </w:p>
    <w:p w14:paraId="3DBC0F7E" w14:textId="77777777" w:rsidR="00C01768" w:rsidRPr="002636B7" w:rsidRDefault="00C01768" w:rsidP="002636B7">
      <w:pPr>
        <w:pStyle w:val="Default"/>
        <w:ind w:left="851"/>
        <w:jc w:val="both"/>
        <w:rPr>
          <w:lang w:val="en-GB"/>
        </w:rPr>
      </w:pPr>
    </w:p>
    <w:p w14:paraId="72AB3162" w14:textId="391EEF2E" w:rsidR="00C01768" w:rsidRPr="002636B7" w:rsidRDefault="00C01768" w:rsidP="002636B7">
      <w:pPr>
        <w:pStyle w:val="Default"/>
        <w:ind w:left="851"/>
        <w:jc w:val="both"/>
        <w:rPr>
          <w:u w:val="single"/>
          <w:lang w:val="en-GB"/>
        </w:rPr>
      </w:pPr>
      <w:r w:rsidRPr="002636B7">
        <w:rPr>
          <w:u w:val="single"/>
          <w:lang w:val="en-GB"/>
        </w:rPr>
        <w:t>PVC/PE/PVDC-Alu blister</w:t>
      </w:r>
    </w:p>
    <w:p w14:paraId="72CA8842" w14:textId="77777777" w:rsidR="00FF2772" w:rsidRPr="002636B7" w:rsidRDefault="00FF2772" w:rsidP="002636B7">
      <w:pPr>
        <w:pStyle w:val="Default"/>
        <w:ind w:left="851"/>
        <w:jc w:val="both"/>
        <w:rPr>
          <w:u w:val="single"/>
          <w:lang w:val="en-GB"/>
        </w:rPr>
      </w:pPr>
    </w:p>
    <w:p w14:paraId="2C9269EC" w14:textId="77777777" w:rsidR="00C01768" w:rsidRPr="002636B7" w:rsidRDefault="00C01768" w:rsidP="002636B7">
      <w:pPr>
        <w:pStyle w:val="Default"/>
        <w:ind w:left="851"/>
        <w:jc w:val="both"/>
        <w:rPr>
          <w:i/>
          <w:lang w:val="en-GB"/>
        </w:rPr>
      </w:pPr>
      <w:r w:rsidRPr="002636B7">
        <w:rPr>
          <w:i/>
          <w:lang w:val="en-GB"/>
        </w:rPr>
        <w:t>Pack sizes</w:t>
      </w:r>
    </w:p>
    <w:p w14:paraId="2A87B459" w14:textId="1942A63B" w:rsidR="00C01768" w:rsidRPr="002636B7" w:rsidRDefault="00D263DA" w:rsidP="002636B7">
      <w:pPr>
        <w:pStyle w:val="Default"/>
        <w:ind w:left="1134" w:hanging="283"/>
        <w:jc w:val="both"/>
        <w:rPr>
          <w:lang w:val="en-GB"/>
        </w:rPr>
      </w:pPr>
      <w:r w:rsidRPr="002636B7">
        <w:rPr>
          <w:lang w:val="en-GB"/>
        </w:rPr>
        <w:t>-</w:t>
      </w:r>
      <w:r w:rsidRPr="002636B7">
        <w:rPr>
          <w:lang w:val="en-GB"/>
        </w:rPr>
        <w:tab/>
      </w:r>
      <w:r w:rsidR="00C01768" w:rsidRPr="002636B7">
        <w:rPr>
          <w:lang w:val="en-GB"/>
        </w:rPr>
        <w:t xml:space="preserve">Blister packs of 21, 42, 63, 84, 168, 252 </w:t>
      </w:r>
      <w:r w:rsidR="00F327D2" w:rsidRPr="002636B7">
        <w:rPr>
          <w:lang w:val="en-GB"/>
        </w:rPr>
        <w:t>and</w:t>
      </w:r>
      <w:r w:rsidR="00C01768" w:rsidRPr="002636B7">
        <w:rPr>
          <w:lang w:val="en-GB"/>
        </w:rPr>
        <w:t xml:space="preserve"> 270 film-coated tablets</w:t>
      </w:r>
      <w:r w:rsidR="00F327D2" w:rsidRPr="002636B7">
        <w:rPr>
          <w:lang w:val="en-GB"/>
        </w:rPr>
        <w:t>.</w:t>
      </w:r>
    </w:p>
    <w:p w14:paraId="0D193342" w14:textId="2B6CA272" w:rsidR="00C01768" w:rsidRPr="002636B7" w:rsidRDefault="00D263DA" w:rsidP="002636B7">
      <w:pPr>
        <w:pStyle w:val="Default"/>
        <w:ind w:left="1134" w:hanging="283"/>
        <w:jc w:val="both"/>
        <w:rPr>
          <w:lang w:val="en-GB"/>
        </w:rPr>
      </w:pPr>
      <w:r w:rsidRPr="002636B7">
        <w:rPr>
          <w:lang w:val="en-GB"/>
        </w:rPr>
        <w:t>-</w:t>
      </w:r>
      <w:r w:rsidRPr="002636B7">
        <w:rPr>
          <w:lang w:val="en-GB"/>
        </w:rPr>
        <w:tab/>
      </w:r>
      <w:r w:rsidR="00C01768" w:rsidRPr="002636B7">
        <w:rPr>
          <w:lang w:val="en-GB"/>
        </w:rPr>
        <w:t>Unit-dose blister packs of 63</w:t>
      </w:r>
      <w:r w:rsidR="00F327D2" w:rsidRPr="002636B7">
        <w:rPr>
          <w:lang w:val="en-GB"/>
        </w:rPr>
        <w:t>×</w:t>
      </w:r>
      <w:r w:rsidR="00C01768" w:rsidRPr="002636B7">
        <w:rPr>
          <w:lang w:val="en-GB"/>
        </w:rPr>
        <w:t>1 or 252</w:t>
      </w:r>
      <w:r w:rsidR="00F327D2" w:rsidRPr="002636B7">
        <w:rPr>
          <w:lang w:val="en-GB"/>
        </w:rPr>
        <w:t>×</w:t>
      </w:r>
      <w:r w:rsidR="00C01768" w:rsidRPr="002636B7">
        <w:rPr>
          <w:lang w:val="en-GB"/>
        </w:rPr>
        <w:t>1 film-coated tablets</w:t>
      </w:r>
      <w:r w:rsidR="00F327D2" w:rsidRPr="002636B7">
        <w:rPr>
          <w:lang w:val="en-GB"/>
        </w:rPr>
        <w:t>.</w:t>
      </w:r>
    </w:p>
    <w:p w14:paraId="3D639EDF" w14:textId="57362C02" w:rsidR="00C01768" w:rsidRPr="002636B7" w:rsidRDefault="00D263DA" w:rsidP="002636B7">
      <w:pPr>
        <w:pStyle w:val="Default"/>
        <w:ind w:left="1134" w:hanging="283"/>
        <w:jc w:val="both"/>
        <w:rPr>
          <w:lang w:val="en-GB"/>
        </w:rPr>
      </w:pPr>
      <w:r w:rsidRPr="002636B7">
        <w:rPr>
          <w:lang w:val="en-GB"/>
        </w:rPr>
        <w:t>-</w:t>
      </w:r>
      <w:r w:rsidRPr="002636B7">
        <w:rPr>
          <w:lang w:val="en-GB"/>
        </w:rPr>
        <w:tab/>
      </w:r>
      <w:r w:rsidR="00C01768" w:rsidRPr="002636B7">
        <w:rPr>
          <w:lang w:val="en-GB"/>
        </w:rPr>
        <w:t>2-week treatment initiation packs: Blister multipack containing 63 (1 pack of 21 and 1 pack of 42) film-coated tablets or Unit-dose blister multipack containing 63 (1 pack of 21</w:t>
      </w:r>
      <w:r w:rsidR="00932495" w:rsidRPr="002636B7">
        <w:rPr>
          <w:lang w:val="en-GB"/>
        </w:rPr>
        <w:t>×</w:t>
      </w:r>
      <w:r w:rsidR="00C01768" w:rsidRPr="002636B7">
        <w:rPr>
          <w:lang w:val="en-GB"/>
        </w:rPr>
        <w:t>1 and 1 pack of 42</w:t>
      </w:r>
      <w:r w:rsidR="00932495" w:rsidRPr="002636B7">
        <w:rPr>
          <w:lang w:val="en-GB"/>
        </w:rPr>
        <w:t>×</w:t>
      </w:r>
      <w:r w:rsidR="00C01768" w:rsidRPr="002636B7">
        <w:rPr>
          <w:lang w:val="en-GB"/>
        </w:rPr>
        <w:t>1) film-coated tablets</w:t>
      </w:r>
      <w:r w:rsidRPr="002636B7">
        <w:rPr>
          <w:lang w:val="en-GB"/>
        </w:rPr>
        <w:t>.</w:t>
      </w:r>
    </w:p>
    <w:p w14:paraId="673A098B" w14:textId="03191105" w:rsidR="00C01768" w:rsidRPr="002636B7" w:rsidRDefault="00932495" w:rsidP="002636B7">
      <w:pPr>
        <w:pStyle w:val="Default"/>
        <w:ind w:left="1134" w:hanging="283"/>
        <w:jc w:val="both"/>
        <w:rPr>
          <w:lang w:val="en-GB"/>
        </w:rPr>
      </w:pPr>
      <w:r w:rsidRPr="002636B7">
        <w:rPr>
          <w:lang w:val="en-GB"/>
        </w:rPr>
        <w:t>-</w:t>
      </w:r>
      <w:r w:rsidRPr="002636B7">
        <w:rPr>
          <w:lang w:val="en-GB"/>
        </w:rPr>
        <w:tab/>
      </w:r>
      <w:r w:rsidR="00C01768" w:rsidRPr="002636B7">
        <w:rPr>
          <w:lang w:val="en-GB"/>
        </w:rPr>
        <w:t>Continuation packs: Blister multipack containing 252 (3 packs of 84) film-coated tablets or</w:t>
      </w:r>
      <w:r w:rsidRPr="002636B7">
        <w:rPr>
          <w:lang w:val="en-GB"/>
        </w:rPr>
        <w:t xml:space="preserve"> </w:t>
      </w:r>
      <w:r w:rsidR="00C01768" w:rsidRPr="002636B7">
        <w:rPr>
          <w:lang w:val="en-GB"/>
        </w:rPr>
        <w:t>Unit-dose blister multipack containing 252 (3 packs of 84</w:t>
      </w:r>
      <w:r w:rsidRPr="002636B7">
        <w:rPr>
          <w:lang w:val="en-GB"/>
        </w:rPr>
        <w:t>×</w:t>
      </w:r>
      <w:r w:rsidR="00C01768" w:rsidRPr="002636B7">
        <w:rPr>
          <w:lang w:val="en-GB"/>
        </w:rPr>
        <w:t>1) film-coated tablets</w:t>
      </w:r>
      <w:r w:rsidRPr="002636B7">
        <w:rPr>
          <w:lang w:val="en-GB"/>
        </w:rPr>
        <w:t>.</w:t>
      </w:r>
    </w:p>
    <w:p w14:paraId="388D028C" w14:textId="53F769C9" w:rsidR="00C01768" w:rsidRPr="002636B7" w:rsidRDefault="00C01768" w:rsidP="002636B7">
      <w:pPr>
        <w:pStyle w:val="Default"/>
        <w:ind w:left="1134" w:hanging="283"/>
        <w:jc w:val="both"/>
        <w:rPr>
          <w:lang w:val="en-GB"/>
        </w:rPr>
      </w:pPr>
    </w:p>
    <w:p w14:paraId="1A6D092D" w14:textId="77777777" w:rsidR="00AC2538" w:rsidRPr="002636B7" w:rsidRDefault="00AC2538" w:rsidP="002636B7">
      <w:pPr>
        <w:pStyle w:val="Default"/>
        <w:ind w:left="1134" w:hanging="283"/>
        <w:rPr>
          <w:b/>
          <w:lang w:val="en-GB"/>
        </w:rPr>
      </w:pPr>
      <w:proofErr w:type="spellStart"/>
      <w:r w:rsidRPr="002636B7">
        <w:rPr>
          <w:b/>
          <w:lang w:val="en-GB"/>
        </w:rPr>
        <w:t>Pirfenair</w:t>
      </w:r>
      <w:proofErr w:type="spellEnd"/>
      <w:r w:rsidRPr="002636B7">
        <w:rPr>
          <w:b/>
          <w:lang w:val="en-GB"/>
        </w:rPr>
        <w:t xml:space="preserve"> 801 mg film-coated tablets</w:t>
      </w:r>
    </w:p>
    <w:p w14:paraId="6405D145" w14:textId="77777777" w:rsidR="00AC2538" w:rsidRPr="002636B7" w:rsidRDefault="00AC2538" w:rsidP="002636B7">
      <w:pPr>
        <w:pStyle w:val="Default"/>
        <w:ind w:left="1134" w:hanging="283"/>
        <w:rPr>
          <w:lang w:val="en-GB"/>
        </w:rPr>
      </w:pPr>
    </w:p>
    <w:p w14:paraId="2BCFE2F3" w14:textId="77C750F5" w:rsidR="00AC2538" w:rsidRPr="002636B7" w:rsidRDefault="00AC2538" w:rsidP="002636B7">
      <w:pPr>
        <w:pStyle w:val="Default"/>
        <w:ind w:left="1134" w:hanging="283"/>
        <w:rPr>
          <w:u w:val="single"/>
          <w:lang w:val="en-GB"/>
        </w:rPr>
      </w:pPr>
      <w:r w:rsidRPr="002636B7">
        <w:rPr>
          <w:u w:val="single"/>
          <w:lang w:val="en-GB"/>
        </w:rPr>
        <w:t>HDPE bottle with a child resistant polypropylene (PP) closure</w:t>
      </w:r>
    </w:p>
    <w:p w14:paraId="30DBDD46" w14:textId="77777777" w:rsidR="00E15C44" w:rsidRPr="002636B7" w:rsidRDefault="00E15C44" w:rsidP="002636B7">
      <w:pPr>
        <w:pStyle w:val="Default"/>
        <w:ind w:left="1134" w:hanging="283"/>
        <w:rPr>
          <w:u w:val="single"/>
          <w:lang w:val="en-GB"/>
        </w:rPr>
      </w:pPr>
    </w:p>
    <w:p w14:paraId="61423D4C" w14:textId="578BFFA9" w:rsidR="00AC2538" w:rsidRPr="002636B7" w:rsidRDefault="00AC2538" w:rsidP="002636B7">
      <w:pPr>
        <w:pStyle w:val="Default"/>
        <w:ind w:left="1134" w:hanging="283"/>
        <w:rPr>
          <w:i/>
          <w:lang w:val="en-GB"/>
        </w:rPr>
      </w:pPr>
      <w:r w:rsidRPr="002636B7">
        <w:rPr>
          <w:i/>
          <w:lang w:val="en-GB"/>
        </w:rPr>
        <w:t>Pack sizes</w:t>
      </w:r>
    </w:p>
    <w:p w14:paraId="45366F37" w14:textId="7DC488F6" w:rsidR="00AC2538" w:rsidRPr="002636B7" w:rsidRDefault="00AC2538" w:rsidP="002636B7">
      <w:pPr>
        <w:pStyle w:val="Default"/>
        <w:ind w:left="1134" w:hanging="283"/>
        <w:rPr>
          <w:lang w:val="en-GB"/>
        </w:rPr>
      </w:pPr>
      <w:r w:rsidRPr="002636B7">
        <w:rPr>
          <w:lang w:val="en-GB"/>
        </w:rPr>
        <w:t>1 bottle containing 90 film-coated tablets</w:t>
      </w:r>
      <w:r w:rsidR="00E15C44" w:rsidRPr="002636B7">
        <w:rPr>
          <w:lang w:val="en-GB"/>
        </w:rPr>
        <w:t>.</w:t>
      </w:r>
    </w:p>
    <w:p w14:paraId="54556C51" w14:textId="77777777" w:rsidR="00AC2538" w:rsidRPr="002636B7" w:rsidRDefault="00AC2538" w:rsidP="002636B7">
      <w:pPr>
        <w:pStyle w:val="Default"/>
        <w:ind w:left="1134" w:hanging="283"/>
        <w:rPr>
          <w:lang w:val="en-GB"/>
        </w:rPr>
      </w:pPr>
    </w:p>
    <w:p w14:paraId="6C29495F" w14:textId="77777777" w:rsidR="00AC2538" w:rsidRPr="002636B7" w:rsidRDefault="00AC2538" w:rsidP="002636B7">
      <w:pPr>
        <w:pStyle w:val="Default"/>
        <w:ind w:left="1134" w:hanging="283"/>
        <w:rPr>
          <w:u w:val="single"/>
          <w:lang w:val="en-GB"/>
        </w:rPr>
      </w:pPr>
      <w:r w:rsidRPr="002636B7">
        <w:rPr>
          <w:u w:val="single"/>
          <w:lang w:val="en-GB"/>
        </w:rPr>
        <w:t>PVC/PE/PVDC-Alu blister</w:t>
      </w:r>
    </w:p>
    <w:p w14:paraId="3B66B5D5" w14:textId="77777777" w:rsidR="00E15C44" w:rsidRPr="002636B7" w:rsidRDefault="00E15C44" w:rsidP="002636B7">
      <w:pPr>
        <w:pStyle w:val="Default"/>
        <w:ind w:left="1134" w:hanging="283"/>
        <w:rPr>
          <w:u w:val="single"/>
          <w:lang w:val="en-GB"/>
        </w:rPr>
      </w:pPr>
    </w:p>
    <w:p w14:paraId="06F0BB93" w14:textId="3479B021" w:rsidR="00AC2538" w:rsidRPr="002636B7" w:rsidRDefault="00AC2538" w:rsidP="002636B7">
      <w:pPr>
        <w:pStyle w:val="Default"/>
        <w:ind w:left="1134" w:hanging="283"/>
        <w:rPr>
          <w:i/>
          <w:lang w:val="en-GB"/>
        </w:rPr>
      </w:pPr>
      <w:r w:rsidRPr="002636B7">
        <w:rPr>
          <w:i/>
          <w:lang w:val="en-GB"/>
        </w:rPr>
        <w:t>Pack sizes</w:t>
      </w:r>
    </w:p>
    <w:p w14:paraId="4FDEB565" w14:textId="0E68E27F" w:rsidR="00AC2538" w:rsidRPr="002636B7" w:rsidRDefault="0015078A" w:rsidP="002636B7">
      <w:pPr>
        <w:pStyle w:val="Default"/>
        <w:ind w:left="1134" w:hanging="283"/>
        <w:rPr>
          <w:lang w:val="en-GB"/>
        </w:rPr>
      </w:pPr>
      <w:r w:rsidRPr="002636B7">
        <w:rPr>
          <w:lang w:val="en-GB"/>
        </w:rPr>
        <w:t>-</w:t>
      </w:r>
      <w:r w:rsidRPr="002636B7">
        <w:rPr>
          <w:lang w:val="en-GB"/>
        </w:rPr>
        <w:tab/>
      </w:r>
      <w:r w:rsidR="00AC2538" w:rsidRPr="002636B7">
        <w:rPr>
          <w:lang w:val="en-GB"/>
        </w:rPr>
        <w:t>Blister packs of 21, 63, 84, 252 or 270 film-coated tablets</w:t>
      </w:r>
      <w:r w:rsidRPr="002636B7">
        <w:rPr>
          <w:lang w:val="en-GB"/>
        </w:rPr>
        <w:t>.</w:t>
      </w:r>
    </w:p>
    <w:p w14:paraId="0FC31877" w14:textId="36F7C4F3" w:rsidR="00AC2538" w:rsidRPr="002636B7" w:rsidRDefault="0015078A" w:rsidP="002636B7">
      <w:pPr>
        <w:pStyle w:val="Default"/>
        <w:ind w:left="1134" w:hanging="283"/>
        <w:rPr>
          <w:lang w:val="en-GB"/>
        </w:rPr>
      </w:pPr>
      <w:r w:rsidRPr="002636B7">
        <w:rPr>
          <w:lang w:val="en-GB"/>
        </w:rPr>
        <w:t>-</w:t>
      </w:r>
      <w:r w:rsidRPr="002636B7">
        <w:rPr>
          <w:lang w:val="en-GB"/>
        </w:rPr>
        <w:tab/>
      </w:r>
      <w:r w:rsidR="00AC2538" w:rsidRPr="002636B7">
        <w:rPr>
          <w:lang w:val="en-GB"/>
        </w:rPr>
        <w:t>Unit-dose blister packs of 84</w:t>
      </w:r>
      <w:r w:rsidRPr="002636B7">
        <w:rPr>
          <w:lang w:val="en-GB"/>
        </w:rPr>
        <w:t>×</w:t>
      </w:r>
      <w:r w:rsidR="00AC2538" w:rsidRPr="002636B7">
        <w:rPr>
          <w:lang w:val="en-GB"/>
        </w:rPr>
        <w:t>1 or 252</w:t>
      </w:r>
      <w:r w:rsidRPr="002636B7">
        <w:rPr>
          <w:lang w:val="en-GB"/>
        </w:rPr>
        <w:t>×</w:t>
      </w:r>
      <w:r w:rsidR="00AC2538" w:rsidRPr="002636B7">
        <w:rPr>
          <w:lang w:val="en-GB"/>
        </w:rPr>
        <w:t>1 film-coated tablets</w:t>
      </w:r>
      <w:r w:rsidRPr="002636B7">
        <w:rPr>
          <w:lang w:val="en-GB"/>
        </w:rPr>
        <w:t>.</w:t>
      </w:r>
    </w:p>
    <w:p w14:paraId="7BC3F9D8" w14:textId="7FBF5B22" w:rsidR="00AC2538" w:rsidRPr="002636B7" w:rsidRDefault="0015078A" w:rsidP="002636B7">
      <w:pPr>
        <w:pStyle w:val="Default"/>
        <w:ind w:left="1134" w:hanging="283"/>
        <w:rPr>
          <w:lang w:val="en-GB"/>
        </w:rPr>
      </w:pPr>
      <w:r w:rsidRPr="002636B7">
        <w:rPr>
          <w:lang w:val="en-GB"/>
        </w:rPr>
        <w:t>-</w:t>
      </w:r>
      <w:r w:rsidRPr="002636B7">
        <w:rPr>
          <w:lang w:val="en-GB"/>
        </w:rPr>
        <w:tab/>
      </w:r>
      <w:r w:rsidR="00AC2538" w:rsidRPr="002636B7">
        <w:rPr>
          <w:lang w:val="en-GB"/>
        </w:rPr>
        <w:t>Continuation packs: Blister multipack containing 252 (3 packs of 84) film-coated tablets or</w:t>
      </w:r>
      <w:r w:rsidR="005A27AC" w:rsidRPr="002636B7">
        <w:rPr>
          <w:lang w:val="en-GB"/>
        </w:rPr>
        <w:t xml:space="preserve"> </w:t>
      </w:r>
      <w:r w:rsidR="00AC2538" w:rsidRPr="002636B7">
        <w:rPr>
          <w:lang w:val="en-GB"/>
        </w:rPr>
        <w:t>Unit-dose blister multipack containing 252 (3 packs of 84</w:t>
      </w:r>
      <w:r w:rsidR="005A27AC" w:rsidRPr="002636B7">
        <w:rPr>
          <w:lang w:val="en-GB"/>
        </w:rPr>
        <w:t>×</w:t>
      </w:r>
      <w:r w:rsidR="00AC2538" w:rsidRPr="002636B7">
        <w:rPr>
          <w:lang w:val="en-GB"/>
        </w:rPr>
        <w:t>1) film-coated tablets</w:t>
      </w:r>
    </w:p>
    <w:p w14:paraId="2854BDF2" w14:textId="77777777" w:rsidR="00AC2538" w:rsidRPr="002636B7" w:rsidRDefault="00AC2538" w:rsidP="002636B7">
      <w:pPr>
        <w:pStyle w:val="Default"/>
        <w:ind w:left="1134" w:hanging="283"/>
        <w:rPr>
          <w:lang w:val="en-GB"/>
        </w:rPr>
      </w:pPr>
    </w:p>
    <w:p w14:paraId="5607A4BC" w14:textId="77777777" w:rsidR="00AC2538" w:rsidRPr="002636B7" w:rsidRDefault="00AC2538" w:rsidP="002636B7">
      <w:pPr>
        <w:pStyle w:val="Default"/>
        <w:ind w:left="1134" w:hanging="283"/>
        <w:rPr>
          <w:lang w:val="en-GB"/>
        </w:rPr>
      </w:pPr>
      <w:r w:rsidRPr="002636B7">
        <w:rPr>
          <w:lang w:val="en-GB"/>
        </w:rPr>
        <w:t xml:space="preserve">Not all pack sizes may be marketed. </w:t>
      </w:r>
    </w:p>
    <w:p w14:paraId="2B5062D1" w14:textId="730C5A32" w:rsidR="00CA16D5" w:rsidRDefault="00CA16D5">
      <w:pPr>
        <w:rPr>
          <w:color w:val="000000"/>
          <w:sz w:val="24"/>
          <w:szCs w:val="24"/>
          <w:lang w:val="en-GB" w:eastAsia="en-US"/>
        </w:rPr>
      </w:pPr>
      <w:bookmarkStart w:id="3" w:name="_Hlk108537917"/>
      <w:r>
        <w:rPr>
          <w:lang w:val="en-GB"/>
        </w:rPr>
        <w:br w:type="page"/>
      </w:r>
    </w:p>
    <w:p w14:paraId="3BED219B" w14:textId="77777777" w:rsidR="00C01768" w:rsidRPr="002636B7" w:rsidRDefault="00C01768" w:rsidP="002636B7">
      <w:pPr>
        <w:pStyle w:val="Default"/>
        <w:ind w:left="1134" w:hanging="283"/>
        <w:jc w:val="both"/>
        <w:rPr>
          <w:lang w:val="en-GB"/>
        </w:rPr>
      </w:pPr>
    </w:p>
    <w:bookmarkEnd w:id="3"/>
    <w:p w14:paraId="575F7889" w14:textId="77777777" w:rsidR="007C5D2A" w:rsidRPr="00303008" w:rsidRDefault="007C5D2A" w:rsidP="002636B7">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33D97816" w14:textId="77777777" w:rsidR="00471F76" w:rsidRPr="00471F76" w:rsidRDefault="00471F76" w:rsidP="002636B7">
      <w:pPr>
        <w:tabs>
          <w:tab w:val="left" w:pos="851"/>
        </w:tabs>
        <w:ind w:left="851"/>
        <w:rPr>
          <w:sz w:val="24"/>
          <w:szCs w:val="24"/>
          <w:lang w:val="en-GB"/>
        </w:rPr>
      </w:pPr>
      <w:r w:rsidRPr="00471F76">
        <w:rPr>
          <w:sz w:val="24"/>
          <w:szCs w:val="24"/>
          <w:lang w:val="en-GB"/>
        </w:rPr>
        <w:t>Any unused medicinal product or waste material should be disposed of in accordance with local requirements.</w:t>
      </w:r>
    </w:p>
    <w:p w14:paraId="0A6B0E00" w14:textId="77777777" w:rsidR="007C5D2A" w:rsidRPr="00303008" w:rsidRDefault="007C5D2A" w:rsidP="002636B7">
      <w:pPr>
        <w:tabs>
          <w:tab w:val="left" w:pos="851"/>
        </w:tabs>
        <w:ind w:left="851"/>
        <w:rPr>
          <w:sz w:val="24"/>
          <w:szCs w:val="24"/>
          <w:lang w:val="en-GB"/>
        </w:rPr>
      </w:pPr>
    </w:p>
    <w:p w14:paraId="4804C6EE" w14:textId="77777777" w:rsidR="007C5D2A" w:rsidRPr="00303008" w:rsidRDefault="007C5D2A" w:rsidP="002636B7">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7B583A1E" w14:textId="77777777" w:rsidR="00AB02E5" w:rsidRPr="00AB02E5" w:rsidRDefault="00AB02E5" w:rsidP="002636B7">
      <w:pPr>
        <w:tabs>
          <w:tab w:val="left" w:pos="851"/>
        </w:tabs>
        <w:ind w:left="851"/>
        <w:jc w:val="both"/>
        <w:rPr>
          <w:sz w:val="24"/>
          <w:szCs w:val="24"/>
          <w:lang w:val="en-US"/>
        </w:rPr>
      </w:pPr>
      <w:proofErr w:type="spellStart"/>
      <w:r w:rsidRPr="00AB02E5">
        <w:rPr>
          <w:sz w:val="24"/>
          <w:szCs w:val="24"/>
          <w:lang w:val="en-US"/>
        </w:rPr>
        <w:t>Hexal</w:t>
      </w:r>
      <w:proofErr w:type="spellEnd"/>
      <w:r w:rsidRPr="00AB02E5">
        <w:rPr>
          <w:sz w:val="24"/>
          <w:szCs w:val="24"/>
          <w:lang w:val="en-US"/>
        </w:rPr>
        <w:t xml:space="preserve"> A/S</w:t>
      </w:r>
    </w:p>
    <w:p w14:paraId="02BA7EE6" w14:textId="77777777" w:rsidR="00AB02E5" w:rsidRPr="00AB02E5" w:rsidRDefault="00AB02E5" w:rsidP="002636B7">
      <w:pPr>
        <w:tabs>
          <w:tab w:val="left" w:pos="851"/>
        </w:tabs>
        <w:ind w:left="851"/>
        <w:jc w:val="both"/>
        <w:rPr>
          <w:sz w:val="24"/>
          <w:szCs w:val="24"/>
          <w:lang w:val="en-US"/>
        </w:rPr>
      </w:pPr>
      <w:r w:rsidRPr="00AB02E5">
        <w:rPr>
          <w:sz w:val="24"/>
          <w:szCs w:val="24"/>
          <w:lang w:val="en-US"/>
        </w:rPr>
        <w:t xml:space="preserve">Edvard </w:t>
      </w:r>
      <w:proofErr w:type="spellStart"/>
      <w:r w:rsidRPr="00AB02E5">
        <w:rPr>
          <w:sz w:val="24"/>
          <w:szCs w:val="24"/>
          <w:lang w:val="en-US"/>
        </w:rPr>
        <w:t>Thomsens</w:t>
      </w:r>
      <w:proofErr w:type="spellEnd"/>
      <w:r w:rsidRPr="00AB02E5">
        <w:rPr>
          <w:sz w:val="24"/>
          <w:szCs w:val="24"/>
          <w:lang w:val="en-US"/>
        </w:rPr>
        <w:t xml:space="preserve"> </w:t>
      </w:r>
      <w:proofErr w:type="spellStart"/>
      <w:r w:rsidRPr="00AB02E5">
        <w:rPr>
          <w:sz w:val="24"/>
          <w:szCs w:val="24"/>
          <w:lang w:val="en-US"/>
        </w:rPr>
        <w:t>Vej</w:t>
      </w:r>
      <w:proofErr w:type="spellEnd"/>
      <w:r w:rsidRPr="00AB02E5">
        <w:rPr>
          <w:sz w:val="24"/>
          <w:szCs w:val="24"/>
          <w:lang w:val="en-US"/>
        </w:rPr>
        <w:t xml:space="preserve"> 14</w:t>
      </w:r>
    </w:p>
    <w:p w14:paraId="47A2E38B" w14:textId="77777777" w:rsidR="00AB02E5" w:rsidRPr="00AB02E5" w:rsidRDefault="00AB02E5" w:rsidP="002636B7">
      <w:pPr>
        <w:tabs>
          <w:tab w:val="left" w:pos="851"/>
        </w:tabs>
        <w:ind w:left="851"/>
        <w:jc w:val="both"/>
        <w:rPr>
          <w:sz w:val="24"/>
          <w:szCs w:val="24"/>
          <w:lang w:val="en-US"/>
        </w:rPr>
      </w:pPr>
      <w:r w:rsidRPr="00AB02E5">
        <w:rPr>
          <w:sz w:val="24"/>
          <w:szCs w:val="24"/>
          <w:lang w:val="en-US"/>
        </w:rPr>
        <w:t xml:space="preserve">2300 </w:t>
      </w:r>
      <w:proofErr w:type="spellStart"/>
      <w:r w:rsidRPr="00AB02E5">
        <w:rPr>
          <w:sz w:val="24"/>
          <w:szCs w:val="24"/>
          <w:lang w:val="en-US"/>
        </w:rPr>
        <w:t>København</w:t>
      </w:r>
      <w:proofErr w:type="spellEnd"/>
      <w:r w:rsidRPr="00AB02E5">
        <w:rPr>
          <w:sz w:val="24"/>
          <w:szCs w:val="24"/>
          <w:lang w:val="en-US"/>
        </w:rPr>
        <w:t xml:space="preserve"> S</w:t>
      </w:r>
    </w:p>
    <w:p w14:paraId="7901BF61" w14:textId="77777777" w:rsidR="007C5D2A" w:rsidRPr="00303008" w:rsidRDefault="007C5D2A" w:rsidP="002636B7">
      <w:pPr>
        <w:tabs>
          <w:tab w:val="left" w:pos="851"/>
        </w:tabs>
        <w:ind w:left="851"/>
        <w:jc w:val="both"/>
        <w:rPr>
          <w:sz w:val="24"/>
          <w:szCs w:val="24"/>
          <w:lang w:val="en-GB"/>
        </w:rPr>
      </w:pPr>
    </w:p>
    <w:p w14:paraId="5317D42A" w14:textId="77777777" w:rsidR="007C5D2A" w:rsidRPr="00303008" w:rsidRDefault="007C5D2A" w:rsidP="002636B7">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543326B3" w14:textId="4934A84F" w:rsidR="007C5D2A" w:rsidRDefault="00AB02E5" w:rsidP="002636B7">
      <w:pPr>
        <w:tabs>
          <w:tab w:val="left" w:pos="851"/>
          <w:tab w:val="left" w:pos="1843"/>
        </w:tabs>
        <w:ind w:left="851"/>
        <w:jc w:val="both"/>
        <w:rPr>
          <w:sz w:val="24"/>
          <w:szCs w:val="24"/>
          <w:lang w:val="en-GB"/>
        </w:rPr>
      </w:pPr>
      <w:r>
        <w:rPr>
          <w:sz w:val="24"/>
          <w:szCs w:val="24"/>
          <w:lang w:val="en-GB"/>
        </w:rPr>
        <w:t>267 mg:</w:t>
      </w:r>
      <w:r>
        <w:rPr>
          <w:sz w:val="24"/>
          <w:szCs w:val="24"/>
          <w:lang w:val="en-GB"/>
        </w:rPr>
        <w:tab/>
      </w:r>
      <w:r w:rsidR="00025083">
        <w:rPr>
          <w:sz w:val="24"/>
          <w:szCs w:val="24"/>
          <w:lang w:val="en-GB"/>
        </w:rPr>
        <w:t>65835</w:t>
      </w:r>
    </w:p>
    <w:p w14:paraId="0429B89E" w14:textId="52C0416F" w:rsidR="00025083" w:rsidRPr="00303008" w:rsidRDefault="00025083" w:rsidP="002636B7">
      <w:pPr>
        <w:tabs>
          <w:tab w:val="left" w:pos="851"/>
          <w:tab w:val="left" w:pos="1843"/>
        </w:tabs>
        <w:ind w:left="851"/>
        <w:jc w:val="both"/>
        <w:rPr>
          <w:sz w:val="24"/>
          <w:szCs w:val="24"/>
          <w:lang w:val="en-GB"/>
        </w:rPr>
      </w:pPr>
      <w:r>
        <w:rPr>
          <w:sz w:val="24"/>
          <w:szCs w:val="24"/>
          <w:lang w:val="en-GB"/>
        </w:rPr>
        <w:t>801 mg:</w:t>
      </w:r>
      <w:r>
        <w:rPr>
          <w:sz w:val="24"/>
          <w:szCs w:val="24"/>
          <w:lang w:val="en-GB"/>
        </w:rPr>
        <w:tab/>
        <w:t>65836</w:t>
      </w:r>
    </w:p>
    <w:p w14:paraId="496079E4" w14:textId="77777777" w:rsidR="007C5D2A" w:rsidRPr="00303008" w:rsidRDefault="007C5D2A" w:rsidP="002636B7">
      <w:pPr>
        <w:tabs>
          <w:tab w:val="left" w:pos="851"/>
        </w:tabs>
        <w:ind w:left="851"/>
        <w:jc w:val="both"/>
        <w:rPr>
          <w:sz w:val="24"/>
          <w:szCs w:val="24"/>
          <w:lang w:val="en-GB"/>
        </w:rPr>
      </w:pPr>
    </w:p>
    <w:p w14:paraId="15310A01" w14:textId="77777777" w:rsidR="007C5D2A" w:rsidRPr="00303008" w:rsidRDefault="007C5D2A" w:rsidP="002636B7">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15598A9A" w14:textId="5A969F73" w:rsidR="007C5D2A" w:rsidRPr="00303008" w:rsidRDefault="009D1CC6" w:rsidP="002636B7">
      <w:pPr>
        <w:ind w:left="851"/>
        <w:jc w:val="both"/>
        <w:rPr>
          <w:sz w:val="24"/>
          <w:szCs w:val="24"/>
          <w:lang w:val="en-GB"/>
        </w:rPr>
      </w:pPr>
      <w:r>
        <w:rPr>
          <w:sz w:val="24"/>
          <w:szCs w:val="24"/>
          <w:lang w:val="en-GB"/>
        </w:rPr>
        <w:t>13 July 2022</w:t>
      </w:r>
    </w:p>
    <w:p w14:paraId="2726FF4D" w14:textId="77777777" w:rsidR="007C5D2A" w:rsidRPr="00303008" w:rsidRDefault="007C5D2A" w:rsidP="002636B7">
      <w:pPr>
        <w:tabs>
          <w:tab w:val="left" w:pos="851"/>
        </w:tabs>
        <w:ind w:left="851"/>
        <w:jc w:val="both"/>
        <w:rPr>
          <w:sz w:val="24"/>
          <w:szCs w:val="24"/>
          <w:lang w:val="en-GB"/>
        </w:rPr>
      </w:pPr>
    </w:p>
    <w:p w14:paraId="1E1D0025" w14:textId="77777777" w:rsidR="007C5D2A" w:rsidRPr="00303008" w:rsidRDefault="007C5D2A" w:rsidP="002636B7">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599B56BE" w14:textId="1FF3C8E3" w:rsidR="007C5D2A" w:rsidRPr="00303008" w:rsidRDefault="00CA16D5" w:rsidP="002636B7">
      <w:pPr>
        <w:tabs>
          <w:tab w:val="left" w:pos="851"/>
        </w:tabs>
        <w:ind w:left="851"/>
        <w:jc w:val="both"/>
        <w:rPr>
          <w:sz w:val="24"/>
          <w:szCs w:val="24"/>
          <w:lang w:val="en-GB"/>
        </w:rPr>
      </w:pPr>
      <w:r>
        <w:rPr>
          <w:sz w:val="24"/>
          <w:szCs w:val="24"/>
          <w:lang w:val="en-GB"/>
        </w:rPr>
        <w:t>21</w:t>
      </w:r>
      <w:r w:rsidR="009843B7">
        <w:rPr>
          <w:sz w:val="24"/>
          <w:szCs w:val="24"/>
          <w:lang w:val="en-GB"/>
        </w:rPr>
        <w:t xml:space="preserve"> May 2024</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9918" w14:textId="77777777" w:rsidR="00302448" w:rsidRDefault="00302448">
      <w:r>
        <w:separator/>
      </w:r>
    </w:p>
  </w:endnote>
  <w:endnote w:type="continuationSeparator" w:id="0">
    <w:p w14:paraId="6B81AAC1" w14:textId="77777777" w:rsidR="00302448" w:rsidRDefault="0030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4791F" w14:textId="77777777" w:rsidR="00302448" w:rsidRDefault="0030244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98BC" w14:textId="77777777" w:rsidR="00302448" w:rsidRDefault="00302448">
    <w:pPr>
      <w:pStyle w:val="Sidefod"/>
      <w:pBdr>
        <w:bottom w:val="single" w:sz="6" w:space="1" w:color="auto"/>
      </w:pBdr>
    </w:pPr>
  </w:p>
  <w:p w14:paraId="288F2E54" w14:textId="77777777" w:rsidR="00302448" w:rsidRDefault="00302448">
    <w:pPr>
      <w:pStyle w:val="Sidefod"/>
      <w:tabs>
        <w:tab w:val="clear" w:pos="4819"/>
        <w:tab w:val="left" w:pos="8647"/>
      </w:tabs>
      <w:rPr>
        <w:i/>
        <w:snapToGrid w:val="0"/>
        <w:sz w:val="18"/>
      </w:rPr>
    </w:pPr>
  </w:p>
  <w:p w14:paraId="17F111AD" w14:textId="5D1C2C00" w:rsidR="00302448" w:rsidRDefault="0030244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Pirfenair, filmovertrukne tabletter 267 mg og 801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0A27" w14:textId="77777777" w:rsidR="00302448" w:rsidRDefault="00302448">
    <w:pPr>
      <w:pStyle w:val="Sidefod"/>
      <w:pBdr>
        <w:bottom w:val="single" w:sz="6" w:space="1" w:color="auto"/>
      </w:pBdr>
      <w:tabs>
        <w:tab w:val="clear" w:pos="4819"/>
        <w:tab w:val="left" w:pos="8789"/>
      </w:tabs>
      <w:rPr>
        <w:i/>
        <w:snapToGrid w:val="0"/>
        <w:sz w:val="18"/>
      </w:rPr>
    </w:pPr>
  </w:p>
  <w:p w14:paraId="3E612913" w14:textId="77777777" w:rsidR="00302448" w:rsidRDefault="00302448">
    <w:pPr>
      <w:pStyle w:val="Sidefod"/>
      <w:tabs>
        <w:tab w:val="clear" w:pos="4819"/>
        <w:tab w:val="left" w:pos="8789"/>
      </w:tabs>
      <w:rPr>
        <w:i/>
        <w:snapToGrid w:val="0"/>
        <w:sz w:val="18"/>
      </w:rPr>
    </w:pPr>
  </w:p>
  <w:p w14:paraId="30718C81" w14:textId="11F0730F" w:rsidR="00302448" w:rsidRDefault="0030244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Pirfenair, filmovertrukne tabletter 267 mg og 801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FA93A" w14:textId="77777777" w:rsidR="00302448" w:rsidRDefault="00302448">
      <w:r>
        <w:separator/>
      </w:r>
    </w:p>
  </w:footnote>
  <w:footnote w:type="continuationSeparator" w:id="0">
    <w:p w14:paraId="5EA894AD" w14:textId="77777777" w:rsidR="00302448" w:rsidRDefault="0030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01B2" w14:textId="77777777" w:rsidR="00302448" w:rsidRDefault="0030244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FD999" w14:textId="77777777" w:rsidR="00302448" w:rsidRDefault="0030244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7AF80" w14:textId="77777777" w:rsidR="00302448" w:rsidRDefault="0030244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8E632DE"/>
    <w:multiLevelType w:val="hybridMultilevel"/>
    <w:tmpl w:val="0E460F80"/>
    <w:lvl w:ilvl="0" w:tplc="035C2F5A">
      <w:numFmt w:val="bullet"/>
      <w:lvlText w:val="●"/>
      <w:lvlJc w:val="left"/>
      <w:pPr>
        <w:ind w:left="838" w:hanging="721"/>
      </w:pPr>
      <w:rPr>
        <w:rFonts w:ascii="Times New Roman" w:eastAsia="Times New Roman" w:hAnsi="Times New Roman" w:cs="Times New Roman" w:hint="default"/>
        <w:w w:val="101"/>
        <w:sz w:val="22"/>
        <w:szCs w:val="22"/>
      </w:rPr>
    </w:lvl>
    <w:lvl w:ilvl="1" w:tplc="FA3EA69E">
      <w:numFmt w:val="bullet"/>
      <w:lvlText w:val="●"/>
      <w:lvlJc w:val="left"/>
      <w:pPr>
        <w:ind w:left="680" w:hanging="202"/>
      </w:pPr>
      <w:rPr>
        <w:rFonts w:ascii="Times New Roman" w:eastAsia="Times New Roman" w:hAnsi="Times New Roman" w:cs="Times New Roman" w:hint="default"/>
        <w:w w:val="101"/>
        <w:sz w:val="22"/>
        <w:szCs w:val="22"/>
      </w:rPr>
    </w:lvl>
    <w:lvl w:ilvl="2" w:tplc="8E12AD0E">
      <w:numFmt w:val="bullet"/>
      <w:lvlText w:val="•"/>
      <w:lvlJc w:val="left"/>
      <w:pPr>
        <w:ind w:left="1776" w:hanging="202"/>
      </w:pPr>
    </w:lvl>
    <w:lvl w:ilvl="3" w:tplc="74EAC14E">
      <w:numFmt w:val="bullet"/>
      <w:lvlText w:val="•"/>
      <w:lvlJc w:val="left"/>
      <w:pPr>
        <w:ind w:left="2713" w:hanging="202"/>
      </w:pPr>
    </w:lvl>
    <w:lvl w:ilvl="4" w:tplc="5D7CD1F6">
      <w:numFmt w:val="bullet"/>
      <w:lvlText w:val="•"/>
      <w:lvlJc w:val="left"/>
      <w:pPr>
        <w:ind w:left="3649" w:hanging="202"/>
      </w:pPr>
    </w:lvl>
    <w:lvl w:ilvl="5" w:tplc="7F1236FA">
      <w:numFmt w:val="bullet"/>
      <w:lvlText w:val="•"/>
      <w:lvlJc w:val="left"/>
      <w:pPr>
        <w:ind w:left="4586" w:hanging="202"/>
      </w:pPr>
    </w:lvl>
    <w:lvl w:ilvl="6" w:tplc="8EBADAF6">
      <w:numFmt w:val="bullet"/>
      <w:lvlText w:val="•"/>
      <w:lvlJc w:val="left"/>
      <w:pPr>
        <w:ind w:left="5522" w:hanging="202"/>
      </w:pPr>
    </w:lvl>
    <w:lvl w:ilvl="7" w:tplc="AFC4804A">
      <w:numFmt w:val="bullet"/>
      <w:lvlText w:val="•"/>
      <w:lvlJc w:val="left"/>
      <w:pPr>
        <w:ind w:left="6459" w:hanging="202"/>
      </w:pPr>
    </w:lvl>
    <w:lvl w:ilvl="8" w:tplc="2C3C47C0">
      <w:numFmt w:val="bullet"/>
      <w:lvlText w:val="•"/>
      <w:lvlJc w:val="left"/>
      <w:pPr>
        <w:ind w:left="7395" w:hanging="202"/>
      </w:pPr>
    </w:lvl>
  </w:abstractNum>
  <w:abstractNum w:abstractNumId="4" w15:restartNumberingAfterBreak="0">
    <w:nsid w:val="37E17656"/>
    <w:multiLevelType w:val="hybridMultilevel"/>
    <w:tmpl w:val="490CC36C"/>
    <w:lvl w:ilvl="0" w:tplc="C3508206">
      <w:start w:val="1"/>
      <w:numFmt w:val="decimal"/>
      <w:lvlText w:val="%1."/>
      <w:lvlJc w:val="left"/>
      <w:pPr>
        <w:ind w:left="679" w:hanging="562"/>
      </w:pPr>
      <w:rPr>
        <w:rFonts w:ascii="Times New Roman" w:eastAsia="Times New Roman" w:hAnsi="Times New Roman" w:cs="Times New Roman" w:hint="default"/>
        <w:w w:val="100"/>
        <w:sz w:val="20"/>
        <w:szCs w:val="20"/>
      </w:rPr>
    </w:lvl>
    <w:lvl w:ilvl="1" w:tplc="7E342678">
      <w:numFmt w:val="bullet"/>
      <w:lvlText w:val="•"/>
      <w:lvlJc w:val="left"/>
      <w:pPr>
        <w:ind w:left="1540" w:hanging="562"/>
      </w:pPr>
    </w:lvl>
    <w:lvl w:ilvl="2" w:tplc="4CB66448">
      <w:numFmt w:val="bullet"/>
      <w:lvlText w:val="•"/>
      <w:lvlJc w:val="left"/>
      <w:pPr>
        <w:ind w:left="2401" w:hanging="562"/>
      </w:pPr>
    </w:lvl>
    <w:lvl w:ilvl="3" w:tplc="AD9E3458">
      <w:numFmt w:val="bullet"/>
      <w:lvlText w:val="•"/>
      <w:lvlJc w:val="left"/>
      <w:pPr>
        <w:ind w:left="3262" w:hanging="562"/>
      </w:pPr>
    </w:lvl>
    <w:lvl w:ilvl="4" w:tplc="8BD87C4A">
      <w:numFmt w:val="bullet"/>
      <w:lvlText w:val="•"/>
      <w:lvlJc w:val="left"/>
      <w:pPr>
        <w:ind w:left="4123" w:hanging="562"/>
      </w:pPr>
    </w:lvl>
    <w:lvl w:ilvl="5" w:tplc="90CC5AA6">
      <w:numFmt w:val="bullet"/>
      <w:lvlText w:val="•"/>
      <w:lvlJc w:val="left"/>
      <w:pPr>
        <w:ind w:left="4984" w:hanging="562"/>
      </w:pPr>
    </w:lvl>
    <w:lvl w:ilvl="6" w:tplc="13CCD99C">
      <w:numFmt w:val="bullet"/>
      <w:lvlText w:val="•"/>
      <w:lvlJc w:val="left"/>
      <w:pPr>
        <w:ind w:left="5845" w:hanging="562"/>
      </w:pPr>
    </w:lvl>
    <w:lvl w:ilvl="7" w:tplc="B30EB896">
      <w:numFmt w:val="bullet"/>
      <w:lvlText w:val="•"/>
      <w:lvlJc w:val="left"/>
      <w:pPr>
        <w:ind w:left="6706" w:hanging="562"/>
      </w:pPr>
    </w:lvl>
    <w:lvl w:ilvl="8" w:tplc="EBC8FE90">
      <w:numFmt w:val="bullet"/>
      <w:lvlText w:val="•"/>
      <w:lvlJc w:val="left"/>
      <w:pPr>
        <w:ind w:left="7567" w:hanging="562"/>
      </w:p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3"/>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03"/>
    <w:rsid w:val="00025083"/>
    <w:rsid w:val="00056601"/>
    <w:rsid w:val="00096FAD"/>
    <w:rsid w:val="000B3210"/>
    <w:rsid w:val="000C3846"/>
    <w:rsid w:val="000C6218"/>
    <w:rsid w:val="000D3C9D"/>
    <w:rsid w:val="000F0D47"/>
    <w:rsid w:val="0012237A"/>
    <w:rsid w:val="001242DE"/>
    <w:rsid w:val="0015078A"/>
    <w:rsid w:val="00180A12"/>
    <w:rsid w:val="00214331"/>
    <w:rsid w:val="00214CF4"/>
    <w:rsid w:val="002410A6"/>
    <w:rsid w:val="002636B7"/>
    <w:rsid w:val="00281F03"/>
    <w:rsid w:val="0029458A"/>
    <w:rsid w:val="002A1587"/>
    <w:rsid w:val="002B27C5"/>
    <w:rsid w:val="00302448"/>
    <w:rsid w:val="00303008"/>
    <w:rsid w:val="00373B55"/>
    <w:rsid w:val="00385884"/>
    <w:rsid w:val="003963F1"/>
    <w:rsid w:val="003D727E"/>
    <w:rsid w:val="003E0341"/>
    <w:rsid w:val="003E3402"/>
    <w:rsid w:val="003F4736"/>
    <w:rsid w:val="00401B49"/>
    <w:rsid w:val="0042292D"/>
    <w:rsid w:val="00440254"/>
    <w:rsid w:val="00471F76"/>
    <w:rsid w:val="004860D3"/>
    <w:rsid w:val="004A3BF4"/>
    <w:rsid w:val="004A5DB3"/>
    <w:rsid w:val="00505ECE"/>
    <w:rsid w:val="005152D9"/>
    <w:rsid w:val="00533AD4"/>
    <w:rsid w:val="00534849"/>
    <w:rsid w:val="00537D62"/>
    <w:rsid w:val="00560102"/>
    <w:rsid w:val="00562EA1"/>
    <w:rsid w:val="005A27AC"/>
    <w:rsid w:val="005A56F3"/>
    <w:rsid w:val="00615A22"/>
    <w:rsid w:val="00617BB8"/>
    <w:rsid w:val="00652FCA"/>
    <w:rsid w:val="00680052"/>
    <w:rsid w:val="00683267"/>
    <w:rsid w:val="006844E9"/>
    <w:rsid w:val="006B3847"/>
    <w:rsid w:val="006D43B4"/>
    <w:rsid w:val="006E72CC"/>
    <w:rsid w:val="00744D43"/>
    <w:rsid w:val="0075453D"/>
    <w:rsid w:val="0076460E"/>
    <w:rsid w:val="007A4CC6"/>
    <w:rsid w:val="007B70E2"/>
    <w:rsid w:val="007C3623"/>
    <w:rsid w:val="007C3FA2"/>
    <w:rsid w:val="007C5D2A"/>
    <w:rsid w:val="007F1E00"/>
    <w:rsid w:val="008171A0"/>
    <w:rsid w:val="008300C8"/>
    <w:rsid w:val="008400E3"/>
    <w:rsid w:val="00840235"/>
    <w:rsid w:val="00864538"/>
    <w:rsid w:val="00873B4F"/>
    <w:rsid w:val="00886B62"/>
    <w:rsid w:val="00890914"/>
    <w:rsid w:val="008A0726"/>
    <w:rsid w:val="008C2989"/>
    <w:rsid w:val="008D00FD"/>
    <w:rsid w:val="008E51AE"/>
    <w:rsid w:val="008F2F8C"/>
    <w:rsid w:val="00911297"/>
    <w:rsid w:val="00932495"/>
    <w:rsid w:val="009843B7"/>
    <w:rsid w:val="009925C9"/>
    <w:rsid w:val="00993D83"/>
    <w:rsid w:val="009B2A7C"/>
    <w:rsid w:val="009D1CC6"/>
    <w:rsid w:val="00A179D0"/>
    <w:rsid w:val="00A358A3"/>
    <w:rsid w:val="00A46747"/>
    <w:rsid w:val="00A6538F"/>
    <w:rsid w:val="00A80446"/>
    <w:rsid w:val="00A85D26"/>
    <w:rsid w:val="00A9153A"/>
    <w:rsid w:val="00AB02E5"/>
    <w:rsid w:val="00AB4376"/>
    <w:rsid w:val="00AC033C"/>
    <w:rsid w:val="00AC2538"/>
    <w:rsid w:val="00AC3F7D"/>
    <w:rsid w:val="00AD2E36"/>
    <w:rsid w:val="00B37C4F"/>
    <w:rsid w:val="00BD3490"/>
    <w:rsid w:val="00BE2B75"/>
    <w:rsid w:val="00BF4303"/>
    <w:rsid w:val="00C01768"/>
    <w:rsid w:val="00C233FD"/>
    <w:rsid w:val="00C26226"/>
    <w:rsid w:val="00C3571D"/>
    <w:rsid w:val="00C54F0B"/>
    <w:rsid w:val="00C7145F"/>
    <w:rsid w:val="00C82621"/>
    <w:rsid w:val="00C90CBC"/>
    <w:rsid w:val="00CA16D5"/>
    <w:rsid w:val="00CB1423"/>
    <w:rsid w:val="00CD42FB"/>
    <w:rsid w:val="00CE2705"/>
    <w:rsid w:val="00D02508"/>
    <w:rsid w:val="00D263DA"/>
    <w:rsid w:val="00D778CC"/>
    <w:rsid w:val="00D81235"/>
    <w:rsid w:val="00D82FE9"/>
    <w:rsid w:val="00D91812"/>
    <w:rsid w:val="00D97B77"/>
    <w:rsid w:val="00DB638A"/>
    <w:rsid w:val="00DB6A85"/>
    <w:rsid w:val="00E06B32"/>
    <w:rsid w:val="00E1290F"/>
    <w:rsid w:val="00E15C44"/>
    <w:rsid w:val="00E16A1D"/>
    <w:rsid w:val="00E36A80"/>
    <w:rsid w:val="00E94C9F"/>
    <w:rsid w:val="00EB21D7"/>
    <w:rsid w:val="00EE3EB7"/>
    <w:rsid w:val="00F14A2E"/>
    <w:rsid w:val="00F327D2"/>
    <w:rsid w:val="00F32EEE"/>
    <w:rsid w:val="00F57E16"/>
    <w:rsid w:val="00F60336"/>
    <w:rsid w:val="00FA11F8"/>
    <w:rsid w:val="00FD652E"/>
    <w:rsid w:val="00FF27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2A2A2"/>
  <w15:chartTrackingRefBased/>
  <w15:docId w15:val="{CA77EB13-A14B-478D-B5A7-B7FE4A04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D00FD"/>
    <w:pPr>
      <w:autoSpaceDE w:val="0"/>
      <w:autoSpaceDN w:val="0"/>
      <w:adjustRightInd w:val="0"/>
    </w:pPr>
    <w:rPr>
      <w:color w:val="000000"/>
      <w:sz w:val="24"/>
      <w:szCs w:val="24"/>
      <w:lang w:val="en-US" w:eastAsia="en-US"/>
    </w:rPr>
  </w:style>
  <w:style w:type="paragraph" w:styleId="Brdtekst">
    <w:name w:val="Body Text"/>
    <w:basedOn w:val="Normal"/>
    <w:link w:val="BrdtekstTegn"/>
    <w:uiPriority w:val="1"/>
    <w:semiHidden/>
    <w:unhideWhenUsed/>
    <w:qFormat/>
    <w:rsid w:val="00DB638A"/>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DB638A"/>
    <w:rPr>
      <w:sz w:val="22"/>
      <w:szCs w:val="22"/>
      <w:lang w:val="en-US" w:eastAsia="en-US"/>
    </w:rPr>
  </w:style>
  <w:style w:type="paragraph" w:styleId="Listeafsnit">
    <w:name w:val="List Paragraph"/>
    <w:basedOn w:val="Normal"/>
    <w:uiPriority w:val="1"/>
    <w:qFormat/>
    <w:rsid w:val="00DB638A"/>
    <w:pPr>
      <w:widowControl w:val="0"/>
      <w:autoSpaceDE w:val="0"/>
      <w:autoSpaceDN w:val="0"/>
      <w:ind w:left="679" w:hanging="720"/>
    </w:pPr>
    <w:rPr>
      <w:sz w:val="22"/>
      <w:szCs w:val="22"/>
      <w:lang w:val="en-US" w:eastAsia="en-US"/>
    </w:rPr>
  </w:style>
  <w:style w:type="paragraph" w:customStyle="1" w:styleId="TableParagraph">
    <w:name w:val="Table Paragraph"/>
    <w:basedOn w:val="Normal"/>
    <w:uiPriority w:val="1"/>
    <w:qFormat/>
    <w:rsid w:val="00DB638A"/>
    <w:pPr>
      <w:widowControl w:val="0"/>
      <w:autoSpaceDE w:val="0"/>
      <w:autoSpaceDN w:val="0"/>
      <w:ind w:left="108"/>
    </w:pPr>
    <w:rPr>
      <w:sz w:val="22"/>
      <w:szCs w:val="22"/>
      <w:lang w:val="en-US" w:eastAsia="en-US"/>
    </w:rPr>
  </w:style>
  <w:style w:type="character" w:styleId="Hyperlink">
    <w:name w:val="Hyperlink"/>
    <w:basedOn w:val="Standardskrifttypeiafsnit"/>
    <w:uiPriority w:val="99"/>
    <w:semiHidden/>
    <w:unhideWhenUsed/>
    <w:rsid w:val="00DB6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986">
      <w:bodyDiv w:val="1"/>
      <w:marLeft w:val="0"/>
      <w:marRight w:val="0"/>
      <w:marTop w:val="0"/>
      <w:marBottom w:val="0"/>
      <w:divBdr>
        <w:top w:val="none" w:sz="0" w:space="0" w:color="auto"/>
        <w:left w:val="none" w:sz="0" w:space="0" w:color="auto"/>
        <w:bottom w:val="none" w:sz="0" w:space="0" w:color="auto"/>
        <w:right w:val="none" w:sz="0" w:space="0" w:color="auto"/>
      </w:divBdr>
    </w:div>
    <w:div w:id="146871949">
      <w:bodyDiv w:val="1"/>
      <w:marLeft w:val="0"/>
      <w:marRight w:val="0"/>
      <w:marTop w:val="0"/>
      <w:marBottom w:val="0"/>
      <w:divBdr>
        <w:top w:val="none" w:sz="0" w:space="0" w:color="auto"/>
        <w:left w:val="none" w:sz="0" w:space="0" w:color="auto"/>
        <w:bottom w:val="none" w:sz="0" w:space="0" w:color="auto"/>
        <w:right w:val="none" w:sz="0" w:space="0" w:color="auto"/>
      </w:divBdr>
    </w:div>
    <w:div w:id="205065723">
      <w:bodyDiv w:val="1"/>
      <w:marLeft w:val="0"/>
      <w:marRight w:val="0"/>
      <w:marTop w:val="0"/>
      <w:marBottom w:val="0"/>
      <w:divBdr>
        <w:top w:val="none" w:sz="0" w:space="0" w:color="auto"/>
        <w:left w:val="none" w:sz="0" w:space="0" w:color="auto"/>
        <w:bottom w:val="none" w:sz="0" w:space="0" w:color="auto"/>
        <w:right w:val="none" w:sz="0" w:space="0" w:color="auto"/>
      </w:divBdr>
    </w:div>
    <w:div w:id="268782687">
      <w:bodyDiv w:val="1"/>
      <w:marLeft w:val="0"/>
      <w:marRight w:val="0"/>
      <w:marTop w:val="0"/>
      <w:marBottom w:val="0"/>
      <w:divBdr>
        <w:top w:val="none" w:sz="0" w:space="0" w:color="auto"/>
        <w:left w:val="none" w:sz="0" w:space="0" w:color="auto"/>
        <w:bottom w:val="none" w:sz="0" w:space="0" w:color="auto"/>
        <w:right w:val="none" w:sz="0" w:space="0" w:color="auto"/>
      </w:divBdr>
    </w:div>
    <w:div w:id="283078184">
      <w:bodyDiv w:val="1"/>
      <w:marLeft w:val="0"/>
      <w:marRight w:val="0"/>
      <w:marTop w:val="0"/>
      <w:marBottom w:val="0"/>
      <w:divBdr>
        <w:top w:val="none" w:sz="0" w:space="0" w:color="auto"/>
        <w:left w:val="none" w:sz="0" w:space="0" w:color="auto"/>
        <w:bottom w:val="none" w:sz="0" w:space="0" w:color="auto"/>
        <w:right w:val="none" w:sz="0" w:space="0" w:color="auto"/>
      </w:divBdr>
    </w:div>
    <w:div w:id="453139066">
      <w:bodyDiv w:val="1"/>
      <w:marLeft w:val="0"/>
      <w:marRight w:val="0"/>
      <w:marTop w:val="0"/>
      <w:marBottom w:val="0"/>
      <w:divBdr>
        <w:top w:val="none" w:sz="0" w:space="0" w:color="auto"/>
        <w:left w:val="none" w:sz="0" w:space="0" w:color="auto"/>
        <w:bottom w:val="none" w:sz="0" w:space="0" w:color="auto"/>
        <w:right w:val="none" w:sz="0" w:space="0" w:color="auto"/>
      </w:divBdr>
    </w:div>
    <w:div w:id="519470096">
      <w:bodyDiv w:val="1"/>
      <w:marLeft w:val="0"/>
      <w:marRight w:val="0"/>
      <w:marTop w:val="0"/>
      <w:marBottom w:val="0"/>
      <w:divBdr>
        <w:top w:val="none" w:sz="0" w:space="0" w:color="auto"/>
        <w:left w:val="none" w:sz="0" w:space="0" w:color="auto"/>
        <w:bottom w:val="none" w:sz="0" w:space="0" w:color="auto"/>
        <w:right w:val="none" w:sz="0" w:space="0" w:color="auto"/>
      </w:divBdr>
    </w:div>
    <w:div w:id="533621124">
      <w:bodyDiv w:val="1"/>
      <w:marLeft w:val="0"/>
      <w:marRight w:val="0"/>
      <w:marTop w:val="0"/>
      <w:marBottom w:val="0"/>
      <w:divBdr>
        <w:top w:val="none" w:sz="0" w:space="0" w:color="auto"/>
        <w:left w:val="none" w:sz="0" w:space="0" w:color="auto"/>
        <w:bottom w:val="none" w:sz="0" w:space="0" w:color="auto"/>
        <w:right w:val="none" w:sz="0" w:space="0" w:color="auto"/>
      </w:divBdr>
    </w:div>
    <w:div w:id="579291619">
      <w:bodyDiv w:val="1"/>
      <w:marLeft w:val="0"/>
      <w:marRight w:val="0"/>
      <w:marTop w:val="0"/>
      <w:marBottom w:val="0"/>
      <w:divBdr>
        <w:top w:val="none" w:sz="0" w:space="0" w:color="auto"/>
        <w:left w:val="none" w:sz="0" w:space="0" w:color="auto"/>
        <w:bottom w:val="none" w:sz="0" w:space="0" w:color="auto"/>
        <w:right w:val="none" w:sz="0" w:space="0" w:color="auto"/>
      </w:divBdr>
    </w:div>
    <w:div w:id="586622506">
      <w:bodyDiv w:val="1"/>
      <w:marLeft w:val="0"/>
      <w:marRight w:val="0"/>
      <w:marTop w:val="0"/>
      <w:marBottom w:val="0"/>
      <w:divBdr>
        <w:top w:val="none" w:sz="0" w:space="0" w:color="auto"/>
        <w:left w:val="none" w:sz="0" w:space="0" w:color="auto"/>
        <w:bottom w:val="none" w:sz="0" w:space="0" w:color="auto"/>
        <w:right w:val="none" w:sz="0" w:space="0" w:color="auto"/>
      </w:divBdr>
    </w:div>
    <w:div w:id="730345418">
      <w:bodyDiv w:val="1"/>
      <w:marLeft w:val="0"/>
      <w:marRight w:val="0"/>
      <w:marTop w:val="0"/>
      <w:marBottom w:val="0"/>
      <w:divBdr>
        <w:top w:val="none" w:sz="0" w:space="0" w:color="auto"/>
        <w:left w:val="none" w:sz="0" w:space="0" w:color="auto"/>
        <w:bottom w:val="none" w:sz="0" w:space="0" w:color="auto"/>
        <w:right w:val="none" w:sz="0" w:space="0" w:color="auto"/>
      </w:divBdr>
    </w:div>
    <w:div w:id="750279079">
      <w:bodyDiv w:val="1"/>
      <w:marLeft w:val="0"/>
      <w:marRight w:val="0"/>
      <w:marTop w:val="0"/>
      <w:marBottom w:val="0"/>
      <w:divBdr>
        <w:top w:val="none" w:sz="0" w:space="0" w:color="auto"/>
        <w:left w:val="none" w:sz="0" w:space="0" w:color="auto"/>
        <w:bottom w:val="none" w:sz="0" w:space="0" w:color="auto"/>
        <w:right w:val="none" w:sz="0" w:space="0" w:color="auto"/>
      </w:divBdr>
    </w:div>
    <w:div w:id="783041076">
      <w:bodyDiv w:val="1"/>
      <w:marLeft w:val="0"/>
      <w:marRight w:val="0"/>
      <w:marTop w:val="0"/>
      <w:marBottom w:val="0"/>
      <w:divBdr>
        <w:top w:val="none" w:sz="0" w:space="0" w:color="auto"/>
        <w:left w:val="none" w:sz="0" w:space="0" w:color="auto"/>
        <w:bottom w:val="none" w:sz="0" w:space="0" w:color="auto"/>
        <w:right w:val="none" w:sz="0" w:space="0" w:color="auto"/>
      </w:divBdr>
    </w:div>
    <w:div w:id="811092654">
      <w:bodyDiv w:val="1"/>
      <w:marLeft w:val="0"/>
      <w:marRight w:val="0"/>
      <w:marTop w:val="0"/>
      <w:marBottom w:val="0"/>
      <w:divBdr>
        <w:top w:val="none" w:sz="0" w:space="0" w:color="auto"/>
        <w:left w:val="none" w:sz="0" w:space="0" w:color="auto"/>
        <w:bottom w:val="none" w:sz="0" w:space="0" w:color="auto"/>
        <w:right w:val="none" w:sz="0" w:space="0" w:color="auto"/>
      </w:divBdr>
    </w:div>
    <w:div w:id="821891455">
      <w:bodyDiv w:val="1"/>
      <w:marLeft w:val="0"/>
      <w:marRight w:val="0"/>
      <w:marTop w:val="0"/>
      <w:marBottom w:val="0"/>
      <w:divBdr>
        <w:top w:val="none" w:sz="0" w:space="0" w:color="auto"/>
        <w:left w:val="none" w:sz="0" w:space="0" w:color="auto"/>
        <w:bottom w:val="none" w:sz="0" w:space="0" w:color="auto"/>
        <w:right w:val="none" w:sz="0" w:space="0" w:color="auto"/>
      </w:divBdr>
    </w:div>
    <w:div w:id="882713838">
      <w:bodyDiv w:val="1"/>
      <w:marLeft w:val="0"/>
      <w:marRight w:val="0"/>
      <w:marTop w:val="0"/>
      <w:marBottom w:val="0"/>
      <w:divBdr>
        <w:top w:val="none" w:sz="0" w:space="0" w:color="auto"/>
        <w:left w:val="none" w:sz="0" w:space="0" w:color="auto"/>
        <w:bottom w:val="none" w:sz="0" w:space="0" w:color="auto"/>
        <w:right w:val="none" w:sz="0" w:space="0" w:color="auto"/>
      </w:divBdr>
    </w:div>
    <w:div w:id="955136614">
      <w:bodyDiv w:val="1"/>
      <w:marLeft w:val="0"/>
      <w:marRight w:val="0"/>
      <w:marTop w:val="0"/>
      <w:marBottom w:val="0"/>
      <w:divBdr>
        <w:top w:val="none" w:sz="0" w:space="0" w:color="auto"/>
        <w:left w:val="none" w:sz="0" w:space="0" w:color="auto"/>
        <w:bottom w:val="none" w:sz="0" w:space="0" w:color="auto"/>
        <w:right w:val="none" w:sz="0" w:space="0" w:color="auto"/>
      </w:divBdr>
    </w:div>
    <w:div w:id="967706023">
      <w:bodyDiv w:val="1"/>
      <w:marLeft w:val="0"/>
      <w:marRight w:val="0"/>
      <w:marTop w:val="0"/>
      <w:marBottom w:val="0"/>
      <w:divBdr>
        <w:top w:val="none" w:sz="0" w:space="0" w:color="auto"/>
        <w:left w:val="none" w:sz="0" w:space="0" w:color="auto"/>
        <w:bottom w:val="none" w:sz="0" w:space="0" w:color="auto"/>
        <w:right w:val="none" w:sz="0" w:space="0" w:color="auto"/>
      </w:divBdr>
    </w:div>
    <w:div w:id="1028528183">
      <w:bodyDiv w:val="1"/>
      <w:marLeft w:val="0"/>
      <w:marRight w:val="0"/>
      <w:marTop w:val="0"/>
      <w:marBottom w:val="0"/>
      <w:divBdr>
        <w:top w:val="none" w:sz="0" w:space="0" w:color="auto"/>
        <w:left w:val="none" w:sz="0" w:space="0" w:color="auto"/>
        <w:bottom w:val="none" w:sz="0" w:space="0" w:color="auto"/>
        <w:right w:val="none" w:sz="0" w:space="0" w:color="auto"/>
      </w:divBdr>
    </w:div>
    <w:div w:id="1051463431">
      <w:bodyDiv w:val="1"/>
      <w:marLeft w:val="0"/>
      <w:marRight w:val="0"/>
      <w:marTop w:val="0"/>
      <w:marBottom w:val="0"/>
      <w:divBdr>
        <w:top w:val="none" w:sz="0" w:space="0" w:color="auto"/>
        <w:left w:val="none" w:sz="0" w:space="0" w:color="auto"/>
        <w:bottom w:val="none" w:sz="0" w:space="0" w:color="auto"/>
        <w:right w:val="none" w:sz="0" w:space="0" w:color="auto"/>
      </w:divBdr>
    </w:div>
    <w:div w:id="1098676307">
      <w:bodyDiv w:val="1"/>
      <w:marLeft w:val="0"/>
      <w:marRight w:val="0"/>
      <w:marTop w:val="0"/>
      <w:marBottom w:val="0"/>
      <w:divBdr>
        <w:top w:val="none" w:sz="0" w:space="0" w:color="auto"/>
        <w:left w:val="none" w:sz="0" w:space="0" w:color="auto"/>
        <w:bottom w:val="none" w:sz="0" w:space="0" w:color="auto"/>
        <w:right w:val="none" w:sz="0" w:space="0" w:color="auto"/>
      </w:divBdr>
    </w:div>
    <w:div w:id="1136995870">
      <w:bodyDiv w:val="1"/>
      <w:marLeft w:val="0"/>
      <w:marRight w:val="0"/>
      <w:marTop w:val="0"/>
      <w:marBottom w:val="0"/>
      <w:divBdr>
        <w:top w:val="none" w:sz="0" w:space="0" w:color="auto"/>
        <w:left w:val="none" w:sz="0" w:space="0" w:color="auto"/>
        <w:bottom w:val="none" w:sz="0" w:space="0" w:color="auto"/>
        <w:right w:val="none" w:sz="0" w:space="0" w:color="auto"/>
      </w:divBdr>
    </w:div>
    <w:div w:id="1190535493">
      <w:bodyDiv w:val="1"/>
      <w:marLeft w:val="0"/>
      <w:marRight w:val="0"/>
      <w:marTop w:val="0"/>
      <w:marBottom w:val="0"/>
      <w:divBdr>
        <w:top w:val="none" w:sz="0" w:space="0" w:color="auto"/>
        <w:left w:val="none" w:sz="0" w:space="0" w:color="auto"/>
        <w:bottom w:val="none" w:sz="0" w:space="0" w:color="auto"/>
        <w:right w:val="none" w:sz="0" w:space="0" w:color="auto"/>
      </w:divBdr>
    </w:div>
    <w:div w:id="1234124560">
      <w:bodyDiv w:val="1"/>
      <w:marLeft w:val="0"/>
      <w:marRight w:val="0"/>
      <w:marTop w:val="0"/>
      <w:marBottom w:val="0"/>
      <w:divBdr>
        <w:top w:val="none" w:sz="0" w:space="0" w:color="auto"/>
        <w:left w:val="none" w:sz="0" w:space="0" w:color="auto"/>
        <w:bottom w:val="none" w:sz="0" w:space="0" w:color="auto"/>
        <w:right w:val="none" w:sz="0" w:space="0" w:color="auto"/>
      </w:divBdr>
    </w:div>
    <w:div w:id="1321931401">
      <w:bodyDiv w:val="1"/>
      <w:marLeft w:val="0"/>
      <w:marRight w:val="0"/>
      <w:marTop w:val="0"/>
      <w:marBottom w:val="0"/>
      <w:divBdr>
        <w:top w:val="none" w:sz="0" w:space="0" w:color="auto"/>
        <w:left w:val="none" w:sz="0" w:space="0" w:color="auto"/>
        <w:bottom w:val="none" w:sz="0" w:space="0" w:color="auto"/>
        <w:right w:val="none" w:sz="0" w:space="0" w:color="auto"/>
      </w:divBdr>
    </w:div>
    <w:div w:id="1452359440">
      <w:bodyDiv w:val="1"/>
      <w:marLeft w:val="0"/>
      <w:marRight w:val="0"/>
      <w:marTop w:val="0"/>
      <w:marBottom w:val="0"/>
      <w:divBdr>
        <w:top w:val="none" w:sz="0" w:space="0" w:color="auto"/>
        <w:left w:val="none" w:sz="0" w:space="0" w:color="auto"/>
        <w:bottom w:val="none" w:sz="0" w:space="0" w:color="auto"/>
        <w:right w:val="none" w:sz="0" w:space="0" w:color="auto"/>
      </w:divBdr>
    </w:div>
    <w:div w:id="1578711008">
      <w:bodyDiv w:val="1"/>
      <w:marLeft w:val="0"/>
      <w:marRight w:val="0"/>
      <w:marTop w:val="0"/>
      <w:marBottom w:val="0"/>
      <w:divBdr>
        <w:top w:val="none" w:sz="0" w:space="0" w:color="auto"/>
        <w:left w:val="none" w:sz="0" w:space="0" w:color="auto"/>
        <w:bottom w:val="none" w:sz="0" w:space="0" w:color="auto"/>
        <w:right w:val="none" w:sz="0" w:space="0" w:color="auto"/>
      </w:divBdr>
    </w:div>
    <w:div w:id="1626813913">
      <w:bodyDiv w:val="1"/>
      <w:marLeft w:val="0"/>
      <w:marRight w:val="0"/>
      <w:marTop w:val="0"/>
      <w:marBottom w:val="0"/>
      <w:divBdr>
        <w:top w:val="none" w:sz="0" w:space="0" w:color="auto"/>
        <w:left w:val="none" w:sz="0" w:space="0" w:color="auto"/>
        <w:bottom w:val="none" w:sz="0" w:space="0" w:color="auto"/>
        <w:right w:val="none" w:sz="0" w:space="0" w:color="auto"/>
      </w:divBdr>
    </w:div>
    <w:div w:id="1633361124">
      <w:bodyDiv w:val="1"/>
      <w:marLeft w:val="0"/>
      <w:marRight w:val="0"/>
      <w:marTop w:val="0"/>
      <w:marBottom w:val="0"/>
      <w:divBdr>
        <w:top w:val="none" w:sz="0" w:space="0" w:color="auto"/>
        <w:left w:val="none" w:sz="0" w:space="0" w:color="auto"/>
        <w:bottom w:val="none" w:sz="0" w:space="0" w:color="auto"/>
        <w:right w:val="none" w:sz="0" w:space="0" w:color="auto"/>
      </w:divBdr>
    </w:div>
    <w:div w:id="1660499000">
      <w:bodyDiv w:val="1"/>
      <w:marLeft w:val="0"/>
      <w:marRight w:val="0"/>
      <w:marTop w:val="0"/>
      <w:marBottom w:val="0"/>
      <w:divBdr>
        <w:top w:val="none" w:sz="0" w:space="0" w:color="auto"/>
        <w:left w:val="none" w:sz="0" w:space="0" w:color="auto"/>
        <w:bottom w:val="none" w:sz="0" w:space="0" w:color="auto"/>
        <w:right w:val="none" w:sz="0" w:space="0" w:color="auto"/>
      </w:divBdr>
    </w:div>
    <w:div w:id="1720323166">
      <w:bodyDiv w:val="1"/>
      <w:marLeft w:val="0"/>
      <w:marRight w:val="0"/>
      <w:marTop w:val="0"/>
      <w:marBottom w:val="0"/>
      <w:divBdr>
        <w:top w:val="none" w:sz="0" w:space="0" w:color="auto"/>
        <w:left w:val="none" w:sz="0" w:space="0" w:color="auto"/>
        <w:bottom w:val="none" w:sz="0" w:space="0" w:color="auto"/>
        <w:right w:val="none" w:sz="0" w:space="0" w:color="auto"/>
      </w:divBdr>
    </w:div>
    <w:div w:id="1727138828">
      <w:bodyDiv w:val="1"/>
      <w:marLeft w:val="0"/>
      <w:marRight w:val="0"/>
      <w:marTop w:val="0"/>
      <w:marBottom w:val="0"/>
      <w:divBdr>
        <w:top w:val="none" w:sz="0" w:space="0" w:color="auto"/>
        <w:left w:val="none" w:sz="0" w:space="0" w:color="auto"/>
        <w:bottom w:val="none" w:sz="0" w:space="0" w:color="auto"/>
        <w:right w:val="none" w:sz="0" w:space="0" w:color="auto"/>
      </w:divBdr>
    </w:div>
    <w:div w:id="1742868341">
      <w:bodyDiv w:val="1"/>
      <w:marLeft w:val="0"/>
      <w:marRight w:val="0"/>
      <w:marTop w:val="0"/>
      <w:marBottom w:val="0"/>
      <w:divBdr>
        <w:top w:val="none" w:sz="0" w:space="0" w:color="auto"/>
        <w:left w:val="none" w:sz="0" w:space="0" w:color="auto"/>
        <w:bottom w:val="none" w:sz="0" w:space="0" w:color="auto"/>
        <w:right w:val="none" w:sz="0" w:space="0" w:color="auto"/>
      </w:divBdr>
    </w:div>
    <w:div w:id="1853179492">
      <w:bodyDiv w:val="1"/>
      <w:marLeft w:val="0"/>
      <w:marRight w:val="0"/>
      <w:marTop w:val="0"/>
      <w:marBottom w:val="0"/>
      <w:divBdr>
        <w:top w:val="none" w:sz="0" w:space="0" w:color="auto"/>
        <w:left w:val="none" w:sz="0" w:space="0" w:color="auto"/>
        <w:bottom w:val="none" w:sz="0" w:space="0" w:color="auto"/>
        <w:right w:val="none" w:sz="0" w:space="0" w:color="auto"/>
      </w:divBdr>
    </w:div>
    <w:div w:id="1864242252">
      <w:bodyDiv w:val="1"/>
      <w:marLeft w:val="0"/>
      <w:marRight w:val="0"/>
      <w:marTop w:val="0"/>
      <w:marBottom w:val="0"/>
      <w:divBdr>
        <w:top w:val="none" w:sz="0" w:space="0" w:color="auto"/>
        <w:left w:val="none" w:sz="0" w:space="0" w:color="auto"/>
        <w:bottom w:val="none" w:sz="0" w:space="0" w:color="auto"/>
        <w:right w:val="none" w:sz="0" w:space="0" w:color="auto"/>
      </w:divBdr>
    </w:div>
    <w:div w:id="1925528347">
      <w:bodyDiv w:val="1"/>
      <w:marLeft w:val="0"/>
      <w:marRight w:val="0"/>
      <w:marTop w:val="0"/>
      <w:marBottom w:val="0"/>
      <w:divBdr>
        <w:top w:val="none" w:sz="0" w:space="0" w:color="auto"/>
        <w:left w:val="none" w:sz="0" w:space="0" w:color="auto"/>
        <w:bottom w:val="none" w:sz="0" w:space="0" w:color="auto"/>
        <w:right w:val="none" w:sz="0" w:space="0" w:color="auto"/>
      </w:divBdr>
    </w:div>
    <w:div w:id="1957130686">
      <w:bodyDiv w:val="1"/>
      <w:marLeft w:val="0"/>
      <w:marRight w:val="0"/>
      <w:marTop w:val="0"/>
      <w:marBottom w:val="0"/>
      <w:divBdr>
        <w:top w:val="none" w:sz="0" w:space="0" w:color="auto"/>
        <w:left w:val="none" w:sz="0" w:space="0" w:color="auto"/>
        <w:bottom w:val="none" w:sz="0" w:space="0" w:color="auto"/>
        <w:right w:val="none" w:sz="0" w:space="0" w:color="auto"/>
      </w:divBdr>
    </w:div>
    <w:div w:id="1967924287">
      <w:bodyDiv w:val="1"/>
      <w:marLeft w:val="0"/>
      <w:marRight w:val="0"/>
      <w:marTop w:val="0"/>
      <w:marBottom w:val="0"/>
      <w:divBdr>
        <w:top w:val="none" w:sz="0" w:space="0" w:color="auto"/>
        <w:left w:val="none" w:sz="0" w:space="0" w:color="auto"/>
        <w:bottom w:val="none" w:sz="0" w:space="0" w:color="auto"/>
        <w:right w:val="none" w:sz="0" w:space="0" w:color="auto"/>
      </w:divBdr>
    </w:div>
    <w:div w:id="2009940149">
      <w:bodyDiv w:val="1"/>
      <w:marLeft w:val="0"/>
      <w:marRight w:val="0"/>
      <w:marTop w:val="0"/>
      <w:marBottom w:val="0"/>
      <w:divBdr>
        <w:top w:val="none" w:sz="0" w:space="0" w:color="auto"/>
        <w:left w:val="none" w:sz="0" w:space="0" w:color="auto"/>
        <w:bottom w:val="none" w:sz="0" w:space="0" w:color="auto"/>
        <w:right w:val="none" w:sz="0" w:space="0" w:color="auto"/>
      </w:divBdr>
    </w:div>
    <w:div w:id="2035421094">
      <w:bodyDiv w:val="1"/>
      <w:marLeft w:val="0"/>
      <w:marRight w:val="0"/>
      <w:marTop w:val="0"/>
      <w:marBottom w:val="0"/>
      <w:divBdr>
        <w:top w:val="none" w:sz="0" w:space="0" w:color="auto"/>
        <w:left w:val="none" w:sz="0" w:space="0" w:color="auto"/>
        <w:bottom w:val="none" w:sz="0" w:space="0" w:color="auto"/>
        <w:right w:val="none" w:sz="0" w:space="0" w:color="auto"/>
      </w:divBdr>
    </w:div>
    <w:div w:id="2089031074">
      <w:bodyDiv w:val="1"/>
      <w:marLeft w:val="0"/>
      <w:marRight w:val="0"/>
      <w:marTop w:val="0"/>
      <w:marBottom w:val="0"/>
      <w:divBdr>
        <w:top w:val="none" w:sz="0" w:space="0" w:color="auto"/>
        <w:left w:val="none" w:sz="0" w:space="0" w:color="auto"/>
        <w:bottom w:val="none" w:sz="0" w:space="0" w:color="auto"/>
        <w:right w:val="none" w:sz="0" w:space="0" w:color="auto"/>
      </w:divBdr>
    </w:div>
    <w:div w:id="21182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5999</Words>
  <Characters>34803</Characters>
  <Application>Microsoft Office Word</Application>
  <DocSecurity>0</DocSecurity>
  <Lines>290</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2023090288, WS258, opdatering iht reference produkt</dc:description>
  <cp:lastModifiedBy>Gitte Jørgensen</cp:lastModifiedBy>
  <cp:revision>8</cp:revision>
  <cp:lastPrinted>2006-02-24T09:31:00Z</cp:lastPrinted>
  <dcterms:created xsi:type="dcterms:W3CDTF">2024-05-21T08:28:00Z</dcterms:created>
  <dcterms:modified xsi:type="dcterms:W3CDTF">2024-05-21T08:48:00Z</dcterms:modified>
</cp:coreProperties>
</file>