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145" w:rsidRPr="008F49E1" w:rsidRDefault="00AB7145" w:rsidP="00AB7145">
      <w:pPr>
        <w:rPr>
          <w:sz w:val="24"/>
          <w:szCs w:val="24"/>
        </w:rPr>
      </w:pPr>
      <w:r w:rsidRPr="009260DE">
        <w:rPr>
          <w:noProof/>
          <w:sz w:val="24"/>
          <w:szCs w:val="24"/>
          <w:lang w:eastAsia="da-DK"/>
        </w:rPr>
        <w:drawing>
          <wp:anchor distT="0" distB="0" distL="114300" distR="114300" simplePos="0" relativeHeight="251659264" behindDoc="0" locked="0" layoutInCell="1" allowOverlap="1" wp14:anchorId="443D96ED" wp14:editId="09D3DF7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B7145" w:rsidRPr="00C84483" w:rsidRDefault="00AB7145" w:rsidP="00AB7145">
      <w:pPr>
        <w:pStyle w:val="Titel"/>
        <w:tabs>
          <w:tab w:val="right" w:pos="9356"/>
        </w:tabs>
        <w:jc w:val="left"/>
        <w:rPr>
          <w:b w:val="0"/>
          <w:szCs w:val="24"/>
          <w:lang w:eastAsia="en-US"/>
        </w:rPr>
      </w:pPr>
      <w:r w:rsidRPr="00C84483">
        <w:rPr>
          <w:b w:val="0"/>
          <w:szCs w:val="24"/>
          <w:lang w:eastAsia="en-US"/>
        </w:rPr>
        <w:tab/>
      </w:r>
      <w:r w:rsidR="00E054FA">
        <w:rPr>
          <w:szCs w:val="24"/>
        </w:rPr>
        <w:t>3</w:t>
      </w:r>
      <w:r w:rsidR="00CD15A4">
        <w:rPr>
          <w:szCs w:val="24"/>
        </w:rPr>
        <w:t xml:space="preserve">. </w:t>
      </w:r>
      <w:r w:rsidR="00E054FA">
        <w:rPr>
          <w:szCs w:val="24"/>
        </w:rPr>
        <w:t>marts</w:t>
      </w:r>
      <w:r w:rsidR="00CD15A4">
        <w:rPr>
          <w:szCs w:val="24"/>
        </w:rPr>
        <w:t xml:space="preserve"> 202</w:t>
      </w:r>
      <w:r w:rsidR="00E054FA">
        <w:rPr>
          <w:szCs w:val="24"/>
        </w:rPr>
        <w:t>5</w:t>
      </w:r>
    </w:p>
    <w:p w:rsidR="00AB7145" w:rsidRPr="00C84483" w:rsidRDefault="00AB7145" w:rsidP="00AB7145">
      <w:pPr>
        <w:pStyle w:val="Titel"/>
        <w:jc w:val="left"/>
        <w:rPr>
          <w:b w:val="0"/>
          <w:szCs w:val="24"/>
        </w:rPr>
      </w:pPr>
    </w:p>
    <w:p w:rsidR="00AB7145" w:rsidRPr="00C84483" w:rsidRDefault="00AB7145" w:rsidP="00AB7145">
      <w:pPr>
        <w:pStyle w:val="Titel"/>
        <w:jc w:val="left"/>
        <w:rPr>
          <w:b w:val="0"/>
          <w:szCs w:val="24"/>
        </w:rPr>
      </w:pPr>
    </w:p>
    <w:p w:rsidR="00AB7145" w:rsidRPr="00C84483" w:rsidRDefault="00AB7145" w:rsidP="00AB7145">
      <w:pPr>
        <w:jc w:val="center"/>
        <w:rPr>
          <w:b/>
          <w:sz w:val="24"/>
          <w:szCs w:val="24"/>
        </w:rPr>
      </w:pPr>
      <w:r w:rsidRPr="00C84483">
        <w:rPr>
          <w:b/>
          <w:sz w:val="24"/>
          <w:szCs w:val="24"/>
        </w:rPr>
        <w:t>PRODUKTRESUMÉ</w:t>
      </w:r>
    </w:p>
    <w:p w:rsidR="00AB7145" w:rsidRPr="00C84483" w:rsidRDefault="00AB7145" w:rsidP="00AB7145">
      <w:pPr>
        <w:jc w:val="center"/>
        <w:rPr>
          <w:b/>
          <w:sz w:val="24"/>
          <w:szCs w:val="24"/>
        </w:rPr>
      </w:pPr>
    </w:p>
    <w:p w:rsidR="00AB7145" w:rsidRDefault="001E6DBB" w:rsidP="00A95F65">
      <w:pPr>
        <w:tabs>
          <w:tab w:val="left" w:pos="210"/>
          <w:tab w:val="center" w:pos="4819"/>
        </w:tabs>
        <w:rPr>
          <w:b/>
          <w:sz w:val="24"/>
          <w:szCs w:val="24"/>
        </w:rPr>
      </w:pPr>
      <w:r>
        <w:rPr>
          <w:b/>
          <w:sz w:val="24"/>
          <w:szCs w:val="24"/>
        </w:rPr>
        <w:tab/>
      </w:r>
      <w:r w:rsidR="00A95F65">
        <w:rPr>
          <w:b/>
          <w:sz w:val="24"/>
          <w:szCs w:val="24"/>
        </w:rPr>
        <w:tab/>
      </w:r>
      <w:r w:rsidR="00AB7145" w:rsidRPr="00C84483">
        <w:rPr>
          <w:b/>
          <w:sz w:val="24"/>
          <w:szCs w:val="24"/>
        </w:rPr>
        <w:t>for</w:t>
      </w:r>
    </w:p>
    <w:p w:rsidR="00AB7145" w:rsidRPr="00C84483" w:rsidRDefault="00AB7145" w:rsidP="00AB7145">
      <w:pPr>
        <w:jc w:val="center"/>
        <w:rPr>
          <w:b/>
          <w:sz w:val="24"/>
          <w:szCs w:val="24"/>
        </w:rPr>
      </w:pPr>
    </w:p>
    <w:p w:rsidR="00AB7145" w:rsidRPr="00C84483" w:rsidRDefault="00AB7145" w:rsidP="00AB7145">
      <w:pPr>
        <w:jc w:val="center"/>
        <w:rPr>
          <w:b/>
          <w:sz w:val="24"/>
          <w:szCs w:val="24"/>
        </w:rPr>
      </w:pPr>
      <w:proofErr w:type="spellStart"/>
      <w:r>
        <w:rPr>
          <w:b/>
          <w:sz w:val="24"/>
          <w:szCs w:val="24"/>
        </w:rPr>
        <w:t>Plenvu</w:t>
      </w:r>
      <w:proofErr w:type="spellEnd"/>
      <w:r>
        <w:rPr>
          <w:b/>
          <w:sz w:val="24"/>
          <w:szCs w:val="24"/>
        </w:rPr>
        <w:t>, pulver til oral opløsning</w:t>
      </w:r>
    </w:p>
    <w:p w:rsidR="00AB7145" w:rsidRPr="00C84483" w:rsidRDefault="00AB7145" w:rsidP="00AB7145">
      <w:pPr>
        <w:jc w:val="both"/>
        <w:rPr>
          <w:sz w:val="24"/>
          <w:szCs w:val="24"/>
        </w:rPr>
      </w:pPr>
    </w:p>
    <w:p w:rsidR="00AB7145" w:rsidRPr="00CB242B" w:rsidRDefault="00AB7145" w:rsidP="00AB7145">
      <w:pPr>
        <w:ind w:left="851" w:hanging="851"/>
        <w:jc w:val="both"/>
        <w:rPr>
          <w:sz w:val="24"/>
          <w:szCs w:val="24"/>
        </w:rPr>
      </w:pPr>
    </w:p>
    <w:p w:rsidR="00AB7145" w:rsidRPr="00CB242B" w:rsidRDefault="00AB7145" w:rsidP="00AB7145">
      <w:pPr>
        <w:ind w:left="851" w:hanging="851"/>
        <w:rPr>
          <w:b/>
          <w:sz w:val="24"/>
          <w:szCs w:val="24"/>
        </w:rPr>
      </w:pPr>
      <w:r w:rsidRPr="00CB242B">
        <w:rPr>
          <w:b/>
          <w:sz w:val="24"/>
          <w:szCs w:val="24"/>
        </w:rPr>
        <w:t>0.</w:t>
      </w:r>
      <w:r w:rsidRPr="00CB242B">
        <w:rPr>
          <w:b/>
          <w:sz w:val="24"/>
          <w:szCs w:val="24"/>
        </w:rPr>
        <w:tab/>
        <w:t>D.SP.NR.</w:t>
      </w:r>
    </w:p>
    <w:p w:rsidR="00AB7145" w:rsidRPr="00CB242B" w:rsidRDefault="00AB7145" w:rsidP="00AB7145">
      <w:pPr>
        <w:ind w:left="851"/>
        <w:rPr>
          <w:sz w:val="24"/>
          <w:szCs w:val="24"/>
        </w:rPr>
      </w:pPr>
      <w:r w:rsidRPr="00CB242B">
        <w:rPr>
          <w:sz w:val="24"/>
          <w:szCs w:val="24"/>
        </w:rPr>
        <w:t>30534</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1.</w:t>
      </w:r>
      <w:r w:rsidRPr="00CB242B">
        <w:rPr>
          <w:b/>
          <w:sz w:val="24"/>
          <w:szCs w:val="24"/>
        </w:rPr>
        <w:tab/>
        <w:t>LÆGEMIDLETS NAVN</w:t>
      </w:r>
    </w:p>
    <w:p w:rsidR="00AB7145" w:rsidRPr="00CB242B" w:rsidRDefault="00AB7145" w:rsidP="00AB7145">
      <w:pPr>
        <w:ind w:left="851"/>
        <w:rPr>
          <w:sz w:val="24"/>
          <w:szCs w:val="24"/>
        </w:rPr>
      </w:pPr>
      <w:proofErr w:type="spellStart"/>
      <w:r w:rsidRPr="00CB242B">
        <w:rPr>
          <w:sz w:val="24"/>
          <w:szCs w:val="24"/>
        </w:rPr>
        <w:t>Plenvu</w:t>
      </w:r>
      <w:proofErr w:type="spellEnd"/>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2.</w:t>
      </w:r>
      <w:r w:rsidRPr="00CB242B">
        <w:rPr>
          <w:b/>
          <w:sz w:val="24"/>
          <w:szCs w:val="24"/>
        </w:rPr>
        <w:tab/>
        <w:t>KVALITATIV OG KVANTITATIV SAMMENSÆTNING</w:t>
      </w:r>
    </w:p>
    <w:p w:rsidR="00AB7145" w:rsidRPr="00CB242B" w:rsidRDefault="00AB7145" w:rsidP="00AB7145">
      <w:pPr>
        <w:ind w:left="851"/>
        <w:rPr>
          <w:sz w:val="24"/>
          <w:szCs w:val="24"/>
        </w:rPr>
      </w:pPr>
      <w:proofErr w:type="spellStart"/>
      <w:r w:rsidRPr="00CB242B">
        <w:rPr>
          <w:sz w:val="24"/>
          <w:szCs w:val="24"/>
        </w:rPr>
        <w:t>Plenvus</w:t>
      </w:r>
      <w:proofErr w:type="spellEnd"/>
      <w:r w:rsidRPr="00CB242B">
        <w:rPr>
          <w:sz w:val="24"/>
          <w:szCs w:val="24"/>
        </w:rPr>
        <w:t xml:space="preserve"> indholdsstoffer er pakket i tre separate breve. Den første dosis leveres i ét brev og den anden dosis leveres i to breve, A og B.</w:t>
      </w:r>
    </w:p>
    <w:p w:rsidR="00AB7145" w:rsidRPr="00CB242B" w:rsidRDefault="00AB7145" w:rsidP="00AB7145">
      <w:pPr>
        <w:ind w:left="851"/>
        <w:rPr>
          <w:bCs/>
          <w:sz w:val="24"/>
          <w:szCs w:val="24"/>
        </w:rPr>
      </w:pPr>
    </w:p>
    <w:p w:rsidR="001C76E0" w:rsidRPr="009E2480" w:rsidRDefault="00AB7145" w:rsidP="001C76E0">
      <w:pPr>
        <w:ind w:left="851" w:right="-23"/>
        <w:jc w:val="both"/>
        <w:rPr>
          <w:sz w:val="24"/>
          <w:szCs w:val="24"/>
        </w:rPr>
      </w:pPr>
      <w:r w:rsidRPr="00CB242B">
        <w:rPr>
          <w:b/>
          <w:bCs/>
          <w:sz w:val="24"/>
          <w:szCs w:val="24"/>
        </w:rPr>
        <w:t xml:space="preserve">Brevet med dosis nr. 1 </w:t>
      </w:r>
      <w:r w:rsidRPr="00CB242B">
        <w:rPr>
          <w:bCs/>
          <w:sz w:val="24"/>
          <w:szCs w:val="24"/>
        </w:rPr>
        <w:t xml:space="preserve">indeholder følgende aktive </w:t>
      </w:r>
      <w:r w:rsidR="001C76E0" w:rsidRPr="009E2480">
        <w:rPr>
          <w:bCs/>
          <w:sz w:val="24"/>
          <w:szCs w:val="24"/>
        </w:rPr>
        <w:t>stoffer</w:t>
      </w:r>
      <w:r w:rsidR="001C76E0" w:rsidRPr="009E2480">
        <w:rPr>
          <w:sz w:val="24"/>
          <w:szCs w:val="24"/>
        </w:rPr>
        <w:t>:</w:t>
      </w:r>
    </w:p>
    <w:p w:rsidR="00AB7145" w:rsidRDefault="00AB7145" w:rsidP="00AB7145">
      <w:pPr>
        <w:ind w:left="851" w:right="-23"/>
        <w:jc w:val="both"/>
        <w:rPr>
          <w:sz w:val="24"/>
          <w:szCs w:val="24"/>
        </w:rPr>
      </w:pPr>
    </w:p>
    <w:p w:rsidR="00AB7145" w:rsidRDefault="00AB7145" w:rsidP="00AB7145">
      <w:pPr>
        <w:ind w:left="851" w:right="-23"/>
        <w:jc w:val="both"/>
        <w:rPr>
          <w:sz w:val="24"/>
          <w:szCs w:val="24"/>
        </w:rPr>
      </w:pPr>
    </w:p>
    <w:tbl>
      <w:tblPr>
        <w:tblStyle w:val="Tabel-Git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1276"/>
      </w:tblGrid>
      <w:tr w:rsidR="00AB7145" w:rsidTr="0014266F">
        <w:tc>
          <w:tcPr>
            <w:tcW w:w="2688" w:type="dxa"/>
          </w:tcPr>
          <w:p w:rsidR="00AB7145" w:rsidRDefault="00AB7145" w:rsidP="0014266F">
            <w:pPr>
              <w:ind w:left="33" w:right="-23"/>
              <w:jc w:val="both"/>
              <w:rPr>
                <w:sz w:val="24"/>
                <w:szCs w:val="24"/>
              </w:rPr>
            </w:pPr>
            <w:proofErr w:type="spellStart"/>
            <w:r w:rsidRPr="00CB242B">
              <w:rPr>
                <w:sz w:val="24"/>
                <w:szCs w:val="24"/>
              </w:rPr>
              <w:t>Macrogol</w:t>
            </w:r>
            <w:proofErr w:type="spellEnd"/>
            <w:r w:rsidRPr="00CB242B">
              <w:rPr>
                <w:sz w:val="24"/>
                <w:szCs w:val="24"/>
              </w:rPr>
              <w:t xml:space="preserve"> 3350</w:t>
            </w:r>
          </w:p>
        </w:tc>
        <w:tc>
          <w:tcPr>
            <w:tcW w:w="1276" w:type="dxa"/>
          </w:tcPr>
          <w:p w:rsidR="00AB7145" w:rsidRDefault="00AB7145" w:rsidP="0014266F">
            <w:pPr>
              <w:ind w:left="33" w:right="-23"/>
              <w:jc w:val="right"/>
              <w:rPr>
                <w:sz w:val="24"/>
                <w:szCs w:val="24"/>
              </w:rPr>
            </w:pPr>
            <w:r>
              <w:rPr>
                <w:sz w:val="24"/>
                <w:szCs w:val="24"/>
              </w:rPr>
              <w:t>100 g</w:t>
            </w:r>
          </w:p>
        </w:tc>
      </w:tr>
      <w:tr w:rsidR="00AB7145" w:rsidTr="0014266F">
        <w:tc>
          <w:tcPr>
            <w:tcW w:w="2688" w:type="dxa"/>
          </w:tcPr>
          <w:p w:rsidR="00AB7145" w:rsidRDefault="00AB7145" w:rsidP="0014266F">
            <w:pPr>
              <w:ind w:left="33" w:right="-23"/>
              <w:jc w:val="both"/>
              <w:rPr>
                <w:sz w:val="24"/>
                <w:szCs w:val="24"/>
              </w:rPr>
            </w:pPr>
            <w:r w:rsidRPr="00CB242B">
              <w:rPr>
                <w:sz w:val="24"/>
                <w:szCs w:val="24"/>
              </w:rPr>
              <w:t>Natriumsulfat, vandfri</w:t>
            </w:r>
          </w:p>
        </w:tc>
        <w:tc>
          <w:tcPr>
            <w:tcW w:w="1276" w:type="dxa"/>
          </w:tcPr>
          <w:p w:rsidR="00AB7145" w:rsidRDefault="00AB7145" w:rsidP="0014266F">
            <w:pPr>
              <w:ind w:left="33" w:right="-23"/>
              <w:jc w:val="right"/>
              <w:rPr>
                <w:sz w:val="24"/>
                <w:szCs w:val="24"/>
              </w:rPr>
            </w:pPr>
            <w:r>
              <w:rPr>
                <w:sz w:val="24"/>
                <w:szCs w:val="24"/>
              </w:rPr>
              <w:t>9 g</w:t>
            </w:r>
          </w:p>
        </w:tc>
      </w:tr>
      <w:tr w:rsidR="00AB7145" w:rsidTr="0014266F">
        <w:tc>
          <w:tcPr>
            <w:tcW w:w="2688" w:type="dxa"/>
          </w:tcPr>
          <w:p w:rsidR="00AB7145" w:rsidRDefault="00AB7145" w:rsidP="0014266F">
            <w:pPr>
              <w:ind w:left="33" w:right="-23"/>
              <w:jc w:val="both"/>
              <w:rPr>
                <w:sz w:val="24"/>
                <w:szCs w:val="24"/>
              </w:rPr>
            </w:pPr>
            <w:proofErr w:type="spellStart"/>
            <w:r w:rsidRPr="00CB242B">
              <w:rPr>
                <w:sz w:val="24"/>
                <w:szCs w:val="24"/>
              </w:rPr>
              <w:t>Natriumchlorid</w:t>
            </w:r>
            <w:proofErr w:type="spellEnd"/>
          </w:p>
        </w:tc>
        <w:tc>
          <w:tcPr>
            <w:tcW w:w="1276" w:type="dxa"/>
          </w:tcPr>
          <w:p w:rsidR="00AB7145" w:rsidRDefault="00AB7145" w:rsidP="0014266F">
            <w:pPr>
              <w:ind w:left="33" w:right="-23"/>
              <w:jc w:val="right"/>
              <w:rPr>
                <w:sz w:val="24"/>
                <w:szCs w:val="24"/>
              </w:rPr>
            </w:pPr>
            <w:r>
              <w:rPr>
                <w:sz w:val="24"/>
                <w:szCs w:val="24"/>
              </w:rPr>
              <w:t>2 g</w:t>
            </w:r>
          </w:p>
        </w:tc>
      </w:tr>
      <w:tr w:rsidR="00AB7145" w:rsidTr="0014266F">
        <w:tc>
          <w:tcPr>
            <w:tcW w:w="2688" w:type="dxa"/>
          </w:tcPr>
          <w:p w:rsidR="00AB7145" w:rsidRDefault="00AB7145" w:rsidP="0014266F">
            <w:pPr>
              <w:ind w:left="33" w:right="-23"/>
              <w:jc w:val="both"/>
              <w:rPr>
                <w:sz w:val="24"/>
                <w:szCs w:val="24"/>
              </w:rPr>
            </w:pPr>
            <w:proofErr w:type="spellStart"/>
            <w:r w:rsidRPr="00CB242B">
              <w:rPr>
                <w:sz w:val="24"/>
                <w:szCs w:val="24"/>
              </w:rPr>
              <w:t>Kaliumchlorid</w:t>
            </w:r>
            <w:proofErr w:type="spellEnd"/>
          </w:p>
        </w:tc>
        <w:tc>
          <w:tcPr>
            <w:tcW w:w="1276" w:type="dxa"/>
          </w:tcPr>
          <w:p w:rsidR="00AB7145" w:rsidRDefault="00AB7145" w:rsidP="0014266F">
            <w:pPr>
              <w:ind w:left="33" w:right="-23"/>
              <w:jc w:val="right"/>
              <w:rPr>
                <w:sz w:val="24"/>
                <w:szCs w:val="24"/>
              </w:rPr>
            </w:pPr>
            <w:r>
              <w:rPr>
                <w:sz w:val="24"/>
                <w:szCs w:val="24"/>
              </w:rPr>
              <w:t>1 g</w:t>
            </w:r>
          </w:p>
        </w:tc>
      </w:tr>
    </w:tbl>
    <w:p w:rsidR="00AB7145" w:rsidRPr="00CB242B" w:rsidRDefault="00AB7145" w:rsidP="0014266F">
      <w:pPr>
        <w:ind w:left="-142" w:hanging="851"/>
        <w:jc w:val="both"/>
        <w:rPr>
          <w:sz w:val="24"/>
          <w:szCs w:val="24"/>
        </w:rPr>
      </w:pPr>
    </w:p>
    <w:p w:rsidR="00AB7145" w:rsidRDefault="00AB7145" w:rsidP="00AB7145">
      <w:pPr>
        <w:ind w:left="851"/>
        <w:jc w:val="both"/>
        <w:rPr>
          <w:sz w:val="24"/>
          <w:szCs w:val="24"/>
        </w:rPr>
      </w:pPr>
      <w:r w:rsidRPr="00CB242B">
        <w:rPr>
          <w:sz w:val="24"/>
          <w:szCs w:val="24"/>
        </w:rPr>
        <w:t>Elektrolytkoncentrationen i 500 ml opløsning, når dosis nr. 1 er anvendt, er som følger:</w:t>
      </w:r>
    </w:p>
    <w:p w:rsidR="00AB7145" w:rsidRDefault="00AB7145" w:rsidP="00AB7145">
      <w:pPr>
        <w:ind w:left="851"/>
        <w:jc w:val="both"/>
        <w:rPr>
          <w:sz w:val="24"/>
          <w:szCs w:val="24"/>
        </w:rPr>
      </w:pPr>
    </w:p>
    <w:tbl>
      <w:tblPr>
        <w:tblStyle w:val="Tabel-Git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51"/>
      </w:tblGrid>
      <w:tr w:rsidR="00AB7145" w:rsidTr="0014266F">
        <w:tc>
          <w:tcPr>
            <w:tcW w:w="1838" w:type="dxa"/>
          </w:tcPr>
          <w:p w:rsidR="00AB7145" w:rsidRDefault="00AB7145" w:rsidP="003B4BCE">
            <w:pPr>
              <w:jc w:val="both"/>
              <w:rPr>
                <w:sz w:val="24"/>
                <w:szCs w:val="24"/>
              </w:rPr>
            </w:pPr>
            <w:r w:rsidRPr="00CB242B">
              <w:rPr>
                <w:sz w:val="24"/>
                <w:szCs w:val="24"/>
              </w:rPr>
              <w:t>Natrium</w:t>
            </w:r>
          </w:p>
        </w:tc>
        <w:tc>
          <w:tcPr>
            <w:tcW w:w="2551" w:type="dxa"/>
          </w:tcPr>
          <w:p w:rsidR="00AB7145" w:rsidRDefault="00AB7145" w:rsidP="003B4BCE">
            <w:pPr>
              <w:jc w:val="right"/>
              <w:rPr>
                <w:sz w:val="24"/>
                <w:szCs w:val="24"/>
              </w:rPr>
            </w:pPr>
            <w:r w:rsidRPr="00CB242B">
              <w:rPr>
                <w:sz w:val="24"/>
                <w:szCs w:val="24"/>
              </w:rPr>
              <w:t>160,9 mmol/500 ml</w:t>
            </w:r>
          </w:p>
        </w:tc>
      </w:tr>
      <w:tr w:rsidR="00AB7145" w:rsidTr="0014266F">
        <w:tc>
          <w:tcPr>
            <w:tcW w:w="1838" w:type="dxa"/>
          </w:tcPr>
          <w:p w:rsidR="00AB7145" w:rsidRDefault="00AB7145" w:rsidP="003B4BCE">
            <w:pPr>
              <w:jc w:val="both"/>
              <w:rPr>
                <w:sz w:val="24"/>
                <w:szCs w:val="24"/>
              </w:rPr>
            </w:pPr>
            <w:r w:rsidRPr="00CB242B">
              <w:rPr>
                <w:sz w:val="24"/>
                <w:szCs w:val="24"/>
              </w:rPr>
              <w:t>Sulfat</w:t>
            </w:r>
          </w:p>
        </w:tc>
        <w:tc>
          <w:tcPr>
            <w:tcW w:w="2551" w:type="dxa"/>
          </w:tcPr>
          <w:p w:rsidR="00AB7145" w:rsidRDefault="00AB7145" w:rsidP="003B4BCE">
            <w:pPr>
              <w:jc w:val="right"/>
              <w:rPr>
                <w:sz w:val="24"/>
                <w:szCs w:val="24"/>
              </w:rPr>
            </w:pPr>
            <w:r w:rsidRPr="00CB242B">
              <w:rPr>
                <w:sz w:val="24"/>
                <w:szCs w:val="24"/>
              </w:rPr>
              <w:t>63,4 mmol/500 ml</w:t>
            </w:r>
          </w:p>
        </w:tc>
      </w:tr>
      <w:tr w:rsidR="00AB7145" w:rsidTr="0014266F">
        <w:tc>
          <w:tcPr>
            <w:tcW w:w="1838" w:type="dxa"/>
          </w:tcPr>
          <w:p w:rsidR="00AB7145" w:rsidRDefault="00AB7145" w:rsidP="003B4BCE">
            <w:pPr>
              <w:jc w:val="both"/>
              <w:rPr>
                <w:sz w:val="24"/>
                <w:szCs w:val="24"/>
              </w:rPr>
            </w:pPr>
            <w:proofErr w:type="spellStart"/>
            <w:r w:rsidRPr="00CB242B">
              <w:rPr>
                <w:sz w:val="24"/>
                <w:szCs w:val="24"/>
              </w:rPr>
              <w:t>Chlorid</w:t>
            </w:r>
            <w:proofErr w:type="spellEnd"/>
          </w:p>
        </w:tc>
        <w:tc>
          <w:tcPr>
            <w:tcW w:w="2551" w:type="dxa"/>
          </w:tcPr>
          <w:p w:rsidR="00AB7145" w:rsidRDefault="00AB7145" w:rsidP="003B4BCE">
            <w:pPr>
              <w:jc w:val="right"/>
              <w:rPr>
                <w:sz w:val="24"/>
                <w:szCs w:val="24"/>
              </w:rPr>
            </w:pPr>
            <w:r w:rsidRPr="00CB242B">
              <w:rPr>
                <w:sz w:val="24"/>
                <w:szCs w:val="24"/>
              </w:rPr>
              <w:t>47,6 mmol/500 ml</w:t>
            </w:r>
          </w:p>
        </w:tc>
      </w:tr>
      <w:tr w:rsidR="00AB7145" w:rsidTr="0014266F">
        <w:tc>
          <w:tcPr>
            <w:tcW w:w="1838" w:type="dxa"/>
          </w:tcPr>
          <w:p w:rsidR="00AB7145" w:rsidRDefault="00AB7145" w:rsidP="003B4BCE">
            <w:pPr>
              <w:jc w:val="both"/>
              <w:rPr>
                <w:sz w:val="24"/>
                <w:szCs w:val="24"/>
              </w:rPr>
            </w:pPr>
            <w:r w:rsidRPr="00CB242B">
              <w:rPr>
                <w:sz w:val="24"/>
                <w:szCs w:val="24"/>
              </w:rPr>
              <w:t>Kalium</w:t>
            </w:r>
          </w:p>
        </w:tc>
        <w:tc>
          <w:tcPr>
            <w:tcW w:w="2551" w:type="dxa"/>
          </w:tcPr>
          <w:p w:rsidR="00AB7145" w:rsidRDefault="00AB7145" w:rsidP="003B4BCE">
            <w:pPr>
              <w:jc w:val="right"/>
              <w:rPr>
                <w:sz w:val="24"/>
                <w:szCs w:val="24"/>
              </w:rPr>
            </w:pPr>
            <w:r w:rsidRPr="00CB242B">
              <w:rPr>
                <w:sz w:val="24"/>
                <w:szCs w:val="24"/>
              </w:rPr>
              <w:t>13,3 mmol/500 ml</w:t>
            </w:r>
          </w:p>
        </w:tc>
      </w:tr>
    </w:tbl>
    <w:p w:rsidR="00AB7145" w:rsidRDefault="00AB7145" w:rsidP="00AB7145">
      <w:pPr>
        <w:ind w:left="851"/>
        <w:jc w:val="both"/>
        <w:rPr>
          <w:sz w:val="24"/>
          <w:szCs w:val="24"/>
        </w:rPr>
      </w:pPr>
    </w:p>
    <w:p w:rsidR="00AB7145" w:rsidRPr="00CB242B" w:rsidRDefault="00AB7145" w:rsidP="00AB7145">
      <w:pPr>
        <w:ind w:left="851"/>
        <w:jc w:val="both"/>
        <w:rPr>
          <w:sz w:val="24"/>
          <w:szCs w:val="24"/>
        </w:rPr>
      </w:pPr>
      <w:r w:rsidRPr="00CB242B">
        <w:rPr>
          <w:sz w:val="24"/>
          <w:szCs w:val="24"/>
        </w:rPr>
        <w:t xml:space="preserve">Dosis </w:t>
      </w:r>
      <w:r>
        <w:rPr>
          <w:sz w:val="24"/>
          <w:szCs w:val="24"/>
        </w:rPr>
        <w:t xml:space="preserve">nr. 1 indeholder også 0,79 g </w:t>
      </w:r>
      <w:proofErr w:type="spellStart"/>
      <w:r>
        <w:rPr>
          <w:sz w:val="24"/>
          <w:szCs w:val="24"/>
        </w:rPr>
        <w:t>suc</w:t>
      </w:r>
      <w:r w:rsidRPr="00CB242B">
        <w:rPr>
          <w:sz w:val="24"/>
          <w:szCs w:val="24"/>
        </w:rPr>
        <w:t>ralose</w:t>
      </w:r>
      <w:proofErr w:type="spellEnd"/>
      <w:r w:rsidRPr="00CB242B">
        <w:rPr>
          <w:sz w:val="24"/>
          <w:szCs w:val="24"/>
        </w:rPr>
        <w:t xml:space="preserve"> (E955).</w:t>
      </w:r>
    </w:p>
    <w:p w:rsidR="00AB7145" w:rsidRPr="00CB242B" w:rsidRDefault="00AB7145" w:rsidP="00AB7145">
      <w:pPr>
        <w:spacing w:line="271" w:lineRule="exact"/>
        <w:ind w:left="851" w:right="-20" w:hanging="851"/>
        <w:jc w:val="both"/>
        <w:rPr>
          <w:sz w:val="24"/>
          <w:szCs w:val="24"/>
          <w:highlight w:val="yellow"/>
        </w:rPr>
      </w:pPr>
    </w:p>
    <w:p w:rsidR="00AB7145" w:rsidRPr="00CB242B" w:rsidRDefault="00AB7145" w:rsidP="001C76E0">
      <w:pPr>
        <w:ind w:firstLine="851"/>
        <w:rPr>
          <w:sz w:val="24"/>
          <w:szCs w:val="24"/>
        </w:rPr>
      </w:pPr>
      <w:r w:rsidRPr="00CB242B">
        <w:rPr>
          <w:b/>
          <w:sz w:val="24"/>
          <w:szCs w:val="24"/>
        </w:rPr>
        <w:t xml:space="preserve">Brevene med dosis nr. 2 (A og B) </w:t>
      </w:r>
      <w:r w:rsidRPr="00CB242B">
        <w:rPr>
          <w:sz w:val="24"/>
          <w:szCs w:val="24"/>
        </w:rPr>
        <w:t xml:space="preserve">indeholder følgende aktive </w:t>
      </w:r>
      <w:r w:rsidR="001C76E0" w:rsidRPr="009E2480">
        <w:rPr>
          <w:sz w:val="24"/>
          <w:szCs w:val="24"/>
        </w:rPr>
        <w:t>stoffer:</w:t>
      </w:r>
    </w:p>
    <w:p w:rsidR="001C76E0" w:rsidRDefault="001C76E0" w:rsidP="00AB7145">
      <w:pPr>
        <w:ind w:firstLine="851"/>
        <w:rPr>
          <w:b/>
          <w:sz w:val="24"/>
          <w:szCs w:val="24"/>
        </w:rPr>
      </w:pPr>
    </w:p>
    <w:p w:rsidR="00AB7145" w:rsidRPr="00CB242B" w:rsidRDefault="00AB7145" w:rsidP="00AB7145">
      <w:pPr>
        <w:ind w:firstLine="851"/>
        <w:rPr>
          <w:sz w:val="24"/>
          <w:szCs w:val="24"/>
        </w:rPr>
      </w:pPr>
      <w:r w:rsidRPr="00CB242B">
        <w:rPr>
          <w:b/>
          <w:sz w:val="24"/>
          <w:szCs w:val="24"/>
        </w:rPr>
        <w:t>Brev A</w:t>
      </w:r>
      <w:r w:rsidRPr="00CB242B">
        <w:rPr>
          <w:sz w:val="24"/>
          <w:szCs w:val="24"/>
        </w:rPr>
        <w:t>:</w:t>
      </w:r>
    </w:p>
    <w:p w:rsidR="00AB7145" w:rsidRDefault="00AB7145" w:rsidP="00AB7145">
      <w:pPr>
        <w:jc w:val="both"/>
        <w:rPr>
          <w:sz w:val="24"/>
          <w:szCs w:val="24"/>
        </w:rPr>
      </w:pPr>
    </w:p>
    <w:tbl>
      <w:tblPr>
        <w:tblStyle w:val="Tabel-Gitter"/>
        <w:tblW w:w="32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276"/>
      </w:tblGrid>
      <w:tr w:rsidR="00AB7145" w:rsidTr="0014266F">
        <w:tc>
          <w:tcPr>
            <w:tcW w:w="1984" w:type="dxa"/>
          </w:tcPr>
          <w:p w:rsidR="00AB7145" w:rsidRDefault="00AB7145" w:rsidP="003B4BCE">
            <w:pPr>
              <w:jc w:val="both"/>
              <w:rPr>
                <w:sz w:val="24"/>
                <w:szCs w:val="24"/>
              </w:rPr>
            </w:pPr>
            <w:proofErr w:type="spellStart"/>
            <w:r w:rsidRPr="00CB242B">
              <w:rPr>
                <w:sz w:val="24"/>
                <w:szCs w:val="24"/>
              </w:rPr>
              <w:t>Macrogol</w:t>
            </w:r>
            <w:proofErr w:type="spellEnd"/>
            <w:r w:rsidRPr="00CB242B">
              <w:rPr>
                <w:sz w:val="24"/>
                <w:szCs w:val="24"/>
              </w:rPr>
              <w:t xml:space="preserve"> 3350</w:t>
            </w:r>
          </w:p>
        </w:tc>
        <w:tc>
          <w:tcPr>
            <w:tcW w:w="1276" w:type="dxa"/>
          </w:tcPr>
          <w:p w:rsidR="00AB7145" w:rsidRDefault="00AB7145" w:rsidP="003B4BCE">
            <w:pPr>
              <w:jc w:val="right"/>
              <w:rPr>
                <w:sz w:val="24"/>
                <w:szCs w:val="24"/>
              </w:rPr>
            </w:pPr>
            <w:r w:rsidRPr="00CB242B">
              <w:rPr>
                <w:sz w:val="24"/>
                <w:szCs w:val="24"/>
              </w:rPr>
              <w:t>40 g</w:t>
            </w:r>
          </w:p>
        </w:tc>
      </w:tr>
      <w:tr w:rsidR="00AB7145" w:rsidTr="0014266F">
        <w:tc>
          <w:tcPr>
            <w:tcW w:w="1984" w:type="dxa"/>
          </w:tcPr>
          <w:p w:rsidR="00AB7145" w:rsidRDefault="00AB7145" w:rsidP="003B4BCE">
            <w:pPr>
              <w:jc w:val="both"/>
              <w:rPr>
                <w:sz w:val="24"/>
                <w:szCs w:val="24"/>
              </w:rPr>
            </w:pPr>
            <w:proofErr w:type="spellStart"/>
            <w:r w:rsidRPr="00CB242B">
              <w:rPr>
                <w:sz w:val="24"/>
                <w:szCs w:val="24"/>
              </w:rPr>
              <w:t>Natriumchlorid</w:t>
            </w:r>
            <w:proofErr w:type="spellEnd"/>
          </w:p>
        </w:tc>
        <w:tc>
          <w:tcPr>
            <w:tcW w:w="1276" w:type="dxa"/>
          </w:tcPr>
          <w:p w:rsidR="00AB7145" w:rsidRDefault="00AB7145" w:rsidP="003B4BCE">
            <w:pPr>
              <w:jc w:val="right"/>
              <w:rPr>
                <w:sz w:val="24"/>
                <w:szCs w:val="24"/>
              </w:rPr>
            </w:pPr>
            <w:r>
              <w:rPr>
                <w:sz w:val="24"/>
                <w:szCs w:val="24"/>
              </w:rPr>
              <w:t>3,2 g</w:t>
            </w:r>
          </w:p>
        </w:tc>
      </w:tr>
      <w:tr w:rsidR="00AB7145" w:rsidTr="0014266F">
        <w:tc>
          <w:tcPr>
            <w:tcW w:w="1984" w:type="dxa"/>
          </w:tcPr>
          <w:p w:rsidR="00AB7145" w:rsidRDefault="00AB7145" w:rsidP="003B4BCE">
            <w:pPr>
              <w:jc w:val="both"/>
              <w:rPr>
                <w:sz w:val="24"/>
                <w:szCs w:val="24"/>
              </w:rPr>
            </w:pPr>
            <w:proofErr w:type="spellStart"/>
            <w:r w:rsidRPr="00CB242B">
              <w:rPr>
                <w:sz w:val="24"/>
                <w:szCs w:val="24"/>
              </w:rPr>
              <w:t>Kaliumchlorid</w:t>
            </w:r>
            <w:proofErr w:type="spellEnd"/>
          </w:p>
        </w:tc>
        <w:tc>
          <w:tcPr>
            <w:tcW w:w="1276" w:type="dxa"/>
          </w:tcPr>
          <w:p w:rsidR="00AB7145" w:rsidRDefault="00AB7145" w:rsidP="003B4BCE">
            <w:pPr>
              <w:jc w:val="right"/>
              <w:rPr>
                <w:sz w:val="24"/>
                <w:szCs w:val="24"/>
              </w:rPr>
            </w:pPr>
            <w:r>
              <w:rPr>
                <w:sz w:val="24"/>
                <w:szCs w:val="24"/>
              </w:rPr>
              <w:t>1,2 g</w:t>
            </w:r>
          </w:p>
        </w:tc>
      </w:tr>
    </w:tbl>
    <w:p w:rsidR="00AB7145" w:rsidRDefault="00AB7145" w:rsidP="00AB7145">
      <w:pPr>
        <w:jc w:val="both"/>
        <w:rPr>
          <w:sz w:val="24"/>
          <w:szCs w:val="24"/>
        </w:rPr>
      </w:pPr>
    </w:p>
    <w:p w:rsidR="00AB7145" w:rsidRDefault="00AB7145" w:rsidP="00AB7145">
      <w:pPr>
        <w:jc w:val="both"/>
        <w:rPr>
          <w:sz w:val="24"/>
          <w:szCs w:val="24"/>
        </w:rPr>
      </w:pPr>
    </w:p>
    <w:p w:rsidR="00AB7145" w:rsidRPr="00CB242B" w:rsidRDefault="00AB7145" w:rsidP="00AB7145">
      <w:pPr>
        <w:jc w:val="both"/>
        <w:rPr>
          <w:sz w:val="24"/>
          <w:szCs w:val="24"/>
        </w:rPr>
      </w:pPr>
    </w:p>
    <w:p w:rsidR="00AB7145" w:rsidRPr="00CB242B" w:rsidRDefault="00AB7145" w:rsidP="00AB7145">
      <w:pPr>
        <w:ind w:left="851" w:hanging="851"/>
        <w:jc w:val="both"/>
        <w:rPr>
          <w:sz w:val="24"/>
          <w:szCs w:val="24"/>
        </w:rPr>
      </w:pPr>
    </w:p>
    <w:p w:rsidR="00AB7145" w:rsidRDefault="00AB7145" w:rsidP="00AB7145">
      <w:pPr>
        <w:ind w:left="851"/>
        <w:jc w:val="both"/>
        <w:rPr>
          <w:sz w:val="24"/>
          <w:szCs w:val="24"/>
        </w:rPr>
      </w:pPr>
      <w:r w:rsidRPr="00CB242B">
        <w:rPr>
          <w:b/>
          <w:sz w:val="24"/>
          <w:szCs w:val="24"/>
        </w:rPr>
        <w:t>Brev B</w:t>
      </w:r>
      <w:r w:rsidRPr="00CB242B">
        <w:rPr>
          <w:sz w:val="24"/>
          <w:szCs w:val="24"/>
        </w:rPr>
        <w:t>:</w:t>
      </w:r>
      <w:r>
        <w:rPr>
          <w:sz w:val="24"/>
          <w:szCs w:val="24"/>
        </w:rPr>
        <w:t xml:space="preserve"> </w:t>
      </w:r>
    </w:p>
    <w:p w:rsidR="00AB7145" w:rsidRDefault="00AB7145" w:rsidP="00AB7145">
      <w:pPr>
        <w:jc w:val="both"/>
        <w:rPr>
          <w:sz w:val="24"/>
          <w:szCs w:val="24"/>
        </w:rPr>
      </w:pPr>
    </w:p>
    <w:tbl>
      <w:tblPr>
        <w:tblStyle w:val="Tabel-Gitter"/>
        <w:tblW w:w="32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276"/>
      </w:tblGrid>
      <w:tr w:rsidR="00AB7145" w:rsidTr="0014266F">
        <w:tc>
          <w:tcPr>
            <w:tcW w:w="1984" w:type="dxa"/>
          </w:tcPr>
          <w:p w:rsidR="00AB7145" w:rsidRDefault="00AB7145" w:rsidP="003B4BCE">
            <w:pPr>
              <w:jc w:val="both"/>
              <w:rPr>
                <w:sz w:val="24"/>
                <w:szCs w:val="24"/>
              </w:rPr>
            </w:pPr>
            <w:proofErr w:type="spellStart"/>
            <w:r w:rsidRPr="00CB242B">
              <w:rPr>
                <w:sz w:val="24"/>
                <w:szCs w:val="24"/>
              </w:rPr>
              <w:t>Natriumascorbat</w:t>
            </w:r>
            <w:proofErr w:type="spellEnd"/>
          </w:p>
        </w:tc>
        <w:tc>
          <w:tcPr>
            <w:tcW w:w="1276" w:type="dxa"/>
          </w:tcPr>
          <w:p w:rsidR="00AB7145" w:rsidRDefault="00AB7145" w:rsidP="003B4BCE">
            <w:pPr>
              <w:jc w:val="right"/>
              <w:rPr>
                <w:sz w:val="24"/>
                <w:szCs w:val="24"/>
              </w:rPr>
            </w:pPr>
            <w:r w:rsidRPr="00CB242B">
              <w:rPr>
                <w:sz w:val="24"/>
                <w:szCs w:val="24"/>
              </w:rPr>
              <w:t>4</w:t>
            </w:r>
            <w:r>
              <w:rPr>
                <w:sz w:val="24"/>
                <w:szCs w:val="24"/>
              </w:rPr>
              <w:t>8,11</w:t>
            </w:r>
            <w:r w:rsidRPr="00CB242B">
              <w:rPr>
                <w:sz w:val="24"/>
                <w:szCs w:val="24"/>
              </w:rPr>
              <w:t xml:space="preserve"> g</w:t>
            </w:r>
          </w:p>
        </w:tc>
      </w:tr>
      <w:tr w:rsidR="00AB7145" w:rsidTr="0014266F">
        <w:tc>
          <w:tcPr>
            <w:tcW w:w="1984" w:type="dxa"/>
          </w:tcPr>
          <w:p w:rsidR="00AB7145" w:rsidRDefault="00AB7145" w:rsidP="003B4BCE">
            <w:pPr>
              <w:jc w:val="both"/>
              <w:rPr>
                <w:sz w:val="24"/>
                <w:szCs w:val="24"/>
              </w:rPr>
            </w:pPr>
            <w:proofErr w:type="spellStart"/>
            <w:r w:rsidRPr="00CB242B">
              <w:rPr>
                <w:sz w:val="24"/>
                <w:szCs w:val="24"/>
              </w:rPr>
              <w:t>Ascorbinsyre</w:t>
            </w:r>
            <w:proofErr w:type="spellEnd"/>
          </w:p>
        </w:tc>
        <w:tc>
          <w:tcPr>
            <w:tcW w:w="1276" w:type="dxa"/>
          </w:tcPr>
          <w:p w:rsidR="00AB7145" w:rsidRDefault="00AB7145" w:rsidP="003B4BCE">
            <w:pPr>
              <w:jc w:val="right"/>
              <w:rPr>
                <w:sz w:val="24"/>
                <w:szCs w:val="24"/>
              </w:rPr>
            </w:pPr>
            <w:r>
              <w:rPr>
                <w:sz w:val="24"/>
                <w:szCs w:val="24"/>
              </w:rPr>
              <w:t>7,54 g</w:t>
            </w:r>
          </w:p>
        </w:tc>
      </w:tr>
    </w:tbl>
    <w:p w:rsidR="00AB7145" w:rsidRDefault="00AB7145" w:rsidP="00AB7145">
      <w:pPr>
        <w:jc w:val="both"/>
        <w:rPr>
          <w:sz w:val="24"/>
          <w:szCs w:val="24"/>
        </w:rPr>
      </w:pPr>
    </w:p>
    <w:p w:rsidR="00AB7145" w:rsidRDefault="00AB7145" w:rsidP="00AB7145">
      <w:pPr>
        <w:ind w:left="851"/>
        <w:jc w:val="both"/>
        <w:rPr>
          <w:sz w:val="24"/>
          <w:szCs w:val="24"/>
        </w:rPr>
      </w:pPr>
      <w:r w:rsidRPr="00CB242B">
        <w:rPr>
          <w:sz w:val="24"/>
          <w:szCs w:val="24"/>
        </w:rPr>
        <w:t>Elektrolytkoncentrationen i 500 ml opløsning, når dosis nr. 2 (brevene A og B) er anvendt, er som følger:</w:t>
      </w:r>
    </w:p>
    <w:p w:rsidR="00AB7145" w:rsidRDefault="00AB7145" w:rsidP="00AB7145">
      <w:pPr>
        <w:ind w:left="851"/>
        <w:jc w:val="both"/>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693"/>
      </w:tblGrid>
      <w:tr w:rsidR="00AB7145" w:rsidTr="003B4BCE">
        <w:tc>
          <w:tcPr>
            <w:tcW w:w="1838" w:type="dxa"/>
          </w:tcPr>
          <w:p w:rsidR="00AB7145" w:rsidRDefault="00AB7145" w:rsidP="003B4BCE">
            <w:pPr>
              <w:jc w:val="both"/>
              <w:rPr>
                <w:sz w:val="24"/>
                <w:szCs w:val="24"/>
              </w:rPr>
            </w:pPr>
            <w:r w:rsidRPr="00CB242B">
              <w:rPr>
                <w:sz w:val="24"/>
                <w:szCs w:val="24"/>
              </w:rPr>
              <w:t>Natrium</w:t>
            </w:r>
          </w:p>
        </w:tc>
        <w:tc>
          <w:tcPr>
            <w:tcW w:w="2693" w:type="dxa"/>
          </w:tcPr>
          <w:p w:rsidR="00AB7145" w:rsidRDefault="00AB7145" w:rsidP="003B4BCE">
            <w:pPr>
              <w:jc w:val="right"/>
              <w:rPr>
                <w:sz w:val="24"/>
                <w:szCs w:val="24"/>
              </w:rPr>
            </w:pPr>
            <w:r w:rsidRPr="00CB242B">
              <w:rPr>
                <w:sz w:val="24"/>
                <w:szCs w:val="24"/>
              </w:rPr>
              <w:t>297,6 mmol/500 ml</w:t>
            </w:r>
          </w:p>
        </w:tc>
      </w:tr>
      <w:tr w:rsidR="00AB7145" w:rsidTr="003B4BCE">
        <w:tc>
          <w:tcPr>
            <w:tcW w:w="1838" w:type="dxa"/>
          </w:tcPr>
          <w:p w:rsidR="00AB7145" w:rsidRDefault="00AB7145" w:rsidP="003B4BCE">
            <w:pPr>
              <w:jc w:val="both"/>
              <w:rPr>
                <w:sz w:val="24"/>
                <w:szCs w:val="24"/>
              </w:rPr>
            </w:pPr>
            <w:proofErr w:type="spellStart"/>
            <w:r w:rsidRPr="00CB242B">
              <w:rPr>
                <w:sz w:val="24"/>
                <w:szCs w:val="24"/>
              </w:rPr>
              <w:t>Ascorbat</w:t>
            </w:r>
            <w:proofErr w:type="spellEnd"/>
          </w:p>
        </w:tc>
        <w:tc>
          <w:tcPr>
            <w:tcW w:w="2693" w:type="dxa"/>
          </w:tcPr>
          <w:p w:rsidR="00AB7145" w:rsidRDefault="00AB7145" w:rsidP="003B4BCE">
            <w:pPr>
              <w:jc w:val="right"/>
              <w:rPr>
                <w:sz w:val="24"/>
                <w:szCs w:val="24"/>
              </w:rPr>
            </w:pPr>
            <w:r w:rsidRPr="00CB242B">
              <w:rPr>
                <w:sz w:val="24"/>
                <w:szCs w:val="24"/>
              </w:rPr>
              <w:t>285,7 mmol/500 ml</w:t>
            </w:r>
          </w:p>
        </w:tc>
      </w:tr>
      <w:tr w:rsidR="00AB7145" w:rsidTr="003B4BCE">
        <w:tc>
          <w:tcPr>
            <w:tcW w:w="1838" w:type="dxa"/>
          </w:tcPr>
          <w:p w:rsidR="00AB7145" w:rsidRDefault="00AB7145" w:rsidP="003B4BCE">
            <w:pPr>
              <w:jc w:val="both"/>
              <w:rPr>
                <w:sz w:val="24"/>
                <w:szCs w:val="24"/>
              </w:rPr>
            </w:pPr>
            <w:proofErr w:type="spellStart"/>
            <w:r w:rsidRPr="00CB242B">
              <w:rPr>
                <w:sz w:val="24"/>
                <w:szCs w:val="24"/>
              </w:rPr>
              <w:t>Chlorid</w:t>
            </w:r>
            <w:proofErr w:type="spellEnd"/>
          </w:p>
        </w:tc>
        <w:tc>
          <w:tcPr>
            <w:tcW w:w="2693" w:type="dxa"/>
          </w:tcPr>
          <w:p w:rsidR="00AB7145" w:rsidRDefault="00AB7145" w:rsidP="003B4BCE">
            <w:pPr>
              <w:jc w:val="right"/>
              <w:rPr>
                <w:sz w:val="24"/>
                <w:szCs w:val="24"/>
              </w:rPr>
            </w:pPr>
            <w:r w:rsidRPr="00CB242B">
              <w:rPr>
                <w:sz w:val="24"/>
                <w:szCs w:val="24"/>
              </w:rPr>
              <w:t>70,9 mmol/500 ml</w:t>
            </w:r>
          </w:p>
        </w:tc>
      </w:tr>
      <w:tr w:rsidR="00AB7145" w:rsidTr="003B4BCE">
        <w:tc>
          <w:tcPr>
            <w:tcW w:w="1838" w:type="dxa"/>
          </w:tcPr>
          <w:p w:rsidR="00AB7145" w:rsidRDefault="00AB7145" w:rsidP="003B4BCE">
            <w:pPr>
              <w:jc w:val="both"/>
              <w:rPr>
                <w:sz w:val="24"/>
                <w:szCs w:val="24"/>
              </w:rPr>
            </w:pPr>
            <w:r w:rsidRPr="00CB242B">
              <w:rPr>
                <w:sz w:val="24"/>
                <w:szCs w:val="24"/>
              </w:rPr>
              <w:t>Kalium</w:t>
            </w:r>
          </w:p>
        </w:tc>
        <w:tc>
          <w:tcPr>
            <w:tcW w:w="2693" w:type="dxa"/>
          </w:tcPr>
          <w:p w:rsidR="00AB7145" w:rsidRDefault="00AB7145" w:rsidP="003B4BCE">
            <w:pPr>
              <w:jc w:val="right"/>
              <w:rPr>
                <w:sz w:val="24"/>
                <w:szCs w:val="24"/>
              </w:rPr>
            </w:pPr>
            <w:r w:rsidRPr="00CB242B">
              <w:rPr>
                <w:sz w:val="24"/>
                <w:szCs w:val="24"/>
              </w:rPr>
              <w:t>16,1 mmol/500 ml</w:t>
            </w:r>
          </w:p>
        </w:tc>
      </w:tr>
    </w:tbl>
    <w:p w:rsidR="00AB7145" w:rsidRPr="00CB242B" w:rsidRDefault="00AB7145" w:rsidP="00AB7145">
      <w:pPr>
        <w:ind w:left="851" w:hanging="851"/>
        <w:jc w:val="both"/>
        <w:rPr>
          <w:sz w:val="24"/>
          <w:szCs w:val="24"/>
        </w:rPr>
      </w:pPr>
      <w:r w:rsidRPr="00CB242B">
        <w:rPr>
          <w:sz w:val="24"/>
          <w:szCs w:val="24"/>
        </w:rPr>
        <w:tab/>
      </w:r>
    </w:p>
    <w:p w:rsidR="00AB7145" w:rsidRPr="00CB242B" w:rsidRDefault="00AB7145" w:rsidP="00AB7145">
      <w:pPr>
        <w:ind w:left="851"/>
        <w:jc w:val="both"/>
        <w:rPr>
          <w:sz w:val="24"/>
          <w:szCs w:val="24"/>
          <w:u w:val="single"/>
        </w:rPr>
      </w:pPr>
      <w:r w:rsidRPr="00CB242B">
        <w:rPr>
          <w:sz w:val="24"/>
          <w:szCs w:val="24"/>
          <w:u w:val="single"/>
        </w:rPr>
        <w:t xml:space="preserve">Hjælpestof, som behandleren skal være opmærksom </w:t>
      </w:r>
      <w:r w:rsidR="001C76E0" w:rsidRPr="009E2480">
        <w:rPr>
          <w:sz w:val="24"/>
          <w:szCs w:val="24"/>
          <w:u w:val="single"/>
        </w:rPr>
        <w:t>på</w:t>
      </w:r>
    </w:p>
    <w:p w:rsidR="00AB7145" w:rsidRPr="00CB242B" w:rsidRDefault="00AB7145" w:rsidP="00AB7145">
      <w:pPr>
        <w:ind w:left="851"/>
        <w:jc w:val="both"/>
        <w:rPr>
          <w:sz w:val="24"/>
          <w:szCs w:val="24"/>
        </w:rPr>
      </w:pPr>
      <w:r w:rsidRPr="00CB242B">
        <w:rPr>
          <w:sz w:val="24"/>
          <w:szCs w:val="24"/>
        </w:rPr>
        <w:t xml:space="preserve">Lægemidlet (dosis nr. 2, brev A) indeholder 0,88 g </w:t>
      </w:r>
      <w:proofErr w:type="spellStart"/>
      <w:r w:rsidRPr="00CB242B">
        <w:rPr>
          <w:sz w:val="24"/>
          <w:szCs w:val="24"/>
        </w:rPr>
        <w:t>aspartam</w:t>
      </w:r>
      <w:proofErr w:type="spellEnd"/>
      <w:r w:rsidRPr="00CB242B">
        <w:rPr>
          <w:sz w:val="24"/>
          <w:szCs w:val="24"/>
        </w:rPr>
        <w:t xml:space="preserve"> (E951).</w:t>
      </w:r>
    </w:p>
    <w:p w:rsidR="00AB7145" w:rsidRPr="00CB242B" w:rsidRDefault="00AB7145" w:rsidP="00AB7145">
      <w:pPr>
        <w:ind w:left="851"/>
        <w:jc w:val="both"/>
        <w:rPr>
          <w:sz w:val="24"/>
          <w:szCs w:val="24"/>
        </w:rPr>
      </w:pPr>
    </w:p>
    <w:p w:rsidR="00AB7145" w:rsidRPr="00CB242B" w:rsidRDefault="00AB7145" w:rsidP="00AB7145">
      <w:pPr>
        <w:spacing w:line="260" w:lineRule="exact"/>
        <w:ind w:left="851"/>
        <w:rPr>
          <w:sz w:val="24"/>
          <w:szCs w:val="24"/>
        </w:rPr>
      </w:pPr>
      <w:r w:rsidRPr="00CB242B">
        <w:rPr>
          <w:sz w:val="24"/>
          <w:szCs w:val="24"/>
        </w:rPr>
        <w:t>Alle hjælpestoffer er anført under pkt. 6.1.</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3.</w:t>
      </w:r>
      <w:r w:rsidRPr="00CB242B">
        <w:rPr>
          <w:b/>
          <w:sz w:val="24"/>
          <w:szCs w:val="24"/>
        </w:rPr>
        <w:tab/>
        <w:t>LÆGEMIDDELFORM</w:t>
      </w:r>
    </w:p>
    <w:p w:rsidR="00AB7145" w:rsidRPr="00CB242B" w:rsidRDefault="00AB7145" w:rsidP="00AB7145">
      <w:pPr>
        <w:ind w:left="851" w:right="-20"/>
        <w:jc w:val="both"/>
        <w:rPr>
          <w:sz w:val="24"/>
          <w:szCs w:val="24"/>
        </w:rPr>
      </w:pPr>
      <w:r w:rsidRPr="00CB242B">
        <w:rPr>
          <w:sz w:val="24"/>
          <w:szCs w:val="24"/>
        </w:rPr>
        <w:t>Pulver til oral opløsning.</w:t>
      </w:r>
    </w:p>
    <w:p w:rsidR="00AB7145" w:rsidRPr="00CB242B" w:rsidRDefault="00AB7145" w:rsidP="00AB7145">
      <w:pPr>
        <w:ind w:left="851" w:right="-20"/>
        <w:jc w:val="both"/>
        <w:rPr>
          <w:sz w:val="24"/>
          <w:szCs w:val="24"/>
        </w:rPr>
      </w:pPr>
      <w:r w:rsidRPr="00CB242B">
        <w:rPr>
          <w:sz w:val="24"/>
          <w:szCs w:val="24"/>
        </w:rPr>
        <w:t>Hvidt til gult pulver.</w:t>
      </w:r>
    </w:p>
    <w:p w:rsidR="00AB7145" w:rsidRPr="00CB242B" w:rsidRDefault="00AB7145" w:rsidP="00AB7145">
      <w:pPr>
        <w:ind w:left="851" w:hanging="851"/>
        <w:rPr>
          <w:sz w:val="24"/>
          <w:szCs w:val="24"/>
        </w:rPr>
      </w:pP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w:t>
      </w:r>
      <w:r w:rsidRPr="00CB242B">
        <w:rPr>
          <w:b/>
          <w:sz w:val="24"/>
          <w:szCs w:val="24"/>
        </w:rPr>
        <w:tab/>
        <w:t>KLINISKE OPLYSNINGER</w:t>
      </w:r>
    </w:p>
    <w:p w:rsidR="00AB7145" w:rsidRPr="00CB242B" w:rsidRDefault="00AB7145" w:rsidP="00AB7145">
      <w:pPr>
        <w:ind w:left="851" w:hanging="851"/>
        <w:rPr>
          <w:b/>
          <w:sz w:val="24"/>
          <w:szCs w:val="24"/>
        </w:rPr>
      </w:pPr>
    </w:p>
    <w:p w:rsidR="00AB7145" w:rsidRPr="00CB242B" w:rsidRDefault="00AB7145" w:rsidP="00AB7145">
      <w:pPr>
        <w:ind w:left="851" w:hanging="851"/>
        <w:rPr>
          <w:b/>
          <w:sz w:val="24"/>
          <w:szCs w:val="24"/>
          <w:u w:val="single"/>
        </w:rPr>
      </w:pPr>
      <w:r w:rsidRPr="00CB242B">
        <w:rPr>
          <w:b/>
          <w:sz w:val="24"/>
          <w:szCs w:val="24"/>
        </w:rPr>
        <w:t>4.1</w:t>
      </w:r>
      <w:r w:rsidRPr="00CB242B">
        <w:rPr>
          <w:b/>
          <w:sz w:val="24"/>
          <w:szCs w:val="24"/>
        </w:rPr>
        <w:tab/>
        <w:t>Terapeutiske indikationer</w:t>
      </w:r>
    </w:p>
    <w:p w:rsidR="00AB7145" w:rsidRPr="00CB242B" w:rsidRDefault="00AB7145" w:rsidP="00AB7145">
      <w:pPr>
        <w:ind w:left="851"/>
        <w:rPr>
          <w:noProof/>
          <w:sz w:val="24"/>
          <w:szCs w:val="24"/>
        </w:rPr>
      </w:pPr>
      <w:proofErr w:type="spellStart"/>
      <w:r w:rsidRPr="00CB242B">
        <w:rPr>
          <w:sz w:val="24"/>
          <w:szCs w:val="24"/>
        </w:rPr>
        <w:t>Plenvu</w:t>
      </w:r>
      <w:proofErr w:type="spellEnd"/>
      <w:r w:rsidRPr="00CB242B">
        <w:rPr>
          <w:sz w:val="24"/>
          <w:szCs w:val="24"/>
        </w:rPr>
        <w:t xml:space="preserve"> er indiceret til voksne til rensning af tarmen før alle kliniske undersøgelser som kræver en ren tarm.</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4.2</w:t>
      </w:r>
      <w:r w:rsidRPr="00CB242B">
        <w:rPr>
          <w:b/>
          <w:sz w:val="24"/>
          <w:szCs w:val="24"/>
        </w:rPr>
        <w:tab/>
        <w:t xml:space="preserve">Dosering og </w:t>
      </w:r>
      <w:r w:rsidR="00CD15A4">
        <w:rPr>
          <w:b/>
          <w:sz w:val="24"/>
          <w:szCs w:val="24"/>
        </w:rPr>
        <w:t>administration</w:t>
      </w:r>
    </w:p>
    <w:p w:rsidR="00AB7145" w:rsidRDefault="00AB7145" w:rsidP="00AB7145">
      <w:pPr>
        <w:ind w:left="851" w:hanging="851"/>
        <w:rPr>
          <w:noProof/>
          <w:sz w:val="24"/>
          <w:szCs w:val="24"/>
          <w:u w:val="single"/>
        </w:rPr>
      </w:pPr>
    </w:p>
    <w:p w:rsidR="00A119BC" w:rsidRPr="00CB242B" w:rsidRDefault="00A119BC" w:rsidP="00A119BC">
      <w:pPr>
        <w:ind w:left="851"/>
        <w:rPr>
          <w:noProof/>
          <w:sz w:val="24"/>
          <w:szCs w:val="24"/>
          <w:u w:val="single"/>
        </w:rPr>
      </w:pPr>
      <w:r w:rsidRPr="00CB242B">
        <w:rPr>
          <w:noProof/>
          <w:sz w:val="24"/>
          <w:szCs w:val="24"/>
          <w:u w:val="single"/>
        </w:rPr>
        <w:t>Dosering</w:t>
      </w:r>
    </w:p>
    <w:p w:rsidR="00A119BC" w:rsidRPr="00CB242B" w:rsidRDefault="00A119BC" w:rsidP="00A119BC">
      <w:pPr>
        <w:ind w:left="851" w:hanging="851"/>
        <w:rPr>
          <w:noProof/>
          <w:sz w:val="24"/>
          <w:szCs w:val="24"/>
        </w:rPr>
      </w:pPr>
    </w:p>
    <w:p w:rsidR="00A119BC" w:rsidRPr="00CB242B" w:rsidRDefault="00A119BC" w:rsidP="00A119BC">
      <w:pPr>
        <w:ind w:left="851"/>
        <w:rPr>
          <w:b/>
          <w:noProof/>
          <w:sz w:val="24"/>
          <w:szCs w:val="24"/>
        </w:rPr>
      </w:pPr>
      <w:r w:rsidRPr="00CB242B">
        <w:rPr>
          <w:b/>
          <w:i/>
          <w:noProof/>
          <w:sz w:val="24"/>
          <w:szCs w:val="24"/>
        </w:rPr>
        <w:t>Voksne og ældre</w:t>
      </w:r>
    </w:p>
    <w:p w:rsidR="00A119BC" w:rsidRPr="00CB242B" w:rsidRDefault="00A119BC" w:rsidP="00A119BC">
      <w:pPr>
        <w:ind w:left="851"/>
        <w:rPr>
          <w:sz w:val="24"/>
          <w:szCs w:val="24"/>
        </w:rPr>
      </w:pPr>
      <w:r w:rsidRPr="00CB242B">
        <w:rPr>
          <w:sz w:val="24"/>
          <w:szCs w:val="24"/>
        </w:rPr>
        <w:t xml:space="preserve">Et behandlingsforløb består af to separate ikke-identiske 500 ml </w:t>
      </w:r>
      <w:proofErr w:type="spellStart"/>
      <w:r w:rsidRPr="00CB242B">
        <w:rPr>
          <w:sz w:val="24"/>
          <w:szCs w:val="24"/>
        </w:rPr>
        <w:t>Plenvu</w:t>
      </w:r>
      <w:proofErr w:type="spellEnd"/>
      <w:r w:rsidRPr="00CB242B">
        <w:rPr>
          <w:sz w:val="24"/>
          <w:szCs w:val="24"/>
        </w:rPr>
        <w:t xml:space="preserve"> doser. Desuden skal der ved hver dosis drikkes mindst 500 ml klar væske, som kan være vand, klar suppe, frugtjuice uden frugtkød, læskedrikke, te og/eller kaffe uden mælk.</w:t>
      </w:r>
    </w:p>
    <w:p w:rsidR="00A119BC" w:rsidRPr="00CB242B" w:rsidRDefault="00A119BC" w:rsidP="00A119BC">
      <w:pPr>
        <w:ind w:left="851" w:hanging="851"/>
        <w:rPr>
          <w:sz w:val="24"/>
          <w:szCs w:val="24"/>
        </w:rPr>
      </w:pPr>
    </w:p>
    <w:p w:rsidR="00A119BC" w:rsidRPr="00CB242B" w:rsidRDefault="00A119BC" w:rsidP="00A119BC">
      <w:pPr>
        <w:ind w:left="851"/>
        <w:rPr>
          <w:sz w:val="24"/>
          <w:szCs w:val="24"/>
        </w:rPr>
      </w:pPr>
      <w:r w:rsidRPr="00CB242B">
        <w:rPr>
          <w:sz w:val="24"/>
          <w:szCs w:val="24"/>
        </w:rPr>
        <w:t>Behandlingsforløbet kan finde sted over to dage eller en dag, som angivet nedenfor:</w:t>
      </w:r>
    </w:p>
    <w:p w:rsidR="00A119BC" w:rsidRPr="00CB242B" w:rsidRDefault="00A119BC" w:rsidP="00A119BC">
      <w:pPr>
        <w:ind w:left="851" w:hanging="851"/>
        <w:rPr>
          <w:sz w:val="24"/>
          <w:szCs w:val="24"/>
        </w:rPr>
      </w:pPr>
    </w:p>
    <w:p w:rsidR="00A119BC" w:rsidRPr="00CB242B" w:rsidRDefault="00A119BC" w:rsidP="00A119BC">
      <w:pPr>
        <w:ind w:left="851"/>
        <w:rPr>
          <w:sz w:val="24"/>
          <w:szCs w:val="24"/>
        </w:rPr>
      </w:pPr>
      <w:proofErr w:type="spellStart"/>
      <w:r w:rsidRPr="00CB242B">
        <w:rPr>
          <w:sz w:val="24"/>
          <w:szCs w:val="24"/>
        </w:rPr>
        <w:t>To-dages</w:t>
      </w:r>
      <w:proofErr w:type="spellEnd"/>
      <w:r w:rsidRPr="00CB242B">
        <w:rPr>
          <w:sz w:val="24"/>
          <w:szCs w:val="24"/>
        </w:rPr>
        <w:t xml:space="preserve"> behandlingsforløb:</w:t>
      </w:r>
    </w:p>
    <w:p w:rsidR="00A119BC" w:rsidRPr="00034FF6" w:rsidRDefault="00A119BC" w:rsidP="00A119BC">
      <w:pPr>
        <w:numPr>
          <w:ilvl w:val="0"/>
          <w:numId w:val="6"/>
        </w:numPr>
        <w:ind w:left="1276" w:hanging="425"/>
        <w:rPr>
          <w:sz w:val="24"/>
          <w:szCs w:val="24"/>
        </w:rPr>
      </w:pPr>
      <w:r w:rsidRPr="00034FF6">
        <w:rPr>
          <w:sz w:val="24"/>
          <w:szCs w:val="24"/>
        </w:rPr>
        <w:t xml:space="preserve">Den første dosis tages om aftenen før den kliniske </w:t>
      </w:r>
      <w:r w:rsidR="001C76E0" w:rsidRPr="009E2480">
        <w:rPr>
          <w:sz w:val="24"/>
          <w:szCs w:val="24"/>
        </w:rPr>
        <w:t>undersøgelse og</w:t>
      </w:r>
      <w:r w:rsidRPr="00034FF6">
        <w:rPr>
          <w:sz w:val="24"/>
          <w:szCs w:val="24"/>
        </w:rPr>
        <w:t xml:space="preserve"> den anden dosis om morgenen på undersøgelsesdagen </w:t>
      </w:r>
      <w:r w:rsidRPr="00034FF6">
        <w:rPr>
          <w:szCs w:val="22"/>
        </w:rPr>
        <w:t>ca. 12 timer efter starten af den første dosis.</w:t>
      </w:r>
    </w:p>
    <w:p w:rsidR="00A119BC" w:rsidRPr="00034FF6" w:rsidRDefault="00A119BC" w:rsidP="00A119BC">
      <w:pPr>
        <w:ind w:left="1276" w:hanging="425"/>
        <w:rPr>
          <w:sz w:val="24"/>
          <w:szCs w:val="24"/>
        </w:rPr>
      </w:pPr>
    </w:p>
    <w:p w:rsidR="00A119BC" w:rsidRPr="00034FF6" w:rsidRDefault="00A119BC" w:rsidP="00A119BC">
      <w:pPr>
        <w:ind w:left="851"/>
        <w:rPr>
          <w:sz w:val="24"/>
          <w:szCs w:val="24"/>
        </w:rPr>
      </w:pPr>
      <w:proofErr w:type="spellStart"/>
      <w:r w:rsidRPr="00034FF6">
        <w:rPr>
          <w:sz w:val="24"/>
          <w:szCs w:val="24"/>
        </w:rPr>
        <w:t>En-dags</w:t>
      </w:r>
      <w:proofErr w:type="spellEnd"/>
      <w:r w:rsidRPr="00034FF6">
        <w:rPr>
          <w:sz w:val="24"/>
          <w:szCs w:val="24"/>
        </w:rPr>
        <w:t xml:space="preserve"> behandlingsforløb:</w:t>
      </w:r>
    </w:p>
    <w:p w:rsidR="00A119BC" w:rsidRPr="00CB242B" w:rsidRDefault="00A119BC" w:rsidP="00A119BC">
      <w:pPr>
        <w:numPr>
          <w:ilvl w:val="0"/>
          <w:numId w:val="6"/>
        </w:numPr>
        <w:ind w:left="1276" w:hanging="425"/>
        <w:rPr>
          <w:sz w:val="24"/>
          <w:szCs w:val="24"/>
        </w:rPr>
      </w:pPr>
      <w:r w:rsidRPr="00034FF6">
        <w:rPr>
          <w:sz w:val="24"/>
          <w:szCs w:val="24"/>
        </w:rPr>
        <w:t xml:space="preserve">Dosering kun om morgenen, hvor begge doser tages om morgenen på undersøgelsesdagen; </w:t>
      </w:r>
      <w:r w:rsidRPr="00034FF6">
        <w:rPr>
          <w:szCs w:val="22"/>
        </w:rPr>
        <w:t>den anden do</w:t>
      </w:r>
      <w:r w:rsidRPr="002830D3">
        <w:rPr>
          <w:szCs w:val="22"/>
        </w:rPr>
        <w:t>sis skal tages mindst 2 timer efter starten af den første</w:t>
      </w:r>
      <w:r>
        <w:rPr>
          <w:szCs w:val="22"/>
        </w:rPr>
        <w:t xml:space="preserve">, </w:t>
      </w:r>
      <w:r w:rsidRPr="00CB242B">
        <w:rPr>
          <w:sz w:val="24"/>
          <w:szCs w:val="24"/>
        </w:rPr>
        <w:t>eller</w:t>
      </w:r>
    </w:p>
    <w:p w:rsidR="00A119BC" w:rsidRDefault="00A119BC" w:rsidP="00A119BC">
      <w:pPr>
        <w:numPr>
          <w:ilvl w:val="0"/>
          <w:numId w:val="6"/>
        </w:numPr>
        <w:ind w:left="1276" w:hanging="425"/>
        <w:rPr>
          <w:sz w:val="24"/>
          <w:szCs w:val="24"/>
        </w:rPr>
      </w:pPr>
      <w:r w:rsidRPr="00CB242B">
        <w:rPr>
          <w:sz w:val="24"/>
          <w:szCs w:val="24"/>
        </w:rPr>
        <w:lastRenderedPageBreak/>
        <w:t>Dagen før doseringen, hvor begge doser skal tages om aftenen før undersøgelsesdagen</w:t>
      </w:r>
      <w:r>
        <w:rPr>
          <w:sz w:val="24"/>
          <w:szCs w:val="24"/>
        </w:rPr>
        <w:t xml:space="preserve">; den anden </w:t>
      </w:r>
      <w:r w:rsidRPr="002830D3">
        <w:rPr>
          <w:szCs w:val="22"/>
        </w:rPr>
        <w:t>dosis skal tages mindst 2 timer efter starten af den første</w:t>
      </w:r>
      <w:r>
        <w:rPr>
          <w:sz w:val="24"/>
          <w:szCs w:val="24"/>
        </w:rPr>
        <w:t>.</w:t>
      </w:r>
    </w:p>
    <w:p w:rsidR="00A119BC" w:rsidRDefault="00A119BC" w:rsidP="00A119BC">
      <w:pPr>
        <w:rPr>
          <w:sz w:val="24"/>
          <w:szCs w:val="24"/>
        </w:rPr>
      </w:pPr>
    </w:p>
    <w:p w:rsidR="00A119BC" w:rsidRPr="00CB242B" w:rsidRDefault="00A119BC" w:rsidP="00A119BC">
      <w:pPr>
        <w:ind w:left="851"/>
        <w:rPr>
          <w:sz w:val="24"/>
          <w:szCs w:val="24"/>
        </w:rPr>
      </w:pPr>
      <w:r>
        <w:rPr>
          <w:sz w:val="24"/>
          <w:szCs w:val="24"/>
        </w:rPr>
        <w:t>D</w:t>
      </w:r>
      <w:r w:rsidRPr="001625D8">
        <w:rPr>
          <w:sz w:val="24"/>
          <w:szCs w:val="24"/>
        </w:rPr>
        <w:t>en passende doseringsplan bør vælges i henhold til tidspunktet for den kliniske procedure.</w:t>
      </w:r>
    </w:p>
    <w:p w:rsidR="00A119BC" w:rsidRPr="00CB242B" w:rsidRDefault="00A119BC" w:rsidP="00A119BC">
      <w:pPr>
        <w:ind w:left="1276" w:hanging="425"/>
        <w:rPr>
          <w:sz w:val="24"/>
          <w:szCs w:val="24"/>
        </w:rPr>
      </w:pPr>
    </w:p>
    <w:p w:rsidR="00A119BC" w:rsidRPr="00CB242B" w:rsidRDefault="00A119BC" w:rsidP="00A119BC">
      <w:pPr>
        <w:ind w:left="851"/>
        <w:rPr>
          <w:b/>
          <w:noProof/>
          <w:sz w:val="24"/>
          <w:szCs w:val="24"/>
        </w:rPr>
      </w:pPr>
      <w:r w:rsidRPr="00CB242B">
        <w:rPr>
          <w:b/>
          <w:i/>
          <w:noProof/>
          <w:sz w:val="24"/>
          <w:szCs w:val="24"/>
        </w:rPr>
        <w:t>Pædiatrisk population</w:t>
      </w:r>
    </w:p>
    <w:p w:rsidR="001C76E0" w:rsidRPr="009E2480" w:rsidRDefault="001C76E0" w:rsidP="001C76E0">
      <w:pPr>
        <w:ind w:left="851"/>
        <w:rPr>
          <w:sz w:val="24"/>
          <w:szCs w:val="24"/>
        </w:rPr>
      </w:pPr>
      <w:proofErr w:type="spellStart"/>
      <w:r w:rsidRPr="009E2480">
        <w:rPr>
          <w:sz w:val="24"/>
          <w:szCs w:val="24"/>
        </w:rPr>
        <w:t>Plenvus</w:t>
      </w:r>
      <w:proofErr w:type="spellEnd"/>
      <w:r w:rsidRPr="009E2480">
        <w:rPr>
          <w:sz w:val="24"/>
          <w:szCs w:val="24"/>
        </w:rPr>
        <w:t xml:space="preserve"> sikkerhed og virkning hos børn under 18 år er endnu ikke klarlagt. Det frarådes derfor at anvende </w:t>
      </w:r>
      <w:proofErr w:type="spellStart"/>
      <w:r w:rsidRPr="009E2480">
        <w:rPr>
          <w:sz w:val="24"/>
          <w:szCs w:val="24"/>
        </w:rPr>
        <w:t>Plenvu</w:t>
      </w:r>
      <w:proofErr w:type="spellEnd"/>
      <w:r w:rsidRPr="009E2480">
        <w:rPr>
          <w:sz w:val="24"/>
          <w:szCs w:val="24"/>
        </w:rPr>
        <w:t xml:space="preserve"> </w:t>
      </w:r>
      <w:r>
        <w:rPr>
          <w:sz w:val="24"/>
          <w:szCs w:val="24"/>
        </w:rPr>
        <w:t>hos</w:t>
      </w:r>
      <w:r w:rsidRPr="009E2480">
        <w:rPr>
          <w:sz w:val="24"/>
          <w:szCs w:val="24"/>
        </w:rPr>
        <w:t xml:space="preserve"> denne patientgruppe.</w:t>
      </w:r>
    </w:p>
    <w:p w:rsidR="00A119BC" w:rsidRPr="00CB242B" w:rsidRDefault="00A119BC" w:rsidP="00A119BC">
      <w:pPr>
        <w:ind w:left="851" w:hanging="851"/>
        <w:rPr>
          <w:sz w:val="24"/>
          <w:szCs w:val="24"/>
        </w:rPr>
      </w:pPr>
    </w:p>
    <w:p w:rsidR="001C76E0" w:rsidRPr="009E2480" w:rsidRDefault="001C76E0" w:rsidP="001C76E0">
      <w:pPr>
        <w:ind w:left="851"/>
        <w:rPr>
          <w:b/>
          <w:sz w:val="24"/>
          <w:szCs w:val="24"/>
        </w:rPr>
      </w:pPr>
      <w:r w:rsidRPr="009E2480">
        <w:rPr>
          <w:b/>
          <w:i/>
          <w:sz w:val="24"/>
          <w:szCs w:val="24"/>
        </w:rPr>
        <w:t xml:space="preserve">Patienter med </w:t>
      </w:r>
      <w:r>
        <w:rPr>
          <w:b/>
          <w:i/>
          <w:sz w:val="24"/>
          <w:szCs w:val="24"/>
        </w:rPr>
        <w:t>nedsat nyrefunktion</w:t>
      </w:r>
    </w:p>
    <w:p w:rsidR="001C76E0" w:rsidRPr="009E2480" w:rsidRDefault="001C76E0" w:rsidP="001C76E0">
      <w:pPr>
        <w:ind w:left="851"/>
        <w:rPr>
          <w:sz w:val="24"/>
          <w:szCs w:val="24"/>
        </w:rPr>
      </w:pPr>
      <w:r w:rsidRPr="009E2480">
        <w:rPr>
          <w:sz w:val="24"/>
          <w:szCs w:val="24"/>
        </w:rPr>
        <w:t xml:space="preserve">Ingen særlig dosisjustering vurderes nødvendig hos patienter med </w:t>
      </w:r>
      <w:r>
        <w:rPr>
          <w:sz w:val="24"/>
          <w:szCs w:val="24"/>
        </w:rPr>
        <w:t>let</w:t>
      </w:r>
      <w:r w:rsidRPr="009E2480">
        <w:rPr>
          <w:sz w:val="24"/>
          <w:szCs w:val="24"/>
        </w:rPr>
        <w:t xml:space="preserve"> til moderat </w:t>
      </w:r>
      <w:r>
        <w:rPr>
          <w:sz w:val="24"/>
          <w:szCs w:val="24"/>
        </w:rPr>
        <w:t>nedsat nyrefunktion</w:t>
      </w:r>
      <w:r w:rsidRPr="009E2480">
        <w:rPr>
          <w:sz w:val="24"/>
          <w:szCs w:val="24"/>
        </w:rPr>
        <w:t>.</w:t>
      </w:r>
    </w:p>
    <w:p w:rsidR="001C76E0" w:rsidRPr="009E2480" w:rsidRDefault="001C76E0" w:rsidP="001C76E0">
      <w:pPr>
        <w:ind w:left="851"/>
        <w:rPr>
          <w:sz w:val="24"/>
          <w:szCs w:val="24"/>
        </w:rPr>
      </w:pPr>
      <w:r w:rsidRPr="009E2480">
        <w:rPr>
          <w:sz w:val="24"/>
          <w:szCs w:val="24"/>
        </w:rPr>
        <w:t xml:space="preserve">Patienter med </w:t>
      </w:r>
      <w:r>
        <w:rPr>
          <w:sz w:val="24"/>
          <w:szCs w:val="24"/>
        </w:rPr>
        <w:t>let</w:t>
      </w:r>
      <w:r w:rsidRPr="009E2480">
        <w:rPr>
          <w:sz w:val="24"/>
          <w:szCs w:val="24"/>
        </w:rPr>
        <w:t xml:space="preserve"> til moderat </w:t>
      </w:r>
      <w:r>
        <w:rPr>
          <w:sz w:val="24"/>
          <w:szCs w:val="24"/>
        </w:rPr>
        <w:t>nedsat nyrefunktion</w:t>
      </w:r>
      <w:r w:rsidRPr="009E2480">
        <w:rPr>
          <w:sz w:val="24"/>
          <w:szCs w:val="24"/>
        </w:rPr>
        <w:t xml:space="preserve"> var inkluderet i de kliniske studier.</w:t>
      </w:r>
    </w:p>
    <w:p w:rsidR="001C76E0" w:rsidRPr="009E2480" w:rsidRDefault="001C76E0" w:rsidP="001C76E0">
      <w:pPr>
        <w:ind w:left="851" w:hanging="851"/>
        <w:rPr>
          <w:sz w:val="24"/>
          <w:szCs w:val="24"/>
        </w:rPr>
      </w:pPr>
      <w:r w:rsidRPr="009E2480">
        <w:rPr>
          <w:sz w:val="24"/>
          <w:szCs w:val="24"/>
        </w:rPr>
        <w:t xml:space="preserve"> </w:t>
      </w:r>
    </w:p>
    <w:p w:rsidR="001C76E0" w:rsidRPr="009E2480" w:rsidRDefault="001C76E0" w:rsidP="001C76E0">
      <w:pPr>
        <w:ind w:left="851"/>
        <w:rPr>
          <w:b/>
          <w:sz w:val="24"/>
          <w:szCs w:val="24"/>
        </w:rPr>
      </w:pPr>
      <w:r w:rsidRPr="009E2480">
        <w:rPr>
          <w:b/>
          <w:i/>
          <w:sz w:val="24"/>
          <w:szCs w:val="24"/>
        </w:rPr>
        <w:t xml:space="preserve">Patienter med </w:t>
      </w:r>
      <w:r>
        <w:rPr>
          <w:b/>
          <w:i/>
          <w:sz w:val="24"/>
          <w:szCs w:val="24"/>
        </w:rPr>
        <w:t>nedsat leverfunktion</w:t>
      </w:r>
    </w:p>
    <w:p w:rsidR="001C76E0" w:rsidRPr="009E2480" w:rsidRDefault="001C76E0" w:rsidP="001C76E0">
      <w:pPr>
        <w:ind w:left="851"/>
        <w:rPr>
          <w:sz w:val="24"/>
          <w:szCs w:val="24"/>
        </w:rPr>
      </w:pPr>
      <w:r w:rsidRPr="009E2480">
        <w:rPr>
          <w:sz w:val="24"/>
          <w:szCs w:val="24"/>
        </w:rPr>
        <w:t xml:space="preserve">Ingen særlig dosisjustering vurderes nødvendig hos patienter med </w:t>
      </w:r>
      <w:r>
        <w:rPr>
          <w:sz w:val="24"/>
          <w:szCs w:val="24"/>
        </w:rPr>
        <w:t>let</w:t>
      </w:r>
      <w:r w:rsidRPr="009E2480">
        <w:rPr>
          <w:sz w:val="24"/>
          <w:szCs w:val="24"/>
        </w:rPr>
        <w:t xml:space="preserve"> til moderat </w:t>
      </w:r>
      <w:r>
        <w:rPr>
          <w:sz w:val="24"/>
          <w:szCs w:val="24"/>
        </w:rPr>
        <w:t>nedsat leverfunktion</w:t>
      </w:r>
      <w:r w:rsidRPr="009E2480">
        <w:rPr>
          <w:sz w:val="24"/>
          <w:szCs w:val="24"/>
        </w:rPr>
        <w:t>.</w:t>
      </w:r>
    </w:p>
    <w:p w:rsidR="001C76E0" w:rsidRPr="009E2480" w:rsidRDefault="001C76E0" w:rsidP="001C76E0">
      <w:pPr>
        <w:ind w:left="851"/>
        <w:rPr>
          <w:sz w:val="24"/>
          <w:szCs w:val="24"/>
        </w:rPr>
      </w:pPr>
      <w:r w:rsidRPr="009E2480">
        <w:rPr>
          <w:sz w:val="24"/>
          <w:szCs w:val="24"/>
        </w:rPr>
        <w:t xml:space="preserve">Patienter med </w:t>
      </w:r>
      <w:r>
        <w:rPr>
          <w:sz w:val="24"/>
          <w:szCs w:val="24"/>
        </w:rPr>
        <w:t>let</w:t>
      </w:r>
      <w:r w:rsidRPr="009E2480">
        <w:rPr>
          <w:sz w:val="24"/>
          <w:szCs w:val="24"/>
        </w:rPr>
        <w:t xml:space="preserve"> til moderat </w:t>
      </w:r>
      <w:r>
        <w:rPr>
          <w:sz w:val="24"/>
          <w:szCs w:val="24"/>
        </w:rPr>
        <w:t>nedsat leverfunktion</w:t>
      </w:r>
      <w:r w:rsidRPr="009E2480">
        <w:rPr>
          <w:sz w:val="24"/>
          <w:szCs w:val="24"/>
        </w:rPr>
        <w:t xml:space="preserve"> var inkluderet i de kliniske studier.</w:t>
      </w:r>
    </w:p>
    <w:p w:rsidR="00A119BC" w:rsidRPr="00A119BC" w:rsidRDefault="00A119BC" w:rsidP="00A119BC">
      <w:pPr>
        <w:ind w:left="851" w:hanging="851"/>
        <w:rPr>
          <w:sz w:val="24"/>
          <w:szCs w:val="24"/>
        </w:rPr>
      </w:pPr>
      <w:r w:rsidRPr="00A119BC">
        <w:rPr>
          <w:sz w:val="24"/>
          <w:szCs w:val="24"/>
        </w:rPr>
        <w:t xml:space="preserve"> </w:t>
      </w:r>
    </w:p>
    <w:p w:rsidR="00A119BC" w:rsidRPr="00A119BC" w:rsidRDefault="00A119BC" w:rsidP="00A119BC">
      <w:pPr>
        <w:ind w:left="851"/>
        <w:rPr>
          <w:sz w:val="24"/>
          <w:szCs w:val="24"/>
          <w:u w:val="single"/>
        </w:rPr>
      </w:pPr>
      <w:r w:rsidRPr="00A119BC">
        <w:rPr>
          <w:sz w:val="24"/>
          <w:szCs w:val="24"/>
          <w:u w:val="single"/>
        </w:rPr>
        <w:t>Administration</w:t>
      </w:r>
    </w:p>
    <w:p w:rsidR="00A119BC" w:rsidRPr="00A119BC" w:rsidRDefault="00A119BC" w:rsidP="00A119BC">
      <w:pPr>
        <w:ind w:left="851"/>
        <w:rPr>
          <w:noProof/>
          <w:sz w:val="24"/>
          <w:szCs w:val="24"/>
        </w:rPr>
      </w:pPr>
      <w:r w:rsidRPr="00A119BC">
        <w:rPr>
          <w:noProof/>
          <w:sz w:val="24"/>
          <w:szCs w:val="24"/>
        </w:rPr>
        <w:t>Til oral anvendelse.</w:t>
      </w:r>
    </w:p>
    <w:p w:rsidR="00A119BC" w:rsidRPr="00A119BC" w:rsidRDefault="00A119BC" w:rsidP="00A119BC">
      <w:pPr>
        <w:ind w:left="851" w:hanging="851"/>
        <w:rPr>
          <w:i/>
          <w:noProof/>
          <w:sz w:val="24"/>
          <w:szCs w:val="24"/>
        </w:rPr>
      </w:pPr>
    </w:p>
    <w:p w:rsidR="00A119BC" w:rsidRPr="00A119BC" w:rsidRDefault="00A119BC" w:rsidP="00A119BC">
      <w:pPr>
        <w:ind w:left="851"/>
        <w:rPr>
          <w:noProof/>
          <w:sz w:val="24"/>
          <w:szCs w:val="24"/>
        </w:rPr>
      </w:pPr>
      <w:r w:rsidRPr="00A119BC">
        <w:rPr>
          <w:b/>
          <w:noProof/>
          <w:sz w:val="24"/>
          <w:szCs w:val="24"/>
        </w:rPr>
        <w:t xml:space="preserve">Dosis nr. 1: </w:t>
      </w:r>
      <w:r w:rsidRPr="00A119BC">
        <w:rPr>
          <w:noProof/>
          <w:sz w:val="24"/>
          <w:szCs w:val="24"/>
        </w:rPr>
        <w:t>Indholdet af det enkelte brev i dosis nr. 1 skal blandes med vand til en 500 ml opløsning. Den rekonstituerede opløsning plus yderligere 500 ml klar væske skal tages over en periode på 60 minutter</w:t>
      </w:r>
    </w:p>
    <w:p w:rsidR="00A119BC" w:rsidRPr="00A119BC" w:rsidRDefault="00A119BC" w:rsidP="00A119BC">
      <w:pPr>
        <w:ind w:left="851"/>
        <w:rPr>
          <w:noProof/>
          <w:sz w:val="24"/>
          <w:szCs w:val="24"/>
        </w:rPr>
      </w:pPr>
      <w:r w:rsidRPr="00A119BC">
        <w:rPr>
          <w:noProof/>
          <w:sz w:val="24"/>
          <w:szCs w:val="24"/>
        </w:rPr>
        <w:t>Skift mellem den rekonstituerede opløsning og klar væske er acceptabel.</w:t>
      </w:r>
    </w:p>
    <w:p w:rsidR="00A119BC" w:rsidRPr="00A119BC" w:rsidRDefault="00A119BC" w:rsidP="00A119BC">
      <w:pPr>
        <w:ind w:left="851" w:hanging="851"/>
        <w:rPr>
          <w:noProof/>
          <w:sz w:val="24"/>
          <w:szCs w:val="24"/>
        </w:rPr>
      </w:pPr>
    </w:p>
    <w:p w:rsidR="00A119BC" w:rsidRPr="00A119BC" w:rsidRDefault="00A119BC" w:rsidP="00A119BC">
      <w:pPr>
        <w:ind w:left="851"/>
        <w:rPr>
          <w:noProof/>
          <w:sz w:val="24"/>
          <w:szCs w:val="24"/>
        </w:rPr>
      </w:pPr>
      <w:r w:rsidRPr="00A119BC">
        <w:rPr>
          <w:b/>
          <w:noProof/>
          <w:sz w:val="24"/>
          <w:szCs w:val="24"/>
        </w:rPr>
        <w:t>Dosis nr. 2</w:t>
      </w:r>
      <w:r w:rsidRPr="00A119BC">
        <w:rPr>
          <w:noProof/>
          <w:sz w:val="24"/>
          <w:szCs w:val="24"/>
        </w:rPr>
        <w:t xml:space="preserve">: Indholdet af de to breve (A og B) i dosis nr. 2 skal blandes med vand til en 500 ml opløsning. Den rekonstituerede opløsning plus yderligere 500 ml klar væske skal tages over en periode på 60 minutter. Skift mellem den rekonstituerede opløsning og klar væske er acceptabel. </w:t>
      </w:r>
    </w:p>
    <w:p w:rsidR="00A119BC" w:rsidRPr="00A119BC" w:rsidRDefault="00A119BC" w:rsidP="00A119BC">
      <w:pPr>
        <w:ind w:left="851"/>
        <w:rPr>
          <w:noProof/>
          <w:sz w:val="24"/>
          <w:szCs w:val="24"/>
        </w:rPr>
      </w:pPr>
    </w:p>
    <w:p w:rsidR="00A119BC" w:rsidRPr="00A119BC" w:rsidRDefault="00A119BC" w:rsidP="00A119BC">
      <w:pPr>
        <w:ind w:left="851"/>
        <w:rPr>
          <w:noProof/>
          <w:sz w:val="24"/>
          <w:szCs w:val="24"/>
        </w:rPr>
      </w:pPr>
      <w:r w:rsidRPr="00A119BC">
        <w:rPr>
          <w:noProof/>
          <w:sz w:val="24"/>
          <w:szCs w:val="24"/>
        </w:rPr>
        <w:t>I nogle tilfælde kan indtagelsen af den rekonstituerede opløsning Plenvu nedsættes eller midlertidigt seponeres (se pkt. 4.4).</w:t>
      </w:r>
    </w:p>
    <w:p w:rsidR="00A119BC" w:rsidRPr="00A119BC" w:rsidRDefault="00A119BC" w:rsidP="00A119BC">
      <w:pPr>
        <w:ind w:left="851" w:hanging="851"/>
        <w:rPr>
          <w:noProof/>
          <w:sz w:val="24"/>
          <w:szCs w:val="24"/>
        </w:rPr>
      </w:pPr>
    </w:p>
    <w:p w:rsidR="00A119BC" w:rsidRPr="00A119BC" w:rsidRDefault="00A119BC" w:rsidP="00A119BC">
      <w:pPr>
        <w:ind w:left="851"/>
        <w:rPr>
          <w:noProof/>
          <w:sz w:val="24"/>
          <w:szCs w:val="24"/>
        </w:rPr>
      </w:pPr>
      <w:r w:rsidRPr="00A119BC">
        <w:rPr>
          <w:noProof/>
          <w:sz w:val="24"/>
          <w:szCs w:val="24"/>
        </w:rPr>
        <w:t>Ud over den indtagne væske i forbindelse med behandlingen kan der indtages supplerende klar væske (f.eks. vand, klar suppe, frugtjuice uden frugtkød, læskedrikke, te og/eller kaffe uden mælk) under hele tarmforberedelsesprocessen. Bemærk: Undgå enhver rød- eller lillafarvet væske (f.eks. solbærsaft), da dette kan farve tarmen.</w:t>
      </w:r>
    </w:p>
    <w:p w:rsidR="00A119BC" w:rsidRPr="00A119BC" w:rsidRDefault="00A119BC" w:rsidP="00A119BC">
      <w:pPr>
        <w:ind w:left="851" w:hanging="851"/>
        <w:rPr>
          <w:noProof/>
          <w:sz w:val="24"/>
          <w:szCs w:val="24"/>
        </w:rPr>
      </w:pPr>
    </w:p>
    <w:p w:rsidR="00A119BC" w:rsidRPr="00A119BC" w:rsidRDefault="00A119BC" w:rsidP="00A119BC">
      <w:pPr>
        <w:ind w:left="851"/>
        <w:rPr>
          <w:noProof/>
          <w:sz w:val="24"/>
          <w:szCs w:val="24"/>
        </w:rPr>
      </w:pPr>
      <w:r w:rsidRPr="00A119BC">
        <w:rPr>
          <w:noProof/>
          <w:sz w:val="24"/>
          <w:szCs w:val="24"/>
        </w:rPr>
        <w:t>Indtag af alle væsker bør stoppes mindst;</w:t>
      </w:r>
    </w:p>
    <w:p w:rsidR="00A119BC" w:rsidRPr="00A119BC" w:rsidRDefault="00A119BC" w:rsidP="00A119BC">
      <w:pPr>
        <w:numPr>
          <w:ilvl w:val="0"/>
          <w:numId w:val="7"/>
        </w:numPr>
        <w:ind w:left="1276" w:hanging="425"/>
        <w:rPr>
          <w:noProof/>
          <w:sz w:val="24"/>
          <w:szCs w:val="24"/>
        </w:rPr>
      </w:pPr>
      <w:r w:rsidRPr="00A119BC">
        <w:rPr>
          <w:noProof/>
          <w:sz w:val="24"/>
          <w:szCs w:val="24"/>
        </w:rPr>
        <w:t>to timer før den kliniske undersøgelse, hvis der foretages fuld narkose, eller</w:t>
      </w:r>
    </w:p>
    <w:p w:rsidR="00A119BC" w:rsidRPr="00A119BC" w:rsidRDefault="00A119BC" w:rsidP="00A119BC">
      <w:pPr>
        <w:numPr>
          <w:ilvl w:val="0"/>
          <w:numId w:val="7"/>
        </w:numPr>
        <w:ind w:left="1276" w:hanging="425"/>
        <w:rPr>
          <w:noProof/>
          <w:sz w:val="24"/>
          <w:szCs w:val="24"/>
        </w:rPr>
      </w:pPr>
      <w:r w:rsidRPr="00A119BC">
        <w:rPr>
          <w:noProof/>
          <w:sz w:val="24"/>
          <w:szCs w:val="24"/>
        </w:rPr>
        <w:t>en time før den kliniske undersøgelse, hvis der ikke foretages fuld narkose.</w:t>
      </w:r>
    </w:p>
    <w:p w:rsidR="00A119BC" w:rsidRPr="00A119BC" w:rsidRDefault="00A119BC" w:rsidP="00A119BC">
      <w:pPr>
        <w:ind w:left="851" w:hanging="851"/>
        <w:rPr>
          <w:noProof/>
          <w:sz w:val="24"/>
          <w:szCs w:val="24"/>
        </w:rPr>
      </w:pPr>
    </w:p>
    <w:p w:rsidR="00A119BC" w:rsidRPr="00A119BC" w:rsidRDefault="00A119BC" w:rsidP="00A119BC">
      <w:pPr>
        <w:ind w:left="851"/>
        <w:rPr>
          <w:sz w:val="24"/>
          <w:szCs w:val="24"/>
          <w:u w:val="single"/>
        </w:rPr>
      </w:pPr>
      <w:r w:rsidRPr="00A119BC">
        <w:rPr>
          <w:sz w:val="24"/>
          <w:szCs w:val="24"/>
          <w:u w:val="single"/>
        </w:rPr>
        <w:t>Information vedrørende måltider</w:t>
      </w:r>
    </w:p>
    <w:p w:rsidR="00A119BC" w:rsidRPr="00A119BC" w:rsidRDefault="00A119BC" w:rsidP="00A119BC">
      <w:pPr>
        <w:ind w:left="851"/>
        <w:rPr>
          <w:sz w:val="24"/>
          <w:szCs w:val="24"/>
        </w:rPr>
      </w:pPr>
      <w:r w:rsidRPr="00A119BC">
        <w:rPr>
          <w:sz w:val="24"/>
          <w:szCs w:val="24"/>
        </w:rPr>
        <w:t xml:space="preserve">Der bør ikke indtages fast føde fra starten af behandlingsforløbet indtil efter at den kliniske undersøgelse er overstået.  </w:t>
      </w:r>
    </w:p>
    <w:p w:rsidR="00A119BC" w:rsidRPr="00A119BC" w:rsidRDefault="00A119BC" w:rsidP="00A119BC">
      <w:pPr>
        <w:ind w:left="851" w:hanging="851"/>
        <w:rPr>
          <w:sz w:val="24"/>
          <w:szCs w:val="24"/>
        </w:rPr>
      </w:pPr>
    </w:p>
    <w:p w:rsidR="00A119BC" w:rsidRPr="00A119BC" w:rsidRDefault="00A119BC" w:rsidP="00A119BC">
      <w:pPr>
        <w:ind w:left="851"/>
        <w:rPr>
          <w:sz w:val="24"/>
          <w:szCs w:val="24"/>
        </w:rPr>
      </w:pPr>
      <w:r w:rsidRPr="00A119BC">
        <w:rPr>
          <w:sz w:val="24"/>
          <w:szCs w:val="24"/>
        </w:rPr>
        <w:t>Patienter bør vente med at tage hen til klinikken, indtil afføringen er aftaget.</w:t>
      </w:r>
    </w:p>
    <w:p w:rsidR="00A119BC" w:rsidRPr="00A119BC" w:rsidRDefault="00A119BC" w:rsidP="00A119BC">
      <w:pPr>
        <w:ind w:left="851" w:hanging="851"/>
        <w:rPr>
          <w:sz w:val="24"/>
          <w:szCs w:val="24"/>
        </w:rPr>
      </w:pPr>
    </w:p>
    <w:p w:rsidR="00A119BC" w:rsidRPr="00A119BC" w:rsidRDefault="00A119BC" w:rsidP="00A119BC">
      <w:pPr>
        <w:ind w:left="851"/>
        <w:rPr>
          <w:sz w:val="24"/>
          <w:szCs w:val="24"/>
        </w:rPr>
      </w:pPr>
      <w:proofErr w:type="spellStart"/>
      <w:r w:rsidRPr="00A119BC">
        <w:rPr>
          <w:sz w:val="24"/>
          <w:szCs w:val="24"/>
        </w:rPr>
        <w:lastRenderedPageBreak/>
        <w:t>To-dages</w:t>
      </w:r>
      <w:proofErr w:type="spellEnd"/>
      <w:r w:rsidRPr="00A119BC">
        <w:rPr>
          <w:sz w:val="24"/>
          <w:szCs w:val="24"/>
        </w:rPr>
        <w:t xml:space="preserve"> delt dosis behandlingsforløb </w:t>
      </w:r>
      <w:r w:rsidRPr="00A119BC">
        <w:rPr>
          <w:b/>
          <w:sz w:val="24"/>
          <w:szCs w:val="24"/>
        </w:rPr>
        <w:t>og</w:t>
      </w:r>
      <w:r w:rsidRPr="00A119BC">
        <w:rPr>
          <w:sz w:val="24"/>
          <w:szCs w:val="24"/>
        </w:rPr>
        <w:t xml:space="preserve"> dagen før:</w:t>
      </w:r>
    </w:p>
    <w:p w:rsidR="00A119BC" w:rsidRPr="00A119BC" w:rsidRDefault="00A119BC" w:rsidP="00A119BC">
      <w:pPr>
        <w:ind w:left="851"/>
        <w:rPr>
          <w:sz w:val="24"/>
          <w:szCs w:val="24"/>
        </w:rPr>
      </w:pPr>
      <w:r w:rsidRPr="00A119BC">
        <w:rPr>
          <w:sz w:val="24"/>
          <w:szCs w:val="24"/>
        </w:rPr>
        <w:t>Dagen før den kliniske undersøgelse må patienter indtage et let morgenmåltid efterfulgt af en let frokost, der skal være afsluttet mindst 3 timer før starten af den første dosis.</w:t>
      </w:r>
    </w:p>
    <w:p w:rsidR="00A119BC" w:rsidRPr="00A119BC" w:rsidRDefault="00A119BC" w:rsidP="00A119BC">
      <w:pPr>
        <w:ind w:left="851" w:hanging="851"/>
        <w:rPr>
          <w:sz w:val="24"/>
          <w:szCs w:val="24"/>
        </w:rPr>
      </w:pPr>
    </w:p>
    <w:p w:rsidR="00A119BC" w:rsidRPr="00A119BC" w:rsidRDefault="00A119BC" w:rsidP="00A119BC">
      <w:pPr>
        <w:keepNext/>
        <w:ind w:left="851"/>
        <w:rPr>
          <w:sz w:val="24"/>
          <w:szCs w:val="24"/>
        </w:rPr>
      </w:pPr>
      <w:r w:rsidRPr="00A119BC">
        <w:rPr>
          <w:sz w:val="24"/>
          <w:szCs w:val="24"/>
        </w:rPr>
        <w:t>Morgen behandlingsforløb:</w:t>
      </w:r>
    </w:p>
    <w:p w:rsidR="00A119BC" w:rsidRPr="00A119BC" w:rsidRDefault="00A119BC" w:rsidP="00A119BC">
      <w:pPr>
        <w:ind w:left="851"/>
        <w:rPr>
          <w:sz w:val="24"/>
          <w:szCs w:val="24"/>
        </w:rPr>
      </w:pPr>
      <w:r w:rsidRPr="00A119BC">
        <w:rPr>
          <w:sz w:val="24"/>
          <w:szCs w:val="24"/>
        </w:rPr>
        <w:t>Dagen før den kliniske undersøgelse må patienter indtage et let morgenmåltid efterfulgt af en let frokost, og klar suppe og/eller almindelig yoghurt til aftensmad, der skal være afsluttet ca. klokken 20.00.</w:t>
      </w:r>
    </w:p>
    <w:p w:rsidR="00A119BC" w:rsidRPr="00A119BC" w:rsidRDefault="00A119BC" w:rsidP="00A119BC">
      <w:pPr>
        <w:ind w:left="851" w:hanging="851"/>
        <w:rPr>
          <w:sz w:val="24"/>
          <w:szCs w:val="24"/>
        </w:rPr>
      </w:pPr>
    </w:p>
    <w:p w:rsidR="00A119BC" w:rsidRPr="00CB242B" w:rsidRDefault="00A119BC" w:rsidP="00A119BC">
      <w:pPr>
        <w:ind w:left="851"/>
        <w:rPr>
          <w:noProof/>
          <w:sz w:val="24"/>
          <w:szCs w:val="24"/>
        </w:rPr>
      </w:pPr>
      <w:r w:rsidRPr="00A119BC">
        <w:rPr>
          <w:noProof/>
          <w:sz w:val="24"/>
          <w:szCs w:val="24"/>
        </w:rPr>
        <w:t>For instruktioner om rekonstitution af lægemidlet før administration, se pkt. 6.6.</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4.3</w:t>
      </w:r>
      <w:r w:rsidRPr="00CB242B">
        <w:rPr>
          <w:b/>
          <w:sz w:val="24"/>
          <w:szCs w:val="24"/>
        </w:rPr>
        <w:tab/>
        <w:t>Kontraindikationer</w:t>
      </w:r>
    </w:p>
    <w:p w:rsidR="00AB7145" w:rsidRPr="00CB242B" w:rsidRDefault="00AB7145" w:rsidP="00AB7145">
      <w:pPr>
        <w:ind w:left="851"/>
        <w:rPr>
          <w:sz w:val="24"/>
          <w:szCs w:val="24"/>
        </w:rPr>
      </w:pPr>
      <w:r w:rsidRPr="00CB242B">
        <w:rPr>
          <w:sz w:val="24"/>
          <w:szCs w:val="24"/>
        </w:rPr>
        <w:t xml:space="preserve">Må ikke anvendes hos patienter med kendt eller formodet: </w:t>
      </w:r>
    </w:p>
    <w:p w:rsidR="00AB7145" w:rsidRPr="00CB242B" w:rsidRDefault="00AB7145" w:rsidP="00AB7145">
      <w:pPr>
        <w:ind w:left="851" w:hanging="851"/>
        <w:rPr>
          <w:sz w:val="24"/>
          <w:szCs w:val="24"/>
        </w:rPr>
      </w:pPr>
    </w:p>
    <w:p w:rsidR="00AB7145" w:rsidRPr="00CB242B" w:rsidRDefault="00AB7145" w:rsidP="00AB7145">
      <w:pPr>
        <w:numPr>
          <w:ilvl w:val="0"/>
          <w:numId w:val="8"/>
        </w:numPr>
        <w:ind w:left="1276" w:hanging="425"/>
        <w:rPr>
          <w:sz w:val="24"/>
          <w:szCs w:val="24"/>
        </w:rPr>
      </w:pPr>
      <w:r w:rsidRPr="00CB242B">
        <w:rPr>
          <w:sz w:val="24"/>
          <w:szCs w:val="24"/>
        </w:rPr>
        <w:t xml:space="preserve">overfølsomhed over for de aktive </w:t>
      </w:r>
      <w:r w:rsidR="001C76E0" w:rsidRPr="009E2480">
        <w:rPr>
          <w:sz w:val="24"/>
          <w:szCs w:val="24"/>
        </w:rPr>
        <w:t>stoffer</w:t>
      </w:r>
      <w:r w:rsidRPr="00CB242B">
        <w:rPr>
          <w:sz w:val="24"/>
          <w:szCs w:val="24"/>
        </w:rPr>
        <w:t xml:space="preserve"> eller over for et eller flere af hjælpestofferne anført i pkt. 6.1</w:t>
      </w:r>
    </w:p>
    <w:p w:rsidR="00AB7145" w:rsidRPr="00CB242B" w:rsidRDefault="00AB7145" w:rsidP="00AB7145">
      <w:pPr>
        <w:numPr>
          <w:ilvl w:val="0"/>
          <w:numId w:val="8"/>
        </w:numPr>
        <w:ind w:left="1276" w:hanging="425"/>
        <w:rPr>
          <w:sz w:val="24"/>
          <w:szCs w:val="24"/>
        </w:rPr>
      </w:pPr>
      <w:proofErr w:type="spellStart"/>
      <w:r w:rsidRPr="00CB242B">
        <w:rPr>
          <w:sz w:val="24"/>
          <w:szCs w:val="24"/>
        </w:rPr>
        <w:t>gastrointestinal</w:t>
      </w:r>
      <w:proofErr w:type="spellEnd"/>
      <w:r w:rsidRPr="00CB242B">
        <w:rPr>
          <w:sz w:val="24"/>
          <w:szCs w:val="24"/>
        </w:rPr>
        <w:t xml:space="preserve"> obstruktion eller perforation</w:t>
      </w:r>
    </w:p>
    <w:p w:rsidR="00AB7145" w:rsidRPr="00CB242B" w:rsidRDefault="00AB7145" w:rsidP="00AB7145">
      <w:pPr>
        <w:numPr>
          <w:ilvl w:val="0"/>
          <w:numId w:val="8"/>
        </w:numPr>
        <w:ind w:left="1276" w:hanging="425"/>
        <w:rPr>
          <w:sz w:val="24"/>
          <w:szCs w:val="24"/>
        </w:rPr>
      </w:pPr>
      <w:proofErr w:type="spellStart"/>
      <w:r w:rsidRPr="00CB242B">
        <w:rPr>
          <w:sz w:val="24"/>
          <w:szCs w:val="24"/>
        </w:rPr>
        <w:t>ileus</w:t>
      </w:r>
      <w:proofErr w:type="spellEnd"/>
    </w:p>
    <w:p w:rsidR="00AB7145" w:rsidRPr="00CB242B" w:rsidRDefault="00AB7145" w:rsidP="00AB7145">
      <w:pPr>
        <w:numPr>
          <w:ilvl w:val="0"/>
          <w:numId w:val="8"/>
        </w:numPr>
        <w:ind w:left="1276" w:hanging="425"/>
        <w:rPr>
          <w:sz w:val="24"/>
          <w:szCs w:val="24"/>
        </w:rPr>
      </w:pPr>
      <w:r w:rsidRPr="00CB242B">
        <w:rPr>
          <w:sz w:val="24"/>
          <w:szCs w:val="24"/>
        </w:rPr>
        <w:t xml:space="preserve">lidelser i forbindelse med tømning af mave og tarm (f.eks. </w:t>
      </w:r>
      <w:proofErr w:type="spellStart"/>
      <w:r w:rsidRPr="00CB242B">
        <w:rPr>
          <w:sz w:val="24"/>
          <w:szCs w:val="24"/>
        </w:rPr>
        <w:t>gastroparese</w:t>
      </w:r>
      <w:proofErr w:type="spellEnd"/>
      <w:r w:rsidRPr="00CB242B">
        <w:rPr>
          <w:sz w:val="24"/>
          <w:szCs w:val="24"/>
        </w:rPr>
        <w:t>, gastrisk retention, osv.)</w:t>
      </w:r>
    </w:p>
    <w:p w:rsidR="00AB7145" w:rsidRPr="00CB242B" w:rsidRDefault="00AB7145" w:rsidP="00AB7145">
      <w:pPr>
        <w:numPr>
          <w:ilvl w:val="0"/>
          <w:numId w:val="8"/>
        </w:numPr>
        <w:ind w:left="1276" w:hanging="425"/>
        <w:rPr>
          <w:sz w:val="24"/>
          <w:szCs w:val="24"/>
        </w:rPr>
      </w:pPr>
      <w:proofErr w:type="spellStart"/>
      <w:r w:rsidRPr="00CB242B">
        <w:rPr>
          <w:sz w:val="24"/>
          <w:szCs w:val="24"/>
        </w:rPr>
        <w:t>fenylketonuri</w:t>
      </w:r>
      <w:proofErr w:type="spellEnd"/>
      <w:r w:rsidRPr="00CB242B">
        <w:rPr>
          <w:sz w:val="24"/>
          <w:szCs w:val="24"/>
        </w:rPr>
        <w:t xml:space="preserve"> (på grund af indholdet af </w:t>
      </w:r>
      <w:proofErr w:type="spellStart"/>
      <w:r w:rsidRPr="00CB242B">
        <w:rPr>
          <w:sz w:val="24"/>
          <w:szCs w:val="24"/>
        </w:rPr>
        <w:t>aspartam</w:t>
      </w:r>
      <w:proofErr w:type="spellEnd"/>
      <w:r w:rsidRPr="00CB242B">
        <w:rPr>
          <w:sz w:val="24"/>
          <w:szCs w:val="24"/>
        </w:rPr>
        <w:t xml:space="preserve">) </w:t>
      </w:r>
    </w:p>
    <w:p w:rsidR="00AB7145" w:rsidRPr="00CB242B" w:rsidRDefault="00AB7145" w:rsidP="00AB7145">
      <w:pPr>
        <w:numPr>
          <w:ilvl w:val="0"/>
          <w:numId w:val="8"/>
        </w:numPr>
        <w:ind w:left="1276" w:hanging="425"/>
        <w:rPr>
          <w:sz w:val="24"/>
          <w:szCs w:val="24"/>
        </w:rPr>
      </w:pPr>
      <w:r w:rsidRPr="00CB242B">
        <w:rPr>
          <w:sz w:val="24"/>
          <w:szCs w:val="24"/>
        </w:rPr>
        <w:t xml:space="preserve">mangel på glucose-6-fosfat </w:t>
      </w:r>
      <w:proofErr w:type="spellStart"/>
      <w:r w:rsidRPr="00CB242B">
        <w:rPr>
          <w:sz w:val="24"/>
          <w:szCs w:val="24"/>
        </w:rPr>
        <w:t>dehydrogenase</w:t>
      </w:r>
      <w:proofErr w:type="spellEnd"/>
      <w:r w:rsidRPr="00CB242B">
        <w:rPr>
          <w:sz w:val="24"/>
          <w:szCs w:val="24"/>
        </w:rPr>
        <w:t xml:space="preserve"> (på grund af indholdet af </w:t>
      </w:r>
      <w:proofErr w:type="spellStart"/>
      <w:r w:rsidRPr="00CB242B">
        <w:rPr>
          <w:sz w:val="24"/>
          <w:szCs w:val="24"/>
        </w:rPr>
        <w:t>ascorbat</w:t>
      </w:r>
      <w:proofErr w:type="spellEnd"/>
      <w:r w:rsidRPr="00CB242B">
        <w:rPr>
          <w:sz w:val="24"/>
          <w:szCs w:val="24"/>
        </w:rPr>
        <w:t>)</w:t>
      </w:r>
    </w:p>
    <w:p w:rsidR="00AB7145" w:rsidRPr="00CB242B" w:rsidRDefault="00AB7145" w:rsidP="00AB7145">
      <w:pPr>
        <w:numPr>
          <w:ilvl w:val="0"/>
          <w:numId w:val="8"/>
        </w:numPr>
        <w:ind w:left="1276" w:hanging="425"/>
        <w:rPr>
          <w:sz w:val="24"/>
          <w:szCs w:val="24"/>
        </w:rPr>
      </w:pPr>
      <w:r w:rsidRPr="00CB242B">
        <w:rPr>
          <w:sz w:val="24"/>
          <w:szCs w:val="24"/>
        </w:rPr>
        <w:t xml:space="preserve">toksisk </w:t>
      </w:r>
      <w:proofErr w:type="spellStart"/>
      <w:r w:rsidRPr="00CB242B">
        <w:rPr>
          <w:sz w:val="24"/>
          <w:szCs w:val="24"/>
        </w:rPr>
        <w:t>megacolon</w:t>
      </w:r>
      <w:proofErr w:type="spellEnd"/>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4.4</w:t>
      </w:r>
      <w:r w:rsidRPr="00CB242B">
        <w:rPr>
          <w:b/>
          <w:sz w:val="24"/>
          <w:szCs w:val="24"/>
        </w:rPr>
        <w:tab/>
        <w:t>Særlige advarsler og forsigtighedsregler vedrørende brugen</w:t>
      </w:r>
    </w:p>
    <w:p w:rsidR="00AB7145" w:rsidRPr="00CB242B" w:rsidRDefault="00AB7145" w:rsidP="00AB7145">
      <w:pPr>
        <w:ind w:left="851"/>
        <w:rPr>
          <w:sz w:val="24"/>
          <w:szCs w:val="24"/>
        </w:rPr>
      </w:pPr>
      <w:r w:rsidRPr="00CB242B">
        <w:rPr>
          <w:sz w:val="24"/>
          <w:szCs w:val="24"/>
        </w:rPr>
        <w:t xml:space="preserve">Væskeindholdet i </w:t>
      </w:r>
      <w:proofErr w:type="spellStart"/>
      <w:r w:rsidRPr="00CB242B">
        <w:rPr>
          <w:sz w:val="24"/>
          <w:szCs w:val="24"/>
        </w:rPr>
        <w:t>Plenvu</w:t>
      </w:r>
      <w:proofErr w:type="spellEnd"/>
      <w:r w:rsidRPr="00CB242B">
        <w:rPr>
          <w:sz w:val="24"/>
          <w:szCs w:val="24"/>
        </w:rPr>
        <w:t xml:space="preserve"> efter </w:t>
      </w:r>
      <w:proofErr w:type="spellStart"/>
      <w:r w:rsidRPr="00CB242B">
        <w:rPr>
          <w:sz w:val="24"/>
          <w:szCs w:val="24"/>
        </w:rPr>
        <w:t>rekonstitution</w:t>
      </w:r>
      <w:proofErr w:type="spellEnd"/>
      <w:r w:rsidRPr="00CB242B">
        <w:rPr>
          <w:sz w:val="24"/>
          <w:szCs w:val="24"/>
        </w:rPr>
        <w:t xml:space="preserve"> med vand, erstatter ikke regelmæssigt væskeindtag og tilstrækkeligt væskeindtag bør opretholdes.</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Som for andre produkter, der indeholder </w:t>
      </w:r>
      <w:proofErr w:type="spellStart"/>
      <w:r w:rsidRPr="00CB242B">
        <w:rPr>
          <w:sz w:val="24"/>
          <w:szCs w:val="24"/>
        </w:rPr>
        <w:t>macrogol</w:t>
      </w:r>
      <w:proofErr w:type="spellEnd"/>
      <w:r w:rsidRPr="00CB242B">
        <w:rPr>
          <w:sz w:val="24"/>
          <w:szCs w:val="24"/>
        </w:rPr>
        <w:t xml:space="preserve">, er allergiske reaktioner i form af udslæt, </w:t>
      </w:r>
      <w:proofErr w:type="spellStart"/>
      <w:r w:rsidRPr="00CB242B">
        <w:rPr>
          <w:sz w:val="24"/>
          <w:szCs w:val="24"/>
        </w:rPr>
        <w:t>urticaria</w:t>
      </w:r>
      <w:proofErr w:type="spellEnd"/>
      <w:r w:rsidRPr="00CB242B">
        <w:rPr>
          <w:sz w:val="24"/>
          <w:szCs w:val="24"/>
        </w:rPr>
        <w:t xml:space="preserve">, </w:t>
      </w:r>
      <w:proofErr w:type="spellStart"/>
      <w:r w:rsidRPr="00CB242B">
        <w:rPr>
          <w:sz w:val="24"/>
          <w:szCs w:val="24"/>
        </w:rPr>
        <w:t>pruritus</w:t>
      </w:r>
      <w:proofErr w:type="spellEnd"/>
      <w:r w:rsidRPr="00CB242B">
        <w:rPr>
          <w:sz w:val="24"/>
          <w:szCs w:val="24"/>
        </w:rPr>
        <w:t xml:space="preserve">, </w:t>
      </w:r>
      <w:proofErr w:type="spellStart"/>
      <w:r w:rsidRPr="00CB242B">
        <w:rPr>
          <w:sz w:val="24"/>
          <w:szCs w:val="24"/>
        </w:rPr>
        <w:t>angioødem</w:t>
      </w:r>
      <w:proofErr w:type="spellEnd"/>
      <w:r w:rsidRPr="00CB242B">
        <w:rPr>
          <w:sz w:val="24"/>
          <w:szCs w:val="24"/>
        </w:rPr>
        <w:t xml:space="preserve"> og anafylaksi mulige.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Forsigtighed bør anvendes ved administration af </w:t>
      </w:r>
      <w:proofErr w:type="spellStart"/>
      <w:r w:rsidRPr="00CB242B">
        <w:rPr>
          <w:sz w:val="24"/>
          <w:szCs w:val="24"/>
        </w:rPr>
        <w:t>Plenvu</w:t>
      </w:r>
      <w:proofErr w:type="spellEnd"/>
      <w:r w:rsidRPr="00CB242B">
        <w:rPr>
          <w:sz w:val="24"/>
          <w:szCs w:val="24"/>
        </w:rPr>
        <w:t xml:space="preserve"> til skrøbelige eller svækkede patienter.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proofErr w:type="spellStart"/>
      <w:r w:rsidRPr="00CB242B">
        <w:rPr>
          <w:sz w:val="24"/>
          <w:szCs w:val="24"/>
        </w:rPr>
        <w:t>Plenvu</w:t>
      </w:r>
      <w:proofErr w:type="spellEnd"/>
      <w:r w:rsidRPr="00CB242B">
        <w:rPr>
          <w:sz w:val="24"/>
          <w:szCs w:val="24"/>
        </w:rPr>
        <w:t xml:space="preserve"> bør også anvendes med forsigtighed hos patienter med:</w:t>
      </w:r>
    </w:p>
    <w:p w:rsidR="00AB7145" w:rsidRPr="00CB242B" w:rsidRDefault="00AB7145" w:rsidP="00AB7145">
      <w:pPr>
        <w:ind w:left="851" w:hanging="851"/>
        <w:rPr>
          <w:sz w:val="24"/>
          <w:szCs w:val="24"/>
        </w:rPr>
      </w:pPr>
    </w:p>
    <w:p w:rsidR="00AB7145" w:rsidRPr="00CB242B" w:rsidRDefault="00AB7145" w:rsidP="00AB7145">
      <w:pPr>
        <w:numPr>
          <w:ilvl w:val="0"/>
          <w:numId w:val="9"/>
        </w:numPr>
        <w:ind w:left="1276" w:hanging="425"/>
        <w:rPr>
          <w:sz w:val="24"/>
          <w:szCs w:val="24"/>
        </w:rPr>
      </w:pPr>
      <w:r w:rsidRPr="00CB242B">
        <w:rPr>
          <w:sz w:val="24"/>
          <w:szCs w:val="24"/>
        </w:rPr>
        <w:t xml:space="preserve">nedsat brækrefleks, med risiko for </w:t>
      </w:r>
      <w:proofErr w:type="spellStart"/>
      <w:r w:rsidRPr="00CB242B">
        <w:rPr>
          <w:sz w:val="24"/>
          <w:szCs w:val="24"/>
        </w:rPr>
        <w:t>regurgitation</w:t>
      </w:r>
      <w:proofErr w:type="spellEnd"/>
      <w:r w:rsidRPr="00CB242B">
        <w:rPr>
          <w:sz w:val="24"/>
          <w:szCs w:val="24"/>
        </w:rPr>
        <w:t xml:space="preserve"> eller aspiration, eller med bevidsthedssvækkelse. Sådanne patienter bør observeres nøje under administrationen, især hvis givet via en næsesonde</w:t>
      </w:r>
    </w:p>
    <w:p w:rsidR="00AB7145" w:rsidRPr="00CB242B" w:rsidRDefault="001C76E0" w:rsidP="00AB7145">
      <w:pPr>
        <w:numPr>
          <w:ilvl w:val="0"/>
          <w:numId w:val="9"/>
        </w:numPr>
        <w:ind w:left="1276" w:hanging="425"/>
        <w:rPr>
          <w:sz w:val="24"/>
          <w:szCs w:val="24"/>
        </w:rPr>
      </w:pPr>
      <w:r>
        <w:rPr>
          <w:sz w:val="24"/>
          <w:szCs w:val="24"/>
        </w:rPr>
        <w:t>svært nedsat nyrefunktion</w:t>
      </w:r>
      <w:r w:rsidRPr="009E2480">
        <w:rPr>
          <w:sz w:val="24"/>
          <w:szCs w:val="24"/>
        </w:rPr>
        <w:t xml:space="preserve"> </w:t>
      </w:r>
      <w:r w:rsidR="00AB7145" w:rsidRPr="00CB242B">
        <w:rPr>
          <w:sz w:val="24"/>
          <w:szCs w:val="24"/>
        </w:rPr>
        <w:t>(</w:t>
      </w:r>
      <w:proofErr w:type="spellStart"/>
      <w:r w:rsidR="00AB7145" w:rsidRPr="00CB242B">
        <w:rPr>
          <w:sz w:val="24"/>
          <w:szCs w:val="24"/>
        </w:rPr>
        <w:t>creatinin</w:t>
      </w:r>
      <w:proofErr w:type="spellEnd"/>
      <w:r w:rsidR="00AB7145" w:rsidRPr="00CB242B">
        <w:rPr>
          <w:sz w:val="24"/>
          <w:szCs w:val="24"/>
        </w:rPr>
        <w:t xml:space="preserve"> </w:t>
      </w:r>
      <w:proofErr w:type="spellStart"/>
      <w:r w:rsidR="00AB7145" w:rsidRPr="00CB242B">
        <w:rPr>
          <w:sz w:val="24"/>
          <w:szCs w:val="24"/>
        </w:rPr>
        <w:t>clearance</w:t>
      </w:r>
      <w:proofErr w:type="spellEnd"/>
      <w:r w:rsidR="00AB7145" w:rsidRPr="00CB242B">
        <w:rPr>
          <w:sz w:val="24"/>
          <w:szCs w:val="24"/>
        </w:rPr>
        <w:t xml:space="preserve"> under 30 ml/minut/1,73 m</w:t>
      </w:r>
      <w:r w:rsidR="00AB7145" w:rsidRPr="00CB242B">
        <w:rPr>
          <w:sz w:val="24"/>
          <w:szCs w:val="24"/>
          <w:vertAlign w:val="superscript"/>
        </w:rPr>
        <w:t>2</w:t>
      </w:r>
      <w:r w:rsidR="00AB7145" w:rsidRPr="00CB242B">
        <w:rPr>
          <w:sz w:val="24"/>
          <w:szCs w:val="24"/>
        </w:rPr>
        <w:t>)</w:t>
      </w:r>
    </w:p>
    <w:p w:rsidR="00AB7145" w:rsidRPr="00CB242B" w:rsidRDefault="00AB7145" w:rsidP="00AB7145">
      <w:pPr>
        <w:numPr>
          <w:ilvl w:val="0"/>
          <w:numId w:val="9"/>
        </w:numPr>
        <w:ind w:left="1276" w:hanging="425"/>
        <w:rPr>
          <w:sz w:val="24"/>
          <w:szCs w:val="24"/>
        </w:rPr>
      </w:pPr>
      <w:r w:rsidRPr="00CB242B">
        <w:rPr>
          <w:sz w:val="24"/>
          <w:szCs w:val="24"/>
        </w:rPr>
        <w:t xml:space="preserve">hjerteinsufficiens (grad III eller IV NYHA) </w:t>
      </w:r>
    </w:p>
    <w:p w:rsidR="00AB7145" w:rsidRPr="00CB242B" w:rsidRDefault="00AB7145" w:rsidP="00AB7145">
      <w:pPr>
        <w:numPr>
          <w:ilvl w:val="0"/>
          <w:numId w:val="9"/>
        </w:numPr>
        <w:ind w:left="1276" w:hanging="425"/>
        <w:rPr>
          <w:sz w:val="24"/>
          <w:szCs w:val="24"/>
        </w:rPr>
      </w:pPr>
      <w:r w:rsidRPr="00CB242B">
        <w:rPr>
          <w:sz w:val="24"/>
          <w:szCs w:val="24"/>
        </w:rPr>
        <w:t xml:space="preserve">risiko for </w:t>
      </w:r>
      <w:proofErr w:type="spellStart"/>
      <w:r w:rsidRPr="00CB242B">
        <w:rPr>
          <w:sz w:val="24"/>
          <w:szCs w:val="24"/>
        </w:rPr>
        <w:t>arytmier</w:t>
      </w:r>
      <w:proofErr w:type="spellEnd"/>
      <w:r w:rsidRPr="00CB242B">
        <w:rPr>
          <w:sz w:val="24"/>
          <w:szCs w:val="24"/>
        </w:rPr>
        <w:t xml:space="preserve"> for eksempel ved behandling for hjerte-kar-sygdom, sygdom i skjoldbruskkirtlen eller elektrolyt ubalance</w:t>
      </w:r>
    </w:p>
    <w:p w:rsidR="00AB7145" w:rsidRPr="00CB242B" w:rsidRDefault="00AB7145" w:rsidP="00AB7145">
      <w:pPr>
        <w:numPr>
          <w:ilvl w:val="0"/>
          <w:numId w:val="9"/>
        </w:numPr>
        <w:ind w:left="1276" w:hanging="425"/>
        <w:rPr>
          <w:sz w:val="24"/>
          <w:szCs w:val="24"/>
        </w:rPr>
      </w:pPr>
      <w:r w:rsidRPr="00CB242B">
        <w:rPr>
          <w:sz w:val="24"/>
          <w:szCs w:val="24"/>
        </w:rPr>
        <w:t xml:space="preserve">dehydrering </w:t>
      </w:r>
    </w:p>
    <w:p w:rsidR="00AB7145" w:rsidRPr="00CB242B" w:rsidRDefault="00AB7145" w:rsidP="00AB7145">
      <w:pPr>
        <w:numPr>
          <w:ilvl w:val="0"/>
          <w:numId w:val="9"/>
        </w:numPr>
        <w:ind w:left="1276" w:hanging="425"/>
        <w:rPr>
          <w:sz w:val="24"/>
          <w:szCs w:val="24"/>
        </w:rPr>
      </w:pPr>
      <w:r w:rsidRPr="00CB242B">
        <w:rPr>
          <w:sz w:val="24"/>
          <w:szCs w:val="24"/>
        </w:rPr>
        <w:t>alvorlig akut inflammatorisk tarmsygdom.</w:t>
      </w:r>
    </w:p>
    <w:p w:rsidR="00AB7145" w:rsidRPr="00CB242B" w:rsidRDefault="00AB7145" w:rsidP="00AB7145">
      <w:pPr>
        <w:ind w:left="851" w:hanging="851"/>
        <w:rPr>
          <w:sz w:val="24"/>
          <w:szCs w:val="24"/>
        </w:rPr>
      </w:pPr>
    </w:p>
    <w:p w:rsidR="00AB7145" w:rsidRDefault="00AB7145" w:rsidP="00AB7145">
      <w:pPr>
        <w:ind w:left="851"/>
        <w:rPr>
          <w:sz w:val="24"/>
          <w:szCs w:val="24"/>
        </w:rPr>
      </w:pPr>
      <w:r w:rsidRPr="00CB242B">
        <w:rPr>
          <w:sz w:val="24"/>
          <w:szCs w:val="24"/>
        </w:rPr>
        <w:t xml:space="preserve">Hos svækkede og skrøbelige patienter, patienter med dårligt helbred, patienter med klinisk signifikant nedsat nyrefunktion, </w:t>
      </w:r>
      <w:proofErr w:type="spellStart"/>
      <w:r w:rsidRPr="00CB242B">
        <w:rPr>
          <w:sz w:val="24"/>
          <w:szCs w:val="24"/>
        </w:rPr>
        <w:t>arytmier</w:t>
      </w:r>
      <w:proofErr w:type="spellEnd"/>
      <w:r w:rsidRPr="00CB242B">
        <w:rPr>
          <w:sz w:val="24"/>
          <w:szCs w:val="24"/>
        </w:rPr>
        <w:t xml:space="preserve"> og patienter med risiko for elektrolytforstyrrelser, skal lægen overveje at undersøge elektrolytter, nyrefunktion og EKG som passende både </w:t>
      </w:r>
      <w:r w:rsidRPr="00CB242B">
        <w:rPr>
          <w:sz w:val="24"/>
          <w:szCs w:val="24"/>
        </w:rPr>
        <w:lastRenderedPageBreak/>
        <w:t xml:space="preserve">inden og efter behandlingen. Enhver mistanke om dehydrering bør korrigeres før brug af </w:t>
      </w:r>
      <w:proofErr w:type="spellStart"/>
      <w:r w:rsidRPr="00CB242B">
        <w:rPr>
          <w:sz w:val="24"/>
          <w:szCs w:val="24"/>
        </w:rPr>
        <w:t>Plenvu</w:t>
      </w:r>
      <w:proofErr w:type="spellEnd"/>
      <w:r w:rsidRPr="00CB242B">
        <w:rPr>
          <w:sz w:val="24"/>
          <w:szCs w:val="24"/>
        </w:rPr>
        <w:t>.</w:t>
      </w:r>
    </w:p>
    <w:p w:rsidR="00E054FA" w:rsidRDefault="00E054FA" w:rsidP="00AB7145">
      <w:pPr>
        <w:ind w:left="851"/>
        <w:rPr>
          <w:sz w:val="24"/>
          <w:szCs w:val="24"/>
        </w:rPr>
      </w:pPr>
    </w:p>
    <w:p w:rsidR="00E054FA" w:rsidRPr="00CB242B" w:rsidRDefault="00E054FA" w:rsidP="00E054FA">
      <w:pPr>
        <w:ind w:left="851"/>
        <w:rPr>
          <w:sz w:val="24"/>
          <w:szCs w:val="24"/>
        </w:rPr>
      </w:pPr>
      <w:r>
        <w:rPr>
          <w:sz w:val="24"/>
          <w:szCs w:val="24"/>
        </w:rPr>
        <w:t xml:space="preserve">Der er blevet observeret tilfælde af krampeanfald forbundet med anvendelse af </w:t>
      </w:r>
      <w:proofErr w:type="spellStart"/>
      <w:r>
        <w:rPr>
          <w:sz w:val="24"/>
          <w:szCs w:val="24"/>
        </w:rPr>
        <w:t>macrogol</w:t>
      </w:r>
      <w:proofErr w:type="spellEnd"/>
      <w:r>
        <w:rPr>
          <w:sz w:val="24"/>
          <w:szCs w:val="24"/>
        </w:rPr>
        <w:t xml:space="preserve"> 3350 med elektrolytter til tømning af tarmen hos patienter med og uden krampeanfald i anamnesen. Disse tilfælde var oftest forbundet med elektrolytabnormiteter såsom svær </w:t>
      </w:r>
      <w:proofErr w:type="spellStart"/>
      <w:r>
        <w:rPr>
          <w:sz w:val="24"/>
          <w:szCs w:val="24"/>
        </w:rPr>
        <w:t>hyponatriæmi</w:t>
      </w:r>
      <w:proofErr w:type="spellEnd"/>
      <w:r>
        <w:rPr>
          <w:sz w:val="24"/>
          <w:szCs w:val="24"/>
        </w:rPr>
        <w:t xml:space="preserve"> (se pkt. 4.8). Der skal udvises forsigtighed, når </w:t>
      </w:r>
      <w:proofErr w:type="spellStart"/>
      <w:r>
        <w:rPr>
          <w:sz w:val="24"/>
          <w:szCs w:val="24"/>
        </w:rPr>
        <w:t>macrogol</w:t>
      </w:r>
      <w:proofErr w:type="spellEnd"/>
      <w:r>
        <w:rPr>
          <w:sz w:val="24"/>
          <w:szCs w:val="24"/>
        </w:rPr>
        <w:t xml:space="preserve"> 3350 med elektrolytter ordineres til patienter med krampeanfald i anamnesen, patienter med øget risiko for krampeanfald eller patienter med risiko for elektrolytforstyrrelser. Væske- og elektrolytabnormiteter bør korrigeres i tilfælde af neurologiske symptomer.</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Der har været sjældne rapporteringer om alvorlige </w:t>
      </w:r>
      <w:proofErr w:type="spellStart"/>
      <w:r w:rsidRPr="00CB242B">
        <w:rPr>
          <w:sz w:val="24"/>
          <w:szCs w:val="24"/>
        </w:rPr>
        <w:t>arytmier</w:t>
      </w:r>
      <w:proofErr w:type="spellEnd"/>
      <w:r w:rsidRPr="00CB242B">
        <w:rPr>
          <w:sz w:val="24"/>
          <w:szCs w:val="24"/>
        </w:rPr>
        <w:t xml:space="preserve"> herunder atrieflimren forbundet med brugen af </w:t>
      </w:r>
      <w:proofErr w:type="spellStart"/>
      <w:r w:rsidRPr="00CB242B">
        <w:rPr>
          <w:sz w:val="24"/>
          <w:szCs w:val="24"/>
        </w:rPr>
        <w:t>ioniske</w:t>
      </w:r>
      <w:proofErr w:type="spellEnd"/>
      <w:r w:rsidRPr="00CB242B">
        <w:rPr>
          <w:sz w:val="24"/>
          <w:szCs w:val="24"/>
        </w:rPr>
        <w:t xml:space="preserve"> osmotiske afføringsmidler til tarmudrensning. Disse forekommer overvejende hos patienter med underliggende risikofaktorer for hjertesygdom og elektrolytforstyrrelser.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Hvis patienter udvikler nogen form for symptom, der indikerer </w:t>
      </w:r>
      <w:proofErr w:type="spellStart"/>
      <w:r w:rsidRPr="00CB242B">
        <w:rPr>
          <w:sz w:val="24"/>
          <w:szCs w:val="24"/>
        </w:rPr>
        <w:t>arytmier</w:t>
      </w:r>
      <w:proofErr w:type="spellEnd"/>
      <w:r w:rsidRPr="00CB242B">
        <w:rPr>
          <w:sz w:val="24"/>
          <w:szCs w:val="24"/>
        </w:rPr>
        <w:t xml:space="preserve"> eller ændringer i væske/elektrolytbalancen (f.eks. ødem, åndenød, stigende træthed, hjertesvigt), bør elektrolytter måles, EKG overvåges og alle afvigelser bør behandles på passende måde.</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Hvis patienter får symptomer som alvorlig </w:t>
      </w:r>
      <w:proofErr w:type="spellStart"/>
      <w:r w:rsidRPr="00CB242B">
        <w:rPr>
          <w:sz w:val="24"/>
          <w:szCs w:val="24"/>
        </w:rPr>
        <w:t>udspilethed</w:t>
      </w:r>
      <w:proofErr w:type="spellEnd"/>
      <w:r w:rsidRPr="00CB242B">
        <w:rPr>
          <w:sz w:val="24"/>
          <w:szCs w:val="24"/>
        </w:rPr>
        <w:t xml:space="preserve">, </w:t>
      </w:r>
      <w:proofErr w:type="spellStart"/>
      <w:r w:rsidRPr="00CB242B">
        <w:rPr>
          <w:sz w:val="24"/>
          <w:szCs w:val="24"/>
        </w:rPr>
        <w:t>abdominal</w:t>
      </w:r>
      <w:proofErr w:type="spellEnd"/>
      <w:r w:rsidRPr="00CB242B">
        <w:rPr>
          <w:sz w:val="24"/>
          <w:szCs w:val="24"/>
        </w:rPr>
        <w:t xml:space="preserve"> </w:t>
      </w:r>
      <w:proofErr w:type="spellStart"/>
      <w:r w:rsidRPr="00CB242B">
        <w:rPr>
          <w:sz w:val="24"/>
          <w:szCs w:val="24"/>
        </w:rPr>
        <w:t>distension</w:t>
      </w:r>
      <w:proofErr w:type="spellEnd"/>
      <w:r w:rsidRPr="00CB242B">
        <w:rPr>
          <w:sz w:val="24"/>
          <w:szCs w:val="24"/>
        </w:rPr>
        <w:t xml:space="preserve">, eller mavesmerter, bør administrationen bremses eller afbrydes midlertidigt, indtil symptomerne aftager. </w:t>
      </w:r>
    </w:p>
    <w:p w:rsidR="00AB7145" w:rsidRPr="00CB242B" w:rsidRDefault="00AB7145" w:rsidP="00AB7145">
      <w:pPr>
        <w:ind w:left="851" w:hanging="851"/>
        <w:rPr>
          <w:sz w:val="24"/>
          <w:szCs w:val="24"/>
        </w:rPr>
      </w:pPr>
    </w:p>
    <w:p w:rsidR="00DD55A3" w:rsidRDefault="00DD55A3" w:rsidP="00DD55A3">
      <w:pPr>
        <w:ind w:left="851"/>
        <w:rPr>
          <w:sz w:val="24"/>
          <w:szCs w:val="24"/>
        </w:rPr>
      </w:pPr>
      <w:r w:rsidRPr="006B2B39">
        <w:rPr>
          <w:sz w:val="24"/>
          <w:szCs w:val="24"/>
        </w:rPr>
        <w:t>Hos personer med synkebesvær, der har brug for at tilføje fortykningsmidler for at sikre et passende indtag, bør interaktioner tages i betragtning, se sektion 4.5.</w:t>
      </w:r>
    </w:p>
    <w:p w:rsidR="00DD55A3" w:rsidRDefault="00DD55A3" w:rsidP="00DD55A3">
      <w:pPr>
        <w:ind w:left="851"/>
        <w:rPr>
          <w:sz w:val="24"/>
          <w:szCs w:val="24"/>
        </w:rPr>
      </w:pPr>
    </w:p>
    <w:p w:rsidR="00DD55A3" w:rsidRDefault="00DD55A3" w:rsidP="00DD55A3">
      <w:pPr>
        <w:ind w:left="851"/>
        <w:rPr>
          <w:sz w:val="24"/>
          <w:szCs w:val="24"/>
        </w:rPr>
      </w:pPr>
      <w:r>
        <w:rPr>
          <w:sz w:val="24"/>
          <w:szCs w:val="24"/>
        </w:rPr>
        <w:t>Iskæmisk colitis</w:t>
      </w:r>
    </w:p>
    <w:p w:rsidR="00DD55A3" w:rsidRDefault="00DD55A3" w:rsidP="00DD55A3">
      <w:pPr>
        <w:ind w:left="851"/>
        <w:rPr>
          <w:sz w:val="24"/>
          <w:szCs w:val="24"/>
        </w:rPr>
      </w:pPr>
      <w:r w:rsidRPr="004B089D">
        <w:rPr>
          <w:sz w:val="24"/>
          <w:szCs w:val="24"/>
        </w:rPr>
        <w:t xml:space="preserve">Tilfælde af iskæmisk colitis, herunder alvorlige tilfælde, er efter markedsføring rapporteret hos patienter, der er blevet behandlet med </w:t>
      </w:r>
      <w:proofErr w:type="spellStart"/>
      <w:r w:rsidRPr="004B089D">
        <w:rPr>
          <w:sz w:val="24"/>
          <w:szCs w:val="24"/>
        </w:rPr>
        <w:t>macrogol</w:t>
      </w:r>
      <w:proofErr w:type="spellEnd"/>
      <w:r w:rsidRPr="004B089D">
        <w:rPr>
          <w:sz w:val="24"/>
          <w:szCs w:val="24"/>
        </w:rPr>
        <w:t xml:space="preserve"> til tømning af tarmen. </w:t>
      </w:r>
      <w:proofErr w:type="spellStart"/>
      <w:r w:rsidRPr="004B089D">
        <w:rPr>
          <w:sz w:val="24"/>
          <w:szCs w:val="24"/>
        </w:rPr>
        <w:t>Macrogol</w:t>
      </w:r>
      <w:proofErr w:type="spellEnd"/>
      <w:r w:rsidRPr="004B089D">
        <w:rPr>
          <w:sz w:val="24"/>
          <w:szCs w:val="24"/>
        </w:rPr>
        <w:t xml:space="preserve"> bør anvendes med forsigtighed hos patienter med kendte risikofaktorer for iskæmisk colitis eller i tilfælde af samtidig anvendelse af stimulerende </w:t>
      </w:r>
      <w:proofErr w:type="spellStart"/>
      <w:r w:rsidRPr="004B089D">
        <w:rPr>
          <w:sz w:val="24"/>
          <w:szCs w:val="24"/>
        </w:rPr>
        <w:t>laksantia</w:t>
      </w:r>
      <w:proofErr w:type="spellEnd"/>
      <w:r w:rsidRPr="004B089D">
        <w:rPr>
          <w:sz w:val="24"/>
          <w:szCs w:val="24"/>
        </w:rPr>
        <w:t xml:space="preserve"> (f.eks. </w:t>
      </w:r>
      <w:proofErr w:type="spellStart"/>
      <w:r w:rsidRPr="004B089D">
        <w:rPr>
          <w:sz w:val="24"/>
          <w:szCs w:val="24"/>
        </w:rPr>
        <w:t>bisacodyl</w:t>
      </w:r>
      <w:proofErr w:type="spellEnd"/>
      <w:r w:rsidRPr="004B089D">
        <w:rPr>
          <w:sz w:val="24"/>
          <w:szCs w:val="24"/>
        </w:rPr>
        <w:t xml:space="preserve"> eller </w:t>
      </w:r>
      <w:proofErr w:type="spellStart"/>
      <w:r w:rsidRPr="004B089D">
        <w:rPr>
          <w:sz w:val="24"/>
          <w:szCs w:val="24"/>
        </w:rPr>
        <w:t>natriumpicosulfat</w:t>
      </w:r>
      <w:proofErr w:type="spellEnd"/>
      <w:r w:rsidRPr="004B089D">
        <w:rPr>
          <w:sz w:val="24"/>
          <w:szCs w:val="24"/>
        </w:rPr>
        <w:t xml:space="preserve">). Patienter med pludselige mavesmerter, </w:t>
      </w:r>
      <w:proofErr w:type="spellStart"/>
      <w:r w:rsidRPr="004B089D">
        <w:rPr>
          <w:sz w:val="24"/>
          <w:szCs w:val="24"/>
        </w:rPr>
        <w:t>rektal</w:t>
      </w:r>
      <w:proofErr w:type="spellEnd"/>
      <w:r w:rsidRPr="004B089D">
        <w:rPr>
          <w:sz w:val="24"/>
          <w:szCs w:val="24"/>
        </w:rPr>
        <w:t xml:space="preserve"> blødning eller andre symptomer på iskæmisk colitis bør undersøges omgående.</w:t>
      </w:r>
    </w:p>
    <w:p w:rsidR="00E054FA" w:rsidRDefault="00E054FA" w:rsidP="00DD55A3">
      <w:pPr>
        <w:ind w:left="851"/>
        <w:rPr>
          <w:sz w:val="24"/>
          <w:szCs w:val="24"/>
        </w:rPr>
      </w:pPr>
    </w:p>
    <w:p w:rsidR="00E054FA" w:rsidRPr="004B089D" w:rsidRDefault="00E054FA" w:rsidP="00E054FA">
      <w:pPr>
        <w:ind w:left="851"/>
        <w:rPr>
          <w:sz w:val="24"/>
          <w:szCs w:val="24"/>
        </w:rPr>
      </w:pPr>
      <w:r>
        <w:rPr>
          <w:sz w:val="24"/>
          <w:szCs w:val="24"/>
        </w:rPr>
        <w:t xml:space="preserve">Der er efter markedsføring blevet rapporteret tilfælde af </w:t>
      </w:r>
      <w:proofErr w:type="spellStart"/>
      <w:r>
        <w:rPr>
          <w:sz w:val="24"/>
          <w:szCs w:val="24"/>
        </w:rPr>
        <w:t>øsofagusruptur</w:t>
      </w:r>
      <w:proofErr w:type="spellEnd"/>
      <w:r>
        <w:rPr>
          <w:sz w:val="24"/>
          <w:szCs w:val="24"/>
        </w:rPr>
        <w:t xml:space="preserve"> (</w:t>
      </w:r>
      <w:proofErr w:type="spellStart"/>
      <w:r>
        <w:rPr>
          <w:sz w:val="24"/>
          <w:szCs w:val="24"/>
        </w:rPr>
        <w:t>Boerhaaves</w:t>
      </w:r>
      <w:proofErr w:type="spellEnd"/>
      <w:r>
        <w:rPr>
          <w:sz w:val="24"/>
          <w:szCs w:val="24"/>
        </w:rPr>
        <w:t xml:space="preserve"> syndrom) forbundet med voldsom opkastning efter indtag (se pkt. 4.8) af </w:t>
      </w:r>
      <w:proofErr w:type="spellStart"/>
      <w:r>
        <w:rPr>
          <w:sz w:val="24"/>
          <w:szCs w:val="24"/>
        </w:rPr>
        <w:t>macrogol</w:t>
      </w:r>
      <w:proofErr w:type="spellEnd"/>
      <w:r>
        <w:rPr>
          <w:sz w:val="24"/>
          <w:szCs w:val="24"/>
        </w:rPr>
        <w:t xml:space="preserve"> 3350 med elektrolytter til tømning af tarmen, hovedsageligt hos ældre patienter. Patienterne skal rådes til at stoppe administrationen og straks søge lægehjælp, hvis de får ukontrollerbar opkastning og efterfølgende bryst-, nakke- og mavesmerter, </w:t>
      </w:r>
      <w:proofErr w:type="spellStart"/>
      <w:r>
        <w:rPr>
          <w:sz w:val="24"/>
          <w:szCs w:val="24"/>
        </w:rPr>
        <w:t>dysfagi</w:t>
      </w:r>
      <w:proofErr w:type="spellEnd"/>
      <w:r>
        <w:rPr>
          <w:sz w:val="24"/>
          <w:szCs w:val="24"/>
        </w:rPr>
        <w:t xml:space="preserve">, </w:t>
      </w:r>
      <w:proofErr w:type="spellStart"/>
      <w:r>
        <w:rPr>
          <w:sz w:val="24"/>
          <w:szCs w:val="24"/>
        </w:rPr>
        <w:t>hæmatemese</w:t>
      </w:r>
      <w:proofErr w:type="spellEnd"/>
      <w:r>
        <w:rPr>
          <w:sz w:val="24"/>
          <w:szCs w:val="24"/>
        </w:rPr>
        <w:t xml:space="preserve"> eller dyspnø.</w:t>
      </w:r>
    </w:p>
    <w:p w:rsidR="0014266F" w:rsidRPr="00CB242B" w:rsidRDefault="0014266F" w:rsidP="0014266F">
      <w:pPr>
        <w:ind w:left="851" w:hanging="851"/>
        <w:rPr>
          <w:sz w:val="24"/>
          <w:szCs w:val="24"/>
        </w:rPr>
      </w:pPr>
    </w:p>
    <w:p w:rsidR="0014266F" w:rsidRPr="00CB242B" w:rsidRDefault="0014266F" w:rsidP="0014266F">
      <w:pPr>
        <w:ind w:left="851"/>
        <w:rPr>
          <w:sz w:val="24"/>
          <w:szCs w:val="24"/>
        </w:rPr>
      </w:pPr>
      <w:proofErr w:type="spellStart"/>
      <w:r w:rsidRPr="00CB242B">
        <w:rPr>
          <w:sz w:val="24"/>
          <w:szCs w:val="24"/>
        </w:rPr>
        <w:t>Plenvu</w:t>
      </w:r>
      <w:proofErr w:type="spellEnd"/>
      <w:r w:rsidRPr="00CB242B">
        <w:rPr>
          <w:sz w:val="24"/>
          <w:szCs w:val="24"/>
        </w:rPr>
        <w:t xml:space="preserve"> indeholder 458,5 mmol (10,5 g) natrium pr. behandlingsforløb. Dette bør tages i betragtning for patienter, der er på en kontrolleret natriumdiæt. Kun en del af natriummet absorberes, se pkt. 5.2.  </w:t>
      </w:r>
    </w:p>
    <w:p w:rsidR="0014266F" w:rsidRPr="00CB242B" w:rsidRDefault="0014266F" w:rsidP="0014266F">
      <w:pPr>
        <w:ind w:left="851" w:hanging="851"/>
        <w:rPr>
          <w:sz w:val="24"/>
          <w:szCs w:val="24"/>
        </w:rPr>
      </w:pPr>
    </w:p>
    <w:p w:rsidR="0014266F" w:rsidRDefault="0014266F" w:rsidP="0014266F">
      <w:pPr>
        <w:ind w:left="851"/>
        <w:rPr>
          <w:sz w:val="24"/>
          <w:szCs w:val="24"/>
        </w:rPr>
      </w:pPr>
      <w:proofErr w:type="spellStart"/>
      <w:r w:rsidRPr="00CB242B">
        <w:rPr>
          <w:sz w:val="24"/>
          <w:szCs w:val="24"/>
        </w:rPr>
        <w:t>Plenvu</w:t>
      </w:r>
      <w:proofErr w:type="spellEnd"/>
      <w:r w:rsidRPr="00CB242B">
        <w:rPr>
          <w:sz w:val="24"/>
          <w:szCs w:val="24"/>
        </w:rPr>
        <w:t xml:space="preserve"> indeholder 29,4 mmol (1,1 g) kalium pr. behandlingsforløb. Dette bør tages i betragtning for patienter med nedsat nyrefunktion eller patienter på kontrolleret kaliumdiæt.</w:t>
      </w:r>
    </w:p>
    <w:p w:rsidR="00AB7145" w:rsidRPr="00CB242B" w:rsidRDefault="00AB7145" w:rsidP="00AB7145">
      <w:pPr>
        <w:ind w:left="851" w:hanging="851"/>
        <w:rPr>
          <w:sz w:val="24"/>
          <w:szCs w:val="24"/>
        </w:rPr>
      </w:pPr>
    </w:p>
    <w:p w:rsidR="00AB7145" w:rsidRPr="00CB242B" w:rsidRDefault="00AB7145" w:rsidP="00E054FA">
      <w:pPr>
        <w:keepNext/>
        <w:ind w:left="851" w:hanging="851"/>
        <w:rPr>
          <w:b/>
          <w:sz w:val="24"/>
          <w:szCs w:val="24"/>
        </w:rPr>
      </w:pPr>
      <w:r w:rsidRPr="00CB242B">
        <w:rPr>
          <w:b/>
          <w:sz w:val="24"/>
          <w:szCs w:val="24"/>
        </w:rPr>
        <w:lastRenderedPageBreak/>
        <w:t>4.5</w:t>
      </w:r>
      <w:r w:rsidRPr="00CB242B">
        <w:rPr>
          <w:b/>
          <w:sz w:val="24"/>
          <w:szCs w:val="24"/>
        </w:rPr>
        <w:tab/>
        <w:t>Interaktion med andre lægemidler og andre former for interaktion</w:t>
      </w:r>
    </w:p>
    <w:p w:rsidR="00CD15A4" w:rsidRDefault="00121FAE" w:rsidP="00CD15A4">
      <w:pPr>
        <w:ind w:left="851"/>
        <w:rPr>
          <w:noProof/>
          <w:sz w:val="24"/>
          <w:szCs w:val="24"/>
        </w:rPr>
      </w:pPr>
      <w:r w:rsidRPr="009E2480">
        <w:rPr>
          <w:sz w:val="24"/>
          <w:szCs w:val="24"/>
        </w:rPr>
        <w:t xml:space="preserve">Interaktionen mellem </w:t>
      </w:r>
      <w:proofErr w:type="spellStart"/>
      <w:r w:rsidRPr="009E2480">
        <w:rPr>
          <w:sz w:val="24"/>
          <w:szCs w:val="24"/>
        </w:rPr>
        <w:t>Plenvu</w:t>
      </w:r>
      <w:proofErr w:type="spellEnd"/>
      <w:r w:rsidRPr="009E2480">
        <w:rPr>
          <w:sz w:val="24"/>
          <w:szCs w:val="24"/>
        </w:rPr>
        <w:t xml:space="preserve"> og andre lægemidler er ikke blevet undersøgt. Teoretisk set kan lægemidler</w:t>
      </w:r>
      <w:r w:rsidR="00CD15A4">
        <w:rPr>
          <w:noProof/>
          <w:sz w:val="24"/>
          <w:szCs w:val="24"/>
        </w:rPr>
        <w:t xml:space="preserve"> indtaget oralt (f.eks. p-piller) en time før administration, sammen med eller en time efter administration af Plenvu udtømmes fra mave-tarmkanalen uden at blive optaget. Den terapeutiske effekt kan især påvirkes hos lægemidler med et smalt terapeutisk indeks eller med kort halveringstid.</w:t>
      </w:r>
    </w:p>
    <w:p w:rsidR="00DD55A3" w:rsidRDefault="00DD55A3" w:rsidP="00AB7145">
      <w:pPr>
        <w:ind w:left="851"/>
        <w:rPr>
          <w:noProof/>
          <w:sz w:val="24"/>
          <w:szCs w:val="24"/>
        </w:rPr>
      </w:pPr>
    </w:p>
    <w:p w:rsidR="00DD55A3" w:rsidRPr="00CB242B" w:rsidRDefault="00DD55A3" w:rsidP="00DD55A3">
      <w:pPr>
        <w:ind w:left="851"/>
        <w:rPr>
          <w:noProof/>
          <w:sz w:val="24"/>
          <w:szCs w:val="24"/>
        </w:rPr>
      </w:pPr>
      <w:r>
        <w:rPr>
          <w:noProof/>
          <w:sz w:val="24"/>
          <w:szCs w:val="24"/>
        </w:rPr>
        <w:t>Plenvu</w:t>
      </w:r>
      <w:r w:rsidRPr="006B2B39">
        <w:rPr>
          <w:noProof/>
          <w:sz w:val="24"/>
          <w:szCs w:val="24"/>
        </w:rPr>
        <w:t xml:space="preserve"> kan muligvis forårsage en interaktiv effekt, hvis det bruges sammen med stivelsesbaserede fortykningsmidler beregnet til mad. Macrogol modvirker stivelsens fortykkende effekt. Dette bevirker at opløsninger, der skal forblive tyktflydende for personer med synkebesvær, bliver tyndtflydende</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4.6</w:t>
      </w:r>
      <w:r w:rsidRPr="00CB242B">
        <w:rPr>
          <w:b/>
          <w:sz w:val="24"/>
          <w:szCs w:val="24"/>
        </w:rPr>
        <w:tab/>
      </w:r>
      <w:r w:rsidR="00CD15A4">
        <w:rPr>
          <w:b/>
          <w:sz w:val="24"/>
          <w:szCs w:val="24"/>
        </w:rPr>
        <w:t>Fertilitet, g</w:t>
      </w:r>
      <w:r w:rsidRPr="00CB242B">
        <w:rPr>
          <w:b/>
          <w:sz w:val="24"/>
          <w:szCs w:val="24"/>
        </w:rPr>
        <w:t>raviditet og amning</w:t>
      </w:r>
    </w:p>
    <w:p w:rsidR="00AB7145" w:rsidRDefault="00AB7145" w:rsidP="00AB7145">
      <w:pPr>
        <w:ind w:left="851" w:hanging="851"/>
        <w:rPr>
          <w:noProof/>
          <w:sz w:val="24"/>
          <w:szCs w:val="24"/>
          <w:u w:val="single"/>
        </w:rPr>
      </w:pPr>
    </w:p>
    <w:p w:rsidR="00AB7145" w:rsidRPr="00CB242B" w:rsidRDefault="00AB7145" w:rsidP="00AB7145">
      <w:pPr>
        <w:ind w:left="851"/>
        <w:rPr>
          <w:noProof/>
          <w:sz w:val="24"/>
          <w:szCs w:val="24"/>
          <w:u w:val="single"/>
        </w:rPr>
      </w:pPr>
      <w:r w:rsidRPr="00CB242B">
        <w:rPr>
          <w:noProof/>
          <w:sz w:val="24"/>
          <w:szCs w:val="24"/>
          <w:u w:val="single"/>
        </w:rPr>
        <w:t>Graviditet</w:t>
      </w:r>
    </w:p>
    <w:p w:rsidR="00AB7145" w:rsidRDefault="00AB7145" w:rsidP="00AB7145">
      <w:pPr>
        <w:ind w:left="851"/>
        <w:rPr>
          <w:noProof/>
          <w:sz w:val="24"/>
          <w:szCs w:val="24"/>
        </w:rPr>
      </w:pPr>
      <w:r w:rsidRPr="00CB242B">
        <w:rPr>
          <w:noProof/>
          <w:sz w:val="24"/>
          <w:szCs w:val="24"/>
        </w:rPr>
        <w:t xml:space="preserve">Der er ingen eller begrænset mængde data (mindre end 300 graviditeter) fra brugen af Plenvus </w:t>
      </w:r>
      <w:r w:rsidRPr="00CB242B">
        <w:rPr>
          <w:sz w:val="24"/>
          <w:szCs w:val="24"/>
        </w:rPr>
        <w:t xml:space="preserve">aktive </w:t>
      </w:r>
      <w:r w:rsidR="00121FAE" w:rsidRPr="009E2480">
        <w:rPr>
          <w:sz w:val="24"/>
          <w:szCs w:val="24"/>
        </w:rPr>
        <w:t>stoffer</w:t>
      </w:r>
      <w:r w:rsidRPr="00CB242B">
        <w:rPr>
          <w:noProof/>
          <w:sz w:val="24"/>
          <w:szCs w:val="24"/>
        </w:rPr>
        <w:t xml:space="preserve"> hos gravide kvinder. Studier i dyr har vist indirekte skadelige virkninger med hensyn til reproduktionstoksicitet (se pkt. 5.3). </w:t>
      </w:r>
      <w:r w:rsidRPr="00CB242B">
        <w:rPr>
          <w:sz w:val="24"/>
          <w:szCs w:val="24"/>
        </w:rPr>
        <w:t xml:space="preserve">Da </w:t>
      </w:r>
      <w:proofErr w:type="spellStart"/>
      <w:r w:rsidRPr="00CB242B">
        <w:rPr>
          <w:sz w:val="24"/>
          <w:szCs w:val="24"/>
        </w:rPr>
        <w:t>macrogol</w:t>
      </w:r>
      <w:proofErr w:type="spellEnd"/>
      <w:r w:rsidRPr="00CB242B">
        <w:rPr>
          <w:sz w:val="24"/>
          <w:szCs w:val="24"/>
        </w:rPr>
        <w:t xml:space="preserve"> 3350 kun absorberes i ringe grad, forventes ingen systemisk effekt under graviditet</w:t>
      </w:r>
      <w:r>
        <w:rPr>
          <w:sz w:val="24"/>
          <w:szCs w:val="24"/>
        </w:rPr>
        <w:t>.</w:t>
      </w:r>
      <w:r w:rsidRPr="00CB242B">
        <w:rPr>
          <w:noProof/>
          <w:sz w:val="24"/>
          <w:szCs w:val="24"/>
        </w:rPr>
        <w:t xml:space="preserve"> </w:t>
      </w:r>
    </w:p>
    <w:p w:rsidR="00AB7145" w:rsidRPr="00CB242B" w:rsidRDefault="00AB7145" w:rsidP="00AB7145">
      <w:pPr>
        <w:ind w:left="851"/>
        <w:rPr>
          <w:noProof/>
          <w:sz w:val="24"/>
          <w:szCs w:val="24"/>
        </w:rPr>
      </w:pPr>
      <w:r w:rsidRPr="00CB242B">
        <w:rPr>
          <w:noProof/>
          <w:sz w:val="24"/>
          <w:szCs w:val="24"/>
        </w:rPr>
        <w:t>Som en forebyggende foranstaltning er det bedst at undgå brugen af Plenvu under graviditet.</w:t>
      </w:r>
    </w:p>
    <w:p w:rsidR="00AB7145" w:rsidRPr="00CB242B" w:rsidRDefault="00AB7145" w:rsidP="00AB7145">
      <w:pPr>
        <w:ind w:left="851" w:hanging="851"/>
        <w:rPr>
          <w:noProof/>
          <w:sz w:val="24"/>
          <w:szCs w:val="24"/>
        </w:rPr>
      </w:pPr>
    </w:p>
    <w:p w:rsidR="00AB7145" w:rsidRPr="00CB242B" w:rsidRDefault="00AB7145" w:rsidP="00AB7145">
      <w:pPr>
        <w:ind w:left="851"/>
        <w:rPr>
          <w:noProof/>
          <w:sz w:val="24"/>
          <w:szCs w:val="24"/>
          <w:u w:val="single"/>
        </w:rPr>
      </w:pPr>
      <w:r w:rsidRPr="00CB242B">
        <w:rPr>
          <w:noProof/>
          <w:sz w:val="24"/>
          <w:szCs w:val="24"/>
          <w:u w:val="single"/>
        </w:rPr>
        <w:t>Amning</w:t>
      </w:r>
    </w:p>
    <w:p w:rsidR="00AB7145" w:rsidRPr="00CB242B" w:rsidRDefault="00AB7145" w:rsidP="00AB7145">
      <w:pPr>
        <w:ind w:left="851"/>
        <w:rPr>
          <w:sz w:val="24"/>
          <w:szCs w:val="24"/>
        </w:rPr>
      </w:pPr>
      <w:r w:rsidRPr="00CB242B">
        <w:rPr>
          <w:sz w:val="24"/>
          <w:szCs w:val="24"/>
        </w:rPr>
        <w:t xml:space="preserve">Det er </w:t>
      </w:r>
      <w:r w:rsidR="00121FAE" w:rsidRPr="009E2480">
        <w:rPr>
          <w:sz w:val="24"/>
          <w:szCs w:val="24"/>
        </w:rPr>
        <w:t xml:space="preserve">ukendt, om </w:t>
      </w:r>
      <w:proofErr w:type="spellStart"/>
      <w:r w:rsidRPr="00CB242B">
        <w:rPr>
          <w:sz w:val="24"/>
          <w:szCs w:val="24"/>
        </w:rPr>
        <w:t>Plenvus</w:t>
      </w:r>
      <w:proofErr w:type="spellEnd"/>
      <w:r w:rsidRPr="00CB242B">
        <w:rPr>
          <w:sz w:val="24"/>
          <w:szCs w:val="24"/>
        </w:rPr>
        <w:t xml:space="preserve"> aktive </w:t>
      </w:r>
      <w:r w:rsidR="00121FAE" w:rsidRPr="009E2480">
        <w:rPr>
          <w:sz w:val="24"/>
          <w:szCs w:val="24"/>
        </w:rPr>
        <w:t>stoffer</w:t>
      </w:r>
      <w:r w:rsidRPr="00CB242B">
        <w:rPr>
          <w:sz w:val="24"/>
          <w:szCs w:val="24"/>
        </w:rPr>
        <w:t xml:space="preserve">/metabolitter udskilles i modermælk. Der er utilstrækkelige oplysninger om udskillelse af </w:t>
      </w:r>
      <w:proofErr w:type="spellStart"/>
      <w:r w:rsidRPr="00CB242B">
        <w:rPr>
          <w:sz w:val="24"/>
          <w:szCs w:val="24"/>
        </w:rPr>
        <w:t>Plenvus</w:t>
      </w:r>
      <w:proofErr w:type="spellEnd"/>
      <w:r w:rsidRPr="00CB242B">
        <w:rPr>
          <w:sz w:val="24"/>
          <w:szCs w:val="24"/>
        </w:rPr>
        <w:t xml:space="preserve"> aktive </w:t>
      </w:r>
      <w:r w:rsidR="00121FAE" w:rsidRPr="009E2480">
        <w:rPr>
          <w:sz w:val="24"/>
          <w:szCs w:val="24"/>
        </w:rPr>
        <w:t>stoffer</w:t>
      </w:r>
      <w:r w:rsidRPr="00CB242B">
        <w:rPr>
          <w:sz w:val="24"/>
          <w:szCs w:val="24"/>
        </w:rPr>
        <w:t xml:space="preserve">/metabolitter i modermælk.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En risiko for nyfødte/spædbørn kan ikke udelukkes.  </w:t>
      </w:r>
    </w:p>
    <w:p w:rsidR="00AB7145" w:rsidRPr="00CB242B" w:rsidRDefault="00AB7145" w:rsidP="00AB7145">
      <w:pPr>
        <w:ind w:left="851" w:hanging="851"/>
        <w:rPr>
          <w:sz w:val="24"/>
          <w:szCs w:val="24"/>
        </w:rPr>
      </w:pPr>
    </w:p>
    <w:p w:rsidR="00121FAE" w:rsidRPr="009E2480" w:rsidRDefault="00121FAE" w:rsidP="00121FAE">
      <w:pPr>
        <w:ind w:left="851"/>
        <w:rPr>
          <w:sz w:val="24"/>
          <w:szCs w:val="24"/>
        </w:rPr>
      </w:pPr>
      <w:r w:rsidRPr="009E2480">
        <w:rPr>
          <w:sz w:val="24"/>
          <w:szCs w:val="24"/>
        </w:rPr>
        <w:t xml:space="preserve">Det skal besluttes, om amning skal ophøre eller om behandling med </w:t>
      </w:r>
      <w:proofErr w:type="spellStart"/>
      <w:r w:rsidRPr="009E2480">
        <w:rPr>
          <w:sz w:val="24"/>
          <w:szCs w:val="24"/>
        </w:rPr>
        <w:t>Plenvu</w:t>
      </w:r>
      <w:proofErr w:type="spellEnd"/>
      <w:r w:rsidRPr="009E2480">
        <w:rPr>
          <w:sz w:val="24"/>
          <w:szCs w:val="24"/>
        </w:rPr>
        <w:t xml:space="preserve"> skal udelades, idet der tages hensyn til fordelene ved amning for barnet i forhold til de terapeutiske fordele for kvinden.</w:t>
      </w:r>
    </w:p>
    <w:p w:rsidR="00AB7145" w:rsidRPr="00CB242B" w:rsidRDefault="00AB7145" w:rsidP="00AB7145">
      <w:pPr>
        <w:ind w:left="851" w:hanging="851"/>
        <w:rPr>
          <w:sz w:val="24"/>
          <w:szCs w:val="24"/>
        </w:rPr>
      </w:pPr>
    </w:p>
    <w:p w:rsidR="00AB7145" w:rsidRPr="00CB242B" w:rsidRDefault="00AB7145" w:rsidP="00AB7145">
      <w:pPr>
        <w:ind w:left="851"/>
        <w:rPr>
          <w:noProof/>
          <w:sz w:val="24"/>
          <w:szCs w:val="24"/>
          <w:u w:val="single"/>
        </w:rPr>
      </w:pPr>
      <w:r w:rsidRPr="00CB242B">
        <w:rPr>
          <w:noProof/>
          <w:sz w:val="24"/>
          <w:szCs w:val="24"/>
          <w:u w:val="single"/>
        </w:rPr>
        <w:t>Fertilitet</w:t>
      </w:r>
    </w:p>
    <w:p w:rsidR="00AB7145" w:rsidRDefault="00AB7145" w:rsidP="00AB7145">
      <w:pPr>
        <w:ind w:left="851"/>
        <w:rPr>
          <w:noProof/>
          <w:sz w:val="24"/>
          <w:szCs w:val="24"/>
        </w:rPr>
      </w:pPr>
      <w:r w:rsidRPr="00CB242B">
        <w:rPr>
          <w:noProof/>
          <w:sz w:val="24"/>
          <w:szCs w:val="24"/>
        </w:rPr>
        <w:t>Der foreligger ingen data for virkningen af Plenvu på fertilitet hos mennesker. Der var ingen effekt på fertiliteten i studier i hanrotter og hunrotter (se pkt. 5.3)</w:t>
      </w:r>
      <w:r>
        <w:rPr>
          <w:noProof/>
          <w:sz w:val="24"/>
          <w:szCs w:val="24"/>
        </w:rPr>
        <w:t>.</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4.7</w:t>
      </w:r>
      <w:r w:rsidRPr="00CB242B">
        <w:rPr>
          <w:b/>
          <w:sz w:val="24"/>
          <w:szCs w:val="24"/>
        </w:rPr>
        <w:tab/>
        <w:t xml:space="preserve">Virkning på evnen til at føre motorkøretøj </w:t>
      </w:r>
      <w:r w:rsidR="00CD15A4">
        <w:rPr>
          <w:b/>
          <w:sz w:val="24"/>
          <w:szCs w:val="24"/>
        </w:rPr>
        <w:t>og</w:t>
      </w:r>
      <w:r w:rsidRPr="00CB242B">
        <w:rPr>
          <w:b/>
          <w:sz w:val="24"/>
          <w:szCs w:val="24"/>
        </w:rPr>
        <w:t xml:space="preserve"> betjene maskiner</w:t>
      </w:r>
    </w:p>
    <w:p w:rsidR="00AB7145" w:rsidRDefault="00AB7145" w:rsidP="00AB7145">
      <w:pPr>
        <w:ind w:left="851"/>
        <w:rPr>
          <w:sz w:val="24"/>
          <w:szCs w:val="24"/>
        </w:rPr>
      </w:pPr>
      <w:r>
        <w:rPr>
          <w:sz w:val="24"/>
          <w:szCs w:val="24"/>
        </w:rPr>
        <w:t>Ikke mærkning.</w:t>
      </w:r>
    </w:p>
    <w:p w:rsidR="00AB7145" w:rsidRPr="00CB242B" w:rsidRDefault="00AB7145" w:rsidP="00AB7145">
      <w:pPr>
        <w:ind w:left="851"/>
        <w:rPr>
          <w:sz w:val="24"/>
          <w:szCs w:val="24"/>
        </w:rPr>
      </w:pPr>
      <w:proofErr w:type="spellStart"/>
      <w:r w:rsidRPr="00CB242B">
        <w:rPr>
          <w:sz w:val="24"/>
          <w:szCs w:val="24"/>
        </w:rPr>
        <w:t>Plenvu</w:t>
      </w:r>
      <w:proofErr w:type="spellEnd"/>
      <w:r w:rsidRPr="00CB242B">
        <w:rPr>
          <w:sz w:val="24"/>
          <w:szCs w:val="24"/>
        </w:rPr>
        <w:t xml:space="preserve"> påvirker ikke evnen til at føre motorkøretøj og betjene maskiner.</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4.8</w:t>
      </w:r>
      <w:r w:rsidRPr="00CB242B">
        <w:rPr>
          <w:b/>
          <w:sz w:val="24"/>
          <w:szCs w:val="24"/>
        </w:rPr>
        <w:tab/>
        <w:t>Bivirkninger</w:t>
      </w:r>
    </w:p>
    <w:p w:rsidR="00AB7145" w:rsidRPr="00CB242B" w:rsidRDefault="00AB7145" w:rsidP="00AB7145">
      <w:pPr>
        <w:ind w:left="851"/>
        <w:rPr>
          <w:noProof/>
          <w:sz w:val="24"/>
          <w:szCs w:val="24"/>
        </w:rPr>
      </w:pPr>
      <w:r w:rsidRPr="00CB242B">
        <w:rPr>
          <w:noProof/>
          <w:sz w:val="24"/>
          <w:szCs w:val="24"/>
        </w:rPr>
        <w:t xml:space="preserve">Diarré er en forventet følge af tarmudrensning. På grund af behandlingens natur, kan der forekomme uønskede bivirkninger hos de fleste patienter i løbet af forløbet med tarmudrensningen. Hos patienter som undergår en tarmudrensning varierer almindelige bivirkninger fra kvalme, opkastning, udspilethed, mavesmerter, anal irritation til søvnforstyrrelser. Dehydrering kan opstå som </w:t>
      </w:r>
      <w:r w:rsidR="00121FAE" w:rsidRPr="009E2480">
        <w:rPr>
          <w:sz w:val="24"/>
          <w:szCs w:val="24"/>
        </w:rPr>
        <w:t>konsekvens</w:t>
      </w:r>
      <w:r w:rsidRPr="00CB242B">
        <w:rPr>
          <w:noProof/>
          <w:sz w:val="24"/>
          <w:szCs w:val="24"/>
        </w:rPr>
        <w:t xml:space="preserve"> af diarré og/eller opkastning.  </w:t>
      </w:r>
    </w:p>
    <w:p w:rsidR="00AB7145" w:rsidRPr="00CB242B" w:rsidRDefault="00AB7145" w:rsidP="00AB7145">
      <w:pPr>
        <w:ind w:left="851" w:hanging="851"/>
        <w:rPr>
          <w:noProof/>
          <w:sz w:val="24"/>
          <w:szCs w:val="24"/>
        </w:rPr>
      </w:pPr>
    </w:p>
    <w:p w:rsidR="00AB7145" w:rsidRPr="00CB242B" w:rsidRDefault="00AB7145" w:rsidP="00AB7145">
      <w:pPr>
        <w:ind w:left="851"/>
        <w:rPr>
          <w:noProof/>
          <w:sz w:val="24"/>
          <w:szCs w:val="24"/>
        </w:rPr>
      </w:pPr>
      <w:r w:rsidRPr="00CB242B">
        <w:rPr>
          <w:noProof/>
          <w:sz w:val="24"/>
          <w:szCs w:val="24"/>
        </w:rPr>
        <w:t xml:space="preserve">Data fra kliniske </w:t>
      </w:r>
      <w:r w:rsidR="00121FAE" w:rsidRPr="009E2480">
        <w:rPr>
          <w:sz w:val="24"/>
          <w:szCs w:val="24"/>
        </w:rPr>
        <w:t>studier</w:t>
      </w:r>
      <w:r w:rsidRPr="00CB242B">
        <w:rPr>
          <w:noProof/>
          <w:sz w:val="24"/>
          <w:szCs w:val="24"/>
        </w:rPr>
        <w:t xml:space="preserve"> er tilgængelige i en befolkning på over tusind personer behandlet med Plenvu, hvor bivirkninger blev aktivt </w:t>
      </w:r>
      <w:r w:rsidR="00121FAE" w:rsidRPr="009E2480">
        <w:rPr>
          <w:sz w:val="24"/>
          <w:szCs w:val="24"/>
        </w:rPr>
        <w:t>registreret</w:t>
      </w:r>
      <w:r w:rsidRPr="00CB242B">
        <w:rPr>
          <w:noProof/>
          <w:sz w:val="24"/>
          <w:szCs w:val="24"/>
        </w:rPr>
        <w:t xml:space="preserve">.   </w:t>
      </w:r>
    </w:p>
    <w:p w:rsidR="00AB7145" w:rsidRPr="00CB242B" w:rsidRDefault="00AB7145" w:rsidP="00AB7145">
      <w:pPr>
        <w:ind w:left="851" w:hanging="851"/>
        <w:rPr>
          <w:noProof/>
          <w:sz w:val="24"/>
          <w:szCs w:val="24"/>
        </w:rPr>
      </w:pPr>
    </w:p>
    <w:p w:rsidR="00AB7145" w:rsidRPr="00CB242B" w:rsidRDefault="00AB7145" w:rsidP="00AB7145">
      <w:pPr>
        <w:ind w:left="851"/>
        <w:rPr>
          <w:noProof/>
          <w:sz w:val="24"/>
          <w:szCs w:val="24"/>
        </w:rPr>
      </w:pPr>
      <w:r w:rsidRPr="00CB242B">
        <w:rPr>
          <w:noProof/>
          <w:sz w:val="24"/>
          <w:szCs w:val="24"/>
        </w:rPr>
        <w:lastRenderedPageBreak/>
        <w:t xml:space="preserve">Tabellen nedenfor er en liste over behandlingskrævende bivirkninger rapporteret i kliniske </w:t>
      </w:r>
      <w:r w:rsidR="00121FAE" w:rsidRPr="009E2480">
        <w:rPr>
          <w:sz w:val="24"/>
          <w:szCs w:val="24"/>
        </w:rPr>
        <w:t>studier</w:t>
      </w:r>
      <w:r w:rsidRPr="00CB242B">
        <w:rPr>
          <w:noProof/>
          <w:sz w:val="24"/>
          <w:szCs w:val="24"/>
        </w:rPr>
        <w:t xml:space="preserve"> med Plenvu. </w:t>
      </w:r>
    </w:p>
    <w:p w:rsidR="00AB7145" w:rsidRPr="00CB242B" w:rsidRDefault="00AB7145" w:rsidP="00AB7145">
      <w:pPr>
        <w:ind w:left="851" w:hanging="851"/>
        <w:rPr>
          <w:noProof/>
          <w:sz w:val="24"/>
          <w:szCs w:val="24"/>
        </w:rPr>
      </w:pPr>
    </w:p>
    <w:p w:rsidR="00AB7145" w:rsidRPr="00CB242B" w:rsidRDefault="00AB7145" w:rsidP="00AB7145">
      <w:pPr>
        <w:ind w:left="851"/>
        <w:rPr>
          <w:noProof/>
          <w:sz w:val="24"/>
          <w:szCs w:val="24"/>
        </w:rPr>
      </w:pPr>
      <w:r w:rsidRPr="00CB242B">
        <w:rPr>
          <w:noProof/>
          <w:sz w:val="24"/>
          <w:szCs w:val="24"/>
        </w:rPr>
        <w:t>Hyppigheden af bivirkninger til Plenvu er defineret ved hjælp af følgende konvention:</w:t>
      </w:r>
    </w:p>
    <w:p w:rsidR="00AB7145" w:rsidRPr="00CB242B" w:rsidRDefault="00AB7145" w:rsidP="00AB7145">
      <w:pPr>
        <w:ind w:left="851" w:hanging="851"/>
        <w:rPr>
          <w:noProof/>
          <w:sz w:val="24"/>
          <w:szCs w:val="24"/>
        </w:rPr>
      </w:pPr>
    </w:p>
    <w:p w:rsidR="00AB7145" w:rsidRPr="00CB242B" w:rsidRDefault="00AB7145" w:rsidP="00AB7145">
      <w:pPr>
        <w:spacing w:before="31"/>
        <w:ind w:left="851" w:right="268"/>
        <w:jc w:val="both"/>
        <w:rPr>
          <w:sz w:val="24"/>
          <w:szCs w:val="24"/>
        </w:rPr>
      </w:pPr>
      <w:r w:rsidRPr="00CB242B">
        <w:rPr>
          <w:sz w:val="24"/>
          <w:szCs w:val="24"/>
        </w:rPr>
        <w:t xml:space="preserve">Meget almindelig (≥1/10) </w:t>
      </w:r>
    </w:p>
    <w:p w:rsidR="00AB7145" w:rsidRPr="00CB242B" w:rsidRDefault="00AB7145" w:rsidP="00AB7145">
      <w:pPr>
        <w:spacing w:before="31"/>
        <w:ind w:left="851" w:right="268"/>
        <w:jc w:val="both"/>
        <w:rPr>
          <w:sz w:val="24"/>
          <w:szCs w:val="24"/>
        </w:rPr>
      </w:pPr>
      <w:r w:rsidRPr="00CB242B">
        <w:rPr>
          <w:sz w:val="24"/>
          <w:szCs w:val="24"/>
        </w:rPr>
        <w:t xml:space="preserve">Almindelig (≥1/100 til &lt;1/10) </w:t>
      </w:r>
    </w:p>
    <w:p w:rsidR="00AB7145" w:rsidRPr="00CB242B" w:rsidRDefault="00AB7145" w:rsidP="00AB7145">
      <w:pPr>
        <w:spacing w:before="31"/>
        <w:ind w:left="851" w:right="268"/>
        <w:jc w:val="both"/>
        <w:rPr>
          <w:sz w:val="24"/>
          <w:szCs w:val="24"/>
        </w:rPr>
      </w:pPr>
      <w:r w:rsidRPr="00CB242B">
        <w:rPr>
          <w:sz w:val="24"/>
          <w:szCs w:val="24"/>
        </w:rPr>
        <w:t xml:space="preserve">Ikke almindelig (≥1/1000 til &lt;1/100) </w:t>
      </w:r>
    </w:p>
    <w:p w:rsidR="00AB7145" w:rsidRPr="00CB242B" w:rsidRDefault="00AB7145" w:rsidP="00AB7145">
      <w:pPr>
        <w:spacing w:before="31"/>
        <w:ind w:left="851" w:right="268"/>
        <w:jc w:val="both"/>
        <w:rPr>
          <w:sz w:val="24"/>
          <w:szCs w:val="24"/>
        </w:rPr>
      </w:pPr>
      <w:r w:rsidRPr="00CB242B">
        <w:rPr>
          <w:sz w:val="24"/>
          <w:szCs w:val="24"/>
        </w:rPr>
        <w:t xml:space="preserve">Sjælden (≥1/10.000 til &lt;1/1000) </w:t>
      </w:r>
    </w:p>
    <w:p w:rsidR="00AB7145" w:rsidRPr="00CB242B" w:rsidRDefault="00AB7145" w:rsidP="00AB7145">
      <w:pPr>
        <w:spacing w:before="31"/>
        <w:ind w:left="851" w:right="268"/>
        <w:jc w:val="both"/>
        <w:rPr>
          <w:sz w:val="24"/>
          <w:szCs w:val="24"/>
        </w:rPr>
      </w:pPr>
      <w:r w:rsidRPr="00CB242B">
        <w:rPr>
          <w:sz w:val="24"/>
          <w:szCs w:val="24"/>
        </w:rPr>
        <w:t xml:space="preserve">Meget sjælden (&lt;1/10.000) </w:t>
      </w:r>
    </w:p>
    <w:p w:rsidR="00AB7145" w:rsidRDefault="00AB7145" w:rsidP="00AB7145">
      <w:pPr>
        <w:spacing w:before="31"/>
        <w:ind w:left="851" w:right="268"/>
        <w:jc w:val="both"/>
        <w:rPr>
          <w:sz w:val="24"/>
          <w:szCs w:val="24"/>
        </w:rPr>
      </w:pPr>
      <w:r w:rsidRPr="00CB242B">
        <w:rPr>
          <w:sz w:val="24"/>
          <w:szCs w:val="24"/>
        </w:rPr>
        <w:t xml:space="preserve">Ikke kendt (kan ikke </w:t>
      </w:r>
      <w:r w:rsidR="00121FAE" w:rsidRPr="009E2480">
        <w:rPr>
          <w:sz w:val="24"/>
          <w:szCs w:val="24"/>
        </w:rPr>
        <w:t xml:space="preserve">estimeres ud fra forhåndenværende </w:t>
      </w:r>
      <w:r w:rsidRPr="00CB242B">
        <w:rPr>
          <w:sz w:val="24"/>
          <w:szCs w:val="24"/>
        </w:rPr>
        <w:t>data)</w:t>
      </w:r>
    </w:p>
    <w:p w:rsidR="00E054FA" w:rsidRDefault="00E054FA" w:rsidP="00E054FA">
      <w:pPr>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355"/>
        <w:gridCol w:w="1673"/>
        <w:gridCol w:w="2214"/>
        <w:gridCol w:w="2214"/>
      </w:tblGrid>
      <w:tr w:rsidR="00E054FA" w:rsidTr="00E054FA">
        <w:trPr>
          <w:trHeight w:val="557"/>
        </w:trPr>
        <w:tc>
          <w:tcPr>
            <w:tcW w:w="1127" w:type="pct"/>
            <w:tcBorders>
              <w:top w:val="single" w:sz="4" w:space="0" w:color="auto"/>
              <w:left w:val="single" w:sz="4" w:space="0" w:color="auto"/>
              <w:bottom w:val="single" w:sz="4" w:space="0" w:color="auto"/>
              <w:right w:val="single" w:sz="4" w:space="0" w:color="auto"/>
            </w:tcBorders>
          </w:tcPr>
          <w:p w:rsidR="00E054FA" w:rsidRDefault="00E054FA">
            <w:pPr>
              <w:keepNext/>
              <w:rPr>
                <w:highlight w:val="lightGray"/>
                <w:lang w:eastAsia="en-GB"/>
              </w:rPr>
            </w:pPr>
          </w:p>
        </w:tc>
        <w:tc>
          <w:tcPr>
            <w:tcW w:w="703"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Meget almindelig (≥1/</w:t>
            </w:r>
            <w:proofErr w:type="gramStart"/>
            <w:r>
              <w:rPr>
                <w:lang w:eastAsia="en-GB"/>
              </w:rPr>
              <w:t>10)</w:t>
            </w:r>
            <w:r>
              <w:rPr>
                <w:b/>
                <w:vertAlign w:val="superscript"/>
                <w:lang w:eastAsia="en-GB"/>
              </w:rPr>
              <w:t>#</w:t>
            </w:r>
            <w:proofErr w:type="gramEnd"/>
          </w:p>
        </w:tc>
        <w:tc>
          <w:tcPr>
            <w:tcW w:w="869"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Almindelig</w:t>
            </w:r>
          </w:p>
          <w:p w:rsidR="00E054FA" w:rsidRDefault="00E054FA">
            <w:pPr>
              <w:keepNext/>
              <w:rPr>
                <w:lang w:eastAsia="en-GB"/>
              </w:rPr>
            </w:pPr>
            <w:r>
              <w:rPr>
                <w:lang w:eastAsia="en-GB"/>
              </w:rPr>
              <w:t>(≥1/100 til &lt;1/10)</w:t>
            </w: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Ikke almindelig</w:t>
            </w:r>
          </w:p>
          <w:p w:rsidR="00E054FA" w:rsidRDefault="00E054FA">
            <w:pPr>
              <w:keepNext/>
              <w:rPr>
                <w:lang w:eastAsia="en-GB"/>
              </w:rPr>
            </w:pPr>
            <w:r>
              <w:rPr>
                <w:lang w:eastAsia="en-GB"/>
              </w:rPr>
              <w:t>(≥1/1000 til &lt;1/100)</w:t>
            </w: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 xml:space="preserve">Hyppigheden ikke </w:t>
            </w:r>
          </w:p>
          <w:p w:rsidR="00E054FA" w:rsidRDefault="00E054FA">
            <w:pPr>
              <w:keepNext/>
              <w:rPr>
                <w:lang w:eastAsia="en-GB"/>
              </w:rPr>
            </w:pPr>
            <w:r>
              <w:rPr>
                <w:lang w:eastAsia="en-GB"/>
              </w:rPr>
              <w:t>kendt</w:t>
            </w:r>
          </w:p>
        </w:tc>
      </w:tr>
      <w:tr w:rsidR="00E054FA" w:rsidTr="00E054FA">
        <w:trPr>
          <w:trHeight w:val="526"/>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Mave-tarm-kanalen</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keepNext/>
              <w:rPr>
                <w:lang w:eastAsia="en-GB"/>
              </w:rPr>
            </w:pPr>
          </w:p>
        </w:tc>
        <w:tc>
          <w:tcPr>
            <w:tcW w:w="869"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Opkastning</w:t>
            </w:r>
          </w:p>
          <w:p w:rsidR="00E054FA" w:rsidRDefault="00E054FA">
            <w:pPr>
              <w:keepNext/>
              <w:rPr>
                <w:lang w:eastAsia="en-GB"/>
              </w:rPr>
            </w:pPr>
            <w:r>
              <w:rPr>
                <w:lang w:eastAsia="en-GB"/>
              </w:rPr>
              <w:t>Kvalme</w:t>
            </w: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proofErr w:type="spellStart"/>
            <w:r>
              <w:rPr>
                <w:lang w:eastAsia="en-GB"/>
              </w:rPr>
              <w:t>Abdominal</w:t>
            </w:r>
            <w:proofErr w:type="spellEnd"/>
            <w:r>
              <w:rPr>
                <w:lang w:eastAsia="en-GB"/>
              </w:rPr>
              <w:t xml:space="preserve"> </w:t>
            </w:r>
            <w:proofErr w:type="spellStart"/>
            <w:r>
              <w:rPr>
                <w:lang w:eastAsia="en-GB"/>
              </w:rPr>
              <w:t>distension</w:t>
            </w:r>
            <w:proofErr w:type="spellEnd"/>
          </w:p>
          <w:p w:rsidR="00E054FA" w:rsidRDefault="00E054FA">
            <w:pPr>
              <w:keepNext/>
              <w:rPr>
                <w:lang w:eastAsia="en-GB"/>
              </w:rPr>
            </w:pPr>
            <w:r>
              <w:rPr>
                <w:lang w:eastAsia="en-GB"/>
              </w:rPr>
              <w:t>Anal irritation</w:t>
            </w:r>
          </w:p>
          <w:p w:rsidR="00E054FA" w:rsidRDefault="00E054FA">
            <w:pPr>
              <w:keepNext/>
              <w:rPr>
                <w:lang w:eastAsia="en-GB"/>
              </w:rPr>
            </w:pPr>
            <w:r>
              <w:rPr>
                <w:lang w:eastAsia="en-GB"/>
              </w:rPr>
              <w:t>Mavesmerter</w:t>
            </w:r>
          </w:p>
          <w:p w:rsidR="00E054FA" w:rsidRDefault="00E054FA">
            <w:pPr>
              <w:keepNext/>
              <w:rPr>
                <w:lang w:eastAsia="en-GB"/>
              </w:rPr>
            </w:pPr>
            <w:r>
              <w:rPr>
                <w:lang w:eastAsia="en-GB"/>
              </w:rPr>
              <w:t>Øvre mavesmerter</w:t>
            </w:r>
          </w:p>
          <w:p w:rsidR="00E054FA" w:rsidRDefault="00E054FA">
            <w:pPr>
              <w:keepNext/>
              <w:rPr>
                <w:lang w:eastAsia="en-GB"/>
              </w:rPr>
            </w:pPr>
            <w:r>
              <w:rPr>
                <w:lang w:eastAsia="en-GB"/>
              </w:rPr>
              <w:t>Nedre mavesmerter</w:t>
            </w: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proofErr w:type="spellStart"/>
            <w:r>
              <w:rPr>
                <w:lang w:eastAsia="en-GB"/>
              </w:rPr>
              <w:t>Øsofagusruptur</w:t>
            </w:r>
            <w:proofErr w:type="spellEnd"/>
            <w:r>
              <w:rPr>
                <w:lang w:eastAsia="en-GB"/>
              </w:rPr>
              <w:t xml:space="preserve"> (</w:t>
            </w:r>
            <w:proofErr w:type="spellStart"/>
            <w:r>
              <w:rPr>
                <w:lang w:eastAsia="en-GB"/>
              </w:rPr>
              <w:t>Boerhaaves</w:t>
            </w:r>
            <w:proofErr w:type="spellEnd"/>
            <w:r>
              <w:rPr>
                <w:lang w:eastAsia="en-GB"/>
              </w:rPr>
              <w:t xml:space="preserve"> syndrom)</w:t>
            </w:r>
          </w:p>
        </w:tc>
      </w:tr>
      <w:tr w:rsidR="00E054FA" w:rsidTr="00E054FA">
        <w:trPr>
          <w:trHeight w:val="526"/>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Immunsystemet</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Allergisk reaktion</w:t>
            </w: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r w:rsidR="00E054FA" w:rsidTr="00E054FA">
        <w:trPr>
          <w:trHeight w:val="251"/>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Metabolisme og ernæring</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 xml:space="preserve">Dehydrering </w:t>
            </w: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r w:rsidR="00E054FA" w:rsidTr="00E054FA">
        <w:trPr>
          <w:trHeight w:val="263"/>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Nervesystemet</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Hovedpine</w:t>
            </w:r>
          </w:p>
          <w:p w:rsidR="00E054FA" w:rsidRDefault="00E054FA">
            <w:pPr>
              <w:rPr>
                <w:lang w:eastAsia="en-GB"/>
              </w:rPr>
            </w:pPr>
            <w:r>
              <w:rPr>
                <w:lang w:eastAsia="en-GB"/>
              </w:rPr>
              <w:t>Migræne</w:t>
            </w:r>
          </w:p>
          <w:p w:rsidR="00E054FA" w:rsidRDefault="00E054FA">
            <w:pPr>
              <w:rPr>
                <w:lang w:eastAsia="en-GB"/>
              </w:rPr>
            </w:pPr>
            <w:proofErr w:type="spellStart"/>
            <w:r>
              <w:rPr>
                <w:lang w:eastAsia="en-GB"/>
              </w:rPr>
              <w:t>Somnolens</w:t>
            </w:r>
            <w:proofErr w:type="spellEnd"/>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Krampeanfald</w:t>
            </w:r>
          </w:p>
        </w:tc>
      </w:tr>
      <w:tr w:rsidR="00E054FA" w:rsidTr="00E054FA">
        <w:trPr>
          <w:trHeight w:val="263"/>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Almene symptomer og reaktioner på administrationsstedet</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Tørst*</w:t>
            </w:r>
          </w:p>
          <w:p w:rsidR="00E054FA" w:rsidRDefault="00E054FA">
            <w:pPr>
              <w:rPr>
                <w:lang w:eastAsia="en-GB"/>
              </w:rPr>
            </w:pPr>
            <w:r>
              <w:rPr>
                <w:lang w:eastAsia="en-GB"/>
              </w:rPr>
              <w:t>Træthed</w:t>
            </w:r>
          </w:p>
          <w:p w:rsidR="00E054FA" w:rsidRDefault="00E054FA">
            <w:pPr>
              <w:rPr>
                <w:lang w:eastAsia="en-GB"/>
              </w:rPr>
            </w:pPr>
            <w:r>
              <w:rPr>
                <w:lang w:eastAsia="en-GB"/>
              </w:rPr>
              <w:t>Asteni</w:t>
            </w:r>
          </w:p>
          <w:p w:rsidR="00E054FA" w:rsidRDefault="00E054FA">
            <w:pPr>
              <w:rPr>
                <w:lang w:eastAsia="en-GB"/>
              </w:rPr>
            </w:pPr>
            <w:r>
              <w:rPr>
                <w:lang w:eastAsia="en-GB"/>
              </w:rPr>
              <w:t>Kuldegysninger**</w:t>
            </w:r>
          </w:p>
          <w:p w:rsidR="00E054FA" w:rsidRDefault="00E054FA">
            <w:pPr>
              <w:rPr>
                <w:lang w:eastAsia="en-GB"/>
              </w:rPr>
            </w:pPr>
            <w:r>
              <w:rPr>
                <w:lang w:eastAsia="en-GB"/>
              </w:rPr>
              <w:t>Smerter</w:t>
            </w:r>
          </w:p>
          <w:p w:rsidR="00E054FA" w:rsidRDefault="00E054FA">
            <w:pPr>
              <w:rPr>
                <w:lang w:eastAsia="en-GB"/>
              </w:rPr>
            </w:pPr>
            <w:r>
              <w:rPr>
                <w:lang w:eastAsia="en-GB"/>
              </w:rPr>
              <w:t>Ømhed</w:t>
            </w: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r w:rsidR="00E054FA" w:rsidTr="00E054FA">
        <w:trPr>
          <w:trHeight w:val="263"/>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Hjerte</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proofErr w:type="spellStart"/>
            <w:r>
              <w:rPr>
                <w:lang w:eastAsia="en-GB"/>
              </w:rPr>
              <w:t>Palpitationer</w:t>
            </w:r>
            <w:proofErr w:type="spellEnd"/>
          </w:p>
          <w:p w:rsidR="00E054FA" w:rsidRDefault="00E054FA">
            <w:pPr>
              <w:rPr>
                <w:lang w:eastAsia="en-GB"/>
              </w:rPr>
            </w:pPr>
            <w:r>
              <w:rPr>
                <w:lang w:eastAsia="en-GB"/>
              </w:rPr>
              <w:t xml:space="preserve">Sinus </w:t>
            </w:r>
            <w:proofErr w:type="spellStart"/>
            <w:r>
              <w:rPr>
                <w:lang w:eastAsia="en-GB"/>
              </w:rPr>
              <w:t>takykardi</w:t>
            </w:r>
            <w:proofErr w:type="spellEnd"/>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r w:rsidR="00E054FA" w:rsidTr="00E054FA">
        <w:trPr>
          <w:trHeight w:val="263"/>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Kredsløb</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Forbigående blodtryksstigning</w:t>
            </w:r>
          </w:p>
          <w:p w:rsidR="00E054FA" w:rsidRDefault="00E054FA">
            <w:pPr>
              <w:rPr>
                <w:lang w:eastAsia="en-GB"/>
              </w:rPr>
            </w:pPr>
            <w:r>
              <w:rPr>
                <w:lang w:eastAsia="en-GB"/>
              </w:rPr>
              <w:t>Hedeture</w:t>
            </w: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r w:rsidR="00E054FA" w:rsidTr="00E054FA">
        <w:trPr>
          <w:trHeight w:val="263"/>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Undersøgelser</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 xml:space="preserve">Forbigående øgning af leverenzymer*** </w:t>
            </w:r>
          </w:p>
          <w:p w:rsidR="00E054FA" w:rsidRDefault="00E054FA">
            <w:pPr>
              <w:rPr>
                <w:lang w:eastAsia="en-GB"/>
              </w:rPr>
            </w:pPr>
            <w:proofErr w:type="spellStart"/>
            <w:r>
              <w:rPr>
                <w:lang w:eastAsia="en-GB"/>
              </w:rPr>
              <w:t>Hypernatriæmi</w:t>
            </w:r>
            <w:proofErr w:type="spellEnd"/>
          </w:p>
          <w:p w:rsidR="00E054FA" w:rsidRDefault="00E054FA">
            <w:pPr>
              <w:rPr>
                <w:lang w:eastAsia="en-GB"/>
              </w:rPr>
            </w:pPr>
            <w:proofErr w:type="spellStart"/>
            <w:r>
              <w:rPr>
                <w:lang w:eastAsia="en-GB"/>
              </w:rPr>
              <w:t>Hypercalcæmi</w:t>
            </w:r>
            <w:proofErr w:type="spellEnd"/>
          </w:p>
          <w:p w:rsidR="00E054FA" w:rsidRDefault="00E054FA">
            <w:pPr>
              <w:rPr>
                <w:lang w:eastAsia="en-GB"/>
              </w:rPr>
            </w:pPr>
            <w:proofErr w:type="spellStart"/>
            <w:r>
              <w:rPr>
                <w:lang w:eastAsia="en-GB"/>
              </w:rPr>
              <w:t>Hypofosfatæmi</w:t>
            </w:r>
            <w:proofErr w:type="spellEnd"/>
          </w:p>
          <w:p w:rsidR="00E054FA" w:rsidRDefault="00E054FA">
            <w:pPr>
              <w:rPr>
                <w:lang w:eastAsia="en-GB"/>
              </w:rPr>
            </w:pPr>
            <w:proofErr w:type="spellStart"/>
            <w:r>
              <w:rPr>
                <w:lang w:eastAsia="en-GB"/>
              </w:rPr>
              <w:t>Hypokaliæmi</w:t>
            </w:r>
            <w:proofErr w:type="spellEnd"/>
          </w:p>
          <w:p w:rsidR="00E054FA" w:rsidRDefault="00E054FA">
            <w:pPr>
              <w:rPr>
                <w:lang w:eastAsia="en-GB"/>
              </w:rPr>
            </w:pPr>
            <w:r>
              <w:rPr>
                <w:lang w:eastAsia="en-GB"/>
              </w:rPr>
              <w:t xml:space="preserve">Tab af </w:t>
            </w:r>
            <w:proofErr w:type="spellStart"/>
            <w:r>
              <w:rPr>
                <w:lang w:eastAsia="en-GB"/>
              </w:rPr>
              <w:t>bicarbonat</w:t>
            </w:r>
            <w:proofErr w:type="spellEnd"/>
          </w:p>
          <w:p w:rsidR="00E054FA" w:rsidRDefault="00E054FA">
            <w:pPr>
              <w:rPr>
                <w:lang w:eastAsia="en-GB"/>
              </w:rPr>
            </w:pPr>
            <w:r>
              <w:rPr>
                <w:lang w:eastAsia="en-GB"/>
              </w:rPr>
              <w:t>Øget/reduceret anion-</w:t>
            </w:r>
            <w:proofErr w:type="spellStart"/>
            <w:r>
              <w:rPr>
                <w:lang w:eastAsia="en-GB"/>
              </w:rPr>
              <w:t>gap</w:t>
            </w:r>
            <w:proofErr w:type="spellEnd"/>
          </w:p>
          <w:p w:rsidR="00E054FA" w:rsidRDefault="00E054FA">
            <w:pPr>
              <w:rPr>
                <w:lang w:eastAsia="en-GB"/>
              </w:rPr>
            </w:pPr>
            <w:proofErr w:type="spellStart"/>
            <w:r>
              <w:rPr>
                <w:lang w:eastAsia="en-GB"/>
              </w:rPr>
              <w:t>Hyperosmolær</w:t>
            </w:r>
            <w:proofErr w:type="spellEnd"/>
            <w:r>
              <w:rPr>
                <w:lang w:eastAsia="en-GB"/>
              </w:rPr>
              <w:t xml:space="preserve"> tilstand</w:t>
            </w: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bl>
    <w:p w:rsidR="00E054FA" w:rsidRPr="00CB242B" w:rsidRDefault="00E054FA" w:rsidP="00E054FA">
      <w:pPr>
        <w:rPr>
          <w:sz w:val="24"/>
          <w:szCs w:val="24"/>
          <w:lang w:eastAsia="en-GB"/>
        </w:rPr>
      </w:pPr>
      <w:r>
        <w:rPr>
          <w:sz w:val="24"/>
          <w:szCs w:val="24"/>
          <w:lang w:eastAsia="en-GB"/>
        </w:rPr>
        <w:t>*Tørst omfatter de foretrukne begreber: Tørst, mundtørhed og tør hals</w:t>
      </w:r>
    </w:p>
    <w:p w:rsidR="00AB7145" w:rsidRPr="00CB242B" w:rsidRDefault="00AB7145" w:rsidP="00AB7145">
      <w:pPr>
        <w:rPr>
          <w:sz w:val="24"/>
          <w:szCs w:val="24"/>
          <w:lang w:eastAsia="en-GB"/>
        </w:rPr>
      </w:pPr>
      <w:r w:rsidRPr="00CB242B">
        <w:rPr>
          <w:sz w:val="24"/>
          <w:szCs w:val="24"/>
          <w:lang w:eastAsia="en-GB"/>
        </w:rPr>
        <w:lastRenderedPageBreak/>
        <w:t>**Kuldegysninger omfatter de foretrukne begreber</w:t>
      </w:r>
      <w:r>
        <w:rPr>
          <w:sz w:val="24"/>
          <w:szCs w:val="24"/>
          <w:lang w:eastAsia="en-GB"/>
        </w:rPr>
        <w:t>:</w:t>
      </w:r>
      <w:r w:rsidRPr="00CB242B">
        <w:rPr>
          <w:sz w:val="24"/>
          <w:szCs w:val="24"/>
          <w:lang w:eastAsia="en-GB"/>
        </w:rPr>
        <w:t xml:space="preserve"> Kuldegysninger, </w:t>
      </w:r>
      <w:r>
        <w:rPr>
          <w:sz w:val="24"/>
          <w:szCs w:val="24"/>
          <w:lang w:eastAsia="en-GB"/>
        </w:rPr>
        <w:t>f</w:t>
      </w:r>
      <w:r w:rsidRPr="00CB242B">
        <w:rPr>
          <w:sz w:val="24"/>
          <w:szCs w:val="24"/>
          <w:lang w:eastAsia="en-GB"/>
        </w:rPr>
        <w:t xml:space="preserve">ornemmelse af varme og </w:t>
      </w:r>
      <w:r>
        <w:rPr>
          <w:sz w:val="24"/>
          <w:szCs w:val="24"/>
          <w:lang w:eastAsia="en-GB"/>
        </w:rPr>
        <w:t>f</w:t>
      </w:r>
      <w:r w:rsidRPr="00CB242B">
        <w:rPr>
          <w:sz w:val="24"/>
          <w:szCs w:val="24"/>
          <w:lang w:eastAsia="en-GB"/>
        </w:rPr>
        <w:t xml:space="preserve">ornemmelse af kulde </w:t>
      </w:r>
    </w:p>
    <w:p w:rsidR="00AB7145" w:rsidRPr="00CB242B" w:rsidRDefault="00AB7145" w:rsidP="00AB7145">
      <w:pPr>
        <w:rPr>
          <w:sz w:val="24"/>
          <w:szCs w:val="24"/>
          <w:lang w:eastAsia="en-GB"/>
        </w:rPr>
      </w:pPr>
      <w:r w:rsidRPr="00CB242B">
        <w:rPr>
          <w:sz w:val="24"/>
          <w:szCs w:val="24"/>
          <w:lang w:eastAsia="en-GB"/>
        </w:rPr>
        <w:t>***Forbigående øgning af leverenzymer omfatter de foretrukne begreber</w:t>
      </w:r>
      <w:r>
        <w:rPr>
          <w:sz w:val="24"/>
          <w:szCs w:val="24"/>
          <w:lang w:eastAsia="en-GB"/>
        </w:rPr>
        <w:t>:</w:t>
      </w:r>
      <w:r w:rsidRPr="00CB242B">
        <w:rPr>
          <w:sz w:val="24"/>
          <w:szCs w:val="24"/>
          <w:lang w:eastAsia="en-GB"/>
        </w:rPr>
        <w:t xml:space="preserve"> Stigning i </w:t>
      </w:r>
      <w:r w:rsidR="00121FAE" w:rsidRPr="009E2480">
        <w:rPr>
          <w:sz w:val="24"/>
          <w:szCs w:val="24"/>
          <w:lang w:eastAsia="en-GB"/>
        </w:rPr>
        <w:t>AL</w:t>
      </w:r>
      <w:r w:rsidR="00121FAE">
        <w:rPr>
          <w:sz w:val="24"/>
          <w:szCs w:val="24"/>
          <w:lang w:eastAsia="en-GB"/>
        </w:rPr>
        <w:t>A</w:t>
      </w:r>
      <w:r w:rsidR="00121FAE" w:rsidRPr="009E2480">
        <w:rPr>
          <w:sz w:val="24"/>
          <w:szCs w:val="24"/>
          <w:lang w:eastAsia="en-GB"/>
        </w:rPr>
        <w:t>T</w:t>
      </w:r>
      <w:r w:rsidRPr="00CB242B">
        <w:rPr>
          <w:sz w:val="24"/>
          <w:szCs w:val="24"/>
          <w:lang w:eastAsia="en-GB"/>
        </w:rPr>
        <w:t xml:space="preserve">, </w:t>
      </w:r>
      <w:r>
        <w:rPr>
          <w:sz w:val="24"/>
          <w:szCs w:val="24"/>
          <w:lang w:eastAsia="en-GB"/>
        </w:rPr>
        <w:t>s</w:t>
      </w:r>
      <w:r w:rsidRPr="00CB242B">
        <w:rPr>
          <w:sz w:val="24"/>
          <w:szCs w:val="24"/>
          <w:lang w:eastAsia="en-GB"/>
        </w:rPr>
        <w:t xml:space="preserve">tigning i </w:t>
      </w:r>
      <w:r w:rsidR="00121FAE" w:rsidRPr="009E2480">
        <w:rPr>
          <w:sz w:val="24"/>
          <w:szCs w:val="24"/>
          <w:lang w:eastAsia="en-GB"/>
        </w:rPr>
        <w:t>AS</w:t>
      </w:r>
      <w:r w:rsidR="00121FAE">
        <w:rPr>
          <w:sz w:val="24"/>
          <w:szCs w:val="24"/>
          <w:lang w:eastAsia="en-GB"/>
        </w:rPr>
        <w:t>A</w:t>
      </w:r>
      <w:r w:rsidR="00121FAE" w:rsidRPr="009E2480">
        <w:rPr>
          <w:sz w:val="24"/>
          <w:szCs w:val="24"/>
          <w:lang w:eastAsia="en-GB"/>
        </w:rPr>
        <w:t xml:space="preserve">T, </w:t>
      </w:r>
      <w:r w:rsidR="00121FAE">
        <w:rPr>
          <w:sz w:val="24"/>
          <w:szCs w:val="24"/>
          <w:lang w:eastAsia="en-GB"/>
        </w:rPr>
        <w:t>s</w:t>
      </w:r>
      <w:r w:rsidR="00121FAE" w:rsidRPr="009E2480">
        <w:rPr>
          <w:sz w:val="24"/>
          <w:szCs w:val="24"/>
          <w:lang w:eastAsia="en-GB"/>
        </w:rPr>
        <w:t xml:space="preserve">tigning </w:t>
      </w:r>
      <w:r w:rsidRPr="00CB242B">
        <w:rPr>
          <w:sz w:val="24"/>
          <w:szCs w:val="24"/>
          <w:lang w:eastAsia="en-GB"/>
        </w:rPr>
        <w:t xml:space="preserve">i GGT, </w:t>
      </w:r>
      <w:r>
        <w:rPr>
          <w:sz w:val="24"/>
          <w:szCs w:val="24"/>
          <w:lang w:eastAsia="en-GB"/>
        </w:rPr>
        <w:t>s</w:t>
      </w:r>
      <w:r w:rsidRPr="00CB242B">
        <w:rPr>
          <w:sz w:val="24"/>
          <w:szCs w:val="24"/>
          <w:lang w:eastAsia="en-GB"/>
        </w:rPr>
        <w:t xml:space="preserve">tigning i leverenzymer, </w:t>
      </w:r>
      <w:r>
        <w:rPr>
          <w:sz w:val="24"/>
          <w:szCs w:val="24"/>
          <w:lang w:eastAsia="en-GB"/>
        </w:rPr>
        <w:t>s</w:t>
      </w:r>
      <w:r w:rsidRPr="00CB242B">
        <w:rPr>
          <w:sz w:val="24"/>
          <w:szCs w:val="24"/>
          <w:lang w:eastAsia="en-GB"/>
        </w:rPr>
        <w:t xml:space="preserve">tigning i </w:t>
      </w:r>
      <w:proofErr w:type="spellStart"/>
      <w:r w:rsidRPr="00CB242B">
        <w:rPr>
          <w:sz w:val="24"/>
          <w:szCs w:val="24"/>
          <w:lang w:eastAsia="en-GB"/>
        </w:rPr>
        <w:t>transaminaser</w:t>
      </w:r>
      <w:proofErr w:type="spellEnd"/>
    </w:p>
    <w:p w:rsidR="00121FAE" w:rsidRPr="009E2480" w:rsidRDefault="00AB7145" w:rsidP="00121FAE">
      <w:pPr>
        <w:rPr>
          <w:sz w:val="24"/>
          <w:szCs w:val="24"/>
          <w:lang w:eastAsia="en-GB"/>
        </w:rPr>
      </w:pPr>
      <w:r w:rsidRPr="00CB242B">
        <w:rPr>
          <w:sz w:val="24"/>
          <w:szCs w:val="24"/>
          <w:vertAlign w:val="superscript"/>
          <w:lang w:eastAsia="en-GB"/>
        </w:rPr>
        <w:t>#</w:t>
      </w:r>
      <w:r w:rsidRPr="00CB242B">
        <w:rPr>
          <w:sz w:val="24"/>
          <w:szCs w:val="24"/>
          <w:lang w:eastAsia="en-GB"/>
        </w:rPr>
        <w:t xml:space="preserve">Ingen bivirkninger med en hyppighed på "meget almindelig" blev rapporteret i de kliniske </w:t>
      </w:r>
      <w:r w:rsidR="00121FAE" w:rsidRPr="009E2480">
        <w:rPr>
          <w:sz w:val="24"/>
          <w:szCs w:val="24"/>
          <w:lang w:eastAsia="en-GB"/>
        </w:rPr>
        <w:t>studier.</w:t>
      </w:r>
    </w:p>
    <w:p w:rsidR="00AB7145" w:rsidRPr="00CB242B" w:rsidRDefault="00AB7145" w:rsidP="00121FAE">
      <w:pPr>
        <w:rPr>
          <w:i/>
          <w:noProof/>
          <w:sz w:val="24"/>
          <w:szCs w:val="24"/>
        </w:rPr>
      </w:pPr>
    </w:p>
    <w:p w:rsidR="00121FAE" w:rsidRPr="009E2480" w:rsidRDefault="00121FAE" w:rsidP="00121FAE">
      <w:pPr>
        <w:ind w:left="851"/>
        <w:rPr>
          <w:sz w:val="24"/>
          <w:szCs w:val="24"/>
          <w:u w:val="single"/>
        </w:rPr>
      </w:pPr>
      <w:r w:rsidRPr="009E2480">
        <w:rPr>
          <w:sz w:val="24"/>
          <w:szCs w:val="24"/>
          <w:u w:val="single"/>
        </w:rPr>
        <w:t>Indberetning af formodede bivirkninger</w:t>
      </w:r>
    </w:p>
    <w:p w:rsidR="00121FAE" w:rsidRPr="009E2480" w:rsidRDefault="00121FAE" w:rsidP="00121FAE">
      <w:pPr>
        <w:ind w:left="851"/>
        <w:rPr>
          <w:sz w:val="24"/>
          <w:szCs w:val="24"/>
        </w:rPr>
      </w:pPr>
      <w:r w:rsidRPr="009E2480">
        <w:rPr>
          <w:sz w:val="24"/>
          <w:szCs w:val="24"/>
        </w:rPr>
        <w:t>Når lægemidlet er godkendt, er indberetning af formodede bivirkninger vigtig. Det muliggør løbende overvågning af benefit/</w:t>
      </w:r>
      <w:proofErr w:type="spellStart"/>
      <w:r w:rsidRPr="009E2480">
        <w:rPr>
          <w:sz w:val="24"/>
          <w:szCs w:val="24"/>
        </w:rPr>
        <w:t>risk</w:t>
      </w:r>
      <w:proofErr w:type="spellEnd"/>
      <w:r w:rsidRPr="009E2480">
        <w:rPr>
          <w:sz w:val="24"/>
          <w:szCs w:val="24"/>
        </w:rPr>
        <w:t xml:space="preserve">-forholdet for lægemidlet. Sundhedspersoner anmodes om at indberette alle formodede bivirkninger via: </w:t>
      </w:r>
    </w:p>
    <w:p w:rsidR="00AB7145" w:rsidRPr="00CB242B" w:rsidRDefault="00AB7145" w:rsidP="00AB7145">
      <w:pPr>
        <w:ind w:left="851"/>
        <w:rPr>
          <w:sz w:val="24"/>
          <w:szCs w:val="24"/>
        </w:rPr>
      </w:pPr>
    </w:p>
    <w:p w:rsidR="00AB7145" w:rsidRPr="00CB242B" w:rsidRDefault="00AB7145" w:rsidP="00AB7145">
      <w:pPr>
        <w:ind w:left="851"/>
        <w:rPr>
          <w:sz w:val="24"/>
          <w:szCs w:val="24"/>
        </w:rPr>
      </w:pPr>
      <w:r w:rsidRPr="00CB242B">
        <w:rPr>
          <w:sz w:val="24"/>
          <w:szCs w:val="24"/>
        </w:rPr>
        <w:t>Lægemiddelstyrelsen</w:t>
      </w:r>
    </w:p>
    <w:p w:rsidR="00AB7145" w:rsidRPr="00CB242B" w:rsidRDefault="00AB7145" w:rsidP="00AB7145">
      <w:pPr>
        <w:ind w:left="851"/>
        <w:rPr>
          <w:sz w:val="24"/>
          <w:szCs w:val="24"/>
        </w:rPr>
      </w:pPr>
      <w:r w:rsidRPr="00CB242B">
        <w:rPr>
          <w:sz w:val="24"/>
          <w:szCs w:val="24"/>
        </w:rPr>
        <w:t>Axel Heides Gade 1</w:t>
      </w:r>
    </w:p>
    <w:p w:rsidR="00AB7145" w:rsidRPr="00CB242B" w:rsidRDefault="00AB7145" w:rsidP="00AB7145">
      <w:pPr>
        <w:ind w:left="851"/>
        <w:rPr>
          <w:sz w:val="24"/>
          <w:szCs w:val="24"/>
        </w:rPr>
      </w:pPr>
      <w:r w:rsidRPr="00CB242B">
        <w:rPr>
          <w:sz w:val="24"/>
          <w:szCs w:val="24"/>
        </w:rPr>
        <w:t>DK-2300 København S</w:t>
      </w:r>
    </w:p>
    <w:p w:rsidR="00AB7145" w:rsidRPr="00BB372D" w:rsidRDefault="00AB7145" w:rsidP="00AB7145">
      <w:pPr>
        <w:ind w:left="851"/>
        <w:rPr>
          <w:sz w:val="24"/>
          <w:szCs w:val="24"/>
        </w:rPr>
      </w:pPr>
      <w:r w:rsidRPr="00BB372D">
        <w:rPr>
          <w:sz w:val="24"/>
          <w:szCs w:val="24"/>
        </w:rPr>
        <w:t xml:space="preserve">Websted: </w:t>
      </w:r>
      <w:hyperlink r:id="rId8" w:history="1">
        <w:r w:rsidRPr="00BB372D">
          <w:rPr>
            <w:rStyle w:val="Hyperlink"/>
            <w:sz w:val="24"/>
            <w:szCs w:val="24"/>
          </w:rPr>
          <w:t>www.meldenbivirkning.dk</w:t>
        </w:r>
      </w:hyperlink>
    </w:p>
    <w:p w:rsidR="00AB7145" w:rsidRPr="00BB372D" w:rsidRDefault="00AB7145" w:rsidP="00AB7145">
      <w:pPr>
        <w:pStyle w:val="Sidehoved"/>
        <w:tabs>
          <w:tab w:val="clear" w:pos="4819"/>
          <w:tab w:val="clear" w:pos="9638"/>
        </w:tabs>
        <w:ind w:left="851" w:hanging="851"/>
        <w:rPr>
          <w:szCs w:val="24"/>
        </w:rPr>
      </w:pPr>
    </w:p>
    <w:p w:rsidR="00AB7145" w:rsidRPr="00CB242B" w:rsidRDefault="00AB7145" w:rsidP="00AB7145">
      <w:pPr>
        <w:ind w:left="851" w:hanging="851"/>
        <w:rPr>
          <w:b/>
          <w:sz w:val="24"/>
          <w:szCs w:val="24"/>
        </w:rPr>
      </w:pPr>
      <w:r w:rsidRPr="00CB242B">
        <w:rPr>
          <w:b/>
          <w:sz w:val="24"/>
          <w:szCs w:val="24"/>
        </w:rPr>
        <w:t>4.9</w:t>
      </w:r>
      <w:r w:rsidRPr="00CB242B">
        <w:rPr>
          <w:b/>
          <w:sz w:val="24"/>
          <w:szCs w:val="24"/>
        </w:rPr>
        <w:tab/>
        <w:t>Overdosering</w:t>
      </w:r>
    </w:p>
    <w:p w:rsidR="00AB7145" w:rsidRPr="00CB242B" w:rsidRDefault="00AB7145" w:rsidP="00AB7145">
      <w:pPr>
        <w:autoSpaceDE w:val="0"/>
        <w:autoSpaceDN w:val="0"/>
        <w:adjustRightInd w:val="0"/>
        <w:ind w:left="851"/>
        <w:rPr>
          <w:noProof/>
          <w:sz w:val="24"/>
          <w:szCs w:val="24"/>
        </w:rPr>
      </w:pPr>
      <w:r w:rsidRPr="00CB242B">
        <w:rPr>
          <w:noProof/>
          <w:sz w:val="24"/>
          <w:szCs w:val="24"/>
        </w:rPr>
        <w:t>I tilfælde af grov utilsigtet overdosis med kraftig diarré, kan væskeerstatning og elektrolyt korrektion være nødvendigt.</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4.10</w:t>
      </w:r>
      <w:r w:rsidRPr="00CB242B">
        <w:rPr>
          <w:b/>
          <w:sz w:val="24"/>
          <w:szCs w:val="24"/>
        </w:rPr>
        <w:tab/>
        <w:t>Udlevering</w:t>
      </w:r>
    </w:p>
    <w:p w:rsidR="00AB7145" w:rsidRPr="00CB242B" w:rsidRDefault="00AB7145" w:rsidP="00AB7145">
      <w:pPr>
        <w:ind w:left="851"/>
        <w:rPr>
          <w:sz w:val="24"/>
          <w:szCs w:val="24"/>
        </w:rPr>
      </w:pPr>
      <w:r w:rsidRPr="00CB242B">
        <w:rPr>
          <w:sz w:val="24"/>
          <w:szCs w:val="24"/>
        </w:rPr>
        <w:t>HA</w:t>
      </w:r>
    </w:p>
    <w:p w:rsidR="00AB7145" w:rsidRPr="00CB242B" w:rsidRDefault="00AB7145" w:rsidP="00AB7145">
      <w:pPr>
        <w:ind w:left="851" w:hanging="851"/>
        <w:rPr>
          <w:sz w:val="24"/>
          <w:szCs w:val="24"/>
        </w:rPr>
      </w:pPr>
    </w:p>
    <w:p w:rsidR="008513D0" w:rsidRPr="00CB242B" w:rsidRDefault="008513D0" w:rsidP="00AB7145">
      <w:pPr>
        <w:ind w:left="851" w:hanging="851"/>
        <w:rPr>
          <w:sz w:val="24"/>
          <w:szCs w:val="24"/>
        </w:rPr>
      </w:pPr>
    </w:p>
    <w:p w:rsidR="00AB7145" w:rsidRPr="00CB242B" w:rsidRDefault="00AB7145" w:rsidP="008513D0">
      <w:pPr>
        <w:keepNext/>
        <w:ind w:left="851" w:hanging="851"/>
        <w:rPr>
          <w:b/>
          <w:sz w:val="24"/>
          <w:szCs w:val="24"/>
        </w:rPr>
      </w:pPr>
      <w:r w:rsidRPr="00CB242B">
        <w:rPr>
          <w:b/>
          <w:sz w:val="24"/>
          <w:szCs w:val="24"/>
        </w:rPr>
        <w:t>5.</w:t>
      </w:r>
      <w:r w:rsidRPr="00CB242B">
        <w:rPr>
          <w:b/>
          <w:sz w:val="24"/>
          <w:szCs w:val="24"/>
        </w:rPr>
        <w:tab/>
        <w:t>FARMAKOLOGISKE EGENSKABER</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5.1</w:t>
      </w:r>
      <w:r w:rsidRPr="00CB242B">
        <w:rPr>
          <w:b/>
          <w:sz w:val="24"/>
          <w:szCs w:val="24"/>
        </w:rPr>
        <w:tab/>
      </w:r>
      <w:proofErr w:type="spellStart"/>
      <w:r w:rsidRPr="00CB242B">
        <w:rPr>
          <w:b/>
          <w:sz w:val="24"/>
          <w:szCs w:val="24"/>
        </w:rPr>
        <w:t>Farmakodynamiske</w:t>
      </w:r>
      <w:proofErr w:type="spellEnd"/>
      <w:r w:rsidRPr="00CB242B">
        <w:rPr>
          <w:b/>
          <w:sz w:val="24"/>
          <w:szCs w:val="24"/>
        </w:rPr>
        <w:t xml:space="preserve"> egenskaber</w:t>
      </w:r>
    </w:p>
    <w:p w:rsidR="00CD15A4" w:rsidRPr="00CB242B" w:rsidRDefault="00CD15A4" w:rsidP="00CD15A4">
      <w:pPr>
        <w:ind w:left="851"/>
        <w:rPr>
          <w:sz w:val="24"/>
          <w:szCs w:val="24"/>
        </w:rPr>
      </w:pPr>
      <w:proofErr w:type="spellStart"/>
      <w:r w:rsidRPr="00CD15A4">
        <w:rPr>
          <w:sz w:val="24"/>
          <w:szCs w:val="24"/>
        </w:rPr>
        <w:t>Farmakoterapeutisk</w:t>
      </w:r>
      <w:proofErr w:type="spellEnd"/>
      <w:r w:rsidRPr="00CD15A4">
        <w:rPr>
          <w:sz w:val="24"/>
          <w:szCs w:val="24"/>
        </w:rPr>
        <w:t xml:space="preserve"> klassifikation</w:t>
      </w:r>
      <w:r>
        <w:rPr>
          <w:sz w:val="24"/>
          <w:szCs w:val="24"/>
        </w:rPr>
        <w:t xml:space="preserve">: </w:t>
      </w:r>
      <w:r w:rsidRPr="00BE653B">
        <w:rPr>
          <w:sz w:val="24"/>
          <w:szCs w:val="24"/>
        </w:rPr>
        <w:t>Os</w:t>
      </w:r>
      <w:r w:rsidRPr="00BE653B">
        <w:rPr>
          <w:spacing w:val="-2"/>
          <w:sz w:val="24"/>
          <w:szCs w:val="24"/>
        </w:rPr>
        <w:t>m</w:t>
      </w:r>
      <w:r w:rsidRPr="00BE653B">
        <w:rPr>
          <w:spacing w:val="1"/>
          <w:sz w:val="24"/>
          <w:szCs w:val="24"/>
        </w:rPr>
        <w:t>o</w:t>
      </w:r>
      <w:r w:rsidRPr="00BE653B">
        <w:rPr>
          <w:sz w:val="24"/>
          <w:szCs w:val="24"/>
        </w:rPr>
        <w:t xml:space="preserve">tisk aktivt laksativ. </w:t>
      </w:r>
      <w:r w:rsidRPr="00CB242B">
        <w:rPr>
          <w:sz w:val="24"/>
          <w:szCs w:val="24"/>
        </w:rPr>
        <w:t>ATC-kode: A</w:t>
      </w:r>
      <w:r>
        <w:rPr>
          <w:sz w:val="24"/>
          <w:szCs w:val="24"/>
        </w:rPr>
        <w:t xml:space="preserve"> </w:t>
      </w:r>
      <w:r w:rsidRPr="00CB242B">
        <w:rPr>
          <w:sz w:val="24"/>
          <w:szCs w:val="24"/>
        </w:rPr>
        <w:t>06</w:t>
      </w:r>
      <w:r>
        <w:rPr>
          <w:sz w:val="24"/>
          <w:szCs w:val="24"/>
        </w:rPr>
        <w:t xml:space="preserve"> A</w:t>
      </w:r>
      <w:r w:rsidRPr="00CB242B">
        <w:rPr>
          <w:sz w:val="24"/>
          <w:szCs w:val="24"/>
        </w:rPr>
        <w:t>D</w:t>
      </w:r>
      <w:r>
        <w:rPr>
          <w:sz w:val="24"/>
          <w:szCs w:val="24"/>
        </w:rPr>
        <w:t xml:space="preserve"> </w:t>
      </w:r>
      <w:r w:rsidRPr="00CB242B">
        <w:rPr>
          <w:sz w:val="24"/>
          <w:szCs w:val="24"/>
        </w:rPr>
        <w:t>65</w:t>
      </w:r>
      <w:r>
        <w:rPr>
          <w:sz w:val="24"/>
          <w:szCs w:val="24"/>
        </w:rPr>
        <w:t>.</w:t>
      </w:r>
    </w:p>
    <w:p w:rsidR="00CD15A4" w:rsidRDefault="00CD15A4" w:rsidP="00AB7145">
      <w:pPr>
        <w:ind w:left="851"/>
        <w:rPr>
          <w:sz w:val="24"/>
          <w:szCs w:val="24"/>
        </w:rPr>
      </w:pPr>
    </w:p>
    <w:p w:rsidR="00AB7145" w:rsidRPr="00CB242B" w:rsidRDefault="00AB7145" w:rsidP="00AB7145">
      <w:pPr>
        <w:ind w:left="851"/>
        <w:rPr>
          <w:sz w:val="24"/>
          <w:szCs w:val="24"/>
        </w:rPr>
      </w:pPr>
      <w:r w:rsidRPr="00CB242B">
        <w:rPr>
          <w:sz w:val="24"/>
          <w:szCs w:val="24"/>
        </w:rPr>
        <w:t xml:space="preserve">Oral administration af </w:t>
      </w:r>
      <w:proofErr w:type="spellStart"/>
      <w:r w:rsidRPr="00CB242B">
        <w:rPr>
          <w:sz w:val="24"/>
          <w:szCs w:val="24"/>
        </w:rPr>
        <w:t>macrogol</w:t>
      </w:r>
      <w:proofErr w:type="spellEnd"/>
      <w:r w:rsidRPr="00CB242B">
        <w:rPr>
          <w:sz w:val="24"/>
          <w:szCs w:val="24"/>
        </w:rPr>
        <w:t xml:space="preserve">-baserede elektrolytopløsninger forårsager moderat </w:t>
      </w:r>
      <w:r w:rsidR="00121FAE" w:rsidRPr="009E2480">
        <w:rPr>
          <w:sz w:val="24"/>
          <w:szCs w:val="24"/>
        </w:rPr>
        <w:t xml:space="preserve">diarré </w:t>
      </w:r>
      <w:r w:rsidRPr="00CB242B">
        <w:rPr>
          <w:sz w:val="24"/>
          <w:szCs w:val="24"/>
        </w:rPr>
        <w:t>og resulterer</w:t>
      </w:r>
      <w:r>
        <w:rPr>
          <w:sz w:val="24"/>
          <w:szCs w:val="24"/>
        </w:rPr>
        <w:t xml:space="preserve"> </w:t>
      </w:r>
      <w:r w:rsidRPr="00CB242B">
        <w:rPr>
          <w:sz w:val="24"/>
          <w:szCs w:val="24"/>
        </w:rPr>
        <w:t xml:space="preserve">i hurtig tømning af kolon. </w:t>
      </w:r>
    </w:p>
    <w:p w:rsidR="00AB7145" w:rsidRPr="00CB242B" w:rsidRDefault="00AB7145" w:rsidP="00AB7145">
      <w:pPr>
        <w:suppressAutoHyphens/>
        <w:ind w:left="851" w:hanging="851"/>
        <w:rPr>
          <w:sz w:val="24"/>
          <w:szCs w:val="24"/>
        </w:rPr>
      </w:pPr>
    </w:p>
    <w:p w:rsidR="00AB7145" w:rsidRPr="00CB242B" w:rsidRDefault="00AB7145" w:rsidP="00AB7145">
      <w:pPr>
        <w:suppressAutoHyphens/>
        <w:ind w:left="851"/>
        <w:rPr>
          <w:spacing w:val="-3"/>
          <w:sz w:val="24"/>
          <w:szCs w:val="24"/>
        </w:rPr>
      </w:pPr>
      <w:proofErr w:type="spellStart"/>
      <w:r w:rsidRPr="00CB242B">
        <w:rPr>
          <w:spacing w:val="-3"/>
          <w:sz w:val="24"/>
          <w:szCs w:val="24"/>
        </w:rPr>
        <w:t>Macrogol</w:t>
      </w:r>
      <w:proofErr w:type="spellEnd"/>
      <w:r w:rsidRPr="00CB242B">
        <w:rPr>
          <w:spacing w:val="-3"/>
          <w:sz w:val="24"/>
          <w:szCs w:val="24"/>
        </w:rPr>
        <w:t xml:space="preserve"> 3350, natriumsulfat og høje doser af </w:t>
      </w:r>
      <w:proofErr w:type="spellStart"/>
      <w:r w:rsidRPr="00CB242B">
        <w:rPr>
          <w:spacing w:val="-3"/>
          <w:sz w:val="24"/>
          <w:szCs w:val="24"/>
        </w:rPr>
        <w:t>ascorbinsyre</w:t>
      </w:r>
      <w:proofErr w:type="spellEnd"/>
      <w:r w:rsidRPr="00CB242B">
        <w:rPr>
          <w:spacing w:val="-3"/>
          <w:sz w:val="24"/>
          <w:szCs w:val="24"/>
        </w:rPr>
        <w:t xml:space="preserve"> udøver en osmotisk virkning i tarmen, som inducerer en lakserende effekt.</w:t>
      </w:r>
    </w:p>
    <w:p w:rsidR="00AB7145" w:rsidRPr="00CB242B" w:rsidRDefault="00AB7145" w:rsidP="00AB7145">
      <w:pPr>
        <w:suppressAutoHyphens/>
        <w:ind w:left="851" w:hanging="851"/>
        <w:rPr>
          <w:spacing w:val="-3"/>
          <w:sz w:val="24"/>
          <w:szCs w:val="24"/>
        </w:rPr>
      </w:pPr>
    </w:p>
    <w:p w:rsidR="00AB7145" w:rsidRPr="00CB242B" w:rsidRDefault="00AB7145" w:rsidP="00AB7145">
      <w:pPr>
        <w:ind w:left="851"/>
        <w:rPr>
          <w:spacing w:val="-3"/>
          <w:sz w:val="24"/>
          <w:szCs w:val="24"/>
        </w:rPr>
      </w:pPr>
      <w:proofErr w:type="spellStart"/>
      <w:r w:rsidRPr="00CB242B">
        <w:rPr>
          <w:spacing w:val="-3"/>
          <w:sz w:val="24"/>
          <w:szCs w:val="24"/>
        </w:rPr>
        <w:t>Macrogol</w:t>
      </w:r>
      <w:proofErr w:type="spellEnd"/>
      <w:r w:rsidRPr="00CB242B">
        <w:rPr>
          <w:spacing w:val="-3"/>
          <w:sz w:val="24"/>
          <w:szCs w:val="24"/>
        </w:rPr>
        <w:t xml:space="preserve"> 3350 øger volumen af fæces, hvilket medfører </w:t>
      </w:r>
      <w:proofErr w:type="spellStart"/>
      <w:r w:rsidRPr="00CB242B">
        <w:rPr>
          <w:spacing w:val="-3"/>
          <w:sz w:val="24"/>
          <w:szCs w:val="24"/>
        </w:rPr>
        <w:t>kolonmotilitet</w:t>
      </w:r>
      <w:proofErr w:type="spellEnd"/>
      <w:r w:rsidRPr="00CB242B">
        <w:rPr>
          <w:spacing w:val="-3"/>
          <w:sz w:val="24"/>
          <w:szCs w:val="24"/>
        </w:rPr>
        <w:t xml:space="preserve"> via </w:t>
      </w:r>
      <w:proofErr w:type="spellStart"/>
      <w:r w:rsidRPr="00CB242B">
        <w:rPr>
          <w:spacing w:val="-3"/>
          <w:sz w:val="24"/>
          <w:szCs w:val="24"/>
        </w:rPr>
        <w:t>neuromuskulære</w:t>
      </w:r>
      <w:proofErr w:type="spellEnd"/>
      <w:r w:rsidRPr="00CB242B">
        <w:rPr>
          <w:spacing w:val="-3"/>
          <w:sz w:val="24"/>
          <w:szCs w:val="24"/>
        </w:rPr>
        <w:t xml:space="preserve"> </w:t>
      </w:r>
      <w:proofErr w:type="spellStart"/>
      <w:r w:rsidRPr="00CB242B">
        <w:rPr>
          <w:spacing w:val="-3"/>
          <w:sz w:val="24"/>
          <w:szCs w:val="24"/>
        </w:rPr>
        <w:t>pathways</w:t>
      </w:r>
      <w:proofErr w:type="spellEnd"/>
      <w:r w:rsidRPr="00CB242B">
        <w:rPr>
          <w:spacing w:val="-3"/>
          <w:sz w:val="24"/>
          <w:szCs w:val="24"/>
        </w:rPr>
        <w:t xml:space="preserve">. </w:t>
      </w:r>
    </w:p>
    <w:p w:rsidR="00AB7145" w:rsidRPr="00CB242B" w:rsidRDefault="00AB7145" w:rsidP="00AB7145">
      <w:pPr>
        <w:ind w:left="851" w:hanging="851"/>
        <w:rPr>
          <w:spacing w:val="-3"/>
          <w:sz w:val="24"/>
          <w:szCs w:val="24"/>
        </w:rPr>
      </w:pPr>
    </w:p>
    <w:p w:rsidR="00AB7145" w:rsidRPr="00CB242B" w:rsidRDefault="00AB7145" w:rsidP="00AB7145">
      <w:pPr>
        <w:ind w:left="851"/>
        <w:rPr>
          <w:spacing w:val="-3"/>
          <w:sz w:val="24"/>
          <w:szCs w:val="24"/>
        </w:rPr>
      </w:pPr>
      <w:r w:rsidRPr="00CB242B">
        <w:rPr>
          <w:spacing w:val="-3"/>
          <w:sz w:val="24"/>
          <w:szCs w:val="24"/>
        </w:rPr>
        <w:t xml:space="preserve">Den fysiologiske konsekvens er en fremdrivende transport af det blødgjorte fæces i kolon. </w:t>
      </w:r>
    </w:p>
    <w:p w:rsidR="00AB7145" w:rsidRPr="00CB242B" w:rsidRDefault="00AB7145" w:rsidP="00AB7145">
      <w:pPr>
        <w:suppressAutoHyphens/>
        <w:ind w:left="851" w:hanging="851"/>
        <w:rPr>
          <w:sz w:val="24"/>
          <w:szCs w:val="24"/>
        </w:rPr>
      </w:pPr>
    </w:p>
    <w:p w:rsidR="00AB7145" w:rsidRPr="00CB242B" w:rsidRDefault="00AB7145" w:rsidP="00AB7145">
      <w:pPr>
        <w:ind w:left="851"/>
        <w:rPr>
          <w:sz w:val="24"/>
          <w:szCs w:val="24"/>
        </w:rPr>
      </w:pPr>
      <w:r w:rsidRPr="00CB242B">
        <w:rPr>
          <w:sz w:val="24"/>
          <w:szCs w:val="24"/>
        </w:rPr>
        <w:t>Elektrolytterne i formuleringen og det supplerende væskeindtag af klar væske er medtaget for at forhindre klinisk signifikante variationer i natrium, kalium eller vand, og reducerer dermed risiko for dehydrering.</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5.2</w:t>
      </w:r>
      <w:r w:rsidRPr="00CB242B">
        <w:rPr>
          <w:b/>
          <w:sz w:val="24"/>
          <w:szCs w:val="24"/>
        </w:rPr>
        <w:tab/>
      </w:r>
      <w:proofErr w:type="spellStart"/>
      <w:r w:rsidRPr="00CB242B">
        <w:rPr>
          <w:b/>
          <w:sz w:val="24"/>
          <w:szCs w:val="24"/>
        </w:rPr>
        <w:t>Farmakokinetiske</w:t>
      </w:r>
      <w:proofErr w:type="spellEnd"/>
      <w:r w:rsidRPr="00CB242B">
        <w:rPr>
          <w:b/>
          <w:sz w:val="24"/>
          <w:szCs w:val="24"/>
        </w:rPr>
        <w:t xml:space="preserve"> egenskaber</w:t>
      </w:r>
    </w:p>
    <w:p w:rsidR="00AB7145" w:rsidRPr="00CB242B" w:rsidRDefault="00AB7145" w:rsidP="00AB7145">
      <w:pPr>
        <w:ind w:left="851"/>
        <w:rPr>
          <w:sz w:val="24"/>
          <w:szCs w:val="24"/>
        </w:rPr>
      </w:pPr>
      <w:r w:rsidRPr="00CB242B">
        <w:rPr>
          <w:sz w:val="24"/>
          <w:szCs w:val="24"/>
        </w:rPr>
        <w:t xml:space="preserve">Størstedelen (&gt; 99,7 %) af </w:t>
      </w:r>
      <w:proofErr w:type="spellStart"/>
      <w:r w:rsidRPr="00CB242B">
        <w:rPr>
          <w:sz w:val="24"/>
          <w:szCs w:val="24"/>
        </w:rPr>
        <w:t>macrogol</w:t>
      </w:r>
      <w:proofErr w:type="spellEnd"/>
      <w:r w:rsidRPr="00CB242B">
        <w:rPr>
          <w:sz w:val="24"/>
          <w:szCs w:val="24"/>
        </w:rPr>
        <w:t xml:space="preserve"> 3350 absorberes ikke i </w:t>
      </w:r>
      <w:r w:rsidR="00121FAE" w:rsidRPr="009E2480">
        <w:rPr>
          <w:sz w:val="24"/>
          <w:szCs w:val="24"/>
        </w:rPr>
        <w:t xml:space="preserve">mave-tarm-kanalen </w:t>
      </w:r>
      <w:r w:rsidRPr="00CB242B">
        <w:rPr>
          <w:sz w:val="24"/>
          <w:szCs w:val="24"/>
        </w:rPr>
        <w:t xml:space="preserve">og udskilles i fæces. Litteraturen rapporterer, at alt </w:t>
      </w:r>
      <w:proofErr w:type="spellStart"/>
      <w:r w:rsidRPr="00CB242B">
        <w:rPr>
          <w:sz w:val="24"/>
          <w:szCs w:val="24"/>
        </w:rPr>
        <w:t>macrogol</w:t>
      </w:r>
      <w:proofErr w:type="spellEnd"/>
      <w:r w:rsidRPr="00CB242B">
        <w:rPr>
          <w:sz w:val="24"/>
          <w:szCs w:val="24"/>
        </w:rPr>
        <w:t xml:space="preserve"> 3350, der optages, udskilles via urinen. </w:t>
      </w:r>
    </w:p>
    <w:p w:rsidR="00AB7145" w:rsidRDefault="00AB7145" w:rsidP="00AB7145">
      <w:pPr>
        <w:ind w:left="851"/>
        <w:rPr>
          <w:sz w:val="24"/>
          <w:szCs w:val="24"/>
        </w:rPr>
      </w:pPr>
    </w:p>
    <w:p w:rsidR="00AB7145" w:rsidRPr="00CB242B" w:rsidRDefault="00AB7145" w:rsidP="00AB7145">
      <w:pPr>
        <w:ind w:left="851"/>
        <w:rPr>
          <w:sz w:val="24"/>
          <w:szCs w:val="24"/>
        </w:rPr>
      </w:pPr>
      <w:r w:rsidRPr="00CB242B">
        <w:rPr>
          <w:sz w:val="24"/>
          <w:szCs w:val="24"/>
        </w:rPr>
        <w:t xml:space="preserve">Absorption af </w:t>
      </w:r>
      <w:proofErr w:type="spellStart"/>
      <w:r w:rsidRPr="00CB242B">
        <w:rPr>
          <w:sz w:val="24"/>
          <w:szCs w:val="24"/>
        </w:rPr>
        <w:t>ascorbat</w:t>
      </w:r>
      <w:proofErr w:type="spellEnd"/>
      <w:r w:rsidRPr="00CB242B">
        <w:rPr>
          <w:sz w:val="24"/>
          <w:szCs w:val="24"/>
        </w:rPr>
        <w:t xml:space="preserve"> forekommer ved en natrium-afhængig aktiv transport med begrænset kapacitet; en enkel oral dosis over 2 g rapporteres til at mætte </w:t>
      </w:r>
      <w:proofErr w:type="spellStart"/>
      <w:r w:rsidRPr="00CB242B">
        <w:rPr>
          <w:sz w:val="24"/>
          <w:szCs w:val="24"/>
        </w:rPr>
        <w:t>jejunal</w:t>
      </w:r>
      <w:proofErr w:type="spellEnd"/>
      <w:r w:rsidRPr="00CB242B">
        <w:rPr>
          <w:sz w:val="24"/>
          <w:szCs w:val="24"/>
        </w:rPr>
        <w:t xml:space="preserve"> </w:t>
      </w:r>
      <w:r w:rsidRPr="00CB242B">
        <w:rPr>
          <w:sz w:val="24"/>
          <w:szCs w:val="24"/>
        </w:rPr>
        <w:lastRenderedPageBreak/>
        <w:t xml:space="preserve">absorptionen. Det </w:t>
      </w:r>
      <w:proofErr w:type="spellStart"/>
      <w:r w:rsidRPr="00CB242B">
        <w:rPr>
          <w:sz w:val="24"/>
          <w:szCs w:val="24"/>
        </w:rPr>
        <w:t>uabsorberede</w:t>
      </w:r>
      <w:proofErr w:type="spellEnd"/>
      <w:r w:rsidRPr="00CB242B">
        <w:rPr>
          <w:sz w:val="24"/>
          <w:szCs w:val="24"/>
        </w:rPr>
        <w:t xml:space="preserve"> </w:t>
      </w:r>
      <w:proofErr w:type="spellStart"/>
      <w:r w:rsidRPr="00CB242B">
        <w:rPr>
          <w:sz w:val="24"/>
          <w:szCs w:val="24"/>
        </w:rPr>
        <w:t>ascorbat</w:t>
      </w:r>
      <w:proofErr w:type="spellEnd"/>
      <w:r w:rsidRPr="00CB242B">
        <w:rPr>
          <w:sz w:val="24"/>
          <w:szCs w:val="24"/>
        </w:rPr>
        <w:t xml:space="preserve"> forbliver i tarmlumen, og det vurderes, at omtrent 96 % (48 g) af </w:t>
      </w:r>
      <w:proofErr w:type="spellStart"/>
      <w:r w:rsidRPr="00CB242B">
        <w:rPr>
          <w:sz w:val="24"/>
          <w:szCs w:val="24"/>
        </w:rPr>
        <w:t>ascorbat</w:t>
      </w:r>
      <w:proofErr w:type="spellEnd"/>
      <w:r w:rsidRPr="00CB242B">
        <w:rPr>
          <w:sz w:val="24"/>
          <w:szCs w:val="24"/>
        </w:rPr>
        <w:t xml:space="preserve">-komponenten udskilles i fæces. </w:t>
      </w:r>
      <w:proofErr w:type="spellStart"/>
      <w:r w:rsidRPr="00CB242B">
        <w:rPr>
          <w:sz w:val="24"/>
          <w:szCs w:val="24"/>
        </w:rPr>
        <w:t>Ascorbat</w:t>
      </w:r>
      <w:proofErr w:type="spellEnd"/>
      <w:r w:rsidRPr="00CB242B">
        <w:rPr>
          <w:sz w:val="24"/>
          <w:szCs w:val="24"/>
        </w:rPr>
        <w:t xml:space="preserve"> er en normal bestanddel af blodet, men når plasmakoncentrationer overstiger ca. 15μg/m</w:t>
      </w:r>
      <w:r>
        <w:rPr>
          <w:sz w:val="24"/>
          <w:szCs w:val="24"/>
        </w:rPr>
        <w:t>l</w:t>
      </w:r>
      <w:r w:rsidRPr="00CB242B">
        <w:rPr>
          <w:sz w:val="24"/>
          <w:szCs w:val="24"/>
        </w:rPr>
        <w:t xml:space="preserve">, udskilles overskydende </w:t>
      </w:r>
      <w:proofErr w:type="spellStart"/>
      <w:r w:rsidRPr="00CB242B">
        <w:rPr>
          <w:sz w:val="24"/>
          <w:szCs w:val="24"/>
        </w:rPr>
        <w:t>ascorbinsyre</w:t>
      </w:r>
      <w:proofErr w:type="spellEnd"/>
      <w:r w:rsidRPr="00CB242B">
        <w:rPr>
          <w:sz w:val="24"/>
          <w:szCs w:val="24"/>
        </w:rPr>
        <w:t>, hovedsageligt uændret, i urinen.</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Størstedelen af det orale sulfat absorberes ikke, og ved at etablere en elektrokemisk gradient forhindres den ledsagende absorption af natrium ioner. Små mængder af </w:t>
      </w:r>
      <w:proofErr w:type="spellStart"/>
      <w:r w:rsidRPr="00CB242B">
        <w:rPr>
          <w:sz w:val="24"/>
          <w:szCs w:val="24"/>
        </w:rPr>
        <w:t>sulfationer</w:t>
      </w:r>
      <w:proofErr w:type="spellEnd"/>
      <w:r w:rsidRPr="00CB242B">
        <w:rPr>
          <w:sz w:val="24"/>
          <w:szCs w:val="24"/>
        </w:rPr>
        <w:t xml:space="preserve"> absorberes i </w:t>
      </w:r>
      <w:r>
        <w:rPr>
          <w:sz w:val="24"/>
          <w:szCs w:val="24"/>
        </w:rPr>
        <w:t xml:space="preserve">hele </w:t>
      </w:r>
      <w:r w:rsidR="00121FAE" w:rsidRPr="009E2480">
        <w:rPr>
          <w:sz w:val="24"/>
          <w:szCs w:val="24"/>
        </w:rPr>
        <w:t>mave-tarm-kanalen</w:t>
      </w:r>
      <w:r w:rsidRPr="00CB242B">
        <w:rPr>
          <w:sz w:val="24"/>
          <w:szCs w:val="24"/>
        </w:rPr>
        <w:t xml:space="preserve">, </w:t>
      </w:r>
      <w:r>
        <w:rPr>
          <w:sz w:val="24"/>
          <w:szCs w:val="24"/>
        </w:rPr>
        <w:t xml:space="preserve">hvilket </w:t>
      </w:r>
      <w:r w:rsidRPr="00CB242B">
        <w:rPr>
          <w:sz w:val="24"/>
          <w:szCs w:val="24"/>
        </w:rPr>
        <w:t>føje</w:t>
      </w:r>
      <w:r>
        <w:rPr>
          <w:sz w:val="24"/>
          <w:szCs w:val="24"/>
        </w:rPr>
        <w:t>s</w:t>
      </w:r>
      <w:r w:rsidRPr="00CB242B">
        <w:rPr>
          <w:sz w:val="24"/>
          <w:szCs w:val="24"/>
        </w:rPr>
        <w:t xml:space="preserve"> til puljen af </w:t>
      </w:r>
      <w:proofErr w:type="gramStart"/>
      <w:r>
        <w:rPr>
          <w:sz w:val="24"/>
          <w:szCs w:val="24"/>
        </w:rPr>
        <w:t>essentiel</w:t>
      </w:r>
      <w:r w:rsidRPr="00CB242B">
        <w:rPr>
          <w:sz w:val="24"/>
          <w:szCs w:val="24"/>
        </w:rPr>
        <w:t xml:space="preserve"> uorganisk sulfat</w:t>
      </w:r>
      <w:proofErr w:type="gramEnd"/>
      <w:r w:rsidRPr="00CB242B">
        <w:rPr>
          <w:sz w:val="24"/>
          <w:szCs w:val="24"/>
        </w:rPr>
        <w:t xml:space="preserve"> </w:t>
      </w:r>
      <w:r>
        <w:rPr>
          <w:sz w:val="24"/>
          <w:szCs w:val="24"/>
        </w:rPr>
        <w:t>der dannes</w:t>
      </w:r>
      <w:r w:rsidRPr="00CB242B">
        <w:rPr>
          <w:sz w:val="24"/>
          <w:szCs w:val="24"/>
        </w:rPr>
        <w:t xml:space="preserve"> fra nedbrydningen af </w:t>
      </w:r>
      <w:r>
        <w:rPr>
          <w:sz w:val="24"/>
          <w:szCs w:val="24"/>
        </w:rPr>
        <w:t xml:space="preserve">svovlholdige </w:t>
      </w:r>
      <w:r w:rsidRPr="00CB242B">
        <w:rPr>
          <w:sz w:val="24"/>
          <w:szCs w:val="24"/>
        </w:rPr>
        <w:t xml:space="preserve">aminosyrer. Størstedelen af det absorberede uorganiske sulfat udskilles uændret ved </w:t>
      </w:r>
      <w:proofErr w:type="spellStart"/>
      <w:r w:rsidRPr="00CB242B">
        <w:rPr>
          <w:sz w:val="24"/>
          <w:szCs w:val="24"/>
        </w:rPr>
        <w:t>glomerulær</w:t>
      </w:r>
      <w:proofErr w:type="spellEnd"/>
      <w:r w:rsidRPr="00CB242B">
        <w:rPr>
          <w:sz w:val="24"/>
          <w:szCs w:val="24"/>
        </w:rPr>
        <w:t xml:space="preserve"> filtration og er underlagt mæt</w:t>
      </w:r>
      <w:r>
        <w:rPr>
          <w:sz w:val="24"/>
          <w:szCs w:val="24"/>
        </w:rPr>
        <w:t>tet</w:t>
      </w:r>
      <w:r w:rsidRPr="00CB242B">
        <w:rPr>
          <w:sz w:val="24"/>
          <w:szCs w:val="24"/>
        </w:rPr>
        <w:t xml:space="preserve"> </w:t>
      </w:r>
      <w:proofErr w:type="spellStart"/>
      <w:r w:rsidRPr="00CB242B">
        <w:rPr>
          <w:sz w:val="24"/>
          <w:szCs w:val="24"/>
        </w:rPr>
        <w:t>tubulær</w:t>
      </w:r>
      <w:proofErr w:type="spellEnd"/>
      <w:r w:rsidRPr="00CB242B">
        <w:rPr>
          <w:sz w:val="24"/>
          <w:szCs w:val="24"/>
        </w:rPr>
        <w:t xml:space="preserve"> </w:t>
      </w:r>
      <w:proofErr w:type="spellStart"/>
      <w:r w:rsidRPr="00CB242B">
        <w:rPr>
          <w:sz w:val="24"/>
          <w:szCs w:val="24"/>
        </w:rPr>
        <w:t>reabsorption</w:t>
      </w:r>
      <w:proofErr w:type="spellEnd"/>
      <w:r w:rsidRPr="00CB242B">
        <w:rPr>
          <w:sz w:val="24"/>
          <w:szCs w:val="24"/>
        </w:rPr>
        <w:t xml:space="preserve">.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Osmotisk virkende tarmudrensning</w:t>
      </w:r>
      <w:r>
        <w:rPr>
          <w:sz w:val="24"/>
          <w:szCs w:val="24"/>
        </w:rPr>
        <w:t>er</w:t>
      </w:r>
      <w:r w:rsidRPr="00CB242B">
        <w:rPr>
          <w:sz w:val="24"/>
          <w:szCs w:val="24"/>
        </w:rPr>
        <w:t xml:space="preserve"> fører til en kraftig diarré, resulterende i omfattende udskillelse af det meste af produktet via fæces. De kan også føre til ændringer i kroppens elektrolytbalance, ofte med udtømning af natrium og kalium. Det yderligere tilsatte natrium og kalium i </w:t>
      </w:r>
      <w:proofErr w:type="spellStart"/>
      <w:r w:rsidRPr="00CB242B">
        <w:rPr>
          <w:sz w:val="24"/>
          <w:szCs w:val="24"/>
        </w:rPr>
        <w:t>Plenvu</w:t>
      </w:r>
      <w:proofErr w:type="spellEnd"/>
      <w:r>
        <w:rPr>
          <w:sz w:val="24"/>
          <w:szCs w:val="24"/>
        </w:rPr>
        <w:t>-</w:t>
      </w:r>
      <w:r w:rsidRPr="00CB242B">
        <w:rPr>
          <w:sz w:val="24"/>
          <w:szCs w:val="24"/>
        </w:rPr>
        <w:t xml:space="preserve">formuleringen bidrager til at afbalancere elektrolytterne. Mens noget natrium absorberes, forventes det, at størstedelen af natrium udskilles i fæces som natriumsalte af sulfat og </w:t>
      </w:r>
      <w:proofErr w:type="spellStart"/>
      <w:r w:rsidRPr="00CB242B">
        <w:rPr>
          <w:sz w:val="24"/>
          <w:szCs w:val="24"/>
        </w:rPr>
        <w:t>ascorbat</w:t>
      </w:r>
      <w:proofErr w:type="spellEnd"/>
      <w:r w:rsidRPr="00CB242B">
        <w:rPr>
          <w:sz w:val="24"/>
          <w:szCs w:val="24"/>
        </w:rPr>
        <w:t xml:space="preserve">, som er de osmotiske aktive </w:t>
      </w:r>
      <w:r w:rsidR="001C37B3" w:rsidRPr="009E2480">
        <w:rPr>
          <w:sz w:val="24"/>
          <w:szCs w:val="24"/>
        </w:rPr>
        <w:t>stoffer</w:t>
      </w:r>
      <w:r w:rsidRPr="00CB242B">
        <w:rPr>
          <w:sz w:val="24"/>
          <w:szCs w:val="24"/>
        </w:rPr>
        <w:t xml:space="preserve"> i </w:t>
      </w:r>
      <w:proofErr w:type="spellStart"/>
      <w:r w:rsidRPr="00CB242B">
        <w:rPr>
          <w:sz w:val="24"/>
          <w:szCs w:val="24"/>
        </w:rPr>
        <w:t>Plenvu</w:t>
      </w:r>
      <w:proofErr w:type="spellEnd"/>
      <w:r w:rsidRPr="00CB242B">
        <w:rPr>
          <w:sz w:val="24"/>
          <w:szCs w:val="24"/>
        </w:rPr>
        <w:t>.</w:t>
      </w:r>
    </w:p>
    <w:p w:rsidR="00AB7145" w:rsidRPr="00CB242B" w:rsidRDefault="00AB7145" w:rsidP="00AB7145">
      <w:pPr>
        <w:ind w:left="851" w:hanging="851"/>
        <w:rPr>
          <w:sz w:val="24"/>
          <w:szCs w:val="24"/>
        </w:rPr>
      </w:pPr>
    </w:p>
    <w:p w:rsidR="00055107" w:rsidRPr="009E2480" w:rsidRDefault="00AB7145" w:rsidP="00055107">
      <w:pPr>
        <w:ind w:left="851"/>
        <w:rPr>
          <w:sz w:val="24"/>
          <w:szCs w:val="24"/>
        </w:rPr>
      </w:pPr>
      <w:r w:rsidRPr="00CB242B">
        <w:rPr>
          <w:sz w:val="24"/>
          <w:szCs w:val="24"/>
        </w:rPr>
        <w:t xml:space="preserve">Der er ikke udført </w:t>
      </w:r>
      <w:proofErr w:type="spellStart"/>
      <w:r w:rsidRPr="00CB242B">
        <w:rPr>
          <w:sz w:val="24"/>
          <w:szCs w:val="24"/>
        </w:rPr>
        <w:t>farmakokinetiske</w:t>
      </w:r>
      <w:proofErr w:type="spellEnd"/>
      <w:r w:rsidRPr="00CB242B">
        <w:rPr>
          <w:sz w:val="24"/>
          <w:szCs w:val="24"/>
        </w:rPr>
        <w:t xml:space="preserve"> </w:t>
      </w:r>
      <w:r w:rsidR="00055107" w:rsidRPr="009E2480">
        <w:rPr>
          <w:sz w:val="24"/>
          <w:szCs w:val="24"/>
        </w:rPr>
        <w:t xml:space="preserve">studier hos patienter med </w:t>
      </w:r>
      <w:r w:rsidR="00055107">
        <w:rPr>
          <w:sz w:val="24"/>
          <w:szCs w:val="24"/>
        </w:rPr>
        <w:t xml:space="preserve">nedsat </w:t>
      </w:r>
      <w:r w:rsidR="00055107" w:rsidRPr="009E2480">
        <w:rPr>
          <w:sz w:val="24"/>
          <w:szCs w:val="24"/>
        </w:rPr>
        <w:t>nyre- eller lever</w:t>
      </w:r>
      <w:r w:rsidR="00055107">
        <w:rPr>
          <w:sz w:val="24"/>
          <w:szCs w:val="24"/>
        </w:rPr>
        <w:t>funktion</w:t>
      </w:r>
      <w:r w:rsidR="00055107" w:rsidRPr="009E2480">
        <w:rPr>
          <w:sz w:val="24"/>
          <w:szCs w:val="24"/>
        </w:rPr>
        <w:t>.</w:t>
      </w:r>
    </w:p>
    <w:p w:rsidR="00AB7145" w:rsidRPr="00CB242B" w:rsidRDefault="00AB7145" w:rsidP="00055107">
      <w:pPr>
        <w:ind w:left="851"/>
        <w:rPr>
          <w:sz w:val="24"/>
          <w:szCs w:val="24"/>
        </w:rPr>
      </w:pPr>
    </w:p>
    <w:p w:rsidR="00AB7145" w:rsidRPr="00CB242B" w:rsidRDefault="00AB7145" w:rsidP="008513D0">
      <w:pPr>
        <w:keepNext/>
        <w:ind w:left="851" w:hanging="851"/>
        <w:rPr>
          <w:b/>
          <w:sz w:val="24"/>
          <w:szCs w:val="24"/>
        </w:rPr>
      </w:pPr>
      <w:r w:rsidRPr="00CB242B">
        <w:rPr>
          <w:b/>
          <w:sz w:val="24"/>
          <w:szCs w:val="24"/>
        </w:rPr>
        <w:t>5.3</w:t>
      </w:r>
      <w:r w:rsidRPr="00CB242B">
        <w:rPr>
          <w:b/>
          <w:sz w:val="24"/>
          <w:szCs w:val="24"/>
        </w:rPr>
        <w:tab/>
      </w:r>
      <w:r w:rsidR="00CD15A4">
        <w:rPr>
          <w:b/>
          <w:sz w:val="24"/>
          <w:szCs w:val="24"/>
        </w:rPr>
        <w:t>Non-</w:t>
      </w:r>
      <w:r w:rsidRPr="00CB242B">
        <w:rPr>
          <w:b/>
          <w:sz w:val="24"/>
          <w:szCs w:val="24"/>
        </w:rPr>
        <w:t>kliniske sikkerhedsdata</w:t>
      </w:r>
    </w:p>
    <w:p w:rsidR="00AB7145" w:rsidRPr="00CB242B" w:rsidRDefault="00055107" w:rsidP="00AB7145">
      <w:pPr>
        <w:numPr>
          <w:ilvl w:val="12"/>
          <w:numId w:val="0"/>
        </w:numPr>
        <w:ind w:left="851" w:right="11"/>
        <w:rPr>
          <w:sz w:val="24"/>
          <w:szCs w:val="24"/>
        </w:rPr>
      </w:pPr>
      <w:r>
        <w:rPr>
          <w:sz w:val="24"/>
          <w:szCs w:val="24"/>
        </w:rPr>
        <w:t>Non-</w:t>
      </w:r>
      <w:r w:rsidR="00AB7145" w:rsidRPr="00CB242B">
        <w:rPr>
          <w:sz w:val="24"/>
          <w:szCs w:val="24"/>
        </w:rPr>
        <w:t xml:space="preserve">kliniske studier viser, at </w:t>
      </w:r>
      <w:proofErr w:type="spellStart"/>
      <w:r w:rsidR="00AB7145" w:rsidRPr="00CB242B">
        <w:rPr>
          <w:sz w:val="24"/>
          <w:szCs w:val="24"/>
        </w:rPr>
        <w:t>macrogol</w:t>
      </w:r>
      <w:proofErr w:type="spellEnd"/>
      <w:r w:rsidR="00AB7145" w:rsidRPr="00CB242B">
        <w:rPr>
          <w:sz w:val="24"/>
          <w:szCs w:val="24"/>
        </w:rPr>
        <w:t xml:space="preserve"> 3350, </w:t>
      </w:r>
      <w:proofErr w:type="spellStart"/>
      <w:r w:rsidR="00AB7145" w:rsidRPr="00CB242B">
        <w:rPr>
          <w:sz w:val="24"/>
          <w:szCs w:val="24"/>
        </w:rPr>
        <w:t>ascorbinsyre</w:t>
      </w:r>
      <w:proofErr w:type="spellEnd"/>
      <w:r w:rsidR="00AB7145" w:rsidRPr="00CB242B">
        <w:rPr>
          <w:sz w:val="24"/>
          <w:szCs w:val="24"/>
        </w:rPr>
        <w:t xml:space="preserve"> og natriumsulfat ikke har noget signifikant, systemisk, toksisk potentiale</w:t>
      </w:r>
      <w:r w:rsidR="00AB7145">
        <w:rPr>
          <w:sz w:val="24"/>
          <w:szCs w:val="24"/>
        </w:rPr>
        <w:t>.</w:t>
      </w:r>
      <w:r w:rsidR="00AB7145" w:rsidRPr="00CB242B">
        <w:rPr>
          <w:sz w:val="24"/>
          <w:szCs w:val="24"/>
        </w:rPr>
        <w:t xml:space="preserve"> Dette er vurderet ud fra konventionelle studier af farmakologi, toksicitet efter gentag</w:t>
      </w:r>
      <w:r>
        <w:rPr>
          <w:sz w:val="24"/>
          <w:szCs w:val="24"/>
        </w:rPr>
        <w:t>ne</w:t>
      </w:r>
      <w:r w:rsidR="00AB7145" w:rsidRPr="00CB242B">
        <w:rPr>
          <w:sz w:val="24"/>
          <w:szCs w:val="24"/>
        </w:rPr>
        <w:t xml:space="preserve"> doser, genotoksicitet og </w:t>
      </w:r>
      <w:proofErr w:type="spellStart"/>
      <w:r>
        <w:rPr>
          <w:sz w:val="24"/>
          <w:szCs w:val="24"/>
        </w:rPr>
        <w:t>k</w:t>
      </w:r>
      <w:r w:rsidR="00AB7145" w:rsidRPr="00CB242B">
        <w:rPr>
          <w:sz w:val="24"/>
          <w:szCs w:val="24"/>
        </w:rPr>
        <w:t>arcinogenicitet</w:t>
      </w:r>
      <w:proofErr w:type="spellEnd"/>
      <w:r w:rsidR="00AB7145" w:rsidRPr="00CB242B">
        <w:rPr>
          <w:sz w:val="24"/>
          <w:szCs w:val="24"/>
        </w:rPr>
        <w:t xml:space="preserve">.  </w:t>
      </w:r>
    </w:p>
    <w:p w:rsidR="00AB7145" w:rsidRPr="00CB242B" w:rsidRDefault="00AB7145" w:rsidP="00AB7145">
      <w:pPr>
        <w:numPr>
          <w:ilvl w:val="12"/>
          <w:numId w:val="0"/>
        </w:numPr>
        <w:ind w:left="851" w:right="11" w:hanging="851"/>
        <w:rPr>
          <w:sz w:val="24"/>
          <w:szCs w:val="24"/>
        </w:rPr>
      </w:pPr>
    </w:p>
    <w:p w:rsidR="00AB7145" w:rsidRPr="00CB242B" w:rsidRDefault="00AB7145" w:rsidP="00AB7145">
      <w:pPr>
        <w:numPr>
          <w:ilvl w:val="12"/>
          <w:numId w:val="0"/>
        </w:numPr>
        <w:ind w:left="851" w:right="11"/>
        <w:rPr>
          <w:sz w:val="24"/>
          <w:szCs w:val="24"/>
        </w:rPr>
      </w:pPr>
      <w:r w:rsidRPr="00CB242B">
        <w:rPr>
          <w:sz w:val="24"/>
          <w:szCs w:val="24"/>
        </w:rPr>
        <w:t xml:space="preserve">Der er ikke udført studier med dette lægemiddel vedrørende genotoksicitet, </w:t>
      </w:r>
      <w:proofErr w:type="spellStart"/>
      <w:r w:rsidR="00055107">
        <w:rPr>
          <w:sz w:val="24"/>
          <w:szCs w:val="24"/>
        </w:rPr>
        <w:t>k</w:t>
      </w:r>
      <w:r w:rsidRPr="00CB242B">
        <w:rPr>
          <w:sz w:val="24"/>
          <w:szCs w:val="24"/>
        </w:rPr>
        <w:t>arcinogenicitet</w:t>
      </w:r>
      <w:proofErr w:type="spellEnd"/>
      <w:r w:rsidRPr="00CB242B">
        <w:rPr>
          <w:sz w:val="24"/>
          <w:szCs w:val="24"/>
        </w:rPr>
        <w:t xml:space="preserve"> eller toksisk virkning på reproduktion.  </w:t>
      </w:r>
    </w:p>
    <w:p w:rsidR="00AB7145" w:rsidRPr="00CB242B" w:rsidRDefault="00AB7145" w:rsidP="00AB7145">
      <w:pPr>
        <w:numPr>
          <w:ilvl w:val="12"/>
          <w:numId w:val="0"/>
        </w:numPr>
        <w:ind w:left="851" w:right="11" w:hanging="851"/>
        <w:rPr>
          <w:sz w:val="24"/>
          <w:szCs w:val="24"/>
        </w:rPr>
      </w:pPr>
    </w:p>
    <w:p w:rsidR="00AB7145" w:rsidRPr="00CB242B" w:rsidRDefault="00AB7145" w:rsidP="00AB7145">
      <w:pPr>
        <w:numPr>
          <w:ilvl w:val="12"/>
          <w:numId w:val="0"/>
        </w:numPr>
        <w:ind w:left="851" w:right="11"/>
        <w:rPr>
          <w:sz w:val="24"/>
          <w:szCs w:val="24"/>
        </w:rPr>
      </w:pPr>
      <w:r w:rsidRPr="00CB242B">
        <w:rPr>
          <w:sz w:val="24"/>
          <w:szCs w:val="24"/>
        </w:rPr>
        <w:t xml:space="preserve">I </w:t>
      </w:r>
      <w:r w:rsidR="00055107" w:rsidRPr="009E2480">
        <w:rPr>
          <w:sz w:val="24"/>
          <w:szCs w:val="24"/>
        </w:rPr>
        <w:t xml:space="preserve">reproduktionstoksicitetsstudier </w:t>
      </w:r>
      <w:r w:rsidRPr="00CB242B">
        <w:rPr>
          <w:sz w:val="24"/>
          <w:szCs w:val="24"/>
        </w:rPr>
        <w:t xml:space="preserve">med </w:t>
      </w:r>
      <w:proofErr w:type="spellStart"/>
      <w:r w:rsidRPr="00CB242B">
        <w:rPr>
          <w:sz w:val="24"/>
          <w:szCs w:val="24"/>
        </w:rPr>
        <w:t>Movicol</w:t>
      </w:r>
      <w:proofErr w:type="spellEnd"/>
      <w:r w:rsidRPr="00CB242B">
        <w:rPr>
          <w:sz w:val="24"/>
          <w:szCs w:val="24"/>
        </w:rPr>
        <w:t xml:space="preserve"> (et </w:t>
      </w:r>
      <w:proofErr w:type="spellStart"/>
      <w:r w:rsidRPr="00CB242B">
        <w:rPr>
          <w:sz w:val="24"/>
          <w:szCs w:val="24"/>
        </w:rPr>
        <w:t>macrogol</w:t>
      </w:r>
      <w:proofErr w:type="spellEnd"/>
      <w:r w:rsidRPr="00CB242B">
        <w:rPr>
          <w:sz w:val="24"/>
          <w:szCs w:val="24"/>
        </w:rPr>
        <w:t xml:space="preserve"> 3350 produkt) sås ingen direkte embryotoksiske eller </w:t>
      </w:r>
      <w:proofErr w:type="spellStart"/>
      <w:r w:rsidRPr="00CB242B">
        <w:rPr>
          <w:sz w:val="24"/>
          <w:szCs w:val="24"/>
        </w:rPr>
        <w:t>teratogene</w:t>
      </w:r>
      <w:proofErr w:type="spellEnd"/>
      <w:r w:rsidRPr="00CB242B">
        <w:rPr>
          <w:sz w:val="24"/>
          <w:szCs w:val="24"/>
        </w:rPr>
        <w:t xml:space="preserve"> effekter hos rotter selv ved niveauer, der var toksiske for moderen, hvilket var 20 gange højere end den maksimale humane anbefalede dosis af </w:t>
      </w:r>
      <w:proofErr w:type="spellStart"/>
      <w:r w:rsidRPr="00CB242B">
        <w:rPr>
          <w:sz w:val="24"/>
          <w:szCs w:val="24"/>
        </w:rPr>
        <w:t>Plenvu</w:t>
      </w:r>
      <w:proofErr w:type="spellEnd"/>
      <w:r w:rsidRPr="00CB242B">
        <w:rPr>
          <w:sz w:val="24"/>
          <w:szCs w:val="24"/>
        </w:rPr>
        <w:t xml:space="preserve">. Indirekte </w:t>
      </w:r>
      <w:proofErr w:type="spellStart"/>
      <w:r w:rsidRPr="00CB242B">
        <w:rPr>
          <w:sz w:val="24"/>
          <w:szCs w:val="24"/>
        </w:rPr>
        <w:t>embryoføtale</w:t>
      </w:r>
      <w:proofErr w:type="spellEnd"/>
      <w:r w:rsidRPr="00CB242B">
        <w:rPr>
          <w:sz w:val="24"/>
          <w:szCs w:val="24"/>
        </w:rPr>
        <w:t xml:space="preserve"> effekter inklusiv</w:t>
      </w:r>
      <w:r w:rsidR="00CD15A4">
        <w:rPr>
          <w:sz w:val="24"/>
          <w:szCs w:val="24"/>
        </w:rPr>
        <w:t>e</w:t>
      </w:r>
      <w:r w:rsidRPr="00CB242B">
        <w:rPr>
          <w:sz w:val="24"/>
          <w:szCs w:val="24"/>
        </w:rPr>
        <w:t xml:space="preserve"> reduktion i fostervægt og placentavægt, reduceret </w:t>
      </w:r>
      <w:proofErr w:type="spellStart"/>
      <w:r w:rsidRPr="00CB242B">
        <w:rPr>
          <w:sz w:val="24"/>
          <w:szCs w:val="24"/>
        </w:rPr>
        <w:t>føtal</w:t>
      </w:r>
      <w:proofErr w:type="spellEnd"/>
      <w:r w:rsidRPr="00CB242B">
        <w:rPr>
          <w:sz w:val="24"/>
          <w:szCs w:val="24"/>
        </w:rPr>
        <w:t xml:space="preserve"> levedygtighed, øget </w:t>
      </w:r>
      <w:proofErr w:type="spellStart"/>
      <w:r w:rsidRPr="00CB242B">
        <w:rPr>
          <w:sz w:val="24"/>
          <w:szCs w:val="24"/>
        </w:rPr>
        <w:t>hyperfleksion</w:t>
      </w:r>
      <w:proofErr w:type="spellEnd"/>
      <w:r w:rsidRPr="00CB242B">
        <w:rPr>
          <w:sz w:val="24"/>
          <w:szCs w:val="24"/>
        </w:rPr>
        <w:t xml:space="preserve"> for ekstremiteter og poter samt aborter </w:t>
      </w:r>
      <w:r>
        <w:rPr>
          <w:sz w:val="24"/>
          <w:szCs w:val="24"/>
        </w:rPr>
        <w:t>blev</w:t>
      </w:r>
      <w:r w:rsidRPr="00CB242B">
        <w:rPr>
          <w:sz w:val="24"/>
          <w:szCs w:val="24"/>
        </w:rPr>
        <w:t xml:space="preserve"> observeret hos kaniner ved doser toksiske for moderen, svarende til den samme maksimale humane anbefalede dosis af </w:t>
      </w:r>
      <w:proofErr w:type="spellStart"/>
      <w:r w:rsidRPr="00CB242B">
        <w:rPr>
          <w:sz w:val="24"/>
          <w:szCs w:val="24"/>
        </w:rPr>
        <w:t>Plenvu</w:t>
      </w:r>
      <w:proofErr w:type="spellEnd"/>
      <w:r w:rsidRPr="00CB242B">
        <w:rPr>
          <w:sz w:val="24"/>
          <w:szCs w:val="24"/>
        </w:rPr>
        <w:t xml:space="preserve">. Kaniner er særligt følsomme over for effekten af substanser, der virker i </w:t>
      </w:r>
      <w:r w:rsidR="00055107" w:rsidRPr="009E2480">
        <w:rPr>
          <w:sz w:val="24"/>
          <w:szCs w:val="24"/>
        </w:rPr>
        <w:t>mave-tarm-kanalen</w:t>
      </w:r>
      <w:r w:rsidRPr="00CB242B">
        <w:rPr>
          <w:sz w:val="24"/>
          <w:szCs w:val="24"/>
        </w:rPr>
        <w:t xml:space="preserve">, og studierne er udført under overdrevne forhold med administration af høje doser, som ikke er klinisk relevante. Fundene kan have været en konsekvens af en indirekte effekt af </w:t>
      </w:r>
      <w:proofErr w:type="spellStart"/>
      <w:r w:rsidRPr="00CB242B">
        <w:rPr>
          <w:sz w:val="24"/>
          <w:szCs w:val="24"/>
        </w:rPr>
        <w:t>Movicol</w:t>
      </w:r>
      <w:proofErr w:type="spellEnd"/>
      <w:r w:rsidRPr="00CB242B">
        <w:rPr>
          <w:sz w:val="24"/>
          <w:szCs w:val="24"/>
        </w:rPr>
        <w:t xml:space="preserve"> relateret til moderens dårlige almentilstand forårsaget af e</w:t>
      </w:r>
      <w:r>
        <w:rPr>
          <w:sz w:val="24"/>
          <w:szCs w:val="24"/>
        </w:rPr>
        <w:t>t</w:t>
      </w:r>
      <w:r w:rsidRPr="00CB242B">
        <w:rPr>
          <w:sz w:val="24"/>
          <w:szCs w:val="24"/>
        </w:rPr>
        <w:t xml:space="preserve"> overdreven</w:t>
      </w:r>
      <w:r>
        <w:rPr>
          <w:sz w:val="24"/>
          <w:szCs w:val="24"/>
        </w:rPr>
        <w:t>t</w:t>
      </w:r>
      <w:r w:rsidRPr="00CB242B">
        <w:rPr>
          <w:sz w:val="24"/>
          <w:szCs w:val="24"/>
        </w:rPr>
        <w:t xml:space="preserve"> </w:t>
      </w:r>
      <w:proofErr w:type="spellStart"/>
      <w:r w:rsidRPr="00CB242B">
        <w:rPr>
          <w:sz w:val="24"/>
          <w:szCs w:val="24"/>
        </w:rPr>
        <w:t>farmakodynamisk</w:t>
      </w:r>
      <w:proofErr w:type="spellEnd"/>
      <w:r w:rsidRPr="00CB242B">
        <w:rPr>
          <w:sz w:val="24"/>
          <w:szCs w:val="24"/>
        </w:rPr>
        <w:t xml:space="preserve"> respons hos kaninen. Der var ingen tegn på </w:t>
      </w:r>
      <w:proofErr w:type="spellStart"/>
      <w:r w:rsidRPr="00CB242B">
        <w:rPr>
          <w:sz w:val="24"/>
          <w:szCs w:val="24"/>
        </w:rPr>
        <w:t>teratogene</w:t>
      </w:r>
      <w:proofErr w:type="spellEnd"/>
      <w:r w:rsidRPr="00CB242B">
        <w:rPr>
          <w:sz w:val="24"/>
          <w:szCs w:val="24"/>
        </w:rPr>
        <w:t xml:space="preserve"> effekter.</w:t>
      </w:r>
    </w:p>
    <w:p w:rsidR="00AB7145" w:rsidRDefault="00AB7145" w:rsidP="00AB7145">
      <w:pPr>
        <w:ind w:left="851" w:hanging="851"/>
        <w:rPr>
          <w:sz w:val="24"/>
          <w:szCs w:val="24"/>
        </w:rPr>
      </w:pP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6.</w:t>
      </w:r>
      <w:r w:rsidRPr="00CB242B">
        <w:rPr>
          <w:b/>
          <w:sz w:val="24"/>
          <w:szCs w:val="24"/>
        </w:rPr>
        <w:tab/>
        <w:t>FARMACEUTISKE OPLYSNINGER</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6.1</w:t>
      </w:r>
      <w:r w:rsidRPr="00CB242B">
        <w:rPr>
          <w:b/>
          <w:sz w:val="24"/>
          <w:szCs w:val="24"/>
        </w:rPr>
        <w:tab/>
        <w:t>Hjælpestoffer</w:t>
      </w:r>
    </w:p>
    <w:p w:rsidR="00AB7145" w:rsidRPr="00CB242B" w:rsidRDefault="00AB7145" w:rsidP="00AB7145">
      <w:pPr>
        <w:ind w:left="851"/>
        <w:rPr>
          <w:sz w:val="24"/>
          <w:szCs w:val="24"/>
        </w:rPr>
      </w:pPr>
      <w:proofErr w:type="spellStart"/>
      <w:r w:rsidRPr="00CB242B">
        <w:rPr>
          <w:sz w:val="24"/>
          <w:szCs w:val="24"/>
        </w:rPr>
        <w:t>Su</w:t>
      </w:r>
      <w:r>
        <w:rPr>
          <w:sz w:val="24"/>
          <w:szCs w:val="24"/>
        </w:rPr>
        <w:t>c</w:t>
      </w:r>
      <w:r w:rsidRPr="00CB242B">
        <w:rPr>
          <w:sz w:val="24"/>
          <w:szCs w:val="24"/>
        </w:rPr>
        <w:t>ralose</w:t>
      </w:r>
      <w:proofErr w:type="spellEnd"/>
      <w:r w:rsidRPr="00CB242B">
        <w:rPr>
          <w:sz w:val="24"/>
          <w:szCs w:val="24"/>
        </w:rPr>
        <w:t xml:space="preserve"> (E955) </w:t>
      </w:r>
    </w:p>
    <w:p w:rsidR="00AB7145" w:rsidRPr="00CB242B" w:rsidRDefault="00AB7145" w:rsidP="00AB7145">
      <w:pPr>
        <w:ind w:left="851"/>
        <w:rPr>
          <w:sz w:val="24"/>
          <w:szCs w:val="24"/>
        </w:rPr>
      </w:pPr>
      <w:proofErr w:type="spellStart"/>
      <w:r w:rsidRPr="00CB242B">
        <w:rPr>
          <w:sz w:val="24"/>
          <w:szCs w:val="24"/>
        </w:rPr>
        <w:t>Aspartam</w:t>
      </w:r>
      <w:proofErr w:type="spellEnd"/>
      <w:r w:rsidRPr="00CB242B">
        <w:rPr>
          <w:sz w:val="24"/>
          <w:szCs w:val="24"/>
        </w:rPr>
        <w:t xml:space="preserve"> (E951) </w:t>
      </w:r>
    </w:p>
    <w:p w:rsidR="00AB7145" w:rsidRPr="00CB242B" w:rsidRDefault="00AB7145" w:rsidP="00AB7145">
      <w:pPr>
        <w:ind w:left="851"/>
        <w:rPr>
          <w:sz w:val="24"/>
          <w:szCs w:val="24"/>
        </w:rPr>
      </w:pPr>
      <w:r w:rsidRPr="00CB242B">
        <w:rPr>
          <w:sz w:val="24"/>
          <w:szCs w:val="24"/>
        </w:rPr>
        <w:t xml:space="preserve">Indkapslet citronsyre indeholdende citronsyre (E330) og </w:t>
      </w:r>
      <w:proofErr w:type="spellStart"/>
      <w:r w:rsidRPr="00CB242B">
        <w:rPr>
          <w:sz w:val="24"/>
          <w:szCs w:val="24"/>
        </w:rPr>
        <w:t>maltodextrin</w:t>
      </w:r>
      <w:proofErr w:type="spellEnd"/>
      <w:r w:rsidRPr="00CB242B">
        <w:rPr>
          <w:sz w:val="24"/>
          <w:szCs w:val="24"/>
        </w:rPr>
        <w:t xml:space="preserve"> (E1400) </w:t>
      </w:r>
    </w:p>
    <w:p w:rsidR="00AB7145" w:rsidRPr="00CB242B" w:rsidRDefault="00AB7145" w:rsidP="00AB7145">
      <w:pPr>
        <w:ind w:left="851"/>
        <w:rPr>
          <w:sz w:val="24"/>
          <w:szCs w:val="24"/>
        </w:rPr>
      </w:pPr>
      <w:r w:rsidRPr="00CB242B">
        <w:rPr>
          <w:sz w:val="24"/>
          <w:szCs w:val="24"/>
        </w:rPr>
        <w:lastRenderedPageBreak/>
        <w:t>Mangosmag indeholdende glycerol (E422), aroma</w:t>
      </w:r>
      <w:r>
        <w:rPr>
          <w:sz w:val="24"/>
          <w:szCs w:val="24"/>
        </w:rPr>
        <w:t>præparater</w:t>
      </w:r>
      <w:r w:rsidRPr="00CB242B">
        <w:rPr>
          <w:sz w:val="24"/>
          <w:szCs w:val="24"/>
        </w:rPr>
        <w:t xml:space="preserve">, </w:t>
      </w:r>
      <w:proofErr w:type="spellStart"/>
      <w:r w:rsidRPr="00CB242B">
        <w:rPr>
          <w:sz w:val="24"/>
          <w:szCs w:val="24"/>
        </w:rPr>
        <w:t>akaciagummi</w:t>
      </w:r>
      <w:proofErr w:type="spellEnd"/>
      <w:r w:rsidRPr="00CB242B">
        <w:rPr>
          <w:sz w:val="24"/>
          <w:szCs w:val="24"/>
        </w:rPr>
        <w:t xml:space="preserve"> (E414), </w:t>
      </w:r>
      <w:proofErr w:type="spellStart"/>
      <w:r w:rsidRPr="00CB242B">
        <w:rPr>
          <w:sz w:val="24"/>
          <w:szCs w:val="24"/>
        </w:rPr>
        <w:t>maltodextrin</w:t>
      </w:r>
      <w:proofErr w:type="spellEnd"/>
      <w:r w:rsidRPr="00CB242B">
        <w:rPr>
          <w:sz w:val="24"/>
          <w:szCs w:val="24"/>
        </w:rPr>
        <w:t xml:space="preserve"> (E1400) og naturlige aromastoffer</w:t>
      </w:r>
    </w:p>
    <w:p w:rsidR="00AB7145" w:rsidRPr="00CB242B" w:rsidRDefault="00AB7145" w:rsidP="00AB7145">
      <w:pPr>
        <w:ind w:left="851"/>
        <w:rPr>
          <w:sz w:val="24"/>
          <w:szCs w:val="24"/>
        </w:rPr>
      </w:pPr>
      <w:r w:rsidRPr="00CB242B">
        <w:rPr>
          <w:sz w:val="24"/>
          <w:szCs w:val="24"/>
        </w:rPr>
        <w:t>Frugtpunchsmag indeholdende aroma</w:t>
      </w:r>
      <w:r>
        <w:rPr>
          <w:sz w:val="24"/>
          <w:szCs w:val="24"/>
        </w:rPr>
        <w:t>præparater</w:t>
      </w:r>
      <w:r w:rsidRPr="00CB242B">
        <w:rPr>
          <w:sz w:val="24"/>
          <w:szCs w:val="24"/>
        </w:rPr>
        <w:t xml:space="preserve">, </w:t>
      </w:r>
      <w:proofErr w:type="spellStart"/>
      <w:r w:rsidRPr="00CB242B">
        <w:rPr>
          <w:sz w:val="24"/>
          <w:szCs w:val="24"/>
        </w:rPr>
        <w:t>akaciagummi</w:t>
      </w:r>
      <w:proofErr w:type="spellEnd"/>
      <w:r w:rsidRPr="00CB242B">
        <w:rPr>
          <w:sz w:val="24"/>
          <w:szCs w:val="24"/>
        </w:rPr>
        <w:t xml:space="preserve"> (E414), </w:t>
      </w:r>
      <w:proofErr w:type="spellStart"/>
      <w:r w:rsidRPr="00CB242B">
        <w:rPr>
          <w:sz w:val="24"/>
          <w:szCs w:val="24"/>
        </w:rPr>
        <w:t>maltodextrin</w:t>
      </w:r>
      <w:proofErr w:type="spellEnd"/>
      <w:r w:rsidRPr="00CB242B">
        <w:rPr>
          <w:sz w:val="24"/>
          <w:szCs w:val="24"/>
        </w:rPr>
        <w:t xml:space="preserve"> (E1400) og aromastoffer</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6.2</w:t>
      </w:r>
      <w:r w:rsidRPr="00CB242B">
        <w:rPr>
          <w:b/>
          <w:sz w:val="24"/>
          <w:szCs w:val="24"/>
        </w:rPr>
        <w:tab/>
        <w:t>Uforligeligheder</w:t>
      </w:r>
    </w:p>
    <w:p w:rsidR="00AB7145" w:rsidRPr="00CB242B" w:rsidRDefault="00AB7145" w:rsidP="00AB7145">
      <w:pPr>
        <w:ind w:left="851"/>
        <w:rPr>
          <w:sz w:val="24"/>
          <w:szCs w:val="24"/>
        </w:rPr>
      </w:pPr>
      <w:r w:rsidRPr="00CB242B">
        <w:rPr>
          <w:sz w:val="24"/>
          <w:szCs w:val="24"/>
        </w:rPr>
        <w:t>Ikke relevant.</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6.3</w:t>
      </w:r>
      <w:r w:rsidRPr="00CB242B">
        <w:rPr>
          <w:b/>
          <w:sz w:val="24"/>
          <w:szCs w:val="24"/>
        </w:rPr>
        <w:tab/>
        <w:t>Opbevaringstid</w:t>
      </w:r>
    </w:p>
    <w:p w:rsidR="00AB7145" w:rsidRPr="00CB242B" w:rsidRDefault="00AB7145" w:rsidP="00AB7145">
      <w:pPr>
        <w:ind w:left="851" w:hanging="851"/>
        <w:rPr>
          <w:sz w:val="24"/>
          <w:szCs w:val="24"/>
        </w:rPr>
      </w:pPr>
      <w:r w:rsidRPr="00CB242B">
        <w:rPr>
          <w:sz w:val="24"/>
          <w:szCs w:val="24"/>
        </w:rPr>
        <w:tab/>
        <w:t>Breve:</w:t>
      </w:r>
      <w:r w:rsidRPr="00CB242B">
        <w:rPr>
          <w:sz w:val="24"/>
          <w:szCs w:val="24"/>
        </w:rPr>
        <w:tab/>
      </w:r>
      <w:r w:rsidRPr="00CB242B">
        <w:rPr>
          <w:sz w:val="24"/>
          <w:szCs w:val="24"/>
        </w:rPr>
        <w:tab/>
        <w:t>2 år</w:t>
      </w:r>
    </w:p>
    <w:p w:rsidR="00AB7145" w:rsidRPr="00CB242B" w:rsidRDefault="00AB7145" w:rsidP="00AB7145">
      <w:pPr>
        <w:ind w:left="851"/>
        <w:rPr>
          <w:sz w:val="24"/>
          <w:szCs w:val="24"/>
        </w:rPr>
      </w:pPr>
      <w:r>
        <w:rPr>
          <w:sz w:val="24"/>
          <w:szCs w:val="24"/>
        </w:rPr>
        <w:t>Den brugsfærdige opløsning:</w:t>
      </w:r>
      <w:r>
        <w:rPr>
          <w:sz w:val="24"/>
          <w:szCs w:val="24"/>
        </w:rPr>
        <w:tab/>
        <w:t>24</w:t>
      </w:r>
      <w:r w:rsidRPr="00CB242B">
        <w:rPr>
          <w:sz w:val="24"/>
          <w:szCs w:val="24"/>
        </w:rPr>
        <w:t xml:space="preserve"> timer</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6.4</w:t>
      </w:r>
      <w:r w:rsidRPr="00CB242B">
        <w:rPr>
          <w:b/>
          <w:sz w:val="24"/>
          <w:szCs w:val="24"/>
        </w:rPr>
        <w:tab/>
        <w:t>Særlige opbevaringsforhold</w:t>
      </w:r>
    </w:p>
    <w:p w:rsidR="00055107" w:rsidRPr="009E2480" w:rsidRDefault="00AB7145" w:rsidP="00055107">
      <w:pPr>
        <w:ind w:left="851"/>
        <w:rPr>
          <w:sz w:val="24"/>
          <w:szCs w:val="24"/>
        </w:rPr>
      </w:pPr>
      <w:r w:rsidRPr="00CB242B">
        <w:rPr>
          <w:noProof/>
          <w:sz w:val="24"/>
          <w:szCs w:val="24"/>
        </w:rPr>
        <w:t xml:space="preserve">Breve: </w:t>
      </w:r>
      <w:r>
        <w:rPr>
          <w:noProof/>
          <w:sz w:val="24"/>
          <w:szCs w:val="24"/>
        </w:rPr>
        <w:t xml:space="preserve">Må ikke opbevares ved temperaturer over </w:t>
      </w:r>
      <w:r w:rsidR="00055107" w:rsidRPr="009E2480">
        <w:rPr>
          <w:sz w:val="24"/>
          <w:szCs w:val="24"/>
        </w:rPr>
        <w:t>25 °C.</w:t>
      </w:r>
    </w:p>
    <w:p w:rsidR="00AB7145" w:rsidRPr="00CB242B" w:rsidRDefault="00AB7145" w:rsidP="00055107">
      <w:pPr>
        <w:ind w:left="851"/>
        <w:rPr>
          <w:noProof/>
          <w:sz w:val="24"/>
          <w:szCs w:val="24"/>
        </w:rPr>
      </w:pPr>
    </w:p>
    <w:p w:rsidR="00AB7145" w:rsidRPr="00CB242B" w:rsidRDefault="00AB7145" w:rsidP="00AB7145">
      <w:pPr>
        <w:ind w:left="851"/>
        <w:rPr>
          <w:noProof/>
          <w:sz w:val="24"/>
          <w:szCs w:val="24"/>
        </w:rPr>
      </w:pPr>
      <w:r w:rsidRPr="00CB242B">
        <w:rPr>
          <w:noProof/>
          <w:sz w:val="24"/>
          <w:szCs w:val="24"/>
        </w:rPr>
        <w:t xml:space="preserve">Brugsfærdige opløsninger: </w:t>
      </w:r>
      <w:r w:rsidR="00055107" w:rsidRPr="009E2480">
        <w:rPr>
          <w:sz w:val="24"/>
          <w:szCs w:val="24"/>
        </w:rPr>
        <w:t xml:space="preserve">Opbevares </w:t>
      </w:r>
      <w:r>
        <w:rPr>
          <w:noProof/>
          <w:sz w:val="24"/>
          <w:szCs w:val="24"/>
        </w:rPr>
        <w:t>ved temperaturer</w:t>
      </w:r>
      <w:r w:rsidRPr="00CB242B">
        <w:rPr>
          <w:noProof/>
          <w:sz w:val="24"/>
          <w:szCs w:val="24"/>
        </w:rPr>
        <w:t xml:space="preserve"> u</w:t>
      </w:r>
      <w:r>
        <w:rPr>
          <w:noProof/>
          <w:sz w:val="24"/>
          <w:szCs w:val="24"/>
        </w:rPr>
        <w:t xml:space="preserve">nder </w:t>
      </w:r>
      <w:r w:rsidR="00055107" w:rsidRPr="009E2480">
        <w:rPr>
          <w:sz w:val="24"/>
          <w:szCs w:val="24"/>
        </w:rPr>
        <w:t xml:space="preserve">25 °C </w:t>
      </w:r>
      <w:r>
        <w:rPr>
          <w:noProof/>
          <w:sz w:val="24"/>
          <w:szCs w:val="24"/>
        </w:rPr>
        <w:t>og drikkes inden for 24</w:t>
      </w:r>
      <w:r w:rsidRPr="00CB242B">
        <w:rPr>
          <w:noProof/>
          <w:sz w:val="24"/>
          <w:szCs w:val="24"/>
        </w:rPr>
        <w:t xml:space="preserve"> timer. Opløsningerne kan opbevares i køleskab. Hold opløsningerne tildækket.</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6.5</w:t>
      </w:r>
      <w:r w:rsidRPr="00CB242B">
        <w:rPr>
          <w:b/>
          <w:sz w:val="24"/>
          <w:szCs w:val="24"/>
        </w:rPr>
        <w:tab/>
        <w:t>Emballagetype og pakningsstørrelser</w:t>
      </w:r>
    </w:p>
    <w:p w:rsidR="000A15F3" w:rsidRPr="00CB242B" w:rsidRDefault="000A15F3" w:rsidP="000A15F3">
      <w:pPr>
        <w:suppressAutoHyphens/>
        <w:ind w:left="851"/>
        <w:rPr>
          <w:sz w:val="24"/>
          <w:szCs w:val="24"/>
        </w:rPr>
      </w:pPr>
      <w:r w:rsidRPr="00CB242B">
        <w:rPr>
          <w:sz w:val="24"/>
          <w:szCs w:val="24"/>
        </w:rPr>
        <w:t>Hvert brev består af et laminat bes</w:t>
      </w:r>
      <w:r>
        <w:rPr>
          <w:sz w:val="24"/>
          <w:szCs w:val="24"/>
        </w:rPr>
        <w:t xml:space="preserve">tående af følgende materialer: enten </w:t>
      </w:r>
      <w:proofErr w:type="spellStart"/>
      <w:r>
        <w:rPr>
          <w:sz w:val="24"/>
          <w:szCs w:val="24"/>
        </w:rPr>
        <w:t>p</w:t>
      </w:r>
      <w:r w:rsidRPr="00CB242B">
        <w:rPr>
          <w:sz w:val="24"/>
          <w:szCs w:val="24"/>
        </w:rPr>
        <w:t>olyethylenterephthalat</w:t>
      </w:r>
      <w:proofErr w:type="spellEnd"/>
      <w:r w:rsidRPr="00CB242B">
        <w:rPr>
          <w:sz w:val="24"/>
          <w:szCs w:val="24"/>
        </w:rPr>
        <w:t xml:space="preserve"> (PET), </w:t>
      </w:r>
      <w:proofErr w:type="spellStart"/>
      <w:r w:rsidRPr="00CB242B">
        <w:rPr>
          <w:sz w:val="24"/>
          <w:szCs w:val="24"/>
        </w:rPr>
        <w:t>polyethylen</w:t>
      </w:r>
      <w:proofErr w:type="spellEnd"/>
      <w:r w:rsidRPr="00CB242B">
        <w:rPr>
          <w:sz w:val="24"/>
          <w:szCs w:val="24"/>
        </w:rPr>
        <w:t xml:space="preserve">, aluminium og </w:t>
      </w:r>
      <w:r>
        <w:rPr>
          <w:sz w:val="24"/>
          <w:szCs w:val="24"/>
        </w:rPr>
        <w:t>ekstruderet</w:t>
      </w:r>
      <w:r w:rsidRPr="00CB242B">
        <w:rPr>
          <w:sz w:val="24"/>
          <w:szCs w:val="24"/>
        </w:rPr>
        <w:t xml:space="preserve"> harpiks</w:t>
      </w:r>
      <w:r>
        <w:rPr>
          <w:sz w:val="24"/>
          <w:szCs w:val="24"/>
        </w:rPr>
        <w:t xml:space="preserve">, eller papir, </w:t>
      </w:r>
      <w:r w:rsidRPr="00CB242B">
        <w:rPr>
          <w:sz w:val="24"/>
          <w:szCs w:val="24"/>
        </w:rPr>
        <w:t xml:space="preserve">aluminium og </w:t>
      </w:r>
      <w:r>
        <w:rPr>
          <w:sz w:val="24"/>
          <w:szCs w:val="24"/>
        </w:rPr>
        <w:t>eks</w:t>
      </w:r>
      <w:r w:rsidRPr="00CB242B">
        <w:rPr>
          <w:sz w:val="24"/>
          <w:szCs w:val="24"/>
        </w:rPr>
        <w:t>t</w:t>
      </w:r>
      <w:r>
        <w:rPr>
          <w:sz w:val="24"/>
          <w:szCs w:val="24"/>
        </w:rPr>
        <w:t>ruderet</w:t>
      </w:r>
      <w:r w:rsidRPr="00CB242B">
        <w:rPr>
          <w:sz w:val="24"/>
          <w:szCs w:val="24"/>
        </w:rPr>
        <w:t xml:space="preserve"> harpiks.</w:t>
      </w:r>
    </w:p>
    <w:p w:rsidR="00AB7145" w:rsidRPr="00CB242B" w:rsidRDefault="00AB7145" w:rsidP="00AB7145">
      <w:pPr>
        <w:suppressAutoHyphens/>
        <w:ind w:left="851" w:hanging="851"/>
        <w:rPr>
          <w:sz w:val="24"/>
          <w:szCs w:val="24"/>
        </w:rPr>
      </w:pPr>
    </w:p>
    <w:p w:rsidR="00AB7145" w:rsidRPr="00CB242B" w:rsidRDefault="00AB7145" w:rsidP="00AB7145">
      <w:pPr>
        <w:suppressAutoHyphens/>
        <w:ind w:left="851"/>
        <w:rPr>
          <w:sz w:val="24"/>
          <w:szCs w:val="24"/>
        </w:rPr>
      </w:pPr>
      <w:r w:rsidRPr="00CB242B">
        <w:rPr>
          <w:sz w:val="24"/>
          <w:szCs w:val="24"/>
        </w:rPr>
        <w:t>Dosis nr. 1 indeholder 115,96 g pulver, dosis nr. 2, brev A, indeholder 46,26 g pulver og dosis nr. 2, brev B, indeholder 55,65 g pulver.</w:t>
      </w:r>
    </w:p>
    <w:p w:rsidR="00AB7145" w:rsidRPr="00CB242B" w:rsidRDefault="00AB7145" w:rsidP="00AB7145">
      <w:pPr>
        <w:suppressAutoHyphens/>
        <w:ind w:left="851" w:hanging="851"/>
        <w:rPr>
          <w:sz w:val="24"/>
          <w:szCs w:val="24"/>
        </w:rPr>
      </w:pPr>
    </w:p>
    <w:p w:rsidR="00AB7145" w:rsidRPr="00CB242B" w:rsidRDefault="00AB7145" w:rsidP="00AB7145">
      <w:pPr>
        <w:suppressAutoHyphens/>
        <w:ind w:left="851"/>
        <w:rPr>
          <w:sz w:val="24"/>
          <w:szCs w:val="24"/>
        </w:rPr>
      </w:pPr>
      <w:r w:rsidRPr="00CB242B">
        <w:rPr>
          <w:sz w:val="24"/>
          <w:szCs w:val="24"/>
        </w:rPr>
        <w:t xml:space="preserve">De tre breve er pakket i en gennemsigtig pose i en papæske og omfatter en enkelt behandling med </w:t>
      </w:r>
      <w:proofErr w:type="spellStart"/>
      <w:r w:rsidRPr="00CB242B">
        <w:rPr>
          <w:sz w:val="24"/>
          <w:szCs w:val="24"/>
        </w:rPr>
        <w:t>Plenvu</w:t>
      </w:r>
      <w:proofErr w:type="spellEnd"/>
      <w:r w:rsidRPr="00CB242B">
        <w:rPr>
          <w:sz w:val="24"/>
          <w:szCs w:val="24"/>
        </w:rPr>
        <w:t xml:space="preserve">. Papæsken indeholder også indlægssedlen. </w:t>
      </w:r>
    </w:p>
    <w:p w:rsidR="00AB7145" w:rsidRPr="00CB242B" w:rsidRDefault="00AB7145" w:rsidP="00AB7145">
      <w:pPr>
        <w:suppressAutoHyphens/>
        <w:ind w:left="851" w:hanging="851"/>
        <w:rPr>
          <w:sz w:val="24"/>
          <w:szCs w:val="24"/>
        </w:rPr>
      </w:pPr>
    </w:p>
    <w:p w:rsidR="00AB7145" w:rsidRDefault="00AB7145" w:rsidP="00AB7145">
      <w:pPr>
        <w:suppressAutoHyphens/>
        <w:ind w:left="851"/>
        <w:rPr>
          <w:sz w:val="24"/>
          <w:szCs w:val="24"/>
        </w:rPr>
      </w:pPr>
      <w:proofErr w:type="spellStart"/>
      <w:r w:rsidRPr="00CB242B">
        <w:rPr>
          <w:sz w:val="24"/>
          <w:szCs w:val="24"/>
        </w:rPr>
        <w:t>Plenvu</w:t>
      </w:r>
      <w:proofErr w:type="spellEnd"/>
      <w:r w:rsidRPr="00CB242B">
        <w:rPr>
          <w:sz w:val="24"/>
          <w:szCs w:val="24"/>
        </w:rPr>
        <w:t xml:space="preserve"> er tilgængelig i pakninger indeholdende 1 behandling og pakninger indeholdende 40, 80, 160 og 320 behandlinger. </w:t>
      </w:r>
    </w:p>
    <w:p w:rsidR="00AB7145" w:rsidRDefault="00AB7145" w:rsidP="00AB7145">
      <w:pPr>
        <w:suppressAutoHyphens/>
        <w:ind w:left="851"/>
        <w:rPr>
          <w:sz w:val="24"/>
          <w:szCs w:val="24"/>
        </w:rPr>
      </w:pPr>
    </w:p>
    <w:p w:rsidR="00AB7145" w:rsidRPr="00CB242B" w:rsidRDefault="00AB7145" w:rsidP="00AB7145">
      <w:pPr>
        <w:suppressAutoHyphens/>
        <w:ind w:left="851"/>
        <w:rPr>
          <w:sz w:val="24"/>
          <w:szCs w:val="24"/>
        </w:rPr>
      </w:pPr>
      <w:r w:rsidRPr="00CB242B">
        <w:rPr>
          <w:sz w:val="24"/>
          <w:szCs w:val="24"/>
        </w:rPr>
        <w:t>Ikke alle pakningsstørrelser er nødvendigvis markedsført.</w:t>
      </w:r>
    </w:p>
    <w:p w:rsidR="00AB7145" w:rsidRPr="00CB242B" w:rsidRDefault="00AB7145" w:rsidP="00AB7145">
      <w:pPr>
        <w:ind w:left="851" w:hanging="851"/>
        <w:rPr>
          <w:sz w:val="24"/>
          <w:szCs w:val="24"/>
        </w:rPr>
      </w:pPr>
    </w:p>
    <w:p w:rsidR="00AB7145" w:rsidRPr="00CB242B" w:rsidRDefault="00AB7145" w:rsidP="0014266F">
      <w:pPr>
        <w:keepNext/>
        <w:ind w:left="851" w:hanging="851"/>
        <w:rPr>
          <w:b/>
          <w:sz w:val="24"/>
          <w:szCs w:val="24"/>
        </w:rPr>
      </w:pPr>
      <w:r w:rsidRPr="00CB242B">
        <w:rPr>
          <w:b/>
          <w:sz w:val="24"/>
          <w:szCs w:val="24"/>
        </w:rPr>
        <w:t>6.6</w:t>
      </w:r>
      <w:r w:rsidRPr="00CB242B">
        <w:rPr>
          <w:b/>
          <w:sz w:val="24"/>
          <w:szCs w:val="24"/>
        </w:rPr>
        <w:tab/>
        <w:t xml:space="preserve">Regler for </w:t>
      </w:r>
      <w:r w:rsidR="00CD15A4">
        <w:rPr>
          <w:b/>
          <w:sz w:val="24"/>
          <w:szCs w:val="24"/>
        </w:rPr>
        <w:t>bortskaffelse</w:t>
      </w:r>
      <w:r w:rsidRPr="00CB242B">
        <w:rPr>
          <w:b/>
          <w:sz w:val="24"/>
          <w:szCs w:val="24"/>
        </w:rPr>
        <w:t xml:space="preserve"> og anden håndtering</w:t>
      </w:r>
    </w:p>
    <w:p w:rsidR="00AB7145" w:rsidRPr="00CB242B" w:rsidRDefault="00AB7145" w:rsidP="00AB7145">
      <w:pPr>
        <w:ind w:left="851"/>
        <w:rPr>
          <w:sz w:val="24"/>
          <w:szCs w:val="24"/>
        </w:rPr>
      </w:pPr>
      <w:r w:rsidRPr="00CB242B">
        <w:rPr>
          <w:sz w:val="24"/>
          <w:szCs w:val="24"/>
        </w:rPr>
        <w:t xml:space="preserve">Opløsning af </w:t>
      </w:r>
      <w:proofErr w:type="spellStart"/>
      <w:r w:rsidRPr="00CB242B">
        <w:rPr>
          <w:sz w:val="24"/>
          <w:szCs w:val="24"/>
        </w:rPr>
        <w:t>Plenvu</w:t>
      </w:r>
      <w:proofErr w:type="spellEnd"/>
      <w:r w:rsidRPr="00CB242B">
        <w:rPr>
          <w:sz w:val="24"/>
          <w:szCs w:val="24"/>
        </w:rPr>
        <w:t xml:space="preserve"> i vand kan tage op til omtrent 8 minutter og udføres bedst ved først at tilsætte pulveret til beholderen efterfulgt af vandet. Patienten bør vente, indtil alt pulveret er opløst, før opløsningen drikkes.</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Efter opløsningen i vand kan indtagelse af </w:t>
      </w:r>
      <w:proofErr w:type="spellStart"/>
      <w:r w:rsidRPr="00CB242B">
        <w:rPr>
          <w:sz w:val="24"/>
          <w:szCs w:val="24"/>
        </w:rPr>
        <w:t>Plenvu</w:t>
      </w:r>
      <w:proofErr w:type="spellEnd"/>
      <w:r w:rsidRPr="00CB242B">
        <w:rPr>
          <w:sz w:val="24"/>
          <w:szCs w:val="24"/>
        </w:rPr>
        <w:t xml:space="preserve"> straks begynde, eller hvis det foretrækkes, kan det afkøles før brug.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Ikke anvendt lægemiddel samt affald heraf skal bortskaffes i henhold til lokale retningslinjer.</w:t>
      </w:r>
    </w:p>
    <w:p w:rsidR="00AB7145" w:rsidRPr="00CB242B" w:rsidRDefault="00AB7145" w:rsidP="00AB7145">
      <w:pPr>
        <w:ind w:left="851" w:hanging="851"/>
        <w:jc w:val="both"/>
        <w:rPr>
          <w:sz w:val="24"/>
          <w:szCs w:val="24"/>
        </w:rPr>
      </w:pPr>
    </w:p>
    <w:p w:rsidR="00AB7145" w:rsidRPr="00CB242B" w:rsidRDefault="00AB7145" w:rsidP="00AB7145">
      <w:pPr>
        <w:ind w:left="851" w:hanging="851"/>
        <w:rPr>
          <w:b/>
          <w:sz w:val="24"/>
          <w:szCs w:val="24"/>
        </w:rPr>
      </w:pPr>
      <w:r w:rsidRPr="00CB242B">
        <w:rPr>
          <w:b/>
          <w:sz w:val="24"/>
          <w:szCs w:val="24"/>
        </w:rPr>
        <w:t>7.</w:t>
      </w:r>
      <w:r w:rsidRPr="00CB242B">
        <w:rPr>
          <w:b/>
          <w:sz w:val="24"/>
          <w:szCs w:val="24"/>
        </w:rPr>
        <w:tab/>
        <w:t>INDEHAVER AF MARKEDSFØRINGSTILLADELSEN</w:t>
      </w:r>
    </w:p>
    <w:p w:rsidR="00AB7145" w:rsidRPr="00464F9C" w:rsidRDefault="00AB7145" w:rsidP="00AB7145">
      <w:pPr>
        <w:ind w:left="851"/>
        <w:rPr>
          <w:sz w:val="24"/>
          <w:szCs w:val="24"/>
        </w:rPr>
      </w:pPr>
      <w:r w:rsidRPr="00464F9C">
        <w:rPr>
          <w:sz w:val="24"/>
          <w:szCs w:val="24"/>
        </w:rPr>
        <w:t>Norgine BV</w:t>
      </w:r>
    </w:p>
    <w:p w:rsidR="00AB7145" w:rsidRPr="006D54BD" w:rsidRDefault="00AB7145" w:rsidP="00AB7145">
      <w:pPr>
        <w:ind w:left="851"/>
        <w:rPr>
          <w:sz w:val="24"/>
          <w:szCs w:val="24"/>
        </w:rPr>
      </w:pPr>
      <w:r w:rsidRPr="006D54BD">
        <w:rPr>
          <w:sz w:val="24"/>
          <w:szCs w:val="24"/>
        </w:rPr>
        <w:t xml:space="preserve">Antonio </w:t>
      </w:r>
      <w:proofErr w:type="spellStart"/>
      <w:r w:rsidRPr="006D54BD">
        <w:rPr>
          <w:sz w:val="24"/>
          <w:szCs w:val="24"/>
        </w:rPr>
        <w:t>Vivaldis</w:t>
      </w:r>
      <w:r>
        <w:rPr>
          <w:sz w:val="24"/>
          <w:szCs w:val="24"/>
        </w:rPr>
        <w:t>traat</w:t>
      </w:r>
      <w:proofErr w:type="spellEnd"/>
      <w:r>
        <w:rPr>
          <w:sz w:val="24"/>
          <w:szCs w:val="24"/>
        </w:rPr>
        <w:t xml:space="preserve"> 150</w:t>
      </w:r>
    </w:p>
    <w:p w:rsidR="00AB7145" w:rsidRPr="00BB372D" w:rsidRDefault="00AB7145" w:rsidP="00AB7145">
      <w:pPr>
        <w:ind w:left="851"/>
        <w:rPr>
          <w:sz w:val="24"/>
          <w:szCs w:val="24"/>
          <w:lang w:val="en-US"/>
        </w:rPr>
      </w:pPr>
      <w:r w:rsidRPr="00BB372D">
        <w:rPr>
          <w:sz w:val="24"/>
          <w:szCs w:val="24"/>
          <w:lang w:val="en-US"/>
        </w:rPr>
        <w:t>1083 HP Amsterdam</w:t>
      </w:r>
    </w:p>
    <w:p w:rsidR="00AB7145" w:rsidRPr="00CB242B" w:rsidRDefault="00AB7145" w:rsidP="00AB7145">
      <w:pPr>
        <w:ind w:left="851"/>
        <w:rPr>
          <w:sz w:val="24"/>
          <w:szCs w:val="24"/>
          <w:lang w:val="en-US"/>
        </w:rPr>
      </w:pPr>
      <w:r w:rsidRPr="00BB372D">
        <w:rPr>
          <w:sz w:val="24"/>
          <w:szCs w:val="24"/>
          <w:lang w:val="en-US"/>
        </w:rPr>
        <w:t>Holland</w:t>
      </w:r>
    </w:p>
    <w:p w:rsidR="00AB7145" w:rsidRPr="00CB242B" w:rsidRDefault="00AB7145" w:rsidP="00AB7145">
      <w:pPr>
        <w:ind w:left="851" w:hanging="851"/>
        <w:rPr>
          <w:sz w:val="24"/>
          <w:szCs w:val="24"/>
          <w:lang w:val="en-US"/>
        </w:rPr>
      </w:pPr>
    </w:p>
    <w:p w:rsidR="00AB7145" w:rsidRPr="00464F9C" w:rsidRDefault="00AB7145" w:rsidP="00AB7145">
      <w:pPr>
        <w:ind w:left="851"/>
        <w:rPr>
          <w:b/>
          <w:spacing w:val="-3"/>
          <w:sz w:val="24"/>
          <w:szCs w:val="24"/>
          <w:lang w:val="en-US"/>
        </w:rPr>
      </w:pPr>
      <w:proofErr w:type="spellStart"/>
      <w:r w:rsidRPr="00464F9C">
        <w:rPr>
          <w:b/>
          <w:spacing w:val="-3"/>
          <w:sz w:val="24"/>
          <w:szCs w:val="24"/>
          <w:lang w:val="en-US"/>
        </w:rPr>
        <w:lastRenderedPageBreak/>
        <w:t>Repræsentant</w:t>
      </w:r>
      <w:proofErr w:type="spellEnd"/>
    </w:p>
    <w:p w:rsidR="005949F5" w:rsidRPr="00BC12BA" w:rsidRDefault="005949F5" w:rsidP="005949F5">
      <w:pPr>
        <w:ind w:left="851"/>
        <w:rPr>
          <w:spacing w:val="-3"/>
          <w:sz w:val="24"/>
          <w:szCs w:val="24"/>
          <w:lang w:val="en-US"/>
        </w:rPr>
      </w:pPr>
      <w:proofErr w:type="spellStart"/>
      <w:r w:rsidRPr="00BC12BA">
        <w:rPr>
          <w:spacing w:val="-3"/>
          <w:sz w:val="24"/>
          <w:szCs w:val="24"/>
          <w:lang w:val="en-US"/>
        </w:rPr>
        <w:t>Norgine</w:t>
      </w:r>
      <w:proofErr w:type="spellEnd"/>
      <w:r w:rsidRPr="00BC12BA">
        <w:rPr>
          <w:spacing w:val="-3"/>
          <w:sz w:val="24"/>
          <w:szCs w:val="24"/>
          <w:lang w:val="en-US"/>
        </w:rPr>
        <w:t xml:space="preserve"> </w:t>
      </w:r>
      <w:proofErr w:type="spellStart"/>
      <w:r w:rsidRPr="00BC12BA">
        <w:rPr>
          <w:spacing w:val="-3"/>
          <w:sz w:val="24"/>
          <w:szCs w:val="24"/>
          <w:lang w:val="en-US"/>
        </w:rPr>
        <w:t>Danmark</w:t>
      </w:r>
      <w:proofErr w:type="spellEnd"/>
      <w:r w:rsidRPr="00BC12BA">
        <w:rPr>
          <w:spacing w:val="-3"/>
          <w:sz w:val="24"/>
          <w:szCs w:val="24"/>
          <w:lang w:val="en-US"/>
        </w:rPr>
        <w:t xml:space="preserve"> A/S</w:t>
      </w:r>
    </w:p>
    <w:p w:rsidR="005949F5" w:rsidRPr="00A95F65" w:rsidRDefault="005949F5" w:rsidP="005949F5">
      <w:pPr>
        <w:ind w:firstLine="851"/>
        <w:rPr>
          <w:spacing w:val="-3"/>
          <w:sz w:val="24"/>
          <w:szCs w:val="24"/>
        </w:rPr>
      </w:pPr>
      <w:r w:rsidRPr="00A95F65">
        <w:rPr>
          <w:spacing w:val="-3"/>
          <w:sz w:val="24"/>
          <w:szCs w:val="24"/>
        </w:rPr>
        <w:t>Kirsten Walthers Vej 8A</w:t>
      </w:r>
    </w:p>
    <w:p w:rsidR="00AB7145" w:rsidRPr="005949F5" w:rsidRDefault="005949F5" w:rsidP="005949F5">
      <w:pPr>
        <w:ind w:firstLine="851"/>
        <w:rPr>
          <w:sz w:val="24"/>
          <w:szCs w:val="24"/>
        </w:rPr>
      </w:pPr>
      <w:r w:rsidRPr="003221AD">
        <w:rPr>
          <w:spacing w:val="-3"/>
          <w:sz w:val="24"/>
          <w:szCs w:val="24"/>
        </w:rPr>
        <w:t>2500 Valby</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8.</w:t>
      </w:r>
      <w:r w:rsidRPr="00CB242B">
        <w:rPr>
          <w:b/>
          <w:sz w:val="24"/>
          <w:szCs w:val="24"/>
        </w:rPr>
        <w:tab/>
        <w:t>MARKEDSFØRINGSTILLADELSESNUMMER (</w:t>
      </w:r>
      <w:r w:rsidR="00CD15A4">
        <w:rPr>
          <w:b/>
          <w:sz w:val="24"/>
          <w:szCs w:val="24"/>
        </w:rPr>
        <w:t>-</w:t>
      </w:r>
      <w:r w:rsidRPr="00CB242B">
        <w:rPr>
          <w:b/>
          <w:sz w:val="24"/>
          <w:szCs w:val="24"/>
        </w:rPr>
        <w:t>NUMRE)</w:t>
      </w:r>
    </w:p>
    <w:p w:rsidR="00AB7145" w:rsidRPr="00CB242B" w:rsidRDefault="00AB7145" w:rsidP="00AB7145">
      <w:pPr>
        <w:ind w:left="851"/>
        <w:rPr>
          <w:sz w:val="24"/>
          <w:szCs w:val="24"/>
        </w:rPr>
      </w:pPr>
      <w:r w:rsidRPr="00CB242B">
        <w:rPr>
          <w:sz w:val="24"/>
          <w:szCs w:val="24"/>
        </w:rPr>
        <w:t>58682</w:t>
      </w:r>
    </w:p>
    <w:p w:rsidR="00AB7145" w:rsidRPr="00CB242B" w:rsidRDefault="00AB7145" w:rsidP="00AB7145">
      <w:pPr>
        <w:ind w:left="851" w:hanging="851"/>
        <w:jc w:val="both"/>
        <w:rPr>
          <w:sz w:val="24"/>
          <w:szCs w:val="24"/>
        </w:rPr>
      </w:pPr>
    </w:p>
    <w:p w:rsidR="00AB7145" w:rsidRPr="00CB242B" w:rsidRDefault="00AB7145" w:rsidP="00AB7145">
      <w:pPr>
        <w:ind w:left="851" w:hanging="851"/>
        <w:rPr>
          <w:b/>
          <w:sz w:val="24"/>
          <w:szCs w:val="24"/>
        </w:rPr>
      </w:pPr>
      <w:r w:rsidRPr="00CB242B">
        <w:rPr>
          <w:b/>
          <w:sz w:val="24"/>
          <w:szCs w:val="24"/>
        </w:rPr>
        <w:t>9.</w:t>
      </w:r>
      <w:r w:rsidRPr="00CB242B">
        <w:rPr>
          <w:b/>
          <w:sz w:val="24"/>
          <w:szCs w:val="24"/>
        </w:rPr>
        <w:tab/>
        <w:t>DATO FOR FØRSTE MARKEDSFØRINGSTILLADELSE</w:t>
      </w:r>
    </w:p>
    <w:p w:rsidR="00AB7145" w:rsidRPr="00CB242B" w:rsidRDefault="00AB7145" w:rsidP="00AB7145">
      <w:pPr>
        <w:ind w:left="851"/>
        <w:rPr>
          <w:sz w:val="24"/>
          <w:szCs w:val="24"/>
        </w:rPr>
      </w:pPr>
      <w:r>
        <w:rPr>
          <w:sz w:val="24"/>
          <w:szCs w:val="24"/>
        </w:rPr>
        <w:t>1. november 2017</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10.</w:t>
      </w:r>
      <w:r w:rsidRPr="00CB242B">
        <w:rPr>
          <w:b/>
          <w:sz w:val="24"/>
          <w:szCs w:val="24"/>
        </w:rPr>
        <w:tab/>
        <w:t>DATO FOR ÆNDRING AF TEKSTEN</w:t>
      </w:r>
    </w:p>
    <w:p w:rsidR="00AB7145" w:rsidRPr="00AA19EB" w:rsidRDefault="00E054FA" w:rsidP="000A524D">
      <w:pPr>
        <w:ind w:firstLine="851"/>
      </w:pPr>
      <w:r>
        <w:rPr>
          <w:sz w:val="24"/>
          <w:szCs w:val="24"/>
        </w:rPr>
        <w:t>3</w:t>
      </w:r>
      <w:r w:rsidR="00CD15A4" w:rsidRPr="00CD15A4">
        <w:rPr>
          <w:sz w:val="24"/>
          <w:szCs w:val="24"/>
        </w:rPr>
        <w:t xml:space="preserve">. </w:t>
      </w:r>
      <w:r>
        <w:rPr>
          <w:sz w:val="24"/>
          <w:szCs w:val="24"/>
        </w:rPr>
        <w:t>marts</w:t>
      </w:r>
      <w:r w:rsidR="00CD15A4" w:rsidRPr="00CD15A4">
        <w:rPr>
          <w:sz w:val="24"/>
          <w:szCs w:val="24"/>
        </w:rPr>
        <w:t xml:space="preserve"> 202</w:t>
      </w:r>
      <w:r>
        <w:rPr>
          <w:sz w:val="24"/>
          <w:szCs w:val="24"/>
        </w:rPr>
        <w:t>5</w:t>
      </w:r>
      <w:bookmarkStart w:id="0" w:name="_GoBack"/>
      <w:bookmarkEnd w:id="0"/>
    </w:p>
    <w:p w:rsidR="00AB7145" w:rsidRPr="006568EC" w:rsidRDefault="00AB7145" w:rsidP="00AB7145"/>
    <w:p w:rsidR="009260DE" w:rsidRPr="00AB7145" w:rsidRDefault="009260DE" w:rsidP="00AB7145"/>
    <w:sectPr w:rsidR="009260DE" w:rsidRPr="00AB714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145" w:rsidRDefault="00AB7145">
      <w:r>
        <w:separator/>
      </w:r>
    </w:p>
  </w:endnote>
  <w:endnote w:type="continuationSeparator" w:id="0">
    <w:p w:rsidR="00AB7145" w:rsidRDefault="00AB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4266F">
      <w:rPr>
        <w:i/>
        <w:noProof/>
        <w:sz w:val="18"/>
        <w:szCs w:val="18"/>
      </w:rPr>
      <w:t>Plenvu, pulver til oral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145" w:rsidRDefault="00AB7145">
      <w:r>
        <w:separator/>
      </w:r>
    </w:p>
  </w:footnote>
  <w:footnote w:type="continuationSeparator" w:id="0">
    <w:p w:rsidR="00AB7145" w:rsidRDefault="00AB7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5908CD"/>
    <w:multiLevelType w:val="hybridMultilevel"/>
    <w:tmpl w:val="AD7049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6107990"/>
    <w:multiLevelType w:val="hybridMultilevel"/>
    <w:tmpl w:val="D41815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F64B77"/>
    <w:multiLevelType w:val="hybridMultilevel"/>
    <w:tmpl w:val="58E022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5FE80095"/>
    <w:multiLevelType w:val="hybridMultilevel"/>
    <w:tmpl w:val="103E94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45"/>
    <w:rsid w:val="000259B9"/>
    <w:rsid w:val="00041491"/>
    <w:rsid w:val="00050D16"/>
    <w:rsid w:val="00055107"/>
    <w:rsid w:val="00074F2A"/>
    <w:rsid w:val="000A15F3"/>
    <w:rsid w:val="000A1CA8"/>
    <w:rsid w:val="000A466B"/>
    <w:rsid w:val="000A524D"/>
    <w:rsid w:val="000B058C"/>
    <w:rsid w:val="000E4EE6"/>
    <w:rsid w:val="00121FAE"/>
    <w:rsid w:val="0014266F"/>
    <w:rsid w:val="001454E2"/>
    <w:rsid w:val="001816EE"/>
    <w:rsid w:val="001C37B3"/>
    <w:rsid w:val="001C76E0"/>
    <w:rsid w:val="001E6DBB"/>
    <w:rsid w:val="00206CE8"/>
    <w:rsid w:val="0021526C"/>
    <w:rsid w:val="00242F91"/>
    <w:rsid w:val="00283A2B"/>
    <w:rsid w:val="002A3AB6"/>
    <w:rsid w:val="002B30AD"/>
    <w:rsid w:val="002C2C01"/>
    <w:rsid w:val="002C5D49"/>
    <w:rsid w:val="002D26CB"/>
    <w:rsid w:val="003A29AE"/>
    <w:rsid w:val="003A32D7"/>
    <w:rsid w:val="003B4074"/>
    <w:rsid w:val="003C769A"/>
    <w:rsid w:val="003F1838"/>
    <w:rsid w:val="003F6519"/>
    <w:rsid w:val="00421F42"/>
    <w:rsid w:val="00427B5E"/>
    <w:rsid w:val="0045746C"/>
    <w:rsid w:val="0049104B"/>
    <w:rsid w:val="00495296"/>
    <w:rsid w:val="004E3B12"/>
    <w:rsid w:val="004F4987"/>
    <w:rsid w:val="00532310"/>
    <w:rsid w:val="00560ECC"/>
    <w:rsid w:val="00565F0F"/>
    <w:rsid w:val="005949F5"/>
    <w:rsid w:val="00594A86"/>
    <w:rsid w:val="00596D86"/>
    <w:rsid w:val="005F547F"/>
    <w:rsid w:val="006035BB"/>
    <w:rsid w:val="00637F5A"/>
    <w:rsid w:val="006560B1"/>
    <w:rsid w:val="006756DD"/>
    <w:rsid w:val="006B14A8"/>
    <w:rsid w:val="00737275"/>
    <w:rsid w:val="00740EEC"/>
    <w:rsid w:val="0078011A"/>
    <w:rsid w:val="00782AF4"/>
    <w:rsid w:val="00790EE7"/>
    <w:rsid w:val="007B2016"/>
    <w:rsid w:val="007B6649"/>
    <w:rsid w:val="007D5FC0"/>
    <w:rsid w:val="0081546F"/>
    <w:rsid w:val="0082576E"/>
    <w:rsid w:val="008513D0"/>
    <w:rsid w:val="00853CD1"/>
    <w:rsid w:val="00907F75"/>
    <w:rsid w:val="009260DE"/>
    <w:rsid w:val="0093258A"/>
    <w:rsid w:val="009C7BA3"/>
    <w:rsid w:val="009D1F5A"/>
    <w:rsid w:val="00A119BC"/>
    <w:rsid w:val="00A26DED"/>
    <w:rsid w:val="00A613D9"/>
    <w:rsid w:val="00A95F65"/>
    <w:rsid w:val="00AB7145"/>
    <w:rsid w:val="00B003BF"/>
    <w:rsid w:val="00B373D7"/>
    <w:rsid w:val="00BC7666"/>
    <w:rsid w:val="00BE653B"/>
    <w:rsid w:val="00C36276"/>
    <w:rsid w:val="00C42586"/>
    <w:rsid w:val="00C50BF2"/>
    <w:rsid w:val="00C60CCD"/>
    <w:rsid w:val="00C84483"/>
    <w:rsid w:val="00C95551"/>
    <w:rsid w:val="00CB20D7"/>
    <w:rsid w:val="00CD15A4"/>
    <w:rsid w:val="00D020B0"/>
    <w:rsid w:val="00D11748"/>
    <w:rsid w:val="00D366CF"/>
    <w:rsid w:val="00DD55A3"/>
    <w:rsid w:val="00E054FA"/>
    <w:rsid w:val="00E108AA"/>
    <w:rsid w:val="00E31812"/>
    <w:rsid w:val="00E3749A"/>
    <w:rsid w:val="00E7437F"/>
    <w:rsid w:val="00E865B8"/>
    <w:rsid w:val="00EC0B9B"/>
    <w:rsid w:val="00ED5E9F"/>
    <w:rsid w:val="00F3355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A720A"/>
  <w15:chartTrackingRefBased/>
  <w15:docId w15:val="{EB1CAF63-1240-40F8-ACDA-60FD1553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5A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B7145"/>
    <w:rPr>
      <w:color w:val="0000FF"/>
      <w:u w:val="single"/>
    </w:rPr>
  </w:style>
  <w:style w:type="table" w:styleId="Tabel-Gitter">
    <w:name w:val="Table Grid"/>
    <w:basedOn w:val="Tabel-Normal"/>
    <w:uiPriority w:val="59"/>
    <w:rsid w:val="00AB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9050439">
      <w:bodyDiv w:val="1"/>
      <w:marLeft w:val="0"/>
      <w:marRight w:val="0"/>
      <w:marTop w:val="0"/>
      <w:marBottom w:val="0"/>
      <w:divBdr>
        <w:top w:val="none" w:sz="0" w:space="0" w:color="auto"/>
        <w:left w:val="none" w:sz="0" w:space="0" w:color="auto"/>
        <w:bottom w:val="none" w:sz="0" w:space="0" w:color="auto"/>
        <w:right w:val="none" w:sz="0" w:space="0" w:color="auto"/>
      </w:divBdr>
    </w:div>
    <w:div w:id="483284193">
      <w:bodyDiv w:val="1"/>
      <w:marLeft w:val="0"/>
      <w:marRight w:val="0"/>
      <w:marTop w:val="0"/>
      <w:marBottom w:val="0"/>
      <w:divBdr>
        <w:top w:val="none" w:sz="0" w:space="0" w:color="auto"/>
        <w:left w:val="none" w:sz="0" w:space="0" w:color="auto"/>
        <w:bottom w:val="none" w:sz="0" w:space="0" w:color="auto"/>
        <w:right w:val="none" w:sz="0" w:space="0" w:color="auto"/>
      </w:divBdr>
    </w:div>
    <w:div w:id="716244151">
      <w:bodyDiv w:val="1"/>
      <w:marLeft w:val="0"/>
      <w:marRight w:val="0"/>
      <w:marTop w:val="0"/>
      <w:marBottom w:val="0"/>
      <w:divBdr>
        <w:top w:val="none" w:sz="0" w:space="0" w:color="auto"/>
        <w:left w:val="none" w:sz="0" w:space="0" w:color="auto"/>
        <w:bottom w:val="none" w:sz="0" w:space="0" w:color="auto"/>
        <w:right w:val="none" w:sz="0" w:space="0" w:color="auto"/>
      </w:divBdr>
    </w:div>
    <w:div w:id="13232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2845</Words>
  <Characters>18242</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2024123572_x000d_
SPC pkt. 4.4, 4.8</dc:description>
  <cp:lastModifiedBy>Victoria Alexsandra Ringgaard</cp:lastModifiedBy>
  <cp:revision>3</cp:revision>
  <cp:lastPrinted>2012-08-22T08:53:00Z</cp:lastPrinted>
  <dcterms:created xsi:type="dcterms:W3CDTF">2025-02-27T09:54:00Z</dcterms:created>
  <dcterms:modified xsi:type="dcterms:W3CDTF">2025-02-27T09:58:00Z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