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A94" w:rsidRDefault="00BC09D7">
      <w:pPr>
        <w:rPr>
          <w:noProof/>
          <w:lang w:eastAsia="da-DK"/>
        </w:rPr>
      </w:pPr>
      <w:r>
        <w:rPr>
          <w:noProof/>
          <w:lang w:eastAsia="da-DK"/>
        </w:rPr>
        <w:drawing>
          <wp:inline distT="0" distB="0" distL="0" distR="0">
            <wp:extent cx="2466975" cy="685800"/>
            <wp:effectExtent l="0" t="0" r="9525" b="0"/>
            <wp:docPr id="1" name="Billede 1"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C09D7" w:rsidRDefault="00BC09D7" w:rsidP="00C95551">
      <w:pPr>
        <w:pStyle w:val="Titel"/>
        <w:tabs>
          <w:tab w:val="right" w:pos="9356"/>
        </w:tabs>
        <w:jc w:val="left"/>
        <w:rPr>
          <w:b w:val="0"/>
          <w:sz w:val="23"/>
          <w:lang w:eastAsia="en-US"/>
        </w:rPr>
      </w:pPr>
    </w:p>
    <w:p w:rsidR="00790EE7" w:rsidRDefault="00C95551" w:rsidP="00BC09D7">
      <w:pPr>
        <w:pStyle w:val="Titel"/>
        <w:tabs>
          <w:tab w:val="right" w:pos="9356"/>
        </w:tabs>
        <w:jc w:val="left"/>
        <w:rPr>
          <w:b w:val="0"/>
        </w:rPr>
      </w:pPr>
      <w:r>
        <w:rPr>
          <w:b w:val="0"/>
          <w:sz w:val="23"/>
          <w:lang w:eastAsia="en-US"/>
        </w:rPr>
        <w:tab/>
      </w:r>
      <w:r w:rsidR="00B75866">
        <w:rPr>
          <w:szCs w:val="24"/>
        </w:rPr>
        <w:t>12</w:t>
      </w:r>
      <w:r w:rsidR="00BC09D7">
        <w:rPr>
          <w:szCs w:val="24"/>
        </w:rPr>
        <w:t xml:space="preserve">. </w:t>
      </w:r>
      <w:r w:rsidR="00B340C4">
        <w:rPr>
          <w:szCs w:val="24"/>
        </w:rPr>
        <w:t>december</w:t>
      </w:r>
      <w:r w:rsidR="00BC09D7">
        <w:rPr>
          <w:szCs w:val="24"/>
        </w:rPr>
        <w:t xml:space="preserve"> 2017</w:t>
      </w:r>
    </w:p>
    <w:p w:rsidR="00790EE7" w:rsidRDefault="00790EE7" w:rsidP="00790EE7">
      <w:pPr>
        <w:pStyle w:val="Titel"/>
        <w:jc w:val="left"/>
        <w:rPr>
          <w:b w:val="0"/>
        </w:rPr>
      </w:pPr>
    </w:p>
    <w:p w:rsidR="00790EE7" w:rsidRPr="00EC0B9B" w:rsidRDefault="00790EE7" w:rsidP="00790EE7">
      <w:pPr>
        <w:jc w:val="center"/>
        <w:rPr>
          <w:b/>
          <w:sz w:val="24"/>
          <w:szCs w:val="24"/>
        </w:rPr>
      </w:pPr>
      <w:r w:rsidRPr="00EC0B9B">
        <w:rPr>
          <w:b/>
          <w:sz w:val="24"/>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r w:rsidRPr="00EC0B9B">
        <w:rPr>
          <w:b/>
          <w:sz w:val="24"/>
          <w:szCs w:val="24"/>
        </w:rPr>
        <w:t>for</w:t>
      </w:r>
    </w:p>
    <w:p w:rsidR="00790EE7" w:rsidRPr="00EC0B9B" w:rsidRDefault="00790EE7" w:rsidP="00790EE7">
      <w:pPr>
        <w:jc w:val="center"/>
        <w:rPr>
          <w:b/>
          <w:sz w:val="24"/>
          <w:szCs w:val="24"/>
        </w:rPr>
      </w:pPr>
    </w:p>
    <w:p w:rsidR="00790EE7" w:rsidRPr="0049104B" w:rsidRDefault="00D67A37" w:rsidP="00790EE7">
      <w:pPr>
        <w:jc w:val="center"/>
        <w:rPr>
          <w:b/>
          <w:sz w:val="24"/>
          <w:szCs w:val="24"/>
        </w:rPr>
      </w:pPr>
      <w:r>
        <w:rPr>
          <w:b/>
          <w:sz w:val="24"/>
          <w:szCs w:val="24"/>
        </w:rPr>
        <w:t>Pliapel, creme</w:t>
      </w:r>
    </w:p>
    <w:p w:rsidR="00790EE7" w:rsidRPr="00EC0B9B" w:rsidRDefault="00790EE7" w:rsidP="00790EE7">
      <w:pPr>
        <w:jc w:val="both"/>
        <w:rPr>
          <w:sz w:val="24"/>
          <w:szCs w:val="24"/>
        </w:rPr>
      </w:pPr>
    </w:p>
    <w:p w:rsidR="00790EE7" w:rsidRPr="00B4417B" w:rsidRDefault="00790EE7" w:rsidP="00B4417B">
      <w:pPr>
        <w:ind w:left="851" w:hanging="851"/>
        <w:jc w:val="both"/>
        <w:rPr>
          <w:sz w:val="24"/>
          <w:szCs w:val="24"/>
        </w:rPr>
      </w:pP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D.SP.NR.</w:t>
      </w:r>
    </w:p>
    <w:p w:rsidR="00790EE7" w:rsidRPr="00B4417B" w:rsidRDefault="00790EE7" w:rsidP="00B4417B">
      <w:pPr>
        <w:ind w:left="851" w:hanging="851"/>
        <w:rPr>
          <w:sz w:val="24"/>
          <w:szCs w:val="24"/>
        </w:rPr>
      </w:pPr>
      <w:r w:rsidRPr="00B4417B">
        <w:rPr>
          <w:sz w:val="24"/>
          <w:szCs w:val="24"/>
        </w:rPr>
        <w:tab/>
      </w:r>
      <w:r w:rsidR="00D67A37" w:rsidRPr="00B4417B">
        <w:rPr>
          <w:sz w:val="24"/>
          <w:szCs w:val="24"/>
        </w:rPr>
        <w:t>27830</w:t>
      </w:r>
    </w:p>
    <w:p w:rsidR="00790EE7" w:rsidRPr="00B4417B" w:rsidRDefault="00790EE7" w:rsidP="00B4417B">
      <w:pPr>
        <w:ind w:left="851" w:hanging="851"/>
        <w:rPr>
          <w:sz w:val="24"/>
          <w:szCs w:val="24"/>
        </w:rPr>
      </w:pP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LÆGEMIDLETS NAVN</w:t>
      </w:r>
    </w:p>
    <w:p w:rsidR="00790EE7" w:rsidRPr="00B4417B" w:rsidRDefault="00790EE7" w:rsidP="00B4417B">
      <w:pPr>
        <w:ind w:left="851" w:hanging="851"/>
        <w:rPr>
          <w:sz w:val="24"/>
          <w:szCs w:val="24"/>
        </w:rPr>
      </w:pPr>
      <w:r w:rsidRPr="00B4417B">
        <w:rPr>
          <w:sz w:val="24"/>
          <w:szCs w:val="24"/>
        </w:rPr>
        <w:tab/>
      </w:r>
      <w:r w:rsidR="00D67A37" w:rsidRPr="00B4417B">
        <w:rPr>
          <w:sz w:val="24"/>
          <w:szCs w:val="24"/>
        </w:rPr>
        <w:t>Pliapel</w:t>
      </w:r>
    </w:p>
    <w:p w:rsidR="00790EE7" w:rsidRPr="00B4417B" w:rsidRDefault="00790EE7" w:rsidP="00B4417B">
      <w:pPr>
        <w:ind w:left="851" w:hanging="851"/>
        <w:rPr>
          <w:sz w:val="24"/>
          <w:szCs w:val="24"/>
        </w:rPr>
      </w:pPr>
      <w:r w:rsidRPr="00B4417B">
        <w:rPr>
          <w:sz w:val="24"/>
          <w:szCs w:val="24"/>
        </w:rPr>
        <w:tab/>
      </w: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KVALITATIV OG KVANTITATIV SAMMENSÆTNING</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1 g creme indeholder 70 mg lidocain og 70 mg tetracain</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Hjælpestof(fer), som behandleren skal være opmærksom på:</w:t>
      </w:r>
    </w:p>
    <w:p w:rsidR="00C96D91" w:rsidRPr="00B4417B" w:rsidRDefault="00C96D91" w:rsidP="00B4417B">
      <w:pPr>
        <w:ind w:left="851"/>
        <w:rPr>
          <w:sz w:val="24"/>
          <w:szCs w:val="24"/>
        </w:rPr>
      </w:pPr>
      <w:r w:rsidRPr="00B4417B">
        <w:rPr>
          <w:sz w:val="24"/>
          <w:szCs w:val="24"/>
        </w:rPr>
        <w:t>Metylparahydroxybenzoat (E218) 0,5 mg/g</w:t>
      </w:r>
    </w:p>
    <w:p w:rsidR="00C96D91" w:rsidRPr="00B4417B" w:rsidRDefault="00C96D91" w:rsidP="00B4417B">
      <w:pPr>
        <w:ind w:left="851"/>
        <w:rPr>
          <w:sz w:val="24"/>
          <w:szCs w:val="24"/>
        </w:rPr>
      </w:pPr>
      <w:r w:rsidRPr="00B4417B">
        <w:rPr>
          <w:sz w:val="24"/>
          <w:szCs w:val="24"/>
        </w:rPr>
        <w:t>Propylparahydroxybenzoat (E216) 0,1 mg/g</w:t>
      </w:r>
    </w:p>
    <w:p w:rsidR="005B300D" w:rsidRDefault="005B300D" w:rsidP="005B300D">
      <w:pPr>
        <w:rPr>
          <w:sz w:val="24"/>
          <w:szCs w:val="24"/>
        </w:rPr>
      </w:pPr>
    </w:p>
    <w:p w:rsidR="00C96D91" w:rsidRPr="00B4417B" w:rsidRDefault="00C96D91" w:rsidP="00B4417B">
      <w:pPr>
        <w:ind w:left="851"/>
        <w:rPr>
          <w:sz w:val="24"/>
          <w:szCs w:val="24"/>
        </w:rPr>
      </w:pPr>
      <w:r w:rsidRPr="00B4417B">
        <w:rPr>
          <w:sz w:val="24"/>
          <w:szCs w:val="24"/>
        </w:rPr>
        <w:t>Alle hjælpestoffer er anført under pkt. 6.1.</w:t>
      </w:r>
    </w:p>
    <w:p w:rsidR="00790EE7" w:rsidRPr="00B4417B" w:rsidRDefault="00790EE7" w:rsidP="00B4417B">
      <w:pPr>
        <w:ind w:left="851" w:hanging="851"/>
        <w:rPr>
          <w:sz w:val="24"/>
          <w:szCs w:val="24"/>
        </w:rPr>
      </w:pP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LÆGEMIDDELFORM</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Creme</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Hvid til cremefarvet tyktflydende creme.</w:t>
      </w:r>
    </w:p>
    <w:p w:rsidR="00790EE7" w:rsidRPr="00B4417B" w:rsidRDefault="00790EE7" w:rsidP="00B4417B">
      <w:pPr>
        <w:ind w:left="851" w:hanging="851"/>
        <w:rPr>
          <w:sz w:val="24"/>
          <w:szCs w:val="24"/>
        </w:rPr>
      </w:pPr>
    </w:p>
    <w:p w:rsidR="00283A2B" w:rsidRPr="00B4417B" w:rsidRDefault="00283A2B" w:rsidP="00B4417B">
      <w:pPr>
        <w:ind w:left="851" w:hanging="851"/>
        <w:rPr>
          <w:sz w:val="24"/>
          <w:szCs w:val="24"/>
        </w:rPr>
      </w:pP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KLINISKE OPLYSNINGER</w:t>
      </w:r>
    </w:p>
    <w:p w:rsidR="00790EE7" w:rsidRPr="00B4417B" w:rsidRDefault="00790EE7" w:rsidP="00B4417B">
      <w:pPr>
        <w:ind w:left="851" w:hanging="851"/>
        <w:rPr>
          <w:b/>
          <w:sz w:val="24"/>
          <w:szCs w:val="24"/>
        </w:rPr>
      </w:pPr>
    </w:p>
    <w:p w:rsidR="00790EE7" w:rsidRPr="00B4417B" w:rsidRDefault="00790EE7" w:rsidP="00B4417B">
      <w:pPr>
        <w:numPr>
          <w:ilvl w:val="1"/>
          <w:numId w:val="1"/>
        </w:numPr>
        <w:tabs>
          <w:tab w:val="clear" w:pos="855"/>
        </w:tabs>
        <w:ind w:left="851" w:hanging="851"/>
        <w:rPr>
          <w:b/>
          <w:sz w:val="24"/>
          <w:szCs w:val="24"/>
          <w:u w:val="single"/>
        </w:rPr>
      </w:pPr>
      <w:r w:rsidRPr="00B4417B">
        <w:rPr>
          <w:b/>
          <w:sz w:val="24"/>
          <w:szCs w:val="24"/>
        </w:rPr>
        <w:t>Terapeutiske indikationer</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Pliapel er indiceret til voksne som lokal overfladeanalgesi på intakt hud forud for dermatologiske procedurer.</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Dosering og indgivelsesmåde</w:t>
      </w:r>
    </w:p>
    <w:p w:rsidR="00C96D91" w:rsidRPr="00B4417B" w:rsidRDefault="00790EE7" w:rsidP="00B4417B">
      <w:pPr>
        <w:ind w:left="851" w:hanging="851"/>
        <w:rPr>
          <w:sz w:val="24"/>
          <w:szCs w:val="24"/>
          <w:u w:val="single"/>
        </w:rPr>
      </w:pPr>
      <w:r w:rsidRPr="00B4417B">
        <w:rPr>
          <w:sz w:val="24"/>
          <w:szCs w:val="24"/>
        </w:rPr>
        <w:tab/>
      </w:r>
      <w:r w:rsidR="00C96D91" w:rsidRPr="00B4417B">
        <w:rPr>
          <w:sz w:val="24"/>
          <w:szCs w:val="24"/>
          <w:u w:val="single"/>
        </w:rPr>
        <w:t>Dosering</w:t>
      </w:r>
    </w:p>
    <w:p w:rsidR="00C96D91" w:rsidRPr="00B4417B" w:rsidRDefault="00C96D91" w:rsidP="00B4417B">
      <w:pPr>
        <w:ind w:left="851"/>
        <w:rPr>
          <w:i/>
          <w:sz w:val="24"/>
          <w:szCs w:val="24"/>
        </w:rPr>
      </w:pPr>
      <w:r w:rsidRPr="00B4417B">
        <w:rPr>
          <w:i/>
          <w:sz w:val="24"/>
          <w:szCs w:val="24"/>
        </w:rPr>
        <w:t>Til brug hos voksne og ældre:</w:t>
      </w:r>
    </w:p>
    <w:p w:rsidR="00C96D91" w:rsidRPr="00B4417B" w:rsidRDefault="00C96D91" w:rsidP="00B4417B">
      <w:pPr>
        <w:ind w:left="851"/>
        <w:rPr>
          <w:sz w:val="24"/>
          <w:szCs w:val="24"/>
        </w:rPr>
      </w:pPr>
      <w:r w:rsidRPr="00B4417B">
        <w:rPr>
          <w:sz w:val="24"/>
          <w:szCs w:val="24"/>
        </w:rPr>
        <w:t xml:space="preserve">I forbindelse med dermatologiske </w:t>
      </w:r>
      <w:r w:rsidR="005B300D">
        <w:rPr>
          <w:sz w:val="24"/>
          <w:szCs w:val="24"/>
        </w:rPr>
        <w:t>behandlinger</w:t>
      </w:r>
      <w:r w:rsidRPr="00B4417B">
        <w:rPr>
          <w:sz w:val="24"/>
          <w:szCs w:val="24"/>
        </w:rPr>
        <w:t xml:space="preserve"> som behandling med farvestof laser, hårfjerning med laser, non-ablativ laserbehandling af ansigt med resurfacing, dermal filler injektion og vaskulær tilgang skal Pliapel smøres på den intakte hud i et lag på ca. 1 mm i 30 minutter (ca. 1,3 g creme per 10 cm</w:t>
      </w:r>
      <w:r w:rsidRPr="00B4417B">
        <w:rPr>
          <w:sz w:val="24"/>
          <w:szCs w:val="24"/>
          <w:vertAlign w:val="superscript"/>
        </w:rPr>
        <w:t>2</w:t>
      </w:r>
      <w:r w:rsidRPr="00B4417B">
        <w:rPr>
          <w:sz w:val="24"/>
          <w:szCs w:val="24"/>
        </w:rPr>
        <w:t>). Efter den nødvendige tid, skal hinden fjernes fra huden forud for proceduren.</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lastRenderedPageBreak/>
        <w:t xml:space="preserve">I forbindelse med dermatologiske </w:t>
      </w:r>
      <w:r w:rsidR="005B300D">
        <w:rPr>
          <w:sz w:val="24"/>
          <w:szCs w:val="24"/>
        </w:rPr>
        <w:t>behandlinger</w:t>
      </w:r>
      <w:r w:rsidRPr="00B4417B">
        <w:rPr>
          <w:sz w:val="24"/>
          <w:szCs w:val="24"/>
        </w:rPr>
        <w:t xml:space="preserve"> som brug af laser til at fjerne tatoveringer og abblativ laser af vener i ben skal Pliapel </w:t>
      </w:r>
      <w:r w:rsidR="005B300D">
        <w:rPr>
          <w:sz w:val="24"/>
          <w:szCs w:val="24"/>
        </w:rPr>
        <w:t xml:space="preserve">påføres </w:t>
      </w:r>
      <w:r w:rsidRPr="00B4417B">
        <w:rPr>
          <w:sz w:val="24"/>
          <w:szCs w:val="24"/>
        </w:rPr>
        <w:t>den intakte hud i et lag på ca. 1 mm i 60 minutter (ca. 1,3 g creme per 10 cm</w:t>
      </w:r>
      <w:r w:rsidRPr="00B4417B">
        <w:rPr>
          <w:sz w:val="24"/>
          <w:szCs w:val="24"/>
          <w:vertAlign w:val="superscript"/>
        </w:rPr>
        <w:t>2</w:t>
      </w:r>
      <w:r w:rsidRPr="00B4417B">
        <w:rPr>
          <w:sz w:val="24"/>
          <w:szCs w:val="24"/>
        </w:rPr>
        <w:t xml:space="preserve">). Efter den nødvendige tid, skal hinden fjernes fra huden forud for </w:t>
      </w:r>
      <w:r w:rsidR="005B300D">
        <w:rPr>
          <w:sz w:val="24"/>
          <w:szCs w:val="24"/>
        </w:rPr>
        <w:t>behandlingen</w:t>
      </w:r>
      <w:r w:rsidRPr="00B4417B">
        <w:rPr>
          <w:sz w:val="24"/>
          <w:szCs w:val="24"/>
        </w:rPr>
        <w:t>.</w:t>
      </w:r>
    </w:p>
    <w:p w:rsidR="00C96D91" w:rsidRPr="00B4417B" w:rsidRDefault="00C96D91" w:rsidP="00B4417B">
      <w:pPr>
        <w:ind w:left="851" w:hanging="851"/>
        <w:rPr>
          <w:sz w:val="24"/>
          <w:szCs w:val="24"/>
        </w:rPr>
      </w:pPr>
    </w:p>
    <w:tbl>
      <w:tblPr>
        <w:tblW w:w="5000"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57" w:type="dxa"/>
          <w:bottom w:w="28" w:type="dxa"/>
          <w:right w:w="57" w:type="dxa"/>
        </w:tblCellMar>
        <w:tblLook w:val="04A0" w:firstRow="1" w:lastRow="0" w:firstColumn="1" w:lastColumn="0" w:noHBand="0" w:noVBand="1"/>
      </w:tblPr>
      <w:tblGrid>
        <w:gridCol w:w="2957"/>
        <w:gridCol w:w="2243"/>
        <w:gridCol w:w="4408"/>
      </w:tblGrid>
      <w:tr w:rsidR="00C96D91" w:rsidRPr="00B4417B" w:rsidTr="00B4417B">
        <w:trPr>
          <w:jc w:val="center"/>
        </w:trPr>
        <w:tc>
          <w:tcPr>
            <w:tcW w:w="1539" w:type="pct"/>
            <w:tcBorders>
              <w:top w:val="single" w:sz="12" w:space="0" w:color="000000"/>
              <w:left w:val="single" w:sz="12" w:space="0" w:color="000000"/>
              <w:bottom w:val="single" w:sz="6" w:space="0" w:color="000000"/>
              <w:right w:val="single" w:sz="6" w:space="0" w:color="000000"/>
            </w:tcBorders>
          </w:tcPr>
          <w:p w:rsidR="00C96D91" w:rsidRPr="00B4417B" w:rsidRDefault="00C96D91" w:rsidP="00B4417B">
            <w:pPr>
              <w:rPr>
                <w:b/>
                <w:sz w:val="24"/>
                <w:szCs w:val="24"/>
              </w:rPr>
            </w:pPr>
            <w:r w:rsidRPr="00B4417B">
              <w:rPr>
                <w:b/>
                <w:sz w:val="24"/>
                <w:szCs w:val="24"/>
              </w:rPr>
              <w:t>Overfladeareal af behandlingssted (cm</w:t>
            </w:r>
            <w:r w:rsidRPr="00B4417B">
              <w:rPr>
                <w:b/>
                <w:sz w:val="24"/>
                <w:szCs w:val="24"/>
                <w:vertAlign w:val="superscript"/>
              </w:rPr>
              <w:t>2</w:t>
            </w:r>
            <w:r w:rsidRPr="00B4417B">
              <w:rPr>
                <w:b/>
                <w:sz w:val="24"/>
                <w:szCs w:val="24"/>
              </w:rPr>
              <w:t>)</w:t>
            </w:r>
          </w:p>
          <w:p w:rsidR="00C96D91" w:rsidRPr="00B4417B" w:rsidRDefault="00C96D91" w:rsidP="00B4417B">
            <w:pPr>
              <w:rPr>
                <w:b/>
                <w:sz w:val="24"/>
                <w:szCs w:val="24"/>
              </w:rPr>
            </w:pPr>
          </w:p>
        </w:tc>
        <w:tc>
          <w:tcPr>
            <w:tcW w:w="1167" w:type="pct"/>
            <w:tcBorders>
              <w:top w:val="single" w:sz="12" w:space="0" w:color="000000"/>
              <w:left w:val="single" w:sz="6" w:space="0" w:color="000000"/>
              <w:bottom w:val="single" w:sz="6" w:space="0" w:color="000000"/>
              <w:right w:val="single" w:sz="6" w:space="0" w:color="000000"/>
            </w:tcBorders>
            <w:hideMark/>
          </w:tcPr>
          <w:p w:rsidR="00C96D91" w:rsidRPr="00B4417B" w:rsidRDefault="00B4417B" w:rsidP="005B300D">
            <w:pPr>
              <w:rPr>
                <w:b/>
                <w:sz w:val="24"/>
                <w:szCs w:val="24"/>
              </w:rPr>
            </w:pPr>
            <w:r>
              <w:rPr>
                <w:b/>
                <w:sz w:val="24"/>
                <w:szCs w:val="24"/>
              </w:rPr>
              <w:t>Omtrentlig</w:t>
            </w:r>
            <w:r w:rsidR="00C96D91" w:rsidRPr="00B4417B">
              <w:rPr>
                <w:b/>
                <w:sz w:val="24"/>
                <w:szCs w:val="24"/>
              </w:rPr>
              <w:t xml:space="preserve"> vægt af på</w:t>
            </w:r>
            <w:r w:rsidR="005B300D">
              <w:rPr>
                <w:b/>
                <w:sz w:val="24"/>
                <w:szCs w:val="24"/>
              </w:rPr>
              <w:t>ført</w:t>
            </w:r>
            <w:r w:rsidR="00C96D91" w:rsidRPr="00B4417B">
              <w:rPr>
                <w:b/>
                <w:sz w:val="24"/>
                <w:szCs w:val="24"/>
              </w:rPr>
              <w:t xml:space="preserve"> Pliapel (g)</w:t>
            </w:r>
          </w:p>
        </w:tc>
        <w:tc>
          <w:tcPr>
            <w:tcW w:w="2294" w:type="pct"/>
            <w:tcBorders>
              <w:top w:val="single" w:sz="12" w:space="0" w:color="000000"/>
              <w:left w:val="single" w:sz="6" w:space="0" w:color="000000"/>
              <w:bottom w:val="single" w:sz="6" w:space="0" w:color="000000"/>
              <w:right w:val="single" w:sz="12" w:space="0" w:color="000000"/>
            </w:tcBorders>
          </w:tcPr>
          <w:p w:rsidR="00C96D91" w:rsidRPr="00B4417B" w:rsidRDefault="00C96D91" w:rsidP="00B4417B">
            <w:pPr>
              <w:rPr>
                <w:b/>
                <w:sz w:val="24"/>
                <w:szCs w:val="24"/>
              </w:rPr>
            </w:pPr>
          </w:p>
        </w:tc>
      </w:tr>
      <w:tr w:rsidR="00C96D91" w:rsidRPr="00B4417B" w:rsidTr="00B4417B">
        <w:trPr>
          <w:jc w:val="center"/>
        </w:trPr>
        <w:tc>
          <w:tcPr>
            <w:tcW w:w="1539"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10</w:t>
            </w:r>
          </w:p>
        </w:tc>
        <w:tc>
          <w:tcPr>
            <w:tcW w:w="1167"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1,3</w:t>
            </w:r>
          </w:p>
        </w:tc>
        <w:tc>
          <w:tcPr>
            <w:tcW w:w="2294"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B4417B">
            <w:pPr>
              <w:rPr>
                <w:sz w:val="24"/>
                <w:szCs w:val="24"/>
              </w:rPr>
            </w:pPr>
            <w:r w:rsidRPr="00B4417B">
              <w:rPr>
                <w:sz w:val="24"/>
                <w:szCs w:val="24"/>
              </w:rPr>
              <w:t>2 fingerspidser</w:t>
            </w:r>
          </w:p>
        </w:tc>
      </w:tr>
      <w:tr w:rsidR="00C96D91" w:rsidRPr="00B4417B" w:rsidTr="00B4417B">
        <w:trPr>
          <w:jc w:val="center"/>
        </w:trPr>
        <w:tc>
          <w:tcPr>
            <w:tcW w:w="1539"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50</w:t>
            </w:r>
          </w:p>
        </w:tc>
        <w:tc>
          <w:tcPr>
            <w:tcW w:w="1167"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6,5</w:t>
            </w:r>
          </w:p>
        </w:tc>
        <w:tc>
          <w:tcPr>
            <w:tcW w:w="2294"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B4417B">
            <w:pPr>
              <w:rPr>
                <w:sz w:val="24"/>
                <w:szCs w:val="24"/>
              </w:rPr>
            </w:pPr>
            <w:r w:rsidRPr="00B4417B">
              <w:rPr>
                <w:sz w:val="24"/>
                <w:szCs w:val="24"/>
              </w:rPr>
              <w:t>Det halve indhold af en 15 g tube</w:t>
            </w:r>
          </w:p>
        </w:tc>
      </w:tr>
      <w:tr w:rsidR="00C96D91" w:rsidRPr="00B4417B" w:rsidTr="00B4417B">
        <w:trPr>
          <w:jc w:val="center"/>
        </w:trPr>
        <w:tc>
          <w:tcPr>
            <w:tcW w:w="1539"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100</w:t>
            </w:r>
          </w:p>
        </w:tc>
        <w:tc>
          <w:tcPr>
            <w:tcW w:w="1167"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13</w:t>
            </w:r>
          </w:p>
        </w:tc>
        <w:tc>
          <w:tcPr>
            <w:tcW w:w="2294"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B4417B">
            <w:pPr>
              <w:rPr>
                <w:sz w:val="24"/>
                <w:szCs w:val="24"/>
              </w:rPr>
            </w:pPr>
            <w:r w:rsidRPr="00B4417B">
              <w:rPr>
                <w:sz w:val="24"/>
                <w:szCs w:val="24"/>
              </w:rPr>
              <w:t>Hele indholdet af en 15 g tube</w:t>
            </w:r>
          </w:p>
        </w:tc>
      </w:tr>
      <w:tr w:rsidR="00C96D91" w:rsidRPr="00B4417B" w:rsidTr="00B4417B">
        <w:trPr>
          <w:jc w:val="center"/>
        </w:trPr>
        <w:tc>
          <w:tcPr>
            <w:tcW w:w="1539"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200</w:t>
            </w:r>
          </w:p>
        </w:tc>
        <w:tc>
          <w:tcPr>
            <w:tcW w:w="1167"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B4417B">
            <w:pPr>
              <w:rPr>
                <w:sz w:val="24"/>
                <w:szCs w:val="24"/>
              </w:rPr>
            </w:pPr>
            <w:r w:rsidRPr="00B4417B">
              <w:rPr>
                <w:sz w:val="24"/>
                <w:szCs w:val="24"/>
              </w:rPr>
              <w:t>26</w:t>
            </w:r>
          </w:p>
        </w:tc>
        <w:tc>
          <w:tcPr>
            <w:tcW w:w="2294"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B4417B">
            <w:pPr>
              <w:rPr>
                <w:sz w:val="24"/>
                <w:szCs w:val="24"/>
              </w:rPr>
            </w:pPr>
            <w:r w:rsidRPr="00B4417B">
              <w:rPr>
                <w:sz w:val="24"/>
                <w:szCs w:val="24"/>
              </w:rPr>
              <w:t>Hele indholdet af en 30 g tube</w:t>
            </w:r>
          </w:p>
        </w:tc>
      </w:tr>
      <w:tr w:rsidR="00C96D91" w:rsidRPr="00B4417B" w:rsidTr="00B4417B">
        <w:trPr>
          <w:jc w:val="center"/>
        </w:trPr>
        <w:tc>
          <w:tcPr>
            <w:tcW w:w="1539" w:type="pct"/>
            <w:tcBorders>
              <w:top w:val="single" w:sz="6" w:space="0" w:color="000000"/>
              <w:left w:val="single" w:sz="12" w:space="0" w:color="000000"/>
              <w:bottom w:val="single" w:sz="12" w:space="0" w:color="000000"/>
              <w:right w:val="single" w:sz="6" w:space="0" w:color="000000"/>
            </w:tcBorders>
            <w:hideMark/>
          </w:tcPr>
          <w:p w:rsidR="00C96D91" w:rsidRPr="00B4417B" w:rsidRDefault="00C96D91" w:rsidP="00B4417B">
            <w:pPr>
              <w:rPr>
                <w:sz w:val="24"/>
                <w:szCs w:val="24"/>
              </w:rPr>
            </w:pPr>
            <w:r w:rsidRPr="00B4417B">
              <w:rPr>
                <w:sz w:val="24"/>
                <w:szCs w:val="24"/>
              </w:rPr>
              <w:t>400</w:t>
            </w:r>
          </w:p>
        </w:tc>
        <w:tc>
          <w:tcPr>
            <w:tcW w:w="1167" w:type="pct"/>
            <w:tcBorders>
              <w:top w:val="single" w:sz="6" w:space="0" w:color="000000"/>
              <w:left w:val="single" w:sz="6" w:space="0" w:color="000000"/>
              <w:bottom w:val="single" w:sz="12" w:space="0" w:color="000000"/>
              <w:right w:val="single" w:sz="6" w:space="0" w:color="000000"/>
            </w:tcBorders>
            <w:hideMark/>
          </w:tcPr>
          <w:p w:rsidR="00C96D91" w:rsidRPr="00B4417B" w:rsidRDefault="00C96D91" w:rsidP="00B4417B">
            <w:pPr>
              <w:rPr>
                <w:sz w:val="24"/>
                <w:szCs w:val="24"/>
              </w:rPr>
            </w:pPr>
            <w:r w:rsidRPr="00B4417B">
              <w:rPr>
                <w:sz w:val="24"/>
                <w:szCs w:val="24"/>
              </w:rPr>
              <w:t>52</w:t>
            </w:r>
          </w:p>
        </w:tc>
        <w:tc>
          <w:tcPr>
            <w:tcW w:w="2294" w:type="pct"/>
            <w:tcBorders>
              <w:top w:val="single" w:sz="6" w:space="0" w:color="000000"/>
              <w:left w:val="single" w:sz="6" w:space="0" w:color="000000"/>
              <w:bottom w:val="single" w:sz="12" w:space="0" w:color="000000"/>
              <w:right w:val="single" w:sz="12" w:space="0" w:color="000000"/>
            </w:tcBorders>
            <w:hideMark/>
          </w:tcPr>
          <w:p w:rsidR="00C96D91" w:rsidRPr="00B4417B" w:rsidRDefault="00C96D91" w:rsidP="00BC09D7">
            <w:pPr>
              <w:rPr>
                <w:sz w:val="24"/>
                <w:szCs w:val="24"/>
              </w:rPr>
            </w:pPr>
            <w:r w:rsidRPr="00B4417B">
              <w:rPr>
                <w:sz w:val="24"/>
                <w:szCs w:val="24"/>
              </w:rPr>
              <w:t>Hele indholdet af to 30 g´s tuber</w:t>
            </w:r>
          </w:p>
        </w:tc>
      </w:tr>
    </w:tbl>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 xml:space="preserve">Det område, der bliver </w:t>
      </w:r>
      <w:r w:rsidR="005B300D">
        <w:rPr>
          <w:sz w:val="24"/>
          <w:szCs w:val="24"/>
        </w:rPr>
        <w:t>behandlet</w:t>
      </w:r>
      <w:r w:rsidRPr="00B4417B">
        <w:rPr>
          <w:sz w:val="24"/>
          <w:szCs w:val="24"/>
        </w:rPr>
        <w:t xml:space="preserve"> må ikke overstige 400 cm</w:t>
      </w:r>
      <w:r w:rsidRPr="00B4417B">
        <w:rPr>
          <w:sz w:val="24"/>
          <w:szCs w:val="24"/>
          <w:vertAlign w:val="superscript"/>
        </w:rPr>
        <w:t>2</w:t>
      </w:r>
      <w:r w:rsidRPr="00B4417B">
        <w:rPr>
          <w:sz w:val="24"/>
          <w:szCs w:val="24"/>
        </w:rPr>
        <w:t>.</w:t>
      </w:r>
    </w:p>
    <w:p w:rsidR="00C96D91" w:rsidRPr="00B4417B" w:rsidRDefault="00C96D91" w:rsidP="00B4417B">
      <w:pPr>
        <w:ind w:left="851" w:hanging="851"/>
        <w:rPr>
          <w:sz w:val="24"/>
          <w:szCs w:val="24"/>
        </w:rPr>
      </w:pPr>
    </w:p>
    <w:p w:rsidR="00C96D91" w:rsidRPr="00B4417B" w:rsidRDefault="00C96D91" w:rsidP="00B4417B">
      <w:pPr>
        <w:ind w:left="851"/>
        <w:rPr>
          <w:i/>
          <w:sz w:val="24"/>
          <w:szCs w:val="24"/>
        </w:rPr>
      </w:pPr>
      <w:r w:rsidRPr="00B4417B">
        <w:rPr>
          <w:i/>
          <w:sz w:val="24"/>
          <w:szCs w:val="24"/>
        </w:rPr>
        <w:t>Nedsat lever-, nyre og hjertefunktion</w:t>
      </w:r>
    </w:p>
    <w:p w:rsidR="00C96D91" w:rsidRPr="00B4417B" w:rsidRDefault="00C96D91" w:rsidP="00B4417B">
      <w:pPr>
        <w:ind w:left="851"/>
        <w:rPr>
          <w:sz w:val="24"/>
          <w:szCs w:val="24"/>
        </w:rPr>
      </w:pPr>
      <w:r w:rsidRPr="00B4417B">
        <w:rPr>
          <w:sz w:val="24"/>
          <w:szCs w:val="24"/>
        </w:rPr>
        <w:t>Pliapel skal anvendes med forsigtighed hos patienter med nedsat lever-, nyre og hjertefunktion (se pkt. 4.4).</w:t>
      </w:r>
    </w:p>
    <w:p w:rsidR="00C96D91" w:rsidRPr="00B4417B" w:rsidRDefault="00C96D91" w:rsidP="00B4417B">
      <w:pPr>
        <w:ind w:left="851" w:hanging="851"/>
        <w:rPr>
          <w:i/>
          <w:sz w:val="24"/>
          <w:szCs w:val="24"/>
        </w:rPr>
      </w:pPr>
    </w:p>
    <w:p w:rsidR="00C96D91" w:rsidRPr="00B4417B" w:rsidRDefault="00C96D91" w:rsidP="00B4417B">
      <w:pPr>
        <w:ind w:left="851"/>
        <w:rPr>
          <w:sz w:val="24"/>
          <w:szCs w:val="24"/>
        </w:rPr>
      </w:pPr>
      <w:r w:rsidRPr="00B4417B">
        <w:rPr>
          <w:i/>
          <w:sz w:val="24"/>
          <w:szCs w:val="24"/>
        </w:rPr>
        <w:t>Pædiatrisk population</w:t>
      </w:r>
    </w:p>
    <w:p w:rsidR="00C96D91" w:rsidRPr="00B4417B" w:rsidRDefault="00C96D91" w:rsidP="00B4417B">
      <w:pPr>
        <w:ind w:left="851"/>
        <w:rPr>
          <w:sz w:val="24"/>
          <w:szCs w:val="24"/>
        </w:rPr>
      </w:pPr>
      <w:r w:rsidRPr="00B4417B">
        <w:rPr>
          <w:sz w:val="24"/>
          <w:szCs w:val="24"/>
        </w:rPr>
        <w:t xml:space="preserve">Pliapels sikkerhed og virkning hos børn og unge i alderen op til 18 år er ikke klarlagt. Derfor anbefales Pliapel ikke til børn og unge. </w:t>
      </w:r>
    </w:p>
    <w:p w:rsidR="00C96D91" w:rsidRPr="00B4417B" w:rsidRDefault="00C96D91" w:rsidP="00B4417B">
      <w:pPr>
        <w:ind w:left="851" w:hanging="851"/>
        <w:rPr>
          <w:sz w:val="24"/>
          <w:szCs w:val="24"/>
        </w:rPr>
      </w:pPr>
    </w:p>
    <w:p w:rsidR="00C96D91" w:rsidRPr="00B4417B" w:rsidRDefault="00C96D91" w:rsidP="00B4417B">
      <w:pPr>
        <w:ind w:left="851"/>
        <w:rPr>
          <w:sz w:val="24"/>
          <w:szCs w:val="24"/>
          <w:u w:val="single"/>
        </w:rPr>
      </w:pPr>
      <w:r w:rsidRPr="00B4417B">
        <w:rPr>
          <w:sz w:val="24"/>
          <w:szCs w:val="24"/>
          <w:u w:val="single"/>
        </w:rPr>
        <w:t>Administration</w:t>
      </w:r>
    </w:p>
    <w:p w:rsidR="00C96D91" w:rsidRPr="00B4417B" w:rsidRDefault="00C96D91" w:rsidP="00B4417B">
      <w:pPr>
        <w:ind w:left="851"/>
        <w:rPr>
          <w:sz w:val="24"/>
          <w:szCs w:val="24"/>
        </w:rPr>
      </w:pPr>
      <w:r w:rsidRPr="00B4417B">
        <w:rPr>
          <w:sz w:val="24"/>
          <w:szCs w:val="24"/>
        </w:rPr>
        <w:t xml:space="preserve">En tube Pliapel er kun beregnet til anvendelse </w:t>
      </w:r>
      <w:r w:rsidR="005B300D">
        <w:rPr>
          <w:sz w:val="24"/>
          <w:szCs w:val="24"/>
        </w:rPr>
        <w:t xml:space="preserve">til samme </w:t>
      </w:r>
      <w:r w:rsidRPr="00B4417B">
        <w:rPr>
          <w:sz w:val="24"/>
          <w:szCs w:val="24"/>
        </w:rPr>
        <w:t>patient.</w:t>
      </w:r>
    </w:p>
    <w:p w:rsidR="00C96D91" w:rsidRPr="00B4417B" w:rsidRDefault="00C96D91" w:rsidP="00B4417B">
      <w:pPr>
        <w:ind w:left="851"/>
        <w:rPr>
          <w:sz w:val="24"/>
          <w:szCs w:val="24"/>
        </w:rPr>
      </w:pPr>
      <w:r w:rsidRPr="00B4417B">
        <w:rPr>
          <w:sz w:val="24"/>
          <w:szCs w:val="24"/>
        </w:rPr>
        <w:t>Kun til kutan anvendelse</w:t>
      </w:r>
    </w:p>
    <w:p w:rsidR="00C96D91" w:rsidRPr="00B4417B" w:rsidRDefault="00C96D91" w:rsidP="00B4417B">
      <w:pPr>
        <w:ind w:left="851" w:hanging="851"/>
        <w:rPr>
          <w:sz w:val="24"/>
          <w:szCs w:val="24"/>
        </w:rPr>
      </w:pPr>
    </w:p>
    <w:p w:rsidR="00C96D91" w:rsidRPr="00B4417B" w:rsidRDefault="00C96D91" w:rsidP="00B4417B">
      <w:pPr>
        <w:ind w:left="851"/>
        <w:rPr>
          <w:i/>
          <w:sz w:val="24"/>
          <w:szCs w:val="24"/>
        </w:rPr>
      </w:pPr>
      <w:r w:rsidRPr="00B4417B">
        <w:rPr>
          <w:i/>
          <w:sz w:val="24"/>
          <w:szCs w:val="24"/>
        </w:rPr>
        <w:t>Sikkerhedsforanstaltninger, der skal tages før håndtering og administ</w:t>
      </w:r>
      <w:r w:rsidR="005B300D">
        <w:rPr>
          <w:i/>
          <w:sz w:val="24"/>
          <w:szCs w:val="24"/>
        </w:rPr>
        <w:t>r</w:t>
      </w:r>
      <w:r w:rsidRPr="00B4417B">
        <w:rPr>
          <w:i/>
          <w:sz w:val="24"/>
          <w:szCs w:val="24"/>
        </w:rPr>
        <w:t>ation af lægemidlet</w:t>
      </w:r>
    </w:p>
    <w:p w:rsidR="00C96D91" w:rsidRPr="00B4417B" w:rsidRDefault="00C96D91" w:rsidP="00B4417B">
      <w:pPr>
        <w:ind w:left="851"/>
        <w:rPr>
          <w:sz w:val="24"/>
          <w:szCs w:val="24"/>
        </w:rPr>
      </w:pPr>
      <w:r w:rsidRPr="00B4417B">
        <w:rPr>
          <w:sz w:val="24"/>
          <w:szCs w:val="24"/>
        </w:rPr>
        <w:t xml:space="preserve">I forbindelse med </w:t>
      </w:r>
      <w:r w:rsidR="005B300D">
        <w:rPr>
          <w:sz w:val="24"/>
          <w:szCs w:val="24"/>
        </w:rPr>
        <w:t>behandling</w:t>
      </w:r>
      <w:r w:rsidRPr="00B4417B">
        <w:rPr>
          <w:sz w:val="24"/>
          <w:szCs w:val="24"/>
        </w:rPr>
        <w:t xml:space="preserve"> i ansigtet, </w:t>
      </w:r>
      <w:r w:rsidR="005B300D">
        <w:rPr>
          <w:sz w:val="24"/>
          <w:szCs w:val="24"/>
        </w:rPr>
        <w:t>skal</w:t>
      </w:r>
      <w:r w:rsidRPr="00B4417B">
        <w:rPr>
          <w:sz w:val="24"/>
          <w:szCs w:val="24"/>
        </w:rPr>
        <w:t xml:space="preserve"> Pliapel påføres af sundhedspersonale. I forbindelse med </w:t>
      </w:r>
      <w:r w:rsidR="005B300D">
        <w:rPr>
          <w:sz w:val="24"/>
          <w:szCs w:val="24"/>
        </w:rPr>
        <w:t>behandling</w:t>
      </w:r>
      <w:r w:rsidRPr="00B4417B">
        <w:rPr>
          <w:sz w:val="24"/>
          <w:szCs w:val="24"/>
        </w:rPr>
        <w:t xml:space="preserve"> andre steder på kroppen, </w:t>
      </w:r>
      <w:r w:rsidR="005B300D">
        <w:rPr>
          <w:sz w:val="24"/>
          <w:szCs w:val="24"/>
        </w:rPr>
        <w:t>skal</w:t>
      </w:r>
      <w:r w:rsidRPr="00B4417B">
        <w:rPr>
          <w:sz w:val="24"/>
          <w:szCs w:val="24"/>
        </w:rPr>
        <w:t xml:space="preserve"> Pliapel påføres af sundhedspersonale eller af patienter, der er blevet tilstrækkeligt instrueret i en passende applikationsteknik. </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Patienter og sundhedspersonale anbefales at undgå direkte kontakt med cremen eller med huden, der er dækket med creme for at forebygge kontakttdermatitis.</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 xml:space="preserve">Pliapel bør aldrig </w:t>
      </w:r>
      <w:r w:rsidR="005B300D">
        <w:rPr>
          <w:sz w:val="24"/>
          <w:szCs w:val="24"/>
        </w:rPr>
        <w:t>påføres</w:t>
      </w:r>
      <w:r w:rsidRPr="00B4417B">
        <w:rPr>
          <w:sz w:val="24"/>
          <w:szCs w:val="24"/>
        </w:rPr>
        <w:t xml:space="preserve"> med fingrene. </w:t>
      </w:r>
    </w:p>
    <w:p w:rsidR="00C96D91" w:rsidRPr="00B4417B" w:rsidRDefault="00C96D91" w:rsidP="00B4417B">
      <w:pPr>
        <w:ind w:left="851"/>
        <w:rPr>
          <w:sz w:val="24"/>
          <w:szCs w:val="24"/>
        </w:rPr>
      </w:pPr>
      <w:r w:rsidRPr="00B4417B">
        <w:rPr>
          <w:sz w:val="24"/>
          <w:szCs w:val="24"/>
        </w:rPr>
        <w:t>Pliapel bør kun på</w:t>
      </w:r>
      <w:r w:rsidR="005B300D">
        <w:rPr>
          <w:sz w:val="24"/>
          <w:szCs w:val="24"/>
        </w:rPr>
        <w:t>føres</w:t>
      </w:r>
      <w:r w:rsidRPr="00B4417B">
        <w:rPr>
          <w:sz w:val="24"/>
          <w:szCs w:val="24"/>
        </w:rPr>
        <w:t xml:space="preserve"> med e</w:t>
      </w:r>
      <w:r w:rsidR="005B300D">
        <w:rPr>
          <w:sz w:val="24"/>
          <w:szCs w:val="24"/>
        </w:rPr>
        <w:t>t</w:t>
      </w:r>
      <w:r w:rsidRPr="00B4417B">
        <w:rPr>
          <w:sz w:val="24"/>
          <w:szCs w:val="24"/>
        </w:rPr>
        <w:t xml:space="preserve"> glat redskab såsom en spatel eller en tungespatel.</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 xml:space="preserve">Når hinden er fjernet, </w:t>
      </w:r>
      <w:r w:rsidR="005B300D">
        <w:rPr>
          <w:sz w:val="24"/>
          <w:szCs w:val="24"/>
        </w:rPr>
        <w:t>skal</w:t>
      </w:r>
      <w:r w:rsidRPr="00B4417B">
        <w:rPr>
          <w:sz w:val="24"/>
          <w:szCs w:val="24"/>
        </w:rPr>
        <w:t xml:space="preserve"> der straks vaskes hænder. </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For yderligere instruktioner om håndtering og bortskaffelse af lægemidlet, se pkt. 6.6.</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Kontraindikationer</w:t>
      </w:r>
    </w:p>
    <w:p w:rsidR="00BC09D7" w:rsidRDefault="00BC09D7" w:rsidP="00BC09D7">
      <w:pPr>
        <w:ind w:left="851"/>
        <w:rPr>
          <w:sz w:val="24"/>
          <w:szCs w:val="24"/>
        </w:rPr>
      </w:pPr>
      <w:r>
        <w:rPr>
          <w:sz w:val="24"/>
          <w:szCs w:val="24"/>
        </w:rPr>
        <w:t>Overfølsomhed over for lidocain, tetracain, andre bedøvende stoffer af amid- eller estertypen eller over for paraaminobenzoesyre (et velkendt sideprodukt i metaboliseringen af tetracain), metylparahydroxybenzoat (E218), propylparahydroxybenzoat (E216) eller over for et eller flere af hjælpestofferne anført i pkt. 6.1.</w:t>
      </w:r>
    </w:p>
    <w:p w:rsidR="005B300D" w:rsidRDefault="005B300D" w:rsidP="00B4417B">
      <w:pPr>
        <w:ind w:left="851"/>
        <w:rPr>
          <w:sz w:val="24"/>
          <w:szCs w:val="24"/>
        </w:rPr>
      </w:pPr>
    </w:p>
    <w:p w:rsidR="00C96D91" w:rsidRPr="00B4417B" w:rsidRDefault="00C96D91" w:rsidP="00B4417B">
      <w:pPr>
        <w:ind w:left="851"/>
        <w:rPr>
          <w:sz w:val="24"/>
          <w:szCs w:val="24"/>
        </w:rPr>
      </w:pPr>
      <w:r w:rsidRPr="00B4417B">
        <w:rPr>
          <w:sz w:val="24"/>
          <w:szCs w:val="24"/>
        </w:rPr>
        <w:t xml:space="preserve">Pliapel </w:t>
      </w:r>
      <w:r w:rsidR="005B300D">
        <w:rPr>
          <w:sz w:val="24"/>
          <w:szCs w:val="24"/>
        </w:rPr>
        <w:t>må</w:t>
      </w:r>
      <w:r w:rsidRPr="00B4417B">
        <w:rPr>
          <w:sz w:val="24"/>
          <w:szCs w:val="24"/>
        </w:rPr>
        <w:t xml:space="preserve"> ikke anvendes på slimhinder eller ødelagt eller irriteret hud.</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Særlige advarsler og forsigtighedsregler vedrørende brugen</w:t>
      </w:r>
    </w:p>
    <w:p w:rsidR="00C96D91" w:rsidRPr="00B4417B" w:rsidRDefault="00C96D91" w:rsidP="00B4417B">
      <w:pPr>
        <w:ind w:left="851"/>
        <w:rPr>
          <w:sz w:val="24"/>
          <w:szCs w:val="24"/>
        </w:rPr>
      </w:pPr>
      <w:r w:rsidRPr="00B4417B">
        <w:rPr>
          <w:sz w:val="24"/>
          <w:szCs w:val="24"/>
        </w:rPr>
        <w:t>Kontakt ned øjnene bør undgås. Der er observeret alvorlig irritation af hornhinderne i forsøg med dyr med lignende produkter. Pliapel bør anvendes med forsigtighed i øjenomgivelserne. Hvis Pliapel kommer i kontakt med øjet, bør øjet straks skylles med vand eller en natriumkloridopløsning, og øjet beskyttes, indtil der er normal følelse igen.</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Hvis der er en rest af hinden</w:t>
      </w:r>
      <w:r w:rsidR="005B300D">
        <w:rPr>
          <w:sz w:val="24"/>
          <w:szCs w:val="24"/>
        </w:rPr>
        <w:t xml:space="preserve"> på huden</w:t>
      </w:r>
      <w:r w:rsidRPr="00B4417B">
        <w:rPr>
          <w:sz w:val="24"/>
          <w:szCs w:val="24"/>
        </w:rPr>
        <w:t>, bør den forsigtigt fjernes med en kompres efter at Pliapel hinden er fjernet.</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Det behandlede område bør ikke okkluderes forud for, at Pliapel fjernes fra huden.</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Pliapel bør ikke anvendes i længere tid, end der er angivet i pkt. 4.2.</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Der kan forekomme sjældne allergiske eller anafylaktoide reaktioner i forbindelse med lidocain, tetracain eller andre ingredienser i Pliapel. Tetracain kan forbindes med en højere forekomst af sådanne reaktioner i forhold til lidocain. Se pkt. 4.8.</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Adskillige lokalanalgetika, herunder tetracain er blevet forbundet med methemoglobinæmi. Risikoen</w:t>
      </w:r>
      <w:r w:rsidR="00B4417B">
        <w:rPr>
          <w:sz w:val="24"/>
          <w:szCs w:val="24"/>
        </w:rPr>
        <w:t xml:space="preserve"> </w:t>
      </w:r>
      <w:r w:rsidRPr="00B4417B">
        <w:rPr>
          <w:sz w:val="24"/>
          <w:szCs w:val="24"/>
        </w:rPr>
        <w:t>for methemoglobinæmi er størst hos de patienter, der har en medfødt eller en idiopatisk</w:t>
      </w:r>
      <w:r w:rsidR="00B4417B">
        <w:rPr>
          <w:sz w:val="24"/>
          <w:szCs w:val="24"/>
        </w:rPr>
        <w:t xml:space="preserve"> </w:t>
      </w:r>
      <w:r w:rsidRPr="00B4417B">
        <w:rPr>
          <w:sz w:val="24"/>
          <w:szCs w:val="24"/>
        </w:rPr>
        <w:t>methemoglobinæmi.</w:t>
      </w:r>
    </w:p>
    <w:p w:rsidR="00C96D91" w:rsidRPr="00B4417B" w:rsidRDefault="00C96D91" w:rsidP="00B4417B">
      <w:pPr>
        <w:ind w:left="851" w:hanging="851"/>
        <w:rPr>
          <w:sz w:val="24"/>
          <w:szCs w:val="24"/>
        </w:rPr>
      </w:pPr>
    </w:p>
    <w:p w:rsidR="00C96D91" w:rsidRPr="00B4417B" w:rsidRDefault="00C96D91" w:rsidP="00B4417B">
      <w:pPr>
        <w:ind w:left="851"/>
        <w:rPr>
          <w:sz w:val="24"/>
          <w:szCs w:val="24"/>
        </w:rPr>
      </w:pPr>
      <w:r w:rsidRPr="00B4417B">
        <w:rPr>
          <w:sz w:val="24"/>
          <w:szCs w:val="24"/>
        </w:rPr>
        <w:t>Der er ikke rapporteret om tilfælde af methemoglobinæmi i de forsøg, der er lavet med Pliapel. Der bør dog alligevel udvises forsigtighed for at sikre at doser, applikationsområder og varigheden af</w:t>
      </w:r>
      <w:r w:rsidR="00B4417B">
        <w:rPr>
          <w:sz w:val="24"/>
          <w:szCs w:val="24"/>
        </w:rPr>
        <w:t xml:space="preserve"> </w:t>
      </w:r>
      <w:r w:rsidRPr="00B4417B">
        <w:rPr>
          <w:sz w:val="24"/>
          <w:szCs w:val="24"/>
        </w:rPr>
        <w:t xml:space="preserve">applikationen er i overensstemmelse med det, der er anbefalet for den tiltænkte population. </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Lidocain har vist sig at hæmme virus- og bakterievækst. Effekten af lidocain og tetracain creme i forbindelse med intradermale injektioner af levende vacciner er ikke undersøgt. Derfor anbefales det</w:t>
      </w:r>
      <w:r w:rsidR="00724EBE">
        <w:rPr>
          <w:sz w:val="24"/>
          <w:szCs w:val="24"/>
        </w:rPr>
        <w:t xml:space="preserve"> </w:t>
      </w:r>
      <w:r w:rsidRPr="00B4417B">
        <w:rPr>
          <w:sz w:val="24"/>
          <w:szCs w:val="24"/>
        </w:rPr>
        <w:t xml:space="preserve">ikke at bruge det forud for injektion af levende vacciner. </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Pliapel bør anvendes med forsigtighed til patienter med nedsat lever-, nyre- og hjertefunktion, samt</w:t>
      </w:r>
      <w:r w:rsidR="00724EBE">
        <w:rPr>
          <w:sz w:val="24"/>
          <w:szCs w:val="24"/>
        </w:rPr>
        <w:t xml:space="preserve"> </w:t>
      </w:r>
      <w:r w:rsidRPr="00B4417B">
        <w:rPr>
          <w:sz w:val="24"/>
          <w:szCs w:val="24"/>
        </w:rPr>
        <w:t>til patienter med forøget følsomhed over for lidocains og tetracains systemiske effekter, såsom ved akut sygdom eller afkræftet tilstand.</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Patienter skal være opmærksomme på at undgå utilsigtede traumer af huden (ved at kradse, gnide eller ved at udsætte for ekstreme temperaturer), imens de er under lokalbedøvende virkninger af Pliapel.</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Pliapel indeholder metylparahydroxybenzoat (E218) og propylparahydroxybenzoat (E216), der kan give allergiske reaktioner (muligvis forsinkede).</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Interaktion med andre lægemidler og andre former for interaktion</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Der er ikke udført interaktionsstudier.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 xml:space="preserve">Der bør tages hensyn til risikoen for yderligere systemisk toksicitet, når Pliapel gives til patienter, der får </w:t>
      </w:r>
      <w:r w:rsidR="005B300D">
        <w:rPr>
          <w:sz w:val="24"/>
          <w:szCs w:val="24"/>
        </w:rPr>
        <w:t>k</w:t>
      </w:r>
      <w:r w:rsidRPr="00B4417B">
        <w:rPr>
          <w:sz w:val="24"/>
          <w:szCs w:val="24"/>
        </w:rPr>
        <w:t xml:space="preserve">lasse I antiarytmiske lægemidler (såsom kinidin, disopyramid, tocainid </w:t>
      </w:r>
      <w:r w:rsidRPr="00B4417B">
        <w:rPr>
          <w:sz w:val="24"/>
          <w:szCs w:val="24"/>
        </w:rPr>
        <w:lastRenderedPageBreak/>
        <w:t xml:space="preserve">og mexiletin) og </w:t>
      </w:r>
      <w:r w:rsidR="005B300D">
        <w:rPr>
          <w:sz w:val="24"/>
          <w:szCs w:val="24"/>
        </w:rPr>
        <w:t>k</w:t>
      </w:r>
      <w:r w:rsidRPr="00B4417B">
        <w:rPr>
          <w:sz w:val="24"/>
          <w:szCs w:val="24"/>
        </w:rPr>
        <w:t>lasse III antiarytmiske lægemidler (f.eks. amiodaron) eller andre produkter, der indeholder lokalbedøvende midler. Interaktioner efter korrekt brug af Pliapel er usandsynlig, idet kun en lav koncentration af lidocain og tetracain er fundet i plasma efter topikal administration af Pliapel i de anbefalede doser (se pkt. 5.2.).</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Patienter, der får lægemidler, der er forbundet med lægemiddelinduceret methemoglobinæmi som f.eks. fonamider, naphthalen, nitrater og nitriter, nitrofurantoin, nitroglycerin, nitroprussid, pamaquin og kinin er i en højere risiko for at udvikle methemoglobinæmi.</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Hvis Pliapel bliver brugt samtidig med andre produkter, der indeholder lidocain og/eller tetracain skal den samlede dosis fra alle formuleringer overvejes.</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Graviditet og amning</w:t>
      </w:r>
    </w:p>
    <w:p w:rsidR="00C96D91" w:rsidRPr="00B4417B" w:rsidRDefault="00790EE7" w:rsidP="006C2B08">
      <w:pPr>
        <w:ind w:left="851" w:hanging="851"/>
        <w:rPr>
          <w:sz w:val="24"/>
          <w:szCs w:val="24"/>
          <w:u w:val="single"/>
        </w:rPr>
      </w:pPr>
      <w:r w:rsidRPr="00B4417B">
        <w:rPr>
          <w:sz w:val="24"/>
          <w:szCs w:val="24"/>
        </w:rPr>
        <w:tab/>
      </w:r>
      <w:r w:rsidR="00C96D91" w:rsidRPr="00B4417B">
        <w:rPr>
          <w:sz w:val="24"/>
          <w:szCs w:val="24"/>
          <w:u w:val="single"/>
        </w:rPr>
        <w:t>Graviditet</w:t>
      </w:r>
    </w:p>
    <w:p w:rsidR="00C96D91" w:rsidRPr="00B4417B" w:rsidRDefault="00C96D91" w:rsidP="00724EBE">
      <w:pPr>
        <w:ind w:left="851"/>
        <w:rPr>
          <w:sz w:val="24"/>
          <w:szCs w:val="24"/>
        </w:rPr>
      </w:pPr>
      <w:r w:rsidRPr="00B4417B">
        <w:rPr>
          <w:sz w:val="24"/>
          <w:szCs w:val="24"/>
        </w:rPr>
        <w:t>Der er ingen eller utilst</w:t>
      </w:r>
      <w:r w:rsidR="00724EBE">
        <w:rPr>
          <w:sz w:val="24"/>
          <w:szCs w:val="24"/>
        </w:rPr>
        <w:t>r</w:t>
      </w:r>
      <w:r w:rsidRPr="00B4417B">
        <w:rPr>
          <w:sz w:val="24"/>
          <w:szCs w:val="24"/>
        </w:rPr>
        <w:t>ækkelige data fra anvendelse af Pliapel til gravide kvinder. Dyreforsøg indikerer hverken direkte eller indirekte skadelige virkninger af tetracain, hvad angår reproduktionstoksicitet. Data fra dyreforsøg er utilst</w:t>
      </w:r>
      <w:r w:rsidR="00724EBE">
        <w:rPr>
          <w:sz w:val="24"/>
          <w:szCs w:val="24"/>
        </w:rPr>
        <w:t>r</w:t>
      </w:r>
      <w:r w:rsidRPr="00B4417B">
        <w:rPr>
          <w:sz w:val="24"/>
          <w:szCs w:val="24"/>
        </w:rPr>
        <w:t>ækkelige for lidocain hvad angår reproduktionstoksicitet (se pkt. 5.3). Der bør udvises forsigtighed ved brug hos kvinder, der er gravide.</w:t>
      </w:r>
    </w:p>
    <w:p w:rsidR="00C96D91" w:rsidRPr="00B4417B" w:rsidRDefault="00C96D91" w:rsidP="00B4417B">
      <w:pPr>
        <w:ind w:left="851" w:hanging="851"/>
        <w:rPr>
          <w:sz w:val="24"/>
          <w:szCs w:val="24"/>
        </w:rPr>
      </w:pPr>
    </w:p>
    <w:p w:rsidR="00C96D91" w:rsidRPr="00B4417B" w:rsidRDefault="00C96D91" w:rsidP="00724EBE">
      <w:pPr>
        <w:ind w:left="851"/>
        <w:rPr>
          <w:sz w:val="24"/>
          <w:szCs w:val="24"/>
          <w:u w:val="single"/>
        </w:rPr>
      </w:pPr>
      <w:r w:rsidRPr="00B4417B">
        <w:rPr>
          <w:sz w:val="24"/>
          <w:szCs w:val="24"/>
          <w:u w:val="single"/>
        </w:rPr>
        <w:t>Amning</w:t>
      </w:r>
    </w:p>
    <w:p w:rsidR="00C96D91" w:rsidRPr="00B4417B" w:rsidRDefault="00C96D91" w:rsidP="00724EBE">
      <w:pPr>
        <w:ind w:left="851"/>
        <w:rPr>
          <w:sz w:val="24"/>
          <w:szCs w:val="24"/>
        </w:rPr>
      </w:pPr>
      <w:r w:rsidRPr="00B4417B">
        <w:rPr>
          <w:sz w:val="24"/>
          <w:szCs w:val="24"/>
        </w:rPr>
        <w:t xml:space="preserve">Lidocain og tetracain udskilles i modermælk. Når den anbefalede dosis af Pliapel anvendes, forventes der kun en lille effekt på nyfødte/spædbørn, der bliver ammet. </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 xml:space="preserve">Amning kan derfor fortsættes under behandling med Pliapel, </w:t>
      </w:r>
      <w:r w:rsidR="005B300D" w:rsidRPr="00B4417B">
        <w:rPr>
          <w:sz w:val="24"/>
          <w:szCs w:val="24"/>
        </w:rPr>
        <w:t>så længe</w:t>
      </w:r>
      <w:r w:rsidRPr="00B4417B">
        <w:rPr>
          <w:sz w:val="24"/>
          <w:szCs w:val="24"/>
        </w:rPr>
        <w:t xml:space="preserve"> Pliapel ikke bliver </w:t>
      </w:r>
      <w:r w:rsidR="005B300D">
        <w:rPr>
          <w:sz w:val="24"/>
          <w:szCs w:val="24"/>
        </w:rPr>
        <w:t>påført</w:t>
      </w:r>
      <w:r w:rsidRPr="00B4417B">
        <w:rPr>
          <w:sz w:val="24"/>
          <w:szCs w:val="24"/>
        </w:rPr>
        <w:t xml:space="preserve"> på brystet.</w:t>
      </w:r>
    </w:p>
    <w:p w:rsidR="00C96D91" w:rsidRPr="00B4417B" w:rsidRDefault="00C96D91" w:rsidP="00B4417B">
      <w:pPr>
        <w:ind w:left="851" w:hanging="851"/>
        <w:rPr>
          <w:sz w:val="24"/>
          <w:szCs w:val="24"/>
        </w:rPr>
      </w:pPr>
    </w:p>
    <w:p w:rsidR="00C96D91" w:rsidRPr="00B4417B" w:rsidRDefault="00C96D91" w:rsidP="00724EBE">
      <w:pPr>
        <w:ind w:left="851"/>
        <w:rPr>
          <w:sz w:val="24"/>
          <w:szCs w:val="24"/>
          <w:u w:val="single"/>
        </w:rPr>
      </w:pPr>
      <w:r w:rsidRPr="00B4417B">
        <w:rPr>
          <w:sz w:val="24"/>
          <w:szCs w:val="24"/>
          <w:u w:val="single"/>
        </w:rPr>
        <w:t>Fertilitet</w:t>
      </w:r>
    </w:p>
    <w:p w:rsidR="00C96D91" w:rsidRPr="00B4417B" w:rsidRDefault="00C96D91" w:rsidP="00724EBE">
      <w:pPr>
        <w:ind w:left="851"/>
        <w:rPr>
          <w:sz w:val="24"/>
          <w:szCs w:val="24"/>
        </w:rPr>
      </w:pPr>
      <w:r w:rsidRPr="00B4417B">
        <w:rPr>
          <w:sz w:val="24"/>
          <w:szCs w:val="24"/>
        </w:rPr>
        <w:t>Der er ingen fertilitetsdata fra anvendelse af lidocain og tetracain i mennesker.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Lidocain og tetracain har ikke vist nogen påvirkning af fertiliteten i dyreforsøg.</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Virkninger på evnen til at føre motorkøretøj eller betjene maskiner</w:t>
      </w:r>
    </w:p>
    <w:p w:rsidR="00C96D91" w:rsidRPr="00B4417B" w:rsidRDefault="00724EBE" w:rsidP="00724EBE">
      <w:pPr>
        <w:ind w:left="1702" w:hanging="851"/>
        <w:rPr>
          <w:sz w:val="24"/>
          <w:szCs w:val="24"/>
        </w:rPr>
      </w:pPr>
      <w:r>
        <w:rPr>
          <w:sz w:val="24"/>
          <w:szCs w:val="24"/>
        </w:rPr>
        <w:t>Ikke mærkning.</w:t>
      </w:r>
    </w:p>
    <w:p w:rsidR="00C96D91" w:rsidRPr="00B4417B" w:rsidRDefault="00C96D91" w:rsidP="00724EBE">
      <w:pPr>
        <w:ind w:left="851"/>
        <w:rPr>
          <w:sz w:val="24"/>
          <w:szCs w:val="24"/>
        </w:rPr>
      </w:pPr>
      <w:r w:rsidRPr="00B4417B">
        <w:rPr>
          <w:sz w:val="24"/>
          <w:szCs w:val="24"/>
        </w:rPr>
        <w:t>Der er ikke lavet forsøg på Pliapel</w:t>
      </w:r>
      <w:r w:rsidR="00724EBE">
        <w:rPr>
          <w:sz w:val="24"/>
          <w:szCs w:val="24"/>
        </w:rPr>
        <w:t>s</w:t>
      </w:r>
      <w:r w:rsidRPr="00B4417B">
        <w:rPr>
          <w:sz w:val="24"/>
          <w:szCs w:val="24"/>
        </w:rPr>
        <w:t xml:space="preserve"> evne til at føre motorkøretøj eller betjene maskiner.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Pliapel påvirker ikke eller kun i ubetydelig grad evnen til at føre motorkøretøj eller betjene maskiner.</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Bivirkninger</w:t>
      </w:r>
    </w:p>
    <w:p w:rsidR="00C96D91" w:rsidRPr="00B4417B" w:rsidRDefault="00C96D91" w:rsidP="00724EBE">
      <w:pPr>
        <w:ind w:left="851"/>
        <w:rPr>
          <w:sz w:val="24"/>
          <w:szCs w:val="24"/>
        </w:rPr>
      </w:pPr>
      <w:r w:rsidRPr="00B4417B">
        <w:rPr>
          <w:sz w:val="24"/>
          <w:szCs w:val="24"/>
        </w:rPr>
        <w:t>Lokale hudreaktioner på applikationsstedet var meget almindelige hændelser i kliniske forsøg med Pliapel, men de var normalt milde og forbigående. De uønskede hændelser der er angivet nedenfor, omfatter både behandlingsrelaterede hændelser og rødmen, hudødem og misfarvning af huden, der er vurderet ved hjælp af skaler, der vurderer hudreaktioner. De bivirkninger, der var på applikationsstedet, og som forekom hos mere end 10 % af patienterne var rødme og misfarvning af huden. Hudødem var en almindelig bivirkning. Alle andre bivirkninger forekom hos mindre end 1 % af patienterne.</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lastRenderedPageBreak/>
        <w:t>De bivirkninger, der er angivet i tabellen nedenfor er klassificeret i henhold til Organklassificering, og der anvendes de følgende konventioner: meget almindelig (≥ 1/10), almindelig (≥ 1/100 til &lt; 1/10), ikke almindelig (≥ 1/1.000 til &lt; 1/100), sjælden (≥ 1/10.000 til &lt; 1/1.000), meget sjælden (&lt; 1/10.000), ikke kendt (kan ikke estimeres ud fra forhåndenværende data). De fleste af de bivirkninger, der er nævnt i tabellen nedenfor, skete på det sted, hvor cremen var blevet appliceret.</w:t>
      </w:r>
    </w:p>
    <w:p w:rsidR="00C96D91" w:rsidRPr="00B4417B" w:rsidRDefault="00C96D91" w:rsidP="00B4417B">
      <w:pPr>
        <w:ind w:left="851" w:hanging="851"/>
        <w:rPr>
          <w:sz w:val="24"/>
          <w:szCs w:val="24"/>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28" w:type="dxa"/>
          <w:left w:w="57" w:type="dxa"/>
          <w:bottom w:w="28" w:type="dxa"/>
          <w:right w:w="57" w:type="dxa"/>
        </w:tblCellMar>
        <w:tblLook w:val="04A0" w:firstRow="1" w:lastRow="0" w:firstColumn="1" w:lastColumn="0" w:noHBand="0" w:noVBand="1"/>
      </w:tblPr>
      <w:tblGrid>
        <w:gridCol w:w="2204"/>
        <w:gridCol w:w="1318"/>
        <w:gridCol w:w="1222"/>
        <w:gridCol w:w="1330"/>
        <w:gridCol w:w="1605"/>
        <w:gridCol w:w="1929"/>
      </w:tblGrid>
      <w:tr w:rsidR="00C96D91" w:rsidRPr="00B4417B" w:rsidTr="00724EBE">
        <w:trPr>
          <w:trHeight w:val="443"/>
        </w:trPr>
        <w:tc>
          <w:tcPr>
            <w:tcW w:w="1147" w:type="pct"/>
            <w:vMerge w:val="restart"/>
            <w:tcBorders>
              <w:top w:val="single" w:sz="12" w:space="0" w:color="000000"/>
              <w:left w:val="single" w:sz="12" w:space="0" w:color="000000"/>
              <w:bottom w:val="single" w:sz="6" w:space="0" w:color="000000"/>
              <w:right w:val="single" w:sz="6" w:space="0" w:color="000000"/>
            </w:tcBorders>
            <w:hideMark/>
          </w:tcPr>
          <w:p w:rsidR="00C96D91" w:rsidRPr="00B4417B" w:rsidRDefault="00C96D91" w:rsidP="00724EBE">
            <w:pPr>
              <w:rPr>
                <w:b/>
                <w:sz w:val="24"/>
                <w:szCs w:val="24"/>
              </w:rPr>
            </w:pPr>
            <w:r w:rsidRPr="00B4417B">
              <w:rPr>
                <w:b/>
                <w:sz w:val="24"/>
                <w:szCs w:val="24"/>
              </w:rPr>
              <w:t>Organklassificering</w:t>
            </w:r>
          </w:p>
        </w:tc>
        <w:tc>
          <w:tcPr>
            <w:tcW w:w="3853" w:type="pct"/>
            <w:gridSpan w:val="5"/>
            <w:tcBorders>
              <w:top w:val="single" w:sz="12" w:space="0" w:color="000000"/>
              <w:left w:val="single" w:sz="6" w:space="0" w:color="000000"/>
              <w:bottom w:val="single" w:sz="6" w:space="0" w:color="000000"/>
              <w:right w:val="single" w:sz="12" w:space="0" w:color="000000"/>
            </w:tcBorders>
            <w:hideMark/>
          </w:tcPr>
          <w:p w:rsidR="00C96D91" w:rsidRPr="00B4417B" w:rsidRDefault="00C96D91" w:rsidP="00724EBE">
            <w:pPr>
              <w:ind w:hanging="13"/>
              <w:rPr>
                <w:b/>
                <w:sz w:val="24"/>
                <w:szCs w:val="24"/>
              </w:rPr>
            </w:pPr>
            <w:r w:rsidRPr="00B4417B">
              <w:rPr>
                <w:b/>
                <w:bCs/>
                <w:sz w:val="24"/>
                <w:szCs w:val="24"/>
              </w:rPr>
              <w:t xml:space="preserve">Bivirkninger, herunder lokale tegn på tolerance </w:t>
            </w:r>
          </w:p>
        </w:tc>
      </w:tr>
      <w:tr w:rsidR="00C96D91" w:rsidRPr="00B4417B" w:rsidTr="00724EBE">
        <w:tc>
          <w:tcPr>
            <w:tcW w:w="1147" w:type="pct"/>
            <w:vMerge/>
            <w:tcBorders>
              <w:top w:val="single" w:sz="12" w:space="0" w:color="000000"/>
              <w:left w:val="single" w:sz="12" w:space="0" w:color="000000"/>
              <w:bottom w:val="single" w:sz="6" w:space="0" w:color="000000"/>
              <w:right w:val="single" w:sz="6" w:space="0" w:color="000000"/>
            </w:tcBorders>
            <w:vAlign w:val="center"/>
            <w:hideMark/>
          </w:tcPr>
          <w:p w:rsidR="00C96D91" w:rsidRPr="00B4417B" w:rsidRDefault="00C96D91" w:rsidP="00724EBE">
            <w:pPr>
              <w:rPr>
                <w:b/>
                <w:sz w:val="24"/>
                <w:szCs w:val="24"/>
              </w:rPr>
            </w:pPr>
          </w:p>
        </w:tc>
        <w:tc>
          <w:tcPr>
            <w:tcW w:w="686"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Meget almindelig (≥1/10)</w:t>
            </w:r>
          </w:p>
        </w:tc>
        <w:tc>
          <w:tcPr>
            <w:tcW w:w="636"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Almindelig (≥1/100 til &lt;1/10)</w:t>
            </w:r>
          </w:p>
        </w:tc>
        <w:tc>
          <w:tcPr>
            <w:tcW w:w="692"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Ikke almindelig (≥1/1.000 til &lt;1/100)</w:t>
            </w:r>
          </w:p>
        </w:tc>
        <w:tc>
          <w:tcPr>
            <w:tcW w:w="835"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Sjælden (≥1/10.000 til &lt;1/1.000)</w:t>
            </w:r>
          </w:p>
        </w:tc>
        <w:tc>
          <w:tcPr>
            <w:tcW w:w="1005"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724EBE">
            <w:pPr>
              <w:ind w:hanging="13"/>
              <w:rPr>
                <w:sz w:val="24"/>
                <w:szCs w:val="24"/>
              </w:rPr>
            </w:pPr>
            <w:r w:rsidRPr="00B4417B">
              <w:rPr>
                <w:sz w:val="24"/>
                <w:szCs w:val="24"/>
              </w:rPr>
              <w:t>Ikke kendt (kan ikke estimeres ud fra forhåndenværende data)</w:t>
            </w:r>
          </w:p>
        </w:tc>
      </w:tr>
      <w:tr w:rsidR="00C96D91" w:rsidRPr="00B4417B" w:rsidTr="00724EBE">
        <w:tc>
          <w:tcPr>
            <w:tcW w:w="1147"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724EBE">
            <w:pPr>
              <w:rPr>
                <w:sz w:val="24"/>
                <w:szCs w:val="24"/>
              </w:rPr>
            </w:pPr>
            <w:r w:rsidRPr="00B4417B">
              <w:rPr>
                <w:sz w:val="24"/>
                <w:szCs w:val="24"/>
              </w:rPr>
              <w:t>Nervesystemet</w:t>
            </w:r>
          </w:p>
        </w:tc>
        <w:tc>
          <w:tcPr>
            <w:tcW w:w="686"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636"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692"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835"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Paræstesi</w:t>
            </w:r>
          </w:p>
        </w:tc>
        <w:tc>
          <w:tcPr>
            <w:tcW w:w="1005" w:type="pct"/>
            <w:tcBorders>
              <w:top w:val="single" w:sz="6" w:space="0" w:color="000000"/>
              <w:left w:val="single" w:sz="6" w:space="0" w:color="000000"/>
              <w:bottom w:val="single" w:sz="6" w:space="0" w:color="000000"/>
              <w:right w:val="single" w:sz="12" w:space="0" w:color="000000"/>
            </w:tcBorders>
          </w:tcPr>
          <w:p w:rsidR="00C96D91" w:rsidRPr="00B4417B" w:rsidRDefault="00C96D91" w:rsidP="00724EBE">
            <w:pPr>
              <w:ind w:hanging="13"/>
              <w:rPr>
                <w:sz w:val="24"/>
                <w:szCs w:val="24"/>
              </w:rPr>
            </w:pPr>
          </w:p>
        </w:tc>
      </w:tr>
      <w:tr w:rsidR="00C96D91" w:rsidRPr="00B4417B" w:rsidTr="00724EBE">
        <w:tc>
          <w:tcPr>
            <w:tcW w:w="1147"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724EBE">
            <w:pPr>
              <w:rPr>
                <w:sz w:val="24"/>
                <w:szCs w:val="24"/>
              </w:rPr>
            </w:pPr>
            <w:r w:rsidRPr="00B4417B">
              <w:rPr>
                <w:sz w:val="24"/>
                <w:szCs w:val="24"/>
              </w:rPr>
              <w:t>Øjne</w:t>
            </w:r>
          </w:p>
        </w:tc>
        <w:tc>
          <w:tcPr>
            <w:tcW w:w="686"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636"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692" w:type="pct"/>
            <w:tcBorders>
              <w:top w:val="single" w:sz="6" w:space="0" w:color="000000"/>
              <w:left w:val="single" w:sz="6" w:space="0" w:color="000000"/>
              <w:bottom w:val="single" w:sz="6" w:space="0" w:color="000000"/>
              <w:right w:val="single" w:sz="6" w:space="0" w:color="000000"/>
            </w:tcBorders>
          </w:tcPr>
          <w:p w:rsidR="00C96D91" w:rsidRPr="00B4417B" w:rsidRDefault="00C96D91" w:rsidP="00724EBE">
            <w:pPr>
              <w:ind w:hanging="13"/>
              <w:rPr>
                <w:sz w:val="24"/>
                <w:szCs w:val="24"/>
              </w:rPr>
            </w:pPr>
          </w:p>
        </w:tc>
        <w:tc>
          <w:tcPr>
            <w:tcW w:w="835"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Ødem i øjenlåg</w:t>
            </w:r>
          </w:p>
        </w:tc>
        <w:tc>
          <w:tcPr>
            <w:tcW w:w="1005" w:type="pct"/>
            <w:tcBorders>
              <w:top w:val="single" w:sz="6" w:space="0" w:color="000000"/>
              <w:left w:val="single" w:sz="6" w:space="0" w:color="000000"/>
              <w:bottom w:val="single" w:sz="6" w:space="0" w:color="000000"/>
              <w:right w:val="single" w:sz="12" w:space="0" w:color="000000"/>
            </w:tcBorders>
          </w:tcPr>
          <w:p w:rsidR="00C96D91" w:rsidRPr="00B4417B" w:rsidRDefault="00C96D91" w:rsidP="00724EBE">
            <w:pPr>
              <w:ind w:hanging="13"/>
              <w:rPr>
                <w:sz w:val="24"/>
                <w:szCs w:val="24"/>
              </w:rPr>
            </w:pPr>
          </w:p>
        </w:tc>
      </w:tr>
      <w:tr w:rsidR="00C96D91" w:rsidRPr="00B4417B" w:rsidTr="00724EBE">
        <w:tc>
          <w:tcPr>
            <w:tcW w:w="1147" w:type="pct"/>
            <w:tcBorders>
              <w:top w:val="single" w:sz="6" w:space="0" w:color="000000"/>
              <w:left w:val="single" w:sz="12" w:space="0" w:color="000000"/>
              <w:bottom w:val="single" w:sz="6" w:space="0" w:color="000000"/>
              <w:right w:val="single" w:sz="6" w:space="0" w:color="000000"/>
            </w:tcBorders>
            <w:hideMark/>
          </w:tcPr>
          <w:p w:rsidR="00C96D91" w:rsidRPr="00B4417B" w:rsidRDefault="00C96D91" w:rsidP="00724EBE">
            <w:pPr>
              <w:rPr>
                <w:sz w:val="24"/>
                <w:szCs w:val="24"/>
              </w:rPr>
            </w:pPr>
            <w:r w:rsidRPr="00B4417B">
              <w:rPr>
                <w:sz w:val="24"/>
                <w:szCs w:val="24"/>
              </w:rPr>
              <w:t>Hud og subkutane væv</w:t>
            </w:r>
          </w:p>
        </w:tc>
        <w:tc>
          <w:tcPr>
            <w:tcW w:w="686"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Rødmen</w:t>
            </w:r>
          </w:p>
          <w:p w:rsidR="00C96D91" w:rsidRPr="00B4417B" w:rsidRDefault="00C96D91" w:rsidP="00724EBE">
            <w:pPr>
              <w:ind w:hanging="13"/>
              <w:rPr>
                <w:sz w:val="24"/>
                <w:szCs w:val="24"/>
              </w:rPr>
            </w:pPr>
            <w:r w:rsidRPr="00B4417B">
              <w:rPr>
                <w:sz w:val="24"/>
                <w:szCs w:val="24"/>
              </w:rPr>
              <w:t>Misfarvning af hud</w:t>
            </w:r>
          </w:p>
        </w:tc>
        <w:tc>
          <w:tcPr>
            <w:tcW w:w="636"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Hudødem</w:t>
            </w:r>
          </w:p>
        </w:tc>
        <w:tc>
          <w:tcPr>
            <w:tcW w:w="692"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Pruritus</w:t>
            </w:r>
          </w:p>
          <w:p w:rsidR="00C96D91" w:rsidRPr="00B4417B" w:rsidRDefault="00C96D91" w:rsidP="00724EBE">
            <w:pPr>
              <w:ind w:hanging="13"/>
              <w:rPr>
                <w:sz w:val="24"/>
                <w:szCs w:val="24"/>
              </w:rPr>
            </w:pPr>
            <w:r w:rsidRPr="00B4417B">
              <w:rPr>
                <w:sz w:val="24"/>
                <w:szCs w:val="24"/>
              </w:rPr>
              <w:t>Hudsmerte</w:t>
            </w:r>
          </w:p>
        </w:tc>
        <w:tc>
          <w:tcPr>
            <w:tcW w:w="835" w:type="pct"/>
            <w:tcBorders>
              <w:top w:val="single" w:sz="6" w:space="0" w:color="000000"/>
              <w:left w:val="single" w:sz="6" w:space="0" w:color="000000"/>
              <w:bottom w:val="single" w:sz="6"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Bleghed</w:t>
            </w:r>
          </w:p>
          <w:p w:rsidR="00C96D91" w:rsidRPr="00B4417B" w:rsidRDefault="00C96D91" w:rsidP="00724EBE">
            <w:pPr>
              <w:ind w:hanging="13"/>
              <w:rPr>
                <w:sz w:val="24"/>
                <w:szCs w:val="24"/>
              </w:rPr>
            </w:pPr>
            <w:r w:rsidRPr="00B4417B">
              <w:rPr>
                <w:sz w:val="24"/>
                <w:szCs w:val="24"/>
              </w:rPr>
              <w:t>Brændende fornemmelse i huden</w:t>
            </w:r>
          </w:p>
          <w:p w:rsidR="00C96D91" w:rsidRPr="00B4417B" w:rsidRDefault="00C96D91" w:rsidP="00724EBE">
            <w:pPr>
              <w:ind w:hanging="13"/>
              <w:rPr>
                <w:sz w:val="24"/>
                <w:szCs w:val="24"/>
              </w:rPr>
            </w:pPr>
            <w:r w:rsidRPr="00B4417B">
              <w:rPr>
                <w:sz w:val="24"/>
                <w:szCs w:val="24"/>
              </w:rPr>
              <w:t>Hævelse af ansigt</w:t>
            </w:r>
          </w:p>
          <w:p w:rsidR="00C96D91" w:rsidRPr="00B4417B" w:rsidRDefault="00C96D91" w:rsidP="00724EBE">
            <w:pPr>
              <w:ind w:hanging="13"/>
              <w:rPr>
                <w:sz w:val="24"/>
                <w:szCs w:val="24"/>
              </w:rPr>
            </w:pPr>
            <w:r w:rsidRPr="00B4417B">
              <w:rPr>
                <w:sz w:val="24"/>
                <w:szCs w:val="24"/>
              </w:rPr>
              <w:t>Hudexfoliering</w:t>
            </w:r>
          </w:p>
          <w:p w:rsidR="00C96D91" w:rsidRPr="00B4417B" w:rsidRDefault="00C96D91" w:rsidP="00724EBE">
            <w:pPr>
              <w:ind w:hanging="13"/>
              <w:rPr>
                <w:sz w:val="24"/>
                <w:szCs w:val="24"/>
              </w:rPr>
            </w:pPr>
            <w:r w:rsidRPr="00B4417B">
              <w:rPr>
                <w:sz w:val="24"/>
                <w:szCs w:val="24"/>
              </w:rPr>
              <w:t>Hudirritation</w:t>
            </w:r>
          </w:p>
        </w:tc>
        <w:tc>
          <w:tcPr>
            <w:tcW w:w="1005" w:type="pct"/>
            <w:tcBorders>
              <w:top w:val="single" w:sz="6" w:space="0" w:color="000000"/>
              <w:left w:val="single" w:sz="6" w:space="0" w:color="000000"/>
              <w:bottom w:val="single" w:sz="6" w:space="0" w:color="000000"/>
              <w:right w:val="single" w:sz="12" w:space="0" w:color="000000"/>
            </w:tcBorders>
            <w:hideMark/>
          </w:tcPr>
          <w:p w:rsidR="00C96D91" w:rsidRPr="00B4417B" w:rsidRDefault="00C96D91" w:rsidP="00724EBE">
            <w:pPr>
              <w:ind w:hanging="13"/>
              <w:rPr>
                <w:sz w:val="24"/>
                <w:szCs w:val="24"/>
              </w:rPr>
            </w:pPr>
            <w:r w:rsidRPr="00B4417B">
              <w:rPr>
                <w:sz w:val="24"/>
                <w:szCs w:val="24"/>
              </w:rPr>
              <w:t>Urticaria</w:t>
            </w:r>
          </w:p>
        </w:tc>
      </w:tr>
      <w:tr w:rsidR="00C96D91" w:rsidRPr="00B4417B" w:rsidTr="00724EBE">
        <w:tc>
          <w:tcPr>
            <w:tcW w:w="1147" w:type="pct"/>
            <w:tcBorders>
              <w:top w:val="single" w:sz="6" w:space="0" w:color="000000"/>
              <w:left w:val="single" w:sz="12" w:space="0" w:color="000000"/>
              <w:bottom w:val="single" w:sz="12" w:space="0" w:color="000000"/>
              <w:right w:val="single" w:sz="6" w:space="0" w:color="000000"/>
            </w:tcBorders>
            <w:hideMark/>
          </w:tcPr>
          <w:p w:rsidR="00C96D91" w:rsidRPr="00B4417B" w:rsidRDefault="00C96D91" w:rsidP="00724EBE">
            <w:pPr>
              <w:rPr>
                <w:sz w:val="24"/>
                <w:szCs w:val="24"/>
              </w:rPr>
            </w:pPr>
            <w:r w:rsidRPr="00B4417B">
              <w:rPr>
                <w:sz w:val="24"/>
                <w:szCs w:val="24"/>
              </w:rPr>
              <w:t>Almene symptomer og reaktioner på administrationsstedet</w:t>
            </w:r>
          </w:p>
        </w:tc>
        <w:tc>
          <w:tcPr>
            <w:tcW w:w="686" w:type="pct"/>
            <w:tcBorders>
              <w:top w:val="single" w:sz="6" w:space="0" w:color="000000"/>
              <w:left w:val="single" w:sz="6" w:space="0" w:color="000000"/>
              <w:bottom w:val="single" w:sz="12" w:space="0" w:color="000000"/>
              <w:right w:val="single" w:sz="6" w:space="0" w:color="000000"/>
            </w:tcBorders>
          </w:tcPr>
          <w:p w:rsidR="00C96D91" w:rsidRPr="00B4417B" w:rsidRDefault="00C96D91" w:rsidP="00724EBE">
            <w:pPr>
              <w:ind w:hanging="13"/>
              <w:rPr>
                <w:sz w:val="24"/>
                <w:szCs w:val="24"/>
              </w:rPr>
            </w:pPr>
          </w:p>
        </w:tc>
        <w:tc>
          <w:tcPr>
            <w:tcW w:w="636" w:type="pct"/>
            <w:tcBorders>
              <w:top w:val="single" w:sz="6" w:space="0" w:color="000000"/>
              <w:left w:val="single" w:sz="6" w:space="0" w:color="000000"/>
              <w:bottom w:val="single" w:sz="12" w:space="0" w:color="000000"/>
              <w:right w:val="single" w:sz="6" w:space="0" w:color="000000"/>
            </w:tcBorders>
          </w:tcPr>
          <w:p w:rsidR="00C96D91" w:rsidRPr="00B4417B" w:rsidRDefault="00C96D91" w:rsidP="00724EBE">
            <w:pPr>
              <w:ind w:hanging="13"/>
              <w:rPr>
                <w:sz w:val="24"/>
                <w:szCs w:val="24"/>
              </w:rPr>
            </w:pPr>
          </w:p>
        </w:tc>
        <w:tc>
          <w:tcPr>
            <w:tcW w:w="692" w:type="pct"/>
            <w:tcBorders>
              <w:top w:val="single" w:sz="6" w:space="0" w:color="000000"/>
              <w:left w:val="single" w:sz="6" w:space="0" w:color="000000"/>
              <w:bottom w:val="single" w:sz="12" w:space="0" w:color="000000"/>
              <w:right w:val="single" w:sz="6" w:space="0" w:color="000000"/>
            </w:tcBorders>
            <w:hideMark/>
          </w:tcPr>
          <w:p w:rsidR="00C96D91" w:rsidRPr="00B4417B" w:rsidRDefault="00C96D91" w:rsidP="00724EBE">
            <w:pPr>
              <w:ind w:hanging="13"/>
              <w:rPr>
                <w:sz w:val="24"/>
                <w:szCs w:val="24"/>
              </w:rPr>
            </w:pPr>
            <w:r w:rsidRPr="00B4417B">
              <w:rPr>
                <w:sz w:val="24"/>
                <w:szCs w:val="24"/>
              </w:rPr>
              <w:t>Smerte</w:t>
            </w:r>
          </w:p>
        </w:tc>
        <w:tc>
          <w:tcPr>
            <w:tcW w:w="835" w:type="pct"/>
            <w:tcBorders>
              <w:top w:val="single" w:sz="6" w:space="0" w:color="000000"/>
              <w:left w:val="single" w:sz="6" w:space="0" w:color="000000"/>
              <w:bottom w:val="single" w:sz="12" w:space="0" w:color="000000"/>
              <w:right w:val="single" w:sz="6" w:space="0" w:color="000000"/>
            </w:tcBorders>
          </w:tcPr>
          <w:p w:rsidR="00C96D91" w:rsidRPr="00B4417B" w:rsidRDefault="00C96D91" w:rsidP="00724EBE">
            <w:pPr>
              <w:ind w:hanging="13"/>
              <w:rPr>
                <w:sz w:val="24"/>
                <w:szCs w:val="24"/>
              </w:rPr>
            </w:pPr>
          </w:p>
        </w:tc>
        <w:tc>
          <w:tcPr>
            <w:tcW w:w="1005" w:type="pct"/>
            <w:tcBorders>
              <w:top w:val="single" w:sz="6" w:space="0" w:color="000000"/>
              <w:left w:val="single" w:sz="6" w:space="0" w:color="000000"/>
              <w:bottom w:val="single" w:sz="12" w:space="0" w:color="000000"/>
              <w:right w:val="single" w:sz="12" w:space="0" w:color="000000"/>
            </w:tcBorders>
          </w:tcPr>
          <w:p w:rsidR="00C96D91" w:rsidRPr="00B4417B" w:rsidRDefault="00C96D91" w:rsidP="00724EBE">
            <w:pPr>
              <w:ind w:hanging="13"/>
              <w:rPr>
                <w:sz w:val="24"/>
                <w:szCs w:val="24"/>
              </w:rPr>
            </w:pPr>
          </w:p>
        </w:tc>
      </w:tr>
    </w:tbl>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Der kan forekomme sjældne allergiske eller anafylaktiske reaktioner der er forbundet med lidocain eller tetracain eller andre indholdsstoffer i Pliapel. Se pkt. 4.4</w:t>
      </w:r>
      <w:r w:rsidR="005B300D">
        <w:rPr>
          <w:sz w:val="24"/>
          <w:szCs w:val="24"/>
        </w:rPr>
        <w:t>.</w:t>
      </w:r>
    </w:p>
    <w:p w:rsidR="00C96D91" w:rsidRPr="00B4417B" w:rsidRDefault="00C96D91" w:rsidP="00B4417B">
      <w:pPr>
        <w:ind w:left="851" w:hanging="851"/>
        <w:rPr>
          <w:sz w:val="24"/>
          <w:szCs w:val="24"/>
        </w:rPr>
      </w:pPr>
    </w:p>
    <w:p w:rsidR="00C96D91" w:rsidRPr="00BC09D7" w:rsidRDefault="00C96D91" w:rsidP="00724EBE">
      <w:pPr>
        <w:ind w:left="851"/>
        <w:rPr>
          <w:sz w:val="24"/>
          <w:szCs w:val="24"/>
        </w:rPr>
      </w:pPr>
      <w:r w:rsidRPr="00B4417B">
        <w:rPr>
          <w:sz w:val="24"/>
          <w:szCs w:val="24"/>
        </w:rPr>
        <w:t xml:space="preserve">Systemiske </w:t>
      </w:r>
      <w:r w:rsidRPr="00BC09D7">
        <w:rPr>
          <w:sz w:val="24"/>
          <w:szCs w:val="24"/>
        </w:rPr>
        <w:t xml:space="preserve">bivirkninger efter </w:t>
      </w:r>
      <w:r w:rsidR="005B300D" w:rsidRPr="00BC09D7">
        <w:rPr>
          <w:sz w:val="24"/>
          <w:szCs w:val="24"/>
        </w:rPr>
        <w:t>korrekt</w:t>
      </w:r>
      <w:r w:rsidRPr="00BC09D7">
        <w:rPr>
          <w:sz w:val="24"/>
          <w:szCs w:val="24"/>
        </w:rPr>
        <w:t xml:space="preserve"> anvendelse af Pliapel er usandsynlige pga. den lille dosis af lidocain og tetracain, der bliver optaget (se pkt. 5.2).</w:t>
      </w:r>
    </w:p>
    <w:p w:rsidR="00790EE7" w:rsidRPr="00BC09D7" w:rsidRDefault="00790EE7" w:rsidP="00B4417B">
      <w:pPr>
        <w:pStyle w:val="Sidehoved"/>
        <w:tabs>
          <w:tab w:val="clear" w:pos="4819"/>
          <w:tab w:val="clear" w:pos="9638"/>
        </w:tabs>
        <w:ind w:left="851" w:hanging="851"/>
        <w:rPr>
          <w:szCs w:val="24"/>
        </w:rPr>
      </w:pPr>
    </w:p>
    <w:p w:rsidR="00552357" w:rsidRPr="00BC09D7" w:rsidRDefault="00552357" w:rsidP="00552357">
      <w:pPr>
        <w:autoSpaceDE w:val="0"/>
        <w:autoSpaceDN w:val="0"/>
        <w:ind w:left="851"/>
        <w:rPr>
          <w:sz w:val="24"/>
          <w:szCs w:val="24"/>
          <w:u w:val="single"/>
        </w:rPr>
      </w:pPr>
      <w:r w:rsidRPr="00BC09D7">
        <w:rPr>
          <w:sz w:val="24"/>
          <w:szCs w:val="24"/>
          <w:u w:val="single"/>
        </w:rPr>
        <w:t>Indberetning af formodede bivirkninger</w:t>
      </w:r>
    </w:p>
    <w:p w:rsidR="00552357" w:rsidRPr="00BC09D7" w:rsidRDefault="00552357" w:rsidP="00552357">
      <w:pPr>
        <w:ind w:left="851"/>
        <w:rPr>
          <w:sz w:val="24"/>
          <w:szCs w:val="24"/>
        </w:rPr>
      </w:pPr>
      <w:r w:rsidRPr="00BC09D7">
        <w:rPr>
          <w:sz w:val="24"/>
          <w:szCs w:val="24"/>
        </w:rPr>
        <w:t>Når lægemidlet er godkendt, er indberetning af formodede bivirkninger vigtig. Det muliggør løbende overvågning af benefit/risk-forholdet for lægemidlet. Læger og sundhedspersonale anmodes om at indberette alle formodede bivirkninger via:</w:t>
      </w:r>
    </w:p>
    <w:p w:rsidR="00552357" w:rsidRPr="00BC09D7" w:rsidRDefault="00552357" w:rsidP="00552357">
      <w:pPr>
        <w:ind w:left="851"/>
        <w:rPr>
          <w:sz w:val="24"/>
          <w:szCs w:val="24"/>
        </w:rPr>
      </w:pPr>
    </w:p>
    <w:p w:rsidR="00552357" w:rsidRPr="00BC09D7" w:rsidRDefault="00552357" w:rsidP="00552357">
      <w:pPr>
        <w:ind w:left="851"/>
        <w:rPr>
          <w:sz w:val="24"/>
          <w:szCs w:val="24"/>
        </w:rPr>
      </w:pPr>
      <w:r w:rsidRPr="00BC09D7">
        <w:rPr>
          <w:sz w:val="24"/>
          <w:szCs w:val="24"/>
        </w:rPr>
        <w:t>Lægemiddelstyrelsen</w:t>
      </w:r>
    </w:p>
    <w:p w:rsidR="00552357" w:rsidRPr="00BC09D7" w:rsidRDefault="00552357" w:rsidP="00552357">
      <w:pPr>
        <w:ind w:left="851"/>
        <w:rPr>
          <w:sz w:val="24"/>
          <w:szCs w:val="24"/>
        </w:rPr>
      </w:pPr>
      <w:r w:rsidRPr="00BC09D7">
        <w:rPr>
          <w:sz w:val="24"/>
          <w:szCs w:val="24"/>
        </w:rPr>
        <w:t>Axel Heides Gade 1</w:t>
      </w:r>
    </w:p>
    <w:p w:rsidR="00552357" w:rsidRPr="00BC09D7" w:rsidRDefault="00552357" w:rsidP="00552357">
      <w:pPr>
        <w:ind w:left="851"/>
        <w:rPr>
          <w:sz w:val="24"/>
          <w:szCs w:val="24"/>
        </w:rPr>
      </w:pPr>
      <w:r w:rsidRPr="00BC09D7">
        <w:rPr>
          <w:sz w:val="24"/>
          <w:szCs w:val="24"/>
        </w:rPr>
        <w:t>DK-2300 København S</w:t>
      </w:r>
    </w:p>
    <w:p w:rsidR="00552357" w:rsidRPr="00BC09D7" w:rsidRDefault="00552357" w:rsidP="00552357">
      <w:pPr>
        <w:ind w:left="851"/>
        <w:rPr>
          <w:sz w:val="24"/>
          <w:szCs w:val="24"/>
          <w:lang w:val="en-US"/>
        </w:rPr>
      </w:pPr>
      <w:r w:rsidRPr="00BC09D7">
        <w:rPr>
          <w:sz w:val="24"/>
          <w:szCs w:val="24"/>
          <w:lang w:val="en-US"/>
        </w:rPr>
        <w:t xml:space="preserve">Websted: </w:t>
      </w:r>
      <w:hyperlink r:id="rId8" w:history="1">
        <w:r w:rsidRPr="00BC09D7">
          <w:rPr>
            <w:color w:val="0000FF"/>
            <w:sz w:val="24"/>
            <w:szCs w:val="24"/>
            <w:u w:val="single"/>
            <w:lang w:val="en-US"/>
          </w:rPr>
          <w:t>www.meldenbivirkning.dk</w:t>
        </w:r>
      </w:hyperlink>
    </w:p>
    <w:p w:rsidR="00552357" w:rsidRPr="00BC09D7" w:rsidRDefault="00552357" w:rsidP="00552357">
      <w:pPr>
        <w:pStyle w:val="Sidehoved"/>
        <w:tabs>
          <w:tab w:val="clear" w:pos="4819"/>
          <w:tab w:val="clear" w:pos="9638"/>
          <w:tab w:val="left" w:pos="851"/>
        </w:tabs>
        <w:ind w:left="851"/>
        <w:rPr>
          <w:rFonts w:eastAsia="Calibri"/>
          <w:noProof/>
          <w:color w:val="0000FF"/>
          <w:szCs w:val="24"/>
          <w:u w:val="single"/>
          <w:lang w:val="en-US" w:eastAsia="zh-CN"/>
        </w:rPr>
      </w:pPr>
      <w:r w:rsidRPr="00BC09D7">
        <w:rPr>
          <w:szCs w:val="24"/>
          <w:lang w:val="en-US"/>
        </w:rPr>
        <w:t xml:space="preserve">E-mail: </w:t>
      </w:r>
      <w:r w:rsidRPr="00BC09D7">
        <w:rPr>
          <w:color w:val="0000FF"/>
          <w:szCs w:val="24"/>
          <w:u w:val="single"/>
          <w:lang w:val="en-US"/>
        </w:rPr>
        <w:t>dkma@dkma.dk</w:t>
      </w:r>
    </w:p>
    <w:p w:rsidR="00424A94" w:rsidRPr="00BC09D7" w:rsidRDefault="00424A94" w:rsidP="00B4417B">
      <w:pPr>
        <w:pStyle w:val="Sidehoved"/>
        <w:tabs>
          <w:tab w:val="clear" w:pos="4819"/>
          <w:tab w:val="clear" w:pos="9638"/>
        </w:tabs>
        <w:ind w:left="851" w:hanging="851"/>
        <w:rPr>
          <w:szCs w:val="24"/>
          <w:lang w:val="en-US"/>
        </w:rPr>
      </w:pPr>
    </w:p>
    <w:p w:rsidR="00790EE7" w:rsidRPr="00BC09D7" w:rsidRDefault="00790EE7" w:rsidP="00B4417B">
      <w:pPr>
        <w:numPr>
          <w:ilvl w:val="1"/>
          <w:numId w:val="1"/>
        </w:numPr>
        <w:tabs>
          <w:tab w:val="clear" w:pos="855"/>
        </w:tabs>
        <w:ind w:left="851" w:hanging="851"/>
        <w:rPr>
          <w:b/>
          <w:sz w:val="24"/>
          <w:szCs w:val="24"/>
        </w:rPr>
      </w:pPr>
      <w:r w:rsidRPr="00BC09D7">
        <w:rPr>
          <w:b/>
          <w:sz w:val="24"/>
          <w:szCs w:val="24"/>
        </w:rPr>
        <w:t>Overdosering</w:t>
      </w:r>
    </w:p>
    <w:p w:rsidR="00C96D91" w:rsidRPr="00B4417B" w:rsidRDefault="00C96D91" w:rsidP="00724EBE">
      <w:pPr>
        <w:ind w:left="851"/>
        <w:rPr>
          <w:i/>
          <w:sz w:val="24"/>
          <w:szCs w:val="24"/>
        </w:rPr>
      </w:pPr>
      <w:r w:rsidRPr="00BC09D7">
        <w:rPr>
          <w:sz w:val="24"/>
          <w:szCs w:val="24"/>
        </w:rPr>
        <w:t>Overdosering med Pliapel er</w:t>
      </w:r>
      <w:r w:rsidRPr="00B4417B">
        <w:rPr>
          <w:sz w:val="24"/>
          <w:szCs w:val="24"/>
        </w:rPr>
        <w:t xml:space="preserve"> usandsynlig, men tegn på systemisk toxicitet er tilsvarende dem, der er observeret efter administration af andre lokalbedøvende stoffer, dvs. excitatoriske CNS symptomer og i alvorlige tilfælde CNS depression og hjertemuskulær depression</w:t>
      </w:r>
      <w:r w:rsidRPr="00B4417B">
        <w:rPr>
          <w:i/>
          <w:sz w:val="24"/>
          <w:szCs w:val="24"/>
        </w:rPr>
        <w:t>.</w:t>
      </w:r>
    </w:p>
    <w:p w:rsidR="00C96D91" w:rsidRPr="00B4417B" w:rsidRDefault="00C96D91" w:rsidP="00B4417B">
      <w:pPr>
        <w:ind w:left="851" w:hanging="851"/>
        <w:rPr>
          <w:i/>
          <w:sz w:val="24"/>
          <w:szCs w:val="24"/>
        </w:rPr>
      </w:pPr>
    </w:p>
    <w:p w:rsidR="00C96D91" w:rsidRPr="00B4417B" w:rsidRDefault="00C96D91" w:rsidP="00724EBE">
      <w:pPr>
        <w:ind w:left="851"/>
        <w:rPr>
          <w:sz w:val="24"/>
          <w:szCs w:val="24"/>
        </w:rPr>
      </w:pPr>
      <w:r w:rsidRPr="00B4417B">
        <w:rPr>
          <w:sz w:val="24"/>
          <w:szCs w:val="24"/>
        </w:rPr>
        <w:lastRenderedPageBreak/>
        <w:t>Hvis der forekommer en overdosering, skal patienter under nøje observation. Alvorlige neurologiske symptomer (krampeanfald, CNS depression) kan starte ved plasmakoncentrationer af lidocain, der er så lave som 1000 ng/ml. Toksiske niveauer af lidocain (&gt;5000 ng/ml) kan give CNS toksicitet herunder en risiko for krampeanfald). Tegn på overdosering kræver systematisk behandling så som assisteret ventilation og spasmolytika. Dialyse er af ubetydelig værdi i behandlingen af akut overdosering af lidocain eller tetracain. På grund af langsom systemisk absorption skal en patient med symptomer på toksicitet observeres i adskillelige timer efter behandlingen af disse symptomer.</w:t>
      </w:r>
    </w:p>
    <w:p w:rsidR="00790EE7" w:rsidRPr="00B4417B" w:rsidRDefault="00790EE7" w:rsidP="00B4417B">
      <w:pPr>
        <w:ind w:left="851" w:hanging="851"/>
        <w:rPr>
          <w:sz w:val="24"/>
          <w:szCs w:val="24"/>
        </w:rPr>
      </w:pPr>
    </w:p>
    <w:p w:rsidR="00790EE7" w:rsidRPr="00B4417B" w:rsidRDefault="00790EE7" w:rsidP="00B4417B">
      <w:pPr>
        <w:numPr>
          <w:ilvl w:val="1"/>
          <w:numId w:val="1"/>
        </w:numPr>
        <w:tabs>
          <w:tab w:val="clear" w:pos="855"/>
        </w:tabs>
        <w:ind w:left="851" w:hanging="851"/>
        <w:rPr>
          <w:b/>
          <w:sz w:val="24"/>
          <w:szCs w:val="24"/>
        </w:rPr>
      </w:pPr>
      <w:r w:rsidRPr="00B4417B">
        <w:rPr>
          <w:b/>
          <w:sz w:val="24"/>
          <w:szCs w:val="24"/>
        </w:rPr>
        <w:t>Udlevering</w:t>
      </w:r>
    </w:p>
    <w:p w:rsidR="00790EE7" w:rsidRPr="00B4417B" w:rsidRDefault="00790EE7" w:rsidP="00B4417B">
      <w:pPr>
        <w:ind w:left="851" w:hanging="851"/>
        <w:rPr>
          <w:sz w:val="24"/>
          <w:szCs w:val="24"/>
        </w:rPr>
      </w:pPr>
      <w:r w:rsidRPr="00B4417B">
        <w:rPr>
          <w:sz w:val="24"/>
          <w:szCs w:val="24"/>
        </w:rPr>
        <w:tab/>
      </w:r>
      <w:r w:rsidR="00DD19CE" w:rsidRPr="00B4417B">
        <w:rPr>
          <w:sz w:val="24"/>
          <w:szCs w:val="24"/>
        </w:rPr>
        <w:t>B</w:t>
      </w:r>
    </w:p>
    <w:p w:rsidR="00790EE7" w:rsidRPr="00B4417B" w:rsidRDefault="00790EE7" w:rsidP="00B4417B">
      <w:pPr>
        <w:ind w:left="851" w:hanging="851"/>
        <w:rPr>
          <w:sz w:val="24"/>
          <w:szCs w:val="24"/>
        </w:rPr>
      </w:pPr>
    </w:p>
    <w:p w:rsidR="00790EE7" w:rsidRPr="00B4417B" w:rsidRDefault="00790EE7" w:rsidP="00B4417B">
      <w:pPr>
        <w:ind w:left="851" w:hanging="851"/>
        <w:rPr>
          <w:sz w:val="24"/>
          <w:szCs w:val="24"/>
        </w:rPr>
      </w:pPr>
    </w:p>
    <w:p w:rsidR="00790EE7" w:rsidRPr="00B4417B" w:rsidRDefault="00790EE7" w:rsidP="00B4417B">
      <w:pPr>
        <w:numPr>
          <w:ilvl w:val="0"/>
          <w:numId w:val="1"/>
        </w:numPr>
        <w:tabs>
          <w:tab w:val="clear" w:pos="855"/>
        </w:tabs>
        <w:ind w:left="851" w:hanging="851"/>
        <w:rPr>
          <w:b/>
          <w:sz w:val="24"/>
          <w:szCs w:val="24"/>
        </w:rPr>
      </w:pPr>
      <w:r w:rsidRPr="00B4417B">
        <w:rPr>
          <w:b/>
          <w:sz w:val="24"/>
          <w:szCs w:val="24"/>
        </w:rPr>
        <w:t>FARMAKOLOGISKE EGENSKABER</w:t>
      </w:r>
    </w:p>
    <w:p w:rsidR="00790EE7" w:rsidRPr="00B4417B" w:rsidRDefault="00790EE7" w:rsidP="00B4417B">
      <w:pPr>
        <w:ind w:left="851" w:hanging="851"/>
        <w:rPr>
          <w:sz w:val="24"/>
          <w:szCs w:val="24"/>
        </w:rPr>
      </w:pPr>
    </w:p>
    <w:p w:rsidR="00790EE7" w:rsidRPr="00B4417B" w:rsidRDefault="00790EE7" w:rsidP="00B4417B">
      <w:pPr>
        <w:numPr>
          <w:ilvl w:val="0"/>
          <w:numId w:val="2"/>
        </w:numPr>
        <w:tabs>
          <w:tab w:val="clear" w:pos="855"/>
        </w:tabs>
        <w:ind w:left="851" w:hanging="851"/>
        <w:rPr>
          <w:b/>
          <w:sz w:val="24"/>
          <w:szCs w:val="24"/>
        </w:rPr>
      </w:pPr>
      <w:r w:rsidRPr="00B4417B">
        <w:rPr>
          <w:b/>
          <w:sz w:val="24"/>
          <w:szCs w:val="24"/>
        </w:rPr>
        <w:t>Terapeutisk klassifikation</w:t>
      </w:r>
    </w:p>
    <w:p w:rsidR="00C96D91" w:rsidRPr="00B4417B" w:rsidRDefault="00C96D91" w:rsidP="00724EBE">
      <w:pPr>
        <w:ind w:left="851"/>
        <w:rPr>
          <w:sz w:val="24"/>
          <w:szCs w:val="24"/>
        </w:rPr>
      </w:pPr>
      <w:r w:rsidRPr="00B4417B">
        <w:rPr>
          <w:sz w:val="24"/>
          <w:szCs w:val="24"/>
        </w:rPr>
        <w:t xml:space="preserve">Farmakoterapeutisk klassifikation: Lokalanæstetika; amider </w:t>
      </w:r>
    </w:p>
    <w:p w:rsidR="00C96D91" w:rsidRPr="00B4417B" w:rsidRDefault="00C96D91" w:rsidP="00724EBE">
      <w:pPr>
        <w:ind w:left="851"/>
        <w:rPr>
          <w:sz w:val="24"/>
          <w:szCs w:val="24"/>
        </w:rPr>
      </w:pPr>
      <w:r w:rsidRPr="00B4417B">
        <w:rPr>
          <w:sz w:val="24"/>
          <w:szCs w:val="24"/>
        </w:rPr>
        <w:t>ATC-kode: N01BB52</w:t>
      </w:r>
    </w:p>
    <w:p w:rsidR="00790EE7" w:rsidRPr="00B4417B" w:rsidRDefault="00790EE7" w:rsidP="00B4417B">
      <w:pPr>
        <w:ind w:left="851" w:hanging="851"/>
        <w:rPr>
          <w:sz w:val="24"/>
          <w:szCs w:val="24"/>
        </w:rPr>
      </w:pPr>
    </w:p>
    <w:p w:rsidR="00790EE7" w:rsidRPr="00B4417B" w:rsidRDefault="00790EE7" w:rsidP="00B4417B">
      <w:pPr>
        <w:numPr>
          <w:ilvl w:val="1"/>
          <w:numId w:val="2"/>
        </w:numPr>
        <w:tabs>
          <w:tab w:val="clear" w:pos="2159"/>
        </w:tabs>
        <w:ind w:left="851" w:hanging="851"/>
        <w:rPr>
          <w:b/>
          <w:sz w:val="24"/>
          <w:szCs w:val="24"/>
        </w:rPr>
      </w:pPr>
      <w:r w:rsidRPr="00B4417B">
        <w:rPr>
          <w:b/>
          <w:sz w:val="24"/>
          <w:szCs w:val="24"/>
        </w:rPr>
        <w:t>Farmakodynamiske egenskaber</w:t>
      </w:r>
    </w:p>
    <w:p w:rsidR="00C96D91" w:rsidRPr="00B4417B" w:rsidRDefault="00C96D91" w:rsidP="00724EBE">
      <w:pPr>
        <w:ind w:left="851"/>
        <w:rPr>
          <w:bCs/>
          <w:sz w:val="24"/>
          <w:szCs w:val="24"/>
          <w:u w:val="single"/>
        </w:rPr>
      </w:pPr>
      <w:r w:rsidRPr="00B4417B">
        <w:rPr>
          <w:bCs/>
          <w:sz w:val="24"/>
          <w:szCs w:val="24"/>
          <w:u w:val="single"/>
        </w:rPr>
        <w:t>Virkningsmekanisme</w:t>
      </w:r>
    </w:p>
    <w:p w:rsidR="00C96D91" w:rsidRPr="00B4417B" w:rsidRDefault="00C96D91" w:rsidP="00724EBE">
      <w:pPr>
        <w:ind w:left="851"/>
        <w:rPr>
          <w:sz w:val="24"/>
          <w:szCs w:val="24"/>
        </w:rPr>
      </w:pPr>
      <w:r w:rsidRPr="00B4417B">
        <w:rPr>
          <w:sz w:val="24"/>
          <w:szCs w:val="24"/>
        </w:rPr>
        <w:t xml:space="preserve">Pliapel giver en lokalbedøvende virkning til huden, når det bliver påført intakt hud. Det sker ved at der bliver frigivet lidocain og tetracain til epidermis- og dermislaget af huden, hvor der kommer en akkumulation af lidocain og tetracain i området med dermale smertereceptorer og nerveender. Såvel lidocain som tetracain blokerer de natriumionkanaler, der er nødvendige for de impulsers initiering og udbredelse, </w:t>
      </w:r>
      <w:r w:rsidR="005B300D">
        <w:rPr>
          <w:sz w:val="24"/>
          <w:szCs w:val="24"/>
        </w:rPr>
        <w:t>og</w:t>
      </w:r>
      <w:r w:rsidRPr="00B4417B">
        <w:rPr>
          <w:sz w:val="24"/>
          <w:szCs w:val="24"/>
        </w:rPr>
        <w:t xml:space="preserve"> resulterer i lokalbedøvelse. Graden af bedøvelse afhænger af applikationstiden.</w:t>
      </w:r>
    </w:p>
    <w:p w:rsidR="00C96D91" w:rsidRPr="00B4417B" w:rsidRDefault="00C96D91" w:rsidP="00B4417B">
      <w:pPr>
        <w:ind w:left="851" w:hanging="851"/>
        <w:rPr>
          <w:bCs/>
          <w:sz w:val="24"/>
          <w:szCs w:val="24"/>
        </w:rPr>
      </w:pPr>
    </w:p>
    <w:p w:rsidR="00C96D91" w:rsidRPr="00B4417B" w:rsidRDefault="00C96D91" w:rsidP="00724EBE">
      <w:pPr>
        <w:ind w:left="851"/>
        <w:rPr>
          <w:bCs/>
          <w:sz w:val="24"/>
          <w:szCs w:val="24"/>
          <w:u w:val="single"/>
        </w:rPr>
      </w:pPr>
      <w:r w:rsidRPr="00B4417B">
        <w:rPr>
          <w:bCs/>
          <w:sz w:val="24"/>
          <w:szCs w:val="24"/>
          <w:u w:val="single"/>
        </w:rPr>
        <w:t>Farmakodynamisk virkning</w:t>
      </w:r>
    </w:p>
    <w:p w:rsidR="00C96D91" w:rsidRPr="00B4417B" w:rsidRDefault="00C96D91" w:rsidP="00724EBE">
      <w:pPr>
        <w:ind w:left="851"/>
        <w:rPr>
          <w:sz w:val="24"/>
          <w:szCs w:val="24"/>
        </w:rPr>
      </w:pPr>
      <w:r w:rsidRPr="00B4417B">
        <w:rPr>
          <w:sz w:val="24"/>
          <w:szCs w:val="24"/>
        </w:rPr>
        <w:t>I et klinisk, farmakodynamisk forsøg (priktest, N=40), så var den gennemsnitlige og median varighed af bedøvelsen henholdsvis 9,4 og 11 timer med en mindste varighed på 2 timer og den længste varighed på 13 timer.</w:t>
      </w:r>
    </w:p>
    <w:p w:rsidR="00C96D91" w:rsidRPr="00B4417B" w:rsidRDefault="00C96D91" w:rsidP="00B4417B">
      <w:pPr>
        <w:ind w:left="851" w:hanging="851"/>
        <w:rPr>
          <w:bCs/>
          <w:sz w:val="24"/>
          <w:szCs w:val="24"/>
        </w:rPr>
      </w:pPr>
    </w:p>
    <w:p w:rsidR="00C96D91" w:rsidRPr="00B4417B" w:rsidRDefault="00C96D91" w:rsidP="00724EBE">
      <w:pPr>
        <w:ind w:left="851"/>
        <w:rPr>
          <w:bCs/>
          <w:sz w:val="24"/>
          <w:szCs w:val="24"/>
          <w:u w:val="single"/>
        </w:rPr>
      </w:pPr>
      <w:r w:rsidRPr="00B4417B">
        <w:rPr>
          <w:bCs/>
          <w:sz w:val="24"/>
          <w:szCs w:val="24"/>
          <w:u w:val="single"/>
        </w:rPr>
        <w:t>Klinisk virkning og sikkerhed</w:t>
      </w:r>
    </w:p>
    <w:p w:rsidR="00C96D91" w:rsidRPr="00B4417B" w:rsidRDefault="00C96D91" w:rsidP="00724EBE">
      <w:pPr>
        <w:ind w:left="851"/>
        <w:rPr>
          <w:sz w:val="24"/>
          <w:szCs w:val="24"/>
        </w:rPr>
      </w:pPr>
      <w:r w:rsidRPr="00B4417B">
        <w:rPr>
          <w:sz w:val="24"/>
          <w:szCs w:val="24"/>
        </w:rPr>
        <w:t>Effekten og sikkerheden af Pliapel blev vurderet i 12 fase III, randomiserede, dobbelt blindede, placebokontrollerede, kliniske forsøg med i alt 669 voksne patienter forud for forskellige dermatologiske procedurer.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Pliapel og placebo blev påført to sammenlignelige behandlingsområder i 30 minutter i forbindelse med dermatologiske procedurer herunder dermal filler injektion, hårfjerning med laser, non-ablativ laserbehandling med resurfacing, behandling med farvestof laser (to forsøg med 20 minutters applikation) og ved vaskulær adgang. Cremen var påført i 60 minutter, når der blev brugt laser til at fjerne tatoveringer og abblativ laserbehandling af vener i ben. Behandling med Pliapel resulterede i en signifikant mindre smerte i forhold til placebo i hvert forsøg. Det blev målt med en 100 mm Visuel Analog Skala (VAS), der blev udfyldt af forsøgspersonerne, undtagen forsøg 1 med vaskulær adgang hvor virkningen af Pliapel ikke blev påvist.</w:t>
      </w:r>
    </w:p>
    <w:p w:rsidR="00552357" w:rsidRDefault="00552357">
      <w:pPr>
        <w:rPr>
          <w:sz w:val="24"/>
          <w:szCs w:val="24"/>
        </w:rPr>
      </w:pPr>
      <w:r>
        <w:rPr>
          <w:sz w:val="24"/>
          <w:szCs w:val="24"/>
        </w:rPr>
        <w:br w:type="page"/>
      </w:r>
    </w:p>
    <w:p w:rsidR="00C96D91" w:rsidRPr="00B4417B" w:rsidRDefault="00C96D91" w:rsidP="00B4417B">
      <w:pPr>
        <w:ind w:left="851" w:hanging="851"/>
        <w:rPr>
          <w:sz w:val="24"/>
          <w:szCs w:val="24"/>
        </w:rPr>
      </w:pPr>
    </w:p>
    <w:p w:rsidR="00C96D91" w:rsidRPr="00B4417B" w:rsidRDefault="00C96D91" w:rsidP="00B4417B">
      <w:pPr>
        <w:ind w:left="851" w:hanging="851"/>
        <w:rPr>
          <w:sz w:val="24"/>
          <w:szCs w:val="24"/>
        </w:rPr>
      </w:pPr>
      <w:r w:rsidRPr="00B4417B">
        <w:rPr>
          <w:sz w:val="24"/>
          <w:szCs w:val="24"/>
        </w:rPr>
        <w:t>Tabel 1: Sammendrag af fase III kliniske forsøg med Pliapel</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28" w:type="dxa"/>
          <w:left w:w="57" w:type="dxa"/>
          <w:bottom w:w="28" w:type="dxa"/>
          <w:right w:w="57" w:type="dxa"/>
        </w:tblCellMar>
        <w:tblLook w:val="04A0" w:firstRow="1" w:lastRow="0" w:firstColumn="1" w:lastColumn="0" w:noHBand="0" w:noVBand="1"/>
      </w:tblPr>
      <w:tblGrid>
        <w:gridCol w:w="3551"/>
        <w:gridCol w:w="1662"/>
        <w:gridCol w:w="1424"/>
        <w:gridCol w:w="1543"/>
        <w:gridCol w:w="1428"/>
      </w:tblGrid>
      <w:tr w:rsidR="00C96D91" w:rsidRPr="00B4417B" w:rsidTr="00724EBE">
        <w:trPr>
          <w:jc w:val="center"/>
        </w:trPr>
        <w:tc>
          <w:tcPr>
            <w:tcW w:w="1848" w:type="pct"/>
            <w:tcBorders>
              <w:top w:val="single" w:sz="12" w:space="0" w:color="auto"/>
              <w:left w:val="single" w:sz="12" w:space="0" w:color="auto"/>
              <w:bottom w:val="single" w:sz="12" w:space="0" w:color="auto"/>
              <w:right w:val="single" w:sz="4" w:space="0" w:color="auto"/>
            </w:tcBorders>
            <w:hideMark/>
          </w:tcPr>
          <w:p w:rsidR="00C96D91" w:rsidRPr="00B4417B" w:rsidRDefault="00C96D91" w:rsidP="00724EBE">
            <w:pPr>
              <w:rPr>
                <w:bCs/>
                <w:iCs/>
                <w:sz w:val="24"/>
                <w:szCs w:val="24"/>
              </w:rPr>
            </w:pPr>
            <w:r w:rsidRPr="00B4417B">
              <w:rPr>
                <w:bCs/>
                <w:iCs/>
                <w:sz w:val="24"/>
                <w:szCs w:val="24"/>
              </w:rPr>
              <w:t>Dermatologisk procedure</w:t>
            </w:r>
          </w:p>
        </w:tc>
        <w:tc>
          <w:tcPr>
            <w:tcW w:w="865" w:type="pct"/>
            <w:tcBorders>
              <w:top w:val="single" w:sz="12" w:space="0" w:color="auto"/>
              <w:left w:val="single" w:sz="4" w:space="0" w:color="auto"/>
              <w:bottom w:val="single" w:sz="12" w:space="0" w:color="auto"/>
              <w:right w:val="single" w:sz="4" w:space="0" w:color="auto"/>
            </w:tcBorders>
            <w:hideMark/>
          </w:tcPr>
          <w:p w:rsidR="00C96D91" w:rsidRPr="00B4417B" w:rsidRDefault="00C96D91" w:rsidP="00724EBE">
            <w:pPr>
              <w:rPr>
                <w:bCs/>
                <w:iCs/>
                <w:sz w:val="24"/>
                <w:szCs w:val="24"/>
              </w:rPr>
            </w:pPr>
            <w:r w:rsidRPr="00B4417B">
              <w:rPr>
                <w:bCs/>
                <w:iCs/>
                <w:sz w:val="24"/>
                <w:szCs w:val="24"/>
              </w:rPr>
              <w:t xml:space="preserve">Antal patienter </w:t>
            </w:r>
          </w:p>
        </w:tc>
        <w:tc>
          <w:tcPr>
            <w:tcW w:w="741" w:type="pct"/>
            <w:tcBorders>
              <w:top w:val="single" w:sz="12" w:space="0" w:color="auto"/>
              <w:left w:val="single" w:sz="4" w:space="0" w:color="auto"/>
              <w:bottom w:val="single" w:sz="12" w:space="0" w:color="auto"/>
              <w:right w:val="single" w:sz="4" w:space="0" w:color="auto"/>
            </w:tcBorders>
            <w:hideMark/>
          </w:tcPr>
          <w:p w:rsidR="00C96D91" w:rsidRPr="00B4417B" w:rsidRDefault="00C96D91" w:rsidP="00724EBE">
            <w:pPr>
              <w:rPr>
                <w:bCs/>
                <w:iCs/>
                <w:sz w:val="24"/>
                <w:szCs w:val="24"/>
              </w:rPr>
            </w:pPr>
            <w:r w:rsidRPr="00B4417B">
              <w:rPr>
                <w:bCs/>
                <w:iCs/>
                <w:sz w:val="24"/>
                <w:szCs w:val="24"/>
              </w:rPr>
              <w:t>Pliapel gennemsnit</w:t>
            </w:r>
          </w:p>
          <w:p w:rsidR="00C96D91" w:rsidRPr="00B4417B" w:rsidRDefault="00C96D91" w:rsidP="00724EBE">
            <w:pPr>
              <w:rPr>
                <w:bCs/>
                <w:iCs/>
                <w:sz w:val="24"/>
                <w:szCs w:val="24"/>
              </w:rPr>
            </w:pPr>
            <w:r w:rsidRPr="00B4417B">
              <w:rPr>
                <w:bCs/>
                <w:iCs/>
                <w:sz w:val="24"/>
                <w:szCs w:val="24"/>
              </w:rPr>
              <w:t xml:space="preserve"> VAS (mm)</w:t>
            </w:r>
          </w:p>
        </w:tc>
        <w:tc>
          <w:tcPr>
            <w:tcW w:w="803" w:type="pct"/>
            <w:tcBorders>
              <w:top w:val="single" w:sz="12" w:space="0" w:color="auto"/>
              <w:left w:val="single" w:sz="4" w:space="0" w:color="auto"/>
              <w:bottom w:val="single" w:sz="12" w:space="0" w:color="auto"/>
              <w:right w:val="single" w:sz="4" w:space="0" w:color="auto"/>
            </w:tcBorders>
            <w:hideMark/>
          </w:tcPr>
          <w:p w:rsidR="00C96D91" w:rsidRPr="00B4417B" w:rsidRDefault="00C96D91" w:rsidP="00724EBE">
            <w:pPr>
              <w:rPr>
                <w:bCs/>
                <w:iCs/>
                <w:sz w:val="24"/>
                <w:szCs w:val="24"/>
              </w:rPr>
            </w:pPr>
            <w:r w:rsidRPr="00B4417B">
              <w:rPr>
                <w:bCs/>
                <w:iCs/>
                <w:sz w:val="24"/>
                <w:szCs w:val="24"/>
              </w:rPr>
              <w:t>Placebo gennemsnit</w:t>
            </w:r>
          </w:p>
          <w:p w:rsidR="00C96D91" w:rsidRPr="00B4417B" w:rsidRDefault="00C96D91" w:rsidP="00724EBE">
            <w:pPr>
              <w:rPr>
                <w:bCs/>
                <w:iCs/>
                <w:sz w:val="24"/>
                <w:szCs w:val="24"/>
              </w:rPr>
            </w:pPr>
            <w:r w:rsidRPr="00B4417B">
              <w:rPr>
                <w:bCs/>
                <w:iCs/>
                <w:sz w:val="24"/>
                <w:szCs w:val="24"/>
              </w:rPr>
              <w:t xml:space="preserve"> VAS (mm)</w:t>
            </w:r>
          </w:p>
        </w:tc>
        <w:tc>
          <w:tcPr>
            <w:tcW w:w="743" w:type="pct"/>
            <w:tcBorders>
              <w:top w:val="single" w:sz="12" w:space="0" w:color="auto"/>
              <w:left w:val="single" w:sz="4" w:space="0" w:color="auto"/>
              <w:bottom w:val="single" w:sz="12"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P-værdi (Pliapel vs. placebo)</w:t>
            </w:r>
          </w:p>
        </w:tc>
      </w:tr>
      <w:tr w:rsidR="00C96D91" w:rsidRPr="00B4417B" w:rsidTr="00724EBE">
        <w:trPr>
          <w:jc w:val="center"/>
        </w:trPr>
        <w:tc>
          <w:tcPr>
            <w:tcW w:w="5000" w:type="pct"/>
            <w:gridSpan w:val="5"/>
            <w:tcBorders>
              <w:top w:val="single" w:sz="6" w:space="0" w:color="auto"/>
              <w:left w:val="single" w:sz="12"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20 eller 30 min applikation</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Behandling med farvestof laser (20’, forsøg 1)</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80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16</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31</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 xml:space="preserve">Behandling med farvestof laser (20’, forsøg 2) </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60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16</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36</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Hårfjerning med laser (30’)</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23</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32</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P=0,017</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Non-ablativ laserbehandling med resurfacing (30’,</w:t>
            </w:r>
            <w:r w:rsidR="006C2B08">
              <w:rPr>
                <w:bCs/>
                <w:iCs/>
                <w:sz w:val="24"/>
                <w:szCs w:val="24"/>
              </w:rPr>
              <w:t xml:space="preserve"> </w:t>
            </w:r>
            <w:r w:rsidRPr="00B4417B">
              <w:rPr>
                <w:bCs/>
                <w:iCs/>
                <w:sz w:val="24"/>
                <w:szCs w:val="24"/>
              </w:rPr>
              <w:t>forsøg 1)</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54</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21</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38</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Non-ablativ laserbehandling med resurfacing</w:t>
            </w:r>
            <w:r w:rsidRPr="00B4417B">
              <w:rPr>
                <w:bCs/>
                <w:iCs/>
                <w:sz w:val="24"/>
                <w:szCs w:val="24"/>
              </w:rPr>
              <w:br/>
              <w:t>(30’, forsøg 2)</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40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31</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55</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Dermal filler injektioner (30’)</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70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24</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37</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Kollagen injektioner (30’)</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52</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23</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40</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Vaskulær adgang (forsøg 1)</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55</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30</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32</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P=0,691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Vaskulær adgang (forsøg 2)</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55</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16</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 xml:space="preserve">30 </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P=0,004</w:t>
            </w:r>
          </w:p>
        </w:tc>
      </w:tr>
      <w:tr w:rsidR="00C96D91" w:rsidRPr="00B4417B" w:rsidTr="00724EBE">
        <w:trPr>
          <w:jc w:val="center"/>
        </w:trPr>
        <w:tc>
          <w:tcPr>
            <w:tcW w:w="5000" w:type="pct"/>
            <w:gridSpan w:val="5"/>
            <w:tcBorders>
              <w:top w:val="single" w:sz="6" w:space="0" w:color="auto"/>
              <w:left w:val="single" w:sz="12"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60 min applikation</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Brug af laser til fjernelse af tatoveringer (forsøg 1)</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30</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43</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66</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P=0,001</w:t>
            </w:r>
          </w:p>
        </w:tc>
      </w:tr>
      <w:tr w:rsidR="00C96D91" w:rsidRPr="00B4417B" w:rsidTr="00724EBE">
        <w:trPr>
          <w:jc w:val="center"/>
        </w:trPr>
        <w:tc>
          <w:tcPr>
            <w:tcW w:w="1848" w:type="pct"/>
            <w:tcBorders>
              <w:top w:val="single" w:sz="6" w:space="0" w:color="auto"/>
              <w:left w:val="single" w:sz="12"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Brug af laser til fjernelse af tatoveringer (forsøg 2)</w:t>
            </w:r>
          </w:p>
        </w:tc>
        <w:tc>
          <w:tcPr>
            <w:tcW w:w="865"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63</w:t>
            </w:r>
          </w:p>
        </w:tc>
        <w:tc>
          <w:tcPr>
            <w:tcW w:w="741"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39</w:t>
            </w:r>
          </w:p>
        </w:tc>
        <w:tc>
          <w:tcPr>
            <w:tcW w:w="803" w:type="pct"/>
            <w:tcBorders>
              <w:top w:val="single" w:sz="6" w:space="0" w:color="auto"/>
              <w:left w:val="single" w:sz="6" w:space="0" w:color="auto"/>
              <w:bottom w:val="single" w:sz="6"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59</w:t>
            </w:r>
          </w:p>
        </w:tc>
        <w:tc>
          <w:tcPr>
            <w:tcW w:w="743" w:type="pct"/>
            <w:tcBorders>
              <w:top w:val="single" w:sz="6" w:space="0" w:color="auto"/>
              <w:left w:val="single" w:sz="6" w:space="0" w:color="auto"/>
              <w:bottom w:val="single" w:sz="6"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P&lt;0,0001</w:t>
            </w:r>
          </w:p>
        </w:tc>
      </w:tr>
      <w:tr w:rsidR="00C96D91" w:rsidRPr="00B4417B" w:rsidTr="00724EBE">
        <w:trPr>
          <w:jc w:val="center"/>
        </w:trPr>
        <w:tc>
          <w:tcPr>
            <w:tcW w:w="1848" w:type="pct"/>
            <w:tcBorders>
              <w:top w:val="single" w:sz="6" w:space="0" w:color="auto"/>
              <w:left w:val="single" w:sz="12" w:space="0" w:color="auto"/>
              <w:bottom w:val="single" w:sz="12"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Ablativ laserbehandling af vener i ben</w:t>
            </w:r>
          </w:p>
        </w:tc>
        <w:tc>
          <w:tcPr>
            <w:tcW w:w="865" w:type="pct"/>
            <w:tcBorders>
              <w:top w:val="single" w:sz="6" w:space="0" w:color="auto"/>
              <w:left w:val="single" w:sz="6" w:space="0" w:color="auto"/>
              <w:bottom w:val="single" w:sz="12"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60</w:t>
            </w:r>
          </w:p>
        </w:tc>
        <w:tc>
          <w:tcPr>
            <w:tcW w:w="741" w:type="pct"/>
            <w:tcBorders>
              <w:top w:val="single" w:sz="6" w:space="0" w:color="auto"/>
              <w:left w:val="single" w:sz="6" w:space="0" w:color="auto"/>
              <w:bottom w:val="single" w:sz="12"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27</w:t>
            </w:r>
          </w:p>
        </w:tc>
        <w:tc>
          <w:tcPr>
            <w:tcW w:w="803" w:type="pct"/>
            <w:tcBorders>
              <w:top w:val="single" w:sz="6" w:space="0" w:color="auto"/>
              <w:left w:val="single" w:sz="6" w:space="0" w:color="auto"/>
              <w:bottom w:val="single" w:sz="12" w:space="0" w:color="auto"/>
              <w:right w:val="single" w:sz="6" w:space="0" w:color="auto"/>
            </w:tcBorders>
            <w:hideMark/>
          </w:tcPr>
          <w:p w:rsidR="00C96D91" w:rsidRPr="00B4417B" w:rsidRDefault="00C96D91" w:rsidP="00724EBE">
            <w:pPr>
              <w:rPr>
                <w:bCs/>
                <w:iCs/>
                <w:sz w:val="24"/>
                <w:szCs w:val="24"/>
              </w:rPr>
            </w:pPr>
            <w:r w:rsidRPr="00B4417B">
              <w:rPr>
                <w:bCs/>
                <w:iCs/>
                <w:sz w:val="24"/>
                <w:szCs w:val="24"/>
              </w:rPr>
              <w:t>43</w:t>
            </w:r>
          </w:p>
        </w:tc>
        <w:tc>
          <w:tcPr>
            <w:tcW w:w="743" w:type="pct"/>
            <w:tcBorders>
              <w:top w:val="single" w:sz="6" w:space="0" w:color="auto"/>
              <w:left w:val="single" w:sz="6" w:space="0" w:color="auto"/>
              <w:bottom w:val="single" w:sz="12" w:space="0" w:color="auto"/>
              <w:right w:val="single" w:sz="12" w:space="0" w:color="auto"/>
            </w:tcBorders>
            <w:hideMark/>
          </w:tcPr>
          <w:p w:rsidR="00C96D91" w:rsidRPr="00B4417B" w:rsidRDefault="00C96D91" w:rsidP="00724EBE">
            <w:pPr>
              <w:rPr>
                <w:bCs/>
                <w:iCs/>
                <w:sz w:val="24"/>
                <w:szCs w:val="24"/>
              </w:rPr>
            </w:pPr>
            <w:r w:rsidRPr="00B4417B">
              <w:rPr>
                <w:bCs/>
                <w:iCs/>
                <w:sz w:val="24"/>
                <w:szCs w:val="24"/>
              </w:rPr>
              <w:t>P&lt;0,001</w:t>
            </w:r>
          </w:p>
        </w:tc>
      </w:tr>
    </w:tbl>
    <w:p w:rsidR="00C96D91" w:rsidRPr="00B4417B" w:rsidRDefault="00C96D91" w:rsidP="00B4417B">
      <w:pPr>
        <w:ind w:left="851" w:hanging="851"/>
        <w:rPr>
          <w:bCs/>
          <w:sz w:val="24"/>
          <w:szCs w:val="24"/>
        </w:rPr>
      </w:pPr>
    </w:p>
    <w:p w:rsidR="00C96D91" w:rsidRPr="00B4417B" w:rsidRDefault="00C96D91" w:rsidP="00724EBE">
      <w:pPr>
        <w:ind w:left="851"/>
        <w:rPr>
          <w:sz w:val="24"/>
          <w:szCs w:val="24"/>
          <w:u w:val="single"/>
        </w:rPr>
      </w:pPr>
      <w:r w:rsidRPr="00B4417B">
        <w:rPr>
          <w:bCs/>
          <w:sz w:val="24"/>
          <w:szCs w:val="24"/>
          <w:u w:val="single"/>
        </w:rPr>
        <w:t>Pædiatrisk population</w:t>
      </w:r>
    </w:p>
    <w:p w:rsidR="00790EE7" w:rsidRPr="00B4417B" w:rsidRDefault="00C96D91" w:rsidP="00724EBE">
      <w:pPr>
        <w:ind w:left="851"/>
        <w:rPr>
          <w:sz w:val="24"/>
          <w:szCs w:val="24"/>
        </w:rPr>
      </w:pPr>
      <w:r w:rsidRPr="00B4417B">
        <w:rPr>
          <w:sz w:val="24"/>
          <w:szCs w:val="24"/>
        </w:rPr>
        <w:t>Det Europæiske Lægemiddelagentur har dispenseret fra kravet om at fremlægge resultaterne af studier med Pliapel i alle undergrupper af den pædiatriske population ved lokalbedøvelse (se pkt. 4.2 for information om pædiatrisk anvendelse).</w:t>
      </w:r>
    </w:p>
    <w:p w:rsidR="00790EE7" w:rsidRPr="00B4417B" w:rsidRDefault="00790EE7" w:rsidP="00B4417B">
      <w:pPr>
        <w:ind w:left="851" w:hanging="851"/>
        <w:rPr>
          <w:sz w:val="24"/>
          <w:szCs w:val="24"/>
        </w:rPr>
      </w:pPr>
    </w:p>
    <w:p w:rsidR="00790EE7" w:rsidRPr="00B4417B" w:rsidRDefault="00790EE7" w:rsidP="00B4417B">
      <w:pPr>
        <w:numPr>
          <w:ilvl w:val="1"/>
          <w:numId w:val="3"/>
        </w:numPr>
        <w:tabs>
          <w:tab w:val="clear" w:pos="855"/>
        </w:tabs>
        <w:ind w:left="851" w:hanging="851"/>
        <w:rPr>
          <w:b/>
          <w:sz w:val="24"/>
          <w:szCs w:val="24"/>
        </w:rPr>
      </w:pPr>
      <w:r w:rsidRPr="00B4417B">
        <w:rPr>
          <w:b/>
          <w:sz w:val="24"/>
          <w:szCs w:val="24"/>
        </w:rPr>
        <w:t>Farmakokinetiske egenskaber</w:t>
      </w:r>
    </w:p>
    <w:p w:rsidR="00C96D91" w:rsidRPr="00B4417B" w:rsidRDefault="00790EE7" w:rsidP="006C2B08">
      <w:pPr>
        <w:ind w:left="851" w:hanging="851"/>
        <w:rPr>
          <w:sz w:val="24"/>
          <w:szCs w:val="24"/>
          <w:u w:val="single"/>
        </w:rPr>
      </w:pPr>
      <w:r w:rsidRPr="00B4417B">
        <w:rPr>
          <w:sz w:val="24"/>
          <w:szCs w:val="24"/>
        </w:rPr>
        <w:tab/>
      </w:r>
      <w:r w:rsidR="00C96D91" w:rsidRPr="00B4417B">
        <w:rPr>
          <w:sz w:val="24"/>
          <w:szCs w:val="24"/>
          <w:u w:val="single"/>
        </w:rPr>
        <w:t>Absorption</w:t>
      </w:r>
    </w:p>
    <w:p w:rsidR="00C96D91" w:rsidRPr="00B4417B" w:rsidRDefault="00C96D91" w:rsidP="00724EBE">
      <w:pPr>
        <w:ind w:left="851"/>
        <w:rPr>
          <w:sz w:val="24"/>
          <w:szCs w:val="24"/>
        </w:rPr>
      </w:pPr>
      <w:r w:rsidRPr="00B4417B">
        <w:rPr>
          <w:sz w:val="24"/>
          <w:szCs w:val="24"/>
        </w:rPr>
        <w:t>Den systemiske eksponering af de to aktive substanser afhænger af dosis, applikationstid, hudens tykkelse (varierer mellem de forskellige kropsdele) og hudens tilstand.</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Hos voksne gav en på</w:t>
      </w:r>
      <w:r w:rsidR="004B661A">
        <w:rPr>
          <w:sz w:val="24"/>
          <w:szCs w:val="24"/>
        </w:rPr>
        <w:t xml:space="preserve">føring </w:t>
      </w:r>
      <w:r w:rsidRPr="00B4417B">
        <w:rPr>
          <w:sz w:val="24"/>
          <w:szCs w:val="24"/>
        </w:rPr>
        <w:t>af 59 g Pliapel på 400 cm</w:t>
      </w:r>
      <w:r w:rsidRPr="00B4417B">
        <w:rPr>
          <w:sz w:val="24"/>
          <w:szCs w:val="24"/>
          <w:vertAlign w:val="superscript"/>
        </w:rPr>
        <w:t>2</w:t>
      </w:r>
      <w:r w:rsidRPr="00B4417B">
        <w:rPr>
          <w:sz w:val="24"/>
          <w:szCs w:val="24"/>
        </w:rPr>
        <w:t xml:space="preserve"> i op til 120 minutter en gennemsnitlig maksimal koncentration af lidocain på 139 ng/ml med en maksimal plasmakoncentration på 220 ng/ml. En systemisk eksponering for lidocain, målt ved C</w:t>
      </w:r>
      <w:r w:rsidRPr="00B4417B">
        <w:rPr>
          <w:sz w:val="24"/>
          <w:szCs w:val="24"/>
          <w:vertAlign w:val="subscript"/>
        </w:rPr>
        <w:t xml:space="preserve">max </w:t>
      </w:r>
      <w:r w:rsidRPr="00B4417B">
        <w:rPr>
          <w:sz w:val="24"/>
          <w:szCs w:val="24"/>
        </w:rPr>
        <w:t>og AUC</w:t>
      </w:r>
      <w:r w:rsidRPr="00B4417B">
        <w:rPr>
          <w:sz w:val="24"/>
          <w:szCs w:val="24"/>
          <w:vertAlign w:val="subscript"/>
        </w:rPr>
        <w:t>0-24</w:t>
      </w:r>
      <w:r w:rsidRPr="00B4417B">
        <w:rPr>
          <w:sz w:val="24"/>
          <w:szCs w:val="24"/>
        </w:rPr>
        <w:t xml:space="preserve"> var proportional med det </w:t>
      </w:r>
      <w:r w:rsidR="004B661A">
        <w:rPr>
          <w:sz w:val="24"/>
          <w:szCs w:val="24"/>
        </w:rPr>
        <w:t>behandlede</w:t>
      </w:r>
      <w:r w:rsidRPr="00B4417B">
        <w:rPr>
          <w:sz w:val="24"/>
          <w:szCs w:val="24"/>
        </w:rPr>
        <w:t xml:space="preserve"> område, og blev øget med en </w:t>
      </w:r>
      <w:r w:rsidR="004B661A">
        <w:rPr>
          <w:sz w:val="24"/>
          <w:szCs w:val="24"/>
        </w:rPr>
        <w:t>behandlings</w:t>
      </w:r>
      <w:r w:rsidRPr="00B4417B">
        <w:rPr>
          <w:sz w:val="24"/>
          <w:szCs w:val="24"/>
        </w:rPr>
        <w:t>tid på op til 60 minutter. C</w:t>
      </w:r>
      <w:r w:rsidRPr="00B4417B">
        <w:rPr>
          <w:sz w:val="24"/>
          <w:szCs w:val="24"/>
          <w:vertAlign w:val="subscript"/>
        </w:rPr>
        <w:t>max</w:t>
      </w:r>
      <w:r w:rsidRPr="00B4417B">
        <w:rPr>
          <w:sz w:val="24"/>
          <w:szCs w:val="24"/>
        </w:rPr>
        <w:t xml:space="preserve"> var proportional med den procentdel af kroppen, der var dækket, med 2,5 % dækning (400 cm</w:t>
      </w:r>
      <w:r w:rsidRPr="00B4417B">
        <w:rPr>
          <w:sz w:val="24"/>
          <w:szCs w:val="24"/>
          <w:vertAlign w:val="superscript"/>
        </w:rPr>
        <w:t>2</w:t>
      </w:r>
      <w:r w:rsidRPr="00B4417B">
        <w:rPr>
          <w:sz w:val="24"/>
          <w:szCs w:val="24"/>
        </w:rPr>
        <w:t>) i 30 minutter gav en maksimal lidocain koncentration på ca. 60 ng/ml. Tetracain plasmaværdier kunne ikke måles (&lt; 0,9 ng/ml) hos voksne.</w:t>
      </w:r>
    </w:p>
    <w:p w:rsidR="00C96D91" w:rsidRPr="00B4417B" w:rsidRDefault="00C96D91" w:rsidP="00B4417B">
      <w:pPr>
        <w:ind w:left="851" w:hanging="851"/>
        <w:rPr>
          <w:sz w:val="24"/>
          <w:szCs w:val="24"/>
          <w:u w:val="single"/>
        </w:rPr>
      </w:pPr>
    </w:p>
    <w:p w:rsidR="00552357" w:rsidRDefault="00552357">
      <w:pPr>
        <w:rPr>
          <w:sz w:val="24"/>
          <w:szCs w:val="24"/>
          <w:u w:val="single"/>
        </w:rPr>
      </w:pPr>
    </w:p>
    <w:p w:rsidR="00C96D91" w:rsidRPr="00B4417B" w:rsidRDefault="00C96D91" w:rsidP="00724EBE">
      <w:pPr>
        <w:ind w:left="851"/>
        <w:rPr>
          <w:sz w:val="24"/>
          <w:szCs w:val="24"/>
          <w:u w:val="single"/>
        </w:rPr>
      </w:pPr>
      <w:r w:rsidRPr="00B4417B">
        <w:rPr>
          <w:sz w:val="24"/>
          <w:szCs w:val="24"/>
          <w:u w:val="single"/>
        </w:rPr>
        <w:t>Distribution</w:t>
      </w:r>
    </w:p>
    <w:p w:rsidR="00C96D91" w:rsidRPr="00B4417B" w:rsidRDefault="00C96D91" w:rsidP="00724EBE">
      <w:pPr>
        <w:ind w:left="851"/>
        <w:rPr>
          <w:sz w:val="24"/>
          <w:szCs w:val="24"/>
        </w:rPr>
      </w:pPr>
      <w:r w:rsidRPr="00B4417B">
        <w:rPr>
          <w:sz w:val="24"/>
          <w:szCs w:val="24"/>
        </w:rPr>
        <w:t>Efter intravenøs adminis</w:t>
      </w:r>
      <w:r w:rsidR="00724EBE">
        <w:rPr>
          <w:sz w:val="24"/>
          <w:szCs w:val="24"/>
        </w:rPr>
        <w:t>tr</w:t>
      </w:r>
      <w:r w:rsidRPr="00B4417B">
        <w:rPr>
          <w:sz w:val="24"/>
          <w:szCs w:val="24"/>
        </w:rPr>
        <w:t>ation til sunde og frivillige forsøgspersoner, er steady-state fordelingsvolumen cirka 0,8 til 1,3 l/kg. Cirka 75 % af lidocain er bundet til plasmaproteiner (først og fremmest alfa-1-syre-glykoprotein). Fordelingsvolumen og proteinbinding er endnu ikke klarlagt for tetracain på grund af hurtig hydrolyse i plasma.</w:t>
      </w:r>
    </w:p>
    <w:p w:rsidR="00C96D91" w:rsidRPr="00B4417B" w:rsidRDefault="00C96D91" w:rsidP="00B4417B">
      <w:pPr>
        <w:ind w:left="851" w:hanging="851"/>
        <w:rPr>
          <w:sz w:val="24"/>
          <w:szCs w:val="24"/>
          <w:u w:val="single"/>
        </w:rPr>
      </w:pPr>
    </w:p>
    <w:p w:rsidR="00BC09D7" w:rsidRDefault="00BC09D7" w:rsidP="00BC09D7">
      <w:pPr>
        <w:ind w:left="851"/>
        <w:rPr>
          <w:sz w:val="24"/>
          <w:szCs w:val="24"/>
          <w:u w:val="single"/>
        </w:rPr>
      </w:pPr>
      <w:r>
        <w:rPr>
          <w:sz w:val="24"/>
          <w:szCs w:val="24"/>
          <w:u w:val="single"/>
        </w:rPr>
        <w:t>Biotransformation og Elimination</w:t>
      </w:r>
    </w:p>
    <w:p w:rsidR="00C96D91" w:rsidRPr="00B4417B" w:rsidRDefault="00C96D91" w:rsidP="00724EBE">
      <w:pPr>
        <w:ind w:left="851"/>
        <w:rPr>
          <w:sz w:val="24"/>
          <w:szCs w:val="24"/>
        </w:rPr>
      </w:pPr>
      <w:r w:rsidRPr="00B4417B">
        <w:rPr>
          <w:sz w:val="24"/>
          <w:szCs w:val="24"/>
        </w:rPr>
        <w:t>Lidocain elimineres hovedsageligt ved metabolisme. Omdannelse til monoethylglycinxylidid (MEGX) og videre til glycinxylidid (GX) medieres hovedsagligt af CYP1A2, og i mindre grad af CYP3A4. MEGX metaboliseres også til 2,6-xylidin. 2,6-xylidin metaboliseres videre af CYP2A6 til 4-hydroxy-2,6-xylidin, som udgør den overvejende metabolit i urin (80 %) og udskilles som konjugat. MEGX har en farmakologisk aktivitet som svarer til lidocains, mens GX har en mindre farmakologisk aktivitet.</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Tetracain gennemgår hurtig hydrolyse ved plasmaesteraser. Primære metabolitter af tetracain omfatter para-aminobenzoesyre og diethylaminoethanol, hvoraf begge har en uspecificeret aktivitet.</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I hvilket omfang lidocain og tetracain metaboliseres i huden er ukendt. Lidocain og dens metabolitter udskilles via nyrerne. Mere end 98 % af en optaget lidocaindosis kan måles i urinen som metabolitter eller modersubstans. Mindre end 10 % af lidocain udskilles uændret hos voksne, og cirka 20 % udskilles uændret hos nyfødte. Systemisk clearance er cirka 8-10 ml/min/kg.</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Den gennemsnitlige halveringstid for eliminering af lidocain fra plasma efter intravenøs administ</w:t>
      </w:r>
      <w:r w:rsidR="00724EBE">
        <w:rPr>
          <w:sz w:val="24"/>
          <w:szCs w:val="24"/>
        </w:rPr>
        <w:t>r</w:t>
      </w:r>
      <w:r w:rsidRPr="00B4417B">
        <w:rPr>
          <w:sz w:val="24"/>
          <w:szCs w:val="24"/>
        </w:rPr>
        <w:t>ation er cirka 1,8 timer. Den gennemsnitlige halveringstid af lidocain fra plasma efter 30 minutters topikal administration af 9 g (200 cm</w:t>
      </w:r>
      <w:r w:rsidRPr="00B4417B">
        <w:rPr>
          <w:sz w:val="24"/>
          <w:szCs w:val="24"/>
          <w:vertAlign w:val="superscript"/>
        </w:rPr>
        <w:t>2</w:t>
      </w:r>
      <w:r w:rsidRPr="00B4417B">
        <w:rPr>
          <w:sz w:val="24"/>
          <w:szCs w:val="24"/>
        </w:rPr>
        <w:t>) af Pliapel er op til 12,1 time. Det tyder på at der er et depot af lidocain i huden med en efterfølgende frigivelse af lægemiddelstof til den systemiske cirkulation. Halveringstid og clearance af tetracain er endnu ikke klarlagt hos mennesker, men hydrolyse er hurtig i plasma.</w:t>
      </w:r>
    </w:p>
    <w:p w:rsidR="00C96D91" w:rsidRPr="00B4417B" w:rsidRDefault="00C96D91" w:rsidP="00B4417B">
      <w:pPr>
        <w:ind w:left="851" w:hanging="851"/>
        <w:rPr>
          <w:sz w:val="24"/>
          <w:szCs w:val="24"/>
        </w:rPr>
      </w:pPr>
    </w:p>
    <w:p w:rsidR="00C96D91" w:rsidRPr="00B4417B" w:rsidRDefault="00C96D91" w:rsidP="00724EBE">
      <w:pPr>
        <w:ind w:left="851"/>
        <w:rPr>
          <w:sz w:val="24"/>
          <w:szCs w:val="24"/>
          <w:u w:val="single"/>
        </w:rPr>
      </w:pPr>
      <w:r w:rsidRPr="00B4417B">
        <w:rPr>
          <w:sz w:val="24"/>
          <w:szCs w:val="24"/>
          <w:u w:val="single"/>
        </w:rPr>
        <w:t>Ældre</w:t>
      </w:r>
    </w:p>
    <w:p w:rsidR="004B661A" w:rsidRDefault="00C96D91" w:rsidP="006C2B08">
      <w:pPr>
        <w:ind w:left="851"/>
        <w:rPr>
          <w:sz w:val="24"/>
          <w:szCs w:val="24"/>
        </w:rPr>
      </w:pPr>
      <w:r w:rsidRPr="00B4417B">
        <w:rPr>
          <w:sz w:val="24"/>
          <w:szCs w:val="24"/>
        </w:rPr>
        <w:t>Efter påsmøring af 31 g Pliapel på 400 cm</w:t>
      </w:r>
      <w:r w:rsidRPr="00B4417B">
        <w:rPr>
          <w:sz w:val="24"/>
          <w:szCs w:val="24"/>
          <w:vertAlign w:val="superscript"/>
        </w:rPr>
        <w:t>2</w:t>
      </w:r>
      <w:r w:rsidRPr="00B4417B">
        <w:rPr>
          <w:sz w:val="24"/>
          <w:szCs w:val="24"/>
        </w:rPr>
        <w:t xml:space="preserve"> i 60 minutter (n=12), så var det gennemsnitlige plasmaniveau af lidocain 48 ng/ml for ældre patienter (65 – 78 år). Disse niveauer var tilsvarende eller mindre en de niveauer, der var for yngre patienter, der fik tilsvarende mængder af Pliapel.</w:t>
      </w:r>
    </w:p>
    <w:p w:rsidR="00C96D91" w:rsidRPr="00B4417B" w:rsidRDefault="00C96D91" w:rsidP="00B4417B">
      <w:pPr>
        <w:ind w:left="851" w:hanging="851"/>
        <w:rPr>
          <w:sz w:val="24"/>
          <w:szCs w:val="24"/>
        </w:rPr>
      </w:pPr>
    </w:p>
    <w:p w:rsidR="00C96D91" w:rsidRPr="00B4417B" w:rsidRDefault="00C96D91" w:rsidP="00724EBE">
      <w:pPr>
        <w:ind w:left="851"/>
        <w:rPr>
          <w:sz w:val="24"/>
          <w:szCs w:val="24"/>
          <w:u w:val="single"/>
        </w:rPr>
      </w:pPr>
      <w:r w:rsidRPr="00B4417B">
        <w:rPr>
          <w:sz w:val="24"/>
          <w:szCs w:val="24"/>
          <w:u w:val="single"/>
        </w:rPr>
        <w:t>Nedsat hjerte- nyre- og leverfunktion</w:t>
      </w:r>
    </w:p>
    <w:p w:rsidR="00C96D91" w:rsidRPr="00B4417B" w:rsidRDefault="00C96D91" w:rsidP="00724EBE">
      <w:pPr>
        <w:ind w:left="851"/>
        <w:rPr>
          <w:sz w:val="24"/>
          <w:szCs w:val="24"/>
        </w:rPr>
      </w:pPr>
      <w:r w:rsidRPr="00B4417B">
        <w:rPr>
          <w:sz w:val="24"/>
          <w:szCs w:val="24"/>
        </w:rPr>
        <w:t>Der er ikke udført specifikke farmakokinetiske forsøg hos personer med nedsat hjerte-, nyre- eller leverfunktion. Halveringstiden af lidocain kan være forøget ved hjerte- eller leverdysfunktion. Der er ingen fastslået halveringstid for tetracain på grund af den hurtige hydrolyse i plasma.</w:t>
      </w:r>
    </w:p>
    <w:p w:rsidR="00790EE7" w:rsidRPr="00B4417B" w:rsidRDefault="00790EE7" w:rsidP="00B4417B">
      <w:pPr>
        <w:ind w:left="851" w:hanging="851"/>
        <w:rPr>
          <w:sz w:val="24"/>
          <w:szCs w:val="24"/>
        </w:rPr>
      </w:pPr>
    </w:p>
    <w:p w:rsidR="00790EE7" w:rsidRPr="00B4417B" w:rsidRDefault="00790EE7" w:rsidP="00B4417B">
      <w:pPr>
        <w:numPr>
          <w:ilvl w:val="1"/>
          <w:numId w:val="4"/>
        </w:numPr>
        <w:tabs>
          <w:tab w:val="clear" w:pos="855"/>
        </w:tabs>
        <w:ind w:left="851" w:hanging="851"/>
        <w:rPr>
          <w:b/>
          <w:sz w:val="24"/>
          <w:szCs w:val="24"/>
        </w:rPr>
      </w:pPr>
      <w:r w:rsidRPr="00B4417B">
        <w:rPr>
          <w:b/>
          <w:sz w:val="24"/>
          <w:szCs w:val="24"/>
        </w:rPr>
        <w:t>Prækliniske sikkerhedsdata</w:t>
      </w:r>
    </w:p>
    <w:p w:rsidR="00C96D91" w:rsidRPr="00B4417B" w:rsidRDefault="00C96D91" w:rsidP="00724EBE">
      <w:pPr>
        <w:ind w:left="851"/>
        <w:rPr>
          <w:sz w:val="24"/>
          <w:szCs w:val="24"/>
        </w:rPr>
      </w:pPr>
      <w:r w:rsidRPr="00B4417B">
        <w:rPr>
          <w:sz w:val="24"/>
          <w:szCs w:val="24"/>
        </w:rPr>
        <w:t>Prækliniske data viser ingen speciel risiko for mennesker vurderet ud fra konventionelle studier af sikkerhedsfarmakologi, toksicitet efter gentagne doser, genotoksicitet, karcinogenicitet samt reproduktions- og udviklingstoksicitet.</w:t>
      </w:r>
    </w:p>
    <w:p w:rsidR="00C96D91" w:rsidRPr="00B4417B" w:rsidRDefault="00C96D91" w:rsidP="00B4417B">
      <w:pPr>
        <w:ind w:left="851" w:hanging="851"/>
        <w:rPr>
          <w:sz w:val="24"/>
          <w:szCs w:val="24"/>
        </w:rPr>
      </w:pPr>
    </w:p>
    <w:p w:rsidR="00552357" w:rsidRDefault="00552357">
      <w:pPr>
        <w:rPr>
          <w:iCs/>
          <w:sz w:val="24"/>
          <w:szCs w:val="24"/>
          <w:u w:val="single"/>
        </w:rPr>
      </w:pPr>
      <w:r>
        <w:rPr>
          <w:iCs/>
          <w:sz w:val="24"/>
          <w:szCs w:val="24"/>
          <w:u w:val="single"/>
        </w:rPr>
        <w:br w:type="page"/>
      </w:r>
    </w:p>
    <w:p w:rsidR="00C96D91" w:rsidRPr="00B4417B" w:rsidRDefault="00C96D91" w:rsidP="00724EBE">
      <w:pPr>
        <w:ind w:left="851"/>
        <w:rPr>
          <w:sz w:val="24"/>
          <w:szCs w:val="24"/>
          <w:u w:val="single"/>
        </w:rPr>
      </w:pPr>
      <w:r w:rsidRPr="00B4417B">
        <w:rPr>
          <w:iCs/>
          <w:sz w:val="24"/>
          <w:szCs w:val="24"/>
          <w:u w:val="single"/>
        </w:rPr>
        <w:lastRenderedPageBreak/>
        <w:t>Reproduktionstoksicitet</w:t>
      </w:r>
    </w:p>
    <w:p w:rsidR="00C96D91" w:rsidRPr="00B4417B" w:rsidRDefault="00C96D91" w:rsidP="00724EBE">
      <w:pPr>
        <w:ind w:left="851"/>
        <w:rPr>
          <w:sz w:val="24"/>
          <w:szCs w:val="24"/>
        </w:rPr>
      </w:pPr>
      <w:r w:rsidRPr="00B4417B">
        <w:rPr>
          <w:sz w:val="24"/>
          <w:szCs w:val="24"/>
        </w:rPr>
        <w:t>Lidocain: Der er ikke observeret nogen påvirkning af han-</w:t>
      </w:r>
      <w:r w:rsidR="004B661A">
        <w:rPr>
          <w:sz w:val="24"/>
          <w:szCs w:val="24"/>
        </w:rPr>
        <w:t xml:space="preserve"> </w:t>
      </w:r>
      <w:r w:rsidRPr="00B4417B">
        <w:rPr>
          <w:sz w:val="24"/>
          <w:szCs w:val="24"/>
        </w:rPr>
        <w:t>eller hunrotters fertilitet. I undersøgelser af embryo/fostrets udvikling i rotter og kaniner med dosering under organogenesen, blev der ikke observeret teratogene virkninger. Dyreforsøg er dog utilstrækkelige med hensyn til virkningerne på graviditet, fødsel eller udvikling efter fødslen.</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Tetracain: Der blev ikke observeret virkninger på fertiliteten i rotter. I undersøgelser af embryo/fostrets udvikling i rotter og kaniner med dosering under organogenesen blev der ikke observeret teratogene virkninger. Der blev ikke observeret virkninger på afkom fra rotter, der var behandlet med en toksisk dosis sent i graviditeten og ved diegivning.  Da der ikke foreligger data vedrørende systemisk eksponering i rotter, kan der ikke foretages sammenligning med eksponering hos mennesker.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Lidocain og tetracain: I studier af embryo/fosterudvikling med dosering under organogenesen blev der ikke observeret teratogene virkninger.</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Genotoksicitet og carcinogenicitet</w:t>
      </w:r>
    </w:p>
    <w:p w:rsidR="00C96D91" w:rsidRPr="00B4417B" w:rsidRDefault="00C96D91" w:rsidP="00724EBE">
      <w:pPr>
        <w:ind w:left="851"/>
        <w:rPr>
          <w:sz w:val="24"/>
          <w:szCs w:val="24"/>
        </w:rPr>
      </w:pPr>
      <w:r w:rsidRPr="00B4417B">
        <w:rPr>
          <w:sz w:val="24"/>
          <w:szCs w:val="24"/>
        </w:rPr>
        <w:t>Forsøg med genotoksicitet af lidocain og tetracain var negative. Carcinogeniciteten af lidocain og tetracain er endnu ikke blevet undersøgt. Lidocainmetabolitten 2,6-xylidin har genotoksicitetspotentiale in vitro. I et forsøg med carcinogenicitet i rotter med eksponering til 2,6-xylidin in utero, efter fødslen og gennem hele deres levetid, sås der tumorer i næsehulrummet, underhuden og i leveren. Den kliniske relevans ved fund af tumorer ved kortvarig/gentagen/topikal anvendelse af lidocain er ukendt. Med tanke på den korte behandlingstid for Pliapel forventes dog ingen carcinogen virkning.</w:t>
      </w:r>
    </w:p>
    <w:p w:rsidR="00790EE7" w:rsidRPr="00B4417B" w:rsidRDefault="00790EE7" w:rsidP="00B4417B">
      <w:pPr>
        <w:ind w:left="851" w:hanging="851"/>
        <w:rPr>
          <w:sz w:val="24"/>
          <w:szCs w:val="24"/>
        </w:rPr>
      </w:pPr>
    </w:p>
    <w:p w:rsidR="00790EE7" w:rsidRPr="00B4417B" w:rsidRDefault="00790EE7" w:rsidP="00B4417B">
      <w:pPr>
        <w:ind w:left="851" w:hanging="851"/>
        <w:rPr>
          <w:sz w:val="24"/>
          <w:szCs w:val="24"/>
        </w:rPr>
      </w:pPr>
    </w:p>
    <w:p w:rsidR="00790EE7" w:rsidRPr="00B4417B" w:rsidRDefault="00790EE7" w:rsidP="00B4417B">
      <w:pPr>
        <w:numPr>
          <w:ilvl w:val="0"/>
          <w:numId w:val="3"/>
        </w:numPr>
        <w:tabs>
          <w:tab w:val="clear" w:pos="855"/>
        </w:tabs>
        <w:ind w:left="851" w:hanging="851"/>
        <w:rPr>
          <w:b/>
          <w:sz w:val="24"/>
          <w:szCs w:val="24"/>
        </w:rPr>
      </w:pPr>
      <w:r w:rsidRPr="00B4417B">
        <w:rPr>
          <w:b/>
          <w:sz w:val="24"/>
          <w:szCs w:val="24"/>
        </w:rPr>
        <w:t>FARMACEUTISKE OPLYSNINGER</w:t>
      </w:r>
    </w:p>
    <w:p w:rsidR="00790EE7" w:rsidRPr="00B4417B" w:rsidRDefault="00790EE7" w:rsidP="00B4417B">
      <w:pPr>
        <w:ind w:left="851" w:hanging="851"/>
        <w:rPr>
          <w:b/>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Hjælpestoffer</w:t>
      </w:r>
    </w:p>
    <w:p w:rsidR="00C96D91" w:rsidRPr="00B4417B" w:rsidRDefault="00C96D91" w:rsidP="00724EBE">
      <w:pPr>
        <w:ind w:left="851"/>
        <w:rPr>
          <w:sz w:val="24"/>
          <w:szCs w:val="24"/>
        </w:rPr>
      </w:pPr>
      <w:r w:rsidRPr="00B4417B">
        <w:rPr>
          <w:sz w:val="24"/>
          <w:szCs w:val="24"/>
        </w:rPr>
        <w:t>Calciumhydrogenphosphat, vandfrit</w:t>
      </w:r>
    </w:p>
    <w:p w:rsidR="00C96D91" w:rsidRPr="00B4417B" w:rsidRDefault="00C96D91" w:rsidP="00724EBE">
      <w:pPr>
        <w:ind w:left="851"/>
        <w:rPr>
          <w:sz w:val="24"/>
          <w:szCs w:val="24"/>
        </w:rPr>
      </w:pPr>
      <w:r w:rsidRPr="00B4417B">
        <w:rPr>
          <w:sz w:val="24"/>
          <w:szCs w:val="24"/>
        </w:rPr>
        <w:t>Vand, renset</w:t>
      </w:r>
    </w:p>
    <w:p w:rsidR="00C96D91" w:rsidRPr="00B4417B" w:rsidRDefault="00C96D91" w:rsidP="00724EBE">
      <w:pPr>
        <w:ind w:left="851"/>
        <w:rPr>
          <w:sz w:val="24"/>
          <w:szCs w:val="24"/>
        </w:rPr>
      </w:pPr>
      <w:r w:rsidRPr="00B4417B">
        <w:rPr>
          <w:sz w:val="24"/>
          <w:szCs w:val="24"/>
        </w:rPr>
        <w:t>Polyvinylalkohol</w:t>
      </w:r>
    </w:p>
    <w:p w:rsidR="00C96D91" w:rsidRPr="00B4417B" w:rsidRDefault="00C96D91" w:rsidP="00724EBE">
      <w:pPr>
        <w:ind w:left="851"/>
        <w:rPr>
          <w:sz w:val="24"/>
          <w:szCs w:val="24"/>
        </w:rPr>
      </w:pPr>
      <w:r w:rsidRPr="00B4417B">
        <w:rPr>
          <w:sz w:val="24"/>
          <w:szCs w:val="24"/>
        </w:rPr>
        <w:t>Paraffin, hvid blød</w:t>
      </w:r>
    </w:p>
    <w:p w:rsidR="00C96D91" w:rsidRPr="00B4417B" w:rsidRDefault="00C96D91" w:rsidP="00724EBE">
      <w:pPr>
        <w:ind w:left="851"/>
        <w:rPr>
          <w:sz w:val="24"/>
          <w:szCs w:val="24"/>
        </w:rPr>
      </w:pPr>
      <w:r w:rsidRPr="00B4417B">
        <w:rPr>
          <w:sz w:val="24"/>
          <w:szCs w:val="24"/>
        </w:rPr>
        <w:t>Sorbitanpalmitat</w:t>
      </w:r>
    </w:p>
    <w:p w:rsidR="00C96D91" w:rsidRPr="00B4417B" w:rsidRDefault="00C96D91" w:rsidP="00724EBE">
      <w:pPr>
        <w:ind w:left="851"/>
        <w:rPr>
          <w:sz w:val="24"/>
          <w:szCs w:val="24"/>
        </w:rPr>
      </w:pPr>
      <w:r w:rsidRPr="00B4417B">
        <w:rPr>
          <w:sz w:val="24"/>
          <w:szCs w:val="24"/>
        </w:rPr>
        <w:t xml:space="preserve">Methylparahydroxybenzoat (E218) </w:t>
      </w:r>
    </w:p>
    <w:p w:rsidR="00C96D91" w:rsidRPr="00B4417B" w:rsidRDefault="00C96D91" w:rsidP="00724EBE">
      <w:pPr>
        <w:ind w:left="851"/>
        <w:rPr>
          <w:sz w:val="24"/>
          <w:szCs w:val="24"/>
        </w:rPr>
      </w:pPr>
      <w:r w:rsidRPr="00B4417B">
        <w:rPr>
          <w:sz w:val="24"/>
          <w:szCs w:val="24"/>
        </w:rPr>
        <w:t>Propylparahydroxybenzoat (E216)</w:t>
      </w:r>
    </w:p>
    <w:p w:rsidR="00790EE7" w:rsidRPr="00B4417B" w:rsidRDefault="00790EE7" w:rsidP="00B4417B">
      <w:pPr>
        <w:ind w:left="851" w:hanging="851"/>
        <w:rPr>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Uforligeligheder</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Ikke relevant.</w:t>
      </w:r>
    </w:p>
    <w:p w:rsidR="00790EE7" w:rsidRPr="00B4417B" w:rsidRDefault="00790EE7" w:rsidP="00B4417B">
      <w:pPr>
        <w:ind w:left="851" w:hanging="851"/>
        <w:rPr>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Opbevaringstid</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 xml:space="preserve">2 år </w:t>
      </w:r>
    </w:p>
    <w:p w:rsidR="00790EE7" w:rsidRPr="00B4417B" w:rsidRDefault="00790EE7" w:rsidP="00B4417B">
      <w:pPr>
        <w:ind w:left="851" w:hanging="851"/>
        <w:rPr>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Særlige opbevaringsforhold</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 xml:space="preserve">Opbevares i køleskab (2 °C – </w:t>
      </w:r>
      <w:r w:rsidR="00B75866">
        <w:rPr>
          <w:sz w:val="24"/>
          <w:szCs w:val="24"/>
        </w:rPr>
        <w:t>8 °C), herunder efter åbning.</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Må ikke nedfryses.</w:t>
      </w:r>
    </w:p>
    <w:p w:rsidR="00BC09D7" w:rsidRDefault="00BC09D7" w:rsidP="00724EBE">
      <w:pPr>
        <w:ind w:left="851"/>
        <w:rPr>
          <w:sz w:val="24"/>
          <w:szCs w:val="24"/>
        </w:rPr>
      </w:pPr>
    </w:p>
    <w:p w:rsidR="00B340C4" w:rsidRPr="00B4417B" w:rsidRDefault="00B340C4" w:rsidP="00B340C4">
      <w:pPr>
        <w:ind w:left="851"/>
        <w:rPr>
          <w:sz w:val="24"/>
          <w:szCs w:val="24"/>
        </w:rPr>
      </w:pPr>
      <w:r w:rsidRPr="00B4417B">
        <w:rPr>
          <w:sz w:val="24"/>
          <w:szCs w:val="24"/>
        </w:rPr>
        <w:t xml:space="preserve">Når </w:t>
      </w:r>
      <w:r>
        <w:rPr>
          <w:sz w:val="24"/>
          <w:szCs w:val="24"/>
        </w:rPr>
        <w:t>den er åbnet, skal den</w:t>
      </w:r>
      <w:r w:rsidRPr="00B4417B">
        <w:rPr>
          <w:sz w:val="24"/>
          <w:szCs w:val="24"/>
        </w:rPr>
        <w:t xml:space="preserve"> anvendes indenfor 3 måneder. Det anbefales at datoen for</w:t>
      </w:r>
      <w:r>
        <w:rPr>
          <w:sz w:val="24"/>
          <w:szCs w:val="24"/>
        </w:rPr>
        <w:t xml:space="preserve"> åbningen</w:t>
      </w:r>
      <w:r w:rsidRPr="00B4417B">
        <w:rPr>
          <w:sz w:val="24"/>
          <w:szCs w:val="24"/>
        </w:rPr>
        <w:t xml:space="preserve"> noteres på pakningen.</w:t>
      </w:r>
    </w:p>
    <w:p w:rsidR="00790EE7" w:rsidRPr="00B4417B" w:rsidRDefault="00790EE7" w:rsidP="00B4417B">
      <w:pPr>
        <w:ind w:left="851" w:hanging="851"/>
        <w:rPr>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Emballagetyper og pakningsstørrelser</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Lamineret tube med HDPE hoved og et polypropylen skruelåg.</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Tuber indeholder 15 g eller 30 g.</w:t>
      </w:r>
    </w:p>
    <w:p w:rsidR="00C96D91" w:rsidRPr="00B4417B" w:rsidRDefault="00C96D91" w:rsidP="00B4417B">
      <w:pPr>
        <w:ind w:left="851" w:hanging="851"/>
        <w:rPr>
          <w:sz w:val="24"/>
          <w:szCs w:val="24"/>
        </w:rPr>
      </w:pPr>
    </w:p>
    <w:p w:rsidR="00C96D91" w:rsidRPr="00B4417B" w:rsidRDefault="00C96D91" w:rsidP="00724EBE">
      <w:pPr>
        <w:ind w:left="851"/>
        <w:rPr>
          <w:sz w:val="24"/>
          <w:szCs w:val="24"/>
        </w:rPr>
      </w:pPr>
      <w:r w:rsidRPr="00B4417B">
        <w:rPr>
          <w:sz w:val="24"/>
          <w:szCs w:val="24"/>
        </w:rPr>
        <w:t>Ikke alle pakningsstørrelser er nødvendigvis markedsført.</w:t>
      </w:r>
    </w:p>
    <w:p w:rsidR="00790EE7" w:rsidRPr="00B4417B" w:rsidRDefault="00790EE7" w:rsidP="00B4417B">
      <w:pPr>
        <w:ind w:left="851" w:hanging="851"/>
        <w:rPr>
          <w:sz w:val="24"/>
          <w:szCs w:val="24"/>
        </w:rPr>
      </w:pPr>
    </w:p>
    <w:p w:rsidR="00790EE7" w:rsidRPr="00B4417B" w:rsidRDefault="00790EE7" w:rsidP="00B4417B">
      <w:pPr>
        <w:numPr>
          <w:ilvl w:val="1"/>
          <w:numId w:val="5"/>
        </w:numPr>
        <w:tabs>
          <w:tab w:val="clear" w:pos="855"/>
        </w:tabs>
        <w:ind w:left="851" w:hanging="851"/>
        <w:rPr>
          <w:b/>
          <w:sz w:val="24"/>
          <w:szCs w:val="24"/>
        </w:rPr>
      </w:pPr>
      <w:r w:rsidRPr="00B4417B">
        <w:rPr>
          <w:b/>
          <w:sz w:val="24"/>
          <w:szCs w:val="24"/>
        </w:rPr>
        <w:t>Regler for destruktion og anden håndtering</w:t>
      </w:r>
    </w:p>
    <w:p w:rsidR="00C96D91" w:rsidRPr="00B4417B" w:rsidRDefault="00790EE7" w:rsidP="00B4417B">
      <w:pPr>
        <w:ind w:left="851" w:hanging="851"/>
        <w:rPr>
          <w:sz w:val="24"/>
          <w:szCs w:val="24"/>
        </w:rPr>
      </w:pPr>
      <w:r w:rsidRPr="00B4417B">
        <w:rPr>
          <w:sz w:val="24"/>
          <w:szCs w:val="24"/>
        </w:rPr>
        <w:tab/>
      </w:r>
      <w:r w:rsidR="00C96D91" w:rsidRPr="00B4417B">
        <w:rPr>
          <w:sz w:val="24"/>
          <w:szCs w:val="24"/>
        </w:rPr>
        <w:t>Ikke anvendt lægemiddel samt affald heraf skal bortskaffes i henhold til lokale retningslinjer.</w:t>
      </w:r>
    </w:p>
    <w:p w:rsidR="00790EE7" w:rsidRPr="00B4417B" w:rsidRDefault="00790EE7" w:rsidP="00B4417B">
      <w:pPr>
        <w:ind w:left="851" w:hanging="851"/>
        <w:jc w:val="both"/>
        <w:rPr>
          <w:sz w:val="24"/>
          <w:szCs w:val="24"/>
        </w:rPr>
      </w:pPr>
    </w:p>
    <w:p w:rsidR="00790EE7" w:rsidRPr="00B4417B" w:rsidRDefault="00790EE7" w:rsidP="00B4417B">
      <w:pPr>
        <w:ind w:left="851" w:hanging="851"/>
        <w:rPr>
          <w:b/>
          <w:sz w:val="24"/>
          <w:szCs w:val="24"/>
        </w:rPr>
      </w:pPr>
      <w:r w:rsidRPr="00B4417B">
        <w:rPr>
          <w:b/>
          <w:sz w:val="24"/>
          <w:szCs w:val="24"/>
        </w:rPr>
        <w:t>7.</w:t>
      </w:r>
      <w:r w:rsidRPr="00B4417B">
        <w:rPr>
          <w:b/>
          <w:sz w:val="24"/>
          <w:szCs w:val="24"/>
        </w:rPr>
        <w:tab/>
        <w:t>INDEHAVER AF MARKEDSFØRINGSTILLADELSEN</w:t>
      </w:r>
    </w:p>
    <w:p w:rsidR="00C96D91" w:rsidRPr="00B4417B" w:rsidRDefault="00790EE7" w:rsidP="00B4417B">
      <w:pPr>
        <w:ind w:left="851" w:hanging="851"/>
        <w:rPr>
          <w:sz w:val="24"/>
          <w:szCs w:val="24"/>
          <w:lang w:val="sv-SE"/>
        </w:rPr>
      </w:pPr>
      <w:r w:rsidRPr="00B4417B">
        <w:rPr>
          <w:sz w:val="24"/>
          <w:szCs w:val="24"/>
        </w:rPr>
        <w:tab/>
      </w:r>
      <w:r w:rsidR="00C96D91" w:rsidRPr="00B4417B">
        <w:rPr>
          <w:sz w:val="24"/>
          <w:szCs w:val="24"/>
          <w:lang w:val="sv-SE"/>
        </w:rPr>
        <w:t>Galderma Nordic AB</w:t>
      </w:r>
    </w:p>
    <w:p w:rsidR="00C96D91" w:rsidRPr="00B4417B" w:rsidRDefault="00C96D91" w:rsidP="00724EBE">
      <w:pPr>
        <w:ind w:left="851"/>
        <w:rPr>
          <w:sz w:val="24"/>
          <w:szCs w:val="24"/>
          <w:lang w:val="sv-SE"/>
        </w:rPr>
      </w:pPr>
      <w:r w:rsidRPr="00B4417B">
        <w:rPr>
          <w:sz w:val="24"/>
          <w:szCs w:val="24"/>
          <w:lang w:val="sv-SE"/>
        </w:rPr>
        <w:t>Seminariegatan 21</w:t>
      </w:r>
    </w:p>
    <w:p w:rsidR="00C96D91" w:rsidRPr="00B4417B" w:rsidRDefault="00C96D91" w:rsidP="00724EBE">
      <w:pPr>
        <w:ind w:left="851"/>
        <w:rPr>
          <w:sz w:val="24"/>
          <w:szCs w:val="24"/>
          <w:lang w:val="sv-SE"/>
        </w:rPr>
      </w:pPr>
      <w:r w:rsidRPr="00B4417B">
        <w:rPr>
          <w:sz w:val="24"/>
          <w:szCs w:val="24"/>
          <w:lang w:val="sv-SE"/>
        </w:rPr>
        <w:t>752 28 Uppsala</w:t>
      </w:r>
    </w:p>
    <w:p w:rsidR="00C96D91" w:rsidRPr="00B4417B" w:rsidRDefault="00C96D91" w:rsidP="00724EBE">
      <w:pPr>
        <w:ind w:left="851"/>
        <w:rPr>
          <w:sz w:val="24"/>
          <w:szCs w:val="24"/>
          <w:lang w:val="sv-SE"/>
        </w:rPr>
      </w:pPr>
      <w:r w:rsidRPr="00B4417B">
        <w:rPr>
          <w:sz w:val="24"/>
          <w:szCs w:val="24"/>
          <w:lang w:val="sv-SE"/>
        </w:rPr>
        <w:t>Sverige</w:t>
      </w:r>
    </w:p>
    <w:p w:rsidR="00790EE7" w:rsidRPr="00B4417B" w:rsidRDefault="00790EE7" w:rsidP="00B4417B">
      <w:pPr>
        <w:ind w:left="851" w:hanging="851"/>
        <w:rPr>
          <w:sz w:val="24"/>
          <w:szCs w:val="24"/>
        </w:rPr>
      </w:pPr>
    </w:p>
    <w:p w:rsidR="00790EE7" w:rsidRPr="00B4417B" w:rsidRDefault="00790EE7" w:rsidP="00B4417B">
      <w:pPr>
        <w:ind w:left="851" w:hanging="851"/>
        <w:rPr>
          <w:b/>
          <w:sz w:val="24"/>
          <w:szCs w:val="24"/>
        </w:rPr>
      </w:pPr>
      <w:r w:rsidRPr="00B4417B">
        <w:rPr>
          <w:b/>
          <w:sz w:val="24"/>
          <w:szCs w:val="24"/>
        </w:rPr>
        <w:t>8.</w:t>
      </w:r>
      <w:r w:rsidRPr="00B4417B">
        <w:rPr>
          <w:b/>
          <w:sz w:val="24"/>
          <w:szCs w:val="24"/>
        </w:rPr>
        <w:tab/>
        <w:t>MARKEDSFØRINGSTILLADELSESNUMMER (NUMRE)</w:t>
      </w:r>
    </w:p>
    <w:p w:rsidR="00790EE7" w:rsidRPr="00B4417B" w:rsidRDefault="00790EE7" w:rsidP="00B4417B">
      <w:pPr>
        <w:ind w:left="851" w:hanging="851"/>
        <w:rPr>
          <w:sz w:val="24"/>
          <w:szCs w:val="24"/>
        </w:rPr>
      </w:pPr>
      <w:r w:rsidRPr="00B4417B">
        <w:rPr>
          <w:sz w:val="24"/>
          <w:szCs w:val="24"/>
        </w:rPr>
        <w:tab/>
      </w:r>
      <w:r w:rsidR="00C96D91" w:rsidRPr="00B4417B">
        <w:rPr>
          <w:sz w:val="24"/>
          <w:szCs w:val="24"/>
        </w:rPr>
        <w:t>48871</w:t>
      </w:r>
    </w:p>
    <w:p w:rsidR="00790EE7" w:rsidRPr="00B4417B" w:rsidRDefault="00790EE7" w:rsidP="00B4417B">
      <w:pPr>
        <w:ind w:left="851" w:hanging="851"/>
        <w:jc w:val="both"/>
        <w:rPr>
          <w:sz w:val="24"/>
          <w:szCs w:val="24"/>
        </w:rPr>
      </w:pPr>
    </w:p>
    <w:p w:rsidR="00790EE7" w:rsidRPr="00B4417B" w:rsidRDefault="00790EE7" w:rsidP="00B4417B">
      <w:pPr>
        <w:ind w:left="851" w:hanging="851"/>
        <w:rPr>
          <w:b/>
          <w:sz w:val="24"/>
          <w:szCs w:val="24"/>
        </w:rPr>
      </w:pPr>
      <w:r w:rsidRPr="00B4417B">
        <w:rPr>
          <w:b/>
          <w:sz w:val="24"/>
          <w:szCs w:val="24"/>
        </w:rPr>
        <w:t>9.</w:t>
      </w:r>
      <w:r w:rsidRPr="00B4417B">
        <w:rPr>
          <w:b/>
          <w:sz w:val="24"/>
          <w:szCs w:val="24"/>
        </w:rPr>
        <w:tab/>
        <w:t>DATO FOR FØRSTE MARKEDSFØRINGSTILLADELSE</w:t>
      </w:r>
    </w:p>
    <w:p w:rsidR="00790EE7" w:rsidRPr="00B4417B" w:rsidRDefault="00790EE7" w:rsidP="00B4417B">
      <w:pPr>
        <w:ind w:left="851" w:hanging="851"/>
        <w:rPr>
          <w:sz w:val="24"/>
          <w:szCs w:val="24"/>
        </w:rPr>
      </w:pPr>
      <w:r w:rsidRPr="00B4417B">
        <w:rPr>
          <w:sz w:val="24"/>
          <w:szCs w:val="24"/>
        </w:rPr>
        <w:tab/>
      </w:r>
      <w:r w:rsidR="00C96D91" w:rsidRPr="00B4417B">
        <w:rPr>
          <w:sz w:val="24"/>
          <w:szCs w:val="24"/>
        </w:rPr>
        <w:t>25. juni 2012</w:t>
      </w:r>
    </w:p>
    <w:p w:rsidR="00790EE7" w:rsidRPr="00B4417B" w:rsidRDefault="00790EE7" w:rsidP="00B4417B">
      <w:pPr>
        <w:ind w:left="851" w:hanging="851"/>
        <w:rPr>
          <w:sz w:val="24"/>
          <w:szCs w:val="24"/>
        </w:rPr>
      </w:pPr>
    </w:p>
    <w:p w:rsidR="00790EE7" w:rsidRPr="00B4417B" w:rsidRDefault="00790EE7" w:rsidP="00B4417B">
      <w:pPr>
        <w:ind w:left="851" w:hanging="851"/>
        <w:rPr>
          <w:b/>
          <w:sz w:val="24"/>
          <w:szCs w:val="24"/>
        </w:rPr>
      </w:pPr>
      <w:r w:rsidRPr="00B4417B">
        <w:rPr>
          <w:b/>
          <w:sz w:val="24"/>
          <w:szCs w:val="24"/>
        </w:rPr>
        <w:t>10.</w:t>
      </w:r>
      <w:r w:rsidRPr="00B4417B">
        <w:rPr>
          <w:b/>
          <w:sz w:val="24"/>
          <w:szCs w:val="24"/>
        </w:rPr>
        <w:tab/>
        <w:t>DATO FOR ÆNDRING AF TEKSTEN</w:t>
      </w:r>
    </w:p>
    <w:p w:rsidR="00424A94" w:rsidRPr="00B4417B" w:rsidRDefault="00C95551" w:rsidP="00424A94">
      <w:pPr>
        <w:ind w:left="851" w:hanging="851"/>
        <w:rPr>
          <w:sz w:val="24"/>
          <w:szCs w:val="24"/>
        </w:rPr>
      </w:pPr>
      <w:r w:rsidRPr="00B4417B">
        <w:rPr>
          <w:sz w:val="24"/>
          <w:szCs w:val="24"/>
        </w:rPr>
        <w:tab/>
      </w:r>
      <w:r w:rsidR="00B75866">
        <w:rPr>
          <w:sz w:val="24"/>
          <w:szCs w:val="24"/>
        </w:rPr>
        <w:t>12</w:t>
      </w:r>
      <w:bookmarkStart w:id="0" w:name="_GoBack"/>
      <w:bookmarkEnd w:id="0"/>
      <w:r w:rsidR="00B340C4">
        <w:rPr>
          <w:sz w:val="24"/>
          <w:szCs w:val="24"/>
        </w:rPr>
        <w:t>. december</w:t>
      </w:r>
      <w:r w:rsidR="00552357">
        <w:rPr>
          <w:sz w:val="24"/>
          <w:szCs w:val="24"/>
        </w:rPr>
        <w:t xml:space="preserve"> 2017</w:t>
      </w:r>
    </w:p>
    <w:sectPr w:rsidR="00424A94" w:rsidRPr="00B4417B" w:rsidSect="00BC09D7">
      <w:footerReference w:type="default" r:id="rId9"/>
      <w:pgSz w:w="11906" w:h="16838"/>
      <w:pgMar w:top="1135"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7B" w:rsidRDefault="00B4417B">
      <w:r>
        <w:separator/>
      </w:r>
    </w:p>
  </w:endnote>
  <w:endnote w:type="continuationSeparator" w:id="0">
    <w:p w:rsidR="00B4417B" w:rsidRDefault="00B4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17B" w:rsidRDefault="00B4417B">
    <w:pPr>
      <w:pStyle w:val="Sidefod"/>
      <w:pBdr>
        <w:bottom w:val="single" w:sz="6" w:space="1" w:color="auto"/>
      </w:pBdr>
    </w:pPr>
  </w:p>
  <w:p w:rsidR="00B4417B" w:rsidRDefault="00B4417B" w:rsidP="00C42586">
    <w:pPr>
      <w:pStyle w:val="Sidefod"/>
      <w:tabs>
        <w:tab w:val="clear" w:pos="4819"/>
        <w:tab w:val="left" w:pos="8505"/>
      </w:tabs>
      <w:rPr>
        <w:i/>
        <w:sz w:val="18"/>
        <w:szCs w:val="18"/>
      </w:rPr>
    </w:pPr>
  </w:p>
  <w:p w:rsidR="00B4417B" w:rsidRPr="00B373D7" w:rsidRDefault="005A5770" w:rsidP="00C42586">
    <w:pPr>
      <w:pStyle w:val="Sidefod"/>
      <w:tabs>
        <w:tab w:val="clear" w:pos="4819"/>
        <w:tab w:val="left" w:pos="8505"/>
      </w:tabs>
      <w:rPr>
        <w:i/>
        <w:sz w:val="18"/>
        <w:szCs w:val="18"/>
      </w:rPr>
    </w:pPr>
    <w:r w:rsidRPr="00B373D7">
      <w:rPr>
        <w:i/>
        <w:sz w:val="18"/>
        <w:szCs w:val="18"/>
      </w:rPr>
      <w:fldChar w:fldCharType="begin"/>
    </w:r>
    <w:r w:rsidR="00B4417B" w:rsidRPr="00B373D7">
      <w:rPr>
        <w:i/>
        <w:sz w:val="18"/>
        <w:szCs w:val="18"/>
      </w:rPr>
      <w:instrText xml:space="preserve"> FILENAME </w:instrText>
    </w:r>
    <w:r w:rsidRPr="00B373D7">
      <w:rPr>
        <w:i/>
        <w:sz w:val="18"/>
        <w:szCs w:val="18"/>
      </w:rPr>
      <w:fldChar w:fldCharType="separate"/>
    </w:r>
    <w:r w:rsidR="002D06C2">
      <w:rPr>
        <w:i/>
        <w:noProof/>
        <w:sz w:val="18"/>
        <w:szCs w:val="18"/>
      </w:rPr>
      <w:t>Pliapel, creme 70 mg-g+70 mg-g</w:t>
    </w:r>
    <w:r w:rsidRPr="00B373D7">
      <w:rPr>
        <w:i/>
        <w:sz w:val="18"/>
        <w:szCs w:val="18"/>
      </w:rPr>
      <w:fldChar w:fldCharType="end"/>
    </w:r>
    <w:r w:rsidR="00B4417B" w:rsidRPr="00B373D7">
      <w:rPr>
        <w:i/>
        <w:sz w:val="18"/>
        <w:szCs w:val="18"/>
      </w:rPr>
      <w:tab/>
      <w:t xml:space="preserve">Side </w:t>
    </w:r>
    <w:r w:rsidRPr="00B373D7">
      <w:rPr>
        <w:rStyle w:val="Sidetal"/>
        <w:i/>
        <w:sz w:val="18"/>
        <w:szCs w:val="18"/>
      </w:rPr>
      <w:fldChar w:fldCharType="begin"/>
    </w:r>
    <w:r w:rsidR="00B4417B" w:rsidRPr="00B373D7">
      <w:rPr>
        <w:rStyle w:val="Sidetal"/>
        <w:i/>
        <w:sz w:val="18"/>
        <w:szCs w:val="18"/>
      </w:rPr>
      <w:instrText xml:space="preserve"> PAGE </w:instrText>
    </w:r>
    <w:r w:rsidRPr="00B373D7">
      <w:rPr>
        <w:rStyle w:val="Sidetal"/>
        <w:i/>
        <w:sz w:val="18"/>
        <w:szCs w:val="18"/>
      </w:rPr>
      <w:fldChar w:fldCharType="separate"/>
    </w:r>
    <w:r w:rsidR="00B75866">
      <w:rPr>
        <w:rStyle w:val="Sidetal"/>
        <w:i/>
        <w:noProof/>
        <w:sz w:val="18"/>
        <w:szCs w:val="18"/>
      </w:rPr>
      <w:t>10</w:t>
    </w:r>
    <w:r w:rsidRPr="00B373D7">
      <w:rPr>
        <w:rStyle w:val="Sidetal"/>
        <w:i/>
        <w:sz w:val="18"/>
        <w:szCs w:val="18"/>
      </w:rPr>
      <w:fldChar w:fldCharType="end"/>
    </w:r>
    <w:r w:rsidR="00B4417B" w:rsidRPr="00B373D7">
      <w:rPr>
        <w:rStyle w:val="Sidetal"/>
        <w:i/>
        <w:sz w:val="18"/>
        <w:szCs w:val="18"/>
      </w:rPr>
      <w:t xml:space="preserve"> af </w:t>
    </w:r>
    <w:r w:rsidRPr="00B373D7">
      <w:rPr>
        <w:rStyle w:val="Sidetal"/>
        <w:i/>
        <w:sz w:val="18"/>
        <w:szCs w:val="18"/>
      </w:rPr>
      <w:fldChar w:fldCharType="begin"/>
    </w:r>
    <w:r w:rsidR="00B4417B" w:rsidRPr="00B373D7">
      <w:rPr>
        <w:rStyle w:val="Sidetal"/>
        <w:i/>
        <w:sz w:val="18"/>
        <w:szCs w:val="18"/>
      </w:rPr>
      <w:instrText xml:space="preserve"> NUMPAGES </w:instrText>
    </w:r>
    <w:r w:rsidRPr="00B373D7">
      <w:rPr>
        <w:rStyle w:val="Sidetal"/>
        <w:i/>
        <w:sz w:val="18"/>
        <w:szCs w:val="18"/>
      </w:rPr>
      <w:fldChar w:fldCharType="separate"/>
    </w:r>
    <w:r w:rsidR="00B75866">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7B" w:rsidRDefault="00B4417B">
      <w:r>
        <w:separator/>
      </w:r>
    </w:p>
  </w:footnote>
  <w:footnote w:type="continuationSeparator" w:id="0">
    <w:p w:rsidR="00B4417B" w:rsidRDefault="00B44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37"/>
    <w:rsid w:val="00074F2A"/>
    <w:rsid w:val="000A3280"/>
    <w:rsid w:val="000A466B"/>
    <w:rsid w:val="000E4EE6"/>
    <w:rsid w:val="00283A2B"/>
    <w:rsid w:val="002D06C2"/>
    <w:rsid w:val="00385B87"/>
    <w:rsid w:val="00424A94"/>
    <w:rsid w:val="004563B5"/>
    <w:rsid w:val="0049104B"/>
    <w:rsid w:val="004B661A"/>
    <w:rsid w:val="00552357"/>
    <w:rsid w:val="005871C6"/>
    <w:rsid w:val="005A5770"/>
    <w:rsid w:val="005B300D"/>
    <w:rsid w:val="006C2B08"/>
    <w:rsid w:val="00716097"/>
    <w:rsid w:val="00724EBE"/>
    <w:rsid w:val="007261B2"/>
    <w:rsid w:val="00781FDB"/>
    <w:rsid w:val="00790EE7"/>
    <w:rsid w:val="0082576E"/>
    <w:rsid w:val="0093258A"/>
    <w:rsid w:val="00936B09"/>
    <w:rsid w:val="009D5038"/>
    <w:rsid w:val="009F0D9F"/>
    <w:rsid w:val="00A2524C"/>
    <w:rsid w:val="00B340C4"/>
    <w:rsid w:val="00B373D7"/>
    <w:rsid w:val="00B4417B"/>
    <w:rsid w:val="00B75866"/>
    <w:rsid w:val="00BC09D7"/>
    <w:rsid w:val="00C228C0"/>
    <w:rsid w:val="00C42586"/>
    <w:rsid w:val="00C95551"/>
    <w:rsid w:val="00C96D91"/>
    <w:rsid w:val="00CE0914"/>
    <w:rsid w:val="00D11748"/>
    <w:rsid w:val="00D14D74"/>
    <w:rsid w:val="00D67A37"/>
    <w:rsid w:val="00DD19CE"/>
    <w:rsid w:val="00EC0B9B"/>
    <w:rsid w:val="00F7779B"/>
    <w:rsid w:val="00FC3B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B769FC7-BCC5-4359-97F9-BA88198F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770"/>
    <w:rPr>
      <w:sz w:val="23"/>
      <w:lang w:eastAsia="en-US"/>
    </w:rPr>
  </w:style>
  <w:style w:type="paragraph" w:styleId="Overskrift1">
    <w:name w:val="heading 1"/>
    <w:basedOn w:val="Normal"/>
    <w:next w:val="Normal"/>
    <w:qFormat/>
    <w:rsid w:val="005A5770"/>
    <w:pPr>
      <w:keepNext/>
      <w:spacing w:before="240" w:after="60"/>
      <w:outlineLvl w:val="0"/>
    </w:pPr>
    <w:rPr>
      <w:rFonts w:ascii="Arial" w:hAnsi="Arial"/>
      <w:b/>
      <w:kern w:val="28"/>
      <w:sz w:val="28"/>
    </w:rPr>
  </w:style>
  <w:style w:type="paragraph" w:styleId="Overskrift3">
    <w:name w:val="heading 3"/>
    <w:basedOn w:val="Normal"/>
    <w:next w:val="Normal"/>
    <w:qFormat/>
    <w:rsid w:val="005A5770"/>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SidehovedTegn">
    <w:name w:val="Sidehoved Tegn"/>
    <w:basedOn w:val="Standardskrifttypeiafsnit"/>
    <w:link w:val="Sidehoved"/>
    <w:rsid w:val="005523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72918">
      <w:bodyDiv w:val="1"/>
      <w:marLeft w:val="0"/>
      <w:marRight w:val="0"/>
      <w:marTop w:val="0"/>
      <w:marBottom w:val="0"/>
      <w:divBdr>
        <w:top w:val="none" w:sz="0" w:space="0" w:color="auto"/>
        <w:left w:val="none" w:sz="0" w:space="0" w:color="auto"/>
        <w:bottom w:val="none" w:sz="0" w:space="0" w:color="auto"/>
        <w:right w:val="none" w:sz="0" w:space="0" w:color="auto"/>
      </w:divBdr>
    </w:div>
    <w:div w:id="297671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783832">
      <w:bodyDiv w:val="1"/>
      <w:marLeft w:val="0"/>
      <w:marRight w:val="0"/>
      <w:marTop w:val="0"/>
      <w:marBottom w:val="0"/>
      <w:divBdr>
        <w:top w:val="none" w:sz="0" w:space="0" w:color="auto"/>
        <w:left w:val="none" w:sz="0" w:space="0" w:color="auto"/>
        <w:bottom w:val="none" w:sz="0" w:space="0" w:color="auto"/>
        <w:right w:val="none" w:sz="0" w:space="0" w:color="auto"/>
      </w:divBdr>
    </w:div>
    <w:div w:id="279993959">
      <w:bodyDiv w:val="1"/>
      <w:marLeft w:val="0"/>
      <w:marRight w:val="0"/>
      <w:marTop w:val="0"/>
      <w:marBottom w:val="0"/>
      <w:divBdr>
        <w:top w:val="none" w:sz="0" w:space="0" w:color="auto"/>
        <w:left w:val="none" w:sz="0" w:space="0" w:color="auto"/>
        <w:bottom w:val="none" w:sz="0" w:space="0" w:color="auto"/>
        <w:right w:val="none" w:sz="0" w:space="0" w:color="auto"/>
      </w:divBdr>
    </w:div>
    <w:div w:id="290288175">
      <w:bodyDiv w:val="1"/>
      <w:marLeft w:val="0"/>
      <w:marRight w:val="0"/>
      <w:marTop w:val="0"/>
      <w:marBottom w:val="0"/>
      <w:divBdr>
        <w:top w:val="none" w:sz="0" w:space="0" w:color="auto"/>
        <w:left w:val="none" w:sz="0" w:space="0" w:color="auto"/>
        <w:bottom w:val="none" w:sz="0" w:space="0" w:color="auto"/>
        <w:right w:val="none" w:sz="0" w:space="0" w:color="auto"/>
      </w:divBdr>
    </w:div>
    <w:div w:id="414329263">
      <w:bodyDiv w:val="1"/>
      <w:marLeft w:val="0"/>
      <w:marRight w:val="0"/>
      <w:marTop w:val="0"/>
      <w:marBottom w:val="0"/>
      <w:divBdr>
        <w:top w:val="none" w:sz="0" w:space="0" w:color="auto"/>
        <w:left w:val="none" w:sz="0" w:space="0" w:color="auto"/>
        <w:bottom w:val="none" w:sz="0" w:space="0" w:color="auto"/>
        <w:right w:val="none" w:sz="0" w:space="0" w:color="auto"/>
      </w:divBdr>
    </w:div>
    <w:div w:id="449519060">
      <w:bodyDiv w:val="1"/>
      <w:marLeft w:val="0"/>
      <w:marRight w:val="0"/>
      <w:marTop w:val="0"/>
      <w:marBottom w:val="0"/>
      <w:divBdr>
        <w:top w:val="none" w:sz="0" w:space="0" w:color="auto"/>
        <w:left w:val="none" w:sz="0" w:space="0" w:color="auto"/>
        <w:bottom w:val="none" w:sz="0" w:space="0" w:color="auto"/>
        <w:right w:val="none" w:sz="0" w:space="0" w:color="auto"/>
      </w:divBdr>
    </w:div>
    <w:div w:id="458257212">
      <w:bodyDiv w:val="1"/>
      <w:marLeft w:val="0"/>
      <w:marRight w:val="0"/>
      <w:marTop w:val="0"/>
      <w:marBottom w:val="0"/>
      <w:divBdr>
        <w:top w:val="none" w:sz="0" w:space="0" w:color="auto"/>
        <w:left w:val="none" w:sz="0" w:space="0" w:color="auto"/>
        <w:bottom w:val="none" w:sz="0" w:space="0" w:color="auto"/>
        <w:right w:val="none" w:sz="0" w:space="0" w:color="auto"/>
      </w:divBdr>
    </w:div>
    <w:div w:id="485630812">
      <w:bodyDiv w:val="1"/>
      <w:marLeft w:val="0"/>
      <w:marRight w:val="0"/>
      <w:marTop w:val="0"/>
      <w:marBottom w:val="0"/>
      <w:divBdr>
        <w:top w:val="none" w:sz="0" w:space="0" w:color="auto"/>
        <w:left w:val="none" w:sz="0" w:space="0" w:color="auto"/>
        <w:bottom w:val="none" w:sz="0" w:space="0" w:color="auto"/>
        <w:right w:val="none" w:sz="0" w:space="0" w:color="auto"/>
      </w:divBdr>
    </w:div>
    <w:div w:id="485705831">
      <w:bodyDiv w:val="1"/>
      <w:marLeft w:val="0"/>
      <w:marRight w:val="0"/>
      <w:marTop w:val="0"/>
      <w:marBottom w:val="0"/>
      <w:divBdr>
        <w:top w:val="none" w:sz="0" w:space="0" w:color="auto"/>
        <w:left w:val="none" w:sz="0" w:space="0" w:color="auto"/>
        <w:bottom w:val="none" w:sz="0" w:space="0" w:color="auto"/>
        <w:right w:val="none" w:sz="0" w:space="0" w:color="auto"/>
      </w:divBdr>
    </w:div>
    <w:div w:id="548077820">
      <w:bodyDiv w:val="1"/>
      <w:marLeft w:val="0"/>
      <w:marRight w:val="0"/>
      <w:marTop w:val="0"/>
      <w:marBottom w:val="0"/>
      <w:divBdr>
        <w:top w:val="none" w:sz="0" w:space="0" w:color="auto"/>
        <w:left w:val="none" w:sz="0" w:space="0" w:color="auto"/>
        <w:bottom w:val="none" w:sz="0" w:space="0" w:color="auto"/>
        <w:right w:val="none" w:sz="0" w:space="0" w:color="auto"/>
      </w:divBdr>
    </w:div>
    <w:div w:id="565337133">
      <w:bodyDiv w:val="1"/>
      <w:marLeft w:val="0"/>
      <w:marRight w:val="0"/>
      <w:marTop w:val="0"/>
      <w:marBottom w:val="0"/>
      <w:divBdr>
        <w:top w:val="none" w:sz="0" w:space="0" w:color="auto"/>
        <w:left w:val="none" w:sz="0" w:space="0" w:color="auto"/>
        <w:bottom w:val="none" w:sz="0" w:space="0" w:color="auto"/>
        <w:right w:val="none" w:sz="0" w:space="0" w:color="auto"/>
      </w:divBdr>
    </w:div>
    <w:div w:id="665935659">
      <w:bodyDiv w:val="1"/>
      <w:marLeft w:val="0"/>
      <w:marRight w:val="0"/>
      <w:marTop w:val="0"/>
      <w:marBottom w:val="0"/>
      <w:divBdr>
        <w:top w:val="none" w:sz="0" w:space="0" w:color="auto"/>
        <w:left w:val="none" w:sz="0" w:space="0" w:color="auto"/>
        <w:bottom w:val="none" w:sz="0" w:space="0" w:color="auto"/>
        <w:right w:val="none" w:sz="0" w:space="0" w:color="auto"/>
      </w:divBdr>
    </w:div>
    <w:div w:id="674117378">
      <w:bodyDiv w:val="1"/>
      <w:marLeft w:val="0"/>
      <w:marRight w:val="0"/>
      <w:marTop w:val="0"/>
      <w:marBottom w:val="0"/>
      <w:divBdr>
        <w:top w:val="none" w:sz="0" w:space="0" w:color="auto"/>
        <w:left w:val="none" w:sz="0" w:space="0" w:color="auto"/>
        <w:bottom w:val="none" w:sz="0" w:space="0" w:color="auto"/>
        <w:right w:val="none" w:sz="0" w:space="0" w:color="auto"/>
      </w:divBdr>
    </w:div>
    <w:div w:id="689643487">
      <w:bodyDiv w:val="1"/>
      <w:marLeft w:val="0"/>
      <w:marRight w:val="0"/>
      <w:marTop w:val="0"/>
      <w:marBottom w:val="0"/>
      <w:divBdr>
        <w:top w:val="none" w:sz="0" w:space="0" w:color="auto"/>
        <w:left w:val="none" w:sz="0" w:space="0" w:color="auto"/>
        <w:bottom w:val="none" w:sz="0" w:space="0" w:color="auto"/>
        <w:right w:val="none" w:sz="0" w:space="0" w:color="auto"/>
      </w:divBdr>
    </w:div>
    <w:div w:id="714474243">
      <w:bodyDiv w:val="1"/>
      <w:marLeft w:val="0"/>
      <w:marRight w:val="0"/>
      <w:marTop w:val="0"/>
      <w:marBottom w:val="0"/>
      <w:divBdr>
        <w:top w:val="none" w:sz="0" w:space="0" w:color="auto"/>
        <w:left w:val="none" w:sz="0" w:space="0" w:color="auto"/>
        <w:bottom w:val="none" w:sz="0" w:space="0" w:color="auto"/>
        <w:right w:val="none" w:sz="0" w:space="0" w:color="auto"/>
      </w:divBdr>
    </w:div>
    <w:div w:id="721445946">
      <w:bodyDiv w:val="1"/>
      <w:marLeft w:val="0"/>
      <w:marRight w:val="0"/>
      <w:marTop w:val="0"/>
      <w:marBottom w:val="0"/>
      <w:divBdr>
        <w:top w:val="none" w:sz="0" w:space="0" w:color="auto"/>
        <w:left w:val="none" w:sz="0" w:space="0" w:color="auto"/>
        <w:bottom w:val="none" w:sz="0" w:space="0" w:color="auto"/>
        <w:right w:val="none" w:sz="0" w:space="0" w:color="auto"/>
      </w:divBdr>
    </w:div>
    <w:div w:id="728191936">
      <w:bodyDiv w:val="1"/>
      <w:marLeft w:val="0"/>
      <w:marRight w:val="0"/>
      <w:marTop w:val="0"/>
      <w:marBottom w:val="0"/>
      <w:divBdr>
        <w:top w:val="none" w:sz="0" w:space="0" w:color="auto"/>
        <w:left w:val="none" w:sz="0" w:space="0" w:color="auto"/>
        <w:bottom w:val="none" w:sz="0" w:space="0" w:color="auto"/>
        <w:right w:val="none" w:sz="0" w:space="0" w:color="auto"/>
      </w:divBdr>
    </w:div>
    <w:div w:id="786393821">
      <w:bodyDiv w:val="1"/>
      <w:marLeft w:val="0"/>
      <w:marRight w:val="0"/>
      <w:marTop w:val="0"/>
      <w:marBottom w:val="0"/>
      <w:divBdr>
        <w:top w:val="none" w:sz="0" w:space="0" w:color="auto"/>
        <w:left w:val="none" w:sz="0" w:space="0" w:color="auto"/>
        <w:bottom w:val="none" w:sz="0" w:space="0" w:color="auto"/>
        <w:right w:val="none" w:sz="0" w:space="0" w:color="auto"/>
      </w:divBdr>
    </w:div>
    <w:div w:id="851995211">
      <w:bodyDiv w:val="1"/>
      <w:marLeft w:val="0"/>
      <w:marRight w:val="0"/>
      <w:marTop w:val="0"/>
      <w:marBottom w:val="0"/>
      <w:divBdr>
        <w:top w:val="none" w:sz="0" w:space="0" w:color="auto"/>
        <w:left w:val="none" w:sz="0" w:space="0" w:color="auto"/>
        <w:bottom w:val="none" w:sz="0" w:space="0" w:color="auto"/>
        <w:right w:val="none" w:sz="0" w:space="0" w:color="auto"/>
      </w:divBdr>
    </w:div>
    <w:div w:id="864296492">
      <w:bodyDiv w:val="1"/>
      <w:marLeft w:val="0"/>
      <w:marRight w:val="0"/>
      <w:marTop w:val="0"/>
      <w:marBottom w:val="0"/>
      <w:divBdr>
        <w:top w:val="none" w:sz="0" w:space="0" w:color="auto"/>
        <w:left w:val="none" w:sz="0" w:space="0" w:color="auto"/>
        <w:bottom w:val="none" w:sz="0" w:space="0" w:color="auto"/>
        <w:right w:val="none" w:sz="0" w:space="0" w:color="auto"/>
      </w:divBdr>
    </w:div>
    <w:div w:id="894195523">
      <w:bodyDiv w:val="1"/>
      <w:marLeft w:val="0"/>
      <w:marRight w:val="0"/>
      <w:marTop w:val="0"/>
      <w:marBottom w:val="0"/>
      <w:divBdr>
        <w:top w:val="none" w:sz="0" w:space="0" w:color="auto"/>
        <w:left w:val="none" w:sz="0" w:space="0" w:color="auto"/>
        <w:bottom w:val="none" w:sz="0" w:space="0" w:color="auto"/>
        <w:right w:val="none" w:sz="0" w:space="0" w:color="auto"/>
      </w:divBdr>
    </w:div>
    <w:div w:id="946884580">
      <w:bodyDiv w:val="1"/>
      <w:marLeft w:val="0"/>
      <w:marRight w:val="0"/>
      <w:marTop w:val="0"/>
      <w:marBottom w:val="0"/>
      <w:divBdr>
        <w:top w:val="none" w:sz="0" w:space="0" w:color="auto"/>
        <w:left w:val="none" w:sz="0" w:space="0" w:color="auto"/>
        <w:bottom w:val="none" w:sz="0" w:space="0" w:color="auto"/>
        <w:right w:val="none" w:sz="0" w:space="0" w:color="auto"/>
      </w:divBdr>
    </w:div>
    <w:div w:id="1016542611">
      <w:bodyDiv w:val="1"/>
      <w:marLeft w:val="0"/>
      <w:marRight w:val="0"/>
      <w:marTop w:val="0"/>
      <w:marBottom w:val="0"/>
      <w:divBdr>
        <w:top w:val="none" w:sz="0" w:space="0" w:color="auto"/>
        <w:left w:val="none" w:sz="0" w:space="0" w:color="auto"/>
        <w:bottom w:val="none" w:sz="0" w:space="0" w:color="auto"/>
        <w:right w:val="none" w:sz="0" w:space="0" w:color="auto"/>
      </w:divBdr>
    </w:div>
    <w:div w:id="1032267718">
      <w:bodyDiv w:val="1"/>
      <w:marLeft w:val="0"/>
      <w:marRight w:val="0"/>
      <w:marTop w:val="0"/>
      <w:marBottom w:val="0"/>
      <w:divBdr>
        <w:top w:val="none" w:sz="0" w:space="0" w:color="auto"/>
        <w:left w:val="none" w:sz="0" w:space="0" w:color="auto"/>
        <w:bottom w:val="none" w:sz="0" w:space="0" w:color="auto"/>
        <w:right w:val="none" w:sz="0" w:space="0" w:color="auto"/>
      </w:divBdr>
    </w:div>
    <w:div w:id="1049962061">
      <w:bodyDiv w:val="1"/>
      <w:marLeft w:val="0"/>
      <w:marRight w:val="0"/>
      <w:marTop w:val="0"/>
      <w:marBottom w:val="0"/>
      <w:divBdr>
        <w:top w:val="none" w:sz="0" w:space="0" w:color="auto"/>
        <w:left w:val="none" w:sz="0" w:space="0" w:color="auto"/>
        <w:bottom w:val="none" w:sz="0" w:space="0" w:color="auto"/>
        <w:right w:val="none" w:sz="0" w:space="0" w:color="auto"/>
      </w:divBdr>
    </w:div>
    <w:div w:id="1163273678">
      <w:bodyDiv w:val="1"/>
      <w:marLeft w:val="0"/>
      <w:marRight w:val="0"/>
      <w:marTop w:val="0"/>
      <w:marBottom w:val="0"/>
      <w:divBdr>
        <w:top w:val="none" w:sz="0" w:space="0" w:color="auto"/>
        <w:left w:val="none" w:sz="0" w:space="0" w:color="auto"/>
        <w:bottom w:val="none" w:sz="0" w:space="0" w:color="auto"/>
        <w:right w:val="none" w:sz="0" w:space="0" w:color="auto"/>
      </w:divBdr>
    </w:div>
    <w:div w:id="1247230356">
      <w:bodyDiv w:val="1"/>
      <w:marLeft w:val="0"/>
      <w:marRight w:val="0"/>
      <w:marTop w:val="0"/>
      <w:marBottom w:val="0"/>
      <w:divBdr>
        <w:top w:val="none" w:sz="0" w:space="0" w:color="auto"/>
        <w:left w:val="none" w:sz="0" w:space="0" w:color="auto"/>
        <w:bottom w:val="none" w:sz="0" w:space="0" w:color="auto"/>
        <w:right w:val="none" w:sz="0" w:space="0" w:color="auto"/>
      </w:divBdr>
    </w:div>
    <w:div w:id="1253971303">
      <w:bodyDiv w:val="1"/>
      <w:marLeft w:val="0"/>
      <w:marRight w:val="0"/>
      <w:marTop w:val="0"/>
      <w:marBottom w:val="0"/>
      <w:divBdr>
        <w:top w:val="none" w:sz="0" w:space="0" w:color="auto"/>
        <w:left w:val="none" w:sz="0" w:space="0" w:color="auto"/>
        <w:bottom w:val="none" w:sz="0" w:space="0" w:color="auto"/>
        <w:right w:val="none" w:sz="0" w:space="0" w:color="auto"/>
      </w:divBdr>
    </w:div>
    <w:div w:id="1476291821">
      <w:bodyDiv w:val="1"/>
      <w:marLeft w:val="0"/>
      <w:marRight w:val="0"/>
      <w:marTop w:val="0"/>
      <w:marBottom w:val="0"/>
      <w:divBdr>
        <w:top w:val="none" w:sz="0" w:space="0" w:color="auto"/>
        <w:left w:val="none" w:sz="0" w:space="0" w:color="auto"/>
        <w:bottom w:val="none" w:sz="0" w:space="0" w:color="auto"/>
        <w:right w:val="none" w:sz="0" w:space="0" w:color="auto"/>
      </w:divBdr>
    </w:div>
    <w:div w:id="1566799894">
      <w:bodyDiv w:val="1"/>
      <w:marLeft w:val="0"/>
      <w:marRight w:val="0"/>
      <w:marTop w:val="0"/>
      <w:marBottom w:val="0"/>
      <w:divBdr>
        <w:top w:val="none" w:sz="0" w:space="0" w:color="auto"/>
        <w:left w:val="none" w:sz="0" w:space="0" w:color="auto"/>
        <w:bottom w:val="none" w:sz="0" w:space="0" w:color="auto"/>
        <w:right w:val="none" w:sz="0" w:space="0" w:color="auto"/>
      </w:divBdr>
    </w:div>
    <w:div w:id="1582563833">
      <w:bodyDiv w:val="1"/>
      <w:marLeft w:val="0"/>
      <w:marRight w:val="0"/>
      <w:marTop w:val="0"/>
      <w:marBottom w:val="0"/>
      <w:divBdr>
        <w:top w:val="none" w:sz="0" w:space="0" w:color="auto"/>
        <w:left w:val="none" w:sz="0" w:space="0" w:color="auto"/>
        <w:bottom w:val="none" w:sz="0" w:space="0" w:color="auto"/>
        <w:right w:val="none" w:sz="0" w:space="0" w:color="auto"/>
      </w:divBdr>
    </w:div>
    <w:div w:id="1631280682">
      <w:bodyDiv w:val="1"/>
      <w:marLeft w:val="0"/>
      <w:marRight w:val="0"/>
      <w:marTop w:val="0"/>
      <w:marBottom w:val="0"/>
      <w:divBdr>
        <w:top w:val="none" w:sz="0" w:space="0" w:color="auto"/>
        <w:left w:val="none" w:sz="0" w:space="0" w:color="auto"/>
        <w:bottom w:val="none" w:sz="0" w:space="0" w:color="auto"/>
        <w:right w:val="none" w:sz="0" w:space="0" w:color="auto"/>
      </w:divBdr>
    </w:div>
    <w:div w:id="1641760568">
      <w:bodyDiv w:val="1"/>
      <w:marLeft w:val="0"/>
      <w:marRight w:val="0"/>
      <w:marTop w:val="0"/>
      <w:marBottom w:val="0"/>
      <w:divBdr>
        <w:top w:val="none" w:sz="0" w:space="0" w:color="auto"/>
        <w:left w:val="none" w:sz="0" w:space="0" w:color="auto"/>
        <w:bottom w:val="none" w:sz="0" w:space="0" w:color="auto"/>
        <w:right w:val="none" w:sz="0" w:space="0" w:color="auto"/>
      </w:divBdr>
    </w:div>
    <w:div w:id="1662926850">
      <w:bodyDiv w:val="1"/>
      <w:marLeft w:val="0"/>
      <w:marRight w:val="0"/>
      <w:marTop w:val="0"/>
      <w:marBottom w:val="0"/>
      <w:divBdr>
        <w:top w:val="none" w:sz="0" w:space="0" w:color="auto"/>
        <w:left w:val="none" w:sz="0" w:space="0" w:color="auto"/>
        <w:bottom w:val="none" w:sz="0" w:space="0" w:color="auto"/>
        <w:right w:val="none" w:sz="0" w:space="0" w:color="auto"/>
      </w:divBdr>
    </w:div>
    <w:div w:id="1667976135">
      <w:bodyDiv w:val="1"/>
      <w:marLeft w:val="0"/>
      <w:marRight w:val="0"/>
      <w:marTop w:val="0"/>
      <w:marBottom w:val="0"/>
      <w:divBdr>
        <w:top w:val="none" w:sz="0" w:space="0" w:color="auto"/>
        <w:left w:val="none" w:sz="0" w:space="0" w:color="auto"/>
        <w:bottom w:val="none" w:sz="0" w:space="0" w:color="auto"/>
        <w:right w:val="none" w:sz="0" w:space="0" w:color="auto"/>
      </w:divBdr>
    </w:div>
    <w:div w:id="1680082810">
      <w:bodyDiv w:val="1"/>
      <w:marLeft w:val="0"/>
      <w:marRight w:val="0"/>
      <w:marTop w:val="0"/>
      <w:marBottom w:val="0"/>
      <w:divBdr>
        <w:top w:val="none" w:sz="0" w:space="0" w:color="auto"/>
        <w:left w:val="none" w:sz="0" w:space="0" w:color="auto"/>
        <w:bottom w:val="none" w:sz="0" w:space="0" w:color="auto"/>
        <w:right w:val="none" w:sz="0" w:space="0" w:color="auto"/>
      </w:divBdr>
    </w:div>
    <w:div w:id="1695493437">
      <w:bodyDiv w:val="1"/>
      <w:marLeft w:val="0"/>
      <w:marRight w:val="0"/>
      <w:marTop w:val="0"/>
      <w:marBottom w:val="0"/>
      <w:divBdr>
        <w:top w:val="none" w:sz="0" w:space="0" w:color="auto"/>
        <w:left w:val="none" w:sz="0" w:space="0" w:color="auto"/>
        <w:bottom w:val="none" w:sz="0" w:space="0" w:color="auto"/>
        <w:right w:val="none" w:sz="0" w:space="0" w:color="auto"/>
      </w:divBdr>
    </w:div>
    <w:div w:id="1771047155">
      <w:bodyDiv w:val="1"/>
      <w:marLeft w:val="0"/>
      <w:marRight w:val="0"/>
      <w:marTop w:val="0"/>
      <w:marBottom w:val="0"/>
      <w:divBdr>
        <w:top w:val="none" w:sz="0" w:space="0" w:color="auto"/>
        <w:left w:val="none" w:sz="0" w:space="0" w:color="auto"/>
        <w:bottom w:val="none" w:sz="0" w:space="0" w:color="auto"/>
        <w:right w:val="none" w:sz="0" w:space="0" w:color="auto"/>
      </w:divBdr>
    </w:div>
    <w:div w:id="1778600889">
      <w:bodyDiv w:val="1"/>
      <w:marLeft w:val="0"/>
      <w:marRight w:val="0"/>
      <w:marTop w:val="0"/>
      <w:marBottom w:val="0"/>
      <w:divBdr>
        <w:top w:val="none" w:sz="0" w:space="0" w:color="auto"/>
        <w:left w:val="none" w:sz="0" w:space="0" w:color="auto"/>
        <w:bottom w:val="none" w:sz="0" w:space="0" w:color="auto"/>
        <w:right w:val="none" w:sz="0" w:space="0" w:color="auto"/>
      </w:divBdr>
    </w:div>
    <w:div w:id="1816753735">
      <w:bodyDiv w:val="1"/>
      <w:marLeft w:val="0"/>
      <w:marRight w:val="0"/>
      <w:marTop w:val="0"/>
      <w:marBottom w:val="0"/>
      <w:divBdr>
        <w:top w:val="none" w:sz="0" w:space="0" w:color="auto"/>
        <w:left w:val="none" w:sz="0" w:space="0" w:color="auto"/>
        <w:bottom w:val="none" w:sz="0" w:space="0" w:color="auto"/>
        <w:right w:val="none" w:sz="0" w:space="0" w:color="auto"/>
      </w:divBdr>
    </w:div>
    <w:div w:id="1821920970">
      <w:bodyDiv w:val="1"/>
      <w:marLeft w:val="0"/>
      <w:marRight w:val="0"/>
      <w:marTop w:val="0"/>
      <w:marBottom w:val="0"/>
      <w:divBdr>
        <w:top w:val="none" w:sz="0" w:space="0" w:color="auto"/>
        <w:left w:val="none" w:sz="0" w:space="0" w:color="auto"/>
        <w:bottom w:val="none" w:sz="0" w:space="0" w:color="auto"/>
        <w:right w:val="none" w:sz="0" w:space="0" w:color="auto"/>
      </w:divBdr>
    </w:div>
    <w:div w:id="1975871162">
      <w:bodyDiv w:val="1"/>
      <w:marLeft w:val="0"/>
      <w:marRight w:val="0"/>
      <w:marTop w:val="0"/>
      <w:marBottom w:val="0"/>
      <w:divBdr>
        <w:top w:val="none" w:sz="0" w:space="0" w:color="auto"/>
        <w:left w:val="none" w:sz="0" w:space="0" w:color="auto"/>
        <w:bottom w:val="none" w:sz="0" w:space="0" w:color="auto"/>
        <w:right w:val="none" w:sz="0" w:space="0" w:color="auto"/>
      </w:divBdr>
    </w:div>
    <w:div w:id="1985890948">
      <w:bodyDiv w:val="1"/>
      <w:marLeft w:val="0"/>
      <w:marRight w:val="0"/>
      <w:marTop w:val="0"/>
      <w:marBottom w:val="0"/>
      <w:divBdr>
        <w:top w:val="none" w:sz="0" w:space="0" w:color="auto"/>
        <w:left w:val="none" w:sz="0" w:space="0" w:color="auto"/>
        <w:bottom w:val="none" w:sz="0" w:space="0" w:color="auto"/>
        <w:right w:val="none" w:sz="0" w:space="0" w:color="auto"/>
      </w:divBdr>
    </w:div>
    <w:div w:id="2032484884">
      <w:bodyDiv w:val="1"/>
      <w:marLeft w:val="0"/>
      <w:marRight w:val="0"/>
      <w:marTop w:val="0"/>
      <w:marBottom w:val="0"/>
      <w:divBdr>
        <w:top w:val="none" w:sz="0" w:space="0" w:color="auto"/>
        <w:left w:val="none" w:sz="0" w:space="0" w:color="auto"/>
        <w:bottom w:val="none" w:sz="0" w:space="0" w:color="auto"/>
        <w:right w:val="none" w:sz="0" w:space="0" w:color="auto"/>
      </w:divBdr>
    </w:div>
    <w:div w:id="2092964652">
      <w:bodyDiv w:val="1"/>
      <w:marLeft w:val="0"/>
      <w:marRight w:val="0"/>
      <w:marTop w:val="0"/>
      <w:marBottom w:val="0"/>
      <w:divBdr>
        <w:top w:val="none" w:sz="0" w:space="0" w:color="auto"/>
        <w:left w:val="none" w:sz="0" w:space="0" w:color="auto"/>
        <w:bottom w:val="none" w:sz="0" w:space="0" w:color="auto"/>
        <w:right w:val="none" w:sz="0" w:space="0" w:color="auto"/>
      </w:divBdr>
    </w:div>
    <w:div w:id="211270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2910</Words>
  <Characters>17799</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2017100093 pkt. 6.4. tilføjet herunder efter åbning.</dc:description>
  <cp:lastModifiedBy>Helle Munck</cp:lastModifiedBy>
  <cp:revision>2</cp:revision>
  <cp:lastPrinted>2017-01-24T08:29:00Z</cp:lastPrinted>
  <dcterms:created xsi:type="dcterms:W3CDTF">2017-12-12T10:27:00Z</dcterms:created>
  <dcterms:modified xsi:type="dcterms:W3CDTF">2017-12-12T10:27:00Z</dcterms:modified>
</cp:coreProperties>
</file>