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93E3" w14:textId="77777777" w:rsidR="004A3BF4" w:rsidRPr="000455A5" w:rsidRDefault="00056601" w:rsidP="004A3BF4">
      <w:pPr>
        <w:rPr>
          <w:sz w:val="24"/>
          <w:szCs w:val="24"/>
          <w:lang w:val="en-GB"/>
        </w:rPr>
      </w:pPr>
      <w:r w:rsidRPr="000455A5">
        <w:rPr>
          <w:noProof/>
          <w:sz w:val="24"/>
          <w:szCs w:val="24"/>
          <w:lang w:val="en-GB"/>
        </w:rPr>
        <w:drawing>
          <wp:inline distT="0" distB="0" distL="0" distR="0" wp14:anchorId="0EFBD4A0" wp14:editId="6E18AF9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B273233" w14:textId="77777777" w:rsidR="006B3847" w:rsidRPr="000455A5" w:rsidRDefault="006B3847" w:rsidP="006B3847">
      <w:pPr>
        <w:rPr>
          <w:sz w:val="24"/>
          <w:szCs w:val="24"/>
          <w:lang w:val="en-GB"/>
        </w:rPr>
      </w:pPr>
    </w:p>
    <w:p w14:paraId="79BD93FC" w14:textId="32404247" w:rsidR="006B3847" w:rsidRPr="001C3BD3" w:rsidRDefault="006B3847" w:rsidP="006B3847">
      <w:pPr>
        <w:tabs>
          <w:tab w:val="right" w:pos="9356"/>
        </w:tabs>
        <w:rPr>
          <w:b/>
          <w:sz w:val="24"/>
          <w:szCs w:val="24"/>
          <w:lang w:val="en-US"/>
        </w:rPr>
      </w:pPr>
      <w:r w:rsidRPr="000455A5">
        <w:rPr>
          <w:b/>
          <w:sz w:val="24"/>
          <w:szCs w:val="24"/>
          <w:lang w:val="en-GB"/>
        </w:rPr>
        <w:tab/>
      </w:r>
      <w:r w:rsidR="005E5A3B" w:rsidRPr="001C3BD3">
        <w:rPr>
          <w:b/>
          <w:sz w:val="24"/>
          <w:szCs w:val="24"/>
          <w:lang w:val="en-US"/>
        </w:rPr>
        <w:t>6</w:t>
      </w:r>
      <w:r w:rsidR="001221FA" w:rsidRPr="001C3BD3">
        <w:rPr>
          <w:b/>
          <w:sz w:val="24"/>
          <w:szCs w:val="24"/>
          <w:lang w:val="en-US"/>
        </w:rPr>
        <w:t xml:space="preserve"> </w:t>
      </w:r>
      <w:r w:rsidR="005E5A3B" w:rsidRPr="001C3BD3">
        <w:rPr>
          <w:b/>
          <w:sz w:val="24"/>
          <w:szCs w:val="24"/>
          <w:lang w:val="en-US"/>
        </w:rPr>
        <w:t xml:space="preserve">November </w:t>
      </w:r>
      <w:r w:rsidR="001221FA" w:rsidRPr="001C3BD3">
        <w:rPr>
          <w:b/>
          <w:sz w:val="24"/>
          <w:szCs w:val="24"/>
          <w:lang w:val="en-US"/>
        </w:rPr>
        <w:t>202</w:t>
      </w:r>
      <w:r w:rsidR="005E5A3B" w:rsidRPr="001C3BD3">
        <w:rPr>
          <w:b/>
          <w:sz w:val="24"/>
          <w:szCs w:val="24"/>
          <w:lang w:val="en-US"/>
        </w:rPr>
        <w:t>4</w:t>
      </w:r>
    </w:p>
    <w:p w14:paraId="02E9E6F3" w14:textId="77777777" w:rsidR="006D6779" w:rsidRPr="001C3BD3" w:rsidRDefault="006D6779" w:rsidP="006B3847">
      <w:pPr>
        <w:rPr>
          <w:sz w:val="24"/>
          <w:szCs w:val="24"/>
          <w:lang w:val="en-US"/>
        </w:rPr>
      </w:pPr>
    </w:p>
    <w:p w14:paraId="0ED57E1A" w14:textId="5DF24E7E" w:rsidR="007C5D2A" w:rsidRPr="001C3BD3" w:rsidRDefault="007C5D2A" w:rsidP="007C5D2A">
      <w:pPr>
        <w:rPr>
          <w:sz w:val="24"/>
          <w:szCs w:val="24"/>
          <w:lang w:val="en-US"/>
        </w:rPr>
      </w:pPr>
    </w:p>
    <w:p w14:paraId="33BA314F" w14:textId="77777777" w:rsidR="005E5A3B" w:rsidRPr="001C3BD3" w:rsidRDefault="005E5A3B" w:rsidP="007C5D2A">
      <w:pPr>
        <w:rPr>
          <w:sz w:val="24"/>
          <w:szCs w:val="24"/>
          <w:lang w:val="en-US"/>
        </w:rPr>
      </w:pPr>
    </w:p>
    <w:p w14:paraId="2F5374BA" w14:textId="77777777" w:rsidR="007C5D2A" w:rsidRPr="000455A5" w:rsidRDefault="007C5D2A" w:rsidP="007C5D2A">
      <w:pPr>
        <w:jc w:val="center"/>
        <w:rPr>
          <w:b/>
          <w:sz w:val="24"/>
          <w:szCs w:val="24"/>
          <w:lang w:val="en-GB"/>
        </w:rPr>
      </w:pPr>
      <w:bookmarkStart w:id="0" w:name="_Hlk49158549"/>
      <w:r w:rsidRPr="000455A5">
        <w:rPr>
          <w:b/>
          <w:sz w:val="24"/>
          <w:szCs w:val="24"/>
          <w:lang w:val="en-GB"/>
        </w:rPr>
        <w:t>SUMMARY OF PRODUCT CHARACTERISTICS</w:t>
      </w:r>
    </w:p>
    <w:bookmarkEnd w:id="0"/>
    <w:p w14:paraId="2FB1CFC6" w14:textId="77777777" w:rsidR="007C5D2A" w:rsidRPr="000455A5" w:rsidRDefault="007C5D2A" w:rsidP="007C5D2A">
      <w:pPr>
        <w:jc w:val="center"/>
        <w:rPr>
          <w:sz w:val="24"/>
          <w:szCs w:val="24"/>
          <w:lang w:val="en-GB"/>
        </w:rPr>
      </w:pPr>
    </w:p>
    <w:p w14:paraId="537CAE5A" w14:textId="77777777" w:rsidR="007C5D2A" w:rsidRPr="000455A5" w:rsidRDefault="007C5D2A" w:rsidP="007C5D2A">
      <w:pPr>
        <w:jc w:val="center"/>
        <w:rPr>
          <w:b/>
          <w:sz w:val="24"/>
          <w:szCs w:val="24"/>
          <w:lang w:val="en-GB"/>
        </w:rPr>
      </w:pPr>
      <w:r w:rsidRPr="000455A5">
        <w:rPr>
          <w:b/>
          <w:sz w:val="24"/>
          <w:szCs w:val="24"/>
          <w:lang w:val="en-GB"/>
        </w:rPr>
        <w:t>for</w:t>
      </w:r>
    </w:p>
    <w:p w14:paraId="7139A136" w14:textId="77777777" w:rsidR="007C5D2A" w:rsidRPr="000455A5" w:rsidRDefault="007C5D2A" w:rsidP="007C5D2A">
      <w:pPr>
        <w:jc w:val="center"/>
        <w:rPr>
          <w:sz w:val="24"/>
          <w:szCs w:val="24"/>
          <w:lang w:val="en-GB"/>
        </w:rPr>
      </w:pPr>
    </w:p>
    <w:p w14:paraId="1CCC737C" w14:textId="77777777" w:rsidR="00C32186" w:rsidRPr="000455A5" w:rsidRDefault="00C32186" w:rsidP="00C32186">
      <w:pPr>
        <w:jc w:val="center"/>
        <w:rPr>
          <w:b/>
          <w:sz w:val="24"/>
          <w:szCs w:val="24"/>
          <w:lang w:val="en-US"/>
        </w:rPr>
      </w:pPr>
      <w:proofErr w:type="spellStart"/>
      <w:r w:rsidRPr="000455A5">
        <w:rPr>
          <w:b/>
          <w:sz w:val="24"/>
          <w:szCs w:val="24"/>
          <w:lang w:val="en-US"/>
        </w:rPr>
        <w:t>Posaconazol</w:t>
      </w:r>
      <w:proofErr w:type="spellEnd"/>
      <w:r w:rsidRPr="000455A5">
        <w:rPr>
          <w:b/>
          <w:sz w:val="24"/>
          <w:szCs w:val="24"/>
          <w:lang w:val="en-US"/>
        </w:rPr>
        <w:t xml:space="preserve"> "Teva B.V.", oral suspension</w:t>
      </w:r>
    </w:p>
    <w:p w14:paraId="23E6336A" w14:textId="77777777" w:rsidR="007C5D2A" w:rsidRPr="000455A5" w:rsidRDefault="007C5D2A" w:rsidP="007C5D2A">
      <w:pPr>
        <w:jc w:val="both"/>
        <w:rPr>
          <w:sz w:val="24"/>
          <w:szCs w:val="24"/>
          <w:lang w:val="en-GB"/>
        </w:rPr>
      </w:pPr>
    </w:p>
    <w:p w14:paraId="514F39FB" w14:textId="77777777" w:rsidR="0042292D" w:rsidRPr="000455A5" w:rsidRDefault="0042292D" w:rsidP="007C5D2A">
      <w:pPr>
        <w:jc w:val="both"/>
        <w:rPr>
          <w:sz w:val="24"/>
          <w:szCs w:val="24"/>
          <w:lang w:val="en-GB"/>
        </w:rPr>
      </w:pPr>
    </w:p>
    <w:p w14:paraId="67702F2B" w14:textId="77777777" w:rsidR="008F2F8C" w:rsidRPr="000455A5" w:rsidRDefault="008F2F8C" w:rsidP="008F2F8C">
      <w:pPr>
        <w:tabs>
          <w:tab w:val="left" w:pos="8222"/>
        </w:tabs>
        <w:ind w:left="851" w:hanging="851"/>
        <w:rPr>
          <w:b/>
          <w:sz w:val="24"/>
          <w:szCs w:val="24"/>
          <w:lang w:val="en-GB"/>
        </w:rPr>
      </w:pPr>
      <w:r w:rsidRPr="000455A5">
        <w:rPr>
          <w:b/>
          <w:sz w:val="24"/>
          <w:szCs w:val="24"/>
          <w:lang w:val="en-GB"/>
        </w:rPr>
        <w:t>0.</w:t>
      </w:r>
      <w:r w:rsidRPr="000455A5">
        <w:rPr>
          <w:b/>
          <w:sz w:val="24"/>
          <w:szCs w:val="24"/>
          <w:lang w:val="en-GB"/>
        </w:rPr>
        <w:tab/>
      </w:r>
      <w:proofErr w:type="gramStart"/>
      <w:r w:rsidRPr="000455A5">
        <w:rPr>
          <w:b/>
          <w:sz w:val="24"/>
          <w:szCs w:val="24"/>
          <w:lang w:val="en-GB"/>
        </w:rPr>
        <w:t>D.SP.NO</w:t>
      </w:r>
      <w:proofErr w:type="gramEnd"/>
      <w:r w:rsidRPr="000455A5">
        <w:rPr>
          <w:b/>
          <w:sz w:val="24"/>
          <w:szCs w:val="24"/>
          <w:lang w:val="en-GB"/>
        </w:rPr>
        <w:t>.</w:t>
      </w:r>
    </w:p>
    <w:p w14:paraId="55CE6E6B" w14:textId="2AC8414F" w:rsidR="008F2F8C" w:rsidRPr="000455A5" w:rsidRDefault="00C32186" w:rsidP="008F2F8C">
      <w:pPr>
        <w:tabs>
          <w:tab w:val="left" w:pos="8222"/>
        </w:tabs>
        <w:ind w:left="851"/>
        <w:rPr>
          <w:sz w:val="24"/>
          <w:szCs w:val="24"/>
          <w:lang w:val="en-GB"/>
        </w:rPr>
      </w:pPr>
      <w:r w:rsidRPr="000455A5">
        <w:rPr>
          <w:sz w:val="24"/>
          <w:szCs w:val="24"/>
          <w:lang w:val="en-GB"/>
        </w:rPr>
        <w:t>31243</w:t>
      </w:r>
    </w:p>
    <w:p w14:paraId="6B6EEAFE" w14:textId="77777777" w:rsidR="007C5D2A" w:rsidRPr="000455A5" w:rsidRDefault="007C5D2A" w:rsidP="007C5D2A">
      <w:pPr>
        <w:tabs>
          <w:tab w:val="left" w:pos="851"/>
        </w:tabs>
        <w:jc w:val="both"/>
        <w:rPr>
          <w:sz w:val="24"/>
          <w:szCs w:val="24"/>
          <w:lang w:val="en-GB"/>
        </w:rPr>
      </w:pPr>
    </w:p>
    <w:p w14:paraId="1939F03C" w14:textId="77777777" w:rsidR="007C5D2A" w:rsidRPr="000455A5" w:rsidRDefault="009925C9" w:rsidP="007C5D2A">
      <w:pPr>
        <w:tabs>
          <w:tab w:val="left" w:pos="851"/>
        </w:tabs>
        <w:ind w:left="851" w:hanging="851"/>
        <w:rPr>
          <w:sz w:val="24"/>
          <w:szCs w:val="24"/>
          <w:lang w:val="en-GB"/>
        </w:rPr>
      </w:pPr>
      <w:r w:rsidRPr="000455A5">
        <w:rPr>
          <w:b/>
          <w:sz w:val="24"/>
          <w:szCs w:val="24"/>
          <w:lang w:val="en-GB"/>
        </w:rPr>
        <w:t>1.</w:t>
      </w:r>
      <w:r w:rsidR="007C5D2A" w:rsidRPr="000455A5">
        <w:rPr>
          <w:b/>
          <w:sz w:val="24"/>
          <w:szCs w:val="24"/>
          <w:lang w:val="en-GB"/>
        </w:rPr>
        <w:tab/>
        <w:t>NAME OF THE MEDICINAL PRODUCT</w:t>
      </w:r>
    </w:p>
    <w:p w14:paraId="5369D85F" w14:textId="70EAFDDD" w:rsidR="007C5D2A" w:rsidRPr="000455A5" w:rsidRDefault="00C32186" w:rsidP="004A3BF4">
      <w:pPr>
        <w:tabs>
          <w:tab w:val="left" w:pos="851"/>
        </w:tabs>
        <w:ind w:left="851"/>
        <w:rPr>
          <w:sz w:val="24"/>
          <w:szCs w:val="24"/>
          <w:lang w:val="en-US"/>
        </w:rPr>
      </w:pPr>
      <w:proofErr w:type="spellStart"/>
      <w:r w:rsidRPr="000455A5">
        <w:rPr>
          <w:sz w:val="24"/>
          <w:szCs w:val="24"/>
          <w:lang w:val="en-US"/>
        </w:rPr>
        <w:t>Posaconazol</w:t>
      </w:r>
      <w:proofErr w:type="spellEnd"/>
      <w:r w:rsidRPr="000455A5">
        <w:rPr>
          <w:sz w:val="24"/>
          <w:szCs w:val="24"/>
          <w:lang w:val="en-US"/>
        </w:rPr>
        <w:t xml:space="preserve"> "Teva B.V."</w:t>
      </w:r>
    </w:p>
    <w:p w14:paraId="0219FC07" w14:textId="77777777" w:rsidR="00C32186" w:rsidRPr="000455A5" w:rsidRDefault="00C32186" w:rsidP="004A3BF4">
      <w:pPr>
        <w:tabs>
          <w:tab w:val="left" w:pos="851"/>
        </w:tabs>
        <w:ind w:left="851"/>
        <w:rPr>
          <w:sz w:val="24"/>
          <w:szCs w:val="24"/>
          <w:lang w:val="en-US"/>
        </w:rPr>
      </w:pPr>
    </w:p>
    <w:p w14:paraId="1E9E8F1A" w14:textId="77777777" w:rsidR="007C5D2A" w:rsidRPr="000455A5" w:rsidRDefault="009925C9" w:rsidP="007C5D2A">
      <w:pPr>
        <w:ind w:left="851" w:hanging="851"/>
        <w:rPr>
          <w:b/>
          <w:sz w:val="24"/>
          <w:szCs w:val="24"/>
          <w:lang w:val="en-GB"/>
        </w:rPr>
      </w:pPr>
      <w:r w:rsidRPr="000455A5">
        <w:rPr>
          <w:b/>
          <w:sz w:val="24"/>
          <w:szCs w:val="24"/>
          <w:lang w:val="en-GB"/>
        </w:rPr>
        <w:t>2.</w:t>
      </w:r>
      <w:r w:rsidR="007C5D2A" w:rsidRPr="000455A5">
        <w:rPr>
          <w:b/>
          <w:sz w:val="24"/>
          <w:szCs w:val="24"/>
          <w:lang w:val="en-GB"/>
        </w:rPr>
        <w:tab/>
        <w:t>QUALITATIVE AND QUANTITATIVE COMPOSITION</w:t>
      </w:r>
    </w:p>
    <w:p w14:paraId="00F9523B" w14:textId="15EB82F5" w:rsidR="007E2903" w:rsidRPr="000455A5" w:rsidRDefault="007E2903" w:rsidP="003649BE">
      <w:pPr>
        <w:ind w:left="851"/>
        <w:rPr>
          <w:sz w:val="24"/>
          <w:szCs w:val="24"/>
          <w:lang w:val="en-US"/>
        </w:rPr>
      </w:pPr>
      <w:r w:rsidRPr="000455A5">
        <w:rPr>
          <w:sz w:val="24"/>
          <w:szCs w:val="24"/>
          <w:lang w:val="en-US"/>
        </w:rPr>
        <w:t>Each m</w:t>
      </w:r>
      <w:r w:rsidR="0072629F">
        <w:rPr>
          <w:sz w:val="24"/>
          <w:szCs w:val="24"/>
          <w:lang w:val="en-US"/>
        </w:rPr>
        <w:t>L</w:t>
      </w:r>
      <w:r w:rsidRPr="000455A5">
        <w:rPr>
          <w:sz w:val="24"/>
          <w:szCs w:val="24"/>
          <w:lang w:val="en-US"/>
        </w:rPr>
        <w:t xml:space="preserve"> of oral suspension contains 40 mg of </w:t>
      </w:r>
      <w:proofErr w:type="spellStart"/>
      <w:r w:rsidRPr="000455A5">
        <w:rPr>
          <w:sz w:val="24"/>
          <w:szCs w:val="24"/>
          <w:lang w:val="en-US"/>
        </w:rPr>
        <w:t>posaconazole</w:t>
      </w:r>
      <w:proofErr w:type="spellEnd"/>
      <w:r w:rsidRPr="000455A5">
        <w:rPr>
          <w:sz w:val="24"/>
          <w:szCs w:val="24"/>
          <w:lang w:val="en-US"/>
        </w:rPr>
        <w:t>.</w:t>
      </w:r>
    </w:p>
    <w:p w14:paraId="627D55F8" w14:textId="77777777" w:rsidR="004551C1" w:rsidRPr="000455A5" w:rsidRDefault="004551C1" w:rsidP="003649BE">
      <w:pPr>
        <w:ind w:left="851"/>
        <w:rPr>
          <w:sz w:val="24"/>
          <w:szCs w:val="24"/>
          <w:u w:val="single"/>
          <w:lang w:val="en-US"/>
        </w:rPr>
      </w:pPr>
    </w:p>
    <w:p w14:paraId="77D451C2" w14:textId="2D7E5486" w:rsidR="007E2903" w:rsidRPr="000455A5" w:rsidRDefault="007E2903" w:rsidP="003649BE">
      <w:pPr>
        <w:ind w:left="851"/>
        <w:rPr>
          <w:sz w:val="24"/>
          <w:szCs w:val="24"/>
          <w:lang w:val="en-US"/>
        </w:rPr>
      </w:pPr>
      <w:r w:rsidRPr="000455A5">
        <w:rPr>
          <w:sz w:val="24"/>
          <w:szCs w:val="24"/>
          <w:u w:val="single"/>
          <w:lang w:val="en-US"/>
        </w:rPr>
        <w:t>Excipients with known effect</w:t>
      </w:r>
      <w:r w:rsidRPr="000455A5">
        <w:rPr>
          <w:sz w:val="24"/>
          <w:szCs w:val="24"/>
          <w:lang w:val="en-US"/>
        </w:rPr>
        <w:t>:</w:t>
      </w:r>
    </w:p>
    <w:p w14:paraId="275185C0" w14:textId="77777777" w:rsidR="007E2903" w:rsidRPr="000455A5" w:rsidRDefault="007E2903" w:rsidP="003649BE">
      <w:pPr>
        <w:ind w:left="851"/>
        <w:rPr>
          <w:sz w:val="24"/>
          <w:szCs w:val="24"/>
          <w:lang w:val="en-US"/>
        </w:rPr>
      </w:pPr>
      <w:r w:rsidRPr="000455A5">
        <w:rPr>
          <w:sz w:val="24"/>
          <w:szCs w:val="24"/>
          <w:lang w:val="en-US"/>
        </w:rPr>
        <w:t>2.11 g of liquid glucose 5.91 mg (0.26 mmol) of sodium and 10 mg of sodium benzoate are included per 5 ml of suspension.</w:t>
      </w:r>
    </w:p>
    <w:p w14:paraId="15D225B6" w14:textId="77777777" w:rsidR="00AB28C5" w:rsidRDefault="00AB28C5" w:rsidP="003649BE">
      <w:pPr>
        <w:ind w:left="851"/>
        <w:rPr>
          <w:sz w:val="24"/>
          <w:szCs w:val="24"/>
          <w:lang w:val="en-US"/>
        </w:rPr>
      </w:pPr>
    </w:p>
    <w:p w14:paraId="7D84E8F1" w14:textId="5A3DF44D" w:rsidR="007E2903" w:rsidRPr="000455A5" w:rsidRDefault="007E2903" w:rsidP="003649BE">
      <w:pPr>
        <w:ind w:left="851"/>
        <w:rPr>
          <w:sz w:val="24"/>
          <w:szCs w:val="24"/>
          <w:lang w:val="en-US"/>
        </w:rPr>
      </w:pPr>
      <w:r w:rsidRPr="000455A5">
        <w:rPr>
          <w:sz w:val="24"/>
          <w:szCs w:val="24"/>
          <w:lang w:val="en-US"/>
        </w:rPr>
        <w:t>For the full list of excipients, see section 6.1.</w:t>
      </w:r>
    </w:p>
    <w:p w14:paraId="3550E672" w14:textId="77777777" w:rsidR="007C5D2A" w:rsidRPr="000455A5" w:rsidRDefault="007C5D2A" w:rsidP="004A3BF4">
      <w:pPr>
        <w:tabs>
          <w:tab w:val="left" w:pos="851"/>
        </w:tabs>
        <w:ind w:left="851"/>
        <w:rPr>
          <w:sz w:val="24"/>
          <w:szCs w:val="24"/>
          <w:lang w:val="en-GB"/>
        </w:rPr>
      </w:pPr>
    </w:p>
    <w:p w14:paraId="7BA57562" w14:textId="77777777" w:rsidR="007C5D2A" w:rsidRPr="000455A5" w:rsidRDefault="007C5D2A" w:rsidP="007C5D2A">
      <w:pPr>
        <w:tabs>
          <w:tab w:val="left" w:pos="851"/>
        </w:tabs>
        <w:ind w:left="851" w:hanging="851"/>
        <w:rPr>
          <w:b/>
          <w:sz w:val="24"/>
          <w:szCs w:val="24"/>
          <w:lang w:val="en-GB"/>
        </w:rPr>
      </w:pPr>
      <w:r w:rsidRPr="000455A5">
        <w:rPr>
          <w:b/>
          <w:sz w:val="24"/>
          <w:szCs w:val="24"/>
          <w:lang w:val="en-GB"/>
        </w:rPr>
        <w:t>3.</w:t>
      </w:r>
      <w:r w:rsidRPr="000455A5">
        <w:rPr>
          <w:b/>
          <w:sz w:val="24"/>
          <w:szCs w:val="24"/>
          <w:lang w:val="en-GB"/>
        </w:rPr>
        <w:tab/>
        <w:t>PHARMACEUTICAL FORM</w:t>
      </w:r>
    </w:p>
    <w:p w14:paraId="026C0E47" w14:textId="77777777" w:rsidR="007E2903" w:rsidRPr="000455A5" w:rsidRDefault="007E2903" w:rsidP="003649BE">
      <w:pPr>
        <w:ind w:left="851"/>
        <w:rPr>
          <w:sz w:val="24"/>
          <w:szCs w:val="24"/>
          <w:lang w:val="en-US"/>
        </w:rPr>
      </w:pPr>
      <w:r w:rsidRPr="000455A5">
        <w:rPr>
          <w:sz w:val="24"/>
          <w:szCs w:val="24"/>
          <w:lang w:val="en-US"/>
        </w:rPr>
        <w:t>Oral suspension</w:t>
      </w:r>
    </w:p>
    <w:p w14:paraId="066C5B97" w14:textId="77777777" w:rsidR="007E2903" w:rsidRPr="000455A5" w:rsidRDefault="007E2903" w:rsidP="003649BE">
      <w:pPr>
        <w:ind w:left="851"/>
        <w:rPr>
          <w:sz w:val="24"/>
          <w:szCs w:val="24"/>
          <w:lang w:val="en-US"/>
        </w:rPr>
      </w:pPr>
    </w:p>
    <w:p w14:paraId="4FD1612E" w14:textId="77777777" w:rsidR="00BC2A04" w:rsidRPr="00BC2A04" w:rsidRDefault="00BC2A04" w:rsidP="00BC2A04">
      <w:pPr>
        <w:suppressAutoHyphens/>
        <w:ind w:left="851"/>
        <w:rPr>
          <w:bCs/>
          <w:sz w:val="24"/>
          <w:szCs w:val="24"/>
          <w:lang w:val="en-US"/>
        </w:rPr>
      </w:pPr>
      <w:r w:rsidRPr="00BC2A04">
        <w:rPr>
          <w:bCs/>
          <w:sz w:val="24"/>
          <w:szCs w:val="24"/>
          <w:lang w:val="en-US"/>
        </w:rPr>
        <w:t xml:space="preserve">White to yellowish, cherry flavored, oral suspension. </w:t>
      </w:r>
    </w:p>
    <w:p w14:paraId="15DA7378" w14:textId="77777777" w:rsidR="007C5D2A" w:rsidRPr="00BC2A04" w:rsidRDefault="007C5D2A" w:rsidP="004A3BF4">
      <w:pPr>
        <w:tabs>
          <w:tab w:val="left" w:pos="851"/>
        </w:tabs>
        <w:ind w:left="851"/>
        <w:rPr>
          <w:sz w:val="24"/>
          <w:szCs w:val="24"/>
          <w:lang w:val="en-US"/>
        </w:rPr>
      </w:pPr>
    </w:p>
    <w:p w14:paraId="788C7072" w14:textId="77777777" w:rsidR="007C5D2A" w:rsidRPr="000455A5" w:rsidRDefault="007C5D2A" w:rsidP="004A3BF4">
      <w:pPr>
        <w:tabs>
          <w:tab w:val="left" w:pos="851"/>
        </w:tabs>
        <w:ind w:left="851"/>
        <w:rPr>
          <w:sz w:val="24"/>
          <w:szCs w:val="24"/>
          <w:lang w:val="en-GB"/>
        </w:rPr>
      </w:pPr>
    </w:p>
    <w:p w14:paraId="3EC2CBE9" w14:textId="77777777" w:rsidR="007C5D2A" w:rsidRPr="000455A5" w:rsidRDefault="007C5D2A" w:rsidP="007C5D2A">
      <w:pPr>
        <w:ind w:left="851" w:hanging="851"/>
        <w:rPr>
          <w:b/>
          <w:sz w:val="24"/>
          <w:szCs w:val="24"/>
          <w:lang w:val="en-GB"/>
        </w:rPr>
      </w:pPr>
      <w:r w:rsidRPr="000455A5">
        <w:rPr>
          <w:b/>
          <w:sz w:val="24"/>
          <w:szCs w:val="24"/>
          <w:lang w:val="en-GB"/>
        </w:rPr>
        <w:t>4.</w:t>
      </w:r>
      <w:r w:rsidRPr="000455A5">
        <w:rPr>
          <w:b/>
          <w:sz w:val="24"/>
          <w:szCs w:val="24"/>
          <w:lang w:val="en-GB"/>
        </w:rPr>
        <w:tab/>
        <w:t>CLINICAL PARTICULARS</w:t>
      </w:r>
    </w:p>
    <w:p w14:paraId="52158548" w14:textId="77777777" w:rsidR="007C5D2A" w:rsidRPr="000455A5" w:rsidRDefault="007C5D2A" w:rsidP="004A3BF4">
      <w:pPr>
        <w:tabs>
          <w:tab w:val="left" w:pos="851"/>
        </w:tabs>
        <w:ind w:left="851"/>
        <w:rPr>
          <w:sz w:val="24"/>
          <w:szCs w:val="24"/>
          <w:lang w:val="en-GB"/>
        </w:rPr>
      </w:pPr>
    </w:p>
    <w:p w14:paraId="1EA6FA9E" w14:textId="77777777" w:rsidR="007C5D2A" w:rsidRPr="000455A5" w:rsidRDefault="007C5D2A" w:rsidP="007C5D2A">
      <w:pPr>
        <w:ind w:left="851" w:hanging="851"/>
        <w:rPr>
          <w:b/>
          <w:sz w:val="24"/>
          <w:szCs w:val="24"/>
          <w:u w:val="single"/>
          <w:lang w:val="en-GB"/>
        </w:rPr>
      </w:pPr>
      <w:r w:rsidRPr="000455A5">
        <w:rPr>
          <w:b/>
          <w:sz w:val="24"/>
          <w:szCs w:val="24"/>
          <w:lang w:val="en-GB"/>
        </w:rPr>
        <w:t>4.1</w:t>
      </w:r>
      <w:r w:rsidRPr="000455A5">
        <w:rPr>
          <w:b/>
          <w:sz w:val="24"/>
          <w:szCs w:val="24"/>
          <w:lang w:val="en-GB"/>
        </w:rPr>
        <w:tab/>
        <w:t>Therapeutic indications</w:t>
      </w:r>
    </w:p>
    <w:p w14:paraId="72519607" w14:textId="6A0AD056" w:rsidR="007E2903" w:rsidRPr="000455A5" w:rsidRDefault="000455A5" w:rsidP="003649BE">
      <w:pPr>
        <w:ind w:left="851"/>
        <w:rPr>
          <w:sz w:val="24"/>
          <w:szCs w:val="24"/>
          <w:lang w:val="en-US" w:eastAsia="el-GR"/>
        </w:rPr>
      </w:pPr>
      <w:proofErr w:type="spellStart"/>
      <w:r>
        <w:rPr>
          <w:sz w:val="24"/>
          <w:szCs w:val="24"/>
          <w:lang w:val="en-US" w:eastAsia="el-GR"/>
        </w:rPr>
        <w:t>Posaconazol</w:t>
      </w:r>
      <w:proofErr w:type="spellEnd"/>
      <w:r>
        <w:rPr>
          <w:sz w:val="24"/>
          <w:szCs w:val="24"/>
          <w:lang w:val="en-US" w:eastAsia="el-GR"/>
        </w:rPr>
        <w:t xml:space="preserve"> "Teva B.V."</w:t>
      </w:r>
      <w:r w:rsidR="007E2903" w:rsidRPr="000455A5">
        <w:rPr>
          <w:sz w:val="24"/>
          <w:szCs w:val="24"/>
          <w:lang w:val="en-US" w:eastAsia="el-GR"/>
        </w:rPr>
        <w:t xml:space="preserve"> oral suspension is indicated for use in the treatment of the following fungal infections in adults (see section 5.1):</w:t>
      </w:r>
    </w:p>
    <w:p w14:paraId="0F910B34" w14:textId="77777777" w:rsidR="004C7CC2" w:rsidRPr="000455A5" w:rsidRDefault="004C7CC2" w:rsidP="003649BE">
      <w:pPr>
        <w:ind w:left="851"/>
        <w:rPr>
          <w:sz w:val="24"/>
          <w:szCs w:val="24"/>
          <w:lang w:val="en-US" w:eastAsia="el-GR"/>
        </w:rPr>
      </w:pPr>
    </w:p>
    <w:p w14:paraId="6B2C467A" w14:textId="57286CF1" w:rsidR="007E2903" w:rsidRPr="000455A5" w:rsidRDefault="007E2903" w:rsidP="00B71FDE">
      <w:pPr>
        <w:pStyle w:val="Listeafsnit"/>
        <w:numPr>
          <w:ilvl w:val="0"/>
          <w:numId w:val="10"/>
        </w:numPr>
        <w:ind w:left="1276" w:hanging="425"/>
        <w:rPr>
          <w:szCs w:val="24"/>
          <w:lang w:val="en-US" w:eastAsia="el-GR"/>
        </w:rPr>
      </w:pPr>
      <w:r w:rsidRPr="000455A5">
        <w:rPr>
          <w:szCs w:val="24"/>
          <w:lang w:val="en-US" w:eastAsia="el-GR"/>
        </w:rPr>
        <w:t>Invasive aspergillosis in patients with disease that is refractory to amphotericin B or</w:t>
      </w:r>
      <w:r w:rsidR="00B71FDE" w:rsidRPr="000455A5">
        <w:rPr>
          <w:szCs w:val="24"/>
          <w:lang w:val="en-US" w:eastAsia="el-GR"/>
        </w:rPr>
        <w:t xml:space="preserve"> </w:t>
      </w:r>
      <w:r w:rsidRPr="000455A5">
        <w:rPr>
          <w:szCs w:val="24"/>
          <w:lang w:val="en-US" w:eastAsia="el-GR"/>
        </w:rPr>
        <w:t>itraconazole or in patients who are intolerant of these medicinal products;</w:t>
      </w:r>
    </w:p>
    <w:p w14:paraId="1C989DE0" w14:textId="77777777" w:rsidR="007E2903" w:rsidRPr="000455A5" w:rsidRDefault="007E2903" w:rsidP="00B71FDE">
      <w:pPr>
        <w:pStyle w:val="Listeafsnit"/>
        <w:numPr>
          <w:ilvl w:val="0"/>
          <w:numId w:val="10"/>
        </w:numPr>
        <w:ind w:left="1276" w:hanging="425"/>
        <w:rPr>
          <w:szCs w:val="24"/>
          <w:lang w:eastAsia="el-GR"/>
        </w:rPr>
      </w:pPr>
      <w:proofErr w:type="spellStart"/>
      <w:r w:rsidRPr="000455A5">
        <w:rPr>
          <w:szCs w:val="24"/>
          <w:lang w:eastAsia="el-GR"/>
        </w:rPr>
        <w:t>Fusariosis</w:t>
      </w:r>
      <w:proofErr w:type="spellEnd"/>
      <w:r w:rsidRPr="000455A5">
        <w:rPr>
          <w:szCs w:val="24"/>
          <w:lang w:eastAsia="el-GR"/>
        </w:rPr>
        <w:t xml:space="preserve"> in patients with disease that is refractory to amphotericin B or in patients who are intolerant of amphotericin B;</w:t>
      </w:r>
    </w:p>
    <w:p w14:paraId="25ED4F0D" w14:textId="77777777" w:rsidR="007E2903" w:rsidRPr="000455A5" w:rsidRDefault="007E2903" w:rsidP="00B71FDE">
      <w:pPr>
        <w:pStyle w:val="Listeafsnit"/>
        <w:numPr>
          <w:ilvl w:val="0"/>
          <w:numId w:val="10"/>
        </w:numPr>
        <w:ind w:left="1276" w:hanging="425"/>
        <w:rPr>
          <w:szCs w:val="24"/>
          <w:lang w:eastAsia="el-GR"/>
        </w:rPr>
      </w:pPr>
      <w:r w:rsidRPr="000455A5">
        <w:rPr>
          <w:szCs w:val="24"/>
          <w:lang w:eastAsia="el-GR"/>
        </w:rPr>
        <w:t>Chromoblastomycosis and mycetoma in patients with disease that is refractory to itraconazole or in patients who are intolerant of itraconazole;</w:t>
      </w:r>
    </w:p>
    <w:p w14:paraId="1BFE73CD" w14:textId="77777777" w:rsidR="007E2903" w:rsidRPr="000455A5" w:rsidRDefault="007E2903" w:rsidP="00B71FDE">
      <w:pPr>
        <w:pStyle w:val="Listeafsnit"/>
        <w:numPr>
          <w:ilvl w:val="0"/>
          <w:numId w:val="10"/>
        </w:numPr>
        <w:ind w:left="1276" w:hanging="425"/>
        <w:rPr>
          <w:szCs w:val="24"/>
          <w:lang w:eastAsia="el-GR"/>
        </w:rPr>
      </w:pPr>
      <w:r w:rsidRPr="000455A5">
        <w:rPr>
          <w:szCs w:val="24"/>
          <w:lang w:eastAsia="el-GR"/>
        </w:rPr>
        <w:lastRenderedPageBreak/>
        <w:t>Coccidioidomycosis in patients with disease that is refractory to amphotericin B, itraconazole or fluconazole or in patients who are intolerant of these medicinal products;</w:t>
      </w:r>
    </w:p>
    <w:p w14:paraId="0BAD3D4B" w14:textId="77777777" w:rsidR="007E2903" w:rsidRPr="000455A5" w:rsidRDefault="007E2903" w:rsidP="00B71FDE">
      <w:pPr>
        <w:pStyle w:val="Listeafsnit"/>
        <w:numPr>
          <w:ilvl w:val="0"/>
          <w:numId w:val="10"/>
        </w:numPr>
        <w:ind w:left="1276" w:hanging="425"/>
        <w:rPr>
          <w:szCs w:val="24"/>
          <w:lang w:eastAsia="el-GR"/>
        </w:rPr>
      </w:pPr>
      <w:r w:rsidRPr="000455A5">
        <w:rPr>
          <w:szCs w:val="24"/>
          <w:lang w:eastAsia="el-GR"/>
        </w:rPr>
        <w:t>Oropharyngeal candidiasis: as first-line therapy in patients who have severe disease or are immunocompromised, in whom response to topical therapy is expected to be poor.</w:t>
      </w:r>
    </w:p>
    <w:p w14:paraId="2B6BDA53" w14:textId="77777777" w:rsidR="004C7CC2" w:rsidRPr="000455A5" w:rsidRDefault="004C7CC2" w:rsidP="003649BE">
      <w:pPr>
        <w:ind w:left="851"/>
        <w:rPr>
          <w:sz w:val="24"/>
          <w:szCs w:val="24"/>
          <w:lang w:val="en-US" w:eastAsia="el-GR"/>
        </w:rPr>
      </w:pPr>
    </w:p>
    <w:p w14:paraId="1015141B" w14:textId="65EC0AEC" w:rsidR="007E2903" w:rsidRPr="000455A5" w:rsidRDefault="007E2903" w:rsidP="003649BE">
      <w:pPr>
        <w:ind w:left="851"/>
        <w:rPr>
          <w:sz w:val="24"/>
          <w:szCs w:val="24"/>
          <w:lang w:val="en-US" w:eastAsia="el-GR"/>
        </w:rPr>
      </w:pPr>
      <w:r w:rsidRPr="000455A5">
        <w:rPr>
          <w:sz w:val="24"/>
          <w:szCs w:val="24"/>
          <w:lang w:val="en-US" w:eastAsia="el-GR"/>
        </w:rPr>
        <w:t>Refractoriness is defined as progression of infection or failure to improve after a minimum of 7 days of prior therapeutic doses of effective antifungal therapy.</w:t>
      </w:r>
    </w:p>
    <w:p w14:paraId="6D8D6D90" w14:textId="77777777" w:rsidR="00B71FDE" w:rsidRPr="000455A5" w:rsidRDefault="00B71FDE" w:rsidP="003649BE">
      <w:pPr>
        <w:ind w:left="851"/>
        <w:rPr>
          <w:sz w:val="24"/>
          <w:szCs w:val="24"/>
          <w:lang w:val="en-US" w:eastAsia="el-GR"/>
        </w:rPr>
      </w:pPr>
    </w:p>
    <w:p w14:paraId="13B10995" w14:textId="6175101B" w:rsidR="007E2903" w:rsidRPr="000455A5" w:rsidRDefault="000455A5" w:rsidP="003649BE">
      <w:pPr>
        <w:ind w:left="851"/>
        <w:rPr>
          <w:sz w:val="24"/>
          <w:szCs w:val="24"/>
          <w:lang w:val="en-US" w:eastAsia="el-GR"/>
        </w:rPr>
      </w:pPr>
      <w:proofErr w:type="spellStart"/>
      <w:r>
        <w:rPr>
          <w:sz w:val="24"/>
          <w:szCs w:val="24"/>
          <w:lang w:val="en-US" w:eastAsia="el-GR"/>
        </w:rPr>
        <w:t>Posaconazol</w:t>
      </w:r>
      <w:proofErr w:type="spellEnd"/>
      <w:r>
        <w:rPr>
          <w:sz w:val="24"/>
          <w:szCs w:val="24"/>
          <w:lang w:val="en-US" w:eastAsia="el-GR"/>
        </w:rPr>
        <w:t xml:space="preserve"> "Teva B.V."</w:t>
      </w:r>
      <w:r w:rsidR="007E2903" w:rsidRPr="000455A5">
        <w:rPr>
          <w:sz w:val="24"/>
          <w:szCs w:val="24"/>
          <w:lang w:val="en-US" w:eastAsia="el-GR"/>
        </w:rPr>
        <w:t xml:space="preserve"> oral suspension is also indicated for prophylaxis of invasive fungal infections in the following patients:</w:t>
      </w:r>
    </w:p>
    <w:p w14:paraId="2A4D3468" w14:textId="77777777" w:rsidR="004C7CC2" w:rsidRPr="000455A5" w:rsidRDefault="004C7CC2" w:rsidP="003649BE">
      <w:pPr>
        <w:ind w:left="851"/>
        <w:rPr>
          <w:sz w:val="24"/>
          <w:szCs w:val="24"/>
          <w:lang w:val="en-US" w:eastAsia="el-GR"/>
        </w:rPr>
      </w:pPr>
    </w:p>
    <w:p w14:paraId="09C94E55" w14:textId="1295182D" w:rsidR="007E2903" w:rsidRPr="000455A5" w:rsidRDefault="007E2903" w:rsidP="004C7CC2">
      <w:pPr>
        <w:pStyle w:val="Listeafsnit"/>
        <w:numPr>
          <w:ilvl w:val="0"/>
          <w:numId w:val="11"/>
        </w:numPr>
        <w:ind w:left="1276" w:hanging="425"/>
        <w:rPr>
          <w:szCs w:val="24"/>
          <w:lang w:eastAsia="el-GR"/>
        </w:rPr>
      </w:pPr>
      <w:r w:rsidRPr="000455A5">
        <w:rPr>
          <w:szCs w:val="24"/>
          <w:lang w:eastAsia="el-GR"/>
        </w:rPr>
        <w:t xml:space="preserve">Patients receiving remission-induction chemotherapy for acute myelogenous </w:t>
      </w:r>
      <w:r w:rsidR="0072629F">
        <w:rPr>
          <w:szCs w:val="24"/>
          <w:lang w:eastAsia="el-GR"/>
        </w:rPr>
        <w:t>leukaemia</w:t>
      </w:r>
      <w:r w:rsidRPr="000455A5">
        <w:rPr>
          <w:szCs w:val="24"/>
          <w:lang w:eastAsia="el-GR"/>
        </w:rPr>
        <w:t xml:space="preserve"> (AML) or myelodysplastic syndromes (MDS) expected to result in prolonged neutropenia and who are at high risk of developing invasive fungal infections;</w:t>
      </w:r>
    </w:p>
    <w:p w14:paraId="0ACEC502" w14:textId="77777777" w:rsidR="007E2903" w:rsidRPr="000455A5" w:rsidRDefault="007E2903" w:rsidP="004C7CC2">
      <w:pPr>
        <w:pStyle w:val="Listeafsnit"/>
        <w:numPr>
          <w:ilvl w:val="0"/>
          <w:numId w:val="11"/>
        </w:numPr>
        <w:ind w:left="1276" w:hanging="425"/>
        <w:rPr>
          <w:szCs w:val="24"/>
          <w:lang w:eastAsia="el-GR"/>
        </w:rPr>
      </w:pPr>
      <w:r w:rsidRPr="000455A5">
        <w:rPr>
          <w:szCs w:val="24"/>
          <w:lang w:eastAsia="el-GR"/>
        </w:rPr>
        <w:t>Hematopoietic stem cell transplant (HSCT) recipients who are undergoing high-dose immunosuppressive therapy for graft versus host disease and who are at high risk of developing invasive fungal infections.</w:t>
      </w:r>
    </w:p>
    <w:p w14:paraId="3DAD31E4" w14:textId="7CCD2194" w:rsidR="007C5D2A" w:rsidRPr="005E5A3B" w:rsidRDefault="007C5D2A" w:rsidP="005E5A3B">
      <w:pPr>
        <w:ind w:left="851"/>
        <w:rPr>
          <w:sz w:val="24"/>
          <w:szCs w:val="24"/>
          <w:lang w:val="en-GB"/>
        </w:rPr>
      </w:pPr>
    </w:p>
    <w:p w14:paraId="45092A63" w14:textId="77777777" w:rsidR="0072629F" w:rsidRPr="001C3BD3" w:rsidRDefault="0072629F" w:rsidP="005E5A3B">
      <w:pPr>
        <w:ind w:left="851"/>
        <w:rPr>
          <w:sz w:val="24"/>
          <w:szCs w:val="24"/>
          <w:lang w:val="en-US"/>
        </w:rPr>
      </w:pPr>
      <w:r w:rsidRPr="001C3BD3">
        <w:rPr>
          <w:sz w:val="24"/>
          <w:szCs w:val="24"/>
          <w:lang w:val="en-US"/>
        </w:rPr>
        <w:t xml:space="preserve">Please refer to the Summary of Product Characteristics of </w:t>
      </w:r>
      <w:proofErr w:type="spellStart"/>
      <w:r w:rsidRPr="001C3BD3">
        <w:rPr>
          <w:sz w:val="24"/>
          <w:szCs w:val="24"/>
          <w:lang w:val="en-US"/>
        </w:rPr>
        <w:t>posaconazole</w:t>
      </w:r>
      <w:proofErr w:type="spellEnd"/>
      <w:r w:rsidRPr="001C3BD3">
        <w:rPr>
          <w:sz w:val="24"/>
          <w:szCs w:val="24"/>
          <w:lang w:val="en-US"/>
        </w:rPr>
        <w:t xml:space="preserve"> concentrate for solution for infusion products and </w:t>
      </w:r>
      <w:proofErr w:type="spellStart"/>
      <w:r w:rsidRPr="001C3BD3">
        <w:rPr>
          <w:sz w:val="24"/>
          <w:szCs w:val="24"/>
          <w:lang w:val="en-US"/>
        </w:rPr>
        <w:t>posaconazole</w:t>
      </w:r>
      <w:proofErr w:type="spellEnd"/>
      <w:r w:rsidRPr="001C3BD3">
        <w:rPr>
          <w:sz w:val="24"/>
          <w:szCs w:val="24"/>
          <w:lang w:val="en-US"/>
        </w:rPr>
        <w:t xml:space="preserve"> gastro-resistant tablets products for use in primary treatment of invasive aspergillosis.</w:t>
      </w:r>
    </w:p>
    <w:p w14:paraId="648E238C" w14:textId="77777777" w:rsidR="0072629F" w:rsidRPr="000455A5" w:rsidRDefault="0072629F" w:rsidP="00A85D26">
      <w:pPr>
        <w:tabs>
          <w:tab w:val="left" w:pos="851"/>
        </w:tabs>
        <w:ind w:left="851"/>
        <w:rPr>
          <w:sz w:val="24"/>
          <w:szCs w:val="24"/>
          <w:lang w:val="en-GB"/>
        </w:rPr>
      </w:pPr>
    </w:p>
    <w:p w14:paraId="385FBBCA" w14:textId="77777777" w:rsidR="007C5D2A" w:rsidRPr="000455A5" w:rsidRDefault="009925C9" w:rsidP="007C5D2A">
      <w:pPr>
        <w:tabs>
          <w:tab w:val="left" w:pos="851"/>
        </w:tabs>
        <w:ind w:left="851" w:hanging="851"/>
        <w:rPr>
          <w:sz w:val="24"/>
          <w:szCs w:val="24"/>
          <w:lang w:val="en-GB"/>
        </w:rPr>
      </w:pPr>
      <w:r w:rsidRPr="000455A5">
        <w:rPr>
          <w:b/>
          <w:sz w:val="24"/>
          <w:szCs w:val="24"/>
          <w:lang w:val="en-GB"/>
        </w:rPr>
        <w:t>4.2</w:t>
      </w:r>
      <w:r w:rsidR="007C5D2A" w:rsidRPr="000455A5">
        <w:rPr>
          <w:b/>
          <w:sz w:val="24"/>
          <w:szCs w:val="24"/>
          <w:lang w:val="en-GB"/>
        </w:rPr>
        <w:tab/>
        <w:t>Posology and method of administration</w:t>
      </w:r>
    </w:p>
    <w:p w14:paraId="5146983C" w14:textId="77777777" w:rsidR="0072629F" w:rsidRPr="005E5A3B" w:rsidRDefault="0072629F" w:rsidP="005E5A3B">
      <w:pPr>
        <w:suppressAutoHyphens/>
        <w:ind w:left="851"/>
        <w:rPr>
          <w:sz w:val="24"/>
          <w:szCs w:val="24"/>
          <w:lang w:val="en-US" w:eastAsia="en-US"/>
        </w:rPr>
      </w:pPr>
      <w:r w:rsidRPr="005E5A3B">
        <w:rPr>
          <w:sz w:val="24"/>
          <w:szCs w:val="24"/>
          <w:lang w:val="en-US" w:eastAsia="en-US"/>
        </w:rPr>
        <w:t xml:space="preserve">Treatment should be initiated by a physician experienced in the management of fungal infections or in the supportive care of </w:t>
      </w:r>
      <w:proofErr w:type="gramStart"/>
      <w:r w:rsidRPr="005E5A3B">
        <w:rPr>
          <w:sz w:val="24"/>
          <w:szCs w:val="24"/>
          <w:lang w:val="en-US" w:eastAsia="en-US"/>
        </w:rPr>
        <w:t>high risk</w:t>
      </w:r>
      <w:proofErr w:type="gramEnd"/>
      <w:r w:rsidRPr="005E5A3B">
        <w:rPr>
          <w:sz w:val="24"/>
          <w:szCs w:val="24"/>
          <w:lang w:val="en-US" w:eastAsia="en-US"/>
        </w:rPr>
        <w:t xml:space="preserve"> patients for which </w:t>
      </w:r>
      <w:proofErr w:type="spellStart"/>
      <w:r w:rsidRPr="005E5A3B">
        <w:rPr>
          <w:sz w:val="24"/>
          <w:szCs w:val="24"/>
          <w:lang w:val="en-US" w:eastAsia="en-US"/>
        </w:rPr>
        <w:t>posaconazole</w:t>
      </w:r>
      <w:proofErr w:type="spellEnd"/>
      <w:r w:rsidRPr="005E5A3B">
        <w:rPr>
          <w:sz w:val="24"/>
          <w:szCs w:val="24"/>
          <w:lang w:val="en-US" w:eastAsia="en-US"/>
        </w:rPr>
        <w:t xml:space="preserve"> is indicated as prophylaxis.</w:t>
      </w:r>
    </w:p>
    <w:p w14:paraId="1C4B103D" w14:textId="77777777" w:rsidR="0072629F" w:rsidRPr="005E5A3B" w:rsidRDefault="0072629F" w:rsidP="005E5A3B">
      <w:pPr>
        <w:suppressAutoHyphens/>
        <w:ind w:left="851"/>
        <w:rPr>
          <w:sz w:val="24"/>
          <w:szCs w:val="24"/>
          <w:lang w:val="en-US" w:eastAsia="en-US"/>
        </w:rPr>
      </w:pPr>
    </w:p>
    <w:p w14:paraId="06BAB0DB" w14:textId="77777777" w:rsidR="0072629F" w:rsidRPr="005E5A3B" w:rsidRDefault="0072629F" w:rsidP="005E5A3B">
      <w:pPr>
        <w:suppressAutoHyphens/>
        <w:ind w:left="851"/>
        <w:rPr>
          <w:b/>
          <w:sz w:val="24"/>
          <w:szCs w:val="24"/>
          <w:lang w:val="en-US" w:eastAsia="en-US" w:bidi="en-US"/>
        </w:rPr>
      </w:pPr>
      <w:r w:rsidRPr="005E5A3B">
        <w:rPr>
          <w:b/>
          <w:sz w:val="24"/>
          <w:szCs w:val="24"/>
          <w:lang w:val="en-US" w:eastAsia="en-US" w:bidi="en-US"/>
        </w:rPr>
        <w:t xml:space="preserve">Non-interchangeability between </w:t>
      </w:r>
      <w:proofErr w:type="spellStart"/>
      <w:r w:rsidRPr="005E5A3B">
        <w:rPr>
          <w:b/>
          <w:sz w:val="24"/>
          <w:szCs w:val="24"/>
          <w:lang w:val="en-US" w:eastAsia="en-US" w:bidi="en-US"/>
        </w:rPr>
        <w:t>posaconazole</w:t>
      </w:r>
      <w:proofErr w:type="spellEnd"/>
      <w:r w:rsidRPr="005E5A3B">
        <w:rPr>
          <w:b/>
          <w:sz w:val="24"/>
          <w:szCs w:val="24"/>
          <w:lang w:val="en-US" w:eastAsia="en-US" w:bidi="en-US"/>
        </w:rPr>
        <w:t xml:space="preserve"> oral suspension and </w:t>
      </w:r>
      <w:proofErr w:type="spellStart"/>
      <w:r w:rsidRPr="005E5A3B">
        <w:rPr>
          <w:b/>
          <w:sz w:val="24"/>
          <w:szCs w:val="24"/>
          <w:lang w:val="en-US" w:eastAsia="en-US" w:bidi="en-US"/>
        </w:rPr>
        <w:t>posaconazole</w:t>
      </w:r>
      <w:proofErr w:type="spellEnd"/>
      <w:r w:rsidRPr="005E5A3B">
        <w:rPr>
          <w:b/>
          <w:sz w:val="24"/>
          <w:szCs w:val="24"/>
          <w:lang w:val="en-US" w:eastAsia="en-US" w:bidi="en-US"/>
        </w:rPr>
        <w:t xml:space="preserve"> tablets or </w:t>
      </w:r>
      <w:proofErr w:type="spellStart"/>
      <w:r w:rsidRPr="005E5A3B">
        <w:rPr>
          <w:b/>
          <w:sz w:val="24"/>
          <w:szCs w:val="24"/>
          <w:lang w:val="en-US" w:eastAsia="en-US" w:bidi="en-US"/>
        </w:rPr>
        <w:t>posaconazole</w:t>
      </w:r>
      <w:proofErr w:type="spellEnd"/>
      <w:r w:rsidRPr="005E5A3B">
        <w:rPr>
          <w:b/>
          <w:sz w:val="24"/>
          <w:szCs w:val="24"/>
          <w:lang w:val="en-US" w:eastAsia="en-US" w:bidi="en-US"/>
        </w:rPr>
        <w:t xml:space="preserve"> gastro-resistant powder and solvent for oral suspension</w:t>
      </w:r>
    </w:p>
    <w:p w14:paraId="431F79FB" w14:textId="77777777" w:rsidR="0072629F" w:rsidRPr="005E5A3B" w:rsidRDefault="0072629F" w:rsidP="005E5A3B">
      <w:pPr>
        <w:suppressAutoHyphens/>
        <w:ind w:left="851"/>
        <w:rPr>
          <w:sz w:val="24"/>
          <w:szCs w:val="24"/>
          <w:lang w:val="en-US" w:eastAsia="en-US" w:bidi="en-US"/>
        </w:rPr>
      </w:pPr>
      <w:proofErr w:type="spellStart"/>
      <w:r w:rsidRPr="005E5A3B">
        <w:rPr>
          <w:sz w:val="24"/>
          <w:szCs w:val="24"/>
          <w:lang w:val="en-US" w:eastAsia="en-US" w:bidi="en-US"/>
        </w:rPr>
        <w:t>Posaconazole</w:t>
      </w:r>
      <w:proofErr w:type="spellEnd"/>
      <w:r w:rsidRPr="005E5A3B">
        <w:rPr>
          <w:sz w:val="24"/>
          <w:szCs w:val="24"/>
          <w:lang w:val="en-US" w:eastAsia="en-US" w:bidi="en-US"/>
        </w:rPr>
        <w:t xml:space="preserve"> is available in other forms and strengths, however not under this tradename.</w:t>
      </w:r>
    </w:p>
    <w:p w14:paraId="29976368" w14:textId="77777777" w:rsidR="0072629F" w:rsidRPr="005E5A3B" w:rsidRDefault="0072629F" w:rsidP="005E5A3B">
      <w:pPr>
        <w:suppressAutoHyphens/>
        <w:ind w:left="851"/>
        <w:rPr>
          <w:sz w:val="24"/>
          <w:szCs w:val="24"/>
          <w:lang w:val="en-US" w:eastAsia="en-US" w:bidi="en-US"/>
        </w:rPr>
      </w:pPr>
      <w:proofErr w:type="spellStart"/>
      <w:r w:rsidRPr="005E5A3B">
        <w:rPr>
          <w:sz w:val="24"/>
          <w:szCs w:val="24"/>
          <w:lang w:val="en-US" w:eastAsia="en-US" w:bidi="en-US"/>
        </w:rPr>
        <w:t>Posaconazole</w:t>
      </w:r>
      <w:proofErr w:type="spellEnd"/>
      <w:r w:rsidRPr="005E5A3B">
        <w:rPr>
          <w:sz w:val="24"/>
          <w:szCs w:val="24"/>
          <w:lang w:val="en-US" w:eastAsia="en-US" w:bidi="en-US"/>
        </w:rPr>
        <w:t xml:space="preserve"> oral suspension is indicated for the adult population (≥ 18 years old) only. Another formulation (</w:t>
      </w:r>
      <w:proofErr w:type="spellStart"/>
      <w:r w:rsidRPr="005E5A3B">
        <w:rPr>
          <w:sz w:val="24"/>
          <w:szCs w:val="24"/>
          <w:lang w:val="en-US" w:eastAsia="en-US" w:bidi="en-US"/>
        </w:rPr>
        <w:t>posaconazole</w:t>
      </w:r>
      <w:proofErr w:type="spellEnd"/>
      <w:r w:rsidRPr="005E5A3B">
        <w:rPr>
          <w:sz w:val="24"/>
          <w:szCs w:val="24"/>
          <w:lang w:val="en-US" w:eastAsia="en-US" w:bidi="en-US"/>
        </w:rPr>
        <w:t xml:space="preserve"> gastro-resistant powder and solvent for oral suspension) is available for paediatric patients from 2 years to less than 18 years of age.</w:t>
      </w:r>
    </w:p>
    <w:p w14:paraId="2FCD62BA" w14:textId="77777777" w:rsidR="0072629F" w:rsidRPr="005E5A3B" w:rsidRDefault="0072629F" w:rsidP="005E5A3B">
      <w:pPr>
        <w:suppressAutoHyphens/>
        <w:ind w:left="851"/>
        <w:rPr>
          <w:sz w:val="24"/>
          <w:szCs w:val="24"/>
          <w:lang w:val="en-US" w:eastAsia="en-US" w:bidi="en-US"/>
        </w:rPr>
      </w:pPr>
      <w:r w:rsidRPr="005E5A3B">
        <w:rPr>
          <w:sz w:val="24"/>
          <w:szCs w:val="24"/>
          <w:lang w:val="en-US" w:eastAsia="en-US" w:bidi="en-US"/>
        </w:rPr>
        <w:t>The oral suspension is not to be used interchangeably with either the tablet or gastro-resistant powder and solvent for oral suspension due to the differences between these two formulations in frequency of dosing, administration with food and plasma drug concentration achieved. Therefore, follow the specific dose recommendations for each formulation.</w:t>
      </w:r>
    </w:p>
    <w:p w14:paraId="1B6575FD" w14:textId="77777777" w:rsidR="005E5A3B" w:rsidRDefault="005E5A3B" w:rsidP="005E5A3B">
      <w:pPr>
        <w:suppressAutoHyphens/>
        <w:ind w:left="851"/>
        <w:rPr>
          <w:sz w:val="24"/>
          <w:szCs w:val="24"/>
          <w:u w:val="single"/>
          <w:lang w:val="en-US" w:eastAsia="en-US"/>
        </w:rPr>
      </w:pPr>
    </w:p>
    <w:p w14:paraId="75513A28" w14:textId="4F917C96" w:rsidR="0072629F" w:rsidRPr="005E5A3B" w:rsidRDefault="0072629F" w:rsidP="005E5A3B">
      <w:pPr>
        <w:suppressAutoHyphens/>
        <w:ind w:left="851"/>
        <w:rPr>
          <w:sz w:val="24"/>
          <w:szCs w:val="24"/>
          <w:u w:val="single"/>
          <w:lang w:val="en-US" w:eastAsia="en-US"/>
        </w:rPr>
      </w:pPr>
      <w:r w:rsidRPr="005E5A3B">
        <w:rPr>
          <w:sz w:val="24"/>
          <w:szCs w:val="24"/>
          <w:u w:val="single"/>
          <w:lang w:val="en-US" w:eastAsia="en-US"/>
        </w:rPr>
        <w:t>Posology</w:t>
      </w:r>
    </w:p>
    <w:p w14:paraId="48310066" w14:textId="77777777" w:rsidR="0072629F" w:rsidRPr="005E5A3B" w:rsidRDefault="0072629F" w:rsidP="005E5A3B">
      <w:pPr>
        <w:pStyle w:val="Sidehoved"/>
        <w:ind w:left="851"/>
        <w:rPr>
          <w:szCs w:val="24"/>
          <w:lang w:val="en-US"/>
        </w:rPr>
      </w:pPr>
      <w:proofErr w:type="spellStart"/>
      <w:r w:rsidRPr="005E5A3B">
        <w:rPr>
          <w:szCs w:val="24"/>
          <w:lang w:val="en-US"/>
        </w:rPr>
        <w:t>Posaconazole</w:t>
      </w:r>
      <w:proofErr w:type="spellEnd"/>
      <w:r w:rsidRPr="005E5A3B">
        <w:rPr>
          <w:szCs w:val="24"/>
          <w:lang w:val="en-US"/>
        </w:rPr>
        <w:t xml:space="preserve"> is also available as 100 mg gastro-resistant tablet</w:t>
      </w:r>
      <w:r w:rsidRPr="005E5A3B">
        <w:rPr>
          <w:szCs w:val="24"/>
          <w:lang w:val="en-US" w:eastAsia="en-US" w:bidi="en-US"/>
        </w:rPr>
        <w:t>,</w:t>
      </w:r>
      <w:r w:rsidRPr="005E5A3B">
        <w:rPr>
          <w:szCs w:val="24"/>
          <w:lang w:val="en-US"/>
        </w:rPr>
        <w:t xml:space="preserve"> 300 mg concentrate for solution for infusion</w:t>
      </w:r>
      <w:r w:rsidRPr="005E5A3B">
        <w:rPr>
          <w:szCs w:val="24"/>
          <w:lang w:val="en-US" w:eastAsia="en-US" w:bidi="en-US"/>
        </w:rPr>
        <w:t xml:space="preserve">, and 300 mg gastro-resistant powder and solvent for oral suspension. </w:t>
      </w:r>
      <w:proofErr w:type="spellStart"/>
      <w:r w:rsidRPr="005E5A3B">
        <w:rPr>
          <w:szCs w:val="24"/>
          <w:lang w:val="en-US"/>
        </w:rPr>
        <w:t>Posaconazole</w:t>
      </w:r>
      <w:proofErr w:type="spellEnd"/>
      <w:r w:rsidRPr="005E5A3B">
        <w:rPr>
          <w:szCs w:val="24"/>
          <w:lang w:val="en-US"/>
        </w:rPr>
        <w:t xml:space="preserve"> tablets generally provide higher plasma drug exposures than </w:t>
      </w:r>
      <w:proofErr w:type="spellStart"/>
      <w:r w:rsidRPr="005E5A3B">
        <w:rPr>
          <w:szCs w:val="24"/>
          <w:lang w:val="en-US"/>
        </w:rPr>
        <w:t>posaconazole</w:t>
      </w:r>
      <w:proofErr w:type="spellEnd"/>
      <w:r w:rsidRPr="005E5A3B">
        <w:rPr>
          <w:szCs w:val="24"/>
          <w:lang w:val="en-US"/>
        </w:rPr>
        <w:t xml:space="preserve"> oral suspension</w:t>
      </w:r>
      <w:r w:rsidRPr="005E5A3B">
        <w:rPr>
          <w:szCs w:val="24"/>
          <w:lang w:val="en-US" w:eastAsia="en-US" w:bidi="en-US"/>
        </w:rPr>
        <w:t xml:space="preserve"> under both fed and fasted conditions. Therefore, the tablets are the preferred formulation over the oral suspension to optimize plasma concentrations.</w:t>
      </w:r>
    </w:p>
    <w:p w14:paraId="1AE92A3D" w14:textId="77777777" w:rsidR="0072629F" w:rsidRPr="005E5A3B" w:rsidRDefault="0072629F" w:rsidP="005E5A3B">
      <w:pPr>
        <w:pStyle w:val="Sidehoved"/>
        <w:ind w:left="851" w:right="469"/>
        <w:rPr>
          <w:szCs w:val="24"/>
          <w:lang w:val="en-US" w:eastAsia="en-US" w:bidi="en-US"/>
        </w:rPr>
      </w:pPr>
    </w:p>
    <w:p w14:paraId="257CE192" w14:textId="154B48CB" w:rsidR="007E2903" w:rsidRPr="005E5A3B" w:rsidRDefault="007E2903" w:rsidP="005E5A3B">
      <w:pPr>
        <w:ind w:left="851"/>
        <w:rPr>
          <w:sz w:val="24"/>
          <w:szCs w:val="24"/>
          <w:lang w:val="en-US" w:eastAsia="en-US"/>
        </w:rPr>
      </w:pPr>
      <w:r w:rsidRPr="005E5A3B">
        <w:rPr>
          <w:sz w:val="24"/>
          <w:szCs w:val="24"/>
          <w:lang w:val="en-US" w:eastAsia="en-US"/>
        </w:rPr>
        <w:t>Recommended dose is shown in Table 1.</w:t>
      </w:r>
    </w:p>
    <w:p w14:paraId="04344D12" w14:textId="310F1198" w:rsidR="00BF541D" w:rsidRDefault="00BF541D">
      <w:pPr>
        <w:rPr>
          <w:sz w:val="24"/>
          <w:szCs w:val="24"/>
          <w:lang w:val="en-US" w:eastAsia="en-US"/>
        </w:rPr>
      </w:pPr>
      <w:r>
        <w:rPr>
          <w:sz w:val="24"/>
          <w:szCs w:val="24"/>
          <w:lang w:val="en-US" w:eastAsia="en-US"/>
        </w:rPr>
        <w:br w:type="page"/>
      </w:r>
    </w:p>
    <w:p w14:paraId="2A22CCDC" w14:textId="77777777" w:rsidR="00877E3B" w:rsidRPr="005E5A3B" w:rsidRDefault="00877E3B" w:rsidP="005E5A3B">
      <w:pPr>
        <w:ind w:left="851"/>
        <w:rPr>
          <w:sz w:val="24"/>
          <w:szCs w:val="24"/>
          <w:lang w:val="en-US" w:eastAsia="en-US"/>
        </w:rPr>
      </w:pPr>
    </w:p>
    <w:p w14:paraId="42E6606D" w14:textId="08AE299E" w:rsidR="007E2903" w:rsidRPr="000455A5" w:rsidRDefault="007E2903" w:rsidP="00877E3B">
      <w:pPr>
        <w:suppressAutoHyphens/>
        <w:spacing w:after="120"/>
        <w:ind w:left="851"/>
        <w:rPr>
          <w:b/>
          <w:sz w:val="24"/>
          <w:szCs w:val="24"/>
          <w:lang w:val="en-US" w:eastAsia="en-US"/>
        </w:rPr>
      </w:pPr>
      <w:r w:rsidRPr="000455A5">
        <w:rPr>
          <w:b/>
          <w:sz w:val="24"/>
          <w:szCs w:val="24"/>
          <w:lang w:val="en-US" w:eastAsia="en-US"/>
        </w:rPr>
        <w:t>Table 1</w:t>
      </w:r>
      <w:r w:rsidR="00877E3B" w:rsidRPr="000455A5">
        <w:rPr>
          <w:b/>
          <w:sz w:val="24"/>
          <w:szCs w:val="24"/>
          <w:lang w:val="en-US" w:eastAsia="en-US"/>
        </w:rPr>
        <w:t xml:space="preserve">. </w:t>
      </w:r>
      <w:r w:rsidRPr="000455A5">
        <w:rPr>
          <w:b/>
          <w:sz w:val="24"/>
          <w:szCs w:val="24"/>
          <w:lang w:val="en-US" w:eastAsia="en-US"/>
        </w:rPr>
        <w:t xml:space="preserve">Recommended </w:t>
      </w:r>
      <w:r w:rsidR="0072629F" w:rsidRPr="0072629F">
        <w:rPr>
          <w:b/>
          <w:szCs w:val="24"/>
          <w:lang w:val="en-US" w:eastAsia="en-US"/>
        </w:rPr>
        <w:t xml:space="preserve">dose in adults </w:t>
      </w:r>
      <w:r w:rsidRPr="000455A5">
        <w:rPr>
          <w:b/>
          <w:sz w:val="24"/>
          <w:szCs w:val="24"/>
          <w:lang w:val="en-US" w:eastAsia="en-US"/>
        </w:rPr>
        <w:t>according to indication</w:t>
      </w:r>
    </w:p>
    <w:tbl>
      <w:tblPr>
        <w:tblStyle w:val="Tabel-Gitter"/>
        <w:tblW w:w="4564" w:type="pct"/>
        <w:tblInd w:w="846" w:type="dxa"/>
        <w:tblLook w:val="04A0" w:firstRow="1" w:lastRow="0" w:firstColumn="1" w:lastColumn="0" w:noHBand="0" w:noVBand="1"/>
      </w:tblPr>
      <w:tblGrid>
        <w:gridCol w:w="3215"/>
        <w:gridCol w:w="5573"/>
      </w:tblGrid>
      <w:tr w:rsidR="007E2903" w:rsidRPr="00BD3F6B" w14:paraId="62B061E4" w14:textId="77777777" w:rsidTr="00877E3B">
        <w:tc>
          <w:tcPr>
            <w:tcW w:w="1829" w:type="pct"/>
            <w:tcBorders>
              <w:top w:val="single" w:sz="4" w:space="0" w:color="auto"/>
              <w:left w:val="single" w:sz="4" w:space="0" w:color="auto"/>
              <w:bottom w:val="single" w:sz="4" w:space="0" w:color="auto"/>
              <w:right w:val="single" w:sz="4" w:space="0" w:color="auto"/>
            </w:tcBorders>
            <w:hideMark/>
          </w:tcPr>
          <w:p w14:paraId="1B0E0CE4" w14:textId="77777777" w:rsidR="007E2903" w:rsidRPr="000455A5" w:rsidRDefault="007E2903">
            <w:pPr>
              <w:suppressAutoHyphens/>
              <w:jc w:val="center"/>
              <w:rPr>
                <w:b/>
                <w:sz w:val="24"/>
                <w:szCs w:val="24"/>
                <w:u w:val="single"/>
                <w:lang w:eastAsia="en-US"/>
              </w:rPr>
            </w:pPr>
            <w:r w:rsidRPr="000455A5">
              <w:rPr>
                <w:b/>
                <w:sz w:val="24"/>
                <w:szCs w:val="24"/>
                <w:lang w:eastAsia="en-US"/>
              </w:rPr>
              <w:t>Indication</w:t>
            </w:r>
          </w:p>
        </w:tc>
        <w:tc>
          <w:tcPr>
            <w:tcW w:w="3171" w:type="pct"/>
            <w:tcBorders>
              <w:top w:val="single" w:sz="4" w:space="0" w:color="auto"/>
              <w:left w:val="single" w:sz="4" w:space="0" w:color="auto"/>
              <w:bottom w:val="single" w:sz="4" w:space="0" w:color="auto"/>
              <w:right w:val="single" w:sz="4" w:space="0" w:color="auto"/>
            </w:tcBorders>
            <w:hideMark/>
          </w:tcPr>
          <w:p w14:paraId="051151C3" w14:textId="77777777" w:rsidR="007E2903" w:rsidRPr="000455A5" w:rsidRDefault="007E2903">
            <w:pPr>
              <w:suppressAutoHyphens/>
              <w:jc w:val="center"/>
              <w:rPr>
                <w:b/>
                <w:sz w:val="24"/>
                <w:szCs w:val="24"/>
                <w:lang w:eastAsia="en-US"/>
              </w:rPr>
            </w:pPr>
            <w:r w:rsidRPr="000455A5">
              <w:rPr>
                <w:b/>
                <w:sz w:val="24"/>
                <w:szCs w:val="24"/>
                <w:lang w:eastAsia="en-US"/>
              </w:rPr>
              <w:t>Dose and duration of therapy</w:t>
            </w:r>
          </w:p>
          <w:p w14:paraId="047A4B88" w14:textId="77777777" w:rsidR="007E2903" w:rsidRPr="000455A5" w:rsidRDefault="007E2903">
            <w:pPr>
              <w:suppressAutoHyphens/>
              <w:jc w:val="center"/>
              <w:rPr>
                <w:sz w:val="24"/>
                <w:szCs w:val="24"/>
                <w:u w:val="single"/>
                <w:lang w:eastAsia="en-US"/>
              </w:rPr>
            </w:pPr>
            <w:r w:rsidRPr="000455A5">
              <w:rPr>
                <w:sz w:val="24"/>
                <w:szCs w:val="24"/>
                <w:lang w:eastAsia="en-US"/>
              </w:rPr>
              <w:t>(See section 5.2)</w:t>
            </w:r>
          </w:p>
        </w:tc>
      </w:tr>
      <w:tr w:rsidR="007E2903" w:rsidRPr="00BD3F6B" w14:paraId="27C53633" w14:textId="77777777" w:rsidTr="00877E3B">
        <w:tc>
          <w:tcPr>
            <w:tcW w:w="1829" w:type="pct"/>
            <w:tcBorders>
              <w:top w:val="single" w:sz="4" w:space="0" w:color="auto"/>
              <w:left w:val="single" w:sz="4" w:space="0" w:color="auto"/>
              <w:bottom w:val="single" w:sz="4" w:space="0" w:color="auto"/>
              <w:right w:val="single" w:sz="4" w:space="0" w:color="auto"/>
            </w:tcBorders>
            <w:hideMark/>
          </w:tcPr>
          <w:p w14:paraId="292C04EF" w14:textId="708D48BB" w:rsidR="007E2903" w:rsidRPr="000455A5" w:rsidRDefault="007E2903" w:rsidP="005E5A3B">
            <w:pPr>
              <w:suppressAutoHyphens/>
              <w:rPr>
                <w:sz w:val="24"/>
                <w:szCs w:val="24"/>
                <w:lang w:eastAsia="en-US"/>
              </w:rPr>
            </w:pPr>
            <w:r w:rsidRPr="000455A5">
              <w:rPr>
                <w:sz w:val="24"/>
                <w:szCs w:val="24"/>
                <w:lang w:eastAsia="en-US"/>
              </w:rPr>
              <w:t>Refractory invasive fungal</w:t>
            </w:r>
            <w:r w:rsidR="005E5A3B" w:rsidRPr="005E5A3B">
              <w:rPr>
                <w:sz w:val="24"/>
                <w:szCs w:val="24"/>
                <w:lang w:val="en-US" w:eastAsia="en-US"/>
              </w:rPr>
              <w:t xml:space="preserve"> </w:t>
            </w:r>
            <w:r w:rsidRPr="000455A5">
              <w:rPr>
                <w:sz w:val="24"/>
                <w:szCs w:val="24"/>
                <w:lang w:eastAsia="en-US"/>
              </w:rPr>
              <w:t>infections (IFI)/patients with IFI</w:t>
            </w:r>
            <w:r w:rsidR="005E5A3B" w:rsidRPr="005E5A3B">
              <w:rPr>
                <w:sz w:val="24"/>
                <w:szCs w:val="24"/>
                <w:lang w:val="en-US" w:eastAsia="en-US"/>
              </w:rPr>
              <w:t xml:space="preserve"> </w:t>
            </w:r>
            <w:r w:rsidRPr="000455A5">
              <w:rPr>
                <w:sz w:val="24"/>
                <w:szCs w:val="24"/>
                <w:lang w:eastAsia="en-US"/>
              </w:rPr>
              <w:t>intolerant to 1</w:t>
            </w:r>
            <w:r w:rsidRPr="000455A5">
              <w:rPr>
                <w:sz w:val="24"/>
                <w:szCs w:val="24"/>
                <w:vertAlign w:val="superscript"/>
                <w:lang w:eastAsia="en-US"/>
              </w:rPr>
              <w:t>st</w:t>
            </w:r>
            <w:r w:rsidRPr="000455A5">
              <w:rPr>
                <w:sz w:val="24"/>
                <w:szCs w:val="24"/>
                <w:lang w:eastAsia="en-US"/>
              </w:rPr>
              <w:t xml:space="preserve"> line therapy</w:t>
            </w:r>
          </w:p>
        </w:tc>
        <w:tc>
          <w:tcPr>
            <w:tcW w:w="3171" w:type="pct"/>
            <w:tcBorders>
              <w:top w:val="single" w:sz="4" w:space="0" w:color="auto"/>
              <w:left w:val="single" w:sz="4" w:space="0" w:color="auto"/>
              <w:bottom w:val="single" w:sz="4" w:space="0" w:color="auto"/>
              <w:right w:val="single" w:sz="4" w:space="0" w:color="auto"/>
            </w:tcBorders>
            <w:hideMark/>
          </w:tcPr>
          <w:p w14:paraId="18C60A36" w14:textId="77777777" w:rsidR="007E2903" w:rsidRPr="000455A5" w:rsidRDefault="007E2903">
            <w:pPr>
              <w:suppressAutoHyphens/>
              <w:rPr>
                <w:sz w:val="24"/>
                <w:szCs w:val="24"/>
                <w:lang w:eastAsia="en-US"/>
              </w:rPr>
            </w:pPr>
            <w:r w:rsidRPr="000455A5">
              <w:rPr>
                <w:sz w:val="24"/>
                <w:szCs w:val="24"/>
                <w:lang w:eastAsia="en-US"/>
              </w:rPr>
              <w:t>200 mg (5 mL) four times a day. Alternatively, patients who can tolerate food or a nutritional supplement may take 400 mg (10 mL) twice a day during or immediately following a meal or nutritional supplement.</w:t>
            </w:r>
          </w:p>
          <w:p w14:paraId="008274BD" w14:textId="77777777" w:rsidR="007E2903" w:rsidRPr="000455A5" w:rsidRDefault="007E2903">
            <w:pPr>
              <w:suppressAutoHyphens/>
              <w:rPr>
                <w:sz w:val="24"/>
                <w:szCs w:val="24"/>
                <w:lang w:eastAsia="en-US"/>
              </w:rPr>
            </w:pPr>
            <w:r w:rsidRPr="000455A5">
              <w:rPr>
                <w:sz w:val="24"/>
                <w:szCs w:val="24"/>
                <w:lang w:eastAsia="en-US"/>
              </w:rPr>
              <w:t>Duration of therapy should be based on the severity of the underlying disease, recovery from immunosuppression, and clinical response.</w:t>
            </w:r>
          </w:p>
        </w:tc>
      </w:tr>
      <w:tr w:rsidR="007E2903" w:rsidRPr="00BD3F6B" w14:paraId="547E4AF6" w14:textId="77777777" w:rsidTr="00877E3B">
        <w:tc>
          <w:tcPr>
            <w:tcW w:w="1829" w:type="pct"/>
            <w:tcBorders>
              <w:top w:val="single" w:sz="4" w:space="0" w:color="auto"/>
              <w:left w:val="single" w:sz="4" w:space="0" w:color="auto"/>
              <w:bottom w:val="single" w:sz="4" w:space="0" w:color="auto"/>
              <w:right w:val="single" w:sz="4" w:space="0" w:color="auto"/>
            </w:tcBorders>
            <w:hideMark/>
          </w:tcPr>
          <w:p w14:paraId="53BD1D91" w14:textId="77777777" w:rsidR="007E2903" w:rsidRPr="000455A5" w:rsidRDefault="007E2903">
            <w:pPr>
              <w:suppressAutoHyphens/>
              <w:rPr>
                <w:sz w:val="24"/>
                <w:szCs w:val="24"/>
                <w:lang w:eastAsia="en-US"/>
              </w:rPr>
            </w:pPr>
            <w:r w:rsidRPr="000455A5">
              <w:rPr>
                <w:sz w:val="24"/>
                <w:szCs w:val="24"/>
                <w:lang w:eastAsia="en-US"/>
              </w:rPr>
              <w:t>Oropharyngeal candidiasis</w:t>
            </w:r>
          </w:p>
        </w:tc>
        <w:tc>
          <w:tcPr>
            <w:tcW w:w="3171" w:type="pct"/>
            <w:tcBorders>
              <w:top w:val="single" w:sz="4" w:space="0" w:color="auto"/>
              <w:left w:val="single" w:sz="4" w:space="0" w:color="auto"/>
              <w:bottom w:val="single" w:sz="4" w:space="0" w:color="auto"/>
              <w:right w:val="single" w:sz="4" w:space="0" w:color="auto"/>
            </w:tcBorders>
            <w:hideMark/>
          </w:tcPr>
          <w:p w14:paraId="19241D41" w14:textId="77777777" w:rsidR="007E2903" w:rsidRPr="000455A5" w:rsidRDefault="007E2903">
            <w:pPr>
              <w:suppressAutoHyphens/>
              <w:rPr>
                <w:sz w:val="24"/>
                <w:szCs w:val="24"/>
                <w:lang w:eastAsia="en-US"/>
              </w:rPr>
            </w:pPr>
            <w:r w:rsidRPr="000455A5">
              <w:rPr>
                <w:sz w:val="24"/>
                <w:szCs w:val="24"/>
                <w:lang w:eastAsia="en-US"/>
              </w:rPr>
              <w:t>Loading dose of 200 mg (5 mL) once a day on the first day, then 100 mg (2.5 mL) once a day for 13 days.</w:t>
            </w:r>
          </w:p>
          <w:p w14:paraId="1983130B" w14:textId="558D2121" w:rsidR="007E2903" w:rsidRPr="000455A5" w:rsidRDefault="007E2903">
            <w:pPr>
              <w:suppressAutoHyphens/>
              <w:rPr>
                <w:sz w:val="24"/>
                <w:szCs w:val="24"/>
                <w:lang w:eastAsia="en-US"/>
              </w:rPr>
            </w:pPr>
            <w:r w:rsidRPr="000455A5">
              <w:rPr>
                <w:sz w:val="24"/>
                <w:szCs w:val="24"/>
                <w:lang w:eastAsia="en-US"/>
              </w:rPr>
              <w:t xml:space="preserve">Each dose of </w:t>
            </w:r>
            <w:r w:rsidR="000455A5">
              <w:rPr>
                <w:sz w:val="24"/>
                <w:szCs w:val="24"/>
                <w:lang w:eastAsia="en-US"/>
              </w:rPr>
              <w:t>Posaconazol "Teva B.V."</w:t>
            </w:r>
            <w:r w:rsidRPr="000455A5">
              <w:rPr>
                <w:sz w:val="24"/>
                <w:szCs w:val="24"/>
                <w:lang w:eastAsia="en-US"/>
              </w:rPr>
              <w:t xml:space="preserve"> should be administered during or immediately after a meal, or a nutritional supplement in patients who cannot tolerate food to enhance the oral absorption and to ensure adequate exposure.</w:t>
            </w:r>
          </w:p>
        </w:tc>
      </w:tr>
      <w:tr w:rsidR="007E2903" w:rsidRPr="00BD3F6B" w14:paraId="2AED6825" w14:textId="77777777" w:rsidTr="00877E3B">
        <w:tc>
          <w:tcPr>
            <w:tcW w:w="1829" w:type="pct"/>
            <w:tcBorders>
              <w:top w:val="single" w:sz="4" w:space="0" w:color="auto"/>
              <w:left w:val="single" w:sz="4" w:space="0" w:color="auto"/>
              <w:bottom w:val="single" w:sz="4" w:space="0" w:color="auto"/>
              <w:right w:val="single" w:sz="4" w:space="0" w:color="auto"/>
            </w:tcBorders>
            <w:hideMark/>
          </w:tcPr>
          <w:p w14:paraId="28576993" w14:textId="71946D42" w:rsidR="007E2903" w:rsidRPr="000455A5" w:rsidRDefault="007E2903" w:rsidP="005E5A3B">
            <w:pPr>
              <w:suppressAutoHyphens/>
              <w:rPr>
                <w:sz w:val="24"/>
                <w:szCs w:val="24"/>
                <w:lang w:eastAsia="en-US"/>
              </w:rPr>
            </w:pPr>
            <w:r w:rsidRPr="000455A5">
              <w:rPr>
                <w:sz w:val="24"/>
                <w:szCs w:val="24"/>
                <w:lang w:eastAsia="en-US"/>
              </w:rPr>
              <w:t>Prophylaxis of invasive fungal</w:t>
            </w:r>
            <w:r w:rsidR="005E5A3B" w:rsidRPr="005E5A3B">
              <w:rPr>
                <w:sz w:val="24"/>
                <w:szCs w:val="24"/>
                <w:lang w:val="en-US" w:eastAsia="en-US"/>
              </w:rPr>
              <w:t xml:space="preserve"> </w:t>
            </w:r>
            <w:r w:rsidRPr="000455A5">
              <w:rPr>
                <w:sz w:val="24"/>
                <w:szCs w:val="24"/>
                <w:lang w:eastAsia="en-US"/>
              </w:rPr>
              <w:t>infections</w:t>
            </w:r>
          </w:p>
        </w:tc>
        <w:tc>
          <w:tcPr>
            <w:tcW w:w="3171" w:type="pct"/>
            <w:tcBorders>
              <w:top w:val="single" w:sz="4" w:space="0" w:color="auto"/>
              <w:left w:val="single" w:sz="4" w:space="0" w:color="auto"/>
              <w:bottom w:val="single" w:sz="4" w:space="0" w:color="auto"/>
              <w:right w:val="single" w:sz="4" w:space="0" w:color="auto"/>
            </w:tcBorders>
            <w:hideMark/>
          </w:tcPr>
          <w:p w14:paraId="3C79E25A" w14:textId="78C700C6" w:rsidR="007E2903" w:rsidRPr="000455A5" w:rsidRDefault="007E2903">
            <w:pPr>
              <w:suppressAutoHyphens/>
              <w:rPr>
                <w:sz w:val="24"/>
                <w:szCs w:val="24"/>
                <w:lang w:eastAsia="en-US"/>
              </w:rPr>
            </w:pPr>
            <w:r w:rsidRPr="000455A5">
              <w:rPr>
                <w:sz w:val="24"/>
                <w:szCs w:val="24"/>
                <w:lang w:eastAsia="en-US"/>
              </w:rPr>
              <w:t xml:space="preserve">200 mg (5 mL) three times a day. Each dose of </w:t>
            </w:r>
            <w:r w:rsidR="000455A5">
              <w:rPr>
                <w:sz w:val="24"/>
                <w:szCs w:val="24"/>
                <w:lang w:eastAsia="en-US"/>
              </w:rPr>
              <w:t>Posaconazol "Teva B.V."</w:t>
            </w:r>
            <w:r w:rsidRPr="000455A5">
              <w:rPr>
                <w:sz w:val="24"/>
                <w:szCs w:val="24"/>
                <w:lang w:eastAsia="en-US"/>
              </w:rPr>
              <w:t xml:space="preserve"> should be administered during or immediately after a meal, or a nutritional supplement in patients who cannot tolerate food to enhance the oral absorption and to ensure adequate exposure. The duration of therapy is based on recovery from neutropenia or immunosuppression. For patients with acute myelogenous </w:t>
            </w:r>
            <w:r w:rsidR="0072629F">
              <w:rPr>
                <w:szCs w:val="24"/>
                <w:lang w:eastAsia="en-US"/>
              </w:rPr>
              <w:t>leukaemia</w:t>
            </w:r>
            <w:r w:rsidRPr="000455A5">
              <w:rPr>
                <w:sz w:val="24"/>
                <w:szCs w:val="24"/>
                <w:lang w:eastAsia="en-US"/>
              </w:rPr>
              <w:t xml:space="preserve"> or myelodysplastic syndromes, prophylaxis with </w:t>
            </w:r>
            <w:r w:rsidR="000455A5">
              <w:rPr>
                <w:sz w:val="24"/>
                <w:szCs w:val="24"/>
                <w:lang w:eastAsia="en-US"/>
              </w:rPr>
              <w:t>Posaconazol "Teva B.V."</w:t>
            </w:r>
            <w:r w:rsidRPr="000455A5">
              <w:rPr>
                <w:sz w:val="24"/>
                <w:szCs w:val="24"/>
                <w:lang w:eastAsia="en-US"/>
              </w:rPr>
              <w:t xml:space="preserve"> should start several days before the anticipated onset of neutropenia and continue for 7 days after the neutrophil count rises above 500 cells per mm</w:t>
            </w:r>
            <w:r w:rsidRPr="00266677">
              <w:rPr>
                <w:sz w:val="24"/>
                <w:szCs w:val="24"/>
                <w:vertAlign w:val="superscript"/>
                <w:lang w:eastAsia="en-US"/>
              </w:rPr>
              <w:t>3</w:t>
            </w:r>
            <w:r w:rsidRPr="000455A5">
              <w:rPr>
                <w:sz w:val="24"/>
                <w:szCs w:val="24"/>
                <w:lang w:eastAsia="en-US"/>
              </w:rPr>
              <w:t>.</w:t>
            </w:r>
          </w:p>
        </w:tc>
      </w:tr>
    </w:tbl>
    <w:p w14:paraId="70C117EC" w14:textId="77777777" w:rsidR="007E2903" w:rsidRPr="000455A5" w:rsidRDefault="007E2903" w:rsidP="007E2903">
      <w:pPr>
        <w:suppressAutoHyphens/>
        <w:jc w:val="both"/>
        <w:rPr>
          <w:sz w:val="24"/>
          <w:szCs w:val="24"/>
          <w:u w:val="single"/>
          <w:lang w:val="en-GB" w:eastAsia="en-US"/>
        </w:rPr>
      </w:pPr>
    </w:p>
    <w:p w14:paraId="3ABFB9B0" w14:textId="77777777" w:rsidR="007E2903" w:rsidRPr="000455A5" w:rsidRDefault="007E2903" w:rsidP="003649BE">
      <w:pPr>
        <w:ind w:left="851"/>
        <w:rPr>
          <w:sz w:val="24"/>
          <w:szCs w:val="24"/>
          <w:u w:val="single"/>
          <w:lang w:val="en-US" w:eastAsia="en-US"/>
        </w:rPr>
      </w:pPr>
      <w:r w:rsidRPr="000455A5">
        <w:rPr>
          <w:sz w:val="24"/>
          <w:szCs w:val="24"/>
          <w:u w:val="single"/>
          <w:lang w:val="en-US" w:eastAsia="en-US"/>
        </w:rPr>
        <w:t>Special populations</w:t>
      </w:r>
    </w:p>
    <w:p w14:paraId="2C0CE887" w14:textId="77777777" w:rsidR="00877E3B" w:rsidRPr="000455A5" w:rsidRDefault="00877E3B" w:rsidP="003649BE">
      <w:pPr>
        <w:ind w:left="851"/>
        <w:rPr>
          <w:i/>
          <w:sz w:val="24"/>
          <w:szCs w:val="24"/>
          <w:lang w:val="en-US" w:eastAsia="en-US"/>
        </w:rPr>
      </w:pPr>
    </w:p>
    <w:p w14:paraId="68435FA4" w14:textId="2474B33D" w:rsidR="007E2903" w:rsidRPr="000455A5" w:rsidRDefault="007E2903" w:rsidP="003649BE">
      <w:pPr>
        <w:ind w:left="851"/>
        <w:rPr>
          <w:i/>
          <w:sz w:val="24"/>
          <w:szCs w:val="24"/>
          <w:lang w:val="en-US" w:eastAsia="en-US"/>
        </w:rPr>
      </w:pPr>
      <w:r w:rsidRPr="000455A5">
        <w:rPr>
          <w:i/>
          <w:sz w:val="24"/>
          <w:szCs w:val="24"/>
          <w:lang w:val="en-US" w:eastAsia="en-US"/>
        </w:rPr>
        <w:t>Renal impairment</w:t>
      </w:r>
    </w:p>
    <w:p w14:paraId="7BB8F416" w14:textId="77777777" w:rsidR="007E2903" w:rsidRPr="000455A5" w:rsidRDefault="007E2903" w:rsidP="003649BE">
      <w:pPr>
        <w:ind w:left="851"/>
        <w:rPr>
          <w:sz w:val="24"/>
          <w:szCs w:val="24"/>
          <w:lang w:val="en-US" w:eastAsia="en-US"/>
        </w:rPr>
      </w:pPr>
      <w:r w:rsidRPr="000455A5">
        <w:rPr>
          <w:sz w:val="24"/>
          <w:szCs w:val="24"/>
          <w:lang w:val="en-US" w:eastAsia="en-US"/>
        </w:rPr>
        <w:t xml:space="preserve">An effect of renal impairment on the pharmacokinetics of </w:t>
      </w:r>
      <w:proofErr w:type="spellStart"/>
      <w:r w:rsidRPr="000455A5">
        <w:rPr>
          <w:sz w:val="24"/>
          <w:szCs w:val="24"/>
          <w:lang w:val="en-US" w:eastAsia="en-US"/>
        </w:rPr>
        <w:t>posaconazole</w:t>
      </w:r>
      <w:proofErr w:type="spellEnd"/>
      <w:r w:rsidRPr="000455A5">
        <w:rPr>
          <w:sz w:val="24"/>
          <w:szCs w:val="24"/>
          <w:lang w:val="en-US" w:eastAsia="en-US"/>
        </w:rPr>
        <w:t xml:space="preserve"> is not expected and no dose adjustment is recommended (see section 5.2).</w:t>
      </w:r>
    </w:p>
    <w:p w14:paraId="0178E436" w14:textId="77777777" w:rsidR="007E2903" w:rsidRPr="000455A5" w:rsidRDefault="007E2903" w:rsidP="003649BE">
      <w:pPr>
        <w:ind w:left="851"/>
        <w:rPr>
          <w:sz w:val="24"/>
          <w:szCs w:val="24"/>
          <w:lang w:val="en-US" w:eastAsia="en-US"/>
        </w:rPr>
      </w:pPr>
    </w:p>
    <w:p w14:paraId="15D7949B" w14:textId="77777777" w:rsidR="007E2903" w:rsidRPr="000455A5" w:rsidRDefault="007E2903" w:rsidP="003649BE">
      <w:pPr>
        <w:ind w:left="851"/>
        <w:rPr>
          <w:i/>
          <w:sz w:val="24"/>
          <w:szCs w:val="24"/>
          <w:lang w:val="en-US" w:eastAsia="en-US"/>
        </w:rPr>
      </w:pPr>
      <w:r w:rsidRPr="000455A5">
        <w:rPr>
          <w:i/>
          <w:sz w:val="24"/>
          <w:szCs w:val="24"/>
          <w:lang w:val="en-US" w:eastAsia="en-US"/>
        </w:rPr>
        <w:t>Hepatic impairment</w:t>
      </w:r>
    </w:p>
    <w:p w14:paraId="0A6CBF80" w14:textId="77777777" w:rsidR="007E2903" w:rsidRPr="000455A5" w:rsidRDefault="007E2903" w:rsidP="003649BE">
      <w:pPr>
        <w:ind w:left="851"/>
        <w:rPr>
          <w:sz w:val="24"/>
          <w:szCs w:val="24"/>
          <w:lang w:val="en-US" w:eastAsia="en-US"/>
        </w:rPr>
      </w:pPr>
      <w:r w:rsidRPr="000455A5">
        <w:rPr>
          <w:sz w:val="24"/>
          <w:szCs w:val="24"/>
          <w:lang w:val="en-US" w:eastAsia="en-US"/>
        </w:rPr>
        <w:t xml:space="preserve">Limited data on the effect of hepatic impairment (including Child-Pugh C classification of chronic liver disease) on the pharmacokinetics of </w:t>
      </w:r>
      <w:proofErr w:type="spellStart"/>
      <w:r w:rsidRPr="000455A5">
        <w:rPr>
          <w:sz w:val="24"/>
          <w:szCs w:val="24"/>
          <w:lang w:val="en-US" w:eastAsia="en-US"/>
        </w:rPr>
        <w:t>posaconazole</w:t>
      </w:r>
      <w:proofErr w:type="spellEnd"/>
      <w:r w:rsidRPr="000455A5">
        <w:rPr>
          <w:sz w:val="24"/>
          <w:szCs w:val="24"/>
          <w:lang w:val="en-US" w:eastAsia="en-US"/>
        </w:rPr>
        <w:t xml:space="preserve"> demonstrate an increase in plasma exposure compared to subjects with normal hepatic function, but do not suggest that dose adjustment is necessary (see sections 4.4 and 5.2). It is recommended to exercise caution due to the potential for higher plasma exposure.</w:t>
      </w:r>
    </w:p>
    <w:p w14:paraId="08FB5188" w14:textId="77777777" w:rsidR="007E2903" w:rsidRPr="000455A5" w:rsidRDefault="007E2903" w:rsidP="003649BE">
      <w:pPr>
        <w:ind w:left="851"/>
        <w:rPr>
          <w:sz w:val="24"/>
          <w:szCs w:val="24"/>
          <w:lang w:val="en-US" w:eastAsia="en-US"/>
        </w:rPr>
      </w:pPr>
    </w:p>
    <w:p w14:paraId="2C7376D5" w14:textId="77777777" w:rsidR="007E2903" w:rsidRPr="000455A5" w:rsidRDefault="007E2903" w:rsidP="005E5A3B">
      <w:pPr>
        <w:ind w:left="851"/>
        <w:rPr>
          <w:i/>
          <w:sz w:val="24"/>
          <w:szCs w:val="24"/>
          <w:lang w:val="en-US" w:eastAsia="en-US"/>
        </w:rPr>
      </w:pPr>
      <w:r w:rsidRPr="000455A5">
        <w:rPr>
          <w:i/>
          <w:sz w:val="24"/>
          <w:szCs w:val="24"/>
          <w:lang w:val="en-US" w:eastAsia="en-US"/>
        </w:rPr>
        <w:t>Paediatric population</w:t>
      </w:r>
    </w:p>
    <w:p w14:paraId="6BC54541" w14:textId="77777777" w:rsidR="0072629F" w:rsidRPr="0072629F" w:rsidRDefault="0072629F" w:rsidP="005E5A3B">
      <w:pPr>
        <w:pStyle w:val="Sidehoved"/>
        <w:ind w:left="851"/>
        <w:rPr>
          <w:sz w:val="18"/>
          <w:lang w:val="en-US"/>
        </w:rPr>
      </w:pPr>
      <w:r w:rsidRPr="0072629F">
        <w:rPr>
          <w:lang w:val="en-US"/>
        </w:rPr>
        <w:t xml:space="preserve">The safety and efficacy of </w:t>
      </w:r>
      <w:proofErr w:type="spellStart"/>
      <w:r w:rsidRPr="0072629F">
        <w:rPr>
          <w:lang w:val="en-US"/>
        </w:rPr>
        <w:t>posaconazole</w:t>
      </w:r>
      <w:proofErr w:type="spellEnd"/>
      <w:r w:rsidRPr="0072629F">
        <w:rPr>
          <w:lang w:val="en-US"/>
        </w:rPr>
        <w:t xml:space="preserve"> </w:t>
      </w:r>
      <w:r w:rsidRPr="0072629F">
        <w:rPr>
          <w:szCs w:val="24"/>
          <w:lang w:val="en-US" w:eastAsia="en-US"/>
        </w:rPr>
        <w:t xml:space="preserve">oral suspension have not been established </w:t>
      </w:r>
      <w:r w:rsidRPr="0072629F">
        <w:rPr>
          <w:lang w:val="en-US"/>
        </w:rPr>
        <w:t xml:space="preserve">in children </w:t>
      </w:r>
      <w:r w:rsidRPr="0072629F">
        <w:rPr>
          <w:szCs w:val="24"/>
          <w:lang w:val="en-US" w:eastAsia="en-US"/>
        </w:rPr>
        <w:t xml:space="preserve">and adolescents </w:t>
      </w:r>
      <w:r w:rsidRPr="0072629F">
        <w:rPr>
          <w:lang w:val="en-US"/>
        </w:rPr>
        <w:t>aged below 18 years. Currently available data are described in sections 5.1 and 5.2, but no recommendation on a posology can be made.</w:t>
      </w:r>
      <w:r w:rsidRPr="0072629F">
        <w:rPr>
          <w:szCs w:val="24"/>
          <w:lang w:val="en-US" w:eastAsia="en-US"/>
        </w:rPr>
        <w:t xml:space="preserve"> Two other oral formulations, </w:t>
      </w:r>
      <w:proofErr w:type="spellStart"/>
      <w:r w:rsidRPr="0072629F">
        <w:rPr>
          <w:szCs w:val="24"/>
          <w:lang w:val="en-US" w:eastAsia="en-US"/>
        </w:rPr>
        <w:t>posaconazole</w:t>
      </w:r>
      <w:proofErr w:type="spellEnd"/>
      <w:r w:rsidRPr="0072629F">
        <w:rPr>
          <w:szCs w:val="24"/>
          <w:lang w:val="en-US" w:eastAsia="en-US"/>
        </w:rPr>
        <w:t xml:space="preserve"> gastro-resistant powder and solvent for oral suspension and </w:t>
      </w:r>
      <w:proofErr w:type="spellStart"/>
      <w:r w:rsidRPr="0072629F">
        <w:rPr>
          <w:szCs w:val="24"/>
          <w:lang w:val="en-US" w:eastAsia="en-US"/>
        </w:rPr>
        <w:t>posaconazole</w:t>
      </w:r>
      <w:proofErr w:type="spellEnd"/>
      <w:r w:rsidRPr="0072629F">
        <w:rPr>
          <w:szCs w:val="24"/>
          <w:lang w:val="en-US" w:eastAsia="en-US"/>
        </w:rPr>
        <w:t xml:space="preserve"> tablets, are available for the paediatric population.</w:t>
      </w:r>
    </w:p>
    <w:p w14:paraId="4B755E72" w14:textId="77777777" w:rsidR="007E2903" w:rsidRPr="000455A5" w:rsidRDefault="007E2903" w:rsidP="003649BE">
      <w:pPr>
        <w:ind w:left="851"/>
        <w:rPr>
          <w:sz w:val="24"/>
          <w:szCs w:val="24"/>
          <w:lang w:val="en-US" w:eastAsia="en-US"/>
        </w:rPr>
      </w:pPr>
    </w:p>
    <w:p w14:paraId="70B51F11" w14:textId="77777777" w:rsidR="007E2903" w:rsidRPr="000455A5" w:rsidRDefault="007E2903" w:rsidP="003649BE">
      <w:pPr>
        <w:ind w:left="851"/>
        <w:rPr>
          <w:sz w:val="24"/>
          <w:szCs w:val="24"/>
          <w:u w:val="single"/>
          <w:lang w:val="en-US" w:eastAsia="en-US"/>
        </w:rPr>
      </w:pPr>
      <w:r w:rsidRPr="000455A5">
        <w:rPr>
          <w:sz w:val="24"/>
          <w:szCs w:val="24"/>
          <w:u w:val="single"/>
          <w:lang w:val="en-US" w:eastAsia="en-US"/>
        </w:rPr>
        <w:t>Method of administration</w:t>
      </w:r>
    </w:p>
    <w:p w14:paraId="6F75BF57" w14:textId="77777777" w:rsidR="007E2903" w:rsidRPr="000455A5" w:rsidRDefault="007E2903" w:rsidP="003649BE">
      <w:pPr>
        <w:ind w:left="851"/>
        <w:rPr>
          <w:sz w:val="24"/>
          <w:szCs w:val="24"/>
          <w:lang w:val="en-US" w:eastAsia="en-US"/>
        </w:rPr>
      </w:pPr>
      <w:r w:rsidRPr="000455A5">
        <w:rPr>
          <w:sz w:val="24"/>
          <w:szCs w:val="24"/>
          <w:lang w:val="en-US" w:eastAsia="en-US"/>
        </w:rPr>
        <w:t>For oral use</w:t>
      </w:r>
    </w:p>
    <w:p w14:paraId="133A69AA" w14:textId="77777777" w:rsidR="007E2903" w:rsidRPr="000455A5" w:rsidRDefault="007E2903" w:rsidP="003649BE">
      <w:pPr>
        <w:ind w:left="851"/>
        <w:rPr>
          <w:sz w:val="24"/>
          <w:szCs w:val="24"/>
          <w:lang w:val="en-US" w:eastAsia="el-GR"/>
        </w:rPr>
      </w:pPr>
      <w:r w:rsidRPr="000455A5">
        <w:rPr>
          <w:sz w:val="24"/>
          <w:szCs w:val="24"/>
          <w:lang w:val="en-US" w:eastAsia="el-GR"/>
        </w:rPr>
        <w:t>The oral suspension must be shaken well before use (5 – 10 seconds).</w:t>
      </w:r>
    </w:p>
    <w:p w14:paraId="541FA310" w14:textId="77777777" w:rsidR="007C5D2A" w:rsidRPr="000455A5" w:rsidRDefault="007C5D2A" w:rsidP="00A85D26">
      <w:pPr>
        <w:tabs>
          <w:tab w:val="left" w:pos="851"/>
        </w:tabs>
        <w:ind w:left="851"/>
        <w:rPr>
          <w:sz w:val="24"/>
          <w:szCs w:val="24"/>
          <w:lang w:val="en-GB"/>
        </w:rPr>
      </w:pPr>
    </w:p>
    <w:p w14:paraId="5CBF70BB" w14:textId="77777777" w:rsidR="007C5D2A" w:rsidRPr="000455A5" w:rsidRDefault="007C5D2A" w:rsidP="007C5D2A">
      <w:pPr>
        <w:tabs>
          <w:tab w:val="left" w:pos="851"/>
        </w:tabs>
        <w:ind w:left="851" w:hanging="851"/>
        <w:rPr>
          <w:b/>
          <w:sz w:val="24"/>
          <w:szCs w:val="24"/>
          <w:lang w:val="en-GB"/>
        </w:rPr>
      </w:pPr>
      <w:r w:rsidRPr="000455A5">
        <w:rPr>
          <w:b/>
          <w:sz w:val="24"/>
          <w:szCs w:val="24"/>
          <w:lang w:val="en-GB"/>
        </w:rPr>
        <w:t>4.3</w:t>
      </w:r>
      <w:r w:rsidRPr="000455A5">
        <w:rPr>
          <w:b/>
          <w:sz w:val="24"/>
          <w:szCs w:val="24"/>
          <w:lang w:val="en-GB"/>
        </w:rPr>
        <w:tab/>
        <w:t>Contraindications</w:t>
      </w:r>
    </w:p>
    <w:p w14:paraId="02FA92F5" w14:textId="77777777" w:rsidR="007E2903" w:rsidRPr="000455A5" w:rsidRDefault="007E2903" w:rsidP="003649BE">
      <w:pPr>
        <w:ind w:left="851"/>
        <w:rPr>
          <w:sz w:val="24"/>
          <w:szCs w:val="24"/>
          <w:lang w:val="en-US" w:eastAsia="el-GR"/>
        </w:rPr>
      </w:pPr>
      <w:r w:rsidRPr="000455A5">
        <w:rPr>
          <w:sz w:val="24"/>
          <w:szCs w:val="24"/>
          <w:lang w:val="en-US" w:eastAsia="el-GR"/>
        </w:rPr>
        <w:t>Hypersensitivity to the active substance or to any of the excipients listed in section 6.1.</w:t>
      </w:r>
    </w:p>
    <w:p w14:paraId="13394B6D" w14:textId="77777777" w:rsidR="00877E3B" w:rsidRPr="000455A5" w:rsidRDefault="00877E3B" w:rsidP="003649BE">
      <w:pPr>
        <w:ind w:left="851"/>
        <w:rPr>
          <w:sz w:val="24"/>
          <w:szCs w:val="24"/>
          <w:lang w:val="en-US" w:eastAsia="el-GR"/>
        </w:rPr>
      </w:pPr>
    </w:p>
    <w:p w14:paraId="61E46E7C" w14:textId="09FEBDBC" w:rsidR="007E2903" w:rsidRPr="000455A5" w:rsidRDefault="007E2903" w:rsidP="003649BE">
      <w:pPr>
        <w:ind w:left="851"/>
        <w:rPr>
          <w:sz w:val="24"/>
          <w:szCs w:val="24"/>
          <w:lang w:val="en-US" w:eastAsia="el-GR"/>
        </w:rPr>
      </w:pPr>
      <w:r w:rsidRPr="000455A5">
        <w:rPr>
          <w:sz w:val="24"/>
          <w:szCs w:val="24"/>
          <w:lang w:val="en-US" w:eastAsia="el-GR"/>
        </w:rPr>
        <w:t>Co-administration with ergot alkaloids (</w:t>
      </w:r>
      <w:proofErr w:type="gramStart"/>
      <w:r w:rsidRPr="000455A5">
        <w:rPr>
          <w:sz w:val="24"/>
          <w:szCs w:val="24"/>
          <w:lang w:val="en-US" w:eastAsia="el-GR"/>
        </w:rPr>
        <w:t>see</w:t>
      </w:r>
      <w:proofErr w:type="gramEnd"/>
      <w:r w:rsidRPr="000455A5">
        <w:rPr>
          <w:sz w:val="24"/>
          <w:szCs w:val="24"/>
          <w:lang w:val="en-US" w:eastAsia="el-GR"/>
        </w:rPr>
        <w:t xml:space="preserve"> section 4.5)</w:t>
      </w:r>
      <w:r w:rsidR="0072629F">
        <w:rPr>
          <w:sz w:val="24"/>
          <w:szCs w:val="24"/>
          <w:lang w:val="en-US" w:eastAsia="el-GR"/>
        </w:rPr>
        <w:t>.</w:t>
      </w:r>
    </w:p>
    <w:p w14:paraId="1D38B37B" w14:textId="77777777" w:rsidR="00877E3B" w:rsidRPr="000455A5" w:rsidRDefault="00877E3B" w:rsidP="003649BE">
      <w:pPr>
        <w:ind w:left="851"/>
        <w:rPr>
          <w:sz w:val="24"/>
          <w:szCs w:val="24"/>
          <w:lang w:val="en-US" w:eastAsia="el-GR"/>
        </w:rPr>
      </w:pPr>
    </w:p>
    <w:p w14:paraId="136F6EB5" w14:textId="180F478D" w:rsidR="007E2903" w:rsidRPr="000455A5" w:rsidRDefault="007E2903" w:rsidP="003649BE">
      <w:pPr>
        <w:ind w:left="851"/>
        <w:rPr>
          <w:sz w:val="24"/>
          <w:szCs w:val="24"/>
          <w:lang w:val="en-US" w:eastAsia="el-GR"/>
        </w:rPr>
      </w:pPr>
      <w:r w:rsidRPr="000455A5">
        <w:rPr>
          <w:sz w:val="24"/>
          <w:szCs w:val="24"/>
          <w:lang w:val="en-US" w:eastAsia="el-GR"/>
        </w:rPr>
        <w:t xml:space="preserve">Co-administration with the CYP3A4 substrates terfenadine, </w:t>
      </w:r>
      <w:proofErr w:type="spellStart"/>
      <w:r w:rsidRPr="000455A5">
        <w:rPr>
          <w:sz w:val="24"/>
          <w:szCs w:val="24"/>
          <w:lang w:val="en-US" w:eastAsia="el-GR"/>
        </w:rPr>
        <w:t>astemizole</w:t>
      </w:r>
      <w:proofErr w:type="spellEnd"/>
      <w:r w:rsidRPr="000455A5">
        <w:rPr>
          <w:sz w:val="24"/>
          <w:szCs w:val="24"/>
          <w:lang w:val="en-US" w:eastAsia="el-GR"/>
        </w:rPr>
        <w:t xml:space="preserve">, </w:t>
      </w:r>
      <w:proofErr w:type="spellStart"/>
      <w:r w:rsidRPr="000455A5">
        <w:rPr>
          <w:sz w:val="24"/>
          <w:szCs w:val="24"/>
          <w:lang w:val="en-US" w:eastAsia="el-GR"/>
        </w:rPr>
        <w:t>cisapride</w:t>
      </w:r>
      <w:proofErr w:type="spellEnd"/>
      <w:r w:rsidRPr="000455A5">
        <w:rPr>
          <w:sz w:val="24"/>
          <w:szCs w:val="24"/>
          <w:lang w:val="en-US" w:eastAsia="el-GR"/>
        </w:rPr>
        <w:t xml:space="preserve">, pimozide, halofantrine or quinidine since this may result in increased plasma concentrations of these medicinal products, leading to QTc prolongation and rare occurrences of </w:t>
      </w:r>
      <w:proofErr w:type="spellStart"/>
      <w:r w:rsidRPr="000455A5">
        <w:rPr>
          <w:sz w:val="24"/>
          <w:szCs w:val="24"/>
          <w:lang w:val="en-US" w:eastAsia="el-GR"/>
        </w:rPr>
        <w:t>torsades</w:t>
      </w:r>
      <w:proofErr w:type="spellEnd"/>
      <w:r w:rsidRPr="000455A5">
        <w:rPr>
          <w:sz w:val="24"/>
          <w:szCs w:val="24"/>
          <w:lang w:val="en-US" w:eastAsia="el-GR"/>
        </w:rPr>
        <w:t xml:space="preserve"> de pointes (see sections 4.4 and 4.5).</w:t>
      </w:r>
    </w:p>
    <w:p w14:paraId="735B4A8D" w14:textId="77777777" w:rsidR="00877E3B" w:rsidRPr="000455A5" w:rsidRDefault="00877E3B" w:rsidP="003649BE">
      <w:pPr>
        <w:ind w:left="851"/>
        <w:rPr>
          <w:sz w:val="24"/>
          <w:szCs w:val="24"/>
          <w:lang w:val="en-US" w:eastAsia="el-GR"/>
        </w:rPr>
      </w:pPr>
    </w:p>
    <w:p w14:paraId="34F6D033" w14:textId="0CC1972A" w:rsidR="007E2903" w:rsidRDefault="007E2903" w:rsidP="003649BE">
      <w:pPr>
        <w:ind w:left="851"/>
        <w:rPr>
          <w:sz w:val="24"/>
          <w:szCs w:val="24"/>
          <w:lang w:val="en-US" w:eastAsia="el-GR"/>
        </w:rPr>
      </w:pPr>
      <w:r w:rsidRPr="000455A5">
        <w:rPr>
          <w:sz w:val="24"/>
          <w:szCs w:val="24"/>
          <w:lang w:val="en-US" w:eastAsia="el-GR"/>
        </w:rPr>
        <w:t>Co-administration with the HMG-CoA reductase inhibitors simvastatin, lovastatin and atorvastatin (see section 4.5).</w:t>
      </w:r>
    </w:p>
    <w:p w14:paraId="79D0CCC5" w14:textId="5A4C8957" w:rsidR="0072629F" w:rsidRDefault="0072629F" w:rsidP="005E5A3B">
      <w:pPr>
        <w:ind w:left="851"/>
        <w:rPr>
          <w:sz w:val="24"/>
          <w:szCs w:val="24"/>
          <w:lang w:val="en-US" w:eastAsia="el-GR"/>
        </w:rPr>
      </w:pPr>
    </w:p>
    <w:p w14:paraId="401018FE" w14:textId="77777777" w:rsidR="0072629F" w:rsidRDefault="0072629F" w:rsidP="005E5A3B">
      <w:pPr>
        <w:pStyle w:val="Brdtekst"/>
        <w:ind w:left="851"/>
        <w:jc w:val="left"/>
      </w:pPr>
      <w:r>
        <w:t xml:space="preserve">Co-administration during the initiation and dose-titration phase of </w:t>
      </w:r>
      <w:proofErr w:type="spellStart"/>
      <w:r>
        <w:t>venetoclax</w:t>
      </w:r>
      <w:proofErr w:type="spellEnd"/>
      <w:r>
        <w:t xml:space="preserve"> in Chronic Lymphocytic Leukaemia (CLL) patients (see sections 4.4 and 4.5).</w:t>
      </w:r>
    </w:p>
    <w:p w14:paraId="44A053A2" w14:textId="77777777" w:rsidR="007C5D2A" w:rsidRPr="000455A5" w:rsidRDefault="007C5D2A" w:rsidP="003E0341">
      <w:pPr>
        <w:tabs>
          <w:tab w:val="left" w:pos="851"/>
        </w:tabs>
        <w:ind w:left="851"/>
        <w:rPr>
          <w:sz w:val="24"/>
          <w:szCs w:val="24"/>
          <w:lang w:val="en-GB"/>
        </w:rPr>
      </w:pPr>
    </w:p>
    <w:p w14:paraId="55B544D8" w14:textId="77777777" w:rsidR="007C5D2A" w:rsidRPr="000455A5" w:rsidRDefault="007C5D2A" w:rsidP="007C5D2A">
      <w:pPr>
        <w:tabs>
          <w:tab w:val="left" w:pos="851"/>
        </w:tabs>
        <w:rPr>
          <w:b/>
          <w:sz w:val="24"/>
          <w:szCs w:val="24"/>
          <w:lang w:val="en-GB"/>
        </w:rPr>
      </w:pPr>
      <w:r w:rsidRPr="000455A5">
        <w:rPr>
          <w:b/>
          <w:sz w:val="24"/>
          <w:szCs w:val="24"/>
          <w:lang w:val="en-GB"/>
        </w:rPr>
        <w:t>4.4</w:t>
      </w:r>
      <w:r w:rsidRPr="000455A5">
        <w:rPr>
          <w:b/>
          <w:sz w:val="24"/>
          <w:szCs w:val="24"/>
          <w:lang w:val="en-GB"/>
        </w:rPr>
        <w:tab/>
        <w:t>Special warnings and precautions for use</w:t>
      </w:r>
    </w:p>
    <w:p w14:paraId="318DCE40" w14:textId="77777777" w:rsidR="00877E3B" w:rsidRPr="000455A5" w:rsidRDefault="00877E3B" w:rsidP="003649BE">
      <w:pPr>
        <w:ind w:left="851"/>
        <w:rPr>
          <w:sz w:val="24"/>
          <w:szCs w:val="24"/>
          <w:lang w:val="en-GB" w:eastAsia="el-GR"/>
        </w:rPr>
      </w:pPr>
    </w:p>
    <w:p w14:paraId="06F0ABFA" w14:textId="1047E7A1" w:rsidR="007E2903" w:rsidRPr="000455A5" w:rsidRDefault="007E2903" w:rsidP="003649BE">
      <w:pPr>
        <w:ind w:left="851"/>
        <w:rPr>
          <w:sz w:val="24"/>
          <w:szCs w:val="24"/>
          <w:u w:val="single"/>
          <w:lang w:val="en-US" w:eastAsia="el-GR"/>
        </w:rPr>
      </w:pPr>
      <w:r w:rsidRPr="000455A5">
        <w:rPr>
          <w:sz w:val="24"/>
          <w:szCs w:val="24"/>
          <w:u w:val="single"/>
          <w:lang w:val="en-US" w:eastAsia="el-GR"/>
        </w:rPr>
        <w:t>Hypersensitivity</w:t>
      </w:r>
    </w:p>
    <w:p w14:paraId="5A0238A9" w14:textId="77777777" w:rsidR="007E2903" w:rsidRPr="000455A5" w:rsidRDefault="007E2903" w:rsidP="003649BE">
      <w:pPr>
        <w:ind w:left="851"/>
        <w:rPr>
          <w:sz w:val="24"/>
          <w:szCs w:val="24"/>
          <w:lang w:val="en-US" w:eastAsia="el-GR"/>
        </w:rPr>
      </w:pPr>
      <w:r w:rsidRPr="000455A5">
        <w:rPr>
          <w:sz w:val="24"/>
          <w:szCs w:val="24"/>
          <w:lang w:val="en-US" w:eastAsia="el-GR"/>
        </w:rPr>
        <w:t xml:space="preserve">There is no information regarding cross-sensitivity between </w:t>
      </w:r>
      <w:proofErr w:type="spellStart"/>
      <w:r w:rsidRPr="000455A5">
        <w:rPr>
          <w:sz w:val="24"/>
          <w:szCs w:val="24"/>
          <w:lang w:val="en-US" w:eastAsia="el-GR"/>
        </w:rPr>
        <w:t>posaconazole</w:t>
      </w:r>
      <w:proofErr w:type="spellEnd"/>
      <w:r w:rsidRPr="000455A5">
        <w:rPr>
          <w:sz w:val="24"/>
          <w:szCs w:val="24"/>
          <w:lang w:val="en-US" w:eastAsia="el-GR"/>
        </w:rPr>
        <w:t xml:space="preserve"> and other azole antifungal agents. Caution should be used when prescribing </w:t>
      </w:r>
      <w:proofErr w:type="spellStart"/>
      <w:r w:rsidRPr="000455A5">
        <w:rPr>
          <w:sz w:val="24"/>
          <w:szCs w:val="24"/>
          <w:lang w:val="en-US" w:eastAsia="el-GR"/>
        </w:rPr>
        <w:t>posaconazole</w:t>
      </w:r>
      <w:proofErr w:type="spellEnd"/>
      <w:r w:rsidRPr="000455A5">
        <w:rPr>
          <w:sz w:val="24"/>
          <w:szCs w:val="24"/>
          <w:lang w:val="en-US" w:eastAsia="el-GR"/>
        </w:rPr>
        <w:t xml:space="preserve"> to patients with hypersensitivity to other azoles.</w:t>
      </w:r>
    </w:p>
    <w:p w14:paraId="224496FE" w14:textId="77777777" w:rsidR="007E2903" w:rsidRPr="000455A5" w:rsidRDefault="007E2903" w:rsidP="003649BE">
      <w:pPr>
        <w:ind w:left="851"/>
        <w:rPr>
          <w:sz w:val="24"/>
          <w:szCs w:val="24"/>
          <w:lang w:val="en-US" w:eastAsia="el-GR"/>
        </w:rPr>
      </w:pPr>
    </w:p>
    <w:p w14:paraId="3C6161D2" w14:textId="77777777" w:rsidR="007E2903" w:rsidRPr="000455A5" w:rsidRDefault="007E2903" w:rsidP="003649BE">
      <w:pPr>
        <w:ind w:left="851"/>
        <w:rPr>
          <w:sz w:val="24"/>
          <w:szCs w:val="24"/>
          <w:u w:val="single"/>
          <w:lang w:val="en-US" w:eastAsia="el-GR"/>
        </w:rPr>
      </w:pPr>
      <w:r w:rsidRPr="000455A5">
        <w:rPr>
          <w:sz w:val="24"/>
          <w:szCs w:val="24"/>
          <w:u w:val="single"/>
          <w:lang w:val="en-US" w:eastAsia="el-GR"/>
        </w:rPr>
        <w:t>Hepatic toxicity</w:t>
      </w:r>
    </w:p>
    <w:p w14:paraId="7EF27D11" w14:textId="77777777" w:rsidR="007E2903" w:rsidRPr="000455A5" w:rsidRDefault="007E2903" w:rsidP="003649BE">
      <w:pPr>
        <w:ind w:left="851"/>
        <w:rPr>
          <w:sz w:val="24"/>
          <w:szCs w:val="24"/>
          <w:lang w:val="en-US" w:eastAsia="el-GR"/>
        </w:rPr>
      </w:pPr>
      <w:r w:rsidRPr="000455A5">
        <w:rPr>
          <w:sz w:val="24"/>
          <w:szCs w:val="24"/>
          <w:lang w:val="en-US" w:eastAsia="el-GR"/>
        </w:rPr>
        <w:t xml:space="preserve">Hepatic reactions (e.g. mild to moderate elevations in ALT, AST, alkaline phosphatase, total bilirubin and/or clinical hepatitis) have been reported during treatment with </w:t>
      </w:r>
      <w:proofErr w:type="spellStart"/>
      <w:r w:rsidRPr="000455A5">
        <w:rPr>
          <w:sz w:val="24"/>
          <w:szCs w:val="24"/>
          <w:lang w:val="en-US" w:eastAsia="el-GR"/>
        </w:rPr>
        <w:t>posaconazole</w:t>
      </w:r>
      <w:proofErr w:type="spellEnd"/>
      <w:r w:rsidRPr="000455A5">
        <w:rPr>
          <w:sz w:val="24"/>
          <w:szCs w:val="24"/>
          <w:lang w:val="en-US" w:eastAsia="el-GR"/>
        </w:rPr>
        <w:t xml:space="preserve">. Elevated liver function tests were generally reversible on discontinuation of therapy and in some instances these tests </w:t>
      </w:r>
      <w:proofErr w:type="spellStart"/>
      <w:r w:rsidRPr="000455A5">
        <w:rPr>
          <w:sz w:val="24"/>
          <w:szCs w:val="24"/>
          <w:lang w:val="en-US" w:eastAsia="el-GR"/>
        </w:rPr>
        <w:t>normalised</w:t>
      </w:r>
      <w:proofErr w:type="spellEnd"/>
      <w:r w:rsidRPr="000455A5">
        <w:rPr>
          <w:sz w:val="24"/>
          <w:szCs w:val="24"/>
          <w:lang w:val="en-US" w:eastAsia="el-GR"/>
        </w:rPr>
        <w:t xml:space="preserve"> without interruption of therapy. Rarely, more severe hepatic reactions with fatal outcomes have been reported.</w:t>
      </w:r>
    </w:p>
    <w:p w14:paraId="60838E6B" w14:textId="77777777" w:rsidR="002E6A23" w:rsidRPr="000455A5" w:rsidRDefault="002E6A23" w:rsidP="003649BE">
      <w:pPr>
        <w:ind w:left="851"/>
        <w:rPr>
          <w:sz w:val="24"/>
          <w:szCs w:val="24"/>
          <w:lang w:val="en-US" w:eastAsia="el-GR"/>
        </w:rPr>
      </w:pPr>
    </w:p>
    <w:p w14:paraId="37B4F5D4" w14:textId="0466381E" w:rsidR="007E2903" w:rsidRPr="000455A5" w:rsidRDefault="007E2903"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should be used with caution in patients with hepatic impairment due to limited clinical experience and the possibility that </w:t>
      </w:r>
      <w:proofErr w:type="spellStart"/>
      <w:r w:rsidRPr="000455A5">
        <w:rPr>
          <w:sz w:val="24"/>
          <w:szCs w:val="24"/>
          <w:lang w:val="en-US" w:eastAsia="el-GR"/>
        </w:rPr>
        <w:t>posaconazole</w:t>
      </w:r>
      <w:proofErr w:type="spellEnd"/>
      <w:r w:rsidRPr="000455A5">
        <w:rPr>
          <w:sz w:val="24"/>
          <w:szCs w:val="24"/>
          <w:lang w:val="en-US" w:eastAsia="el-GR"/>
        </w:rPr>
        <w:t xml:space="preserve"> plasma levels may be higher in these patients (see sections 4.2 and 5.2).</w:t>
      </w:r>
    </w:p>
    <w:p w14:paraId="34479B36" w14:textId="77777777" w:rsidR="007E2903" w:rsidRPr="000455A5" w:rsidRDefault="007E2903" w:rsidP="003649BE">
      <w:pPr>
        <w:ind w:left="851"/>
        <w:rPr>
          <w:sz w:val="24"/>
          <w:szCs w:val="24"/>
          <w:lang w:val="en-US" w:eastAsia="el-GR"/>
        </w:rPr>
      </w:pPr>
    </w:p>
    <w:p w14:paraId="3A1A2E40" w14:textId="77777777" w:rsidR="007E2903" w:rsidRPr="000455A5" w:rsidRDefault="007E2903" w:rsidP="003649BE">
      <w:pPr>
        <w:ind w:left="851"/>
        <w:rPr>
          <w:sz w:val="24"/>
          <w:szCs w:val="24"/>
          <w:u w:val="single"/>
          <w:lang w:val="en-US" w:eastAsia="el-GR"/>
        </w:rPr>
      </w:pPr>
      <w:r w:rsidRPr="000455A5">
        <w:rPr>
          <w:sz w:val="24"/>
          <w:szCs w:val="24"/>
          <w:u w:val="single"/>
          <w:lang w:val="en-US" w:eastAsia="el-GR"/>
        </w:rPr>
        <w:t>Monitoring of hepatic function</w:t>
      </w:r>
    </w:p>
    <w:p w14:paraId="196D199B" w14:textId="77777777" w:rsidR="007E2903" w:rsidRPr="000455A5" w:rsidRDefault="007E2903" w:rsidP="003649BE">
      <w:pPr>
        <w:ind w:left="851"/>
        <w:rPr>
          <w:sz w:val="24"/>
          <w:szCs w:val="24"/>
          <w:lang w:val="en-US" w:eastAsia="el-GR"/>
        </w:rPr>
      </w:pPr>
      <w:r w:rsidRPr="000455A5">
        <w:rPr>
          <w:sz w:val="24"/>
          <w:szCs w:val="24"/>
          <w:lang w:val="en-US" w:eastAsia="el-GR"/>
        </w:rPr>
        <w:t xml:space="preserve">Liver function tests should be evaluated at the start of and during the course of </w:t>
      </w:r>
      <w:proofErr w:type="spellStart"/>
      <w:r w:rsidRPr="000455A5">
        <w:rPr>
          <w:sz w:val="24"/>
          <w:szCs w:val="24"/>
          <w:lang w:val="en-US" w:eastAsia="el-GR"/>
        </w:rPr>
        <w:t>posaconazole</w:t>
      </w:r>
      <w:proofErr w:type="spellEnd"/>
      <w:r w:rsidRPr="000455A5">
        <w:rPr>
          <w:sz w:val="24"/>
          <w:szCs w:val="24"/>
          <w:lang w:val="en-US" w:eastAsia="el-GR"/>
        </w:rPr>
        <w:t xml:space="preserve"> therapy. Patients who develop abnormal liver function tests during </w:t>
      </w:r>
      <w:proofErr w:type="spellStart"/>
      <w:r w:rsidRPr="000455A5">
        <w:rPr>
          <w:sz w:val="24"/>
          <w:szCs w:val="24"/>
          <w:lang w:val="en-US" w:eastAsia="el-GR"/>
        </w:rPr>
        <w:t>posaconazole</w:t>
      </w:r>
      <w:proofErr w:type="spellEnd"/>
      <w:r w:rsidRPr="000455A5">
        <w:rPr>
          <w:sz w:val="24"/>
          <w:szCs w:val="24"/>
          <w:lang w:val="en-US" w:eastAsia="el-GR"/>
        </w:rPr>
        <w:t xml:space="preserve"> therapy must be routinely monitored for the development of more severe hepatic injury. Patient management should include laboratory evaluation of hepatic function (particularly liver function tests and bilirubin).</w:t>
      </w:r>
    </w:p>
    <w:p w14:paraId="1ABF6859" w14:textId="77777777" w:rsidR="002E6A23" w:rsidRPr="000455A5" w:rsidRDefault="002E6A23" w:rsidP="003649BE">
      <w:pPr>
        <w:ind w:left="851"/>
        <w:rPr>
          <w:sz w:val="24"/>
          <w:szCs w:val="24"/>
          <w:lang w:val="en-US" w:eastAsia="el-GR"/>
        </w:rPr>
      </w:pPr>
    </w:p>
    <w:p w14:paraId="097C064F" w14:textId="31FB8F90" w:rsidR="007E2903" w:rsidRPr="000455A5" w:rsidRDefault="007E2903" w:rsidP="003649BE">
      <w:pPr>
        <w:ind w:left="851"/>
        <w:rPr>
          <w:sz w:val="24"/>
          <w:szCs w:val="24"/>
          <w:lang w:val="en-US" w:eastAsia="el-GR"/>
        </w:rPr>
      </w:pPr>
      <w:r w:rsidRPr="000455A5">
        <w:rPr>
          <w:sz w:val="24"/>
          <w:szCs w:val="24"/>
          <w:lang w:val="en-US" w:eastAsia="el-GR"/>
        </w:rPr>
        <w:t xml:space="preserve">Discontinuation of </w:t>
      </w:r>
      <w:proofErr w:type="spellStart"/>
      <w:r w:rsidRPr="000455A5">
        <w:rPr>
          <w:sz w:val="24"/>
          <w:szCs w:val="24"/>
          <w:lang w:val="en-US" w:eastAsia="el-GR"/>
        </w:rPr>
        <w:t>posaconazole</w:t>
      </w:r>
      <w:proofErr w:type="spellEnd"/>
      <w:r w:rsidRPr="000455A5">
        <w:rPr>
          <w:sz w:val="24"/>
          <w:szCs w:val="24"/>
          <w:lang w:val="en-US" w:eastAsia="el-GR"/>
        </w:rPr>
        <w:t xml:space="preserve"> should be considered if clinical signs and symptoms are consistent with development of liver disease.</w:t>
      </w:r>
    </w:p>
    <w:p w14:paraId="760AC49C" w14:textId="77777777" w:rsidR="007E2903" w:rsidRPr="000455A5" w:rsidRDefault="007E2903" w:rsidP="003649BE">
      <w:pPr>
        <w:ind w:left="851"/>
        <w:rPr>
          <w:sz w:val="24"/>
          <w:szCs w:val="24"/>
          <w:lang w:val="en-US" w:eastAsia="el-GR"/>
        </w:rPr>
      </w:pPr>
    </w:p>
    <w:p w14:paraId="1625928E" w14:textId="77777777" w:rsidR="007E2903" w:rsidRPr="000455A5" w:rsidRDefault="007E2903" w:rsidP="003649BE">
      <w:pPr>
        <w:ind w:left="851"/>
        <w:rPr>
          <w:sz w:val="24"/>
          <w:szCs w:val="24"/>
          <w:u w:val="single"/>
          <w:lang w:val="en-US" w:eastAsia="el-GR"/>
        </w:rPr>
      </w:pPr>
      <w:r w:rsidRPr="000455A5">
        <w:rPr>
          <w:sz w:val="24"/>
          <w:szCs w:val="24"/>
          <w:u w:val="single"/>
          <w:lang w:val="en-US" w:eastAsia="el-GR"/>
        </w:rPr>
        <w:t>QTc prolongation</w:t>
      </w:r>
    </w:p>
    <w:p w14:paraId="3A740B0E" w14:textId="77777777" w:rsidR="007E2903" w:rsidRPr="000455A5" w:rsidRDefault="007E2903" w:rsidP="003649BE">
      <w:pPr>
        <w:ind w:left="851"/>
        <w:rPr>
          <w:sz w:val="24"/>
          <w:szCs w:val="24"/>
          <w:lang w:val="en-US" w:eastAsia="el-GR"/>
        </w:rPr>
      </w:pPr>
      <w:r w:rsidRPr="000455A5">
        <w:rPr>
          <w:sz w:val="24"/>
          <w:szCs w:val="24"/>
          <w:lang w:val="en-US" w:eastAsia="el-GR"/>
        </w:rPr>
        <w:t xml:space="preserve">Some azoles have been associated with prolongation of the QTc interval. </w:t>
      </w:r>
      <w:proofErr w:type="spellStart"/>
      <w:r w:rsidRPr="000455A5">
        <w:rPr>
          <w:sz w:val="24"/>
          <w:szCs w:val="24"/>
          <w:lang w:val="en-US" w:eastAsia="el-GR"/>
        </w:rPr>
        <w:t>Posaconazole</w:t>
      </w:r>
      <w:proofErr w:type="spellEnd"/>
      <w:r w:rsidRPr="000455A5">
        <w:rPr>
          <w:sz w:val="24"/>
          <w:szCs w:val="24"/>
          <w:lang w:val="en-US" w:eastAsia="el-GR"/>
        </w:rPr>
        <w:t xml:space="preserve"> must not be administered with medicinal products that are substrates for CYP3A4 and are known to prolong the QTc interval (see sections 4.3 and 4.5). </w:t>
      </w:r>
      <w:proofErr w:type="spellStart"/>
      <w:r w:rsidRPr="000455A5">
        <w:rPr>
          <w:sz w:val="24"/>
          <w:szCs w:val="24"/>
          <w:lang w:val="en-US" w:eastAsia="el-GR"/>
        </w:rPr>
        <w:t>Posaconazole</w:t>
      </w:r>
      <w:proofErr w:type="spellEnd"/>
      <w:r w:rsidRPr="000455A5">
        <w:rPr>
          <w:sz w:val="24"/>
          <w:szCs w:val="24"/>
          <w:lang w:val="en-US" w:eastAsia="el-GR"/>
        </w:rPr>
        <w:t xml:space="preserve"> should be administered with caution to patients with pro-arrhythmic conditions such as:</w:t>
      </w:r>
    </w:p>
    <w:p w14:paraId="10D8FE24" w14:textId="77777777" w:rsidR="007E2903" w:rsidRPr="000455A5" w:rsidRDefault="007E2903" w:rsidP="002E6A23">
      <w:pPr>
        <w:pStyle w:val="Listeafsnit"/>
        <w:numPr>
          <w:ilvl w:val="0"/>
          <w:numId w:val="12"/>
        </w:numPr>
        <w:ind w:left="1276" w:hanging="425"/>
        <w:rPr>
          <w:szCs w:val="24"/>
          <w:lang w:eastAsia="el-GR"/>
        </w:rPr>
      </w:pPr>
      <w:r w:rsidRPr="000455A5">
        <w:rPr>
          <w:szCs w:val="24"/>
          <w:lang w:eastAsia="el-GR"/>
        </w:rPr>
        <w:t>Congenital or acquired QTc prolongation</w:t>
      </w:r>
    </w:p>
    <w:p w14:paraId="6F9A6DB0" w14:textId="77777777" w:rsidR="007E2903" w:rsidRPr="000455A5" w:rsidRDefault="007E2903" w:rsidP="002E6A23">
      <w:pPr>
        <w:pStyle w:val="Listeafsnit"/>
        <w:numPr>
          <w:ilvl w:val="0"/>
          <w:numId w:val="12"/>
        </w:numPr>
        <w:ind w:left="1276" w:hanging="425"/>
        <w:rPr>
          <w:szCs w:val="24"/>
          <w:lang w:eastAsia="el-GR"/>
        </w:rPr>
      </w:pPr>
      <w:r w:rsidRPr="000455A5">
        <w:rPr>
          <w:szCs w:val="24"/>
          <w:lang w:eastAsia="el-GR"/>
        </w:rPr>
        <w:t>Cardiomyopathy, especially in the presence of cardiac failure</w:t>
      </w:r>
    </w:p>
    <w:p w14:paraId="126EE523" w14:textId="77777777" w:rsidR="007E2903" w:rsidRPr="000455A5" w:rsidRDefault="007E2903" w:rsidP="002E6A23">
      <w:pPr>
        <w:pStyle w:val="Listeafsnit"/>
        <w:numPr>
          <w:ilvl w:val="0"/>
          <w:numId w:val="12"/>
        </w:numPr>
        <w:ind w:left="1276" w:hanging="425"/>
        <w:rPr>
          <w:szCs w:val="24"/>
          <w:lang w:eastAsia="el-GR"/>
        </w:rPr>
      </w:pPr>
      <w:r w:rsidRPr="000455A5">
        <w:rPr>
          <w:szCs w:val="24"/>
          <w:lang w:eastAsia="el-GR"/>
        </w:rPr>
        <w:t>Sinus bradycardia</w:t>
      </w:r>
    </w:p>
    <w:p w14:paraId="43592E48" w14:textId="77777777" w:rsidR="007E2903" w:rsidRPr="000455A5" w:rsidRDefault="007E2903" w:rsidP="002E6A23">
      <w:pPr>
        <w:pStyle w:val="Listeafsnit"/>
        <w:numPr>
          <w:ilvl w:val="0"/>
          <w:numId w:val="12"/>
        </w:numPr>
        <w:ind w:left="1276" w:hanging="425"/>
        <w:rPr>
          <w:szCs w:val="24"/>
          <w:lang w:eastAsia="el-GR"/>
        </w:rPr>
      </w:pPr>
      <w:r w:rsidRPr="000455A5">
        <w:rPr>
          <w:szCs w:val="24"/>
          <w:lang w:eastAsia="el-GR"/>
        </w:rPr>
        <w:t>Existing symptomatic arrhythmias</w:t>
      </w:r>
    </w:p>
    <w:p w14:paraId="4F514D55" w14:textId="77777777" w:rsidR="007E2903" w:rsidRPr="000455A5" w:rsidRDefault="007E2903" w:rsidP="002E6A23">
      <w:pPr>
        <w:pStyle w:val="Listeafsnit"/>
        <w:numPr>
          <w:ilvl w:val="0"/>
          <w:numId w:val="12"/>
        </w:numPr>
        <w:ind w:left="1276" w:hanging="425"/>
        <w:rPr>
          <w:szCs w:val="24"/>
          <w:lang w:eastAsia="el-GR"/>
        </w:rPr>
      </w:pPr>
      <w:r w:rsidRPr="000455A5">
        <w:rPr>
          <w:szCs w:val="24"/>
          <w:lang w:eastAsia="el-GR"/>
        </w:rPr>
        <w:t>Concomitant use with medicinal products known to prolong the QTc interval (other than those mentioned in section 4.3).</w:t>
      </w:r>
    </w:p>
    <w:p w14:paraId="5EDE8920" w14:textId="77777777" w:rsidR="002E6A23" w:rsidRPr="000455A5" w:rsidRDefault="002E6A23" w:rsidP="003649BE">
      <w:pPr>
        <w:ind w:left="851"/>
        <w:rPr>
          <w:sz w:val="24"/>
          <w:szCs w:val="24"/>
          <w:lang w:val="en-US" w:eastAsia="el-GR"/>
        </w:rPr>
      </w:pPr>
    </w:p>
    <w:p w14:paraId="7D109329" w14:textId="2486B51B" w:rsidR="007E2903" w:rsidRPr="000455A5" w:rsidRDefault="007E2903" w:rsidP="003649BE">
      <w:pPr>
        <w:ind w:left="851"/>
        <w:rPr>
          <w:sz w:val="24"/>
          <w:szCs w:val="24"/>
          <w:lang w:val="en-US" w:eastAsia="el-GR"/>
        </w:rPr>
      </w:pPr>
      <w:r w:rsidRPr="000455A5">
        <w:rPr>
          <w:sz w:val="24"/>
          <w:szCs w:val="24"/>
          <w:lang w:val="en-US" w:eastAsia="el-GR"/>
        </w:rPr>
        <w:t xml:space="preserve">Electrolyte disturbances, especially those involving potassium, magnesium or calcium levels, should be monitored and corrected as necessary before and during </w:t>
      </w:r>
      <w:proofErr w:type="spellStart"/>
      <w:r w:rsidRPr="000455A5">
        <w:rPr>
          <w:sz w:val="24"/>
          <w:szCs w:val="24"/>
          <w:lang w:val="en-US" w:eastAsia="el-GR"/>
        </w:rPr>
        <w:t>posaconazole</w:t>
      </w:r>
      <w:proofErr w:type="spellEnd"/>
      <w:r w:rsidRPr="000455A5">
        <w:rPr>
          <w:sz w:val="24"/>
          <w:szCs w:val="24"/>
          <w:lang w:val="en-US" w:eastAsia="el-GR"/>
        </w:rPr>
        <w:t xml:space="preserve"> therapy.</w:t>
      </w:r>
    </w:p>
    <w:p w14:paraId="7FEA9190" w14:textId="77777777" w:rsidR="007E2903" w:rsidRPr="000455A5" w:rsidRDefault="007E2903" w:rsidP="003649BE">
      <w:pPr>
        <w:ind w:left="851"/>
        <w:rPr>
          <w:sz w:val="24"/>
          <w:szCs w:val="24"/>
          <w:lang w:val="en-US" w:eastAsia="el-GR"/>
        </w:rPr>
      </w:pPr>
    </w:p>
    <w:p w14:paraId="560D5616" w14:textId="77777777" w:rsidR="0072629F" w:rsidRPr="005E5A3B" w:rsidRDefault="0072629F" w:rsidP="005E5A3B">
      <w:pPr>
        <w:suppressAutoHyphens/>
        <w:ind w:left="851"/>
        <w:rPr>
          <w:sz w:val="24"/>
          <w:szCs w:val="24"/>
          <w:u w:val="single"/>
          <w:lang w:val="en-US" w:eastAsia="el-GR"/>
        </w:rPr>
      </w:pPr>
      <w:r w:rsidRPr="005E5A3B">
        <w:rPr>
          <w:sz w:val="24"/>
          <w:szCs w:val="24"/>
          <w:u w:val="single"/>
          <w:lang w:val="en-US" w:eastAsia="el-GR"/>
        </w:rPr>
        <w:t>Drug interactions</w:t>
      </w:r>
    </w:p>
    <w:p w14:paraId="64263398" w14:textId="77777777" w:rsidR="007E2903" w:rsidRPr="000455A5" w:rsidRDefault="007E2903"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is an inhibitor of CYP3A4 and should only be used under specific circumstances during treatment with other medicinal products that are </w:t>
      </w:r>
      <w:proofErr w:type="spellStart"/>
      <w:r w:rsidRPr="000455A5">
        <w:rPr>
          <w:sz w:val="24"/>
          <w:szCs w:val="24"/>
          <w:lang w:val="en-US" w:eastAsia="el-GR"/>
        </w:rPr>
        <w:t>metabolised</w:t>
      </w:r>
      <w:proofErr w:type="spellEnd"/>
      <w:r w:rsidRPr="000455A5">
        <w:rPr>
          <w:sz w:val="24"/>
          <w:szCs w:val="24"/>
          <w:lang w:val="en-US" w:eastAsia="el-GR"/>
        </w:rPr>
        <w:t xml:space="preserve"> by CYP3A4 (see section 4.5).</w:t>
      </w:r>
    </w:p>
    <w:p w14:paraId="28963EC3" w14:textId="77777777" w:rsidR="007E2903" w:rsidRPr="000455A5" w:rsidRDefault="007E2903" w:rsidP="003649BE">
      <w:pPr>
        <w:ind w:left="851"/>
        <w:rPr>
          <w:sz w:val="24"/>
          <w:szCs w:val="24"/>
          <w:lang w:val="en-US" w:eastAsia="el-GR"/>
        </w:rPr>
      </w:pPr>
    </w:p>
    <w:p w14:paraId="26F291F0" w14:textId="77777777" w:rsidR="007E2903" w:rsidRPr="000455A5" w:rsidRDefault="007E2903" w:rsidP="003649BE">
      <w:pPr>
        <w:ind w:left="851"/>
        <w:rPr>
          <w:sz w:val="24"/>
          <w:szCs w:val="24"/>
          <w:u w:val="single"/>
          <w:lang w:val="en-US" w:eastAsia="el-GR"/>
        </w:rPr>
      </w:pPr>
      <w:r w:rsidRPr="000455A5">
        <w:rPr>
          <w:sz w:val="24"/>
          <w:szCs w:val="24"/>
          <w:u w:val="single"/>
          <w:lang w:val="en-US" w:eastAsia="el-GR"/>
        </w:rPr>
        <w:t>Midazolam and other benzodiazepines</w:t>
      </w:r>
    </w:p>
    <w:p w14:paraId="42D56886" w14:textId="77777777" w:rsidR="007E2903" w:rsidRPr="000455A5" w:rsidRDefault="007E2903" w:rsidP="003649BE">
      <w:pPr>
        <w:ind w:left="851"/>
        <w:rPr>
          <w:sz w:val="24"/>
          <w:szCs w:val="24"/>
          <w:lang w:val="en-US" w:eastAsia="el-GR"/>
        </w:rPr>
      </w:pPr>
      <w:r w:rsidRPr="000455A5">
        <w:rPr>
          <w:sz w:val="24"/>
          <w:szCs w:val="24"/>
          <w:lang w:val="en-US" w:eastAsia="el-GR"/>
        </w:rPr>
        <w:t xml:space="preserve">Due to the risk of prolonged sedation and possible respiratory depression co-administration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with any benzodiazepines </w:t>
      </w:r>
      <w:proofErr w:type="spellStart"/>
      <w:r w:rsidRPr="000455A5">
        <w:rPr>
          <w:sz w:val="24"/>
          <w:szCs w:val="24"/>
          <w:lang w:val="en-US" w:eastAsia="el-GR"/>
        </w:rPr>
        <w:t>metabolised</w:t>
      </w:r>
      <w:proofErr w:type="spellEnd"/>
      <w:r w:rsidRPr="000455A5">
        <w:rPr>
          <w:sz w:val="24"/>
          <w:szCs w:val="24"/>
          <w:lang w:val="en-US" w:eastAsia="el-GR"/>
        </w:rPr>
        <w:t xml:space="preserve"> by CYP3A4 (e.g. midazolam, triazolam, alprazolam) should only be considered if clearly necessary. Dose adjustment of benzodiazepines </w:t>
      </w:r>
      <w:proofErr w:type="spellStart"/>
      <w:r w:rsidRPr="000455A5">
        <w:rPr>
          <w:sz w:val="24"/>
          <w:szCs w:val="24"/>
          <w:lang w:val="en-US" w:eastAsia="el-GR"/>
        </w:rPr>
        <w:t>metabolised</w:t>
      </w:r>
      <w:proofErr w:type="spellEnd"/>
      <w:r w:rsidRPr="000455A5">
        <w:rPr>
          <w:sz w:val="24"/>
          <w:szCs w:val="24"/>
          <w:lang w:val="en-US" w:eastAsia="el-GR"/>
        </w:rPr>
        <w:t xml:space="preserve"> by CYP3A4 should be considered (see section 4.5).</w:t>
      </w:r>
    </w:p>
    <w:p w14:paraId="1017A956" w14:textId="77777777" w:rsidR="007E2903" w:rsidRPr="000455A5" w:rsidRDefault="007E2903" w:rsidP="003649BE">
      <w:pPr>
        <w:ind w:left="851"/>
        <w:rPr>
          <w:sz w:val="24"/>
          <w:szCs w:val="24"/>
          <w:lang w:val="en-US" w:eastAsia="el-GR"/>
        </w:rPr>
      </w:pPr>
    </w:p>
    <w:p w14:paraId="76C7F4BF" w14:textId="67D7FB8D" w:rsidR="007E2903" w:rsidRPr="006D6779" w:rsidRDefault="007E2903" w:rsidP="003649BE">
      <w:pPr>
        <w:ind w:left="851"/>
        <w:rPr>
          <w:sz w:val="24"/>
          <w:szCs w:val="24"/>
          <w:u w:val="single"/>
          <w:lang w:val="en-US"/>
        </w:rPr>
      </w:pPr>
      <w:r w:rsidRPr="006D6779">
        <w:rPr>
          <w:sz w:val="24"/>
          <w:szCs w:val="24"/>
          <w:u w:val="single"/>
          <w:lang w:val="en-US"/>
        </w:rPr>
        <w:t xml:space="preserve">Vincristine </w:t>
      </w:r>
      <w:r w:rsidR="0072629F">
        <w:rPr>
          <w:sz w:val="24"/>
          <w:szCs w:val="24"/>
          <w:u w:val="single"/>
          <w:lang w:val="en-US"/>
        </w:rPr>
        <w:t>t</w:t>
      </w:r>
      <w:r w:rsidRPr="006D6779">
        <w:rPr>
          <w:sz w:val="24"/>
          <w:szCs w:val="24"/>
          <w:u w:val="single"/>
          <w:lang w:val="en-US"/>
        </w:rPr>
        <w:t>oxicity</w:t>
      </w:r>
    </w:p>
    <w:p w14:paraId="70053F8A" w14:textId="63DA3274" w:rsidR="007E2903" w:rsidRDefault="007E2903" w:rsidP="003649BE">
      <w:pPr>
        <w:ind w:left="851"/>
        <w:rPr>
          <w:sz w:val="24"/>
          <w:szCs w:val="24"/>
          <w:lang w:val="en-US" w:eastAsia="en-US"/>
        </w:rPr>
      </w:pPr>
      <w:r w:rsidRPr="000455A5">
        <w:rPr>
          <w:sz w:val="24"/>
          <w:szCs w:val="24"/>
          <w:lang w:val="en-US" w:eastAsia="en-US"/>
        </w:rPr>
        <w:t xml:space="preserve">Concomitant administration of azole antifungals, including </w:t>
      </w:r>
      <w:proofErr w:type="spellStart"/>
      <w:r w:rsidRPr="000455A5">
        <w:rPr>
          <w:sz w:val="24"/>
          <w:szCs w:val="24"/>
          <w:lang w:val="en-US" w:eastAsia="en-US"/>
        </w:rPr>
        <w:t>posaconazole</w:t>
      </w:r>
      <w:proofErr w:type="spellEnd"/>
      <w:r w:rsidRPr="000455A5">
        <w:rPr>
          <w:sz w:val="24"/>
          <w:szCs w:val="24"/>
          <w:lang w:val="en-US" w:eastAsia="en-US"/>
        </w:rPr>
        <w:t>, with vincristine has been associated with neurotoxicity and other serious adverse reactions, including seizur</w:t>
      </w:r>
      <w:r w:rsidRPr="000455A5">
        <w:rPr>
          <w:spacing w:val="-1"/>
          <w:sz w:val="24"/>
          <w:szCs w:val="24"/>
          <w:lang w:val="en-US" w:eastAsia="en-US"/>
        </w:rPr>
        <w:t>e</w:t>
      </w:r>
      <w:r w:rsidRPr="000455A5">
        <w:rPr>
          <w:sz w:val="24"/>
          <w:szCs w:val="24"/>
          <w:lang w:val="en-US" w:eastAsia="en-US"/>
        </w:rPr>
        <w:t>s,</w:t>
      </w:r>
      <w:r w:rsidRPr="000455A5">
        <w:rPr>
          <w:spacing w:val="1"/>
          <w:sz w:val="24"/>
          <w:szCs w:val="24"/>
          <w:lang w:val="en-US" w:eastAsia="en-US"/>
        </w:rPr>
        <w:t xml:space="preserve"> </w:t>
      </w:r>
      <w:r w:rsidRPr="000455A5">
        <w:rPr>
          <w:sz w:val="24"/>
          <w:szCs w:val="24"/>
          <w:lang w:val="en-US" w:eastAsia="en-US"/>
        </w:rPr>
        <w:t xml:space="preserve">peripheral neuropathy, syndrome of inappropriate antidiuretic hormone secretion, and paralytic ileus. Reserve azole antifungals, including </w:t>
      </w:r>
      <w:proofErr w:type="spellStart"/>
      <w:r w:rsidRPr="000455A5">
        <w:rPr>
          <w:sz w:val="24"/>
          <w:szCs w:val="24"/>
          <w:lang w:val="en-US" w:eastAsia="en-US"/>
        </w:rPr>
        <w:t>posaconazole</w:t>
      </w:r>
      <w:proofErr w:type="spellEnd"/>
      <w:r w:rsidRPr="000455A5">
        <w:rPr>
          <w:sz w:val="24"/>
          <w:szCs w:val="24"/>
          <w:lang w:val="en-US" w:eastAsia="en-US"/>
        </w:rPr>
        <w:t xml:space="preserve">, for patients receiving a </w:t>
      </w:r>
      <w:proofErr w:type="spellStart"/>
      <w:r w:rsidRPr="000455A5">
        <w:rPr>
          <w:sz w:val="24"/>
          <w:szCs w:val="24"/>
          <w:lang w:val="en-US" w:eastAsia="en-US"/>
        </w:rPr>
        <w:t>vinca</w:t>
      </w:r>
      <w:proofErr w:type="spellEnd"/>
      <w:r w:rsidRPr="000455A5">
        <w:rPr>
          <w:sz w:val="24"/>
          <w:szCs w:val="24"/>
          <w:lang w:val="en-US" w:eastAsia="en-US"/>
        </w:rPr>
        <w:t xml:space="preserve"> alkaloid, including vincristine, who have no alternative antifungal</w:t>
      </w:r>
      <w:r w:rsidRPr="000455A5">
        <w:rPr>
          <w:spacing w:val="1"/>
          <w:sz w:val="24"/>
          <w:szCs w:val="24"/>
          <w:lang w:val="en-US" w:eastAsia="en-US"/>
        </w:rPr>
        <w:t xml:space="preserve"> t</w:t>
      </w:r>
      <w:r w:rsidRPr="000455A5">
        <w:rPr>
          <w:sz w:val="24"/>
          <w:szCs w:val="24"/>
          <w:lang w:val="en-US" w:eastAsia="en-US"/>
        </w:rPr>
        <w:t>reatment options (see section</w:t>
      </w:r>
      <w:r w:rsidRPr="000455A5">
        <w:rPr>
          <w:spacing w:val="-1"/>
          <w:sz w:val="24"/>
          <w:szCs w:val="24"/>
          <w:lang w:val="en-US" w:eastAsia="en-US"/>
        </w:rPr>
        <w:t xml:space="preserve"> </w:t>
      </w:r>
      <w:r w:rsidRPr="000455A5">
        <w:rPr>
          <w:sz w:val="24"/>
          <w:szCs w:val="24"/>
          <w:lang w:val="en-US" w:eastAsia="en-US"/>
        </w:rPr>
        <w:t>4.5).</w:t>
      </w:r>
    </w:p>
    <w:p w14:paraId="44CE6B00" w14:textId="3DEBB731" w:rsidR="0072629F" w:rsidRDefault="0072629F" w:rsidP="003649BE">
      <w:pPr>
        <w:ind w:left="851"/>
        <w:rPr>
          <w:sz w:val="24"/>
          <w:szCs w:val="24"/>
          <w:lang w:val="en-US" w:eastAsia="en-US"/>
        </w:rPr>
      </w:pPr>
    </w:p>
    <w:p w14:paraId="3C90AB33" w14:textId="77777777" w:rsidR="0072629F" w:rsidRDefault="0072629F" w:rsidP="005E5A3B">
      <w:pPr>
        <w:pStyle w:val="Brdtekst"/>
        <w:ind w:left="851"/>
        <w:jc w:val="left"/>
        <w:rPr>
          <w:rFonts w:cstheme="minorBidi"/>
          <w:u w:val="single"/>
          <w:lang w:eastAsia="en-US"/>
        </w:rPr>
      </w:pPr>
      <w:proofErr w:type="spellStart"/>
      <w:r>
        <w:rPr>
          <w:rFonts w:cstheme="minorBidi"/>
          <w:u w:val="single"/>
          <w:lang w:eastAsia="en-US"/>
        </w:rPr>
        <w:t>Venetoclax</w:t>
      </w:r>
      <w:proofErr w:type="spellEnd"/>
      <w:r>
        <w:rPr>
          <w:rFonts w:cstheme="minorBidi"/>
          <w:u w:val="single"/>
          <w:lang w:eastAsia="en-US"/>
        </w:rPr>
        <w:t xml:space="preserve"> toxicity</w:t>
      </w:r>
    </w:p>
    <w:p w14:paraId="150489E3" w14:textId="77777777" w:rsidR="0072629F" w:rsidRDefault="0072629F" w:rsidP="005E5A3B">
      <w:pPr>
        <w:pStyle w:val="Brdtekst"/>
        <w:ind w:left="851"/>
        <w:jc w:val="left"/>
        <w:rPr>
          <w:rFonts w:cstheme="minorBidi"/>
          <w:lang w:eastAsia="en-US"/>
        </w:rPr>
      </w:pPr>
      <w:r>
        <w:rPr>
          <w:rFonts w:cstheme="minorBidi"/>
          <w:lang w:eastAsia="en-US"/>
        </w:rPr>
        <w:t xml:space="preserve">Concomitant administration of strong CYP3A inhibitors, including </w:t>
      </w:r>
      <w:proofErr w:type="spellStart"/>
      <w:r>
        <w:rPr>
          <w:rFonts w:cstheme="minorBidi"/>
          <w:lang w:eastAsia="en-US"/>
        </w:rPr>
        <w:t>posaconazole</w:t>
      </w:r>
      <w:proofErr w:type="spellEnd"/>
      <w:r>
        <w:rPr>
          <w:rFonts w:cstheme="minorBidi"/>
          <w:lang w:eastAsia="en-US"/>
        </w:rPr>
        <w:t xml:space="preserve">, with the CYP3A4 substrate </w:t>
      </w:r>
      <w:proofErr w:type="spellStart"/>
      <w:r>
        <w:rPr>
          <w:rFonts w:cstheme="minorBidi"/>
          <w:lang w:eastAsia="en-US"/>
        </w:rPr>
        <w:t>venetoclax</w:t>
      </w:r>
      <w:proofErr w:type="spellEnd"/>
      <w:r>
        <w:rPr>
          <w:rFonts w:cstheme="minorBidi"/>
          <w:lang w:eastAsia="en-US"/>
        </w:rPr>
        <w:t xml:space="preserve">, may increase </w:t>
      </w:r>
      <w:proofErr w:type="spellStart"/>
      <w:r>
        <w:rPr>
          <w:rFonts w:cstheme="minorBidi"/>
          <w:lang w:eastAsia="en-US"/>
        </w:rPr>
        <w:t>venetoclax</w:t>
      </w:r>
      <w:proofErr w:type="spellEnd"/>
      <w:r>
        <w:rPr>
          <w:rFonts w:cstheme="minorBidi"/>
          <w:lang w:eastAsia="en-US"/>
        </w:rPr>
        <w:t xml:space="preserve"> toxicities, including the risk of tumour lysis syndrome (TLS) and neutropenia (see sections 4.3 and 4.5). </w:t>
      </w:r>
    </w:p>
    <w:p w14:paraId="6A2A9271" w14:textId="77777777" w:rsidR="0072629F" w:rsidRDefault="0072629F" w:rsidP="005E5A3B">
      <w:pPr>
        <w:pStyle w:val="Brdtekst"/>
        <w:ind w:left="851"/>
        <w:jc w:val="left"/>
        <w:rPr>
          <w:rFonts w:cstheme="minorBidi"/>
          <w:lang w:eastAsia="en-US"/>
        </w:rPr>
      </w:pPr>
      <w:r>
        <w:rPr>
          <w:rFonts w:cstheme="minorBidi"/>
          <w:lang w:eastAsia="en-US"/>
        </w:rPr>
        <w:t xml:space="preserve">Refer to the </w:t>
      </w:r>
      <w:proofErr w:type="spellStart"/>
      <w:r>
        <w:rPr>
          <w:rFonts w:cstheme="minorBidi"/>
          <w:lang w:eastAsia="en-US"/>
        </w:rPr>
        <w:t>venetoclax</w:t>
      </w:r>
      <w:proofErr w:type="spellEnd"/>
      <w:r>
        <w:rPr>
          <w:rFonts w:cstheme="minorBidi"/>
          <w:lang w:eastAsia="en-US"/>
        </w:rPr>
        <w:t xml:space="preserve"> SmPC for detailed guidance.</w:t>
      </w:r>
    </w:p>
    <w:p w14:paraId="14639097" w14:textId="77777777" w:rsidR="007E2903" w:rsidRPr="00BF541D" w:rsidRDefault="007E2903" w:rsidP="00BF541D">
      <w:pPr>
        <w:ind w:left="851"/>
        <w:rPr>
          <w:sz w:val="24"/>
          <w:szCs w:val="24"/>
          <w:lang w:val="en-US" w:eastAsia="el-GR"/>
        </w:rPr>
      </w:pPr>
    </w:p>
    <w:p w14:paraId="6669DDA0" w14:textId="77777777" w:rsidR="001C3BD3" w:rsidRPr="00BF541D" w:rsidRDefault="001C3BD3" w:rsidP="00BF541D">
      <w:pPr>
        <w:suppressAutoHyphens/>
        <w:ind w:left="851"/>
        <w:rPr>
          <w:sz w:val="24"/>
          <w:szCs w:val="24"/>
          <w:u w:val="single"/>
          <w:lang w:val="en-US" w:eastAsia="el-GR"/>
        </w:rPr>
      </w:pPr>
      <w:r w:rsidRPr="00BF541D">
        <w:rPr>
          <w:sz w:val="24"/>
          <w:szCs w:val="24"/>
          <w:u w:val="single"/>
          <w:lang w:val="en-US" w:eastAsia="el-GR"/>
        </w:rPr>
        <w:t xml:space="preserve">Rifamycin </w:t>
      </w:r>
      <w:proofErr w:type="spellStart"/>
      <w:r w:rsidRPr="00BF541D">
        <w:rPr>
          <w:sz w:val="24"/>
          <w:szCs w:val="24"/>
          <w:u w:val="single"/>
          <w:lang w:val="en-US" w:eastAsia="el-GR"/>
        </w:rPr>
        <w:t>antibacterials</w:t>
      </w:r>
      <w:proofErr w:type="spellEnd"/>
      <w:r w:rsidRPr="00BF541D">
        <w:rPr>
          <w:sz w:val="24"/>
          <w:szCs w:val="24"/>
          <w:u w:val="single"/>
          <w:lang w:val="en-US" w:eastAsia="el-GR"/>
        </w:rPr>
        <w:t xml:space="preserve"> (rifampicin, rifabutin), flucloxacillin, certain anticonvulsants (phenytoin, carbamazepine, phenobarbital, primidone), efavirenz and cimetidine</w:t>
      </w:r>
    </w:p>
    <w:p w14:paraId="06683099" w14:textId="77777777" w:rsidR="001C3BD3" w:rsidRPr="00BF541D" w:rsidRDefault="001C3BD3" w:rsidP="00BF541D">
      <w:pPr>
        <w:suppressAutoHyphens/>
        <w:ind w:left="851"/>
        <w:rPr>
          <w:sz w:val="24"/>
          <w:szCs w:val="24"/>
          <w:lang w:val="en-US" w:eastAsia="el-GR"/>
        </w:rPr>
      </w:pPr>
      <w:proofErr w:type="spellStart"/>
      <w:r w:rsidRPr="00BF541D">
        <w:rPr>
          <w:sz w:val="24"/>
          <w:szCs w:val="24"/>
          <w:lang w:val="en-US" w:eastAsia="el-GR"/>
        </w:rPr>
        <w:t>Posaconazole</w:t>
      </w:r>
      <w:proofErr w:type="spellEnd"/>
      <w:r w:rsidRPr="00BF541D">
        <w:rPr>
          <w:sz w:val="24"/>
          <w:szCs w:val="24"/>
          <w:lang w:val="en-US" w:eastAsia="el-GR"/>
        </w:rPr>
        <w:t xml:space="preserve"> concentrations may be significantly lowered in combination; therefore, concomitant use with </w:t>
      </w:r>
      <w:proofErr w:type="spellStart"/>
      <w:r w:rsidRPr="00BF541D">
        <w:rPr>
          <w:sz w:val="24"/>
          <w:szCs w:val="24"/>
          <w:lang w:val="en-US" w:eastAsia="el-GR"/>
        </w:rPr>
        <w:t>posaconazole</w:t>
      </w:r>
      <w:proofErr w:type="spellEnd"/>
      <w:r w:rsidRPr="00BF541D">
        <w:rPr>
          <w:sz w:val="24"/>
          <w:szCs w:val="24"/>
          <w:lang w:val="en-US" w:eastAsia="el-GR"/>
        </w:rPr>
        <w:t xml:space="preserve"> should be avoided unless the benefit to the patient outweighs the risk (see section 4.5).</w:t>
      </w:r>
    </w:p>
    <w:p w14:paraId="661D1F84" w14:textId="77777777" w:rsidR="001C3BD3" w:rsidRPr="00BF541D" w:rsidRDefault="001C3BD3" w:rsidP="00BF541D">
      <w:pPr>
        <w:suppressAutoHyphens/>
        <w:ind w:left="851"/>
        <w:rPr>
          <w:sz w:val="24"/>
          <w:szCs w:val="24"/>
          <w:lang w:val="en-US"/>
        </w:rPr>
      </w:pPr>
    </w:p>
    <w:p w14:paraId="064F052A" w14:textId="77777777" w:rsidR="001C3BD3" w:rsidRPr="00BF541D" w:rsidRDefault="001C3BD3" w:rsidP="00BF541D">
      <w:pPr>
        <w:suppressAutoHyphens/>
        <w:ind w:left="851"/>
        <w:rPr>
          <w:sz w:val="24"/>
          <w:szCs w:val="24"/>
          <w:u w:val="single"/>
          <w:lang w:val="en-US" w:eastAsia="el-GR"/>
        </w:rPr>
      </w:pPr>
      <w:r w:rsidRPr="00BF541D">
        <w:rPr>
          <w:sz w:val="24"/>
          <w:szCs w:val="24"/>
          <w:u w:val="single"/>
          <w:lang w:val="en-US" w:eastAsia="el-GR"/>
        </w:rPr>
        <w:t>Photosensitivity reaction</w:t>
      </w:r>
    </w:p>
    <w:p w14:paraId="2085D98D" w14:textId="77777777" w:rsidR="001C3BD3" w:rsidRPr="00BF541D" w:rsidRDefault="001C3BD3" w:rsidP="00BF541D">
      <w:pPr>
        <w:suppressAutoHyphens/>
        <w:ind w:left="851"/>
        <w:rPr>
          <w:sz w:val="24"/>
          <w:szCs w:val="24"/>
          <w:lang w:val="en-US" w:eastAsia="el-GR"/>
        </w:rPr>
      </w:pPr>
      <w:proofErr w:type="spellStart"/>
      <w:r w:rsidRPr="00BF541D">
        <w:rPr>
          <w:sz w:val="24"/>
          <w:szCs w:val="24"/>
          <w:lang w:val="en-US" w:eastAsia="el-GR"/>
        </w:rPr>
        <w:t>Posaconazole</w:t>
      </w:r>
      <w:proofErr w:type="spellEnd"/>
      <w:r w:rsidRPr="00BF541D">
        <w:rPr>
          <w:sz w:val="24"/>
          <w:szCs w:val="24"/>
          <w:lang w:val="en-US" w:eastAsia="el-GR"/>
        </w:rPr>
        <w:t xml:space="preserve"> may cause increased risk of photosensitivity reaction. Patients should be advised to avoid sun exposure during treatment without adequate protection such as protective clothing and sunscreen with a high sun protection factor (SPF).</w:t>
      </w:r>
    </w:p>
    <w:p w14:paraId="24D78A25" w14:textId="77777777" w:rsidR="007E2903" w:rsidRPr="00BF541D" w:rsidRDefault="007E2903" w:rsidP="00BF541D">
      <w:pPr>
        <w:ind w:left="851"/>
        <w:rPr>
          <w:sz w:val="24"/>
          <w:szCs w:val="24"/>
          <w:lang w:val="en-US" w:eastAsia="el-GR"/>
        </w:rPr>
      </w:pPr>
    </w:p>
    <w:p w14:paraId="7BDB766B" w14:textId="77777777" w:rsidR="007E2903" w:rsidRPr="000455A5" w:rsidRDefault="007E2903" w:rsidP="003649BE">
      <w:pPr>
        <w:ind w:left="851"/>
        <w:rPr>
          <w:sz w:val="24"/>
          <w:szCs w:val="24"/>
          <w:u w:val="single"/>
          <w:lang w:val="en-US" w:eastAsia="el-GR"/>
        </w:rPr>
      </w:pPr>
      <w:r w:rsidRPr="000455A5">
        <w:rPr>
          <w:sz w:val="24"/>
          <w:szCs w:val="24"/>
          <w:u w:val="single"/>
          <w:lang w:val="en-US" w:eastAsia="el-GR"/>
        </w:rPr>
        <w:t>Gastrointestinal dysfunction</w:t>
      </w:r>
    </w:p>
    <w:p w14:paraId="2D5AE3EE" w14:textId="77777777" w:rsidR="007E2903" w:rsidRPr="000455A5" w:rsidRDefault="007E2903" w:rsidP="003649BE">
      <w:pPr>
        <w:ind w:left="851"/>
        <w:rPr>
          <w:sz w:val="24"/>
          <w:szCs w:val="24"/>
          <w:lang w:val="en-US" w:eastAsia="el-GR"/>
        </w:rPr>
      </w:pPr>
      <w:r w:rsidRPr="000455A5">
        <w:rPr>
          <w:sz w:val="24"/>
          <w:szCs w:val="24"/>
          <w:lang w:val="en-US" w:eastAsia="el-GR"/>
        </w:rPr>
        <w:t xml:space="preserve">There are limited pharmacokinetic data in patients with severe gastrointestinal dysfunction (such as severe </w:t>
      </w:r>
      <w:proofErr w:type="spellStart"/>
      <w:r w:rsidRPr="000455A5">
        <w:rPr>
          <w:sz w:val="24"/>
          <w:szCs w:val="24"/>
          <w:lang w:val="en-US" w:eastAsia="el-GR"/>
        </w:rPr>
        <w:t>diarrhoea</w:t>
      </w:r>
      <w:proofErr w:type="spellEnd"/>
      <w:r w:rsidRPr="000455A5">
        <w:rPr>
          <w:sz w:val="24"/>
          <w:szCs w:val="24"/>
          <w:lang w:val="en-US" w:eastAsia="el-GR"/>
        </w:rPr>
        <w:t xml:space="preserve">). Patients who have severe </w:t>
      </w:r>
      <w:proofErr w:type="spellStart"/>
      <w:r w:rsidRPr="000455A5">
        <w:rPr>
          <w:sz w:val="24"/>
          <w:szCs w:val="24"/>
          <w:lang w:val="en-US" w:eastAsia="el-GR"/>
        </w:rPr>
        <w:t>diarrhoea</w:t>
      </w:r>
      <w:proofErr w:type="spellEnd"/>
      <w:r w:rsidRPr="000455A5">
        <w:rPr>
          <w:sz w:val="24"/>
          <w:szCs w:val="24"/>
          <w:lang w:val="en-US" w:eastAsia="el-GR"/>
        </w:rPr>
        <w:t xml:space="preserve"> or vomiting should be monitored closely for breakthrough fungal infections.</w:t>
      </w:r>
    </w:p>
    <w:p w14:paraId="12E6DB15" w14:textId="77777777" w:rsidR="007E2903" w:rsidRPr="000455A5" w:rsidRDefault="007E2903" w:rsidP="003649BE">
      <w:pPr>
        <w:ind w:left="851"/>
        <w:rPr>
          <w:sz w:val="24"/>
          <w:szCs w:val="24"/>
          <w:lang w:val="en-US" w:eastAsia="el-GR"/>
        </w:rPr>
      </w:pPr>
    </w:p>
    <w:p w14:paraId="3D6F8241" w14:textId="77777777" w:rsidR="007E2903" w:rsidRPr="000455A5" w:rsidRDefault="007E2903" w:rsidP="003649BE">
      <w:pPr>
        <w:ind w:left="851"/>
        <w:rPr>
          <w:sz w:val="24"/>
          <w:szCs w:val="24"/>
          <w:u w:val="single"/>
          <w:lang w:val="en-US" w:eastAsia="el-GR"/>
        </w:rPr>
      </w:pPr>
      <w:r w:rsidRPr="000455A5">
        <w:rPr>
          <w:sz w:val="24"/>
          <w:szCs w:val="24"/>
          <w:u w:val="single"/>
          <w:lang w:val="en-US" w:eastAsia="el-GR"/>
        </w:rPr>
        <w:t>Excipients</w:t>
      </w:r>
    </w:p>
    <w:p w14:paraId="042D0114" w14:textId="77777777" w:rsidR="0072629F" w:rsidRPr="005E5A3B" w:rsidRDefault="0072629F" w:rsidP="005E5A3B">
      <w:pPr>
        <w:suppressAutoHyphens/>
        <w:ind w:left="851"/>
        <w:rPr>
          <w:i/>
          <w:sz w:val="24"/>
          <w:szCs w:val="24"/>
          <w:lang w:val="en-US" w:eastAsia="el-GR"/>
        </w:rPr>
      </w:pPr>
      <w:r w:rsidRPr="005E5A3B">
        <w:rPr>
          <w:i/>
          <w:sz w:val="24"/>
          <w:szCs w:val="24"/>
          <w:lang w:val="en-US" w:eastAsia="el-GR"/>
        </w:rPr>
        <w:t>Glucose</w:t>
      </w:r>
    </w:p>
    <w:p w14:paraId="4D8F0267" w14:textId="77777777" w:rsidR="0072629F" w:rsidRPr="005E5A3B" w:rsidRDefault="0072629F" w:rsidP="005E5A3B">
      <w:pPr>
        <w:suppressAutoHyphens/>
        <w:ind w:left="851"/>
        <w:rPr>
          <w:sz w:val="24"/>
          <w:szCs w:val="24"/>
          <w:lang w:val="en-US" w:eastAsia="el-GR"/>
        </w:rPr>
      </w:pPr>
      <w:r w:rsidRPr="005E5A3B">
        <w:rPr>
          <w:sz w:val="24"/>
          <w:szCs w:val="24"/>
          <w:lang w:val="en-US" w:eastAsia="el-GR"/>
        </w:rPr>
        <w:t xml:space="preserve">This medicinal product contains approximately </w:t>
      </w:r>
      <w:r w:rsidRPr="005E5A3B">
        <w:rPr>
          <w:sz w:val="24"/>
          <w:szCs w:val="24"/>
          <w:lang w:val="en-US"/>
        </w:rPr>
        <w:t xml:space="preserve">2.11 g of glucose </w:t>
      </w:r>
      <w:r w:rsidRPr="005E5A3B">
        <w:rPr>
          <w:sz w:val="24"/>
          <w:szCs w:val="24"/>
          <w:lang w:val="en-US" w:eastAsia="el-GR"/>
        </w:rPr>
        <w:t xml:space="preserve">per 5 ml of suspension. Patients with rare glucose-galactose malabsorption should not take this medicine. This should be </w:t>
      </w:r>
      <w:proofErr w:type="gramStart"/>
      <w:r w:rsidRPr="005E5A3B">
        <w:rPr>
          <w:sz w:val="24"/>
          <w:szCs w:val="24"/>
          <w:lang w:val="en-US" w:eastAsia="el-GR"/>
        </w:rPr>
        <w:t>taken into account</w:t>
      </w:r>
      <w:proofErr w:type="gramEnd"/>
      <w:r w:rsidRPr="005E5A3B">
        <w:rPr>
          <w:sz w:val="24"/>
          <w:szCs w:val="24"/>
          <w:lang w:val="en-US" w:eastAsia="el-GR"/>
        </w:rPr>
        <w:t xml:space="preserve"> in patients with diabetes mellitus. May be harmful to the </w:t>
      </w:r>
      <w:proofErr w:type="spellStart"/>
      <w:r w:rsidRPr="005E5A3B">
        <w:rPr>
          <w:sz w:val="24"/>
          <w:szCs w:val="24"/>
          <w:lang w:val="en-US" w:eastAsia="el-GR"/>
        </w:rPr>
        <w:t>theeth</w:t>
      </w:r>
      <w:proofErr w:type="spellEnd"/>
      <w:r w:rsidRPr="005E5A3B">
        <w:rPr>
          <w:sz w:val="24"/>
          <w:szCs w:val="24"/>
          <w:lang w:val="en-US" w:eastAsia="el-GR"/>
        </w:rPr>
        <w:t>.</w:t>
      </w:r>
    </w:p>
    <w:p w14:paraId="025C14B8" w14:textId="77777777" w:rsidR="0072629F" w:rsidRPr="005E5A3B" w:rsidRDefault="0072629F" w:rsidP="005E5A3B">
      <w:pPr>
        <w:suppressAutoHyphens/>
        <w:ind w:left="851"/>
        <w:rPr>
          <w:sz w:val="24"/>
          <w:szCs w:val="24"/>
          <w:lang w:val="en-US" w:eastAsia="el-GR"/>
        </w:rPr>
      </w:pPr>
    </w:p>
    <w:p w14:paraId="21938E85" w14:textId="77777777" w:rsidR="0072629F" w:rsidRPr="005E5A3B" w:rsidRDefault="0072629F" w:rsidP="005E5A3B">
      <w:pPr>
        <w:suppressAutoHyphens/>
        <w:ind w:left="851"/>
        <w:rPr>
          <w:i/>
          <w:sz w:val="24"/>
          <w:szCs w:val="24"/>
          <w:lang w:val="en-US"/>
        </w:rPr>
      </w:pPr>
      <w:r w:rsidRPr="005E5A3B">
        <w:rPr>
          <w:i/>
          <w:sz w:val="24"/>
          <w:szCs w:val="24"/>
          <w:lang w:val="en-US" w:eastAsia="el-GR"/>
        </w:rPr>
        <w:t>Sodium</w:t>
      </w:r>
    </w:p>
    <w:p w14:paraId="34CF3639" w14:textId="77777777" w:rsidR="0072629F" w:rsidRPr="005E5A3B" w:rsidRDefault="0072629F" w:rsidP="005E5A3B">
      <w:pPr>
        <w:suppressAutoHyphens/>
        <w:ind w:left="851"/>
        <w:rPr>
          <w:sz w:val="24"/>
          <w:szCs w:val="24"/>
          <w:lang w:val="en-US" w:eastAsia="el-GR"/>
        </w:rPr>
      </w:pPr>
      <w:r w:rsidRPr="005E5A3B">
        <w:rPr>
          <w:sz w:val="24"/>
          <w:szCs w:val="24"/>
          <w:lang w:val="en-US" w:eastAsia="el-GR"/>
        </w:rPr>
        <w:t>This medicinal product contains less than 1 mmol (23 mg) of sodium per 5 ml of suspension, that is to say essentially ‘sodium-free’.</w:t>
      </w:r>
    </w:p>
    <w:p w14:paraId="0C5FF224" w14:textId="77777777" w:rsidR="0072629F" w:rsidRPr="005E5A3B" w:rsidRDefault="0072629F" w:rsidP="005E5A3B">
      <w:pPr>
        <w:suppressAutoHyphens/>
        <w:ind w:left="851"/>
        <w:rPr>
          <w:sz w:val="24"/>
          <w:szCs w:val="24"/>
          <w:lang w:val="en-US" w:eastAsia="el-GR"/>
        </w:rPr>
      </w:pPr>
    </w:p>
    <w:p w14:paraId="57D902DA" w14:textId="77777777" w:rsidR="0072629F" w:rsidRPr="005E5A3B" w:rsidRDefault="0072629F" w:rsidP="005E5A3B">
      <w:pPr>
        <w:suppressAutoHyphens/>
        <w:ind w:left="851"/>
        <w:rPr>
          <w:i/>
          <w:sz w:val="24"/>
          <w:szCs w:val="24"/>
          <w:lang w:val="en-US" w:eastAsia="el-GR"/>
        </w:rPr>
      </w:pPr>
      <w:r w:rsidRPr="005E5A3B">
        <w:rPr>
          <w:i/>
          <w:sz w:val="24"/>
          <w:szCs w:val="24"/>
          <w:lang w:val="en-US" w:eastAsia="el-GR"/>
        </w:rPr>
        <w:t>Sodium benzoate</w:t>
      </w:r>
    </w:p>
    <w:p w14:paraId="3B4F52BE" w14:textId="77777777" w:rsidR="0072629F" w:rsidRPr="005E5A3B" w:rsidRDefault="0072629F" w:rsidP="005E5A3B">
      <w:pPr>
        <w:pStyle w:val="Default"/>
        <w:ind w:left="851"/>
      </w:pPr>
      <w:r w:rsidRPr="005E5A3B">
        <w:t>This medicinal product contains 10 mg benz</w:t>
      </w:r>
      <w:proofErr w:type="spellStart"/>
      <w:r w:rsidRPr="005E5A3B">
        <w:rPr>
          <w:lang w:val="en-US"/>
        </w:rPr>
        <w:t>oate</w:t>
      </w:r>
      <w:proofErr w:type="spellEnd"/>
      <w:r w:rsidRPr="005E5A3B">
        <w:t xml:space="preserve"> salt (sodium benzoate) in each 5 ml of suspension, which is equivalent to 2 mg/ml. Increase in bilirubinaemia following its displacement from albumin may increase neonatal jaundice which may develop into kernicterus (non-conjugated bilirubin deposits in the brain tissue).</w:t>
      </w:r>
    </w:p>
    <w:p w14:paraId="0AB2CC01" w14:textId="77777777" w:rsidR="007C5D2A" w:rsidRPr="0072629F" w:rsidRDefault="007C5D2A" w:rsidP="003E0341">
      <w:pPr>
        <w:tabs>
          <w:tab w:val="left" w:pos="851"/>
        </w:tabs>
        <w:ind w:left="851"/>
        <w:rPr>
          <w:sz w:val="24"/>
          <w:szCs w:val="24"/>
          <w:lang w:val="en-US"/>
        </w:rPr>
      </w:pPr>
    </w:p>
    <w:p w14:paraId="0849025B" w14:textId="77777777" w:rsidR="007C5D2A" w:rsidRPr="000455A5" w:rsidRDefault="007C5D2A" w:rsidP="007C5D2A">
      <w:pPr>
        <w:ind w:left="851" w:hanging="851"/>
        <w:rPr>
          <w:b/>
          <w:sz w:val="24"/>
          <w:szCs w:val="24"/>
          <w:lang w:val="en-GB"/>
        </w:rPr>
      </w:pPr>
      <w:r w:rsidRPr="000455A5">
        <w:rPr>
          <w:b/>
          <w:sz w:val="24"/>
          <w:szCs w:val="24"/>
          <w:lang w:val="en-GB"/>
        </w:rPr>
        <w:t>4.5</w:t>
      </w:r>
      <w:r w:rsidRPr="000455A5">
        <w:rPr>
          <w:b/>
          <w:sz w:val="24"/>
          <w:szCs w:val="24"/>
          <w:lang w:val="en-GB"/>
        </w:rPr>
        <w:tab/>
        <w:t>Interaction with other medicinal products and other forms of interaction</w:t>
      </w:r>
    </w:p>
    <w:p w14:paraId="6A355A1C" w14:textId="77777777" w:rsidR="00E60E27" w:rsidRPr="000455A5" w:rsidRDefault="00E60E27" w:rsidP="003649BE">
      <w:pPr>
        <w:ind w:left="851"/>
        <w:rPr>
          <w:sz w:val="24"/>
          <w:szCs w:val="24"/>
          <w:lang w:val="en-GB" w:eastAsia="el-GR"/>
        </w:rPr>
      </w:pPr>
    </w:p>
    <w:p w14:paraId="36FE0D86" w14:textId="2B189C6A" w:rsidR="00E84EB9" w:rsidRPr="000455A5" w:rsidRDefault="00E84EB9" w:rsidP="003649BE">
      <w:pPr>
        <w:ind w:left="851"/>
        <w:rPr>
          <w:sz w:val="24"/>
          <w:szCs w:val="24"/>
          <w:u w:val="single"/>
          <w:lang w:val="en-US" w:eastAsia="el-GR"/>
        </w:rPr>
      </w:pPr>
      <w:r w:rsidRPr="000455A5">
        <w:rPr>
          <w:sz w:val="24"/>
          <w:szCs w:val="24"/>
          <w:u w:val="single"/>
          <w:lang w:val="en-US" w:eastAsia="el-GR"/>
        </w:rPr>
        <w:t xml:space="preserve">Effects of other medicinal products on </w:t>
      </w:r>
      <w:proofErr w:type="spellStart"/>
      <w:r w:rsidRPr="000455A5">
        <w:rPr>
          <w:sz w:val="24"/>
          <w:szCs w:val="24"/>
          <w:u w:val="single"/>
          <w:lang w:val="en-US" w:eastAsia="el-GR"/>
        </w:rPr>
        <w:t>posaconazole</w:t>
      </w:r>
      <w:proofErr w:type="spellEnd"/>
    </w:p>
    <w:p w14:paraId="4B599C21" w14:textId="77777777" w:rsidR="00E84EB9" w:rsidRPr="000455A5" w:rsidRDefault="00E84EB9"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is </w:t>
      </w:r>
      <w:proofErr w:type="spellStart"/>
      <w:r w:rsidRPr="000455A5">
        <w:rPr>
          <w:sz w:val="24"/>
          <w:szCs w:val="24"/>
          <w:lang w:val="en-US" w:eastAsia="el-GR"/>
        </w:rPr>
        <w:t>metabolised</w:t>
      </w:r>
      <w:proofErr w:type="spellEnd"/>
      <w:r w:rsidRPr="000455A5">
        <w:rPr>
          <w:sz w:val="24"/>
          <w:szCs w:val="24"/>
          <w:lang w:val="en-US" w:eastAsia="el-GR"/>
        </w:rPr>
        <w:t xml:space="preserve"> via UDP glucuronidation (phase 2 enzymes) and is a substrate for p-glycoprotein (P-</w:t>
      </w:r>
      <w:proofErr w:type="spellStart"/>
      <w:r w:rsidRPr="000455A5">
        <w:rPr>
          <w:sz w:val="24"/>
          <w:szCs w:val="24"/>
          <w:lang w:val="en-US" w:eastAsia="el-GR"/>
        </w:rPr>
        <w:t>gp</w:t>
      </w:r>
      <w:proofErr w:type="spellEnd"/>
      <w:r w:rsidRPr="000455A5">
        <w:rPr>
          <w:sz w:val="24"/>
          <w:szCs w:val="24"/>
          <w:lang w:val="en-US" w:eastAsia="el-GR"/>
        </w:rPr>
        <w:t xml:space="preserve">) efflux </w:t>
      </w:r>
      <w:r w:rsidRPr="000455A5">
        <w:rPr>
          <w:i/>
          <w:sz w:val="24"/>
          <w:szCs w:val="24"/>
          <w:lang w:val="en-US" w:eastAsia="el-GR"/>
        </w:rPr>
        <w:t>in vitro</w:t>
      </w:r>
      <w:r w:rsidRPr="000455A5">
        <w:rPr>
          <w:sz w:val="24"/>
          <w:szCs w:val="24"/>
          <w:lang w:val="en-US" w:eastAsia="el-GR"/>
        </w:rPr>
        <w:t xml:space="preserve">. Therefore, inhibitors (e.g. verapamil, ciclosporin, quinidine, clarithromycin, erythromycin, etc.) or inducers (e.g. rifampicin, rifabutin, certain anticonvulsants, etc.) of these clearance pathways may increase or decrease </w:t>
      </w:r>
      <w:proofErr w:type="spellStart"/>
      <w:r w:rsidRPr="000455A5">
        <w:rPr>
          <w:sz w:val="24"/>
          <w:szCs w:val="24"/>
          <w:lang w:val="en-US" w:eastAsia="el-GR"/>
        </w:rPr>
        <w:t>posaconazole</w:t>
      </w:r>
      <w:proofErr w:type="spellEnd"/>
      <w:r w:rsidRPr="000455A5">
        <w:rPr>
          <w:sz w:val="24"/>
          <w:szCs w:val="24"/>
          <w:lang w:val="en-US" w:eastAsia="el-GR"/>
        </w:rPr>
        <w:t xml:space="preserve"> plasma concentrations, respectively.</w:t>
      </w:r>
    </w:p>
    <w:p w14:paraId="47C77EA5" w14:textId="77777777" w:rsidR="00E84EB9" w:rsidRPr="000455A5" w:rsidRDefault="00E84EB9" w:rsidP="003649BE">
      <w:pPr>
        <w:ind w:left="851"/>
        <w:rPr>
          <w:sz w:val="24"/>
          <w:szCs w:val="24"/>
          <w:lang w:val="en-US" w:eastAsia="el-GR"/>
        </w:rPr>
      </w:pPr>
    </w:p>
    <w:p w14:paraId="4B5265EB" w14:textId="77777777" w:rsidR="00E84EB9" w:rsidRPr="000455A5" w:rsidRDefault="00E84EB9" w:rsidP="003649BE">
      <w:pPr>
        <w:ind w:left="851"/>
        <w:rPr>
          <w:i/>
          <w:sz w:val="24"/>
          <w:szCs w:val="24"/>
          <w:lang w:val="en-US" w:eastAsia="el-GR"/>
        </w:rPr>
      </w:pPr>
      <w:r w:rsidRPr="000455A5">
        <w:rPr>
          <w:i/>
          <w:sz w:val="24"/>
          <w:szCs w:val="24"/>
          <w:lang w:val="en-US" w:eastAsia="el-GR"/>
        </w:rPr>
        <w:t>Rifabutin</w:t>
      </w:r>
    </w:p>
    <w:p w14:paraId="331CCA61" w14:textId="3F167481" w:rsidR="00E84EB9" w:rsidRPr="000455A5" w:rsidRDefault="00E84EB9" w:rsidP="003649BE">
      <w:pPr>
        <w:ind w:left="851"/>
        <w:rPr>
          <w:sz w:val="24"/>
          <w:szCs w:val="24"/>
          <w:lang w:val="en-US" w:eastAsia="el-GR"/>
        </w:rPr>
      </w:pPr>
      <w:r w:rsidRPr="000455A5">
        <w:rPr>
          <w:sz w:val="24"/>
          <w:szCs w:val="24"/>
          <w:lang w:val="en-US" w:eastAsia="el-GR"/>
        </w:rPr>
        <w:t xml:space="preserve">Rifabutin (300 mg once a day) decreased the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(maximum plasma concentration) and AUC (area under the plasma concentration time curve) of </w:t>
      </w:r>
      <w:proofErr w:type="spellStart"/>
      <w:r w:rsidRPr="000455A5">
        <w:rPr>
          <w:sz w:val="24"/>
          <w:szCs w:val="24"/>
          <w:lang w:val="en-US" w:eastAsia="el-GR"/>
        </w:rPr>
        <w:t>posaconazole</w:t>
      </w:r>
      <w:proofErr w:type="spellEnd"/>
      <w:r w:rsidRPr="000455A5">
        <w:rPr>
          <w:sz w:val="24"/>
          <w:szCs w:val="24"/>
          <w:lang w:val="en-US" w:eastAsia="el-GR"/>
        </w:rPr>
        <w:t xml:space="preserve"> to 57</w:t>
      </w:r>
      <w:r w:rsidR="00435221">
        <w:rPr>
          <w:sz w:val="24"/>
          <w:szCs w:val="24"/>
          <w:lang w:val="en-US" w:eastAsia="el-GR"/>
        </w:rPr>
        <w:t xml:space="preserve"> %</w:t>
      </w:r>
      <w:r w:rsidRPr="000455A5">
        <w:rPr>
          <w:sz w:val="24"/>
          <w:szCs w:val="24"/>
          <w:lang w:val="en-US" w:eastAsia="el-GR"/>
        </w:rPr>
        <w:t xml:space="preserve"> and 51</w:t>
      </w:r>
      <w:r w:rsidR="00435221">
        <w:rPr>
          <w:sz w:val="24"/>
          <w:szCs w:val="24"/>
          <w:lang w:val="en-US" w:eastAsia="el-GR"/>
        </w:rPr>
        <w:t xml:space="preserve"> %</w:t>
      </w:r>
      <w:r w:rsidRPr="000455A5">
        <w:rPr>
          <w:sz w:val="24"/>
          <w:szCs w:val="24"/>
          <w:lang w:val="en-US" w:eastAsia="el-GR"/>
        </w:rPr>
        <w:t>, respectively.</w:t>
      </w:r>
    </w:p>
    <w:p w14:paraId="728CB531" w14:textId="49F7C007" w:rsidR="00E84EB9" w:rsidRDefault="00E84EB9" w:rsidP="003649BE">
      <w:pPr>
        <w:ind w:left="851"/>
        <w:rPr>
          <w:sz w:val="24"/>
          <w:szCs w:val="24"/>
          <w:lang w:val="en-US" w:eastAsia="el-GR"/>
        </w:rPr>
      </w:pPr>
      <w:r w:rsidRPr="000455A5">
        <w:rPr>
          <w:sz w:val="24"/>
          <w:szCs w:val="24"/>
          <w:lang w:val="en-US" w:eastAsia="el-GR"/>
        </w:rPr>
        <w:t xml:space="preserve">Concomitant use of </w:t>
      </w:r>
      <w:proofErr w:type="spellStart"/>
      <w:r w:rsidRPr="000455A5">
        <w:rPr>
          <w:sz w:val="24"/>
          <w:szCs w:val="24"/>
          <w:lang w:val="en-US" w:eastAsia="el-GR"/>
        </w:rPr>
        <w:t>posaconazole</w:t>
      </w:r>
      <w:proofErr w:type="spellEnd"/>
      <w:r w:rsidRPr="000455A5">
        <w:rPr>
          <w:sz w:val="24"/>
          <w:szCs w:val="24"/>
          <w:lang w:val="en-US" w:eastAsia="el-GR"/>
        </w:rPr>
        <w:t xml:space="preserve"> and rifabutin and similar inducers (e.g. rifampicin) should be avoided unless the benefit to the patient outweighs the risk. See also below regarding the effect of </w:t>
      </w:r>
      <w:proofErr w:type="spellStart"/>
      <w:r w:rsidRPr="000455A5">
        <w:rPr>
          <w:sz w:val="24"/>
          <w:szCs w:val="24"/>
          <w:lang w:val="en-US" w:eastAsia="el-GR"/>
        </w:rPr>
        <w:t>posaconazole</w:t>
      </w:r>
      <w:proofErr w:type="spellEnd"/>
      <w:r w:rsidRPr="000455A5">
        <w:rPr>
          <w:sz w:val="24"/>
          <w:szCs w:val="24"/>
          <w:lang w:val="en-US" w:eastAsia="el-GR"/>
        </w:rPr>
        <w:t xml:space="preserve"> on rifabutin plasma levels.</w:t>
      </w:r>
    </w:p>
    <w:p w14:paraId="408EA329" w14:textId="3B1634D6" w:rsidR="001C3BD3" w:rsidRPr="00BF541D" w:rsidRDefault="001C3BD3" w:rsidP="00BF541D">
      <w:pPr>
        <w:ind w:left="851"/>
        <w:rPr>
          <w:sz w:val="24"/>
          <w:szCs w:val="24"/>
          <w:lang w:val="en-US" w:eastAsia="el-GR"/>
        </w:rPr>
      </w:pPr>
    </w:p>
    <w:p w14:paraId="225A6A16" w14:textId="77777777" w:rsidR="001C3BD3" w:rsidRPr="00BF541D" w:rsidRDefault="001C3BD3" w:rsidP="00BF541D">
      <w:pPr>
        <w:suppressAutoHyphens/>
        <w:ind w:left="851"/>
        <w:rPr>
          <w:i/>
          <w:iCs/>
          <w:sz w:val="24"/>
          <w:szCs w:val="24"/>
          <w:lang w:val="en-US" w:eastAsia="el-GR"/>
        </w:rPr>
      </w:pPr>
      <w:r w:rsidRPr="00BF541D">
        <w:rPr>
          <w:i/>
          <w:iCs/>
          <w:sz w:val="24"/>
          <w:szCs w:val="24"/>
          <w:lang w:val="en-US" w:eastAsia="el-GR"/>
        </w:rPr>
        <w:t>Flucloxacillin</w:t>
      </w:r>
    </w:p>
    <w:p w14:paraId="01A49BC6" w14:textId="77777777" w:rsidR="001C3BD3" w:rsidRPr="00BF541D" w:rsidRDefault="001C3BD3" w:rsidP="00BF541D">
      <w:pPr>
        <w:suppressAutoHyphens/>
        <w:ind w:left="851"/>
        <w:rPr>
          <w:sz w:val="24"/>
          <w:szCs w:val="24"/>
          <w:lang w:val="en-US" w:eastAsia="el-GR"/>
        </w:rPr>
      </w:pPr>
      <w:r w:rsidRPr="00BF541D">
        <w:rPr>
          <w:sz w:val="24"/>
          <w:szCs w:val="24"/>
          <w:lang w:val="en-US" w:eastAsia="el-GR"/>
        </w:rPr>
        <w:t xml:space="preserve">Flucloxacillin (a CYP450 inducer) may decrease plasma </w:t>
      </w:r>
      <w:proofErr w:type="spellStart"/>
      <w:r w:rsidRPr="00BF541D">
        <w:rPr>
          <w:sz w:val="24"/>
          <w:szCs w:val="24"/>
          <w:lang w:val="en-US" w:eastAsia="el-GR"/>
        </w:rPr>
        <w:t>posaconazole</w:t>
      </w:r>
      <w:proofErr w:type="spellEnd"/>
      <w:r w:rsidRPr="00BF541D">
        <w:rPr>
          <w:sz w:val="24"/>
          <w:szCs w:val="24"/>
          <w:lang w:val="en-US" w:eastAsia="el-GR"/>
        </w:rPr>
        <w:t xml:space="preserve"> concentrations. Concomitant use of </w:t>
      </w:r>
      <w:proofErr w:type="spellStart"/>
      <w:r w:rsidRPr="00BF541D">
        <w:rPr>
          <w:sz w:val="24"/>
          <w:szCs w:val="24"/>
          <w:lang w:val="en-US" w:eastAsia="el-GR"/>
        </w:rPr>
        <w:t>posaconazole</w:t>
      </w:r>
      <w:proofErr w:type="spellEnd"/>
      <w:r w:rsidRPr="00BF541D">
        <w:rPr>
          <w:sz w:val="24"/>
          <w:szCs w:val="24"/>
          <w:lang w:val="en-US" w:eastAsia="el-GR"/>
        </w:rPr>
        <w:t xml:space="preserve"> and flucloxacillin should be avoided unless the benefit to the patient outweighs the risk (see section 4.4).</w:t>
      </w:r>
    </w:p>
    <w:p w14:paraId="1B0FFD5B" w14:textId="77777777" w:rsidR="00E84EB9" w:rsidRPr="00BF541D" w:rsidRDefault="00E84EB9" w:rsidP="00BF541D">
      <w:pPr>
        <w:ind w:left="851"/>
        <w:rPr>
          <w:i/>
          <w:sz w:val="24"/>
          <w:szCs w:val="24"/>
          <w:lang w:val="en-US" w:eastAsia="el-GR"/>
        </w:rPr>
      </w:pPr>
    </w:p>
    <w:p w14:paraId="4F775CE8" w14:textId="77777777" w:rsidR="00E84EB9" w:rsidRPr="000455A5" w:rsidRDefault="00E84EB9" w:rsidP="003649BE">
      <w:pPr>
        <w:ind w:left="851"/>
        <w:rPr>
          <w:i/>
          <w:sz w:val="24"/>
          <w:szCs w:val="24"/>
          <w:lang w:val="en-US" w:eastAsia="el-GR"/>
        </w:rPr>
      </w:pPr>
      <w:r w:rsidRPr="000455A5">
        <w:rPr>
          <w:i/>
          <w:sz w:val="24"/>
          <w:szCs w:val="24"/>
          <w:lang w:val="en-US" w:eastAsia="el-GR"/>
        </w:rPr>
        <w:t>Efavirenz</w:t>
      </w:r>
    </w:p>
    <w:p w14:paraId="313409BF" w14:textId="0EC48BA2" w:rsidR="00E84EB9" w:rsidRPr="000455A5" w:rsidRDefault="00E84EB9" w:rsidP="003649BE">
      <w:pPr>
        <w:ind w:left="851"/>
        <w:rPr>
          <w:sz w:val="24"/>
          <w:szCs w:val="24"/>
          <w:lang w:val="en-US" w:eastAsia="el-GR"/>
        </w:rPr>
      </w:pPr>
      <w:r w:rsidRPr="000455A5">
        <w:rPr>
          <w:sz w:val="24"/>
          <w:szCs w:val="24"/>
          <w:lang w:val="en-US" w:eastAsia="el-GR"/>
        </w:rPr>
        <w:t xml:space="preserve">Efavirenz (400 mg once a day) decreased the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and AUC of </w:t>
      </w:r>
      <w:proofErr w:type="spellStart"/>
      <w:r w:rsidRPr="000455A5">
        <w:rPr>
          <w:sz w:val="24"/>
          <w:szCs w:val="24"/>
          <w:lang w:val="en-US" w:eastAsia="el-GR"/>
        </w:rPr>
        <w:t>posaconazole</w:t>
      </w:r>
      <w:proofErr w:type="spellEnd"/>
      <w:r w:rsidRPr="000455A5">
        <w:rPr>
          <w:sz w:val="24"/>
          <w:szCs w:val="24"/>
          <w:lang w:val="en-US" w:eastAsia="el-GR"/>
        </w:rPr>
        <w:t xml:space="preserve"> by 45</w:t>
      </w:r>
      <w:r w:rsidR="00435221">
        <w:rPr>
          <w:sz w:val="24"/>
          <w:szCs w:val="24"/>
          <w:lang w:val="en-US" w:eastAsia="el-GR"/>
        </w:rPr>
        <w:t xml:space="preserve"> %</w:t>
      </w:r>
      <w:r w:rsidRPr="000455A5">
        <w:rPr>
          <w:sz w:val="24"/>
          <w:szCs w:val="24"/>
          <w:lang w:val="en-US" w:eastAsia="el-GR"/>
        </w:rPr>
        <w:t xml:space="preserve"> and 50</w:t>
      </w:r>
      <w:r w:rsidR="00435221">
        <w:rPr>
          <w:sz w:val="24"/>
          <w:szCs w:val="24"/>
          <w:lang w:val="en-US" w:eastAsia="el-GR"/>
        </w:rPr>
        <w:t xml:space="preserve"> %</w:t>
      </w:r>
      <w:r w:rsidRPr="000455A5">
        <w:rPr>
          <w:sz w:val="24"/>
          <w:szCs w:val="24"/>
          <w:lang w:val="en-US" w:eastAsia="el-GR"/>
        </w:rPr>
        <w:t xml:space="preserve">, respectively. Concomitant use of </w:t>
      </w:r>
      <w:proofErr w:type="spellStart"/>
      <w:r w:rsidRPr="000455A5">
        <w:rPr>
          <w:sz w:val="24"/>
          <w:szCs w:val="24"/>
          <w:lang w:val="en-US" w:eastAsia="el-GR"/>
        </w:rPr>
        <w:t>posaconazole</w:t>
      </w:r>
      <w:proofErr w:type="spellEnd"/>
      <w:r w:rsidRPr="000455A5">
        <w:rPr>
          <w:sz w:val="24"/>
          <w:szCs w:val="24"/>
          <w:lang w:val="en-US" w:eastAsia="el-GR"/>
        </w:rPr>
        <w:t xml:space="preserve"> and efavirenz should be avoided unless the benefit to the patient outweighs the risk.</w:t>
      </w:r>
    </w:p>
    <w:p w14:paraId="3466B995" w14:textId="03F36C2B" w:rsidR="00BF541D" w:rsidRDefault="00BF541D">
      <w:pPr>
        <w:rPr>
          <w:sz w:val="24"/>
          <w:szCs w:val="24"/>
          <w:lang w:val="en-US" w:eastAsia="el-GR"/>
        </w:rPr>
      </w:pPr>
      <w:r>
        <w:rPr>
          <w:sz w:val="24"/>
          <w:szCs w:val="24"/>
          <w:lang w:val="en-US" w:eastAsia="el-GR"/>
        </w:rPr>
        <w:br w:type="page"/>
      </w:r>
    </w:p>
    <w:p w14:paraId="2C896359" w14:textId="77777777" w:rsidR="00E84EB9" w:rsidRPr="000455A5" w:rsidRDefault="00E84EB9" w:rsidP="003649BE">
      <w:pPr>
        <w:ind w:left="851"/>
        <w:rPr>
          <w:sz w:val="24"/>
          <w:szCs w:val="24"/>
          <w:lang w:val="en-US" w:eastAsia="el-GR"/>
        </w:rPr>
      </w:pPr>
    </w:p>
    <w:p w14:paraId="63EA50C2" w14:textId="77777777" w:rsidR="00E84EB9" w:rsidRPr="000455A5" w:rsidRDefault="00E84EB9" w:rsidP="003649BE">
      <w:pPr>
        <w:ind w:left="851"/>
        <w:rPr>
          <w:i/>
          <w:sz w:val="24"/>
          <w:szCs w:val="24"/>
          <w:lang w:val="en-US" w:eastAsia="el-GR"/>
        </w:rPr>
      </w:pPr>
      <w:proofErr w:type="spellStart"/>
      <w:r w:rsidRPr="000455A5">
        <w:rPr>
          <w:i/>
          <w:sz w:val="24"/>
          <w:szCs w:val="24"/>
          <w:lang w:val="en-US" w:eastAsia="el-GR"/>
        </w:rPr>
        <w:t>Fosamprenavir</w:t>
      </w:r>
      <w:proofErr w:type="spellEnd"/>
    </w:p>
    <w:p w14:paraId="2F291531" w14:textId="2BC9E41B" w:rsidR="00E84EB9" w:rsidRPr="000455A5" w:rsidRDefault="00E84EB9" w:rsidP="003649BE">
      <w:pPr>
        <w:ind w:left="851"/>
        <w:rPr>
          <w:sz w:val="24"/>
          <w:szCs w:val="24"/>
          <w:lang w:val="en-US" w:eastAsia="el-GR"/>
        </w:rPr>
      </w:pPr>
      <w:r w:rsidRPr="000455A5">
        <w:rPr>
          <w:sz w:val="24"/>
          <w:szCs w:val="24"/>
          <w:lang w:val="en-US" w:eastAsia="el-GR"/>
        </w:rPr>
        <w:t xml:space="preserve">Combining </w:t>
      </w:r>
      <w:proofErr w:type="spellStart"/>
      <w:r w:rsidRPr="000455A5">
        <w:rPr>
          <w:sz w:val="24"/>
          <w:szCs w:val="24"/>
          <w:lang w:val="en-US" w:eastAsia="el-GR"/>
        </w:rPr>
        <w:t>fosamprenavir</w:t>
      </w:r>
      <w:proofErr w:type="spellEnd"/>
      <w:r w:rsidRPr="000455A5">
        <w:rPr>
          <w:sz w:val="24"/>
          <w:szCs w:val="24"/>
          <w:lang w:val="en-US" w:eastAsia="el-GR"/>
        </w:rPr>
        <w:t xml:space="preserve"> with </w:t>
      </w:r>
      <w:proofErr w:type="spellStart"/>
      <w:r w:rsidRPr="000455A5">
        <w:rPr>
          <w:sz w:val="24"/>
          <w:szCs w:val="24"/>
          <w:lang w:val="en-US" w:eastAsia="el-GR"/>
        </w:rPr>
        <w:t>posaconazole</w:t>
      </w:r>
      <w:proofErr w:type="spellEnd"/>
      <w:r w:rsidRPr="000455A5">
        <w:rPr>
          <w:sz w:val="24"/>
          <w:szCs w:val="24"/>
          <w:lang w:val="en-US" w:eastAsia="el-GR"/>
        </w:rPr>
        <w:t xml:space="preserve"> may lead to decreased </w:t>
      </w:r>
      <w:proofErr w:type="spellStart"/>
      <w:r w:rsidRPr="000455A5">
        <w:rPr>
          <w:sz w:val="24"/>
          <w:szCs w:val="24"/>
          <w:lang w:val="en-US" w:eastAsia="el-GR"/>
        </w:rPr>
        <w:t>posaconazole</w:t>
      </w:r>
      <w:proofErr w:type="spellEnd"/>
      <w:r w:rsidRPr="000455A5">
        <w:rPr>
          <w:sz w:val="24"/>
          <w:szCs w:val="24"/>
          <w:lang w:val="en-US" w:eastAsia="el-GR"/>
        </w:rPr>
        <w:t xml:space="preserve"> plasma concentrations. If concomitant administration is required, close monitoring for breakthrough fungal infections is recommended. Repeat dose administration of </w:t>
      </w:r>
      <w:proofErr w:type="spellStart"/>
      <w:r w:rsidRPr="000455A5">
        <w:rPr>
          <w:sz w:val="24"/>
          <w:szCs w:val="24"/>
          <w:lang w:val="en-US" w:eastAsia="el-GR"/>
        </w:rPr>
        <w:t>fosamprenavir</w:t>
      </w:r>
      <w:proofErr w:type="spellEnd"/>
      <w:r w:rsidRPr="000455A5">
        <w:rPr>
          <w:sz w:val="24"/>
          <w:szCs w:val="24"/>
          <w:lang w:val="en-US" w:eastAsia="el-GR"/>
        </w:rPr>
        <w:t xml:space="preserve"> (700 mg twice daily x 10 days) decreased the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and AUC of </w:t>
      </w:r>
      <w:proofErr w:type="spellStart"/>
      <w:r w:rsidRPr="000455A5">
        <w:rPr>
          <w:sz w:val="24"/>
          <w:szCs w:val="24"/>
          <w:lang w:val="en-US" w:eastAsia="el-GR"/>
        </w:rPr>
        <w:t>posaconazole</w:t>
      </w:r>
      <w:proofErr w:type="spellEnd"/>
      <w:r w:rsidRPr="000455A5">
        <w:rPr>
          <w:sz w:val="24"/>
          <w:szCs w:val="24"/>
          <w:lang w:val="en-US" w:eastAsia="el-GR"/>
        </w:rPr>
        <w:t xml:space="preserve"> oral suspension (200 mg once daily on the 1</w:t>
      </w:r>
      <w:r w:rsidRPr="000455A5">
        <w:rPr>
          <w:sz w:val="24"/>
          <w:szCs w:val="24"/>
          <w:vertAlign w:val="superscript"/>
          <w:lang w:val="en-US" w:eastAsia="el-GR"/>
        </w:rPr>
        <w:t>st</w:t>
      </w:r>
      <w:r w:rsidRPr="000455A5">
        <w:rPr>
          <w:sz w:val="24"/>
          <w:szCs w:val="24"/>
          <w:lang w:val="en-US" w:eastAsia="el-GR"/>
        </w:rPr>
        <w:t xml:space="preserve"> day, 200 mg twice daily on the 2</w:t>
      </w:r>
      <w:r w:rsidRPr="000455A5">
        <w:rPr>
          <w:sz w:val="24"/>
          <w:szCs w:val="24"/>
          <w:vertAlign w:val="superscript"/>
          <w:lang w:val="en-US" w:eastAsia="el-GR"/>
        </w:rPr>
        <w:t>nd</w:t>
      </w:r>
      <w:r w:rsidRPr="000455A5">
        <w:rPr>
          <w:sz w:val="24"/>
          <w:szCs w:val="24"/>
          <w:lang w:val="en-US" w:eastAsia="el-GR"/>
        </w:rPr>
        <w:t xml:space="preserve"> day, then 400 mg twice daily x 8 </w:t>
      </w:r>
      <w:r w:rsidR="0072629F">
        <w:rPr>
          <w:sz w:val="24"/>
          <w:szCs w:val="24"/>
          <w:lang w:val="en-US" w:eastAsia="el-GR"/>
        </w:rPr>
        <w:t>d</w:t>
      </w:r>
      <w:r w:rsidRPr="000455A5">
        <w:rPr>
          <w:sz w:val="24"/>
          <w:szCs w:val="24"/>
          <w:lang w:val="en-US" w:eastAsia="el-GR"/>
        </w:rPr>
        <w:t>ays) by 21</w:t>
      </w:r>
      <w:r w:rsidR="00435221">
        <w:rPr>
          <w:sz w:val="24"/>
          <w:szCs w:val="24"/>
          <w:lang w:val="en-US" w:eastAsia="el-GR"/>
        </w:rPr>
        <w:t xml:space="preserve"> %</w:t>
      </w:r>
      <w:r w:rsidRPr="000455A5">
        <w:rPr>
          <w:sz w:val="24"/>
          <w:szCs w:val="24"/>
          <w:lang w:val="en-US" w:eastAsia="el-GR"/>
        </w:rPr>
        <w:t xml:space="preserve"> and 23</w:t>
      </w:r>
      <w:r w:rsidR="00435221">
        <w:rPr>
          <w:sz w:val="24"/>
          <w:szCs w:val="24"/>
          <w:lang w:val="en-US" w:eastAsia="el-GR"/>
        </w:rPr>
        <w:t xml:space="preserve"> %</w:t>
      </w:r>
      <w:r w:rsidRPr="000455A5">
        <w:rPr>
          <w:sz w:val="24"/>
          <w:szCs w:val="24"/>
          <w:lang w:val="en-US" w:eastAsia="el-GR"/>
        </w:rPr>
        <w:t xml:space="preserve">, respectively. The effect of </w:t>
      </w:r>
      <w:proofErr w:type="spellStart"/>
      <w:r w:rsidRPr="000455A5">
        <w:rPr>
          <w:sz w:val="24"/>
          <w:szCs w:val="24"/>
          <w:lang w:val="en-US" w:eastAsia="el-GR"/>
        </w:rPr>
        <w:t>posaconazole</w:t>
      </w:r>
      <w:proofErr w:type="spellEnd"/>
      <w:r w:rsidRPr="000455A5">
        <w:rPr>
          <w:sz w:val="24"/>
          <w:szCs w:val="24"/>
          <w:lang w:val="en-US" w:eastAsia="el-GR"/>
        </w:rPr>
        <w:t xml:space="preserve"> on </w:t>
      </w:r>
      <w:proofErr w:type="spellStart"/>
      <w:r w:rsidRPr="000455A5">
        <w:rPr>
          <w:sz w:val="24"/>
          <w:szCs w:val="24"/>
          <w:lang w:val="en-US" w:eastAsia="el-GR"/>
        </w:rPr>
        <w:t>fosamprenavir</w:t>
      </w:r>
      <w:proofErr w:type="spellEnd"/>
      <w:r w:rsidRPr="000455A5">
        <w:rPr>
          <w:sz w:val="24"/>
          <w:szCs w:val="24"/>
          <w:lang w:val="en-US" w:eastAsia="el-GR"/>
        </w:rPr>
        <w:t xml:space="preserve"> levels when </w:t>
      </w:r>
      <w:proofErr w:type="spellStart"/>
      <w:r w:rsidRPr="000455A5">
        <w:rPr>
          <w:sz w:val="24"/>
          <w:szCs w:val="24"/>
          <w:lang w:val="en-US" w:eastAsia="el-GR"/>
        </w:rPr>
        <w:t>fosamprenavir</w:t>
      </w:r>
      <w:proofErr w:type="spellEnd"/>
      <w:r w:rsidRPr="000455A5">
        <w:rPr>
          <w:sz w:val="24"/>
          <w:szCs w:val="24"/>
          <w:lang w:val="en-US" w:eastAsia="el-GR"/>
        </w:rPr>
        <w:t xml:space="preserve"> is given with ritonavir is unknown.</w:t>
      </w:r>
    </w:p>
    <w:p w14:paraId="561ED629" w14:textId="77777777" w:rsidR="00E84EB9" w:rsidRPr="000455A5" w:rsidRDefault="00E84EB9" w:rsidP="003649BE">
      <w:pPr>
        <w:ind w:left="851"/>
        <w:rPr>
          <w:sz w:val="24"/>
          <w:szCs w:val="24"/>
          <w:lang w:val="en-US" w:eastAsia="el-GR"/>
        </w:rPr>
      </w:pPr>
    </w:p>
    <w:p w14:paraId="780AC92B" w14:textId="77777777" w:rsidR="00E84EB9" w:rsidRPr="000455A5" w:rsidRDefault="00E84EB9" w:rsidP="003649BE">
      <w:pPr>
        <w:ind w:left="851"/>
        <w:rPr>
          <w:i/>
          <w:sz w:val="24"/>
          <w:szCs w:val="24"/>
          <w:lang w:val="en-US" w:eastAsia="el-GR"/>
        </w:rPr>
      </w:pPr>
      <w:r w:rsidRPr="000455A5">
        <w:rPr>
          <w:i/>
          <w:sz w:val="24"/>
          <w:szCs w:val="24"/>
          <w:lang w:val="en-US" w:eastAsia="el-GR"/>
        </w:rPr>
        <w:t>Phenytoin</w:t>
      </w:r>
    </w:p>
    <w:p w14:paraId="50D47480" w14:textId="7691C9A6" w:rsidR="00E84EB9" w:rsidRPr="000455A5" w:rsidRDefault="00E84EB9" w:rsidP="003649BE">
      <w:pPr>
        <w:ind w:left="851"/>
        <w:rPr>
          <w:sz w:val="24"/>
          <w:szCs w:val="24"/>
          <w:lang w:val="en-US" w:eastAsia="el-GR"/>
        </w:rPr>
      </w:pPr>
      <w:r w:rsidRPr="000455A5">
        <w:rPr>
          <w:sz w:val="24"/>
          <w:szCs w:val="24"/>
          <w:lang w:val="en-US" w:eastAsia="el-GR"/>
        </w:rPr>
        <w:t xml:space="preserve">Phenytoin (200 mg once a day) decreased the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and AUC of </w:t>
      </w:r>
      <w:proofErr w:type="spellStart"/>
      <w:r w:rsidRPr="000455A5">
        <w:rPr>
          <w:sz w:val="24"/>
          <w:szCs w:val="24"/>
          <w:lang w:val="en-US" w:eastAsia="el-GR"/>
        </w:rPr>
        <w:t>posaconazole</w:t>
      </w:r>
      <w:proofErr w:type="spellEnd"/>
      <w:r w:rsidRPr="000455A5">
        <w:rPr>
          <w:sz w:val="24"/>
          <w:szCs w:val="24"/>
          <w:lang w:val="en-US" w:eastAsia="el-GR"/>
        </w:rPr>
        <w:t xml:space="preserve"> by 41</w:t>
      </w:r>
      <w:r w:rsidR="00435221">
        <w:rPr>
          <w:sz w:val="24"/>
          <w:szCs w:val="24"/>
          <w:lang w:val="en-US" w:eastAsia="el-GR"/>
        </w:rPr>
        <w:t xml:space="preserve"> %</w:t>
      </w:r>
      <w:r w:rsidRPr="000455A5">
        <w:rPr>
          <w:sz w:val="24"/>
          <w:szCs w:val="24"/>
          <w:lang w:val="en-US" w:eastAsia="el-GR"/>
        </w:rPr>
        <w:t xml:space="preserve"> and 50</w:t>
      </w:r>
      <w:r w:rsidR="00435221">
        <w:rPr>
          <w:sz w:val="24"/>
          <w:szCs w:val="24"/>
          <w:lang w:val="en-US" w:eastAsia="el-GR"/>
        </w:rPr>
        <w:t xml:space="preserve"> %</w:t>
      </w:r>
      <w:r w:rsidRPr="000455A5">
        <w:rPr>
          <w:sz w:val="24"/>
          <w:szCs w:val="24"/>
          <w:lang w:val="en-US" w:eastAsia="el-GR"/>
        </w:rPr>
        <w:t xml:space="preserve">, respectively. Concomitant use of </w:t>
      </w:r>
      <w:proofErr w:type="spellStart"/>
      <w:r w:rsidRPr="000455A5">
        <w:rPr>
          <w:sz w:val="24"/>
          <w:szCs w:val="24"/>
          <w:lang w:val="en-US" w:eastAsia="el-GR"/>
        </w:rPr>
        <w:t>posaconazole</w:t>
      </w:r>
      <w:proofErr w:type="spellEnd"/>
      <w:r w:rsidRPr="000455A5">
        <w:rPr>
          <w:sz w:val="24"/>
          <w:szCs w:val="24"/>
          <w:lang w:val="en-US" w:eastAsia="el-GR"/>
        </w:rPr>
        <w:t xml:space="preserve"> and phenytoin and similar inducers (e.g. carbamazepine, phenobarbital, primidone) should be avoided unless the benefit to the patient outweighs the risk.</w:t>
      </w:r>
    </w:p>
    <w:p w14:paraId="01863256" w14:textId="77777777" w:rsidR="00E84EB9" w:rsidRPr="000455A5" w:rsidRDefault="00E84EB9" w:rsidP="003649BE">
      <w:pPr>
        <w:ind w:left="851"/>
        <w:rPr>
          <w:sz w:val="24"/>
          <w:szCs w:val="24"/>
          <w:lang w:val="en-US" w:eastAsia="el-GR"/>
        </w:rPr>
      </w:pPr>
    </w:p>
    <w:p w14:paraId="1445CCEF" w14:textId="77777777" w:rsidR="00E84EB9" w:rsidRPr="000455A5" w:rsidRDefault="00E84EB9" w:rsidP="003649BE">
      <w:pPr>
        <w:ind w:left="851"/>
        <w:rPr>
          <w:i/>
          <w:sz w:val="24"/>
          <w:szCs w:val="24"/>
          <w:lang w:val="en-US" w:eastAsia="el-GR"/>
        </w:rPr>
      </w:pPr>
      <w:r w:rsidRPr="000455A5">
        <w:rPr>
          <w:i/>
          <w:sz w:val="24"/>
          <w:szCs w:val="24"/>
          <w:lang w:val="en-US" w:eastAsia="el-GR"/>
        </w:rPr>
        <w:t>H</w:t>
      </w:r>
      <w:r w:rsidRPr="000455A5">
        <w:rPr>
          <w:i/>
          <w:sz w:val="24"/>
          <w:szCs w:val="24"/>
          <w:vertAlign w:val="subscript"/>
          <w:lang w:val="en-US" w:eastAsia="el-GR"/>
        </w:rPr>
        <w:t>2</w:t>
      </w:r>
      <w:r w:rsidRPr="000455A5">
        <w:rPr>
          <w:i/>
          <w:sz w:val="24"/>
          <w:szCs w:val="24"/>
          <w:lang w:val="en-US" w:eastAsia="el-GR"/>
        </w:rPr>
        <w:t xml:space="preserve"> receptor antagonists and proton pump inhibitors</w:t>
      </w:r>
    </w:p>
    <w:p w14:paraId="54D3AF70" w14:textId="6F024CC7" w:rsidR="00E84EB9" w:rsidRPr="000455A5" w:rsidRDefault="00E84EB9"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plasma concentrations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and AUC) were reduced by 39</w:t>
      </w:r>
      <w:r w:rsidR="00435221">
        <w:rPr>
          <w:sz w:val="24"/>
          <w:szCs w:val="24"/>
          <w:lang w:val="en-US" w:eastAsia="el-GR"/>
        </w:rPr>
        <w:t xml:space="preserve"> %</w:t>
      </w:r>
      <w:r w:rsidRPr="000455A5">
        <w:rPr>
          <w:sz w:val="24"/>
          <w:szCs w:val="24"/>
          <w:lang w:val="en-US" w:eastAsia="el-GR"/>
        </w:rPr>
        <w:t xml:space="preserve"> when </w:t>
      </w:r>
      <w:proofErr w:type="spellStart"/>
      <w:r w:rsidRPr="000455A5">
        <w:rPr>
          <w:sz w:val="24"/>
          <w:szCs w:val="24"/>
          <w:lang w:val="en-US" w:eastAsia="el-GR"/>
        </w:rPr>
        <w:t>posaconazole</w:t>
      </w:r>
      <w:proofErr w:type="spellEnd"/>
      <w:r w:rsidRPr="000455A5">
        <w:rPr>
          <w:sz w:val="24"/>
          <w:szCs w:val="24"/>
          <w:lang w:val="en-US" w:eastAsia="el-GR"/>
        </w:rPr>
        <w:t xml:space="preserve"> was administered with cimetidine (400 mg twice a day) due to reduced absorption possibly secondary to a decrease in gastric acid production. Co-administration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with H</w:t>
      </w:r>
      <w:r w:rsidRPr="000455A5">
        <w:rPr>
          <w:sz w:val="24"/>
          <w:szCs w:val="24"/>
          <w:vertAlign w:val="subscript"/>
          <w:lang w:val="en-US" w:eastAsia="el-GR"/>
        </w:rPr>
        <w:t>2</w:t>
      </w:r>
      <w:r w:rsidRPr="000455A5">
        <w:rPr>
          <w:sz w:val="24"/>
          <w:szCs w:val="24"/>
          <w:lang w:val="en-US" w:eastAsia="el-GR"/>
        </w:rPr>
        <w:t xml:space="preserve"> receptor antagonists should be avoided if possible.</w:t>
      </w:r>
    </w:p>
    <w:p w14:paraId="66F19886" w14:textId="77777777" w:rsidR="00E60E27" w:rsidRPr="000455A5" w:rsidRDefault="00E60E27" w:rsidP="003649BE">
      <w:pPr>
        <w:ind w:left="851"/>
        <w:rPr>
          <w:sz w:val="24"/>
          <w:szCs w:val="24"/>
          <w:lang w:val="en-US" w:eastAsia="el-GR"/>
        </w:rPr>
      </w:pPr>
    </w:p>
    <w:p w14:paraId="57FE2D05" w14:textId="6C89892D" w:rsidR="00E84EB9" w:rsidRPr="000455A5" w:rsidRDefault="00E84EB9" w:rsidP="003649BE">
      <w:pPr>
        <w:ind w:left="851"/>
        <w:rPr>
          <w:sz w:val="24"/>
          <w:szCs w:val="24"/>
          <w:lang w:val="en-US" w:eastAsia="el-GR"/>
        </w:rPr>
      </w:pPr>
      <w:r w:rsidRPr="000455A5">
        <w:rPr>
          <w:sz w:val="24"/>
          <w:szCs w:val="24"/>
          <w:lang w:val="en-US" w:eastAsia="el-GR"/>
        </w:rPr>
        <w:t xml:space="preserve">Similarly, administration of 400 mg </w:t>
      </w:r>
      <w:proofErr w:type="spellStart"/>
      <w:r w:rsidRPr="000455A5">
        <w:rPr>
          <w:sz w:val="24"/>
          <w:szCs w:val="24"/>
          <w:lang w:val="en-US" w:eastAsia="el-GR"/>
        </w:rPr>
        <w:t>posaconazole</w:t>
      </w:r>
      <w:proofErr w:type="spellEnd"/>
      <w:r w:rsidRPr="000455A5">
        <w:rPr>
          <w:sz w:val="24"/>
          <w:szCs w:val="24"/>
          <w:lang w:val="en-US" w:eastAsia="el-GR"/>
        </w:rPr>
        <w:t xml:space="preserve"> with esomeprazole (40 mg daily) decreased mean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vertAlign w:val="subscript"/>
          <w:lang w:val="en-US" w:eastAsia="el-GR"/>
        </w:rPr>
        <w:t xml:space="preserve"> </w:t>
      </w:r>
      <w:r w:rsidRPr="000455A5">
        <w:rPr>
          <w:sz w:val="24"/>
          <w:szCs w:val="24"/>
          <w:lang w:val="en-US" w:eastAsia="el-GR"/>
        </w:rPr>
        <w:t>and AUC by 46</w:t>
      </w:r>
      <w:r w:rsidR="00435221">
        <w:rPr>
          <w:sz w:val="24"/>
          <w:szCs w:val="24"/>
          <w:lang w:val="en-US" w:eastAsia="el-GR"/>
        </w:rPr>
        <w:t xml:space="preserve"> %</w:t>
      </w:r>
      <w:r w:rsidRPr="000455A5">
        <w:rPr>
          <w:sz w:val="24"/>
          <w:szCs w:val="24"/>
          <w:lang w:val="en-US" w:eastAsia="el-GR"/>
        </w:rPr>
        <w:t xml:space="preserve"> and 32</w:t>
      </w:r>
      <w:r w:rsidR="00435221">
        <w:rPr>
          <w:sz w:val="24"/>
          <w:szCs w:val="24"/>
          <w:lang w:val="en-US" w:eastAsia="el-GR"/>
        </w:rPr>
        <w:t xml:space="preserve"> %</w:t>
      </w:r>
      <w:r w:rsidRPr="000455A5">
        <w:rPr>
          <w:sz w:val="24"/>
          <w:szCs w:val="24"/>
          <w:lang w:val="en-US" w:eastAsia="el-GR"/>
        </w:rPr>
        <w:t xml:space="preserve">, respectively, compared to dosing with 400 mg </w:t>
      </w:r>
      <w:proofErr w:type="spellStart"/>
      <w:r w:rsidRPr="000455A5">
        <w:rPr>
          <w:sz w:val="24"/>
          <w:szCs w:val="24"/>
          <w:lang w:val="en-US" w:eastAsia="el-GR"/>
        </w:rPr>
        <w:t>posaconazole</w:t>
      </w:r>
      <w:proofErr w:type="spellEnd"/>
      <w:r w:rsidRPr="000455A5">
        <w:rPr>
          <w:sz w:val="24"/>
          <w:szCs w:val="24"/>
          <w:lang w:val="en-US" w:eastAsia="el-GR"/>
        </w:rPr>
        <w:t xml:space="preserve"> alone.</w:t>
      </w:r>
    </w:p>
    <w:p w14:paraId="772A763F" w14:textId="77777777" w:rsidR="00E60E27" w:rsidRPr="000455A5" w:rsidRDefault="00E60E27" w:rsidP="003649BE">
      <w:pPr>
        <w:ind w:left="851"/>
        <w:rPr>
          <w:sz w:val="24"/>
          <w:szCs w:val="24"/>
          <w:lang w:val="en-US" w:eastAsia="el-GR"/>
        </w:rPr>
      </w:pPr>
    </w:p>
    <w:p w14:paraId="4D120C5B" w14:textId="5D7546D0" w:rsidR="00E84EB9" w:rsidRPr="000455A5" w:rsidRDefault="00E84EB9" w:rsidP="003649BE">
      <w:pPr>
        <w:ind w:left="851"/>
        <w:rPr>
          <w:sz w:val="24"/>
          <w:szCs w:val="24"/>
          <w:lang w:val="en-US" w:eastAsia="el-GR"/>
        </w:rPr>
      </w:pPr>
      <w:r w:rsidRPr="000455A5">
        <w:rPr>
          <w:sz w:val="24"/>
          <w:szCs w:val="24"/>
          <w:lang w:val="en-US" w:eastAsia="el-GR"/>
        </w:rPr>
        <w:t xml:space="preserve">Co-administration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with proton pump inhibitors should be avoided if possible.</w:t>
      </w:r>
    </w:p>
    <w:p w14:paraId="4870DC58" w14:textId="77777777" w:rsidR="00E84EB9" w:rsidRPr="000455A5" w:rsidRDefault="00E84EB9" w:rsidP="003649BE">
      <w:pPr>
        <w:ind w:left="851"/>
        <w:rPr>
          <w:sz w:val="24"/>
          <w:szCs w:val="24"/>
          <w:lang w:val="en-US" w:eastAsia="el-GR"/>
        </w:rPr>
      </w:pPr>
    </w:p>
    <w:p w14:paraId="2CC1FB47" w14:textId="77777777" w:rsidR="00E84EB9" w:rsidRPr="000455A5" w:rsidRDefault="00E84EB9" w:rsidP="003649BE">
      <w:pPr>
        <w:ind w:left="851"/>
        <w:rPr>
          <w:i/>
          <w:sz w:val="24"/>
          <w:szCs w:val="24"/>
          <w:lang w:val="en-US" w:eastAsia="el-GR"/>
        </w:rPr>
      </w:pPr>
      <w:r w:rsidRPr="000455A5">
        <w:rPr>
          <w:i/>
          <w:sz w:val="24"/>
          <w:szCs w:val="24"/>
          <w:lang w:val="en-US" w:eastAsia="el-GR"/>
        </w:rPr>
        <w:t>Food</w:t>
      </w:r>
    </w:p>
    <w:p w14:paraId="28D1AE6F" w14:textId="77777777" w:rsidR="00E84EB9" w:rsidRPr="000455A5" w:rsidRDefault="00E84EB9" w:rsidP="003649BE">
      <w:pPr>
        <w:ind w:left="851"/>
        <w:rPr>
          <w:sz w:val="24"/>
          <w:szCs w:val="24"/>
          <w:lang w:val="en-US" w:eastAsia="el-GR"/>
        </w:rPr>
      </w:pPr>
      <w:r w:rsidRPr="000455A5">
        <w:rPr>
          <w:sz w:val="24"/>
          <w:szCs w:val="24"/>
          <w:lang w:val="en-US" w:eastAsia="el-GR"/>
        </w:rPr>
        <w:t xml:space="preserve">The absorption of </w:t>
      </w:r>
      <w:proofErr w:type="spellStart"/>
      <w:r w:rsidRPr="000455A5">
        <w:rPr>
          <w:sz w:val="24"/>
          <w:szCs w:val="24"/>
          <w:lang w:val="en-US" w:eastAsia="el-GR"/>
        </w:rPr>
        <w:t>posaconazole</w:t>
      </w:r>
      <w:proofErr w:type="spellEnd"/>
      <w:r w:rsidRPr="000455A5">
        <w:rPr>
          <w:sz w:val="24"/>
          <w:szCs w:val="24"/>
          <w:lang w:val="en-US" w:eastAsia="el-GR"/>
        </w:rPr>
        <w:t xml:space="preserve"> is significantly increased by food (see sections 4.2 and 5.2).</w:t>
      </w:r>
    </w:p>
    <w:p w14:paraId="0F1D916C" w14:textId="77777777" w:rsidR="00E84EB9" w:rsidRPr="000455A5" w:rsidRDefault="00E84EB9" w:rsidP="003649BE">
      <w:pPr>
        <w:ind w:left="851"/>
        <w:rPr>
          <w:sz w:val="24"/>
          <w:szCs w:val="24"/>
          <w:lang w:val="en-US" w:eastAsia="el-GR"/>
        </w:rPr>
      </w:pPr>
    </w:p>
    <w:p w14:paraId="7C609F71"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 xml:space="preserve">Effects of </w:t>
      </w:r>
      <w:proofErr w:type="spellStart"/>
      <w:r w:rsidRPr="000455A5">
        <w:rPr>
          <w:sz w:val="24"/>
          <w:szCs w:val="24"/>
          <w:u w:val="single"/>
          <w:lang w:val="en-US" w:eastAsia="el-GR"/>
        </w:rPr>
        <w:t>posaconazole</w:t>
      </w:r>
      <w:proofErr w:type="spellEnd"/>
      <w:r w:rsidRPr="000455A5">
        <w:rPr>
          <w:sz w:val="24"/>
          <w:szCs w:val="24"/>
          <w:u w:val="single"/>
          <w:lang w:val="en-US" w:eastAsia="el-GR"/>
        </w:rPr>
        <w:t xml:space="preserve"> on other medicinal products</w:t>
      </w:r>
    </w:p>
    <w:p w14:paraId="21D1AFA2" w14:textId="77777777" w:rsidR="00E84EB9" w:rsidRPr="000455A5" w:rsidRDefault="00E84EB9"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is a potent inhibitor of CYP3A4. Co-administration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with CYP3A4 substrates may result in large increases in exposure to CYP3A4 substrates as exemplified by the effects on tacrolimus, sirolimus, atazanavir and midazolam below. Caution is advised during co-administration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with CYP3A4 substrates administered intravenously and the dose of the CYP3A4 substrate may need to be reduced. If </w:t>
      </w:r>
      <w:proofErr w:type="spellStart"/>
      <w:r w:rsidRPr="000455A5">
        <w:rPr>
          <w:sz w:val="24"/>
          <w:szCs w:val="24"/>
          <w:lang w:val="en-US" w:eastAsia="el-GR"/>
        </w:rPr>
        <w:t>posaconazole</w:t>
      </w:r>
      <w:proofErr w:type="spellEnd"/>
      <w:r w:rsidRPr="000455A5">
        <w:rPr>
          <w:sz w:val="24"/>
          <w:szCs w:val="24"/>
          <w:lang w:val="en-US" w:eastAsia="el-GR"/>
        </w:rPr>
        <w:t xml:space="preserve"> is used concomitantly with CYP3A4 substrates that are administered orally, and for which an increase in plasma concentrations may be associated with unacceptable adverse reactions, plasma concentrations of the CYP3A4 substrate and/or adverse reactions should be closely monitored and the dose adjusted as needed. Several of the interaction studies were conducted in healthy volunteers in whom a higher exposure to </w:t>
      </w:r>
      <w:proofErr w:type="spellStart"/>
      <w:r w:rsidRPr="000455A5">
        <w:rPr>
          <w:sz w:val="24"/>
          <w:szCs w:val="24"/>
          <w:lang w:val="en-US" w:eastAsia="el-GR"/>
        </w:rPr>
        <w:t>posaconazole</w:t>
      </w:r>
      <w:proofErr w:type="spellEnd"/>
      <w:r w:rsidRPr="000455A5">
        <w:rPr>
          <w:sz w:val="24"/>
          <w:szCs w:val="24"/>
          <w:lang w:val="en-US" w:eastAsia="el-GR"/>
        </w:rPr>
        <w:t xml:space="preserve"> occurs compared to patients administered the same dose. The effect of </w:t>
      </w:r>
      <w:proofErr w:type="spellStart"/>
      <w:r w:rsidRPr="000455A5">
        <w:rPr>
          <w:sz w:val="24"/>
          <w:szCs w:val="24"/>
          <w:lang w:val="en-US" w:eastAsia="el-GR"/>
        </w:rPr>
        <w:t>posaconazole</w:t>
      </w:r>
      <w:proofErr w:type="spellEnd"/>
      <w:r w:rsidRPr="000455A5">
        <w:rPr>
          <w:sz w:val="24"/>
          <w:szCs w:val="24"/>
          <w:lang w:val="en-US" w:eastAsia="el-GR"/>
        </w:rPr>
        <w:t xml:space="preserve"> on CYP3A4 substrates in patients might be somewhat lower than that observed in healthy volunteers, and is expected to be variable between patients due to the variable </w:t>
      </w:r>
      <w:proofErr w:type="spellStart"/>
      <w:r w:rsidRPr="000455A5">
        <w:rPr>
          <w:sz w:val="24"/>
          <w:szCs w:val="24"/>
          <w:lang w:val="en-US" w:eastAsia="el-GR"/>
        </w:rPr>
        <w:t>posaconazole</w:t>
      </w:r>
      <w:proofErr w:type="spellEnd"/>
      <w:r w:rsidRPr="000455A5">
        <w:rPr>
          <w:sz w:val="24"/>
          <w:szCs w:val="24"/>
          <w:lang w:val="en-US" w:eastAsia="el-GR"/>
        </w:rPr>
        <w:t xml:space="preserve"> exposure in patients. The effect of co-administration with </w:t>
      </w:r>
      <w:proofErr w:type="spellStart"/>
      <w:r w:rsidRPr="000455A5">
        <w:rPr>
          <w:sz w:val="24"/>
          <w:szCs w:val="24"/>
          <w:lang w:val="en-US" w:eastAsia="el-GR"/>
        </w:rPr>
        <w:t>posaconazole</w:t>
      </w:r>
      <w:proofErr w:type="spellEnd"/>
      <w:r w:rsidRPr="000455A5">
        <w:rPr>
          <w:sz w:val="24"/>
          <w:szCs w:val="24"/>
          <w:lang w:val="en-US" w:eastAsia="el-GR"/>
        </w:rPr>
        <w:t xml:space="preserve"> on plasma levels of CYP3A4 substrates may also be variable within a patient, unless </w:t>
      </w:r>
      <w:proofErr w:type="spellStart"/>
      <w:r w:rsidRPr="000455A5">
        <w:rPr>
          <w:sz w:val="24"/>
          <w:szCs w:val="24"/>
          <w:lang w:val="en-US" w:eastAsia="el-GR"/>
        </w:rPr>
        <w:t>posaconazole</w:t>
      </w:r>
      <w:proofErr w:type="spellEnd"/>
      <w:r w:rsidRPr="000455A5">
        <w:rPr>
          <w:sz w:val="24"/>
          <w:szCs w:val="24"/>
          <w:lang w:val="en-US" w:eastAsia="el-GR"/>
        </w:rPr>
        <w:t xml:space="preserve"> is administered in a strictly </w:t>
      </w:r>
      <w:proofErr w:type="spellStart"/>
      <w:r w:rsidRPr="000455A5">
        <w:rPr>
          <w:sz w:val="24"/>
          <w:szCs w:val="24"/>
          <w:lang w:val="en-US" w:eastAsia="el-GR"/>
        </w:rPr>
        <w:t>standardised</w:t>
      </w:r>
      <w:proofErr w:type="spellEnd"/>
      <w:r w:rsidRPr="000455A5">
        <w:rPr>
          <w:sz w:val="24"/>
          <w:szCs w:val="24"/>
          <w:lang w:val="en-US" w:eastAsia="el-GR"/>
        </w:rPr>
        <w:t xml:space="preserve"> way with food, given the large food effect on </w:t>
      </w:r>
      <w:proofErr w:type="spellStart"/>
      <w:r w:rsidRPr="000455A5">
        <w:rPr>
          <w:sz w:val="24"/>
          <w:szCs w:val="24"/>
          <w:lang w:val="en-US" w:eastAsia="el-GR"/>
        </w:rPr>
        <w:t>posaconazole</w:t>
      </w:r>
      <w:proofErr w:type="spellEnd"/>
      <w:r w:rsidRPr="000455A5">
        <w:rPr>
          <w:sz w:val="24"/>
          <w:szCs w:val="24"/>
          <w:lang w:val="en-US" w:eastAsia="el-GR"/>
        </w:rPr>
        <w:t xml:space="preserve"> exposure (see section 5.2).</w:t>
      </w:r>
    </w:p>
    <w:p w14:paraId="044B9DD1" w14:textId="77777777" w:rsidR="00E84EB9" w:rsidRPr="000455A5" w:rsidRDefault="00E84EB9" w:rsidP="003649BE">
      <w:pPr>
        <w:ind w:left="851"/>
        <w:rPr>
          <w:sz w:val="24"/>
          <w:szCs w:val="24"/>
          <w:lang w:val="en-US" w:eastAsia="el-GR"/>
        </w:rPr>
      </w:pPr>
    </w:p>
    <w:p w14:paraId="63F204BC" w14:textId="77777777" w:rsidR="00E84EB9" w:rsidRPr="000455A5" w:rsidRDefault="00E84EB9" w:rsidP="003649BE">
      <w:pPr>
        <w:ind w:left="851"/>
        <w:rPr>
          <w:i/>
          <w:sz w:val="24"/>
          <w:szCs w:val="24"/>
          <w:lang w:val="en-US" w:eastAsia="el-GR"/>
        </w:rPr>
      </w:pPr>
      <w:r w:rsidRPr="000455A5">
        <w:rPr>
          <w:i/>
          <w:sz w:val="24"/>
          <w:szCs w:val="24"/>
          <w:lang w:val="en-US" w:eastAsia="el-GR"/>
        </w:rPr>
        <w:t xml:space="preserve">Terfenadine, </w:t>
      </w:r>
      <w:proofErr w:type="spellStart"/>
      <w:r w:rsidRPr="000455A5">
        <w:rPr>
          <w:i/>
          <w:sz w:val="24"/>
          <w:szCs w:val="24"/>
          <w:lang w:val="en-US" w:eastAsia="el-GR"/>
        </w:rPr>
        <w:t>astemizole</w:t>
      </w:r>
      <w:proofErr w:type="spellEnd"/>
      <w:r w:rsidRPr="000455A5">
        <w:rPr>
          <w:i/>
          <w:sz w:val="24"/>
          <w:szCs w:val="24"/>
          <w:lang w:val="en-US" w:eastAsia="el-GR"/>
        </w:rPr>
        <w:t xml:space="preserve">, </w:t>
      </w:r>
      <w:proofErr w:type="spellStart"/>
      <w:r w:rsidRPr="000455A5">
        <w:rPr>
          <w:i/>
          <w:sz w:val="24"/>
          <w:szCs w:val="24"/>
          <w:lang w:val="en-US" w:eastAsia="el-GR"/>
        </w:rPr>
        <w:t>cisapride</w:t>
      </w:r>
      <w:proofErr w:type="spellEnd"/>
      <w:r w:rsidRPr="000455A5">
        <w:rPr>
          <w:i/>
          <w:sz w:val="24"/>
          <w:szCs w:val="24"/>
          <w:lang w:val="en-US" w:eastAsia="el-GR"/>
        </w:rPr>
        <w:t>, pimozide, halofantrine and quinidine (CYP3A4 substrates)</w:t>
      </w:r>
    </w:p>
    <w:p w14:paraId="56AC87C6" w14:textId="77777777" w:rsidR="00E84EB9" w:rsidRPr="000455A5" w:rsidRDefault="00E84EB9" w:rsidP="003649BE">
      <w:pPr>
        <w:ind w:left="851"/>
        <w:rPr>
          <w:sz w:val="24"/>
          <w:szCs w:val="24"/>
          <w:lang w:val="en-US" w:eastAsia="el-GR"/>
        </w:rPr>
      </w:pPr>
      <w:r w:rsidRPr="000455A5">
        <w:rPr>
          <w:sz w:val="24"/>
          <w:szCs w:val="24"/>
          <w:lang w:val="en-US" w:eastAsia="el-GR"/>
        </w:rPr>
        <w:t xml:space="preserve">Co-administration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and terfenadine, </w:t>
      </w:r>
      <w:proofErr w:type="spellStart"/>
      <w:r w:rsidRPr="000455A5">
        <w:rPr>
          <w:sz w:val="24"/>
          <w:szCs w:val="24"/>
          <w:lang w:val="en-US" w:eastAsia="el-GR"/>
        </w:rPr>
        <w:t>astemizole</w:t>
      </w:r>
      <w:proofErr w:type="spellEnd"/>
      <w:r w:rsidRPr="000455A5">
        <w:rPr>
          <w:sz w:val="24"/>
          <w:szCs w:val="24"/>
          <w:lang w:val="en-US" w:eastAsia="el-GR"/>
        </w:rPr>
        <w:t xml:space="preserve">, </w:t>
      </w:r>
      <w:proofErr w:type="spellStart"/>
      <w:r w:rsidRPr="000455A5">
        <w:rPr>
          <w:sz w:val="24"/>
          <w:szCs w:val="24"/>
          <w:lang w:val="en-US" w:eastAsia="el-GR"/>
        </w:rPr>
        <w:t>cisapride</w:t>
      </w:r>
      <w:proofErr w:type="spellEnd"/>
      <w:r w:rsidRPr="000455A5">
        <w:rPr>
          <w:sz w:val="24"/>
          <w:szCs w:val="24"/>
          <w:lang w:val="en-US" w:eastAsia="el-GR"/>
        </w:rPr>
        <w:t xml:space="preserve">, pimozide, halofantrine or quinidine is contraindicated. Co-administration may result in increased plasma concentrations of these medicinal products, leading to QTc prolongation and rare occurrences of </w:t>
      </w:r>
      <w:proofErr w:type="spellStart"/>
      <w:r w:rsidRPr="000455A5">
        <w:rPr>
          <w:sz w:val="24"/>
          <w:szCs w:val="24"/>
          <w:lang w:val="en-US" w:eastAsia="el-GR"/>
        </w:rPr>
        <w:t>torsades</w:t>
      </w:r>
      <w:proofErr w:type="spellEnd"/>
      <w:r w:rsidRPr="000455A5">
        <w:rPr>
          <w:sz w:val="24"/>
          <w:szCs w:val="24"/>
          <w:lang w:val="en-US" w:eastAsia="el-GR"/>
        </w:rPr>
        <w:t xml:space="preserve"> de pointes (see section 4.3).</w:t>
      </w:r>
    </w:p>
    <w:p w14:paraId="33E18ADA" w14:textId="77777777" w:rsidR="00E84EB9" w:rsidRPr="000455A5" w:rsidRDefault="00E84EB9" w:rsidP="003649BE">
      <w:pPr>
        <w:ind w:left="851"/>
        <w:rPr>
          <w:sz w:val="24"/>
          <w:szCs w:val="24"/>
          <w:lang w:val="en-US" w:eastAsia="el-GR"/>
        </w:rPr>
      </w:pPr>
    </w:p>
    <w:p w14:paraId="6E989174" w14:textId="77777777" w:rsidR="00E84EB9" w:rsidRPr="000455A5" w:rsidRDefault="00E84EB9" w:rsidP="003649BE">
      <w:pPr>
        <w:ind w:left="851"/>
        <w:rPr>
          <w:i/>
          <w:sz w:val="24"/>
          <w:szCs w:val="24"/>
          <w:lang w:val="en-US" w:eastAsia="el-GR"/>
        </w:rPr>
      </w:pPr>
      <w:r w:rsidRPr="000455A5">
        <w:rPr>
          <w:i/>
          <w:sz w:val="24"/>
          <w:szCs w:val="24"/>
          <w:lang w:val="en-US" w:eastAsia="el-GR"/>
        </w:rPr>
        <w:t>Ergot alkaloids</w:t>
      </w:r>
    </w:p>
    <w:p w14:paraId="6E10FB2F" w14:textId="77777777" w:rsidR="00E84EB9" w:rsidRPr="000455A5" w:rsidRDefault="00E84EB9"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may increase the plasma concentration of ergot alkaloids (ergotamine and dihydroergotamine), which may lead to ergotism. Co-administration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and ergot alkaloids is contraindicated (see section 4.3).</w:t>
      </w:r>
    </w:p>
    <w:p w14:paraId="1C813795" w14:textId="77777777" w:rsidR="00E84EB9" w:rsidRPr="000455A5" w:rsidRDefault="00E84EB9" w:rsidP="003649BE">
      <w:pPr>
        <w:ind w:left="851"/>
        <w:rPr>
          <w:sz w:val="24"/>
          <w:szCs w:val="24"/>
          <w:lang w:val="en-US" w:eastAsia="el-GR"/>
        </w:rPr>
      </w:pPr>
    </w:p>
    <w:p w14:paraId="243E0C33" w14:textId="77777777" w:rsidR="00E84EB9" w:rsidRPr="000455A5" w:rsidRDefault="00E84EB9" w:rsidP="003649BE">
      <w:pPr>
        <w:ind w:left="851"/>
        <w:rPr>
          <w:i/>
          <w:sz w:val="24"/>
          <w:szCs w:val="24"/>
          <w:lang w:val="en-US" w:eastAsia="el-GR"/>
        </w:rPr>
      </w:pPr>
      <w:r w:rsidRPr="000455A5">
        <w:rPr>
          <w:i/>
          <w:sz w:val="24"/>
          <w:szCs w:val="24"/>
          <w:lang w:val="en-US" w:eastAsia="el-GR"/>
        </w:rPr>
        <w:t xml:space="preserve">HMG-CoA reductase inhibitors </w:t>
      </w:r>
      <w:proofErr w:type="spellStart"/>
      <w:r w:rsidRPr="000455A5">
        <w:rPr>
          <w:i/>
          <w:sz w:val="24"/>
          <w:szCs w:val="24"/>
          <w:lang w:val="en-US" w:eastAsia="el-GR"/>
        </w:rPr>
        <w:t>metabolised</w:t>
      </w:r>
      <w:proofErr w:type="spellEnd"/>
      <w:r w:rsidRPr="000455A5">
        <w:rPr>
          <w:i/>
          <w:sz w:val="24"/>
          <w:szCs w:val="24"/>
          <w:lang w:val="en-US" w:eastAsia="el-GR"/>
        </w:rPr>
        <w:t xml:space="preserve"> through CYP3A4 (e.g. simvastatin, lovastatin, and atorvastatin)</w:t>
      </w:r>
    </w:p>
    <w:p w14:paraId="7B66B56C" w14:textId="77777777" w:rsidR="00E84EB9" w:rsidRPr="000455A5" w:rsidRDefault="00E84EB9"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may substantially increase plasma levels of HMG-CoA reductase inhibitors that are </w:t>
      </w:r>
      <w:proofErr w:type="spellStart"/>
      <w:r w:rsidRPr="000455A5">
        <w:rPr>
          <w:sz w:val="24"/>
          <w:szCs w:val="24"/>
          <w:lang w:val="en-US" w:eastAsia="el-GR"/>
        </w:rPr>
        <w:t>metabolised</w:t>
      </w:r>
      <w:proofErr w:type="spellEnd"/>
      <w:r w:rsidRPr="000455A5">
        <w:rPr>
          <w:sz w:val="24"/>
          <w:szCs w:val="24"/>
          <w:lang w:val="en-US" w:eastAsia="el-GR"/>
        </w:rPr>
        <w:t xml:space="preserve"> by CYP3A4. Treatment with these HMG-CoA reductase inhibitors should be discontinued during treatment with </w:t>
      </w:r>
      <w:proofErr w:type="spellStart"/>
      <w:r w:rsidRPr="000455A5">
        <w:rPr>
          <w:sz w:val="24"/>
          <w:szCs w:val="24"/>
          <w:lang w:val="en-US" w:eastAsia="el-GR"/>
        </w:rPr>
        <w:t>posaconazole</w:t>
      </w:r>
      <w:proofErr w:type="spellEnd"/>
      <w:r w:rsidRPr="000455A5">
        <w:rPr>
          <w:sz w:val="24"/>
          <w:szCs w:val="24"/>
          <w:lang w:val="en-US" w:eastAsia="el-GR"/>
        </w:rPr>
        <w:t xml:space="preserve"> as increased levels have been associated with rhabdomyolysis (see section 4.3).</w:t>
      </w:r>
    </w:p>
    <w:p w14:paraId="2E4AF994" w14:textId="77777777" w:rsidR="00E84EB9" w:rsidRPr="000455A5" w:rsidRDefault="00E84EB9" w:rsidP="003649BE">
      <w:pPr>
        <w:ind w:left="851"/>
        <w:rPr>
          <w:sz w:val="24"/>
          <w:szCs w:val="24"/>
          <w:lang w:val="en-US" w:eastAsia="el-GR"/>
        </w:rPr>
      </w:pPr>
    </w:p>
    <w:p w14:paraId="0D557AA9" w14:textId="77777777" w:rsidR="00E84EB9" w:rsidRPr="000455A5" w:rsidRDefault="00E84EB9" w:rsidP="003649BE">
      <w:pPr>
        <w:ind w:left="851"/>
        <w:rPr>
          <w:i/>
          <w:sz w:val="24"/>
          <w:szCs w:val="24"/>
          <w:lang w:val="en-US" w:eastAsia="el-GR"/>
        </w:rPr>
      </w:pPr>
      <w:proofErr w:type="spellStart"/>
      <w:r w:rsidRPr="000455A5">
        <w:rPr>
          <w:i/>
          <w:sz w:val="24"/>
          <w:szCs w:val="24"/>
          <w:lang w:val="en-US" w:eastAsia="el-GR"/>
        </w:rPr>
        <w:t>Vinca</w:t>
      </w:r>
      <w:proofErr w:type="spellEnd"/>
      <w:r w:rsidRPr="000455A5">
        <w:rPr>
          <w:i/>
          <w:sz w:val="24"/>
          <w:szCs w:val="24"/>
          <w:lang w:val="en-US" w:eastAsia="el-GR"/>
        </w:rPr>
        <w:t xml:space="preserve"> alkaloids</w:t>
      </w:r>
    </w:p>
    <w:p w14:paraId="234F5B58" w14:textId="77777777" w:rsidR="00E84EB9" w:rsidRPr="000455A5" w:rsidRDefault="00E84EB9" w:rsidP="003649BE">
      <w:pPr>
        <w:ind w:left="851"/>
        <w:rPr>
          <w:sz w:val="24"/>
          <w:szCs w:val="24"/>
          <w:lang w:val="en-US" w:eastAsia="el-GR"/>
        </w:rPr>
      </w:pPr>
      <w:r w:rsidRPr="000455A5">
        <w:rPr>
          <w:sz w:val="24"/>
          <w:szCs w:val="24"/>
          <w:lang w:val="en-US" w:eastAsia="el-GR"/>
        </w:rPr>
        <w:t xml:space="preserve">Most of the </w:t>
      </w:r>
      <w:proofErr w:type="spellStart"/>
      <w:r w:rsidRPr="000455A5">
        <w:rPr>
          <w:sz w:val="24"/>
          <w:szCs w:val="24"/>
          <w:lang w:val="en-US" w:eastAsia="el-GR"/>
        </w:rPr>
        <w:t>vinca</w:t>
      </w:r>
      <w:proofErr w:type="spellEnd"/>
      <w:r w:rsidRPr="000455A5">
        <w:rPr>
          <w:sz w:val="24"/>
          <w:szCs w:val="24"/>
          <w:lang w:val="en-US" w:eastAsia="el-GR"/>
        </w:rPr>
        <w:t xml:space="preserve"> alkaloids (e.g., vincristine and vinblastine) are substrates of CYP3A4. Concomitant administration of azole antifungals, including </w:t>
      </w:r>
      <w:proofErr w:type="spellStart"/>
      <w:r w:rsidRPr="000455A5">
        <w:rPr>
          <w:sz w:val="24"/>
          <w:szCs w:val="24"/>
          <w:lang w:val="en-US" w:eastAsia="el-GR"/>
        </w:rPr>
        <w:t>posaconazole</w:t>
      </w:r>
      <w:proofErr w:type="spellEnd"/>
      <w:r w:rsidRPr="000455A5">
        <w:rPr>
          <w:sz w:val="24"/>
          <w:szCs w:val="24"/>
          <w:lang w:val="en-US" w:eastAsia="el-GR"/>
        </w:rPr>
        <w:t xml:space="preserve">, with vincristine has been associated with serious adverse reactions (see section 4.4). </w:t>
      </w:r>
      <w:proofErr w:type="spellStart"/>
      <w:r w:rsidRPr="000455A5">
        <w:rPr>
          <w:sz w:val="24"/>
          <w:szCs w:val="24"/>
          <w:lang w:val="en-US" w:eastAsia="el-GR"/>
        </w:rPr>
        <w:t>Posaconazole</w:t>
      </w:r>
      <w:proofErr w:type="spellEnd"/>
      <w:r w:rsidRPr="000455A5">
        <w:rPr>
          <w:sz w:val="24"/>
          <w:szCs w:val="24"/>
          <w:lang w:val="en-US" w:eastAsia="el-GR"/>
        </w:rPr>
        <w:t xml:space="preserve"> may increase the plasma concentrations of </w:t>
      </w:r>
      <w:proofErr w:type="spellStart"/>
      <w:r w:rsidRPr="000455A5">
        <w:rPr>
          <w:sz w:val="24"/>
          <w:szCs w:val="24"/>
          <w:lang w:val="en-US" w:eastAsia="el-GR"/>
        </w:rPr>
        <w:t>vinca</w:t>
      </w:r>
      <w:proofErr w:type="spellEnd"/>
      <w:r w:rsidRPr="000455A5">
        <w:rPr>
          <w:sz w:val="24"/>
          <w:szCs w:val="24"/>
          <w:lang w:val="en-US" w:eastAsia="el-GR"/>
        </w:rPr>
        <w:t xml:space="preserve"> alkaloids which may lead to neurotoxicity and other serious adverse reactions. Therefore, reserve azole antifungals, including </w:t>
      </w:r>
      <w:proofErr w:type="spellStart"/>
      <w:r w:rsidRPr="000455A5">
        <w:rPr>
          <w:sz w:val="24"/>
          <w:szCs w:val="24"/>
          <w:lang w:val="en-US" w:eastAsia="el-GR"/>
        </w:rPr>
        <w:t>posaconazole</w:t>
      </w:r>
      <w:proofErr w:type="spellEnd"/>
      <w:r w:rsidRPr="000455A5">
        <w:rPr>
          <w:sz w:val="24"/>
          <w:szCs w:val="24"/>
          <w:lang w:val="en-US" w:eastAsia="el-GR"/>
        </w:rPr>
        <w:t xml:space="preserve">, for patients receiving a </w:t>
      </w:r>
      <w:proofErr w:type="spellStart"/>
      <w:r w:rsidRPr="000455A5">
        <w:rPr>
          <w:sz w:val="24"/>
          <w:szCs w:val="24"/>
          <w:lang w:val="en-US" w:eastAsia="el-GR"/>
        </w:rPr>
        <w:t>vinca</w:t>
      </w:r>
      <w:proofErr w:type="spellEnd"/>
      <w:r w:rsidRPr="000455A5">
        <w:rPr>
          <w:sz w:val="24"/>
          <w:szCs w:val="24"/>
          <w:lang w:val="en-US" w:eastAsia="el-GR"/>
        </w:rPr>
        <w:t xml:space="preserve"> alkaloid, including vincristine, who have no alternative antifungal treatment options.</w:t>
      </w:r>
    </w:p>
    <w:p w14:paraId="3670106B" w14:textId="77777777" w:rsidR="00E84EB9" w:rsidRPr="000455A5" w:rsidRDefault="00E84EB9" w:rsidP="003649BE">
      <w:pPr>
        <w:ind w:left="851"/>
        <w:rPr>
          <w:i/>
          <w:sz w:val="24"/>
          <w:szCs w:val="24"/>
          <w:lang w:val="en-US" w:eastAsia="el-GR"/>
        </w:rPr>
      </w:pPr>
    </w:p>
    <w:p w14:paraId="04329D5C" w14:textId="77777777" w:rsidR="00E84EB9" w:rsidRPr="000455A5" w:rsidRDefault="00E84EB9" w:rsidP="003649BE">
      <w:pPr>
        <w:ind w:left="851"/>
        <w:rPr>
          <w:i/>
          <w:sz w:val="24"/>
          <w:szCs w:val="24"/>
          <w:lang w:val="en-US" w:eastAsia="el-GR"/>
        </w:rPr>
      </w:pPr>
      <w:r w:rsidRPr="000455A5">
        <w:rPr>
          <w:i/>
          <w:sz w:val="24"/>
          <w:szCs w:val="24"/>
          <w:lang w:val="en-US" w:eastAsia="el-GR"/>
        </w:rPr>
        <w:t>Rifabutin</w:t>
      </w:r>
    </w:p>
    <w:p w14:paraId="24CB86A6" w14:textId="59603542" w:rsidR="00E84EB9" w:rsidRPr="000455A5" w:rsidRDefault="00E84EB9"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increased the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and AUC of rifabutin by 31</w:t>
      </w:r>
      <w:r w:rsidR="00435221">
        <w:rPr>
          <w:sz w:val="24"/>
          <w:szCs w:val="24"/>
          <w:lang w:val="en-US" w:eastAsia="el-GR"/>
        </w:rPr>
        <w:t xml:space="preserve"> %</w:t>
      </w:r>
      <w:r w:rsidRPr="000455A5">
        <w:rPr>
          <w:sz w:val="24"/>
          <w:szCs w:val="24"/>
          <w:lang w:val="en-US" w:eastAsia="el-GR"/>
        </w:rPr>
        <w:t xml:space="preserve"> and 72</w:t>
      </w:r>
      <w:r w:rsidR="00435221">
        <w:rPr>
          <w:sz w:val="24"/>
          <w:szCs w:val="24"/>
          <w:lang w:val="en-US" w:eastAsia="el-GR"/>
        </w:rPr>
        <w:t xml:space="preserve"> %</w:t>
      </w:r>
      <w:r w:rsidRPr="000455A5">
        <w:rPr>
          <w:sz w:val="24"/>
          <w:szCs w:val="24"/>
          <w:lang w:val="en-US" w:eastAsia="el-GR"/>
        </w:rPr>
        <w:t xml:space="preserve">, respectively. Concomitant use of </w:t>
      </w:r>
      <w:proofErr w:type="spellStart"/>
      <w:r w:rsidRPr="000455A5">
        <w:rPr>
          <w:sz w:val="24"/>
          <w:szCs w:val="24"/>
          <w:lang w:val="en-US" w:eastAsia="el-GR"/>
        </w:rPr>
        <w:t>posaconazole</w:t>
      </w:r>
      <w:proofErr w:type="spellEnd"/>
      <w:r w:rsidRPr="000455A5">
        <w:rPr>
          <w:sz w:val="24"/>
          <w:szCs w:val="24"/>
          <w:lang w:val="en-US" w:eastAsia="el-GR"/>
        </w:rPr>
        <w:t xml:space="preserve"> and rifabutin should be avoided unless the benefit to the patient outweighs the risk (see also above regarding the effect of rifabutin on plasma levels of </w:t>
      </w:r>
      <w:proofErr w:type="spellStart"/>
      <w:r w:rsidRPr="000455A5">
        <w:rPr>
          <w:sz w:val="24"/>
          <w:szCs w:val="24"/>
          <w:lang w:val="en-US" w:eastAsia="el-GR"/>
        </w:rPr>
        <w:t>posaconazole</w:t>
      </w:r>
      <w:proofErr w:type="spellEnd"/>
      <w:r w:rsidRPr="000455A5">
        <w:rPr>
          <w:sz w:val="24"/>
          <w:szCs w:val="24"/>
          <w:lang w:val="en-US" w:eastAsia="el-GR"/>
        </w:rPr>
        <w:t>). If these medicinal products are co-administered, careful monitoring of full blood counts and adverse reactions related to increased rifabutin levels (e.g. uveitis) is recommended.</w:t>
      </w:r>
    </w:p>
    <w:p w14:paraId="6BC2C9EF" w14:textId="77777777" w:rsidR="00E84EB9" w:rsidRPr="000455A5" w:rsidRDefault="00E84EB9" w:rsidP="003649BE">
      <w:pPr>
        <w:ind w:left="851"/>
        <w:rPr>
          <w:sz w:val="24"/>
          <w:szCs w:val="24"/>
          <w:lang w:val="en-US" w:eastAsia="el-GR"/>
        </w:rPr>
      </w:pPr>
    </w:p>
    <w:p w14:paraId="2ED59F5E" w14:textId="77777777" w:rsidR="00E84EB9" w:rsidRPr="000455A5" w:rsidRDefault="00E84EB9" w:rsidP="003649BE">
      <w:pPr>
        <w:ind w:left="851"/>
        <w:rPr>
          <w:i/>
          <w:sz w:val="24"/>
          <w:szCs w:val="24"/>
          <w:lang w:val="en-US" w:eastAsia="el-GR"/>
        </w:rPr>
      </w:pPr>
      <w:r w:rsidRPr="000455A5">
        <w:rPr>
          <w:i/>
          <w:sz w:val="24"/>
          <w:szCs w:val="24"/>
          <w:lang w:val="en-US" w:eastAsia="el-GR"/>
        </w:rPr>
        <w:t>Sirolimus</w:t>
      </w:r>
    </w:p>
    <w:p w14:paraId="544FAB1E" w14:textId="77777777" w:rsidR="00E84EB9" w:rsidRPr="000455A5" w:rsidRDefault="00E84EB9" w:rsidP="003649BE">
      <w:pPr>
        <w:ind w:left="851"/>
        <w:rPr>
          <w:sz w:val="24"/>
          <w:szCs w:val="24"/>
          <w:lang w:val="en-US" w:eastAsia="el-GR"/>
        </w:rPr>
      </w:pPr>
      <w:r w:rsidRPr="000455A5">
        <w:rPr>
          <w:sz w:val="24"/>
          <w:szCs w:val="24"/>
          <w:lang w:val="en-US" w:eastAsia="el-GR"/>
        </w:rPr>
        <w:t xml:space="preserve">Repeat dose 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oral suspension (400 mg twice daily for 16 days) increased the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and AUC of sirolimus (2 mg single dose) an average of 6.7-fold and 8.9-fold (range 3.1 to 17.5-fold), respectively, in healthy subjects. The effect of </w:t>
      </w:r>
      <w:proofErr w:type="spellStart"/>
      <w:r w:rsidRPr="000455A5">
        <w:rPr>
          <w:sz w:val="24"/>
          <w:szCs w:val="24"/>
          <w:lang w:val="en-US" w:eastAsia="el-GR"/>
        </w:rPr>
        <w:t>posaconazole</w:t>
      </w:r>
      <w:proofErr w:type="spellEnd"/>
      <w:r w:rsidRPr="000455A5">
        <w:rPr>
          <w:sz w:val="24"/>
          <w:szCs w:val="24"/>
          <w:lang w:val="en-US" w:eastAsia="el-GR"/>
        </w:rPr>
        <w:t xml:space="preserve"> on sirolimus in patients is unknown, but is expected to be variable due to the variable </w:t>
      </w:r>
      <w:proofErr w:type="spellStart"/>
      <w:r w:rsidRPr="000455A5">
        <w:rPr>
          <w:sz w:val="24"/>
          <w:szCs w:val="24"/>
          <w:lang w:val="en-US" w:eastAsia="el-GR"/>
        </w:rPr>
        <w:t>posaconazole</w:t>
      </w:r>
      <w:proofErr w:type="spellEnd"/>
      <w:r w:rsidRPr="000455A5">
        <w:rPr>
          <w:sz w:val="24"/>
          <w:szCs w:val="24"/>
          <w:lang w:val="en-US" w:eastAsia="el-GR"/>
        </w:rPr>
        <w:t xml:space="preserve"> exposure in patients. Coadministration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with sirolimus is not recommended and should be avoided whenever possible. If it is considered that co-administration is unavoidable, then it is recommended that the dose of sirolimus should be greatly reduced at the time of initiation of </w:t>
      </w:r>
      <w:proofErr w:type="spellStart"/>
      <w:r w:rsidRPr="000455A5">
        <w:rPr>
          <w:sz w:val="24"/>
          <w:szCs w:val="24"/>
          <w:lang w:val="en-US" w:eastAsia="el-GR"/>
        </w:rPr>
        <w:t>posaconazole</w:t>
      </w:r>
      <w:proofErr w:type="spellEnd"/>
      <w:r w:rsidRPr="000455A5">
        <w:rPr>
          <w:sz w:val="24"/>
          <w:szCs w:val="24"/>
          <w:lang w:val="en-US" w:eastAsia="el-GR"/>
        </w:rPr>
        <w:t xml:space="preserve"> therapy and that there should be very frequent monitoring of trough concentrations of sirolimus in whole blood.</w:t>
      </w:r>
    </w:p>
    <w:p w14:paraId="38A8EB97" w14:textId="77777777" w:rsidR="00E60E27" w:rsidRPr="000455A5" w:rsidRDefault="00E60E27" w:rsidP="003649BE">
      <w:pPr>
        <w:ind w:left="851"/>
        <w:rPr>
          <w:sz w:val="24"/>
          <w:szCs w:val="24"/>
          <w:lang w:val="en-US" w:eastAsia="el-GR"/>
        </w:rPr>
      </w:pPr>
    </w:p>
    <w:p w14:paraId="0F64932A" w14:textId="3307432D" w:rsidR="00E84EB9" w:rsidRPr="000455A5" w:rsidRDefault="00E84EB9" w:rsidP="003649BE">
      <w:pPr>
        <w:ind w:left="851"/>
        <w:rPr>
          <w:sz w:val="24"/>
          <w:szCs w:val="24"/>
          <w:lang w:val="en-US" w:eastAsia="el-GR"/>
        </w:rPr>
      </w:pPr>
      <w:r w:rsidRPr="000455A5">
        <w:rPr>
          <w:sz w:val="24"/>
          <w:szCs w:val="24"/>
          <w:lang w:val="en-US" w:eastAsia="el-GR"/>
        </w:rPr>
        <w:t xml:space="preserve">Sirolimus concentrations should be measured upon initiation, during co-administration, and at discontinuation of </w:t>
      </w:r>
      <w:proofErr w:type="spellStart"/>
      <w:r w:rsidRPr="000455A5">
        <w:rPr>
          <w:sz w:val="24"/>
          <w:szCs w:val="24"/>
          <w:lang w:val="en-US" w:eastAsia="el-GR"/>
        </w:rPr>
        <w:t>posaconazole</w:t>
      </w:r>
      <w:proofErr w:type="spellEnd"/>
      <w:r w:rsidRPr="000455A5">
        <w:rPr>
          <w:sz w:val="24"/>
          <w:szCs w:val="24"/>
          <w:lang w:val="en-US" w:eastAsia="el-GR"/>
        </w:rPr>
        <w:t xml:space="preserve"> treatment, with sirolimus doses adjusted accordingly. It should be noted that the relationship between sirolimus trough concentration and AUC is changed during coadministration with </w:t>
      </w:r>
      <w:proofErr w:type="spellStart"/>
      <w:r w:rsidRPr="000455A5">
        <w:rPr>
          <w:sz w:val="24"/>
          <w:szCs w:val="24"/>
          <w:lang w:val="en-US" w:eastAsia="el-GR"/>
        </w:rPr>
        <w:t>posaconazole</w:t>
      </w:r>
      <w:proofErr w:type="spellEnd"/>
      <w:r w:rsidRPr="000455A5">
        <w:rPr>
          <w:sz w:val="24"/>
          <w:szCs w:val="24"/>
          <w:lang w:val="en-US" w:eastAsia="el-GR"/>
        </w:rPr>
        <w:t>. As a result, sirolimus trough concentrations that fall within the usual therapeutic range may result in sub-therapeutic levels. Therefore, trough concentrations that fall in the upper part of the usual therapeutic range should be targeted and careful attention should be paid to clinical signs and symptoms, laboratory parameters and tissue biopsies.</w:t>
      </w:r>
    </w:p>
    <w:p w14:paraId="206E7000" w14:textId="77777777" w:rsidR="00E84EB9" w:rsidRPr="000455A5" w:rsidRDefault="00E84EB9" w:rsidP="003649BE">
      <w:pPr>
        <w:ind w:left="851"/>
        <w:rPr>
          <w:sz w:val="24"/>
          <w:szCs w:val="24"/>
          <w:lang w:val="en-US" w:eastAsia="el-GR"/>
        </w:rPr>
      </w:pPr>
    </w:p>
    <w:p w14:paraId="47CB7D40" w14:textId="77777777" w:rsidR="00E84EB9" w:rsidRPr="000455A5" w:rsidRDefault="00E84EB9" w:rsidP="003649BE">
      <w:pPr>
        <w:ind w:left="851"/>
        <w:rPr>
          <w:i/>
          <w:sz w:val="24"/>
          <w:szCs w:val="24"/>
          <w:lang w:val="en-US" w:eastAsia="el-GR"/>
        </w:rPr>
      </w:pPr>
      <w:r w:rsidRPr="000455A5">
        <w:rPr>
          <w:i/>
          <w:sz w:val="24"/>
          <w:szCs w:val="24"/>
          <w:lang w:val="en-US" w:eastAsia="el-GR"/>
        </w:rPr>
        <w:t>Ciclosporin</w:t>
      </w:r>
    </w:p>
    <w:p w14:paraId="6490E481" w14:textId="77777777" w:rsidR="00E84EB9" w:rsidRPr="000455A5" w:rsidRDefault="00E84EB9" w:rsidP="003649BE">
      <w:pPr>
        <w:ind w:left="851"/>
        <w:rPr>
          <w:sz w:val="24"/>
          <w:szCs w:val="24"/>
          <w:lang w:val="en-US" w:eastAsia="el-GR"/>
        </w:rPr>
      </w:pPr>
      <w:r w:rsidRPr="000455A5">
        <w:rPr>
          <w:sz w:val="24"/>
          <w:szCs w:val="24"/>
          <w:lang w:val="en-US" w:eastAsia="el-GR"/>
        </w:rPr>
        <w:t xml:space="preserve">In heart transplant patients on stable doses of ciclosporin, </w:t>
      </w:r>
      <w:proofErr w:type="spellStart"/>
      <w:r w:rsidRPr="000455A5">
        <w:rPr>
          <w:sz w:val="24"/>
          <w:szCs w:val="24"/>
          <w:lang w:val="en-US" w:eastAsia="el-GR"/>
        </w:rPr>
        <w:t>posaconazole</w:t>
      </w:r>
      <w:proofErr w:type="spellEnd"/>
      <w:r w:rsidRPr="000455A5">
        <w:rPr>
          <w:sz w:val="24"/>
          <w:szCs w:val="24"/>
          <w:lang w:val="en-US" w:eastAsia="el-GR"/>
        </w:rPr>
        <w:t xml:space="preserve"> oral suspension 200 mg once daily increased ciclosporin concentrations requiring dose reductions. Cases of elevated ciclosporin levels resulting in serious adverse reactions, including nephrotoxicity and one fatal case of leukoencephalopathy, were reported in clinical efficacy studies. When initiating treatment with </w:t>
      </w:r>
      <w:proofErr w:type="spellStart"/>
      <w:r w:rsidRPr="000455A5">
        <w:rPr>
          <w:sz w:val="24"/>
          <w:szCs w:val="24"/>
          <w:lang w:val="en-US" w:eastAsia="el-GR"/>
        </w:rPr>
        <w:t>posaconazole</w:t>
      </w:r>
      <w:proofErr w:type="spellEnd"/>
      <w:r w:rsidRPr="000455A5">
        <w:rPr>
          <w:sz w:val="24"/>
          <w:szCs w:val="24"/>
          <w:lang w:val="en-US" w:eastAsia="el-GR"/>
        </w:rPr>
        <w:t xml:space="preserve"> in patients already receiving ciclosporin, the dose of ciclosporin should be reduced (e.g. to about three quarters of the current dose). Thereafter blood levels of ciclosporin should be monitored carefully during co-administration, and upon discontinuation of </w:t>
      </w:r>
      <w:proofErr w:type="spellStart"/>
      <w:r w:rsidRPr="000455A5">
        <w:rPr>
          <w:sz w:val="24"/>
          <w:szCs w:val="24"/>
          <w:lang w:val="en-US" w:eastAsia="el-GR"/>
        </w:rPr>
        <w:t>posaconazole</w:t>
      </w:r>
      <w:proofErr w:type="spellEnd"/>
      <w:r w:rsidRPr="000455A5">
        <w:rPr>
          <w:sz w:val="24"/>
          <w:szCs w:val="24"/>
          <w:lang w:val="en-US" w:eastAsia="el-GR"/>
        </w:rPr>
        <w:t xml:space="preserve"> treatment, and the dose of ciclosporin should be adjusted as necessary.</w:t>
      </w:r>
    </w:p>
    <w:p w14:paraId="259B040E" w14:textId="77777777" w:rsidR="00E84EB9" w:rsidRPr="000455A5" w:rsidRDefault="00E84EB9" w:rsidP="003649BE">
      <w:pPr>
        <w:ind w:left="851"/>
        <w:rPr>
          <w:sz w:val="24"/>
          <w:szCs w:val="24"/>
          <w:lang w:val="en-US" w:eastAsia="el-GR"/>
        </w:rPr>
      </w:pPr>
    </w:p>
    <w:p w14:paraId="46F742BC" w14:textId="77777777" w:rsidR="00E84EB9" w:rsidRPr="000455A5" w:rsidRDefault="00E84EB9" w:rsidP="003649BE">
      <w:pPr>
        <w:ind w:left="851"/>
        <w:rPr>
          <w:i/>
          <w:sz w:val="24"/>
          <w:szCs w:val="24"/>
          <w:lang w:val="en-US" w:eastAsia="el-GR"/>
        </w:rPr>
      </w:pPr>
      <w:r w:rsidRPr="000455A5">
        <w:rPr>
          <w:i/>
          <w:sz w:val="24"/>
          <w:szCs w:val="24"/>
          <w:lang w:val="en-US" w:eastAsia="el-GR"/>
        </w:rPr>
        <w:t>Tacrolimus</w:t>
      </w:r>
    </w:p>
    <w:p w14:paraId="16C8023D" w14:textId="436CF78D" w:rsidR="00E84EB9" w:rsidRPr="000455A5" w:rsidRDefault="00E84EB9"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increased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and AUC of tacrolimus (0.05 mg/kg body weight single dose) by 121</w:t>
      </w:r>
      <w:r w:rsidR="00435221">
        <w:rPr>
          <w:sz w:val="24"/>
          <w:szCs w:val="24"/>
          <w:lang w:val="en-US" w:eastAsia="el-GR"/>
        </w:rPr>
        <w:t xml:space="preserve"> %</w:t>
      </w:r>
      <w:r w:rsidRPr="000455A5">
        <w:rPr>
          <w:sz w:val="24"/>
          <w:szCs w:val="24"/>
          <w:lang w:val="en-US" w:eastAsia="el-GR"/>
        </w:rPr>
        <w:t xml:space="preserve"> and 358</w:t>
      </w:r>
      <w:r w:rsidR="00435221">
        <w:rPr>
          <w:sz w:val="24"/>
          <w:szCs w:val="24"/>
          <w:lang w:val="en-US" w:eastAsia="el-GR"/>
        </w:rPr>
        <w:t xml:space="preserve"> %</w:t>
      </w:r>
      <w:r w:rsidRPr="000455A5">
        <w:rPr>
          <w:sz w:val="24"/>
          <w:szCs w:val="24"/>
          <w:lang w:val="en-US" w:eastAsia="el-GR"/>
        </w:rPr>
        <w:t xml:space="preserve">, respectively. Clinically significant interactions resulting in </w:t>
      </w:r>
      <w:proofErr w:type="spellStart"/>
      <w:r w:rsidRPr="000455A5">
        <w:rPr>
          <w:sz w:val="24"/>
          <w:szCs w:val="24"/>
          <w:lang w:val="en-US" w:eastAsia="el-GR"/>
        </w:rPr>
        <w:t>hospitalisation</w:t>
      </w:r>
      <w:proofErr w:type="spellEnd"/>
      <w:r w:rsidRPr="000455A5">
        <w:rPr>
          <w:sz w:val="24"/>
          <w:szCs w:val="24"/>
          <w:lang w:val="en-US" w:eastAsia="el-GR"/>
        </w:rPr>
        <w:t xml:space="preserve"> and/or </w:t>
      </w:r>
      <w:proofErr w:type="spellStart"/>
      <w:r w:rsidRPr="000455A5">
        <w:rPr>
          <w:sz w:val="24"/>
          <w:szCs w:val="24"/>
          <w:lang w:val="en-US" w:eastAsia="el-GR"/>
        </w:rPr>
        <w:t>posaconazole</w:t>
      </w:r>
      <w:proofErr w:type="spellEnd"/>
      <w:r w:rsidRPr="000455A5">
        <w:rPr>
          <w:sz w:val="24"/>
          <w:szCs w:val="24"/>
          <w:lang w:val="en-US" w:eastAsia="el-GR"/>
        </w:rPr>
        <w:t xml:space="preserve"> discontinuation were reported in clinical efficacy studies. When initiating </w:t>
      </w:r>
      <w:proofErr w:type="spellStart"/>
      <w:r w:rsidRPr="000455A5">
        <w:rPr>
          <w:sz w:val="24"/>
          <w:szCs w:val="24"/>
          <w:lang w:val="en-US" w:eastAsia="el-GR"/>
        </w:rPr>
        <w:t>posaconazole</w:t>
      </w:r>
      <w:proofErr w:type="spellEnd"/>
      <w:r w:rsidRPr="000455A5">
        <w:rPr>
          <w:sz w:val="24"/>
          <w:szCs w:val="24"/>
          <w:lang w:val="en-US" w:eastAsia="el-GR"/>
        </w:rPr>
        <w:t xml:space="preserve"> treatment in patients already receiving tacrolimus, the dose of tacrolimus should be reduced (e.g. to about one third of the current dose). Thereafter blood levels of tacrolimus should be monitored carefully during co-administration, and upon discontinuation of </w:t>
      </w:r>
      <w:proofErr w:type="spellStart"/>
      <w:r w:rsidRPr="000455A5">
        <w:rPr>
          <w:sz w:val="24"/>
          <w:szCs w:val="24"/>
          <w:lang w:val="en-US" w:eastAsia="el-GR"/>
        </w:rPr>
        <w:t>posaconazole</w:t>
      </w:r>
      <w:proofErr w:type="spellEnd"/>
      <w:r w:rsidRPr="000455A5">
        <w:rPr>
          <w:sz w:val="24"/>
          <w:szCs w:val="24"/>
          <w:lang w:val="en-US" w:eastAsia="el-GR"/>
        </w:rPr>
        <w:t>, and the dose of tacrolimus should be adjusted as necessary.</w:t>
      </w:r>
    </w:p>
    <w:p w14:paraId="120A8CC5" w14:textId="77777777" w:rsidR="00E84EB9" w:rsidRPr="000455A5" w:rsidRDefault="00E84EB9" w:rsidP="003649BE">
      <w:pPr>
        <w:ind w:left="851"/>
        <w:rPr>
          <w:i/>
          <w:sz w:val="24"/>
          <w:szCs w:val="24"/>
          <w:lang w:val="en-US" w:eastAsia="el-GR"/>
        </w:rPr>
      </w:pPr>
    </w:p>
    <w:p w14:paraId="39C7144B" w14:textId="77777777" w:rsidR="00E84EB9" w:rsidRPr="000455A5" w:rsidRDefault="00E84EB9" w:rsidP="003649BE">
      <w:pPr>
        <w:ind w:left="851"/>
        <w:rPr>
          <w:i/>
          <w:sz w:val="24"/>
          <w:szCs w:val="24"/>
          <w:lang w:val="en-US" w:eastAsia="el-GR"/>
        </w:rPr>
      </w:pPr>
      <w:r w:rsidRPr="000455A5">
        <w:rPr>
          <w:i/>
          <w:sz w:val="24"/>
          <w:szCs w:val="24"/>
          <w:lang w:val="en-US" w:eastAsia="el-GR"/>
        </w:rPr>
        <w:t>HIV Protease inhibitors</w:t>
      </w:r>
    </w:p>
    <w:p w14:paraId="256259F7" w14:textId="77777777" w:rsidR="00E84EB9" w:rsidRPr="000455A5" w:rsidRDefault="00E84EB9" w:rsidP="003649BE">
      <w:pPr>
        <w:ind w:left="851"/>
        <w:rPr>
          <w:sz w:val="24"/>
          <w:szCs w:val="24"/>
          <w:lang w:val="en-US" w:eastAsia="el-GR"/>
        </w:rPr>
      </w:pPr>
      <w:r w:rsidRPr="000455A5">
        <w:rPr>
          <w:sz w:val="24"/>
          <w:szCs w:val="24"/>
          <w:lang w:val="en-US" w:eastAsia="el-GR"/>
        </w:rPr>
        <w:t xml:space="preserve">As HIV protease inhibitors are CYP3A4 substrates, it is expected that </w:t>
      </w:r>
      <w:proofErr w:type="spellStart"/>
      <w:r w:rsidRPr="000455A5">
        <w:rPr>
          <w:sz w:val="24"/>
          <w:szCs w:val="24"/>
          <w:lang w:val="en-US" w:eastAsia="el-GR"/>
        </w:rPr>
        <w:t>posaconazole</w:t>
      </w:r>
      <w:proofErr w:type="spellEnd"/>
      <w:r w:rsidRPr="000455A5">
        <w:rPr>
          <w:sz w:val="24"/>
          <w:szCs w:val="24"/>
          <w:lang w:val="en-US" w:eastAsia="el-GR"/>
        </w:rPr>
        <w:t xml:space="preserve"> will increase plasma levels of these antiretroviral agents. Following co-administration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oral suspension (400 mg twice daily) with atazanavir (300 mg once daily) for 7 days in healthy subjects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vertAlign w:val="subscript"/>
          <w:lang w:val="en-US" w:eastAsia="el-GR"/>
        </w:rPr>
        <w:t xml:space="preserve"> </w:t>
      </w:r>
      <w:r w:rsidRPr="000455A5">
        <w:rPr>
          <w:sz w:val="24"/>
          <w:szCs w:val="24"/>
          <w:lang w:val="en-US" w:eastAsia="el-GR"/>
        </w:rPr>
        <w:t xml:space="preserve">and AUC of atazanavir increased by an average of 2.6-fold and 3.7-fold (range 1.2 to 26-fold), respectively. Following co-administration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oral suspension (400 mg twice daily) with atazanavir and ritonavir (300/100 mg once daily) for 7 days in healthy subjects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and AUC of atazanavir increased by an average of 1.5-fold and 2.5-fold (range 0.9 to 4.1-fold), respectively. The addition of </w:t>
      </w:r>
      <w:proofErr w:type="spellStart"/>
      <w:r w:rsidRPr="000455A5">
        <w:rPr>
          <w:sz w:val="24"/>
          <w:szCs w:val="24"/>
          <w:lang w:val="en-US" w:eastAsia="el-GR"/>
        </w:rPr>
        <w:t>posaconazole</w:t>
      </w:r>
      <w:proofErr w:type="spellEnd"/>
      <w:r w:rsidRPr="000455A5">
        <w:rPr>
          <w:sz w:val="24"/>
          <w:szCs w:val="24"/>
          <w:lang w:val="en-US" w:eastAsia="el-GR"/>
        </w:rPr>
        <w:t xml:space="preserve"> to therapy with atazanavir or with atazanavir plus ritonavir was associated with increases in plasma bilirubin levels. Frequent monitoring for adverse reactions and toxicity related to antiretroviral agents that are substrates of CYP3A4 is recommended during co-administration with </w:t>
      </w:r>
      <w:proofErr w:type="spellStart"/>
      <w:r w:rsidRPr="000455A5">
        <w:rPr>
          <w:sz w:val="24"/>
          <w:szCs w:val="24"/>
          <w:lang w:val="en-US" w:eastAsia="el-GR"/>
        </w:rPr>
        <w:t>posaconazole</w:t>
      </w:r>
      <w:proofErr w:type="spellEnd"/>
      <w:r w:rsidRPr="000455A5">
        <w:rPr>
          <w:sz w:val="24"/>
          <w:szCs w:val="24"/>
          <w:lang w:val="en-US" w:eastAsia="el-GR"/>
        </w:rPr>
        <w:t>.</w:t>
      </w:r>
    </w:p>
    <w:p w14:paraId="49220E9B" w14:textId="77777777" w:rsidR="00E84EB9" w:rsidRPr="000455A5" w:rsidRDefault="00E84EB9" w:rsidP="003649BE">
      <w:pPr>
        <w:ind w:left="851"/>
        <w:rPr>
          <w:sz w:val="24"/>
          <w:szCs w:val="24"/>
          <w:lang w:val="en-US" w:eastAsia="el-GR"/>
        </w:rPr>
      </w:pPr>
    </w:p>
    <w:p w14:paraId="3A971ACA" w14:textId="77777777" w:rsidR="00E84EB9" w:rsidRPr="000455A5" w:rsidRDefault="00E84EB9" w:rsidP="003649BE">
      <w:pPr>
        <w:ind w:left="851"/>
        <w:rPr>
          <w:i/>
          <w:sz w:val="24"/>
          <w:szCs w:val="24"/>
          <w:lang w:val="en-US" w:eastAsia="el-GR"/>
        </w:rPr>
      </w:pPr>
      <w:r w:rsidRPr="000455A5">
        <w:rPr>
          <w:i/>
          <w:sz w:val="24"/>
          <w:szCs w:val="24"/>
          <w:lang w:val="en-US" w:eastAsia="el-GR"/>
        </w:rPr>
        <w:t xml:space="preserve">Midazolam and other benzodiazepines </w:t>
      </w:r>
      <w:proofErr w:type="spellStart"/>
      <w:r w:rsidRPr="000455A5">
        <w:rPr>
          <w:i/>
          <w:sz w:val="24"/>
          <w:szCs w:val="24"/>
          <w:lang w:val="en-US" w:eastAsia="el-GR"/>
        </w:rPr>
        <w:t>metabolised</w:t>
      </w:r>
      <w:proofErr w:type="spellEnd"/>
      <w:r w:rsidRPr="000455A5">
        <w:rPr>
          <w:i/>
          <w:sz w:val="24"/>
          <w:szCs w:val="24"/>
          <w:lang w:val="en-US" w:eastAsia="el-GR"/>
        </w:rPr>
        <w:t xml:space="preserve"> by CYP3A4</w:t>
      </w:r>
    </w:p>
    <w:p w14:paraId="51EB7FFD" w14:textId="30870A0C" w:rsidR="00E84EB9" w:rsidRPr="000455A5" w:rsidRDefault="00E84EB9" w:rsidP="003649BE">
      <w:pPr>
        <w:ind w:left="851"/>
        <w:rPr>
          <w:sz w:val="24"/>
          <w:szCs w:val="24"/>
          <w:lang w:val="en-US" w:eastAsia="el-GR"/>
        </w:rPr>
      </w:pPr>
      <w:r w:rsidRPr="000455A5">
        <w:rPr>
          <w:sz w:val="24"/>
          <w:szCs w:val="24"/>
          <w:lang w:val="en-US" w:eastAsia="el-GR"/>
        </w:rPr>
        <w:t xml:space="preserve">In a study in healthy volunteers </w:t>
      </w:r>
      <w:proofErr w:type="spellStart"/>
      <w:r w:rsidRPr="000455A5">
        <w:rPr>
          <w:sz w:val="24"/>
          <w:szCs w:val="24"/>
          <w:lang w:val="en-US" w:eastAsia="el-GR"/>
        </w:rPr>
        <w:t>posaconazole</w:t>
      </w:r>
      <w:proofErr w:type="spellEnd"/>
      <w:r w:rsidRPr="000455A5">
        <w:rPr>
          <w:sz w:val="24"/>
          <w:szCs w:val="24"/>
          <w:lang w:val="en-US" w:eastAsia="el-GR"/>
        </w:rPr>
        <w:t xml:space="preserve"> oral suspension (200 mg once daily for 10 days) increased the exposure (AUC) of intravenous midazolam (0.05 mg/kg) by 83</w:t>
      </w:r>
      <w:r w:rsidR="00435221">
        <w:rPr>
          <w:sz w:val="24"/>
          <w:szCs w:val="24"/>
          <w:lang w:val="en-US" w:eastAsia="el-GR"/>
        </w:rPr>
        <w:t xml:space="preserve"> %</w:t>
      </w:r>
      <w:r w:rsidRPr="000455A5">
        <w:rPr>
          <w:sz w:val="24"/>
          <w:szCs w:val="24"/>
          <w:lang w:val="en-US" w:eastAsia="el-GR"/>
        </w:rPr>
        <w:t xml:space="preserve">. In another study in healthy volunteers, repeat dose 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oral suspension (200 mg twice daily for 7 days) increased the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vertAlign w:val="subscript"/>
          <w:lang w:val="en-US" w:eastAsia="el-GR"/>
        </w:rPr>
        <w:t xml:space="preserve"> </w:t>
      </w:r>
      <w:r w:rsidRPr="000455A5">
        <w:rPr>
          <w:sz w:val="24"/>
          <w:szCs w:val="24"/>
          <w:lang w:val="en-US" w:eastAsia="el-GR"/>
        </w:rPr>
        <w:t xml:space="preserve">and AUC of intravenous midazolam (0.4 mg single dose) by an average of 1.3- and 4.6-fold (range 1.7 to 6.4-fold), respectively; </w:t>
      </w:r>
      <w:proofErr w:type="spellStart"/>
      <w:r w:rsidRPr="000455A5">
        <w:rPr>
          <w:sz w:val="24"/>
          <w:szCs w:val="24"/>
          <w:lang w:val="en-US" w:eastAsia="el-GR"/>
        </w:rPr>
        <w:t>Posaconazole</w:t>
      </w:r>
      <w:proofErr w:type="spellEnd"/>
      <w:r w:rsidRPr="000455A5">
        <w:rPr>
          <w:sz w:val="24"/>
          <w:szCs w:val="24"/>
          <w:lang w:val="en-US" w:eastAsia="el-GR"/>
        </w:rPr>
        <w:t xml:space="preserve"> oral suspension 400 mg twice daily for 7 days increased the intravenous midazolam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and AUC by 1.6 and 6.2-fold (range 1.6 to 7.6-fold), respectively. Both doses of </w:t>
      </w:r>
      <w:proofErr w:type="spellStart"/>
      <w:r w:rsidRPr="000455A5">
        <w:rPr>
          <w:sz w:val="24"/>
          <w:szCs w:val="24"/>
          <w:lang w:val="en-US" w:eastAsia="el-GR"/>
        </w:rPr>
        <w:t>posaconazole</w:t>
      </w:r>
      <w:proofErr w:type="spellEnd"/>
      <w:r w:rsidRPr="000455A5">
        <w:rPr>
          <w:sz w:val="24"/>
          <w:szCs w:val="24"/>
          <w:lang w:val="en-US" w:eastAsia="el-GR"/>
        </w:rPr>
        <w:t xml:space="preserve"> increased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and AUC of oral midazolam (2 mg single oral dose) by 2.2 and 4.5-fold, respectively. In addition, </w:t>
      </w:r>
      <w:proofErr w:type="spellStart"/>
      <w:r w:rsidRPr="000455A5">
        <w:rPr>
          <w:sz w:val="24"/>
          <w:szCs w:val="24"/>
          <w:lang w:val="en-US" w:eastAsia="el-GR"/>
        </w:rPr>
        <w:t>posaconazole</w:t>
      </w:r>
      <w:proofErr w:type="spellEnd"/>
      <w:r w:rsidRPr="000455A5">
        <w:rPr>
          <w:sz w:val="24"/>
          <w:szCs w:val="24"/>
          <w:lang w:val="en-US" w:eastAsia="el-GR"/>
        </w:rPr>
        <w:t xml:space="preserve"> oral suspension (200 mg or 400 mg) prolonged the mean terminal half-life of midazolam from approximately 3-4 hours to 8-10 hours during co-administration.</w:t>
      </w:r>
    </w:p>
    <w:p w14:paraId="17199E20" w14:textId="77777777" w:rsidR="004C02E2" w:rsidRPr="000455A5" w:rsidRDefault="004C02E2" w:rsidP="003649BE">
      <w:pPr>
        <w:ind w:left="851"/>
        <w:rPr>
          <w:sz w:val="24"/>
          <w:szCs w:val="24"/>
          <w:lang w:val="en-US" w:eastAsia="el-GR"/>
        </w:rPr>
      </w:pPr>
    </w:p>
    <w:p w14:paraId="5299E71F" w14:textId="4CEC0F73" w:rsidR="00E84EB9" w:rsidRPr="000455A5" w:rsidRDefault="00E84EB9" w:rsidP="003649BE">
      <w:pPr>
        <w:ind w:left="851"/>
        <w:rPr>
          <w:sz w:val="24"/>
          <w:szCs w:val="24"/>
          <w:lang w:val="en-US" w:eastAsia="el-GR"/>
        </w:rPr>
      </w:pPr>
      <w:r w:rsidRPr="000455A5">
        <w:rPr>
          <w:sz w:val="24"/>
          <w:szCs w:val="24"/>
          <w:lang w:val="en-US" w:eastAsia="el-GR"/>
        </w:rPr>
        <w:t xml:space="preserve">Due to the risk of prolonged sedation it is recommended that dose adjustments should be considered when </w:t>
      </w:r>
      <w:proofErr w:type="spellStart"/>
      <w:r w:rsidRPr="000455A5">
        <w:rPr>
          <w:sz w:val="24"/>
          <w:szCs w:val="24"/>
          <w:lang w:val="en-US" w:eastAsia="el-GR"/>
        </w:rPr>
        <w:t>posaconazole</w:t>
      </w:r>
      <w:proofErr w:type="spellEnd"/>
      <w:r w:rsidRPr="000455A5">
        <w:rPr>
          <w:sz w:val="24"/>
          <w:szCs w:val="24"/>
          <w:lang w:val="en-US" w:eastAsia="el-GR"/>
        </w:rPr>
        <w:t xml:space="preserve"> is administered concomitantly with any benzodiazepine that is </w:t>
      </w:r>
      <w:proofErr w:type="spellStart"/>
      <w:r w:rsidRPr="000455A5">
        <w:rPr>
          <w:sz w:val="24"/>
          <w:szCs w:val="24"/>
          <w:lang w:val="en-US" w:eastAsia="el-GR"/>
        </w:rPr>
        <w:t>metabolised</w:t>
      </w:r>
      <w:proofErr w:type="spellEnd"/>
      <w:r w:rsidRPr="000455A5">
        <w:rPr>
          <w:sz w:val="24"/>
          <w:szCs w:val="24"/>
          <w:lang w:val="en-US" w:eastAsia="el-GR"/>
        </w:rPr>
        <w:t xml:space="preserve"> by CYP3A4 (e.g. midazolam, triazolam, alprazolam) (see section 4.4).</w:t>
      </w:r>
    </w:p>
    <w:p w14:paraId="754484C6" w14:textId="77777777" w:rsidR="00E84EB9" w:rsidRPr="000455A5" w:rsidRDefault="00E84EB9" w:rsidP="003649BE">
      <w:pPr>
        <w:ind w:left="851"/>
        <w:rPr>
          <w:sz w:val="24"/>
          <w:szCs w:val="24"/>
          <w:lang w:val="en-US" w:eastAsia="el-GR"/>
        </w:rPr>
      </w:pPr>
    </w:p>
    <w:p w14:paraId="60A68B13" w14:textId="77777777" w:rsidR="00E84EB9" w:rsidRPr="000455A5" w:rsidRDefault="00E84EB9" w:rsidP="003649BE">
      <w:pPr>
        <w:ind w:left="851"/>
        <w:rPr>
          <w:i/>
          <w:sz w:val="24"/>
          <w:szCs w:val="24"/>
          <w:lang w:val="en-US" w:eastAsia="el-GR"/>
        </w:rPr>
      </w:pPr>
      <w:r w:rsidRPr="000455A5">
        <w:rPr>
          <w:i/>
          <w:sz w:val="24"/>
          <w:szCs w:val="24"/>
          <w:lang w:val="en-US" w:eastAsia="el-GR"/>
        </w:rPr>
        <w:t xml:space="preserve">Calcium channel blockers </w:t>
      </w:r>
      <w:proofErr w:type="spellStart"/>
      <w:r w:rsidRPr="000455A5">
        <w:rPr>
          <w:i/>
          <w:sz w:val="24"/>
          <w:szCs w:val="24"/>
          <w:lang w:val="en-US" w:eastAsia="el-GR"/>
        </w:rPr>
        <w:t>metabolised</w:t>
      </w:r>
      <w:proofErr w:type="spellEnd"/>
      <w:r w:rsidRPr="000455A5">
        <w:rPr>
          <w:i/>
          <w:sz w:val="24"/>
          <w:szCs w:val="24"/>
          <w:lang w:val="en-US" w:eastAsia="el-GR"/>
        </w:rPr>
        <w:t xml:space="preserve"> through CYP3A4 (e.g. diltiazem, verapamil, nifedipine, </w:t>
      </w:r>
      <w:proofErr w:type="spellStart"/>
      <w:r w:rsidRPr="000455A5">
        <w:rPr>
          <w:i/>
          <w:sz w:val="24"/>
          <w:szCs w:val="24"/>
          <w:lang w:val="en-US" w:eastAsia="el-GR"/>
        </w:rPr>
        <w:t>nisoldipine</w:t>
      </w:r>
      <w:proofErr w:type="spellEnd"/>
      <w:r w:rsidRPr="000455A5">
        <w:rPr>
          <w:i/>
          <w:sz w:val="24"/>
          <w:szCs w:val="24"/>
          <w:lang w:val="en-US" w:eastAsia="el-GR"/>
        </w:rPr>
        <w:t>)</w:t>
      </w:r>
    </w:p>
    <w:p w14:paraId="70324E83" w14:textId="77777777" w:rsidR="00E84EB9" w:rsidRPr="000455A5" w:rsidRDefault="00E84EB9" w:rsidP="003649BE">
      <w:pPr>
        <w:ind w:left="851"/>
        <w:rPr>
          <w:sz w:val="24"/>
          <w:szCs w:val="24"/>
          <w:lang w:val="en-US" w:eastAsia="el-GR"/>
        </w:rPr>
      </w:pPr>
      <w:r w:rsidRPr="000455A5">
        <w:rPr>
          <w:sz w:val="24"/>
          <w:szCs w:val="24"/>
          <w:lang w:val="en-US" w:eastAsia="el-GR"/>
        </w:rPr>
        <w:t xml:space="preserve">Frequent monitoring for adverse reactions and toxicity related to calcium channel blockers is recommended during co-administration with </w:t>
      </w:r>
      <w:proofErr w:type="spellStart"/>
      <w:r w:rsidRPr="000455A5">
        <w:rPr>
          <w:sz w:val="24"/>
          <w:szCs w:val="24"/>
          <w:lang w:val="en-US" w:eastAsia="el-GR"/>
        </w:rPr>
        <w:t>posaconazole</w:t>
      </w:r>
      <w:proofErr w:type="spellEnd"/>
      <w:r w:rsidRPr="000455A5">
        <w:rPr>
          <w:sz w:val="24"/>
          <w:szCs w:val="24"/>
          <w:lang w:val="en-US" w:eastAsia="el-GR"/>
        </w:rPr>
        <w:t>. Dose adjustment of calcium channel blockers may be required.</w:t>
      </w:r>
    </w:p>
    <w:p w14:paraId="54FAE609" w14:textId="77777777" w:rsidR="00E84EB9" w:rsidRPr="000455A5" w:rsidRDefault="00E84EB9" w:rsidP="003649BE">
      <w:pPr>
        <w:ind w:left="851"/>
        <w:rPr>
          <w:sz w:val="24"/>
          <w:szCs w:val="24"/>
          <w:lang w:val="en-US" w:eastAsia="el-GR"/>
        </w:rPr>
      </w:pPr>
    </w:p>
    <w:p w14:paraId="3857B738" w14:textId="77777777" w:rsidR="00E84EB9" w:rsidRPr="000455A5" w:rsidRDefault="00E84EB9" w:rsidP="003649BE">
      <w:pPr>
        <w:ind w:left="851"/>
        <w:rPr>
          <w:i/>
          <w:sz w:val="24"/>
          <w:szCs w:val="24"/>
          <w:lang w:val="en-US" w:eastAsia="el-GR"/>
        </w:rPr>
      </w:pPr>
      <w:r w:rsidRPr="000455A5">
        <w:rPr>
          <w:i/>
          <w:sz w:val="24"/>
          <w:szCs w:val="24"/>
          <w:lang w:val="en-US" w:eastAsia="el-GR"/>
        </w:rPr>
        <w:t>Digoxin</w:t>
      </w:r>
    </w:p>
    <w:p w14:paraId="181CB1EB" w14:textId="77777777" w:rsidR="00E84EB9" w:rsidRPr="000455A5" w:rsidRDefault="00E84EB9" w:rsidP="003649BE">
      <w:pPr>
        <w:ind w:left="851"/>
        <w:rPr>
          <w:sz w:val="24"/>
          <w:szCs w:val="24"/>
          <w:lang w:val="en-US" w:eastAsia="el-GR"/>
        </w:rPr>
      </w:pPr>
      <w:r w:rsidRPr="000455A5">
        <w:rPr>
          <w:sz w:val="24"/>
          <w:szCs w:val="24"/>
          <w:lang w:val="en-US" w:eastAsia="el-GR"/>
        </w:rPr>
        <w:t xml:space="preserve">Administration of other azoles has been associated with increases in digoxin levels. Therefore, </w:t>
      </w:r>
      <w:proofErr w:type="spellStart"/>
      <w:r w:rsidRPr="000455A5">
        <w:rPr>
          <w:sz w:val="24"/>
          <w:szCs w:val="24"/>
          <w:lang w:val="en-US" w:eastAsia="el-GR"/>
        </w:rPr>
        <w:t>posaconazole</w:t>
      </w:r>
      <w:proofErr w:type="spellEnd"/>
      <w:r w:rsidRPr="000455A5">
        <w:rPr>
          <w:sz w:val="24"/>
          <w:szCs w:val="24"/>
          <w:lang w:val="en-US" w:eastAsia="el-GR"/>
        </w:rPr>
        <w:t xml:space="preserve"> may increase plasma concentration of digoxin and digoxin levels need to be monitored when initiating or discontinuing </w:t>
      </w:r>
      <w:proofErr w:type="spellStart"/>
      <w:r w:rsidRPr="000455A5">
        <w:rPr>
          <w:sz w:val="24"/>
          <w:szCs w:val="24"/>
          <w:lang w:val="en-US" w:eastAsia="el-GR"/>
        </w:rPr>
        <w:t>posaconazole</w:t>
      </w:r>
      <w:proofErr w:type="spellEnd"/>
      <w:r w:rsidRPr="000455A5">
        <w:rPr>
          <w:sz w:val="24"/>
          <w:szCs w:val="24"/>
          <w:lang w:val="en-US" w:eastAsia="el-GR"/>
        </w:rPr>
        <w:t xml:space="preserve"> treatment.</w:t>
      </w:r>
    </w:p>
    <w:p w14:paraId="1FE23E4B" w14:textId="77777777" w:rsidR="00E84EB9" w:rsidRPr="000455A5" w:rsidRDefault="00E84EB9" w:rsidP="003649BE">
      <w:pPr>
        <w:ind w:left="851"/>
        <w:rPr>
          <w:sz w:val="24"/>
          <w:szCs w:val="24"/>
          <w:lang w:val="en-US" w:eastAsia="el-GR"/>
        </w:rPr>
      </w:pPr>
    </w:p>
    <w:p w14:paraId="457C8662" w14:textId="77777777" w:rsidR="00E84EB9" w:rsidRPr="000455A5" w:rsidRDefault="00E84EB9" w:rsidP="003649BE">
      <w:pPr>
        <w:ind w:left="851"/>
        <w:rPr>
          <w:i/>
          <w:sz w:val="24"/>
          <w:szCs w:val="24"/>
          <w:lang w:val="en-US" w:eastAsia="el-GR"/>
        </w:rPr>
      </w:pPr>
      <w:r w:rsidRPr="000455A5">
        <w:rPr>
          <w:i/>
          <w:sz w:val="24"/>
          <w:szCs w:val="24"/>
          <w:lang w:val="en-US" w:eastAsia="el-GR"/>
        </w:rPr>
        <w:t>Sulfonylureas</w:t>
      </w:r>
    </w:p>
    <w:p w14:paraId="553C2DD9" w14:textId="77777777" w:rsidR="00E84EB9" w:rsidRPr="000455A5" w:rsidRDefault="00E84EB9" w:rsidP="003649BE">
      <w:pPr>
        <w:ind w:left="851"/>
        <w:rPr>
          <w:sz w:val="24"/>
          <w:szCs w:val="24"/>
          <w:lang w:val="en-US" w:eastAsia="el-GR"/>
        </w:rPr>
      </w:pPr>
      <w:r w:rsidRPr="000455A5">
        <w:rPr>
          <w:sz w:val="24"/>
          <w:szCs w:val="24"/>
          <w:lang w:val="en-US" w:eastAsia="el-GR"/>
        </w:rPr>
        <w:t xml:space="preserve">Glucose concentrations decreased in some healthy volunteers when glipizide was co-administered with </w:t>
      </w:r>
      <w:proofErr w:type="spellStart"/>
      <w:r w:rsidRPr="000455A5">
        <w:rPr>
          <w:sz w:val="24"/>
          <w:szCs w:val="24"/>
          <w:lang w:val="en-US" w:eastAsia="el-GR"/>
        </w:rPr>
        <w:t>posaconazole</w:t>
      </w:r>
      <w:proofErr w:type="spellEnd"/>
      <w:r w:rsidRPr="000455A5">
        <w:rPr>
          <w:sz w:val="24"/>
          <w:szCs w:val="24"/>
          <w:lang w:val="en-US" w:eastAsia="el-GR"/>
        </w:rPr>
        <w:t>. Monitoring of glucose concentrations is recommended in diabetic patients.</w:t>
      </w:r>
    </w:p>
    <w:p w14:paraId="00B7CC48" w14:textId="77777777" w:rsidR="00E84EB9" w:rsidRPr="000455A5" w:rsidRDefault="00E84EB9" w:rsidP="003649BE">
      <w:pPr>
        <w:ind w:left="851"/>
        <w:rPr>
          <w:sz w:val="24"/>
          <w:szCs w:val="24"/>
          <w:lang w:val="en-US" w:eastAsia="el-GR"/>
        </w:rPr>
      </w:pPr>
    </w:p>
    <w:p w14:paraId="26248F98" w14:textId="77777777" w:rsidR="00E84EB9" w:rsidRPr="000455A5" w:rsidRDefault="00E84EB9" w:rsidP="003649BE">
      <w:pPr>
        <w:ind w:left="851"/>
        <w:rPr>
          <w:i/>
          <w:sz w:val="24"/>
          <w:szCs w:val="24"/>
          <w:lang w:val="en-US" w:eastAsia="el-GR"/>
        </w:rPr>
      </w:pPr>
      <w:r w:rsidRPr="000455A5">
        <w:rPr>
          <w:i/>
          <w:sz w:val="24"/>
          <w:szCs w:val="24"/>
          <w:lang w:val="en-US" w:eastAsia="el-GR"/>
        </w:rPr>
        <w:t>All-trans retinoic acid (ATRA) or tretinoin</w:t>
      </w:r>
    </w:p>
    <w:p w14:paraId="63A57EDA" w14:textId="77777777" w:rsidR="00E84EB9" w:rsidRPr="000455A5" w:rsidRDefault="00E84EB9" w:rsidP="003649BE">
      <w:pPr>
        <w:ind w:left="851"/>
        <w:rPr>
          <w:sz w:val="24"/>
          <w:szCs w:val="24"/>
          <w:lang w:val="en-US" w:eastAsia="el-GR"/>
        </w:rPr>
      </w:pPr>
      <w:r w:rsidRPr="000455A5">
        <w:rPr>
          <w:sz w:val="24"/>
          <w:szCs w:val="24"/>
          <w:lang w:val="en-US" w:eastAsia="el-GR"/>
        </w:rPr>
        <w:t xml:space="preserve">As ATRA is </w:t>
      </w:r>
      <w:proofErr w:type="spellStart"/>
      <w:r w:rsidRPr="000455A5">
        <w:rPr>
          <w:sz w:val="24"/>
          <w:szCs w:val="24"/>
          <w:lang w:val="en-US" w:eastAsia="el-GR"/>
        </w:rPr>
        <w:t>metabolised</w:t>
      </w:r>
      <w:proofErr w:type="spellEnd"/>
      <w:r w:rsidRPr="000455A5">
        <w:rPr>
          <w:sz w:val="24"/>
          <w:szCs w:val="24"/>
          <w:lang w:val="en-US" w:eastAsia="el-GR"/>
        </w:rPr>
        <w:t xml:space="preserve"> by the hepatic CYP450 enzymes, notably CYP3A4, concomitant</w:t>
      </w:r>
    </w:p>
    <w:p w14:paraId="5F006538" w14:textId="7B40A617" w:rsidR="00E84EB9" w:rsidRDefault="00E84EB9" w:rsidP="003649BE">
      <w:pPr>
        <w:ind w:left="851"/>
        <w:rPr>
          <w:sz w:val="24"/>
          <w:szCs w:val="24"/>
          <w:lang w:val="en-US" w:eastAsia="el-GR"/>
        </w:rPr>
      </w:pPr>
      <w:r w:rsidRPr="000455A5">
        <w:rPr>
          <w:sz w:val="24"/>
          <w:szCs w:val="24"/>
          <w:lang w:val="en-US" w:eastAsia="el-GR"/>
        </w:rPr>
        <w:t xml:space="preserve">administration with </w:t>
      </w:r>
      <w:proofErr w:type="spellStart"/>
      <w:r w:rsidRPr="000455A5">
        <w:rPr>
          <w:sz w:val="24"/>
          <w:szCs w:val="24"/>
          <w:lang w:val="en-US" w:eastAsia="el-GR"/>
        </w:rPr>
        <w:t>posaconazole</w:t>
      </w:r>
      <w:proofErr w:type="spellEnd"/>
      <w:r w:rsidRPr="000455A5">
        <w:rPr>
          <w:sz w:val="24"/>
          <w:szCs w:val="24"/>
          <w:lang w:val="en-US" w:eastAsia="el-GR"/>
        </w:rPr>
        <w:t xml:space="preserve">, which is a strong inhibitor of CYP3A4, may lead to increased exposure to tretinoin resulting in an increased toxicity (especially </w:t>
      </w:r>
      <w:proofErr w:type="spellStart"/>
      <w:r w:rsidRPr="000455A5">
        <w:rPr>
          <w:sz w:val="24"/>
          <w:szCs w:val="24"/>
          <w:lang w:val="en-US" w:eastAsia="el-GR"/>
        </w:rPr>
        <w:t>hypercalcaemia</w:t>
      </w:r>
      <w:proofErr w:type="spellEnd"/>
      <w:r w:rsidRPr="000455A5">
        <w:rPr>
          <w:sz w:val="24"/>
          <w:szCs w:val="24"/>
          <w:lang w:val="en-US" w:eastAsia="el-GR"/>
        </w:rPr>
        <w:t xml:space="preserve">). Serum calcium levels should be monitored and, if needed, appropriate dose adjustments of tretinoin should be considered during the treatment with </w:t>
      </w:r>
      <w:proofErr w:type="spellStart"/>
      <w:r w:rsidRPr="000455A5">
        <w:rPr>
          <w:sz w:val="24"/>
          <w:szCs w:val="24"/>
          <w:lang w:val="en-US" w:eastAsia="el-GR"/>
        </w:rPr>
        <w:t>posaconazole</w:t>
      </w:r>
      <w:proofErr w:type="spellEnd"/>
      <w:r w:rsidRPr="000455A5">
        <w:rPr>
          <w:sz w:val="24"/>
          <w:szCs w:val="24"/>
          <w:lang w:val="en-US" w:eastAsia="el-GR"/>
        </w:rPr>
        <w:t>, and during the following days after treatment.</w:t>
      </w:r>
    </w:p>
    <w:p w14:paraId="7A30A8BA" w14:textId="37C5E8D3" w:rsidR="0072629F" w:rsidRPr="005E5A3B" w:rsidRDefault="0072629F" w:rsidP="005E5A3B">
      <w:pPr>
        <w:ind w:left="851"/>
        <w:rPr>
          <w:sz w:val="24"/>
          <w:szCs w:val="24"/>
          <w:lang w:val="en-US" w:eastAsia="el-GR"/>
        </w:rPr>
      </w:pPr>
    </w:p>
    <w:p w14:paraId="6703D38C" w14:textId="77777777" w:rsidR="0072629F" w:rsidRPr="005E5A3B" w:rsidRDefault="0072629F" w:rsidP="005E5A3B">
      <w:pPr>
        <w:ind w:left="851"/>
        <w:rPr>
          <w:sz w:val="24"/>
          <w:szCs w:val="24"/>
          <w:u w:val="single"/>
          <w:lang w:val="en-US" w:eastAsia="el-GR"/>
        </w:rPr>
      </w:pPr>
      <w:proofErr w:type="spellStart"/>
      <w:r w:rsidRPr="005E5A3B">
        <w:rPr>
          <w:sz w:val="24"/>
          <w:szCs w:val="24"/>
          <w:u w:val="single"/>
          <w:lang w:val="en-US" w:eastAsia="el-GR"/>
        </w:rPr>
        <w:t>Venetoclax</w:t>
      </w:r>
      <w:proofErr w:type="spellEnd"/>
    </w:p>
    <w:p w14:paraId="18D77D6D" w14:textId="77777777" w:rsidR="0072629F" w:rsidRPr="005E5A3B" w:rsidRDefault="0072629F" w:rsidP="005E5A3B">
      <w:pPr>
        <w:pStyle w:val="Brdtekst"/>
        <w:ind w:left="851"/>
        <w:jc w:val="left"/>
      </w:pPr>
      <w:r w:rsidRPr="005E5A3B">
        <w:t xml:space="preserve">Compared with </w:t>
      </w:r>
      <w:proofErr w:type="spellStart"/>
      <w:r w:rsidRPr="005E5A3B">
        <w:t>venetoclax</w:t>
      </w:r>
      <w:proofErr w:type="spellEnd"/>
      <w:r w:rsidRPr="005E5A3B">
        <w:t xml:space="preserve"> 400 mg administered alone, co-administration of 300 mg </w:t>
      </w:r>
      <w:proofErr w:type="spellStart"/>
      <w:r w:rsidRPr="005E5A3B">
        <w:t>posaconazole</w:t>
      </w:r>
      <w:proofErr w:type="spellEnd"/>
      <w:r w:rsidRPr="005E5A3B">
        <w:t xml:space="preserve">, a strong CYP3A inhibitor, with </w:t>
      </w:r>
      <w:proofErr w:type="spellStart"/>
      <w:r w:rsidRPr="005E5A3B">
        <w:t>venetoclax</w:t>
      </w:r>
      <w:proofErr w:type="spellEnd"/>
      <w:r w:rsidRPr="005E5A3B">
        <w:t xml:space="preserve"> 50 mg and 100 mg for 7 days in 12 patients, increased </w:t>
      </w:r>
      <w:proofErr w:type="spellStart"/>
      <w:r w:rsidRPr="005E5A3B">
        <w:t>venetoclax</w:t>
      </w:r>
      <w:proofErr w:type="spellEnd"/>
      <w:r w:rsidRPr="005E5A3B">
        <w:t xml:space="preserve"> </w:t>
      </w:r>
      <w:proofErr w:type="spellStart"/>
      <w:r w:rsidRPr="005E5A3B">
        <w:t>C</w:t>
      </w:r>
      <w:r w:rsidRPr="005E5A3B">
        <w:rPr>
          <w:vertAlign w:val="subscript"/>
        </w:rPr>
        <w:t>max</w:t>
      </w:r>
      <w:proofErr w:type="spellEnd"/>
      <w:r w:rsidRPr="005E5A3B">
        <w:t xml:space="preserve"> to 1.6-fold and 1.9-fold, and AUC to 1.9-fold and 2.4-fold, respectively (see sections 4.3 and 4.4).</w:t>
      </w:r>
    </w:p>
    <w:p w14:paraId="1DF370BA" w14:textId="77777777" w:rsidR="0072629F" w:rsidRPr="005E5A3B" w:rsidRDefault="0072629F" w:rsidP="005E5A3B">
      <w:pPr>
        <w:pStyle w:val="Brdtekst"/>
        <w:ind w:left="851"/>
        <w:jc w:val="left"/>
      </w:pPr>
      <w:r w:rsidRPr="005E5A3B">
        <w:t xml:space="preserve">Refer to the </w:t>
      </w:r>
      <w:proofErr w:type="spellStart"/>
      <w:r w:rsidRPr="005E5A3B">
        <w:t>venetoclax</w:t>
      </w:r>
      <w:proofErr w:type="spellEnd"/>
      <w:r w:rsidRPr="005E5A3B">
        <w:t xml:space="preserve"> SmPC.</w:t>
      </w:r>
    </w:p>
    <w:p w14:paraId="2D380CC8" w14:textId="77777777" w:rsidR="00E84EB9" w:rsidRPr="000455A5" w:rsidRDefault="00E84EB9" w:rsidP="003649BE">
      <w:pPr>
        <w:ind w:left="851"/>
        <w:rPr>
          <w:sz w:val="24"/>
          <w:szCs w:val="24"/>
          <w:lang w:val="en-US" w:eastAsia="el-GR"/>
        </w:rPr>
      </w:pPr>
    </w:p>
    <w:p w14:paraId="5A4F1CA9"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Paediatric population</w:t>
      </w:r>
    </w:p>
    <w:p w14:paraId="280B6E97" w14:textId="77777777" w:rsidR="00E84EB9" w:rsidRPr="000455A5" w:rsidRDefault="00E84EB9" w:rsidP="003649BE">
      <w:pPr>
        <w:ind w:left="851"/>
        <w:rPr>
          <w:sz w:val="24"/>
          <w:szCs w:val="24"/>
          <w:lang w:val="en-US" w:eastAsia="el-GR"/>
        </w:rPr>
      </w:pPr>
      <w:r w:rsidRPr="000455A5">
        <w:rPr>
          <w:sz w:val="24"/>
          <w:szCs w:val="24"/>
          <w:lang w:val="en-US" w:eastAsia="el-GR"/>
        </w:rPr>
        <w:t>Interaction studies have only been performed in adults.</w:t>
      </w:r>
    </w:p>
    <w:p w14:paraId="2BCC3562" w14:textId="77777777" w:rsidR="007C5D2A" w:rsidRPr="000455A5" w:rsidRDefault="007C5D2A" w:rsidP="003E0341">
      <w:pPr>
        <w:tabs>
          <w:tab w:val="left" w:pos="851"/>
        </w:tabs>
        <w:ind w:left="851"/>
        <w:rPr>
          <w:sz w:val="24"/>
          <w:szCs w:val="24"/>
          <w:lang w:val="en-GB"/>
        </w:rPr>
      </w:pPr>
    </w:p>
    <w:p w14:paraId="5AA752A9" w14:textId="77777777" w:rsidR="007C5D2A" w:rsidRPr="000455A5" w:rsidRDefault="007C5D2A" w:rsidP="007C5D2A">
      <w:pPr>
        <w:tabs>
          <w:tab w:val="left" w:pos="851"/>
        </w:tabs>
        <w:ind w:left="851" w:hanging="851"/>
        <w:rPr>
          <w:b/>
          <w:sz w:val="24"/>
          <w:szCs w:val="24"/>
          <w:lang w:val="en-GB"/>
        </w:rPr>
      </w:pPr>
      <w:r w:rsidRPr="000455A5">
        <w:rPr>
          <w:b/>
          <w:sz w:val="24"/>
          <w:szCs w:val="24"/>
          <w:lang w:val="en-GB"/>
        </w:rPr>
        <w:t>4.6</w:t>
      </w:r>
      <w:r w:rsidRPr="000455A5">
        <w:rPr>
          <w:b/>
          <w:sz w:val="24"/>
          <w:szCs w:val="24"/>
          <w:lang w:val="en-GB"/>
        </w:rPr>
        <w:tab/>
      </w:r>
      <w:r w:rsidR="004860D3" w:rsidRPr="000455A5">
        <w:rPr>
          <w:b/>
          <w:sz w:val="24"/>
          <w:szCs w:val="24"/>
          <w:lang w:val="en-GB"/>
        </w:rPr>
        <w:t>Fertility, p</w:t>
      </w:r>
      <w:r w:rsidRPr="000455A5">
        <w:rPr>
          <w:b/>
          <w:sz w:val="24"/>
          <w:szCs w:val="24"/>
          <w:lang w:val="en-GB"/>
        </w:rPr>
        <w:t>regnancy and lactation</w:t>
      </w:r>
    </w:p>
    <w:p w14:paraId="39DA3C10" w14:textId="77777777" w:rsidR="00A057B9" w:rsidRPr="000455A5" w:rsidRDefault="00A057B9" w:rsidP="003649BE">
      <w:pPr>
        <w:ind w:left="851"/>
        <w:rPr>
          <w:sz w:val="24"/>
          <w:szCs w:val="24"/>
          <w:lang w:val="en-US" w:eastAsia="el-GR"/>
        </w:rPr>
      </w:pPr>
    </w:p>
    <w:p w14:paraId="22DB34D8" w14:textId="17447F74" w:rsidR="00E84EB9" w:rsidRPr="000455A5" w:rsidRDefault="00E84EB9" w:rsidP="003649BE">
      <w:pPr>
        <w:ind w:left="851"/>
        <w:rPr>
          <w:sz w:val="24"/>
          <w:szCs w:val="24"/>
          <w:u w:val="single"/>
          <w:lang w:val="en-US" w:eastAsia="el-GR"/>
        </w:rPr>
      </w:pPr>
      <w:r w:rsidRPr="000455A5">
        <w:rPr>
          <w:sz w:val="24"/>
          <w:szCs w:val="24"/>
          <w:u w:val="single"/>
          <w:lang w:val="en-US" w:eastAsia="el-GR"/>
        </w:rPr>
        <w:t>Pregnancy</w:t>
      </w:r>
    </w:p>
    <w:p w14:paraId="4E86FA97" w14:textId="77777777" w:rsidR="00E84EB9" w:rsidRPr="000455A5" w:rsidRDefault="00E84EB9" w:rsidP="003649BE">
      <w:pPr>
        <w:ind w:left="851"/>
        <w:rPr>
          <w:sz w:val="24"/>
          <w:szCs w:val="24"/>
          <w:lang w:val="en-US" w:eastAsia="el-GR"/>
        </w:rPr>
      </w:pPr>
      <w:r w:rsidRPr="000455A5">
        <w:rPr>
          <w:sz w:val="24"/>
          <w:szCs w:val="24"/>
          <w:lang w:val="en-US" w:eastAsia="el-GR"/>
        </w:rPr>
        <w:t xml:space="preserve">There is insufficient information on the use of </w:t>
      </w:r>
      <w:proofErr w:type="spellStart"/>
      <w:r w:rsidRPr="000455A5">
        <w:rPr>
          <w:sz w:val="24"/>
          <w:szCs w:val="24"/>
          <w:lang w:val="en-US" w:eastAsia="el-GR"/>
        </w:rPr>
        <w:t>posaconazole</w:t>
      </w:r>
      <w:proofErr w:type="spellEnd"/>
      <w:r w:rsidRPr="000455A5">
        <w:rPr>
          <w:sz w:val="24"/>
          <w:szCs w:val="24"/>
          <w:lang w:val="en-US" w:eastAsia="el-GR"/>
        </w:rPr>
        <w:t xml:space="preserve"> in pregnant women. Studies in animals have shown reproductive toxicity (see section 5.3). The potential risk for humans is unknown.</w:t>
      </w:r>
    </w:p>
    <w:p w14:paraId="2B484E92" w14:textId="48C38569" w:rsidR="00E84EB9" w:rsidRPr="000455A5" w:rsidRDefault="00E84EB9" w:rsidP="003649BE">
      <w:pPr>
        <w:ind w:left="851"/>
        <w:rPr>
          <w:sz w:val="24"/>
          <w:szCs w:val="24"/>
          <w:lang w:val="en-US" w:eastAsia="el-GR"/>
        </w:rPr>
      </w:pPr>
      <w:r w:rsidRPr="000455A5">
        <w:rPr>
          <w:sz w:val="24"/>
          <w:szCs w:val="24"/>
          <w:lang w:val="en-US" w:eastAsia="el-GR"/>
        </w:rPr>
        <w:t xml:space="preserve">Women of childbearing potential have to use effective contraception during treatment. </w:t>
      </w:r>
      <w:proofErr w:type="spellStart"/>
      <w:r w:rsidR="000455A5">
        <w:rPr>
          <w:sz w:val="24"/>
          <w:szCs w:val="24"/>
          <w:lang w:val="en-US" w:eastAsia="el-GR"/>
        </w:rPr>
        <w:t>Posaconazol</w:t>
      </w:r>
      <w:proofErr w:type="spellEnd"/>
      <w:r w:rsidR="000455A5">
        <w:rPr>
          <w:sz w:val="24"/>
          <w:szCs w:val="24"/>
          <w:lang w:val="en-US" w:eastAsia="el-GR"/>
        </w:rPr>
        <w:t xml:space="preserve"> "Teva B.V."</w:t>
      </w:r>
      <w:r w:rsidRPr="000455A5">
        <w:rPr>
          <w:sz w:val="24"/>
          <w:szCs w:val="24"/>
          <w:lang w:val="en-US" w:eastAsia="el-GR"/>
        </w:rPr>
        <w:t xml:space="preserve"> must not be used during pregnancy unless the benefit to the mother clearly outweighs the potential risk to the </w:t>
      </w:r>
      <w:proofErr w:type="spellStart"/>
      <w:r w:rsidRPr="000455A5">
        <w:rPr>
          <w:sz w:val="24"/>
          <w:szCs w:val="24"/>
          <w:lang w:val="en-US" w:eastAsia="el-GR"/>
        </w:rPr>
        <w:t>foetus</w:t>
      </w:r>
      <w:proofErr w:type="spellEnd"/>
      <w:r w:rsidRPr="000455A5">
        <w:rPr>
          <w:sz w:val="24"/>
          <w:szCs w:val="24"/>
          <w:lang w:val="en-US" w:eastAsia="el-GR"/>
        </w:rPr>
        <w:t>.</w:t>
      </w:r>
    </w:p>
    <w:p w14:paraId="0FFAF71B" w14:textId="77777777" w:rsidR="00E84EB9" w:rsidRPr="000455A5" w:rsidRDefault="00E84EB9" w:rsidP="003649BE">
      <w:pPr>
        <w:ind w:left="851"/>
        <w:rPr>
          <w:sz w:val="24"/>
          <w:szCs w:val="24"/>
          <w:lang w:val="en-US" w:eastAsia="el-GR"/>
        </w:rPr>
      </w:pPr>
    </w:p>
    <w:p w14:paraId="29E685E6"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Breast-feeding</w:t>
      </w:r>
    </w:p>
    <w:p w14:paraId="522B923E" w14:textId="0EC0237A" w:rsidR="00E84EB9" w:rsidRPr="000455A5" w:rsidRDefault="00E84EB9"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is excreted into the milk of lactating rats (see section 5.3). The excretion of</w:t>
      </w:r>
      <w:r w:rsidR="005E5A3B">
        <w:rPr>
          <w:sz w:val="24"/>
          <w:szCs w:val="24"/>
          <w:lang w:val="en-US" w:eastAsia="el-GR"/>
        </w:rPr>
        <w:t xml:space="preserve"> </w:t>
      </w:r>
      <w:proofErr w:type="spellStart"/>
      <w:r w:rsidRPr="000455A5">
        <w:rPr>
          <w:sz w:val="24"/>
          <w:szCs w:val="24"/>
          <w:lang w:val="en-US" w:eastAsia="el-GR"/>
        </w:rPr>
        <w:t>posaconazole</w:t>
      </w:r>
      <w:proofErr w:type="spellEnd"/>
      <w:r w:rsidRPr="000455A5">
        <w:rPr>
          <w:sz w:val="24"/>
          <w:szCs w:val="24"/>
          <w:lang w:val="en-US" w:eastAsia="el-GR"/>
        </w:rPr>
        <w:t xml:space="preserve"> in human breast milk has not been investigated. Breast-feeding must be stopped on initiation of treatment with </w:t>
      </w:r>
      <w:proofErr w:type="spellStart"/>
      <w:r w:rsidRPr="000455A5">
        <w:rPr>
          <w:sz w:val="24"/>
          <w:szCs w:val="24"/>
          <w:lang w:val="en-US" w:eastAsia="el-GR"/>
        </w:rPr>
        <w:t>posaconazole</w:t>
      </w:r>
      <w:proofErr w:type="spellEnd"/>
      <w:r w:rsidRPr="000455A5">
        <w:rPr>
          <w:sz w:val="24"/>
          <w:szCs w:val="24"/>
          <w:lang w:val="en-US" w:eastAsia="el-GR"/>
        </w:rPr>
        <w:t>.</w:t>
      </w:r>
    </w:p>
    <w:p w14:paraId="6C963674" w14:textId="77777777" w:rsidR="00E84EB9" w:rsidRPr="000455A5" w:rsidRDefault="00E84EB9" w:rsidP="003649BE">
      <w:pPr>
        <w:ind w:left="851"/>
        <w:rPr>
          <w:sz w:val="24"/>
          <w:szCs w:val="24"/>
          <w:lang w:val="en-US" w:eastAsia="el-GR"/>
        </w:rPr>
      </w:pPr>
    </w:p>
    <w:p w14:paraId="59B3E97D"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Fertility</w:t>
      </w:r>
    </w:p>
    <w:p w14:paraId="6611493C" w14:textId="77777777" w:rsidR="00E84EB9" w:rsidRPr="000455A5" w:rsidRDefault="00E84EB9"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had no effect on fertility of male rats at doses up to 180 mg/kg (1.7 times the 400-mg twice daily regimen based on steady-state plasma concentrations in healthy volunteers) or female rats at a dose up to 45 mg/kg (2.2 times the 400-mg twice daily regimen). There is no clinical experience assessing the impact of </w:t>
      </w:r>
      <w:proofErr w:type="spellStart"/>
      <w:r w:rsidRPr="000455A5">
        <w:rPr>
          <w:sz w:val="24"/>
          <w:szCs w:val="24"/>
          <w:lang w:val="en-US" w:eastAsia="el-GR"/>
        </w:rPr>
        <w:t>posaconazole</w:t>
      </w:r>
      <w:proofErr w:type="spellEnd"/>
      <w:r w:rsidRPr="000455A5">
        <w:rPr>
          <w:sz w:val="24"/>
          <w:szCs w:val="24"/>
          <w:lang w:val="en-US" w:eastAsia="el-GR"/>
        </w:rPr>
        <w:t xml:space="preserve"> on fertility in humans.</w:t>
      </w:r>
    </w:p>
    <w:p w14:paraId="0749166D" w14:textId="77777777" w:rsidR="007C5D2A" w:rsidRPr="000455A5" w:rsidRDefault="007C5D2A" w:rsidP="003E0341">
      <w:pPr>
        <w:tabs>
          <w:tab w:val="left" w:pos="851"/>
        </w:tabs>
        <w:ind w:left="851"/>
        <w:rPr>
          <w:sz w:val="24"/>
          <w:szCs w:val="24"/>
          <w:lang w:val="en-GB"/>
        </w:rPr>
      </w:pPr>
    </w:p>
    <w:p w14:paraId="19EE140A" w14:textId="77777777" w:rsidR="007C5D2A" w:rsidRPr="000455A5" w:rsidRDefault="007C5D2A" w:rsidP="007C5D2A">
      <w:pPr>
        <w:tabs>
          <w:tab w:val="left" w:pos="851"/>
        </w:tabs>
        <w:ind w:left="851" w:hanging="851"/>
        <w:rPr>
          <w:b/>
          <w:sz w:val="24"/>
          <w:szCs w:val="24"/>
          <w:lang w:val="en-GB"/>
        </w:rPr>
      </w:pPr>
      <w:r w:rsidRPr="000455A5">
        <w:rPr>
          <w:b/>
          <w:sz w:val="24"/>
          <w:szCs w:val="24"/>
          <w:lang w:val="en-GB"/>
        </w:rPr>
        <w:t>4.7</w:t>
      </w:r>
      <w:r w:rsidRPr="000455A5">
        <w:rPr>
          <w:b/>
          <w:sz w:val="24"/>
          <w:szCs w:val="24"/>
          <w:lang w:val="en-GB"/>
        </w:rPr>
        <w:tab/>
        <w:t>Effects on ability to drive and use machines</w:t>
      </w:r>
    </w:p>
    <w:p w14:paraId="5D837F33" w14:textId="0E1F4343" w:rsidR="007C5D2A" w:rsidRPr="000455A5" w:rsidRDefault="0016496D" w:rsidP="003649BE">
      <w:pPr>
        <w:ind w:left="851"/>
        <w:rPr>
          <w:sz w:val="24"/>
          <w:szCs w:val="24"/>
          <w:lang w:val="en-GB"/>
        </w:rPr>
      </w:pPr>
      <w:r w:rsidRPr="000455A5">
        <w:rPr>
          <w:sz w:val="24"/>
          <w:szCs w:val="24"/>
          <w:lang w:val="en-GB"/>
        </w:rPr>
        <w:t>No traffic warning.</w:t>
      </w:r>
    </w:p>
    <w:p w14:paraId="3A2E256A" w14:textId="77777777" w:rsidR="00E84EB9" w:rsidRPr="000455A5" w:rsidRDefault="00E84EB9" w:rsidP="003649BE">
      <w:pPr>
        <w:ind w:left="851"/>
        <w:rPr>
          <w:sz w:val="24"/>
          <w:szCs w:val="24"/>
          <w:lang w:val="en-US" w:eastAsia="el-GR"/>
        </w:rPr>
      </w:pPr>
      <w:r w:rsidRPr="000455A5">
        <w:rPr>
          <w:sz w:val="24"/>
          <w:szCs w:val="24"/>
          <w:lang w:val="en-US" w:eastAsia="el-GR"/>
        </w:rPr>
        <w:t xml:space="preserve">Since certain adverse reactions (e.g. dizziness, somnolence, etc.) have been reported with </w:t>
      </w:r>
      <w:proofErr w:type="spellStart"/>
      <w:r w:rsidRPr="000455A5">
        <w:rPr>
          <w:sz w:val="24"/>
          <w:szCs w:val="24"/>
          <w:lang w:val="en-US" w:eastAsia="el-GR"/>
        </w:rPr>
        <w:t>posaconazole</w:t>
      </w:r>
      <w:proofErr w:type="spellEnd"/>
      <w:r w:rsidRPr="000455A5">
        <w:rPr>
          <w:sz w:val="24"/>
          <w:szCs w:val="24"/>
          <w:lang w:val="en-US" w:eastAsia="el-GR"/>
        </w:rPr>
        <w:t xml:space="preserve"> use, which potentially may affect driving/operating machinery, caution needs to be used.</w:t>
      </w:r>
    </w:p>
    <w:p w14:paraId="18B3B0E1" w14:textId="77777777" w:rsidR="007C5D2A" w:rsidRPr="000455A5" w:rsidRDefault="007C5D2A" w:rsidP="003E0341">
      <w:pPr>
        <w:tabs>
          <w:tab w:val="left" w:pos="851"/>
        </w:tabs>
        <w:ind w:left="851"/>
        <w:rPr>
          <w:sz w:val="24"/>
          <w:szCs w:val="24"/>
          <w:lang w:val="en-GB"/>
        </w:rPr>
      </w:pPr>
    </w:p>
    <w:p w14:paraId="40956A0D" w14:textId="77777777" w:rsidR="007C5D2A" w:rsidRPr="000455A5" w:rsidRDefault="007C5D2A" w:rsidP="007C5D2A">
      <w:pPr>
        <w:tabs>
          <w:tab w:val="left" w:pos="851"/>
        </w:tabs>
        <w:ind w:left="851" w:hanging="851"/>
        <w:rPr>
          <w:b/>
          <w:sz w:val="24"/>
          <w:szCs w:val="24"/>
          <w:lang w:val="en-GB"/>
        </w:rPr>
      </w:pPr>
      <w:r w:rsidRPr="000455A5">
        <w:rPr>
          <w:b/>
          <w:sz w:val="24"/>
          <w:szCs w:val="24"/>
          <w:lang w:val="en-GB"/>
        </w:rPr>
        <w:t>4.8</w:t>
      </w:r>
      <w:r w:rsidRPr="000455A5">
        <w:rPr>
          <w:b/>
          <w:sz w:val="24"/>
          <w:szCs w:val="24"/>
          <w:lang w:val="en-GB"/>
        </w:rPr>
        <w:tab/>
        <w:t>Undesirable effects</w:t>
      </w:r>
    </w:p>
    <w:p w14:paraId="6CF23A07" w14:textId="77777777" w:rsidR="00B30F9A" w:rsidRPr="000455A5" w:rsidRDefault="00B30F9A" w:rsidP="003649BE">
      <w:pPr>
        <w:ind w:left="851"/>
        <w:rPr>
          <w:sz w:val="24"/>
          <w:szCs w:val="24"/>
          <w:lang w:val="en-US" w:eastAsia="el-GR"/>
        </w:rPr>
      </w:pPr>
    </w:p>
    <w:p w14:paraId="0C68F0CB" w14:textId="4B934CB3" w:rsidR="00E84EB9" w:rsidRPr="000455A5" w:rsidRDefault="00E84EB9" w:rsidP="003649BE">
      <w:pPr>
        <w:ind w:left="851"/>
        <w:rPr>
          <w:sz w:val="24"/>
          <w:szCs w:val="24"/>
          <w:u w:val="single"/>
          <w:lang w:val="en-US" w:eastAsia="el-GR"/>
        </w:rPr>
      </w:pPr>
      <w:r w:rsidRPr="000455A5">
        <w:rPr>
          <w:sz w:val="24"/>
          <w:szCs w:val="24"/>
          <w:u w:val="single"/>
          <w:lang w:val="en-US" w:eastAsia="el-GR"/>
        </w:rPr>
        <w:t>Summary of the safety profile</w:t>
      </w:r>
    </w:p>
    <w:p w14:paraId="25B21953" w14:textId="77777777" w:rsidR="0072629F" w:rsidRPr="005E5A3B" w:rsidRDefault="0072629F" w:rsidP="005E5A3B">
      <w:pPr>
        <w:ind w:left="851"/>
        <w:rPr>
          <w:sz w:val="24"/>
          <w:szCs w:val="24"/>
          <w:lang w:val="en-US" w:eastAsia="el-GR"/>
        </w:rPr>
      </w:pPr>
      <w:r w:rsidRPr="005E5A3B">
        <w:rPr>
          <w:sz w:val="24"/>
          <w:szCs w:val="24"/>
          <w:lang w:val="en-US" w:eastAsia="el-GR"/>
        </w:rPr>
        <w:t xml:space="preserve">The safety of </w:t>
      </w:r>
      <w:proofErr w:type="spellStart"/>
      <w:r w:rsidRPr="005E5A3B">
        <w:rPr>
          <w:sz w:val="24"/>
          <w:szCs w:val="24"/>
          <w:lang w:val="en-US" w:eastAsia="el-GR"/>
        </w:rPr>
        <w:t>posaconazole</w:t>
      </w:r>
      <w:proofErr w:type="spellEnd"/>
      <w:r w:rsidRPr="005E5A3B">
        <w:rPr>
          <w:sz w:val="24"/>
          <w:szCs w:val="24"/>
          <w:lang w:val="en-US" w:eastAsia="el-GR"/>
        </w:rPr>
        <w:t xml:space="preserve"> oral suspension has been assessed in &gt; 2,400 patients and healthy volunteers enrolled in clinical studies and from post-marketing experience. The most frequently reported serious related adverse reactions included nausea, vomiting, </w:t>
      </w:r>
      <w:proofErr w:type="spellStart"/>
      <w:r w:rsidRPr="005E5A3B">
        <w:rPr>
          <w:sz w:val="24"/>
          <w:szCs w:val="24"/>
          <w:lang w:val="en-US" w:eastAsia="el-GR"/>
        </w:rPr>
        <w:t>diarrhoea</w:t>
      </w:r>
      <w:proofErr w:type="spellEnd"/>
      <w:r w:rsidRPr="005E5A3B">
        <w:rPr>
          <w:sz w:val="24"/>
          <w:szCs w:val="24"/>
          <w:lang w:val="en-US" w:eastAsia="el-GR"/>
        </w:rPr>
        <w:t>, pyrexia, and increased bilirubin.</w:t>
      </w:r>
    </w:p>
    <w:p w14:paraId="75151102" w14:textId="77777777" w:rsidR="00E84EB9" w:rsidRPr="005E5A3B" w:rsidRDefault="00E84EB9" w:rsidP="005E5A3B">
      <w:pPr>
        <w:ind w:left="851"/>
        <w:rPr>
          <w:sz w:val="24"/>
          <w:szCs w:val="24"/>
          <w:lang w:val="en-US" w:eastAsia="el-GR"/>
        </w:rPr>
      </w:pPr>
    </w:p>
    <w:p w14:paraId="443A7F79"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Tabulated list of adverse reactions</w:t>
      </w:r>
    </w:p>
    <w:p w14:paraId="133927A4" w14:textId="77777777" w:rsidR="00E84EB9" w:rsidRPr="006D6779" w:rsidRDefault="00E84EB9" w:rsidP="003649BE">
      <w:pPr>
        <w:ind w:left="851"/>
        <w:rPr>
          <w:sz w:val="24"/>
          <w:szCs w:val="24"/>
          <w:lang w:val="en-US"/>
        </w:rPr>
      </w:pPr>
      <w:r w:rsidRPr="006D6779">
        <w:rPr>
          <w:sz w:val="24"/>
          <w:szCs w:val="24"/>
          <w:lang w:val="en-US"/>
        </w:rPr>
        <w:t>Within the organ system classes, adverse reactions are listed under headings of frequency using the following categories: very common (≥1/10); common (≥1/100 to &lt;1/10); uncommon (≥1/1,000 to &lt;1/100); rare (≥ 1/10,000 to &lt;1/1,000); very rare (&lt;1/10,000); not known (cannot be estimated from the available data).</w:t>
      </w:r>
    </w:p>
    <w:p w14:paraId="3A7E1326" w14:textId="77777777" w:rsidR="00E84EB9" w:rsidRPr="000455A5" w:rsidRDefault="00E84EB9" w:rsidP="00B30F9A">
      <w:pPr>
        <w:suppressAutoHyphens/>
        <w:rPr>
          <w:sz w:val="24"/>
          <w:szCs w:val="24"/>
          <w:lang w:val="en-US" w:eastAsia="el-GR"/>
        </w:rPr>
      </w:pPr>
    </w:p>
    <w:p w14:paraId="64132624" w14:textId="644DA9B2" w:rsidR="00E84EB9" w:rsidRPr="000455A5" w:rsidRDefault="00E84EB9" w:rsidP="003649BE">
      <w:pPr>
        <w:ind w:left="851"/>
        <w:rPr>
          <w:b/>
          <w:sz w:val="24"/>
          <w:szCs w:val="24"/>
          <w:lang w:val="en-US" w:eastAsia="el-GR"/>
        </w:rPr>
      </w:pPr>
      <w:r w:rsidRPr="000455A5">
        <w:rPr>
          <w:b/>
          <w:sz w:val="24"/>
          <w:szCs w:val="24"/>
          <w:lang w:val="en-US" w:eastAsia="el-GR"/>
        </w:rPr>
        <w:t>Table 2</w:t>
      </w:r>
      <w:r w:rsidR="003649BE" w:rsidRPr="000455A5">
        <w:rPr>
          <w:b/>
          <w:sz w:val="24"/>
          <w:szCs w:val="24"/>
          <w:lang w:val="en-US" w:eastAsia="el-GR"/>
        </w:rPr>
        <w:t xml:space="preserve">. </w:t>
      </w:r>
      <w:r w:rsidRPr="000455A5">
        <w:rPr>
          <w:b/>
          <w:sz w:val="24"/>
          <w:szCs w:val="24"/>
          <w:lang w:val="en-US" w:eastAsia="el-GR"/>
        </w:rPr>
        <w:t xml:space="preserve">Adverse reactions by body system and frequency reported in clinical </w:t>
      </w:r>
      <w:r w:rsidR="0072629F" w:rsidRPr="0072629F">
        <w:rPr>
          <w:b/>
          <w:szCs w:val="24"/>
          <w:lang w:val="en-US" w:eastAsia="el-GR"/>
        </w:rPr>
        <w:t>studies</w:t>
      </w:r>
      <w:r w:rsidRPr="000455A5">
        <w:rPr>
          <w:b/>
          <w:sz w:val="24"/>
          <w:szCs w:val="24"/>
          <w:lang w:val="en-US" w:eastAsia="el-GR"/>
        </w:rPr>
        <w:t xml:space="preserve"> and/or post-marketing use*</w:t>
      </w:r>
    </w:p>
    <w:tbl>
      <w:tblPr>
        <w:tblStyle w:val="Tabel-Gitter"/>
        <w:tblW w:w="9242" w:type="dxa"/>
        <w:tblInd w:w="846" w:type="dxa"/>
        <w:tblCellMar>
          <w:left w:w="85" w:type="dxa"/>
          <w:right w:w="85" w:type="dxa"/>
        </w:tblCellMar>
        <w:tblLook w:val="04A0" w:firstRow="1" w:lastRow="0" w:firstColumn="1" w:lastColumn="0" w:noHBand="0" w:noVBand="1"/>
      </w:tblPr>
      <w:tblGrid>
        <w:gridCol w:w="3227"/>
        <w:gridCol w:w="6015"/>
      </w:tblGrid>
      <w:tr w:rsidR="00093056" w:rsidRPr="00BD3F6B" w14:paraId="35A61ED3" w14:textId="77777777" w:rsidTr="00464950">
        <w:tc>
          <w:tcPr>
            <w:tcW w:w="9242" w:type="dxa"/>
            <w:gridSpan w:val="2"/>
            <w:tcBorders>
              <w:top w:val="single" w:sz="4" w:space="0" w:color="auto"/>
              <w:left w:val="single" w:sz="4" w:space="0" w:color="auto"/>
              <w:bottom w:val="nil"/>
              <w:right w:val="single" w:sz="4" w:space="0" w:color="auto"/>
            </w:tcBorders>
            <w:hideMark/>
          </w:tcPr>
          <w:p w14:paraId="3AFDCCC9" w14:textId="384DFECF" w:rsidR="00093056" w:rsidRPr="000455A5" w:rsidRDefault="00093056" w:rsidP="00093056">
            <w:pPr>
              <w:suppressAutoHyphens/>
              <w:rPr>
                <w:bCs/>
                <w:sz w:val="24"/>
                <w:szCs w:val="24"/>
              </w:rPr>
            </w:pPr>
            <w:r w:rsidRPr="000455A5">
              <w:rPr>
                <w:b/>
                <w:sz w:val="24"/>
                <w:szCs w:val="24"/>
              </w:rPr>
              <w:t>Blood and lymphatic system disorders</w:t>
            </w:r>
          </w:p>
        </w:tc>
      </w:tr>
      <w:tr w:rsidR="00E84EB9" w:rsidRPr="000455A5" w14:paraId="5AB12EDD" w14:textId="77777777" w:rsidTr="00B30F9A">
        <w:tc>
          <w:tcPr>
            <w:tcW w:w="3227" w:type="dxa"/>
            <w:tcBorders>
              <w:top w:val="nil"/>
              <w:left w:val="single" w:sz="4" w:space="0" w:color="auto"/>
              <w:bottom w:val="nil"/>
              <w:right w:val="single" w:sz="4" w:space="0" w:color="auto"/>
            </w:tcBorders>
            <w:hideMark/>
          </w:tcPr>
          <w:p w14:paraId="40F95C65" w14:textId="77777777" w:rsidR="00E84EB9" w:rsidRPr="000455A5" w:rsidRDefault="00E84EB9" w:rsidP="00093056">
            <w:pPr>
              <w:suppressAutoHyphens/>
              <w:rPr>
                <w:bCs/>
                <w:sz w:val="24"/>
                <w:szCs w:val="24"/>
              </w:rPr>
            </w:pPr>
            <w:r w:rsidRPr="000455A5">
              <w:rPr>
                <w:bCs/>
                <w:sz w:val="24"/>
                <w:szCs w:val="24"/>
              </w:rPr>
              <w:t>Common:</w:t>
            </w:r>
          </w:p>
        </w:tc>
        <w:tc>
          <w:tcPr>
            <w:tcW w:w="6015" w:type="dxa"/>
            <w:tcBorders>
              <w:top w:val="nil"/>
              <w:left w:val="single" w:sz="4" w:space="0" w:color="auto"/>
              <w:bottom w:val="nil"/>
              <w:right w:val="single" w:sz="4" w:space="0" w:color="auto"/>
            </w:tcBorders>
            <w:hideMark/>
          </w:tcPr>
          <w:p w14:paraId="395A5D11" w14:textId="5D68AE0E" w:rsidR="00E84EB9" w:rsidRPr="000455A5" w:rsidRDefault="00435221" w:rsidP="00093056">
            <w:pPr>
              <w:suppressAutoHyphens/>
              <w:rPr>
                <w:bCs/>
                <w:sz w:val="24"/>
                <w:szCs w:val="24"/>
              </w:rPr>
            </w:pPr>
            <w:r>
              <w:rPr>
                <w:bCs/>
                <w:sz w:val="24"/>
                <w:szCs w:val="24"/>
                <w:lang w:val="da-DK"/>
              </w:rPr>
              <w:t>N</w:t>
            </w:r>
            <w:r w:rsidR="00E84EB9" w:rsidRPr="000455A5">
              <w:rPr>
                <w:bCs/>
                <w:sz w:val="24"/>
                <w:szCs w:val="24"/>
              </w:rPr>
              <w:t>eutropenia</w:t>
            </w:r>
          </w:p>
        </w:tc>
      </w:tr>
      <w:tr w:rsidR="00E84EB9" w:rsidRPr="00BD3F6B" w14:paraId="7211A645" w14:textId="77777777" w:rsidTr="00B30F9A">
        <w:tc>
          <w:tcPr>
            <w:tcW w:w="3227" w:type="dxa"/>
            <w:tcBorders>
              <w:top w:val="nil"/>
              <w:left w:val="single" w:sz="4" w:space="0" w:color="auto"/>
              <w:bottom w:val="nil"/>
              <w:right w:val="single" w:sz="4" w:space="0" w:color="auto"/>
            </w:tcBorders>
            <w:hideMark/>
          </w:tcPr>
          <w:p w14:paraId="5A5FBE62"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2617973C" w14:textId="1ADD2A81" w:rsidR="00E84EB9" w:rsidRPr="000455A5" w:rsidRDefault="00435221" w:rsidP="00093056">
            <w:pPr>
              <w:suppressAutoHyphens/>
              <w:rPr>
                <w:bCs/>
                <w:sz w:val="24"/>
                <w:szCs w:val="24"/>
              </w:rPr>
            </w:pPr>
            <w:r w:rsidRPr="00435221">
              <w:rPr>
                <w:bCs/>
                <w:sz w:val="24"/>
                <w:szCs w:val="24"/>
                <w:lang w:val="en-US"/>
              </w:rPr>
              <w:t>T</w:t>
            </w:r>
            <w:r w:rsidR="00E84EB9" w:rsidRPr="000455A5">
              <w:rPr>
                <w:bCs/>
                <w:sz w:val="24"/>
                <w:szCs w:val="24"/>
              </w:rPr>
              <w:t>hrombocytopenia, leukopenia, anaemia, eosinophilia, lymphadenopathy, splenic infarction</w:t>
            </w:r>
          </w:p>
        </w:tc>
      </w:tr>
      <w:tr w:rsidR="00E84EB9" w:rsidRPr="00BD3F6B" w14:paraId="24413F33" w14:textId="77777777" w:rsidTr="00B30F9A">
        <w:tc>
          <w:tcPr>
            <w:tcW w:w="3227" w:type="dxa"/>
            <w:tcBorders>
              <w:top w:val="nil"/>
              <w:left w:val="single" w:sz="4" w:space="0" w:color="auto"/>
              <w:bottom w:val="single" w:sz="4" w:space="0" w:color="auto"/>
              <w:right w:val="single" w:sz="4" w:space="0" w:color="auto"/>
            </w:tcBorders>
            <w:hideMark/>
          </w:tcPr>
          <w:p w14:paraId="2A249E3A"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59D6E5F8" w14:textId="76423CC4" w:rsidR="00E84EB9" w:rsidRPr="000455A5" w:rsidRDefault="00435221" w:rsidP="00093056">
            <w:pPr>
              <w:suppressAutoHyphens/>
              <w:rPr>
                <w:bCs/>
                <w:sz w:val="24"/>
                <w:szCs w:val="24"/>
              </w:rPr>
            </w:pPr>
            <w:r w:rsidRPr="00435221">
              <w:rPr>
                <w:bCs/>
                <w:sz w:val="24"/>
                <w:szCs w:val="24"/>
                <w:lang w:val="en-US"/>
              </w:rPr>
              <w:t>H</w:t>
            </w:r>
            <w:r w:rsidR="00E84EB9" w:rsidRPr="000455A5">
              <w:rPr>
                <w:bCs/>
                <w:sz w:val="24"/>
                <w:szCs w:val="24"/>
              </w:rPr>
              <w:t>aemolytic ur</w:t>
            </w:r>
            <w:r w:rsidR="0072629F" w:rsidRPr="0072629F">
              <w:rPr>
                <w:bCs/>
                <w:sz w:val="24"/>
                <w:szCs w:val="24"/>
                <w:lang w:val="en-US"/>
              </w:rPr>
              <w:t>a</w:t>
            </w:r>
            <w:r w:rsidR="00E84EB9" w:rsidRPr="000455A5">
              <w:rPr>
                <w:bCs/>
                <w:sz w:val="24"/>
                <w:szCs w:val="24"/>
              </w:rPr>
              <w:t>emic syndrome, thrombotic thrombocytopenic purpura, pancytopenia, coagulopathy, haemorrhage</w:t>
            </w:r>
          </w:p>
        </w:tc>
      </w:tr>
      <w:tr w:rsidR="00093056" w:rsidRPr="000455A5" w14:paraId="15A1E833" w14:textId="77777777" w:rsidTr="00464950">
        <w:tc>
          <w:tcPr>
            <w:tcW w:w="9242" w:type="dxa"/>
            <w:gridSpan w:val="2"/>
            <w:tcBorders>
              <w:top w:val="single" w:sz="4" w:space="0" w:color="auto"/>
              <w:left w:val="single" w:sz="4" w:space="0" w:color="auto"/>
              <w:bottom w:val="nil"/>
              <w:right w:val="single" w:sz="4" w:space="0" w:color="auto"/>
            </w:tcBorders>
            <w:hideMark/>
          </w:tcPr>
          <w:p w14:paraId="1E1B3A8D" w14:textId="1343C5F8" w:rsidR="00093056" w:rsidRPr="000455A5" w:rsidRDefault="00093056" w:rsidP="00093056">
            <w:pPr>
              <w:suppressAutoHyphens/>
              <w:rPr>
                <w:bCs/>
                <w:sz w:val="24"/>
                <w:szCs w:val="24"/>
              </w:rPr>
            </w:pPr>
            <w:r w:rsidRPr="000455A5">
              <w:rPr>
                <w:b/>
                <w:sz w:val="24"/>
                <w:szCs w:val="24"/>
              </w:rPr>
              <w:t>Immune system disorders</w:t>
            </w:r>
          </w:p>
        </w:tc>
      </w:tr>
      <w:tr w:rsidR="00E84EB9" w:rsidRPr="000455A5" w14:paraId="0A11D93B" w14:textId="77777777" w:rsidTr="00B30F9A">
        <w:tc>
          <w:tcPr>
            <w:tcW w:w="3227" w:type="dxa"/>
            <w:tcBorders>
              <w:top w:val="nil"/>
              <w:left w:val="single" w:sz="4" w:space="0" w:color="auto"/>
              <w:bottom w:val="nil"/>
              <w:right w:val="single" w:sz="4" w:space="0" w:color="auto"/>
            </w:tcBorders>
            <w:hideMark/>
          </w:tcPr>
          <w:p w14:paraId="7F55B01C"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15521C3C" w14:textId="64CCD579" w:rsidR="00E84EB9" w:rsidRPr="000455A5" w:rsidRDefault="00435221" w:rsidP="00093056">
            <w:pPr>
              <w:suppressAutoHyphens/>
              <w:rPr>
                <w:bCs/>
                <w:sz w:val="24"/>
                <w:szCs w:val="24"/>
              </w:rPr>
            </w:pPr>
            <w:r>
              <w:rPr>
                <w:bCs/>
                <w:sz w:val="24"/>
                <w:szCs w:val="24"/>
                <w:lang w:val="da-DK"/>
              </w:rPr>
              <w:t>A</w:t>
            </w:r>
            <w:r w:rsidR="00E84EB9" w:rsidRPr="000455A5">
              <w:rPr>
                <w:bCs/>
                <w:sz w:val="24"/>
                <w:szCs w:val="24"/>
              </w:rPr>
              <w:t xml:space="preserve">llergic reaction </w:t>
            </w:r>
          </w:p>
        </w:tc>
      </w:tr>
      <w:tr w:rsidR="00E84EB9" w:rsidRPr="000455A5" w14:paraId="73FE5304" w14:textId="77777777" w:rsidTr="00B30F9A">
        <w:tc>
          <w:tcPr>
            <w:tcW w:w="3227" w:type="dxa"/>
            <w:tcBorders>
              <w:top w:val="nil"/>
              <w:left w:val="single" w:sz="4" w:space="0" w:color="auto"/>
              <w:bottom w:val="single" w:sz="4" w:space="0" w:color="auto"/>
              <w:right w:val="single" w:sz="4" w:space="0" w:color="auto"/>
            </w:tcBorders>
            <w:hideMark/>
          </w:tcPr>
          <w:p w14:paraId="69C75F15"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2097A0BE" w14:textId="5A665163" w:rsidR="00E84EB9" w:rsidRPr="000455A5" w:rsidRDefault="00435221" w:rsidP="00093056">
            <w:pPr>
              <w:suppressAutoHyphens/>
              <w:rPr>
                <w:bCs/>
                <w:sz w:val="24"/>
                <w:szCs w:val="24"/>
              </w:rPr>
            </w:pPr>
            <w:r>
              <w:rPr>
                <w:bCs/>
                <w:sz w:val="24"/>
                <w:szCs w:val="24"/>
                <w:lang w:val="da-DK"/>
              </w:rPr>
              <w:t>H</w:t>
            </w:r>
            <w:r w:rsidR="00E84EB9" w:rsidRPr="000455A5">
              <w:rPr>
                <w:bCs/>
                <w:sz w:val="24"/>
                <w:szCs w:val="24"/>
              </w:rPr>
              <w:t>ypersensitivity reaction</w:t>
            </w:r>
          </w:p>
        </w:tc>
      </w:tr>
      <w:tr w:rsidR="00093056" w:rsidRPr="000455A5" w14:paraId="725ADBAF" w14:textId="77777777" w:rsidTr="00464950">
        <w:tc>
          <w:tcPr>
            <w:tcW w:w="9242" w:type="dxa"/>
            <w:gridSpan w:val="2"/>
            <w:tcBorders>
              <w:top w:val="single" w:sz="4" w:space="0" w:color="auto"/>
              <w:left w:val="single" w:sz="4" w:space="0" w:color="auto"/>
              <w:bottom w:val="nil"/>
              <w:right w:val="single" w:sz="4" w:space="0" w:color="auto"/>
            </w:tcBorders>
            <w:hideMark/>
          </w:tcPr>
          <w:p w14:paraId="346719F0" w14:textId="40026315" w:rsidR="00093056" w:rsidRPr="000455A5" w:rsidRDefault="00093056" w:rsidP="00093056">
            <w:pPr>
              <w:suppressAutoHyphens/>
              <w:rPr>
                <w:bCs/>
                <w:sz w:val="24"/>
                <w:szCs w:val="24"/>
              </w:rPr>
            </w:pPr>
            <w:r w:rsidRPr="000455A5">
              <w:rPr>
                <w:b/>
                <w:sz w:val="24"/>
                <w:szCs w:val="24"/>
              </w:rPr>
              <w:t>Endocrine disorders</w:t>
            </w:r>
          </w:p>
        </w:tc>
      </w:tr>
      <w:tr w:rsidR="00E84EB9" w:rsidRPr="00BD3F6B" w14:paraId="1511FC66" w14:textId="77777777" w:rsidTr="00343FBB">
        <w:tc>
          <w:tcPr>
            <w:tcW w:w="3227" w:type="dxa"/>
            <w:tcBorders>
              <w:top w:val="nil"/>
              <w:left w:val="single" w:sz="4" w:space="0" w:color="auto"/>
              <w:bottom w:val="nil"/>
              <w:right w:val="single" w:sz="4" w:space="0" w:color="auto"/>
            </w:tcBorders>
            <w:hideMark/>
          </w:tcPr>
          <w:p w14:paraId="0B4A3E76" w14:textId="3AB5D33E" w:rsidR="00E84EB9" w:rsidRPr="000455A5" w:rsidRDefault="00E84EB9" w:rsidP="00343FBB">
            <w:pPr>
              <w:suppressAutoHyphens/>
              <w:rPr>
                <w:bCs/>
                <w:sz w:val="24"/>
                <w:szCs w:val="24"/>
              </w:rPr>
            </w:pPr>
            <w:r w:rsidRPr="000455A5">
              <w:rPr>
                <w:bCs/>
                <w:sz w:val="24"/>
                <w:szCs w:val="24"/>
              </w:rPr>
              <w:t>Rare:</w:t>
            </w:r>
          </w:p>
        </w:tc>
        <w:tc>
          <w:tcPr>
            <w:tcW w:w="6015" w:type="dxa"/>
            <w:tcBorders>
              <w:top w:val="nil"/>
              <w:left w:val="single" w:sz="4" w:space="0" w:color="auto"/>
              <w:bottom w:val="nil"/>
              <w:right w:val="single" w:sz="4" w:space="0" w:color="auto"/>
            </w:tcBorders>
            <w:hideMark/>
          </w:tcPr>
          <w:p w14:paraId="68C2D27D" w14:textId="01BE229B" w:rsidR="00E84EB9" w:rsidRPr="0072629F" w:rsidRDefault="00435221" w:rsidP="00343FBB">
            <w:pPr>
              <w:suppressAutoHyphens/>
              <w:rPr>
                <w:bCs/>
                <w:sz w:val="24"/>
                <w:szCs w:val="24"/>
                <w:lang w:val="en-US"/>
              </w:rPr>
            </w:pPr>
            <w:r w:rsidRPr="00EA1CBE">
              <w:rPr>
                <w:bCs/>
                <w:sz w:val="24"/>
                <w:szCs w:val="24"/>
                <w:lang w:val="en-US"/>
              </w:rPr>
              <w:t>A</w:t>
            </w:r>
            <w:r w:rsidR="00E84EB9" w:rsidRPr="000455A5">
              <w:rPr>
                <w:bCs/>
                <w:sz w:val="24"/>
                <w:szCs w:val="24"/>
              </w:rPr>
              <w:t>drenal insufficiency, blood gonadotropin decreased</w:t>
            </w:r>
            <w:r w:rsidR="0072629F" w:rsidRPr="0072629F">
              <w:rPr>
                <w:bCs/>
                <w:sz w:val="24"/>
                <w:szCs w:val="24"/>
                <w:lang w:val="en-US"/>
              </w:rPr>
              <w:t>,</w:t>
            </w:r>
            <w:r w:rsidR="0072629F">
              <w:rPr>
                <w:bCs/>
                <w:sz w:val="24"/>
                <w:szCs w:val="24"/>
                <w:lang w:val="en-US"/>
              </w:rPr>
              <w:t xml:space="preserve"> p</w:t>
            </w:r>
            <w:r w:rsidR="0072629F" w:rsidRPr="000455A5">
              <w:rPr>
                <w:bCs/>
                <w:sz w:val="24"/>
                <w:szCs w:val="24"/>
              </w:rPr>
              <w:t>seudoaldosteronism</w:t>
            </w:r>
          </w:p>
        </w:tc>
      </w:tr>
      <w:tr w:rsidR="00093056" w:rsidRPr="000455A5" w14:paraId="3AA676E0" w14:textId="77777777" w:rsidTr="00464950">
        <w:tc>
          <w:tcPr>
            <w:tcW w:w="9242" w:type="dxa"/>
            <w:gridSpan w:val="2"/>
            <w:tcBorders>
              <w:top w:val="single" w:sz="4" w:space="0" w:color="auto"/>
              <w:left w:val="single" w:sz="4" w:space="0" w:color="auto"/>
              <w:bottom w:val="nil"/>
              <w:right w:val="single" w:sz="4" w:space="0" w:color="auto"/>
            </w:tcBorders>
            <w:hideMark/>
          </w:tcPr>
          <w:p w14:paraId="746DFD97" w14:textId="000C9655" w:rsidR="00093056" w:rsidRPr="000455A5" w:rsidRDefault="00093056" w:rsidP="00093056">
            <w:pPr>
              <w:suppressAutoHyphens/>
              <w:rPr>
                <w:bCs/>
                <w:sz w:val="24"/>
                <w:szCs w:val="24"/>
              </w:rPr>
            </w:pPr>
            <w:r w:rsidRPr="000455A5">
              <w:rPr>
                <w:b/>
                <w:sz w:val="24"/>
                <w:szCs w:val="24"/>
              </w:rPr>
              <w:t>Metabolism and nutrition disorders</w:t>
            </w:r>
          </w:p>
        </w:tc>
      </w:tr>
      <w:tr w:rsidR="00E84EB9" w:rsidRPr="00BD3F6B" w14:paraId="379CDBE0" w14:textId="77777777" w:rsidTr="00B30F9A">
        <w:tc>
          <w:tcPr>
            <w:tcW w:w="3227" w:type="dxa"/>
            <w:tcBorders>
              <w:top w:val="nil"/>
              <w:left w:val="single" w:sz="4" w:space="0" w:color="auto"/>
              <w:bottom w:val="nil"/>
              <w:right w:val="single" w:sz="4" w:space="0" w:color="auto"/>
            </w:tcBorders>
            <w:hideMark/>
          </w:tcPr>
          <w:p w14:paraId="1F2B544E" w14:textId="77777777" w:rsidR="00E84EB9" w:rsidRPr="000455A5" w:rsidRDefault="00E84EB9" w:rsidP="00093056">
            <w:pPr>
              <w:suppressAutoHyphens/>
              <w:rPr>
                <w:bCs/>
                <w:sz w:val="24"/>
                <w:szCs w:val="24"/>
              </w:rPr>
            </w:pPr>
            <w:r w:rsidRPr="000455A5">
              <w:rPr>
                <w:bCs/>
                <w:sz w:val="24"/>
                <w:szCs w:val="24"/>
              </w:rPr>
              <w:t>Common:</w:t>
            </w:r>
          </w:p>
        </w:tc>
        <w:tc>
          <w:tcPr>
            <w:tcW w:w="6015" w:type="dxa"/>
            <w:tcBorders>
              <w:top w:val="nil"/>
              <w:left w:val="single" w:sz="4" w:space="0" w:color="auto"/>
              <w:bottom w:val="nil"/>
              <w:right w:val="single" w:sz="4" w:space="0" w:color="auto"/>
            </w:tcBorders>
            <w:hideMark/>
          </w:tcPr>
          <w:p w14:paraId="5C4E0183" w14:textId="7AFC8380" w:rsidR="00E84EB9" w:rsidRPr="000455A5" w:rsidRDefault="00343FBB" w:rsidP="00093056">
            <w:pPr>
              <w:suppressAutoHyphens/>
              <w:rPr>
                <w:bCs/>
                <w:sz w:val="24"/>
                <w:szCs w:val="24"/>
              </w:rPr>
            </w:pPr>
            <w:r w:rsidRPr="00343FBB">
              <w:rPr>
                <w:bCs/>
                <w:sz w:val="24"/>
                <w:szCs w:val="24"/>
                <w:lang w:val="en-US"/>
              </w:rPr>
              <w:t>E</w:t>
            </w:r>
            <w:r w:rsidR="00E84EB9" w:rsidRPr="000455A5">
              <w:rPr>
                <w:bCs/>
                <w:sz w:val="24"/>
                <w:szCs w:val="24"/>
              </w:rPr>
              <w:t>lectrolyte imbalance, anorexia, decreased appetite, hypokalaemia, hypomagnesaemia</w:t>
            </w:r>
          </w:p>
        </w:tc>
      </w:tr>
      <w:tr w:rsidR="00E84EB9" w:rsidRPr="000455A5" w14:paraId="17B3CF14" w14:textId="77777777" w:rsidTr="00B30F9A">
        <w:tc>
          <w:tcPr>
            <w:tcW w:w="3227" w:type="dxa"/>
            <w:tcBorders>
              <w:top w:val="nil"/>
              <w:left w:val="single" w:sz="4" w:space="0" w:color="auto"/>
              <w:bottom w:val="single" w:sz="4" w:space="0" w:color="auto"/>
              <w:right w:val="single" w:sz="4" w:space="0" w:color="auto"/>
            </w:tcBorders>
            <w:hideMark/>
          </w:tcPr>
          <w:p w14:paraId="17ABFFB0"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single" w:sz="4" w:space="0" w:color="auto"/>
              <w:right w:val="single" w:sz="4" w:space="0" w:color="auto"/>
            </w:tcBorders>
            <w:hideMark/>
          </w:tcPr>
          <w:p w14:paraId="3C7CB836" w14:textId="773BD569" w:rsidR="00E84EB9" w:rsidRPr="000455A5" w:rsidRDefault="00343FBB" w:rsidP="00093056">
            <w:pPr>
              <w:suppressAutoHyphens/>
              <w:rPr>
                <w:bCs/>
                <w:sz w:val="24"/>
                <w:szCs w:val="24"/>
              </w:rPr>
            </w:pPr>
            <w:r>
              <w:rPr>
                <w:bCs/>
                <w:sz w:val="24"/>
                <w:szCs w:val="24"/>
                <w:lang w:val="da-DK"/>
              </w:rPr>
              <w:t>H</w:t>
            </w:r>
            <w:r w:rsidR="00E84EB9" w:rsidRPr="000455A5">
              <w:rPr>
                <w:bCs/>
                <w:sz w:val="24"/>
                <w:szCs w:val="24"/>
              </w:rPr>
              <w:t>yperglycaemia, hypoglycaemia</w:t>
            </w:r>
          </w:p>
        </w:tc>
      </w:tr>
      <w:tr w:rsidR="00093056" w:rsidRPr="000455A5" w14:paraId="40DE1218" w14:textId="77777777" w:rsidTr="00464950">
        <w:tc>
          <w:tcPr>
            <w:tcW w:w="9242" w:type="dxa"/>
            <w:gridSpan w:val="2"/>
            <w:tcBorders>
              <w:top w:val="single" w:sz="4" w:space="0" w:color="auto"/>
              <w:left w:val="single" w:sz="4" w:space="0" w:color="auto"/>
              <w:bottom w:val="nil"/>
              <w:right w:val="single" w:sz="4" w:space="0" w:color="auto"/>
            </w:tcBorders>
            <w:hideMark/>
          </w:tcPr>
          <w:p w14:paraId="13A5208A" w14:textId="632C92F2" w:rsidR="00093056" w:rsidRPr="000455A5" w:rsidRDefault="00093056" w:rsidP="00093056">
            <w:pPr>
              <w:suppressAutoHyphens/>
              <w:rPr>
                <w:bCs/>
                <w:sz w:val="24"/>
                <w:szCs w:val="24"/>
              </w:rPr>
            </w:pPr>
            <w:r w:rsidRPr="000455A5">
              <w:rPr>
                <w:b/>
                <w:sz w:val="24"/>
                <w:szCs w:val="24"/>
              </w:rPr>
              <w:t>Psychiatric disorders</w:t>
            </w:r>
          </w:p>
        </w:tc>
      </w:tr>
      <w:tr w:rsidR="00E84EB9" w:rsidRPr="00BD3F6B" w14:paraId="04EE1042" w14:textId="77777777" w:rsidTr="00B30F9A">
        <w:tc>
          <w:tcPr>
            <w:tcW w:w="3227" w:type="dxa"/>
            <w:tcBorders>
              <w:top w:val="nil"/>
              <w:left w:val="single" w:sz="4" w:space="0" w:color="auto"/>
              <w:bottom w:val="nil"/>
              <w:right w:val="single" w:sz="4" w:space="0" w:color="auto"/>
            </w:tcBorders>
            <w:hideMark/>
          </w:tcPr>
          <w:p w14:paraId="2268F2E5"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2F3AFC4E" w14:textId="79FA840B" w:rsidR="00E84EB9" w:rsidRPr="000455A5" w:rsidRDefault="00660E7F" w:rsidP="00093056">
            <w:pPr>
              <w:suppressAutoHyphens/>
              <w:rPr>
                <w:bCs/>
                <w:sz w:val="24"/>
                <w:szCs w:val="24"/>
              </w:rPr>
            </w:pPr>
            <w:r w:rsidRPr="00660E7F">
              <w:rPr>
                <w:bCs/>
                <w:sz w:val="24"/>
                <w:szCs w:val="24"/>
                <w:lang w:val="en-US"/>
              </w:rPr>
              <w:t>A</w:t>
            </w:r>
            <w:r w:rsidR="00E84EB9" w:rsidRPr="000455A5">
              <w:rPr>
                <w:bCs/>
                <w:sz w:val="24"/>
                <w:szCs w:val="24"/>
              </w:rPr>
              <w:t xml:space="preserve">bnormal dreams, confusional state, sleep disorder </w:t>
            </w:r>
          </w:p>
        </w:tc>
      </w:tr>
      <w:tr w:rsidR="00E84EB9" w:rsidRPr="000455A5" w14:paraId="4EB11276" w14:textId="77777777" w:rsidTr="00B30F9A">
        <w:tc>
          <w:tcPr>
            <w:tcW w:w="3227" w:type="dxa"/>
            <w:tcBorders>
              <w:top w:val="nil"/>
              <w:left w:val="single" w:sz="4" w:space="0" w:color="auto"/>
              <w:bottom w:val="single" w:sz="4" w:space="0" w:color="auto"/>
              <w:right w:val="single" w:sz="4" w:space="0" w:color="auto"/>
            </w:tcBorders>
            <w:hideMark/>
          </w:tcPr>
          <w:p w14:paraId="3BF2783D"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5FFB81D8" w14:textId="4ED1E37D" w:rsidR="00E84EB9" w:rsidRPr="000455A5" w:rsidRDefault="00660E7F" w:rsidP="00093056">
            <w:pPr>
              <w:suppressAutoHyphens/>
              <w:rPr>
                <w:bCs/>
                <w:sz w:val="24"/>
                <w:szCs w:val="24"/>
              </w:rPr>
            </w:pPr>
            <w:r>
              <w:rPr>
                <w:bCs/>
                <w:sz w:val="24"/>
                <w:szCs w:val="24"/>
                <w:lang w:val="da-DK"/>
              </w:rPr>
              <w:t>P</w:t>
            </w:r>
            <w:r w:rsidR="00E84EB9" w:rsidRPr="000455A5">
              <w:rPr>
                <w:bCs/>
                <w:sz w:val="24"/>
                <w:szCs w:val="24"/>
              </w:rPr>
              <w:t>sychotic disorder, depression</w:t>
            </w:r>
          </w:p>
        </w:tc>
      </w:tr>
      <w:tr w:rsidR="00093056" w:rsidRPr="000455A5" w14:paraId="7F117682" w14:textId="77777777" w:rsidTr="00464950">
        <w:tc>
          <w:tcPr>
            <w:tcW w:w="9242" w:type="dxa"/>
            <w:gridSpan w:val="2"/>
            <w:tcBorders>
              <w:top w:val="single" w:sz="4" w:space="0" w:color="auto"/>
              <w:left w:val="single" w:sz="4" w:space="0" w:color="auto"/>
              <w:bottom w:val="nil"/>
              <w:right w:val="single" w:sz="4" w:space="0" w:color="auto"/>
            </w:tcBorders>
            <w:hideMark/>
          </w:tcPr>
          <w:p w14:paraId="6E16E30E" w14:textId="0D79D1F9" w:rsidR="00093056" w:rsidRPr="000455A5" w:rsidRDefault="00093056" w:rsidP="00093056">
            <w:pPr>
              <w:suppressAutoHyphens/>
              <w:rPr>
                <w:bCs/>
                <w:sz w:val="24"/>
                <w:szCs w:val="24"/>
              </w:rPr>
            </w:pPr>
            <w:r w:rsidRPr="000455A5">
              <w:rPr>
                <w:b/>
                <w:sz w:val="24"/>
                <w:szCs w:val="24"/>
              </w:rPr>
              <w:t>Nervous system disorders</w:t>
            </w:r>
          </w:p>
        </w:tc>
      </w:tr>
      <w:tr w:rsidR="00E84EB9" w:rsidRPr="00BD3F6B" w14:paraId="6EFA610D" w14:textId="77777777" w:rsidTr="00B30F9A">
        <w:tc>
          <w:tcPr>
            <w:tcW w:w="3227" w:type="dxa"/>
            <w:tcBorders>
              <w:top w:val="nil"/>
              <w:left w:val="single" w:sz="4" w:space="0" w:color="auto"/>
              <w:bottom w:val="nil"/>
              <w:right w:val="single" w:sz="4" w:space="0" w:color="auto"/>
            </w:tcBorders>
            <w:hideMark/>
          </w:tcPr>
          <w:p w14:paraId="5BFC651E" w14:textId="77777777" w:rsidR="00E84EB9" w:rsidRPr="000455A5" w:rsidRDefault="00E84EB9" w:rsidP="00093056">
            <w:pPr>
              <w:suppressAutoHyphens/>
              <w:rPr>
                <w:bCs/>
                <w:sz w:val="24"/>
                <w:szCs w:val="24"/>
              </w:rPr>
            </w:pPr>
            <w:r w:rsidRPr="000455A5">
              <w:rPr>
                <w:bCs/>
                <w:sz w:val="24"/>
                <w:szCs w:val="24"/>
              </w:rPr>
              <w:t>Common:</w:t>
            </w:r>
          </w:p>
        </w:tc>
        <w:tc>
          <w:tcPr>
            <w:tcW w:w="6015" w:type="dxa"/>
            <w:tcBorders>
              <w:top w:val="nil"/>
              <w:left w:val="single" w:sz="4" w:space="0" w:color="auto"/>
              <w:bottom w:val="nil"/>
              <w:right w:val="single" w:sz="4" w:space="0" w:color="auto"/>
            </w:tcBorders>
            <w:hideMark/>
          </w:tcPr>
          <w:p w14:paraId="7CC00E88" w14:textId="5812FBD0" w:rsidR="00E84EB9" w:rsidRPr="000455A5" w:rsidRDefault="00660E7F" w:rsidP="00093056">
            <w:pPr>
              <w:suppressAutoHyphens/>
              <w:rPr>
                <w:bCs/>
                <w:sz w:val="24"/>
                <w:szCs w:val="24"/>
              </w:rPr>
            </w:pPr>
            <w:r w:rsidRPr="00660E7F">
              <w:rPr>
                <w:bCs/>
                <w:sz w:val="24"/>
                <w:szCs w:val="24"/>
                <w:lang w:val="en-US"/>
              </w:rPr>
              <w:t>P</w:t>
            </w:r>
            <w:r w:rsidR="00E84EB9" w:rsidRPr="000455A5">
              <w:rPr>
                <w:bCs/>
                <w:sz w:val="24"/>
                <w:szCs w:val="24"/>
              </w:rPr>
              <w:t>araesthesia, dizziness, somnolence, headache, dysgeusia</w:t>
            </w:r>
          </w:p>
        </w:tc>
      </w:tr>
      <w:tr w:rsidR="00E84EB9" w:rsidRPr="00BD3F6B" w14:paraId="0FECD845" w14:textId="77777777" w:rsidTr="00B30F9A">
        <w:tc>
          <w:tcPr>
            <w:tcW w:w="3227" w:type="dxa"/>
            <w:tcBorders>
              <w:top w:val="nil"/>
              <w:left w:val="single" w:sz="4" w:space="0" w:color="auto"/>
              <w:bottom w:val="nil"/>
              <w:right w:val="single" w:sz="4" w:space="0" w:color="auto"/>
            </w:tcBorders>
            <w:hideMark/>
          </w:tcPr>
          <w:p w14:paraId="166A346C"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0369E117" w14:textId="721104F5" w:rsidR="00E84EB9" w:rsidRPr="000455A5" w:rsidRDefault="00660E7F" w:rsidP="00093056">
            <w:pPr>
              <w:suppressAutoHyphens/>
              <w:rPr>
                <w:bCs/>
                <w:sz w:val="24"/>
                <w:szCs w:val="24"/>
              </w:rPr>
            </w:pPr>
            <w:r w:rsidRPr="00660E7F">
              <w:rPr>
                <w:bCs/>
                <w:sz w:val="24"/>
                <w:szCs w:val="24"/>
                <w:lang w:val="en-US"/>
              </w:rPr>
              <w:t>C</w:t>
            </w:r>
            <w:r w:rsidR="00E84EB9" w:rsidRPr="000455A5">
              <w:rPr>
                <w:bCs/>
                <w:sz w:val="24"/>
                <w:szCs w:val="24"/>
              </w:rPr>
              <w:t>onvulsions, neuropathy, hypoaesthesia, tremor, aphasia,</w:t>
            </w:r>
          </w:p>
        </w:tc>
      </w:tr>
      <w:tr w:rsidR="00E84EB9" w:rsidRPr="00BD3F6B" w14:paraId="7C7D6944" w14:textId="77777777" w:rsidTr="00B30F9A">
        <w:tc>
          <w:tcPr>
            <w:tcW w:w="3227" w:type="dxa"/>
            <w:tcBorders>
              <w:top w:val="nil"/>
              <w:left w:val="single" w:sz="4" w:space="0" w:color="auto"/>
              <w:bottom w:val="single" w:sz="4" w:space="0" w:color="auto"/>
              <w:right w:val="single" w:sz="4" w:space="0" w:color="auto"/>
            </w:tcBorders>
          </w:tcPr>
          <w:p w14:paraId="636C9487"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73B18663" w14:textId="34D52A78" w:rsidR="00E84EB9" w:rsidRPr="000455A5" w:rsidRDefault="00660E7F" w:rsidP="00660E7F">
            <w:pPr>
              <w:suppressAutoHyphens/>
              <w:rPr>
                <w:bCs/>
                <w:sz w:val="24"/>
                <w:szCs w:val="24"/>
              </w:rPr>
            </w:pPr>
            <w:r w:rsidRPr="00660E7F">
              <w:rPr>
                <w:bCs/>
                <w:sz w:val="24"/>
                <w:szCs w:val="24"/>
                <w:lang w:val="en-US"/>
              </w:rPr>
              <w:t>I</w:t>
            </w:r>
            <w:r w:rsidR="00E84EB9" w:rsidRPr="000455A5">
              <w:rPr>
                <w:bCs/>
                <w:sz w:val="24"/>
                <w:szCs w:val="24"/>
              </w:rPr>
              <w:t>nsomnia</w:t>
            </w:r>
            <w:r w:rsidRPr="00660E7F">
              <w:rPr>
                <w:bCs/>
                <w:sz w:val="24"/>
                <w:szCs w:val="24"/>
                <w:lang w:val="en-US"/>
              </w:rPr>
              <w:t xml:space="preserve">, </w:t>
            </w:r>
            <w:r w:rsidR="00E84EB9" w:rsidRPr="000455A5">
              <w:rPr>
                <w:bCs/>
                <w:sz w:val="24"/>
                <w:szCs w:val="24"/>
              </w:rPr>
              <w:t>cerebrovascular accident, encephalopathy, peripheral</w:t>
            </w:r>
            <w:r w:rsidRPr="00660E7F">
              <w:rPr>
                <w:bCs/>
                <w:sz w:val="24"/>
                <w:szCs w:val="24"/>
                <w:lang w:val="en-US"/>
              </w:rPr>
              <w:t xml:space="preserve"> </w:t>
            </w:r>
            <w:r w:rsidR="00E84EB9" w:rsidRPr="000455A5">
              <w:rPr>
                <w:bCs/>
                <w:sz w:val="24"/>
                <w:szCs w:val="24"/>
              </w:rPr>
              <w:t>neuropathy, syncope</w:t>
            </w:r>
          </w:p>
        </w:tc>
      </w:tr>
      <w:tr w:rsidR="00093056" w:rsidRPr="000455A5" w14:paraId="2751CF98" w14:textId="77777777" w:rsidTr="00464950">
        <w:tc>
          <w:tcPr>
            <w:tcW w:w="9242" w:type="dxa"/>
            <w:gridSpan w:val="2"/>
            <w:tcBorders>
              <w:top w:val="single" w:sz="4" w:space="0" w:color="auto"/>
              <w:left w:val="single" w:sz="4" w:space="0" w:color="auto"/>
              <w:bottom w:val="nil"/>
              <w:right w:val="single" w:sz="4" w:space="0" w:color="auto"/>
            </w:tcBorders>
            <w:hideMark/>
          </w:tcPr>
          <w:p w14:paraId="0D4B92F7" w14:textId="07F8B928" w:rsidR="00093056" w:rsidRPr="000455A5" w:rsidRDefault="00093056" w:rsidP="00093056">
            <w:pPr>
              <w:suppressAutoHyphens/>
              <w:rPr>
                <w:bCs/>
                <w:sz w:val="24"/>
                <w:szCs w:val="24"/>
              </w:rPr>
            </w:pPr>
            <w:r w:rsidRPr="000455A5">
              <w:rPr>
                <w:b/>
                <w:sz w:val="24"/>
                <w:szCs w:val="24"/>
              </w:rPr>
              <w:t>Eye disorders</w:t>
            </w:r>
          </w:p>
        </w:tc>
      </w:tr>
      <w:tr w:rsidR="00E84EB9" w:rsidRPr="00BD3F6B" w14:paraId="2DA29091" w14:textId="77777777" w:rsidTr="00B30F9A">
        <w:tc>
          <w:tcPr>
            <w:tcW w:w="3227" w:type="dxa"/>
            <w:tcBorders>
              <w:top w:val="nil"/>
              <w:left w:val="single" w:sz="4" w:space="0" w:color="auto"/>
              <w:bottom w:val="nil"/>
              <w:right w:val="single" w:sz="4" w:space="0" w:color="auto"/>
            </w:tcBorders>
            <w:hideMark/>
          </w:tcPr>
          <w:p w14:paraId="0895C719"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7503CB7E" w14:textId="3615FFA0" w:rsidR="00E84EB9" w:rsidRPr="000455A5" w:rsidRDefault="00660E7F" w:rsidP="00093056">
            <w:pPr>
              <w:suppressAutoHyphens/>
              <w:rPr>
                <w:bCs/>
                <w:sz w:val="24"/>
                <w:szCs w:val="24"/>
              </w:rPr>
            </w:pPr>
            <w:r w:rsidRPr="00660E7F">
              <w:rPr>
                <w:bCs/>
                <w:sz w:val="24"/>
                <w:szCs w:val="24"/>
                <w:lang w:val="en-US"/>
              </w:rPr>
              <w:t>B</w:t>
            </w:r>
            <w:r w:rsidR="00E84EB9" w:rsidRPr="000455A5">
              <w:rPr>
                <w:bCs/>
                <w:sz w:val="24"/>
                <w:szCs w:val="24"/>
              </w:rPr>
              <w:t xml:space="preserve">lurred vision, photophobia, visual acuity reduced </w:t>
            </w:r>
          </w:p>
        </w:tc>
      </w:tr>
      <w:tr w:rsidR="00E84EB9" w:rsidRPr="000455A5" w14:paraId="5BE31413" w14:textId="77777777" w:rsidTr="00B30F9A">
        <w:tc>
          <w:tcPr>
            <w:tcW w:w="3227" w:type="dxa"/>
            <w:tcBorders>
              <w:top w:val="nil"/>
              <w:left w:val="single" w:sz="4" w:space="0" w:color="auto"/>
              <w:bottom w:val="single" w:sz="4" w:space="0" w:color="auto"/>
              <w:right w:val="single" w:sz="4" w:space="0" w:color="auto"/>
            </w:tcBorders>
            <w:hideMark/>
          </w:tcPr>
          <w:p w14:paraId="5090E4D0"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61A6ED1B" w14:textId="60E05C45" w:rsidR="00E84EB9" w:rsidRPr="000455A5" w:rsidRDefault="00660E7F" w:rsidP="00093056">
            <w:pPr>
              <w:suppressAutoHyphens/>
              <w:rPr>
                <w:bCs/>
                <w:sz w:val="24"/>
                <w:szCs w:val="24"/>
              </w:rPr>
            </w:pPr>
            <w:r>
              <w:rPr>
                <w:bCs/>
                <w:sz w:val="24"/>
                <w:szCs w:val="24"/>
                <w:lang w:val="da-DK"/>
              </w:rPr>
              <w:t>D</w:t>
            </w:r>
            <w:r w:rsidR="00E84EB9" w:rsidRPr="000455A5">
              <w:rPr>
                <w:bCs/>
                <w:sz w:val="24"/>
                <w:szCs w:val="24"/>
              </w:rPr>
              <w:t>iplopia, scotoma</w:t>
            </w:r>
          </w:p>
        </w:tc>
      </w:tr>
      <w:tr w:rsidR="00093056" w:rsidRPr="000455A5" w14:paraId="52A17ED5" w14:textId="77777777" w:rsidTr="00464950">
        <w:tc>
          <w:tcPr>
            <w:tcW w:w="9242" w:type="dxa"/>
            <w:gridSpan w:val="2"/>
            <w:tcBorders>
              <w:top w:val="single" w:sz="4" w:space="0" w:color="auto"/>
              <w:left w:val="single" w:sz="4" w:space="0" w:color="auto"/>
              <w:bottom w:val="nil"/>
              <w:right w:val="single" w:sz="4" w:space="0" w:color="auto"/>
            </w:tcBorders>
            <w:hideMark/>
          </w:tcPr>
          <w:p w14:paraId="7F9357F0" w14:textId="180FA894" w:rsidR="00093056" w:rsidRPr="000455A5" w:rsidRDefault="00093056" w:rsidP="00093056">
            <w:pPr>
              <w:suppressAutoHyphens/>
              <w:rPr>
                <w:bCs/>
                <w:sz w:val="24"/>
                <w:szCs w:val="24"/>
              </w:rPr>
            </w:pPr>
            <w:r w:rsidRPr="000455A5">
              <w:rPr>
                <w:b/>
                <w:sz w:val="24"/>
                <w:szCs w:val="24"/>
              </w:rPr>
              <w:t>Ear and labyrinth disorders</w:t>
            </w:r>
          </w:p>
        </w:tc>
      </w:tr>
      <w:tr w:rsidR="00E84EB9" w:rsidRPr="000455A5" w14:paraId="05DE466B" w14:textId="77777777" w:rsidTr="00B30F9A">
        <w:tc>
          <w:tcPr>
            <w:tcW w:w="3227" w:type="dxa"/>
            <w:tcBorders>
              <w:top w:val="nil"/>
              <w:left w:val="single" w:sz="4" w:space="0" w:color="auto"/>
              <w:bottom w:val="single" w:sz="4" w:space="0" w:color="auto"/>
              <w:right w:val="single" w:sz="4" w:space="0" w:color="auto"/>
            </w:tcBorders>
            <w:hideMark/>
          </w:tcPr>
          <w:p w14:paraId="188B99E8"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3E9C1BAB" w14:textId="3B6E865A" w:rsidR="00E84EB9" w:rsidRPr="000455A5" w:rsidRDefault="00660E7F" w:rsidP="00093056">
            <w:pPr>
              <w:suppressAutoHyphens/>
              <w:rPr>
                <w:bCs/>
                <w:sz w:val="24"/>
                <w:szCs w:val="24"/>
              </w:rPr>
            </w:pPr>
            <w:r>
              <w:rPr>
                <w:bCs/>
                <w:sz w:val="24"/>
                <w:szCs w:val="24"/>
                <w:lang w:val="da-DK"/>
              </w:rPr>
              <w:t>H</w:t>
            </w:r>
            <w:r w:rsidR="00E84EB9" w:rsidRPr="000455A5">
              <w:rPr>
                <w:bCs/>
                <w:sz w:val="24"/>
                <w:szCs w:val="24"/>
              </w:rPr>
              <w:t>earing impairment</w:t>
            </w:r>
          </w:p>
        </w:tc>
      </w:tr>
      <w:tr w:rsidR="00093056" w:rsidRPr="000455A5" w14:paraId="57243182" w14:textId="77777777" w:rsidTr="00464950">
        <w:tc>
          <w:tcPr>
            <w:tcW w:w="9242" w:type="dxa"/>
            <w:gridSpan w:val="2"/>
            <w:tcBorders>
              <w:top w:val="single" w:sz="4" w:space="0" w:color="auto"/>
              <w:left w:val="single" w:sz="4" w:space="0" w:color="auto"/>
              <w:bottom w:val="nil"/>
              <w:right w:val="single" w:sz="4" w:space="0" w:color="auto"/>
            </w:tcBorders>
            <w:hideMark/>
          </w:tcPr>
          <w:p w14:paraId="256963BE" w14:textId="6232401D" w:rsidR="00093056" w:rsidRPr="000455A5" w:rsidRDefault="00093056" w:rsidP="00093056">
            <w:pPr>
              <w:suppressAutoHyphens/>
              <w:rPr>
                <w:bCs/>
                <w:sz w:val="24"/>
                <w:szCs w:val="24"/>
              </w:rPr>
            </w:pPr>
            <w:r w:rsidRPr="000455A5">
              <w:rPr>
                <w:b/>
                <w:sz w:val="24"/>
                <w:szCs w:val="24"/>
              </w:rPr>
              <w:t>Cardiac disorders</w:t>
            </w:r>
          </w:p>
        </w:tc>
      </w:tr>
      <w:tr w:rsidR="00E84EB9" w:rsidRPr="00BD3F6B" w14:paraId="70DC8304" w14:textId="77777777" w:rsidTr="00B30F9A">
        <w:tc>
          <w:tcPr>
            <w:tcW w:w="3227" w:type="dxa"/>
            <w:tcBorders>
              <w:top w:val="nil"/>
              <w:left w:val="single" w:sz="4" w:space="0" w:color="auto"/>
              <w:bottom w:val="nil"/>
              <w:right w:val="single" w:sz="4" w:space="0" w:color="auto"/>
            </w:tcBorders>
            <w:hideMark/>
          </w:tcPr>
          <w:p w14:paraId="228C3EFD"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795945ED" w14:textId="171AE53D" w:rsidR="00E84EB9" w:rsidRPr="000455A5" w:rsidRDefault="00660E7F" w:rsidP="00093056">
            <w:pPr>
              <w:suppressAutoHyphens/>
              <w:rPr>
                <w:bCs/>
                <w:sz w:val="24"/>
                <w:szCs w:val="24"/>
              </w:rPr>
            </w:pPr>
            <w:r w:rsidRPr="00660E7F">
              <w:rPr>
                <w:bCs/>
                <w:sz w:val="24"/>
                <w:szCs w:val="24"/>
                <w:lang w:val="en-US"/>
              </w:rPr>
              <w:t>L</w:t>
            </w:r>
            <w:r w:rsidR="00E84EB9" w:rsidRPr="000455A5">
              <w:rPr>
                <w:bCs/>
                <w:sz w:val="24"/>
                <w:szCs w:val="24"/>
              </w:rPr>
              <w:t>ong QT syndrome</w:t>
            </w:r>
            <w:r w:rsidR="00E84EB9" w:rsidRPr="000455A5">
              <w:rPr>
                <w:bCs/>
                <w:sz w:val="24"/>
                <w:szCs w:val="24"/>
                <w:vertAlign w:val="superscript"/>
              </w:rPr>
              <w:t>§</w:t>
            </w:r>
            <w:r w:rsidR="00E84EB9" w:rsidRPr="000455A5">
              <w:rPr>
                <w:bCs/>
                <w:sz w:val="24"/>
                <w:szCs w:val="24"/>
              </w:rPr>
              <w:t>, electrocardiogram abnormal</w:t>
            </w:r>
            <w:r w:rsidR="00E84EB9" w:rsidRPr="000455A5">
              <w:rPr>
                <w:bCs/>
                <w:sz w:val="24"/>
                <w:szCs w:val="24"/>
                <w:vertAlign w:val="superscript"/>
              </w:rPr>
              <w:t>§</w:t>
            </w:r>
            <w:r w:rsidR="00E84EB9" w:rsidRPr="000455A5">
              <w:rPr>
                <w:bCs/>
                <w:sz w:val="24"/>
                <w:szCs w:val="24"/>
              </w:rPr>
              <w:t>, palpitations, bradycardia, supraventricular extrasystoles, tachycardia</w:t>
            </w:r>
          </w:p>
        </w:tc>
      </w:tr>
      <w:tr w:rsidR="00E84EB9" w:rsidRPr="00BD3F6B" w14:paraId="53242664" w14:textId="77777777" w:rsidTr="00B30F9A">
        <w:tc>
          <w:tcPr>
            <w:tcW w:w="3227" w:type="dxa"/>
            <w:tcBorders>
              <w:top w:val="nil"/>
              <w:left w:val="single" w:sz="4" w:space="0" w:color="auto"/>
              <w:bottom w:val="single" w:sz="4" w:space="0" w:color="auto"/>
              <w:right w:val="single" w:sz="4" w:space="0" w:color="auto"/>
            </w:tcBorders>
            <w:hideMark/>
          </w:tcPr>
          <w:p w14:paraId="569B1C46"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179891F5" w14:textId="0E82B4F8" w:rsidR="00E84EB9" w:rsidRPr="000455A5" w:rsidRDefault="00660E7F" w:rsidP="00093056">
            <w:pPr>
              <w:suppressAutoHyphens/>
              <w:rPr>
                <w:bCs/>
                <w:sz w:val="24"/>
                <w:szCs w:val="24"/>
              </w:rPr>
            </w:pPr>
            <w:r w:rsidRPr="00660E7F">
              <w:rPr>
                <w:bCs/>
                <w:sz w:val="24"/>
                <w:szCs w:val="24"/>
                <w:lang w:val="en-US"/>
              </w:rPr>
              <w:t>T</w:t>
            </w:r>
            <w:r w:rsidR="00E84EB9" w:rsidRPr="000455A5">
              <w:rPr>
                <w:bCs/>
                <w:sz w:val="24"/>
                <w:szCs w:val="24"/>
              </w:rPr>
              <w:t>orsade de pointes, sudden death, ventricular tachycardia, cardio-respiratory arrest, cardiac failure, myocardial infarction</w:t>
            </w:r>
          </w:p>
        </w:tc>
      </w:tr>
      <w:tr w:rsidR="00093056" w:rsidRPr="000455A5" w14:paraId="56ED215A" w14:textId="77777777" w:rsidTr="00464950">
        <w:tc>
          <w:tcPr>
            <w:tcW w:w="9242" w:type="dxa"/>
            <w:gridSpan w:val="2"/>
            <w:tcBorders>
              <w:top w:val="single" w:sz="4" w:space="0" w:color="auto"/>
              <w:left w:val="single" w:sz="4" w:space="0" w:color="auto"/>
              <w:bottom w:val="nil"/>
              <w:right w:val="single" w:sz="4" w:space="0" w:color="auto"/>
            </w:tcBorders>
            <w:hideMark/>
          </w:tcPr>
          <w:p w14:paraId="67021BB0" w14:textId="3E3A03CE" w:rsidR="00093056" w:rsidRPr="000455A5" w:rsidRDefault="00093056" w:rsidP="00093056">
            <w:pPr>
              <w:suppressAutoHyphens/>
              <w:rPr>
                <w:bCs/>
                <w:sz w:val="24"/>
                <w:szCs w:val="24"/>
              </w:rPr>
            </w:pPr>
            <w:r w:rsidRPr="000455A5">
              <w:rPr>
                <w:b/>
                <w:sz w:val="24"/>
                <w:szCs w:val="24"/>
              </w:rPr>
              <w:t>Vascular disorders</w:t>
            </w:r>
          </w:p>
        </w:tc>
      </w:tr>
      <w:tr w:rsidR="00E84EB9" w:rsidRPr="000455A5" w14:paraId="0175A200" w14:textId="77777777" w:rsidTr="00B30F9A">
        <w:tc>
          <w:tcPr>
            <w:tcW w:w="3227" w:type="dxa"/>
            <w:tcBorders>
              <w:top w:val="nil"/>
              <w:left w:val="single" w:sz="4" w:space="0" w:color="auto"/>
              <w:bottom w:val="nil"/>
              <w:right w:val="single" w:sz="4" w:space="0" w:color="auto"/>
            </w:tcBorders>
            <w:hideMark/>
          </w:tcPr>
          <w:p w14:paraId="6225618B" w14:textId="77777777" w:rsidR="00E84EB9" w:rsidRPr="000455A5" w:rsidRDefault="00E84EB9" w:rsidP="00093056">
            <w:pPr>
              <w:suppressAutoHyphens/>
              <w:rPr>
                <w:bCs/>
                <w:sz w:val="24"/>
                <w:szCs w:val="24"/>
              </w:rPr>
            </w:pPr>
            <w:r w:rsidRPr="000455A5">
              <w:rPr>
                <w:bCs/>
                <w:sz w:val="24"/>
                <w:szCs w:val="24"/>
              </w:rPr>
              <w:t>Common:</w:t>
            </w:r>
          </w:p>
        </w:tc>
        <w:tc>
          <w:tcPr>
            <w:tcW w:w="6015" w:type="dxa"/>
            <w:tcBorders>
              <w:top w:val="nil"/>
              <w:left w:val="single" w:sz="4" w:space="0" w:color="auto"/>
              <w:bottom w:val="nil"/>
              <w:right w:val="single" w:sz="4" w:space="0" w:color="auto"/>
            </w:tcBorders>
            <w:hideMark/>
          </w:tcPr>
          <w:p w14:paraId="4F1C0842" w14:textId="1593AD0E" w:rsidR="00E84EB9" w:rsidRPr="000455A5" w:rsidRDefault="00660E7F" w:rsidP="00093056">
            <w:pPr>
              <w:suppressAutoHyphens/>
              <w:rPr>
                <w:bCs/>
                <w:sz w:val="24"/>
                <w:szCs w:val="24"/>
              </w:rPr>
            </w:pPr>
            <w:r>
              <w:rPr>
                <w:bCs/>
                <w:sz w:val="24"/>
                <w:szCs w:val="24"/>
                <w:lang w:val="da-DK"/>
              </w:rPr>
              <w:t>H</w:t>
            </w:r>
            <w:r w:rsidR="00E84EB9" w:rsidRPr="000455A5">
              <w:rPr>
                <w:bCs/>
                <w:sz w:val="24"/>
                <w:szCs w:val="24"/>
              </w:rPr>
              <w:t>ypertension</w:t>
            </w:r>
          </w:p>
        </w:tc>
      </w:tr>
      <w:tr w:rsidR="00E84EB9" w:rsidRPr="000455A5" w14:paraId="1613D1D8" w14:textId="77777777" w:rsidTr="00B30F9A">
        <w:tc>
          <w:tcPr>
            <w:tcW w:w="3227" w:type="dxa"/>
            <w:tcBorders>
              <w:top w:val="nil"/>
              <w:left w:val="single" w:sz="4" w:space="0" w:color="auto"/>
              <w:bottom w:val="nil"/>
              <w:right w:val="single" w:sz="4" w:space="0" w:color="auto"/>
            </w:tcBorders>
            <w:hideMark/>
          </w:tcPr>
          <w:p w14:paraId="18D47B32"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2A86F28D" w14:textId="2D9B89CB" w:rsidR="00E84EB9" w:rsidRPr="000455A5" w:rsidRDefault="00660E7F" w:rsidP="00093056">
            <w:pPr>
              <w:suppressAutoHyphens/>
              <w:rPr>
                <w:bCs/>
                <w:sz w:val="24"/>
                <w:szCs w:val="24"/>
              </w:rPr>
            </w:pPr>
            <w:r>
              <w:rPr>
                <w:bCs/>
                <w:sz w:val="24"/>
                <w:szCs w:val="24"/>
                <w:lang w:val="da-DK"/>
              </w:rPr>
              <w:t>H</w:t>
            </w:r>
            <w:r w:rsidR="00E84EB9" w:rsidRPr="000455A5">
              <w:rPr>
                <w:bCs/>
                <w:sz w:val="24"/>
                <w:szCs w:val="24"/>
              </w:rPr>
              <w:t>ypotension, vasculitis</w:t>
            </w:r>
          </w:p>
        </w:tc>
      </w:tr>
      <w:tr w:rsidR="00E84EB9" w:rsidRPr="00BD3F6B" w14:paraId="4DBED8E7" w14:textId="77777777" w:rsidTr="00B30F9A">
        <w:tc>
          <w:tcPr>
            <w:tcW w:w="3227" w:type="dxa"/>
            <w:tcBorders>
              <w:top w:val="nil"/>
              <w:left w:val="single" w:sz="4" w:space="0" w:color="auto"/>
              <w:bottom w:val="single" w:sz="4" w:space="0" w:color="auto"/>
              <w:right w:val="single" w:sz="4" w:space="0" w:color="auto"/>
            </w:tcBorders>
            <w:hideMark/>
          </w:tcPr>
          <w:p w14:paraId="116619A9"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14F31D7C" w14:textId="05510166" w:rsidR="00E84EB9" w:rsidRPr="000455A5" w:rsidRDefault="00147B93" w:rsidP="00093056">
            <w:pPr>
              <w:suppressAutoHyphens/>
              <w:rPr>
                <w:bCs/>
                <w:sz w:val="24"/>
                <w:szCs w:val="24"/>
              </w:rPr>
            </w:pPr>
            <w:r w:rsidRPr="00147B93">
              <w:rPr>
                <w:bCs/>
                <w:sz w:val="24"/>
                <w:szCs w:val="24"/>
                <w:lang w:val="en-US"/>
              </w:rPr>
              <w:t>P</w:t>
            </w:r>
            <w:r w:rsidR="00E84EB9" w:rsidRPr="000455A5">
              <w:rPr>
                <w:bCs/>
                <w:sz w:val="24"/>
                <w:szCs w:val="24"/>
              </w:rPr>
              <w:t>ulmonary embolism, deep vein thrombosis</w:t>
            </w:r>
          </w:p>
        </w:tc>
      </w:tr>
      <w:tr w:rsidR="00093056" w:rsidRPr="00BD3F6B" w14:paraId="6CE84F1F" w14:textId="77777777" w:rsidTr="00464950">
        <w:tc>
          <w:tcPr>
            <w:tcW w:w="9242" w:type="dxa"/>
            <w:gridSpan w:val="2"/>
            <w:tcBorders>
              <w:top w:val="single" w:sz="4" w:space="0" w:color="auto"/>
              <w:left w:val="single" w:sz="4" w:space="0" w:color="auto"/>
              <w:bottom w:val="nil"/>
              <w:right w:val="single" w:sz="4" w:space="0" w:color="auto"/>
            </w:tcBorders>
            <w:hideMark/>
          </w:tcPr>
          <w:p w14:paraId="2068BB5B" w14:textId="21B5D2EC" w:rsidR="00093056" w:rsidRPr="000455A5" w:rsidRDefault="00093056" w:rsidP="00093056">
            <w:pPr>
              <w:suppressAutoHyphens/>
              <w:rPr>
                <w:bCs/>
                <w:sz w:val="24"/>
                <w:szCs w:val="24"/>
              </w:rPr>
            </w:pPr>
            <w:r w:rsidRPr="000455A5">
              <w:rPr>
                <w:b/>
                <w:sz w:val="24"/>
                <w:szCs w:val="24"/>
              </w:rPr>
              <w:t>Respiratory, thoracic and mediastinal disorders</w:t>
            </w:r>
          </w:p>
        </w:tc>
      </w:tr>
      <w:tr w:rsidR="00E84EB9" w:rsidRPr="00BD3F6B" w14:paraId="4F2278F9" w14:textId="77777777" w:rsidTr="00B30F9A">
        <w:tc>
          <w:tcPr>
            <w:tcW w:w="3227" w:type="dxa"/>
            <w:tcBorders>
              <w:top w:val="nil"/>
              <w:left w:val="single" w:sz="4" w:space="0" w:color="auto"/>
              <w:bottom w:val="nil"/>
              <w:right w:val="single" w:sz="4" w:space="0" w:color="auto"/>
            </w:tcBorders>
            <w:hideMark/>
          </w:tcPr>
          <w:p w14:paraId="273059E4"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04F53C99" w14:textId="56551934" w:rsidR="00E84EB9" w:rsidRPr="000455A5" w:rsidRDefault="00147B93" w:rsidP="00093056">
            <w:pPr>
              <w:suppressAutoHyphens/>
              <w:rPr>
                <w:bCs/>
                <w:sz w:val="24"/>
                <w:szCs w:val="24"/>
              </w:rPr>
            </w:pPr>
            <w:r w:rsidRPr="00147B93">
              <w:rPr>
                <w:bCs/>
                <w:sz w:val="24"/>
                <w:szCs w:val="24"/>
                <w:lang w:val="en-US"/>
              </w:rPr>
              <w:t>C</w:t>
            </w:r>
            <w:r w:rsidR="00E84EB9" w:rsidRPr="000455A5">
              <w:rPr>
                <w:bCs/>
                <w:sz w:val="24"/>
                <w:szCs w:val="24"/>
              </w:rPr>
              <w:t>ough, epistaxis, hiccups, nasal congestion, pleuritic pain, tachypnoea</w:t>
            </w:r>
          </w:p>
        </w:tc>
      </w:tr>
      <w:tr w:rsidR="00E84EB9" w:rsidRPr="00BD3F6B" w14:paraId="6ACFE521" w14:textId="77777777" w:rsidTr="00B30F9A">
        <w:tc>
          <w:tcPr>
            <w:tcW w:w="3227" w:type="dxa"/>
            <w:tcBorders>
              <w:top w:val="nil"/>
              <w:left w:val="single" w:sz="4" w:space="0" w:color="auto"/>
              <w:bottom w:val="single" w:sz="4" w:space="0" w:color="auto"/>
              <w:right w:val="single" w:sz="4" w:space="0" w:color="auto"/>
            </w:tcBorders>
            <w:hideMark/>
          </w:tcPr>
          <w:p w14:paraId="7887B58E"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094D0545" w14:textId="48EC4293" w:rsidR="00E84EB9" w:rsidRPr="000455A5" w:rsidRDefault="00147B93" w:rsidP="00093056">
            <w:pPr>
              <w:suppressAutoHyphens/>
              <w:rPr>
                <w:bCs/>
                <w:sz w:val="24"/>
                <w:szCs w:val="24"/>
              </w:rPr>
            </w:pPr>
            <w:r w:rsidRPr="00147B93">
              <w:rPr>
                <w:bCs/>
                <w:sz w:val="24"/>
                <w:szCs w:val="24"/>
                <w:lang w:val="en-US"/>
              </w:rPr>
              <w:t>P</w:t>
            </w:r>
            <w:r w:rsidR="00E84EB9" w:rsidRPr="000455A5">
              <w:rPr>
                <w:bCs/>
                <w:sz w:val="24"/>
                <w:szCs w:val="24"/>
              </w:rPr>
              <w:t>ulmonary hypertension, interstitial pneumonia, pneumonitis</w:t>
            </w:r>
          </w:p>
        </w:tc>
      </w:tr>
      <w:tr w:rsidR="00093056" w:rsidRPr="000455A5" w14:paraId="6D7FF702" w14:textId="77777777" w:rsidTr="00464950">
        <w:tc>
          <w:tcPr>
            <w:tcW w:w="9242" w:type="dxa"/>
            <w:gridSpan w:val="2"/>
            <w:tcBorders>
              <w:top w:val="single" w:sz="4" w:space="0" w:color="auto"/>
              <w:left w:val="single" w:sz="4" w:space="0" w:color="auto"/>
              <w:bottom w:val="nil"/>
              <w:right w:val="single" w:sz="4" w:space="0" w:color="auto"/>
            </w:tcBorders>
            <w:hideMark/>
          </w:tcPr>
          <w:p w14:paraId="4F077E2A" w14:textId="26320DC4" w:rsidR="00093056" w:rsidRPr="000455A5" w:rsidRDefault="00093056" w:rsidP="00093056">
            <w:pPr>
              <w:suppressAutoHyphens/>
              <w:rPr>
                <w:bCs/>
                <w:sz w:val="24"/>
                <w:szCs w:val="24"/>
              </w:rPr>
            </w:pPr>
            <w:r w:rsidRPr="000455A5">
              <w:rPr>
                <w:b/>
                <w:sz w:val="24"/>
                <w:szCs w:val="24"/>
              </w:rPr>
              <w:t>Gastrointestinal disorders</w:t>
            </w:r>
          </w:p>
        </w:tc>
      </w:tr>
      <w:tr w:rsidR="00E84EB9" w:rsidRPr="000455A5" w14:paraId="675C0B32" w14:textId="77777777" w:rsidTr="00B30F9A">
        <w:tc>
          <w:tcPr>
            <w:tcW w:w="3227" w:type="dxa"/>
            <w:tcBorders>
              <w:top w:val="nil"/>
              <w:left w:val="single" w:sz="4" w:space="0" w:color="auto"/>
              <w:bottom w:val="nil"/>
              <w:right w:val="single" w:sz="4" w:space="0" w:color="auto"/>
            </w:tcBorders>
            <w:hideMark/>
          </w:tcPr>
          <w:p w14:paraId="6133FB30" w14:textId="77777777" w:rsidR="00E84EB9" w:rsidRPr="000455A5" w:rsidRDefault="00E84EB9" w:rsidP="00093056">
            <w:pPr>
              <w:suppressAutoHyphens/>
              <w:rPr>
                <w:bCs/>
                <w:sz w:val="24"/>
                <w:szCs w:val="24"/>
              </w:rPr>
            </w:pPr>
            <w:r w:rsidRPr="000455A5">
              <w:rPr>
                <w:bCs/>
                <w:sz w:val="24"/>
                <w:szCs w:val="24"/>
              </w:rPr>
              <w:t>Very common:</w:t>
            </w:r>
          </w:p>
        </w:tc>
        <w:tc>
          <w:tcPr>
            <w:tcW w:w="6015" w:type="dxa"/>
            <w:tcBorders>
              <w:top w:val="nil"/>
              <w:left w:val="single" w:sz="4" w:space="0" w:color="auto"/>
              <w:bottom w:val="nil"/>
              <w:right w:val="single" w:sz="4" w:space="0" w:color="auto"/>
            </w:tcBorders>
            <w:hideMark/>
          </w:tcPr>
          <w:p w14:paraId="22385D32" w14:textId="10D1C628" w:rsidR="00E84EB9" w:rsidRPr="000455A5" w:rsidRDefault="00147B93" w:rsidP="00093056">
            <w:pPr>
              <w:suppressAutoHyphens/>
              <w:rPr>
                <w:bCs/>
                <w:sz w:val="24"/>
                <w:szCs w:val="24"/>
              </w:rPr>
            </w:pPr>
            <w:r>
              <w:rPr>
                <w:bCs/>
                <w:sz w:val="24"/>
                <w:szCs w:val="24"/>
                <w:lang w:val="da-DK"/>
              </w:rPr>
              <w:t>N</w:t>
            </w:r>
            <w:r w:rsidR="00E84EB9" w:rsidRPr="000455A5">
              <w:rPr>
                <w:bCs/>
                <w:sz w:val="24"/>
                <w:szCs w:val="24"/>
              </w:rPr>
              <w:t>ausea</w:t>
            </w:r>
          </w:p>
        </w:tc>
      </w:tr>
      <w:tr w:rsidR="00E84EB9" w:rsidRPr="00BD3F6B" w14:paraId="439DD723" w14:textId="77777777" w:rsidTr="00B30F9A">
        <w:tc>
          <w:tcPr>
            <w:tcW w:w="3227" w:type="dxa"/>
            <w:tcBorders>
              <w:top w:val="nil"/>
              <w:left w:val="single" w:sz="4" w:space="0" w:color="auto"/>
              <w:bottom w:val="nil"/>
              <w:right w:val="single" w:sz="4" w:space="0" w:color="auto"/>
            </w:tcBorders>
            <w:hideMark/>
          </w:tcPr>
          <w:p w14:paraId="51267AAB" w14:textId="77777777" w:rsidR="00E84EB9" w:rsidRPr="000455A5" w:rsidRDefault="00E84EB9" w:rsidP="00093056">
            <w:pPr>
              <w:suppressAutoHyphens/>
              <w:rPr>
                <w:bCs/>
                <w:sz w:val="24"/>
                <w:szCs w:val="24"/>
              </w:rPr>
            </w:pPr>
            <w:r w:rsidRPr="000455A5">
              <w:rPr>
                <w:bCs/>
                <w:sz w:val="24"/>
                <w:szCs w:val="24"/>
              </w:rPr>
              <w:t>Common:</w:t>
            </w:r>
          </w:p>
        </w:tc>
        <w:tc>
          <w:tcPr>
            <w:tcW w:w="6015" w:type="dxa"/>
            <w:tcBorders>
              <w:top w:val="nil"/>
              <w:left w:val="single" w:sz="4" w:space="0" w:color="auto"/>
              <w:bottom w:val="nil"/>
              <w:right w:val="single" w:sz="4" w:space="0" w:color="auto"/>
            </w:tcBorders>
            <w:hideMark/>
          </w:tcPr>
          <w:p w14:paraId="54D67D9D" w14:textId="03FE2BB9" w:rsidR="00E84EB9" w:rsidRPr="000455A5" w:rsidRDefault="00147B93" w:rsidP="00093056">
            <w:pPr>
              <w:suppressAutoHyphens/>
              <w:rPr>
                <w:bCs/>
                <w:sz w:val="24"/>
                <w:szCs w:val="24"/>
              </w:rPr>
            </w:pPr>
            <w:r w:rsidRPr="00147B93">
              <w:rPr>
                <w:bCs/>
                <w:sz w:val="24"/>
                <w:szCs w:val="24"/>
                <w:lang w:val="en-US"/>
              </w:rPr>
              <w:t>V</w:t>
            </w:r>
            <w:r w:rsidR="00E84EB9" w:rsidRPr="000455A5">
              <w:rPr>
                <w:bCs/>
                <w:sz w:val="24"/>
                <w:szCs w:val="24"/>
              </w:rPr>
              <w:t>omiting, abdominal pain, diarrhoea, dyspepsia, dry mouth,</w:t>
            </w:r>
            <w:r w:rsidR="00093056" w:rsidRPr="000455A5">
              <w:rPr>
                <w:bCs/>
                <w:sz w:val="24"/>
                <w:szCs w:val="24"/>
                <w:lang w:val="en-US"/>
              </w:rPr>
              <w:t xml:space="preserve"> </w:t>
            </w:r>
            <w:r w:rsidR="00E84EB9" w:rsidRPr="000455A5">
              <w:rPr>
                <w:bCs/>
                <w:sz w:val="24"/>
                <w:szCs w:val="24"/>
              </w:rPr>
              <w:t>flatulence, constipation, anorectal discomfort</w:t>
            </w:r>
          </w:p>
        </w:tc>
      </w:tr>
      <w:tr w:rsidR="00E84EB9" w:rsidRPr="00BD3F6B" w14:paraId="7BA49BD1" w14:textId="77777777" w:rsidTr="00B30F9A">
        <w:tc>
          <w:tcPr>
            <w:tcW w:w="3227" w:type="dxa"/>
            <w:tcBorders>
              <w:top w:val="nil"/>
              <w:left w:val="single" w:sz="4" w:space="0" w:color="auto"/>
              <w:bottom w:val="nil"/>
              <w:right w:val="single" w:sz="4" w:space="0" w:color="auto"/>
            </w:tcBorders>
            <w:hideMark/>
          </w:tcPr>
          <w:p w14:paraId="19533129"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119426E3" w14:textId="567AA6C1" w:rsidR="00E84EB9" w:rsidRPr="000455A5" w:rsidRDefault="00147B93" w:rsidP="00093056">
            <w:pPr>
              <w:suppressAutoHyphens/>
              <w:rPr>
                <w:bCs/>
                <w:sz w:val="24"/>
                <w:szCs w:val="24"/>
              </w:rPr>
            </w:pPr>
            <w:r w:rsidRPr="00147B93">
              <w:rPr>
                <w:bCs/>
                <w:sz w:val="24"/>
                <w:szCs w:val="24"/>
                <w:lang w:val="en-US"/>
              </w:rPr>
              <w:t>P</w:t>
            </w:r>
            <w:r w:rsidR="00E84EB9" w:rsidRPr="000455A5">
              <w:rPr>
                <w:bCs/>
                <w:sz w:val="24"/>
                <w:szCs w:val="24"/>
              </w:rPr>
              <w:t>ancreatitis, abdominal distension, enteritis, epigastric</w:t>
            </w:r>
            <w:r w:rsidR="00093056" w:rsidRPr="000455A5">
              <w:rPr>
                <w:bCs/>
                <w:sz w:val="24"/>
                <w:szCs w:val="24"/>
                <w:lang w:val="en-US"/>
              </w:rPr>
              <w:t xml:space="preserve"> </w:t>
            </w:r>
            <w:r w:rsidR="00E84EB9" w:rsidRPr="000455A5">
              <w:rPr>
                <w:bCs/>
                <w:sz w:val="24"/>
                <w:szCs w:val="24"/>
              </w:rPr>
              <w:t>discomfort, eructation, gastroesophageal reflux disease,</w:t>
            </w:r>
            <w:r w:rsidR="00093056" w:rsidRPr="000455A5">
              <w:rPr>
                <w:bCs/>
                <w:sz w:val="24"/>
                <w:szCs w:val="24"/>
                <w:lang w:val="en-US"/>
              </w:rPr>
              <w:t xml:space="preserve"> </w:t>
            </w:r>
            <w:r w:rsidR="00E84EB9" w:rsidRPr="000455A5">
              <w:rPr>
                <w:bCs/>
                <w:sz w:val="24"/>
                <w:szCs w:val="24"/>
              </w:rPr>
              <w:t>oedema mouth</w:t>
            </w:r>
          </w:p>
        </w:tc>
      </w:tr>
      <w:tr w:rsidR="00E84EB9" w:rsidRPr="000455A5" w14:paraId="3DBC5C55" w14:textId="77777777" w:rsidTr="00B30F9A">
        <w:tc>
          <w:tcPr>
            <w:tcW w:w="3227" w:type="dxa"/>
            <w:tcBorders>
              <w:top w:val="nil"/>
              <w:left w:val="single" w:sz="4" w:space="0" w:color="auto"/>
              <w:bottom w:val="single" w:sz="4" w:space="0" w:color="auto"/>
              <w:right w:val="single" w:sz="4" w:space="0" w:color="auto"/>
            </w:tcBorders>
            <w:hideMark/>
          </w:tcPr>
          <w:p w14:paraId="74FA9A75"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4D046C52" w14:textId="601658A3" w:rsidR="00E84EB9" w:rsidRPr="000455A5" w:rsidRDefault="00147B93" w:rsidP="00093056">
            <w:pPr>
              <w:suppressAutoHyphens/>
              <w:rPr>
                <w:bCs/>
                <w:sz w:val="24"/>
                <w:szCs w:val="24"/>
              </w:rPr>
            </w:pPr>
            <w:r>
              <w:rPr>
                <w:bCs/>
                <w:sz w:val="24"/>
                <w:szCs w:val="24"/>
                <w:lang w:val="da-DK"/>
              </w:rPr>
              <w:t>G</w:t>
            </w:r>
            <w:r w:rsidR="00E84EB9" w:rsidRPr="000455A5">
              <w:rPr>
                <w:bCs/>
                <w:sz w:val="24"/>
                <w:szCs w:val="24"/>
              </w:rPr>
              <w:t>astrointestinal haemorrhage, ileus</w:t>
            </w:r>
          </w:p>
        </w:tc>
      </w:tr>
      <w:tr w:rsidR="00E84EB9" w:rsidRPr="000455A5" w14:paraId="022618E7" w14:textId="77777777" w:rsidTr="00B30F9A">
        <w:tc>
          <w:tcPr>
            <w:tcW w:w="3227" w:type="dxa"/>
            <w:tcBorders>
              <w:top w:val="single" w:sz="4" w:space="0" w:color="auto"/>
              <w:left w:val="single" w:sz="4" w:space="0" w:color="auto"/>
              <w:bottom w:val="nil"/>
              <w:right w:val="single" w:sz="4" w:space="0" w:color="auto"/>
            </w:tcBorders>
            <w:hideMark/>
          </w:tcPr>
          <w:p w14:paraId="7E2EFAD9" w14:textId="77777777" w:rsidR="00E84EB9" w:rsidRPr="000455A5" w:rsidRDefault="00E84EB9" w:rsidP="00093056">
            <w:pPr>
              <w:suppressAutoHyphens/>
              <w:rPr>
                <w:b/>
                <w:sz w:val="24"/>
                <w:szCs w:val="24"/>
              </w:rPr>
            </w:pPr>
            <w:r w:rsidRPr="000455A5">
              <w:rPr>
                <w:b/>
                <w:sz w:val="24"/>
                <w:szCs w:val="24"/>
              </w:rPr>
              <w:t>Hepatobiliary disorders</w:t>
            </w:r>
          </w:p>
        </w:tc>
        <w:tc>
          <w:tcPr>
            <w:tcW w:w="6015" w:type="dxa"/>
            <w:tcBorders>
              <w:top w:val="single" w:sz="4" w:space="0" w:color="auto"/>
              <w:left w:val="single" w:sz="4" w:space="0" w:color="auto"/>
              <w:bottom w:val="nil"/>
              <w:right w:val="single" w:sz="4" w:space="0" w:color="auto"/>
            </w:tcBorders>
          </w:tcPr>
          <w:p w14:paraId="6B5A4C18" w14:textId="77777777" w:rsidR="00E84EB9" w:rsidRPr="000455A5" w:rsidRDefault="00E84EB9" w:rsidP="00093056">
            <w:pPr>
              <w:suppressAutoHyphens/>
              <w:rPr>
                <w:bCs/>
                <w:sz w:val="24"/>
                <w:szCs w:val="24"/>
              </w:rPr>
            </w:pPr>
          </w:p>
        </w:tc>
      </w:tr>
      <w:tr w:rsidR="00E84EB9" w:rsidRPr="00BD3F6B" w14:paraId="3FE27718" w14:textId="77777777" w:rsidTr="00B30F9A">
        <w:tc>
          <w:tcPr>
            <w:tcW w:w="3227" w:type="dxa"/>
            <w:tcBorders>
              <w:top w:val="nil"/>
              <w:left w:val="single" w:sz="4" w:space="0" w:color="auto"/>
              <w:bottom w:val="nil"/>
              <w:right w:val="single" w:sz="4" w:space="0" w:color="auto"/>
            </w:tcBorders>
            <w:hideMark/>
          </w:tcPr>
          <w:p w14:paraId="0A9603DA" w14:textId="77777777" w:rsidR="00E84EB9" w:rsidRPr="000455A5" w:rsidRDefault="00E84EB9" w:rsidP="00093056">
            <w:pPr>
              <w:suppressAutoHyphens/>
              <w:rPr>
                <w:bCs/>
                <w:sz w:val="24"/>
                <w:szCs w:val="24"/>
              </w:rPr>
            </w:pPr>
            <w:r w:rsidRPr="000455A5">
              <w:rPr>
                <w:bCs/>
                <w:sz w:val="24"/>
                <w:szCs w:val="24"/>
              </w:rPr>
              <w:t>Common:</w:t>
            </w:r>
          </w:p>
        </w:tc>
        <w:tc>
          <w:tcPr>
            <w:tcW w:w="6015" w:type="dxa"/>
            <w:tcBorders>
              <w:top w:val="nil"/>
              <w:left w:val="single" w:sz="4" w:space="0" w:color="auto"/>
              <w:bottom w:val="nil"/>
              <w:right w:val="single" w:sz="4" w:space="0" w:color="auto"/>
            </w:tcBorders>
            <w:hideMark/>
          </w:tcPr>
          <w:p w14:paraId="4C143FDA" w14:textId="1DA03478" w:rsidR="00E84EB9" w:rsidRPr="000455A5" w:rsidRDefault="00147B93" w:rsidP="00093056">
            <w:pPr>
              <w:suppressAutoHyphens/>
              <w:rPr>
                <w:bCs/>
                <w:sz w:val="24"/>
                <w:szCs w:val="24"/>
              </w:rPr>
            </w:pPr>
            <w:r w:rsidRPr="00147B93">
              <w:rPr>
                <w:bCs/>
                <w:sz w:val="24"/>
                <w:szCs w:val="24"/>
                <w:lang w:val="en-US"/>
              </w:rPr>
              <w:t>L</w:t>
            </w:r>
            <w:r w:rsidR="00E84EB9" w:rsidRPr="000455A5">
              <w:rPr>
                <w:bCs/>
                <w:sz w:val="24"/>
                <w:szCs w:val="24"/>
              </w:rPr>
              <w:t>iver function tests raised (ALT increased, AST increased,</w:t>
            </w:r>
            <w:r w:rsidR="00093056" w:rsidRPr="000455A5">
              <w:rPr>
                <w:bCs/>
                <w:sz w:val="24"/>
                <w:szCs w:val="24"/>
                <w:lang w:val="en-US"/>
              </w:rPr>
              <w:t xml:space="preserve"> </w:t>
            </w:r>
            <w:r w:rsidR="00E84EB9" w:rsidRPr="000455A5">
              <w:rPr>
                <w:bCs/>
                <w:sz w:val="24"/>
                <w:szCs w:val="24"/>
              </w:rPr>
              <w:t>bilirubin increased, alkaline phosphatase increased, GGT</w:t>
            </w:r>
            <w:r w:rsidR="00093056" w:rsidRPr="000455A5">
              <w:rPr>
                <w:bCs/>
                <w:sz w:val="24"/>
                <w:szCs w:val="24"/>
                <w:lang w:val="en-US"/>
              </w:rPr>
              <w:t xml:space="preserve"> </w:t>
            </w:r>
            <w:r w:rsidR="00E84EB9" w:rsidRPr="000455A5">
              <w:rPr>
                <w:bCs/>
                <w:sz w:val="24"/>
                <w:szCs w:val="24"/>
              </w:rPr>
              <w:t>increased)</w:t>
            </w:r>
          </w:p>
        </w:tc>
      </w:tr>
      <w:tr w:rsidR="00E84EB9" w:rsidRPr="00BD3F6B" w14:paraId="71F5B5F4" w14:textId="77777777" w:rsidTr="00B30F9A">
        <w:tc>
          <w:tcPr>
            <w:tcW w:w="3227" w:type="dxa"/>
            <w:tcBorders>
              <w:top w:val="nil"/>
              <w:left w:val="single" w:sz="4" w:space="0" w:color="auto"/>
              <w:bottom w:val="nil"/>
              <w:right w:val="single" w:sz="4" w:space="0" w:color="auto"/>
            </w:tcBorders>
            <w:hideMark/>
          </w:tcPr>
          <w:p w14:paraId="6DFFB8F2"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393644AF" w14:textId="5AA930B3" w:rsidR="00E84EB9" w:rsidRPr="000455A5" w:rsidRDefault="00147B93" w:rsidP="00093056">
            <w:pPr>
              <w:suppressAutoHyphens/>
              <w:rPr>
                <w:bCs/>
                <w:sz w:val="24"/>
                <w:szCs w:val="24"/>
              </w:rPr>
            </w:pPr>
            <w:r w:rsidRPr="00147B93">
              <w:rPr>
                <w:bCs/>
                <w:sz w:val="24"/>
                <w:szCs w:val="24"/>
                <w:lang w:val="en-US"/>
              </w:rPr>
              <w:t>H</w:t>
            </w:r>
            <w:r w:rsidR="00E84EB9" w:rsidRPr="000455A5">
              <w:rPr>
                <w:bCs/>
                <w:sz w:val="24"/>
                <w:szCs w:val="24"/>
              </w:rPr>
              <w:t>epatocellular damage, hepatitis, jaundice, hepatomegaly,</w:t>
            </w:r>
            <w:r w:rsidR="00093056" w:rsidRPr="000455A5">
              <w:rPr>
                <w:bCs/>
                <w:sz w:val="24"/>
                <w:szCs w:val="24"/>
                <w:lang w:val="en-US"/>
              </w:rPr>
              <w:t xml:space="preserve"> </w:t>
            </w:r>
            <w:r w:rsidR="00E84EB9" w:rsidRPr="000455A5">
              <w:rPr>
                <w:bCs/>
                <w:sz w:val="24"/>
                <w:szCs w:val="24"/>
              </w:rPr>
              <w:t>cholestasis, hepatic toxicity, hepatic function abnormal</w:t>
            </w:r>
          </w:p>
        </w:tc>
      </w:tr>
      <w:tr w:rsidR="00E84EB9" w:rsidRPr="00BD3F6B" w14:paraId="055D0707" w14:textId="77777777" w:rsidTr="00B30F9A">
        <w:tc>
          <w:tcPr>
            <w:tcW w:w="3227" w:type="dxa"/>
            <w:tcBorders>
              <w:top w:val="nil"/>
              <w:left w:val="single" w:sz="4" w:space="0" w:color="auto"/>
              <w:bottom w:val="single" w:sz="4" w:space="0" w:color="auto"/>
              <w:right w:val="single" w:sz="4" w:space="0" w:color="auto"/>
            </w:tcBorders>
            <w:hideMark/>
          </w:tcPr>
          <w:p w14:paraId="7A523D4F"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67B0D15F" w14:textId="43356485" w:rsidR="00E84EB9" w:rsidRPr="000455A5" w:rsidRDefault="00147B93" w:rsidP="00093056">
            <w:pPr>
              <w:suppressAutoHyphens/>
              <w:rPr>
                <w:bCs/>
                <w:sz w:val="24"/>
                <w:szCs w:val="24"/>
              </w:rPr>
            </w:pPr>
            <w:r w:rsidRPr="00147B93">
              <w:rPr>
                <w:bCs/>
                <w:sz w:val="24"/>
                <w:szCs w:val="24"/>
                <w:lang w:val="en-US"/>
              </w:rPr>
              <w:t>H</w:t>
            </w:r>
            <w:r w:rsidR="00E84EB9" w:rsidRPr="000455A5">
              <w:rPr>
                <w:bCs/>
                <w:sz w:val="24"/>
                <w:szCs w:val="24"/>
              </w:rPr>
              <w:t>epatic failure, hepatitis cholestatic, hepatosplenomegaly,</w:t>
            </w:r>
            <w:r w:rsidR="00093056" w:rsidRPr="000455A5">
              <w:rPr>
                <w:bCs/>
                <w:sz w:val="24"/>
                <w:szCs w:val="24"/>
                <w:lang w:val="en-US"/>
              </w:rPr>
              <w:t xml:space="preserve"> </w:t>
            </w:r>
            <w:r w:rsidR="00E84EB9" w:rsidRPr="000455A5">
              <w:rPr>
                <w:bCs/>
                <w:sz w:val="24"/>
                <w:szCs w:val="24"/>
              </w:rPr>
              <w:t>liver tenderness, asterixis</w:t>
            </w:r>
          </w:p>
        </w:tc>
      </w:tr>
      <w:tr w:rsidR="00093056" w:rsidRPr="00BD3F6B" w14:paraId="3865F64B" w14:textId="77777777" w:rsidTr="00464950">
        <w:tc>
          <w:tcPr>
            <w:tcW w:w="9242" w:type="dxa"/>
            <w:gridSpan w:val="2"/>
            <w:tcBorders>
              <w:top w:val="single" w:sz="4" w:space="0" w:color="auto"/>
              <w:left w:val="single" w:sz="4" w:space="0" w:color="auto"/>
              <w:bottom w:val="nil"/>
              <w:right w:val="single" w:sz="4" w:space="0" w:color="auto"/>
            </w:tcBorders>
            <w:hideMark/>
          </w:tcPr>
          <w:p w14:paraId="14F5E52F" w14:textId="7BF8FF26" w:rsidR="00093056" w:rsidRPr="000455A5" w:rsidRDefault="00093056" w:rsidP="00093056">
            <w:pPr>
              <w:suppressAutoHyphens/>
              <w:rPr>
                <w:bCs/>
                <w:sz w:val="24"/>
                <w:szCs w:val="24"/>
              </w:rPr>
            </w:pPr>
            <w:r w:rsidRPr="000455A5">
              <w:rPr>
                <w:b/>
                <w:sz w:val="24"/>
                <w:szCs w:val="24"/>
              </w:rPr>
              <w:t>Skin and subcutaneous tissue disorders</w:t>
            </w:r>
          </w:p>
        </w:tc>
      </w:tr>
      <w:tr w:rsidR="00E84EB9" w:rsidRPr="000455A5" w14:paraId="495C439A" w14:textId="77777777" w:rsidTr="00B30F9A">
        <w:tc>
          <w:tcPr>
            <w:tcW w:w="3227" w:type="dxa"/>
            <w:tcBorders>
              <w:top w:val="nil"/>
              <w:left w:val="single" w:sz="4" w:space="0" w:color="auto"/>
              <w:bottom w:val="nil"/>
              <w:right w:val="single" w:sz="4" w:space="0" w:color="auto"/>
            </w:tcBorders>
            <w:hideMark/>
          </w:tcPr>
          <w:p w14:paraId="3AA67A41" w14:textId="77777777" w:rsidR="00E84EB9" w:rsidRPr="000455A5" w:rsidRDefault="00E84EB9" w:rsidP="00093056">
            <w:pPr>
              <w:suppressAutoHyphens/>
              <w:rPr>
                <w:bCs/>
                <w:sz w:val="24"/>
                <w:szCs w:val="24"/>
              </w:rPr>
            </w:pPr>
            <w:r w:rsidRPr="000455A5">
              <w:rPr>
                <w:bCs/>
                <w:sz w:val="24"/>
                <w:szCs w:val="24"/>
              </w:rPr>
              <w:t>Common:</w:t>
            </w:r>
          </w:p>
        </w:tc>
        <w:tc>
          <w:tcPr>
            <w:tcW w:w="6015" w:type="dxa"/>
            <w:tcBorders>
              <w:top w:val="nil"/>
              <w:left w:val="single" w:sz="4" w:space="0" w:color="auto"/>
              <w:bottom w:val="nil"/>
              <w:right w:val="single" w:sz="4" w:space="0" w:color="auto"/>
            </w:tcBorders>
            <w:hideMark/>
          </w:tcPr>
          <w:p w14:paraId="1FACF5BE" w14:textId="1E59E87E" w:rsidR="00E84EB9" w:rsidRPr="000455A5" w:rsidRDefault="00147B93" w:rsidP="00093056">
            <w:pPr>
              <w:suppressAutoHyphens/>
              <w:rPr>
                <w:bCs/>
                <w:sz w:val="24"/>
                <w:szCs w:val="24"/>
              </w:rPr>
            </w:pPr>
            <w:r>
              <w:rPr>
                <w:bCs/>
                <w:sz w:val="24"/>
                <w:szCs w:val="24"/>
                <w:lang w:val="da-DK"/>
              </w:rPr>
              <w:t>R</w:t>
            </w:r>
            <w:r w:rsidR="00E84EB9" w:rsidRPr="000455A5">
              <w:rPr>
                <w:bCs/>
                <w:sz w:val="24"/>
                <w:szCs w:val="24"/>
              </w:rPr>
              <w:t>ash, pruritus</w:t>
            </w:r>
          </w:p>
        </w:tc>
      </w:tr>
      <w:tr w:rsidR="00E84EB9" w:rsidRPr="00BD3F6B" w14:paraId="15F68AEB" w14:textId="77777777" w:rsidTr="00B30F9A">
        <w:tc>
          <w:tcPr>
            <w:tcW w:w="3227" w:type="dxa"/>
            <w:tcBorders>
              <w:top w:val="nil"/>
              <w:left w:val="single" w:sz="4" w:space="0" w:color="auto"/>
              <w:bottom w:val="nil"/>
              <w:right w:val="single" w:sz="4" w:space="0" w:color="auto"/>
            </w:tcBorders>
            <w:hideMark/>
          </w:tcPr>
          <w:p w14:paraId="739A5305"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026FCC20" w14:textId="73AC24FD" w:rsidR="00E84EB9" w:rsidRPr="000455A5" w:rsidRDefault="00147B93" w:rsidP="00093056">
            <w:pPr>
              <w:suppressAutoHyphens/>
              <w:rPr>
                <w:bCs/>
                <w:sz w:val="24"/>
                <w:szCs w:val="24"/>
              </w:rPr>
            </w:pPr>
            <w:r w:rsidRPr="00147B93">
              <w:rPr>
                <w:bCs/>
                <w:sz w:val="24"/>
                <w:szCs w:val="24"/>
                <w:lang w:val="en-US"/>
              </w:rPr>
              <w:t>M</w:t>
            </w:r>
            <w:r w:rsidR="00E84EB9" w:rsidRPr="000455A5">
              <w:rPr>
                <w:bCs/>
                <w:sz w:val="24"/>
                <w:szCs w:val="24"/>
              </w:rPr>
              <w:t>outh ulceration, alopecia, dermatitis, erythema, petechiae</w:t>
            </w:r>
          </w:p>
        </w:tc>
      </w:tr>
      <w:tr w:rsidR="00E84EB9" w:rsidRPr="00BD3F6B" w14:paraId="36A75F9C" w14:textId="77777777" w:rsidTr="001C3BD3">
        <w:tc>
          <w:tcPr>
            <w:tcW w:w="3227" w:type="dxa"/>
            <w:tcBorders>
              <w:top w:val="nil"/>
              <w:left w:val="single" w:sz="4" w:space="0" w:color="auto"/>
              <w:bottom w:val="nil"/>
              <w:right w:val="single" w:sz="4" w:space="0" w:color="auto"/>
            </w:tcBorders>
            <w:hideMark/>
          </w:tcPr>
          <w:p w14:paraId="2E3C220E"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nil"/>
              <w:right w:val="single" w:sz="4" w:space="0" w:color="auto"/>
            </w:tcBorders>
            <w:hideMark/>
          </w:tcPr>
          <w:p w14:paraId="53F344E8" w14:textId="77777777" w:rsidR="00E84EB9" w:rsidRPr="000455A5" w:rsidRDefault="00E84EB9" w:rsidP="00093056">
            <w:pPr>
              <w:suppressAutoHyphens/>
              <w:rPr>
                <w:bCs/>
                <w:sz w:val="24"/>
                <w:szCs w:val="24"/>
              </w:rPr>
            </w:pPr>
            <w:r w:rsidRPr="000455A5">
              <w:rPr>
                <w:bCs/>
                <w:sz w:val="24"/>
                <w:szCs w:val="24"/>
              </w:rPr>
              <w:t>Stevens Johnson syndrome, vesicular rash</w:t>
            </w:r>
          </w:p>
        </w:tc>
      </w:tr>
      <w:tr w:rsidR="001C3BD3" w:rsidRPr="001C3BD3" w14:paraId="7F9B01D2" w14:textId="77777777" w:rsidTr="00B30F9A">
        <w:tc>
          <w:tcPr>
            <w:tcW w:w="3227" w:type="dxa"/>
            <w:tcBorders>
              <w:top w:val="nil"/>
              <w:left w:val="single" w:sz="4" w:space="0" w:color="auto"/>
              <w:bottom w:val="single" w:sz="4" w:space="0" w:color="auto"/>
              <w:right w:val="single" w:sz="4" w:space="0" w:color="auto"/>
            </w:tcBorders>
          </w:tcPr>
          <w:p w14:paraId="7D84820C" w14:textId="0A94496E" w:rsidR="001C3BD3" w:rsidRPr="000455A5" w:rsidRDefault="001C3BD3" w:rsidP="00093056">
            <w:pPr>
              <w:suppressAutoHyphens/>
              <w:rPr>
                <w:bCs/>
                <w:sz w:val="24"/>
                <w:szCs w:val="24"/>
              </w:rPr>
            </w:pPr>
            <w:r>
              <w:rPr>
                <w:bCs/>
                <w:szCs w:val="24"/>
              </w:rPr>
              <w:t>Not known:</w:t>
            </w:r>
          </w:p>
        </w:tc>
        <w:tc>
          <w:tcPr>
            <w:tcW w:w="6015" w:type="dxa"/>
            <w:tcBorders>
              <w:top w:val="nil"/>
              <w:left w:val="single" w:sz="4" w:space="0" w:color="auto"/>
              <w:bottom w:val="single" w:sz="4" w:space="0" w:color="auto"/>
              <w:right w:val="single" w:sz="4" w:space="0" w:color="auto"/>
            </w:tcBorders>
          </w:tcPr>
          <w:p w14:paraId="5F7DFE8B" w14:textId="3903DA51" w:rsidR="001C3BD3" w:rsidRPr="000455A5" w:rsidRDefault="001C3BD3" w:rsidP="00093056">
            <w:pPr>
              <w:suppressAutoHyphens/>
              <w:rPr>
                <w:bCs/>
                <w:sz w:val="24"/>
                <w:szCs w:val="24"/>
              </w:rPr>
            </w:pPr>
            <w:r>
              <w:rPr>
                <w:bCs/>
                <w:szCs w:val="24"/>
                <w:lang w:val="da-DK"/>
              </w:rPr>
              <w:t>P</w:t>
            </w:r>
            <w:r>
              <w:rPr>
                <w:bCs/>
                <w:szCs w:val="24"/>
              </w:rPr>
              <w:t>hotosensitivity reaction</w:t>
            </w:r>
            <w:r>
              <w:rPr>
                <w:bCs/>
                <w:szCs w:val="24"/>
                <w:vertAlign w:val="superscript"/>
              </w:rPr>
              <w:t>§</w:t>
            </w:r>
          </w:p>
        </w:tc>
      </w:tr>
      <w:tr w:rsidR="00093056" w:rsidRPr="00BD3F6B" w14:paraId="14CF72B5" w14:textId="77777777" w:rsidTr="00464950">
        <w:tc>
          <w:tcPr>
            <w:tcW w:w="9242" w:type="dxa"/>
            <w:gridSpan w:val="2"/>
            <w:tcBorders>
              <w:top w:val="single" w:sz="4" w:space="0" w:color="auto"/>
              <w:left w:val="single" w:sz="4" w:space="0" w:color="auto"/>
              <w:bottom w:val="nil"/>
              <w:right w:val="single" w:sz="4" w:space="0" w:color="auto"/>
            </w:tcBorders>
            <w:hideMark/>
          </w:tcPr>
          <w:p w14:paraId="30785E89" w14:textId="1DF86160" w:rsidR="00093056" w:rsidRPr="000455A5" w:rsidRDefault="00093056" w:rsidP="00093056">
            <w:pPr>
              <w:suppressAutoHyphens/>
              <w:rPr>
                <w:bCs/>
                <w:sz w:val="24"/>
                <w:szCs w:val="24"/>
              </w:rPr>
            </w:pPr>
            <w:r w:rsidRPr="000455A5">
              <w:rPr>
                <w:b/>
                <w:sz w:val="24"/>
                <w:szCs w:val="24"/>
              </w:rPr>
              <w:t>Musculoskeletal and connective tissue disorders</w:t>
            </w:r>
          </w:p>
        </w:tc>
      </w:tr>
      <w:tr w:rsidR="00E84EB9" w:rsidRPr="00BD3F6B" w14:paraId="5D955939" w14:textId="77777777" w:rsidTr="00B30F9A">
        <w:tc>
          <w:tcPr>
            <w:tcW w:w="3227" w:type="dxa"/>
            <w:tcBorders>
              <w:top w:val="nil"/>
              <w:left w:val="single" w:sz="4" w:space="0" w:color="auto"/>
              <w:bottom w:val="single" w:sz="4" w:space="0" w:color="auto"/>
              <w:right w:val="single" w:sz="4" w:space="0" w:color="auto"/>
            </w:tcBorders>
            <w:hideMark/>
          </w:tcPr>
          <w:p w14:paraId="7570416C"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single" w:sz="4" w:space="0" w:color="auto"/>
              <w:right w:val="single" w:sz="4" w:space="0" w:color="auto"/>
            </w:tcBorders>
            <w:hideMark/>
          </w:tcPr>
          <w:p w14:paraId="6E8ACADC" w14:textId="4BB8A1F1" w:rsidR="00E84EB9" w:rsidRPr="000455A5" w:rsidRDefault="00147B93" w:rsidP="00093056">
            <w:pPr>
              <w:suppressAutoHyphens/>
              <w:rPr>
                <w:bCs/>
                <w:sz w:val="24"/>
                <w:szCs w:val="24"/>
              </w:rPr>
            </w:pPr>
            <w:r w:rsidRPr="00147B93">
              <w:rPr>
                <w:bCs/>
                <w:sz w:val="24"/>
                <w:szCs w:val="24"/>
                <w:lang w:val="en-US"/>
              </w:rPr>
              <w:t>B</w:t>
            </w:r>
            <w:r w:rsidR="00E84EB9" w:rsidRPr="000455A5">
              <w:rPr>
                <w:bCs/>
                <w:sz w:val="24"/>
                <w:szCs w:val="24"/>
              </w:rPr>
              <w:t>ack pain, neck pain, musculoskeletal pain, pain in extremity</w:t>
            </w:r>
          </w:p>
        </w:tc>
      </w:tr>
      <w:tr w:rsidR="00093056" w:rsidRPr="000455A5" w14:paraId="6793A5AE" w14:textId="77777777" w:rsidTr="00464950">
        <w:tc>
          <w:tcPr>
            <w:tcW w:w="9242" w:type="dxa"/>
            <w:gridSpan w:val="2"/>
            <w:tcBorders>
              <w:top w:val="single" w:sz="4" w:space="0" w:color="auto"/>
              <w:left w:val="single" w:sz="4" w:space="0" w:color="auto"/>
              <w:bottom w:val="nil"/>
              <w:right w:val="single" w:sz="4" w:space="0" w:color="auto"/>
            </w:tcBorders>
            <w:hideMark/>
          </w:tcPr>
          <w:p w14:paraId="4637D92E" w14:textId="12ECA5DD" w:rsidR="00093056" w:rsidRPr="000455A5" w:rsidRDefault="00093056" w:rsidP="00093056">
            <w:pPr>
              <w:suppressAutoHyphens/>
              <w:rPr>
                <w:bCs/>
                <w:sz w:val="24"/>
                <w:szCs w:val="24"/>
              </w:rPr>
            </w:pPr>
            <w:r w:rsidRPr="000455A5">
              <w:rPr>
                <w:b/>
                <w:sz w:val="24"/>
                <w:szCs w:val="24"/>
              </w:rPr>
              <w:t>Renal and urinary disorders</w:t>
            </w:r>
          </w:p>
        </w:tc>
      </w:tr>
      <w:tr w:rsidR="00E84EB9" w:rsidRPr="00BD3F6B" w14:paraId="7EB0166C" w14:textId="77777777" w:rsidTr="00B30F9A">
        <w:tc>
          <w:tcPr>
            <w:tcW w:w="3227" w:type="dxa"/>
            <w:tcBorders>
              <w:top w:val="nil"/>
              <w:left w:val="single" w:sz="4" w:space="0" w:color="auto"/>
              <w:bottom w:val="nil"/>
              <w:right w:val="single" w:sz="4" w:space="0" w:color="auto"/>
            </w:tcBorders>
            <w:hideMark/>
          </w:tcPr>
          <w:p w14:paraId="2647FA99"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3265991F" w14:textId="24CCF632" w:rsidR="00E84EB9" w:rsidRPr="000455A5" w:rsidRDefault="00147B93" w:rsidP="00093056">
            <w:pPr>
              <w:suppressAutoHyphens/>
              <w:rPr>
                <w:bCs/>
                <w:sz w:val="24"/>
                <w:szCs w:val="24"/>
              </w:rPr>
            </w:pPr>
            <w:r w:rsidRPr="000D426D">
              <w:rPr>
                <w:bCs/>
                <w:sz w:val="24"/>
                <w:szCs w:val="24"/>
                <w:lang w:val="en-US"/>
              </w:rPr>
              <w:t>A</w:t>
            </w:r>
            <w:r w:rsidR="00E84EB9" w:rsidRPr="000455A5">
              <w:rPr>
                <w:bCs/>
                <w:sz w:val="24"/>
                <w:szCs w:val="24"/>
              </w:rPr>
              <w:t>cute renal failure, renal failure, blood creatinine increased</w:t>
            </w:r>
          </w:p>
        </w:tc>
      </w:tr>
      <w:tr w:rsidR="00E84EB9" w:rsidRPr="00BD3F6B" w14:paraId="0F008645" w14:textId="77777777" w:rsidTr="00B30F9A">
        <w:tc>
          <w:tcPr>
            <w:tcW w:w="3227" w:type="dxa"/>
            <w:tcBorders>
              <w:top w:val="nil"/>
              <w:left w:val="single" w:sz="4" w:space="0" w:color="auto"/>
              <w:bottom w:val="single" w:sz="4" w:space="0" w:color="auto"/>
              <w:right w:val="single" w:sz="4" w:space="0" w:color="auto"/>
            </w:tcBorders>
            <w:hideMark/>
          </w:tcPr>
          <w:p w14:paraId="4459171C"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28D859FA" w14:textId="5507F306" w:rsidR="00E84EB9" w:rsidRPr="000455A5" w:rsidRDefault="000D426D" w:rsidP="00093056">
            <w:pPr>
              <w:suppressAutoHyphens/>
              <w:rPr>
                <w:bCs/>
                <w:sz w:val="24"/>
                <w:szCs w:val="24"/>
              </w:rPr>
            </w:pPr>
            <w:r w:rsidRPr="000D426D">
              <w:rPr>
                <w:bCs/>
                <w:sz w:val="24"/>
                <w:szCs w:val="24"/>
                <w:lang w:val="en-US"/>
              </w:rPr>
              <w:t>R</w:t>
            </w:r>
            <w:r w:rsidR="00E84EB9" w:rsidRPr="000455A5">
              <w:rPr>
                <w:bCs/>
                <w:sz w:val="24"/>
                <w:szCs w:val="24"/>
              </w:rPr>
              <w:t>enal tubular acidosis, interstitial nephritis</w:t>
            </w:r>
          </w:p>
        </w:tc>
      </w:tr>
      <w:tr w:rsidR="00093056" w:rsidRPr="00BD3F6B" w14:paraId="33003AF1" w14:textId="77777777" w:rsidTr="00464950">
        <w:tc>
          <w:tcPr>
            <w:tcW w:w="9242" w:type="dxa"/>
            <w:gridSpan w:val="2"/>
            <w:tcBorders>
              <w:top w:val="single" w:sz="4" w:space="0" w:color="auto"/>
              <w:left w:val="single" w:sz="4" w:space="0" w:color="auto"/>
              <w:bottom w:val="nil"/>
              <w:right w:val="single" w:sz="4" w:space="0" w:color="auto"/>
            </w:tcBorders>
            <w:hideMark/>
          </w:tcPr>
          <w:p w14:paraId="007C1362" w14:textId="14A94C0E" w:rsidR="00093056" w:rsidRPr="000455A5" w:rsidRDefault="00093056" w:rsidP="00093056">
            <w:pPr>
              <w:suppressAutoHyphens/>
              <w:rPr>
                <w:bCs/>
                <w:sz w:val="24"/>
                <w:szCs w:val="24"/>
              </w:rPr>
            </w:pPr>
            <w:r w:rsidRPr="000455A5">
              <w:rPr>
                <w:b/>
                <w:sz w:val="24"/>
                <w:szCs w:val="24"/>
              </w:rPr>
              <w:t>Reproductive system and breasts disorders</w:t>
            </w:r>
          </w:p>
        </w:tc>
      </w:tr>
      <w:tr w:rsidR="00E84EB9" w:rsidRPr="000455A5" w14:paraId="750C412D" w14:textId="77777777" w:rsidTr="00B30F9A">
        <w:tc>
          <w:tcPr>
            <w:tcW w:w="3227" w:type="dxa"/>
            <w:tcBorders>
              <w:top w:val="nil"/>
              <w:left w:val="single" w:sz="4" w:space="0" w:color="auto"/>
              <w:bottom w:val="nil"/>
              <w:right w:val="single" w:sz="4" w:space="0" w:color="auto"/>
            </w:tcBorders>
            <w:hideMark/>
          </w:tcPr>
          <w:p w14:paraId="2AE20D10"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3D1BF82A" w14:textId="68F77390" w:rsidR="00E84EB9" w:rsidRPr="000455A5" w:rsidRDefault="000D426D" w:rsidP="00093056">
            <w:pPr>
              <w:suppressAutoHyphens/>
              <w:rPr>
                <w:bCs/>
                <w:sz w:val="24"/>
                <w:szCs w:val="24"/>
              </w:rPr>
            </w:pPr>
            <w:r>
              <w:rPr>
                <w:bCs/>
                <w:sz w:val="24"/>
                <w:szCs w:val="24"/>
                <w:lang w:val="da-DK"/>
              </w:rPr>
              <w:t>M</w:t>
            </w:r>
            <w:r w:rsidR="00E84EB9" w:rsidRPr="000455A5">
              <w:rPr>
                <w:bCs/>
                <w:sz w:val="24"/>
                <w:szCs w:val="24"/>
              </w:rPr>
              <w:t>enstrual disorder</w:t>
            </w:r>
          </w:p>
        </w:tc>
      </w:tr>
      <w:tr w:rsidR="00E84EB9" w:rsidRPr="000455A5" w14:paraId="73629302" w14:textId="77777777" w:rsidTr="00B30F9A">
        <w:tc>
          <w:tcPr>
            <w:tcW w:w="3227" w:type="dxa"/>
            <w:tcBorders>
              <w:top w:val="nil"/>
              <w:left w:val="single" w:sz="4" w:space="0" w:color="auto"/>
              <w:bottom w:val="single" w:sz="4" w:space="0" w:color="auto"/>
              <w:right w:val="single" w:sz="4" w:space="0" w:color="auto"/>
            </w:tcBorders>
            <w:hideMark/>
          </w:tcPr>
          <w:p w14:paraId="722D62AA" w14:textId="77777777" w:rsidR="00E84EB9" w:rsidRPr="000455A5" w:rsidRDefault="00E84EB9" w:rsidP="00093056">
            <w:pPr>
              <w:suppressAutoHyphens/>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522F15C2" w14:textId="7D68E4AF" w:rsidR="00E84EB9" w:rsidRPr="000455A5" w:rsidRDefault="000D426D" w:rsidP="00093056">
            <w:pPr>
              <w:suppressAutoHyphens/>
              <w:rPr>
                <w:bCs/>
                <w:sz w:val="24"/>
                <w:szCs w:val="24"/>
              </w:rPr>
            </w:pPr>
            <w:r>
              <w:rPr>
                <w:bCs/>
                <w:sz w:val="24"/>
                <w:szCs w:val="24"/>
                <w:lang w:val="da-DK"/>
              </w:rPr>
              <w:t>B</w:t>
            </w:r>
            <w:r w:rsidR="00E84EB9" w:rsidRPr="000455A5">
              <w:rPr>
                <w:bCs/>
                <w:sz w:val="24"/>
                <w:szCs w:val="24"/>
              </w:rPr>
              <w:t>reast pain</w:t>
            </w:r>
          </w:p>
        </w:tc>
      </w:tr>
      <w:tr w:rsidR="00093056" w:rsidRPr="00BD3F6B" w14:paraId="55F1D555" w14:textId="77777777" w:rsidTr="00464950">
        <w:tc>
          <w:tcPr>
            <w:tcW w:w="9242" w:type="dxa"/>
            <w:gridSpan w:val="2"/>
            <w:tcBorders>
              <w:top w:val="single" w:sz="4" w:space="0" w:color="auto"/>
              <w:left w:val="single" w:sz="4" w:space="0" w:color="auto"/>
              <w:bottom w:val="nil"/>
              <w:right w:val="single" w:sz="4" w:space="0" w:color="auto"/>
            </w:tcBorders>
            <w:hideMark/>
          </w:tcPr>
          <w:p w14:paraId="71E0BE4F" w14:textId="10E0E58C" w:rsidR="00093056" w:rsidRPr="000455A5" w:rsidRDefault="00093056" w:rsidP="00093056">
            <w:pPr>
              <w:suppressAutoHyphens/>
              <w:rPr>
                <w:bCs/>
                <w:sz w:val="24"/>
                <w:szCs w:val="24"/>
              </w:rPr>
            </w:pPr>
            <w:r w:rsidRPr="000455A5">
              <w:rPr>
                <w:b/>
                <w:sz w:val="24"/>
                <w:szCs w:val="24"/>
              </w:rPr>
              <w:t>General disorders and administration site conditions</w:t>
            </w:r>
          </w:p>
        </w:tc>
      </w:tr>
      <w:tr w:rsidR="00E84EB9" w:rsidRPr="000455A5" w14:paraId="6E513369" w14:textId="77777777" w:rsidTr="00B30F9A">
        <w:tc>
          <w:tcPr>
            <w:tcW w:w="3227" w:type="dxa"/>
            <w:tcBorders>
              <w:top w:val="nil"/>
              <w:left w:val="single" w:sz="4" w:space="0" w:color="auto"/>
              <w:bottom w:val="nil"/>
              <w:right w:val="single" w:sz="4" w:space="0" w:color="auto"/>
            </w:tcBorders>
            <w:hideMark/>
          </w:tcPr>
          <w:p w14:paraId="399208CD" w14:textId="77777777" w:rsidR="00E84EB9" w:rsidRPr="000455A5" w:rsidRDefault="00E84EB9" w:rsidP="00093056">
            <w:pPr>
              <w:rPr>
                <w:bCs/>
                <w:sz w:val="24"/>
                <w:szCs w:val="24"/>
              </w:rPr>
            </w:pPr>
            <w:r w:rsidRPr="000455A5">
              <w:rPr>
                <w:bCs/>
                <w:sz w:val="24"/>
                <w:szCs w:val="24"/>
              </w:rPr>
              <w:t>Common:</w:t>
            </w:r>
          </w:p>
        </w:tc>
        <w:tc>
          <w:tcPr>
            <w:tcW w:w="6015" w:type="dxa"/>
            <w:tcBorders>
              <w:top w:val="nil"/>
              <w:left w:val="single" w:sz="4" w:space="0" w:color="auto"/>
              <w:bottom w:val="nil"/>
              <w:right w:val="single" w:sz="4" w:space="0" w:color="auto"/>
            </w:tcBorders>
            <w:hideMark/>
          </w:tcPr>
          <w:p w14:paraId="32688208" w14:textId="504A091F" w:rsidR="00E84EB9" w:rsidRPr="000455A5" w:rsidRDefault="000D426D" w:rsidP="00093056">
            <w:pPr>
              <w:suppressAutoHyphens/>
              <w:rPr>
                <w:bCs/>
                <w:sz w:val="24"/>
                <w:szCs w:val="24"/>
              </w:rPr>
            </w:pPr>
            <w:r>
              <w:rPr>
                <w:bCs/>
                <w:sz w:val="24"/>
                <w:szCs w:val="24"/>
                <w:lang w:val="da-DK"/>
              </w:rPr>
              <w:t>P</w:t>
            </w:r>
            <w:r w:rsidR="00E84EB9" w:rsidRPr="000455A5">
              <w:rPr>
                <w:bCs/>
                <w:sz w:val="24"/>
                <w:szCs w:val="24"/>
              </w:rPr>
              <w:t>yrexia (fever), asthenia, fatigue</w:t>
            </w:r>
          </w:p>
        </w:tc>
      </w:tr>
      <w:tr w:rsidR="00E84EB9" w:rsidRPr="00BD3F6B" w14:paraId="556CDC6E" w14:textId="77777777" w:rsidTr="00B30F9A">
        <w:tc>
          <w:tcPr>
            <w:tcW w:w="3227" w:type="dxa"/>
            <w:tcBorders>
              <w:top w:val="nil"/>
              <w:left w:val="single" w:sz="4" w:space="0" w:color="auto"/>
              <w:bottom w:val="nil"/>
              <w:right w:val="single" w:sz="4" w:space="0" w:color="auto"/>
            </w:tcBorders>
            <w:hideMark/>
          </w:tcPr>
          <w:p w14:paraId="3C2E406D" w14:textId="77777777" w:rsidR="00E84EB9" w:rsidRPr="000455A5" w:rsidRDefault="00E84EB9" w:rsidP="00093056">
            <w:pPr>
              <w:rPr>
                <w:bCs/>
                <w:sz w:val="24"/>
                <w:szCs w:val="24"/>
              </w:rPr>
            </w:pPr>
            <w:r w:rsidRPr="000455A5">
              <w:rPr>
                <w:bCs/>
                <w:sz w:val="24"/>
                <w:szCs w:val="24"/>
              </w:rPr>
              <w:t>Uncommon:</w:t>
            </w:r>
          </w:p>
        </w:tc>
        <w:tc>
          <w:tcPr>
            <w:tcW w:w="6015" w:type="dxa"/>
            <w:tcBorders>
              <w:top w:val="nil"/>
              <w:left w:val="single" w:sz="4" w:space="0" w:color="auto"/>
              <w:bottom w:val="nil"/>
              <w:right w:val="single" w:sz="4" w:space="0" w:color="auto"/>
            </w:tcBorders>
            <w:hideMark/>
          </w:tcPr>
          <w:p w14:paraId="6D8D0104" w14:textId="407E3BC0" w:rsidR="00E84EB9" w:rsidRPr="000455A5" w:rsidRDefault="000D426D" w:rsidP="005E5A3B">
            <w:pPr>
              <w:suppressAutoHyphens/>
              <w:rPr>
                <w:bCs/>
                <w:sz w:val="24"/>
                <w:szCs w:val="24"/>
              </w:rPr>
            </w:pPr>
            <w:r w:rsidRPr="000D426D">
              <w:rPr>
                <w:bCs/>
                <w:sz w:val="24"/>
                <w:szCs w:val="24"/>
                <w:lang w:val="en-US"/>
              </w:rPr>
              <w:t>O</w:t>
            </w:r>
            <w:r w:rsidR="00E84EB9" w:rsidRPr="000455A5">
              <w:rPr>
                <w:bCs/>
                <w:sz w:val="24"/>
                <w:szCs w:val="24"/>
              </w:rPr>
              <w:t>edema, pain, chills, malaise, chest discomfort, drug</w:t>
            </w:r>
            <w:r w:rsidR="005E5A3B" w:rsidRPr="005E5A3B">
              <w:rPr>
                <w:bCs/>
                <w:sz w:val="24"/>
                <w:szCs w:val="24"/>
                <w:lang w:val="en-US"/>
              </w:rPr>
              <w:t xml:space="preserve"> </w:t>
            </w:r>
            <w:r w:rsidR="00E84EB9" w:rsidRPr="000455A5">
              <w:rPr>
                <w:bCs/>
                <w:sz w:val="24"/>
                <w:szCs w:val="24"/>
              </w:rPr>
              <w:t>intolerance, feeling jittery, mucosal inflammation</w:t>
            </w:r>
          </w:p>
        </w:tc>
      </w:tr>
      <w:tr w:rsidR="00E84EB9" w:rsidRPr="000455A5" w14:paraId="3A6A0FCE" w14:textId="77777777" w:rsidTr="00B30F9A">
        <w:tc>
          <w:tcPr>
            <w:tcW w:w="3227" w:type="dxa"/>
            <w:tcBorders>
              <w:top w:val="nil"/>
              <w:left w:val="single" w:sz="4" w:space="0" w:color="auto"/>
              <w:bottom w:val="single" w:sz="4" w:space="0" w:color="auto"/>
              <w:right w:val="single" w:sz="4" w:space="0" w:color="auto"/>
            </w:tcBorders>
            <w:hideMark/>
          </w:tcPr>
          <w:p w14:paraId="4C514A0B" w14:textId="77777777" w:rsidR="00E84EB9" w:rsidRPr="000455A5" w:rsidRDefault="00E84EB9" w:rsidP="00093056">
            <w:pPr>
              <w:rPr>
                <w:bCs/>
                <w:sz w:val="24"/>
                <w:szCs w:val="24"/>
              </w:rPr>
            </w:pPr>
            <w:r w:rsidRPr="000455A5">
              <w:rPr>
                <w:bCs/>
                <w:sz w:val="24"/>
                <w:szCs w:val="24"/>
              </w:rPr>
              <w:t>Rare:</w:t>
            </w:r>
          </w:p>
        </w:tc>
        <w:tc>
          <w:tcPr>
            <w:tcW w:w="6015" w:type="dxa"/>
            <w:tcBorders>
              <w:top w:val="nil"/>
              <w:left w:val="single" w:sz="4" w:space="0" w:color="auto"/>
              <w:bottom w:val="single" w:sz="4" w:space="0" w:color="auto"/>
              <w:right w:val="single" w:sz="4" w:space="0" w:color="auto"/>
            </w:tcBorders>
            <w:hideMark/>
          </w:tcPr>
          <w:p w14:paraId="659258EB" w14:textId="1BFFF159" w:rsidR="00E84EB9" w:rsidRPr="000455A5" w:rsidRDefault="000D426D" w:rsidP="00093056">
            <w:pPr>
              <w:suppressAutoHyphens/>
              <w:rPr>
                <w:bCs/>
                <w:sz w:val="24"/>
                <w:szCs w:val="24"/>
              </w:rPr>
            </w:pPr>
            <w:r>
              <w:rPr>
                <w:bCs/>
                <w:sz w:val="24"/>
                <w:szCs w:val="24"/>
                <w:lang w:val="da-DK"/>
              </w:rPr>
              <w:t>T</w:t>
            </w:r>
            <w:r w:rsidR="00E84EB9" w:rsidRPr="000455A5">
              <w:rPr>
                <w:bCs/>
                <w:sz w:val="24"/>
                <w:szCs w:val="24"/>
              </w:rPr>
              <w:t>ongue oedema, face oedema</w:t>
            </w:r>
          </w:p>
        </w:tc>
      </w:tr>
      <w:tr w:rsidR="00093056" w:rsidRPr="000455A5" w14:paraId="132F2B80" w14:textId="77777777" w:rsidTr="00464950">
        <w:tc>
          <w:tcPr>
            <w:tcW w:w="9242" w:type="dxa"/>
            <w:gridSpan w:val="2"/>
            <w:tcBorders>
              <w:top w:val="single" w:sz="4" w:space="0" w:color="auto"/>
              <w:left w:val="single" w:sz="4" w:space="0" w:color="auto"/>
              <w:bottom w:val="nil"/>
              <w:right w:val="single" w:sz="4" w:space="0" w:color="auto"/>
            </w:tcBorders>
            <w:hideMark/>
          </w:tcPr>
          <w:p w14:paraId="51610CA6" w14:textId="4B7AA41A" w:rsidR="00093056" w:rsidRPr="000455A5" w:rsidRDefault="00093056" w:rsidP="00093056">
            <w:pPr>
              <w:suppressAutoHyphens/>
              <w:rPr>
                <w:bCs/>
                <w:sz w:val="24"/>
                <w:szCs w:val="24"/>
              </w:rPr>
            </w:pPr>
            <w:r w:rsidRPr="000455A5">
              <w:rPr>
                <w:b/>
                <w:sz w:val="24"/>
                <w:szCs w:val="24"/>
              </w:rPr>
              <w:t>Investigations</w:t>
            </w:r>
          </w:p>
        </w:tc>
      </w:tr>
      <w:tr w:rsidR="00E84EB9" w:rsidRPr="00BD3F6B" w14:paraId="27D9DC1D" w14:textId="77777777" w:rsidTr="00B30F9A">
        <w:tc>
          <w:tcPr>
            <w:tcW w:w="3227" w:type="dxa"/>
            <w:tcBorders>
              <w:top w:val="nil"/>
              <w:left w:val="single" w:sz="4" w:space="0" w:color="auto"/>
              <w:bottom w:val="single" w:sz="4" w:space="0" w:color="auto"/>
              <w:right w:val="single" w:sz="4" w:space="0" w:color="auto"/>
            </w:tcBorders>
            <w:hideMark/>
          </w:tcPr>
          <w:p w14:paraId="13A49642" w14:textId="77777777" w:rsidR="00E84EB9" w:rsidRPr="000455A5" w:rsidRDefault="00E84EB9" w:rsidP="00093056">
            <w:pPr>
              <w:suppressAutoHyphens/>
              <w:rPr>
                <w:bCs/>
                <w:sz w:val="24"/>
                <w:szCs w:val="24"/>
              </w:rPr>
            </w:pPr>
            <w:r w:rsidRPr="000455A5">
              <w:rPr>
                <w:bCs/>
                <w:sz w:val="24"/>
                <w:szCs w:val="24"/>
              </w:rPr>
              <w:t>Uncommon:</w:t>
            </w:r>
          </w:p>
        </w:tc>
        <w:tc>
          <w:tcPr>
            <w:tcW w:w="6015" w:type="dxa"/>
            <w:tcBorders>
              <w:top w:val="nil"/>
              <w:left w:val="single" w:sz="4" w:space="0" w:color="auto"/>
              <w:bottom w:val="single" w:sz="4" w:space="0" w:color="auto"/>
              <w:right w:val="single" w:sz="4" w:space="0" w:color="auto"/>
            </w:tcBorders>
            <w:hideMark/>
          </w:tcPr>
          <w:p w14:paraId="2C2523C4" w14:textId="1B135FD6" w:rsidR="00E84EB9" w:rsidRPr="000455A5" w:rsidRDefault="004A6336" w:rsidP="00093056">
            <w:pPr>
              <w:suppressAutoHyphens/>
              <w:rPr>
                <w:bCs/>
                <w:sz w:val="24"/>
                <w:szCs w:val="24"/>
              </w:rPr>
            </w:pPr>
            <w:r w:rsidRPr="004A6336">
              <w:rPr>
                <w:bCs/>
                <w:sz w:val="24"/>
                <w:szCs w:val="24"/>
                <w:lang w:val="en-US"/>
              </w:rPr>
              <w:t>A</w:t>
            </w:r>
            <w:r w:rsidR="00E84EB9" w:rsidRPr="000455A5">
              <w:rPr>
                <w:bCs/>
                <w:sz w:val="24"/>
                <w:szCs w:val="24"/>
              </w:rPr>
              <w:t>ltered medicine levels, blood phosphorus decreased, chest x-ray abnormal</w:t>
            </w:r>
          </w:p>
        </w:tc>
      </w:tr>
    </w:tbl>
    <w:p w14:paraId="4FAEC837" w14:textId="750744E1" w:rsidR="0072629F" w:rsidRDefault="0072629F" w:rsidP="005E5A3B">
      <w:pPr>
        <w:pStyle w:val="Brdtekst2"/>
        <w:ind w:left="1134" w:hanging="283"/>
        <w:jc w:val="left"/>
      </w:pPr>
      <w:r>
        <w:t xml:space="preserve">* </w:t>
      </w:r>
      <w:r w:rsidR="005E5A3B">
        <w:tab/>
      </w:r>
      <w:r>
        <w:t>Based on adverse reactions observed with the oral suspension, gastro-resistant tablets, concentrate for solution for infusion and gastro-resistant powder and solvent for oral suspension.</w:t>
      </w:r>
    </w:p>
    <w:p w14:paraId="40351D98" w14:textId="7252460E" w:rsidR="00E84EB9" w:rsidRPr="004A6336" w:rsidRDefault="00E84EB9" w:rsidP="005E5A3B">
      <w:pPr>
        <w:ind w:left="1134" w:hanging="283"/>
        <w:rPr>
          <w:sz w:val="20"/>
          <w:lang w:val="en-US" w:eastAsia="el-GR"/>
        </w:rPr>
      </w:pPr>
      <w:r w:rsidRPr="004A6336">
        <w:rPr>
          <w:sz w:val="20"/>
          <w:vertAlign w:val="superscript"/>
          <w:lang w:val="en-US" w:eastAsia="el-GR"/>
        </w:rPr>
        <w:t>§</w:t>
      </w:r>
      <w:r w:rsidRPr="004A6336">
        <w:rPr>
          <w:sz w:val="20"/>
          <w:lang w:val="en-US" w:eastAsia="el-GR"/>
        </w:rPr>
        <w:t xml:space="preserve"> </w:t>
      </w:r>
      <w:r w:rsidR="004A6336">
        <w:rPr>
          <w:sz w:val="20"/>
          <w:lang w:val="en-US" w:eastAsia="el-GR"/>
        </w:rPr>
        <w:tab/>
      </w:r>
      <w:r w:rsidRPr="004A6336">
        <w:rPr>
          <w:sz w:val="20"/>
          <w:lang w:val="en-US" w:eastAsia="el-GR"/>
        </w:rPr>
        <w:t>See section 4.4.</w:t>
      </w:r>
    </w:p>
    <w:p w14:paraId="50BD2DF4" w14:textId="77777777" w:rsidR="00E84EB9" w:rsidRPr="000455A5" w:rsidRDefault="00E84EB9" w:rsidP="003649BE">
      <w:pPr>
        <w:ind w:left="851"/>
        <w:rPr>
          <w:sz w:val="24"/>
          <w:szCs w:val="24"/>
          <w:lang w:val="en-US" w:eastAsia="el-GR"/>
        </w:rPr>
      </w:pPr>
    </w:p>
    <w:p w14:paraId="0498CC66"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Description of selected adverse reactions</w:t>
      </w:r>
    </w:p>
    <w:p w14:paraId="6A6BB8B5" w14:textId="77777777" w:rsidR="006C2EC3" w:rsidRPr="000455A5" w:rsidRDefault="006C2EC3" w:rsidP="003649BE">
      <w:pPr>
        <w:ind w:left="851"/>
        <w:rPr>
          <w:i/>
          <w:sz w:val="24"/>
          <w:szCs w:val="24"/>
          <w:lang w:val="en-US" w:eastAsia="el-GR"/>
        </w:rPr>
      </w:pPr>
    </w:p>
    <w:p w14:paraId="74E627F6" w14:textId="23255647" w:rsidR="00E84EB9" w:rsidRPr="000455A5" w:rsidRDefault="00E84EB9" w:rsidP="003649BE">
      <w:pPr>
        <w:ind w:left="851"/>
        <w:rPr>
          <w:i/>
          <w:sz w:val="24"/>
          <w:szCs w:val="24"/>
          <w:lang w:val="en-US" w:eastAsia="el-GR"/>
        </w:rPr>
      </w:pPr>
      <w:r w:rsidRPr="000455A5">
        <w:rPr>
          <w:i/>
          <w:sz w:val="24"/>
          <w:szCs w:val="24"/>
          <w:lang w:val="en-US" w:eastAsia="el-GR"/>
        </w:rPr>
        <w:t>Hepatobiliary disorders</w:t>
      </w:r>
    </w:p>
    <w:p w14:paraId="3C981070" w14:textId="77777777" w:rsidR="00E84EB9" w:rsidRPr="000455A5" w:rsidRDefault="00E84EB9" w:rsidP="003649BE">
      <w:pPr>
        <w:ind w:left="851"/>
        <w:rPr>
          <w:sz w:val="24"/>
          <w:szCs w:val="24"/>
          <w:lang w:val="en-US" w:eastAsia="el-GR"/>
        </w:rPr>
      </w:pPr>
      <w:r w:rsidRPr="000455A5">
        <w:rPr>
          <w:sz w:val="24"/>
          <w:szCs w:val="24"/>
          <w:lang w:val="en-US" w:eastAsia="el-GR"/>
        </w:rPr>
        <w:t xml:space="preserve">During post-marketing surveillance of </w:t>
      </w:r>
      <w:proofErr w:type="spellStart"/>
      <w:r w:rsidRPr="000455A5">
        <w:rPr>
          <w:sz w:val="24"/>
          <w:szCs w:val="24"/>
          <w:lang w:val="en-US" w:eastAsia="el-GR"/>
        </w:rPr>
        <w:t>posaconazole</w:t>
      </w:r>
      <w:proofErr w:type="spellEnd"/>
      <w:r w:rsidRPr="000455A5">
        <w:rPr>
          <w:sz w:val="24"/>
          <w:szCs w:val="24"/>
          <w:lang w:val="en-US" w:eastAsia="el-GR"/>
        </w:rPr>
        <w:t xml:space="preserve"> oral suspension, severe hepatic injury with fatal outcome has been reported (see section 4.4).</w:t>
      </w:r>
    </w:p>
    <w:p w14:paraId="30BB6D22" w14:textId="77777777" w:rsidR="00E84EB9" w:rsidRPr="000455A5" w:rsidRDefault="00E84EB9" w:rsidP="003649BE">
      <w:pPr>
        <w:ind w:left="851"/>
        <w:rPr>
          <w:sz w:val="24"/>
          <w:szCs w:val="24"/>
          <w:lang w:val="en-US" w:eastAsia="el-GR"/>
        </w:rPr>
      </w:pPr>
    </w:p>
    <w:p w14:paraId="32102372" w14:textId="77777777" w:rsidR="006C2EC3" w:rsidRPr="000455A5" w:rsidRDefault="006C2EC3" w:rsidP="006C2EC3">
      <w:pPr>
        <w:ind w:left="851"/>
        <w:rPr>
          <w:sz w:val="24"/>
          <w:szCs w:val="24"/>
          <w:u w:val="single"/>
          <w:lang w:val="en-GB"/>
        </w:rPr>
      </w:pPr>
      <w:r w:rsidRPr="000455A5">
        <w:rPr>
          <w:sz w:val="24"/>
          <w:szCs w:val="24"/>
          <w:u w:val="single"/>
          <w:lang w:val="en-GB"/>
        </w:rPr>
        <w:t>Reporting of suspected adverse reactions</w:t>
      </w:r>
    </w:p>
    <w:p w14:paraId="302C994B" w14:textId="77777777" w:rsidR="006C2EC3" w:rsidRPr="000455A5" w:rsidRDefault="006C2EC3" w:rsidP="006C2EC3">
      <w:pPr>
        <w:ind w:left="851"/>
        <w:rPr>
          <w:sz w:val="24"/>
          <w:szCs w:val="24"/>
          <w:lang w:val="en-GB"/>
        </w:rPr>
      </w:pPr>
      <w:r w:rsidRPr="000455A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7DFB399" w14:textId="77777777" w:rsidR="006C2EC3" w:rsidRPr="000455A5" w:rsidRDefault="006C2EC3" w:rsidP="006C2EC3">
      <w:pPr>
        <w:ind w:left="851"/>
        <w:rPr>
          <w:sz w:val="24"/>
          <w:szCs w:val="24"/>
          <w:lang w:val="en-GB"/>
        </w:rPr>
      </w:pPr>
    </w:p>
    <w:p w14:paraId="698A83D2" w14:textId="77777777" w:rsidR="006C2EC3" w:rsidRPr="000455A5" w:rsidRDefault="006C2EC3" w:rsidP="006C2EC3">
      <w:pPr>
        <w:ind w:left="851"/>
        <w:rPr>
          <w:sz w:val="24"/>
          <w:szCs w:val="24"/>
        </w:rPr>
      </w:pPr>
      <w:r w:rsidRPr="000455A5">
        <w:rPr>
          <w:sz w:val="24"/>
          <w:szCs w:val="24"/>
        </w:rPr>
        <w:t>Lægemiddelstyrelsen</w:t>
      </w:r>
    </w:p>
    <w:p w14:paraId="01F00FCC" w14:textId="77777777" w:rsidR="006C2EC3" w:rsidRPr="000455A5" w:rsidRDefault="006C2EC3" w:rsidP="006C2EC3">
      <w:pPr>
        <w:ind w:left="851"/>
        <w:rPr>
          <w:sz w:val="24"/>
          <w:szCs w:val="24"/>
        </w:rPr>
      </w:pPr>
      <w:r w:rsidRPr="000455A5">
        <w:rPr>
          <w:sz w:val="24"/>
          <w:szCs w:val="24"/>
        </w:rPr>
        <w:t>Axel Heides Gade 1</w:t>
      </w:r>
    </w:p>
    <w:p w14:paraId="719AA5ED" w14:textId="77777777" w:rsidR="006C2EC3" w:rsidRPr="000455A5" w:rsidRDefault="006C2EC3" w:rsidP="006C2EC3">
      <w:pPr>
        <w:ind w:left="851"/>
        <w:rPr>
          <w:sz w:val="24"/>
          <w:szCs w:val="24"/>
        </w:rPr>
      </w:pPr>
      <w:r w:rsidRPr="000455A5">
        <w:rPr>
          <w:sz w:val="24"/>
          <w:szCs w:val="24"/>
        </w:rPr>
        <w:t>DK-2300 København S</w:t>
      </w:r>
    </w:p>
    <w:p w14:paraId="54DC645E" w14:textId="77777777" w:rsidR="006C2EC3" w:rsidRPr="000455A5" w:rsidRDefault="006C2EC3" w:rsidP="006C2EC3">
      <w:pPr>
        <w:ind w:left="851"/>
        <w:rPr>
          <w:sz w:val="24"/>
          <w:szCs w:val="24"/>
          <w:lang w:val="en-US"/>
        </w:rPr>
      </w:pPr>
      <w:r w:rsidRPr="000455A5">
        <w:rPr>
          <w:sz w:val="24"/>
          <w:szCs w:val="24"/>
          <w:lang w:val="en-US"/>
        </w:rPr>
        <w:t>Website: www.meldenbivirkning.dk</w:t>
      </w:r>
    </w:p>
    <w:p w14:paraId="3AEFAC69" w14:textId="77777777" w:rsidR="007C5D2A" w:rsidRPr="000455A5" w:rsidRDefault="007C5D2A" w:rsidP="007A4CC6">
      <w:pPr>
        <w:tabs>
          <w:tab w:val="left" w:pos="851"/>
        </w:tabs>
        <w:ind w:left="851"/>
        <w:rPr>
          <w:sz w:val="24"/>
          <w:szCs w:val="24"/>
          <w:lang w:val="en-GB"/>
        </w:rPr>
      </w:pPr>
    </w:p>
    <w:p w14:paraId="17B603D3" w14:textId="77777777" w:rsidR="007C5D2A" w:rsidRPr="000455A5" w:rsidRDefault="007C5D2A" w:rsidP="007C5D2A">
      <w:pPr>
        <w:tabs>
          <w:tab w:val="left" w:pos="851"/>
        </w:tabs>
        <w:ind w:left="851" w:hanging="851"/>
        <w:rPr>
          <w:b/>
          <w:sz w:val="24"/>
          <w:szCs w:val="24"/>
          <w:lang w:val="en-GB"/>
        </w:rPr>
      </w:pPr>
      <w:r w:rsidRPr="000455A5">
        <w:rPr>
          <w:b/>
          <w:sz w:val="24"/>
          <w:szCs w:val="24"/>
          <w:lang w:val="en-GB"/>
        </w:rPr>
        <w:t>4.9</w:t>
      </w:r>
      <w:r w:rsidRPr="000455A5">
        <w:rPr>
          <w:b/>
          <w:sz w:val="24"/>
          <w:szCs w:val="24"/>
          <w:lang w:val="en-GB"/>
        </w:rPr>
        <w:tab/>
        <w:t>Overdose</w:t>
      </w:r>
    </w:p>
    <w:p w14:paraId="463D01D5" w14:textId="484C47A1" w:rsidR="00E84EB9" w:rsidRPr="00F55BAA" w:rsidRDefault="00E84EB9" w:rsidP="003649BE">
      <w:pPr>
        <w:ind w:left="851"/>
        <w:rPr>
          <w:sz w:val="24"/>
          <w:szCs w:val="24"/>
          <w:lang w:val="en-GB" w:eastAsia="el-GR"/>
        </w:rPr>
      </w:pPr>
      <w:r w:rsidRPr="00F55BAA">
        <w:rPr>
          <w:sz w:val="24"/>
          <w:szCs w:val="24"/>
          <w:lang w:val="en-GB" w:eastAsia="el-GR"/>
        </w:rPr>
        <w:t xml:space="preserve">During clinical </w:t>
      </w:r>
      <w:r w:rsidR="0072629F">
        <w:rPr>
          <w:sz w:val="24"/>
          <w:szCs w:val="24"/>
          <w:lang w:val="en-GB" w:eastAsia="el-GR"/>
        </w:rPr>
        <w:t>studies</w:t>
      </w:r>
      <w:r w:rsidRPr="00F55BAA">
        <w:rPr>
          <w:sz w:val="24"/>
          <w:szCs w:val="24"/>
          <w:lang w:val="en-GB" w:eastAsia="el-GR"/>
        </w:rPr>
        <w:t xml:space="preserve">, patients who received </w:t>
      </w:r>
      <w:proofErr w:type="spellStart"/>
      <w:r w:rsidRPr="00F55BAA">
        <w:rPr>
          <w:sz w:val="24"/>
          <w:szCs w:val="24"/>
          <w:lang w:val="en-GB" w:eastAsia="el-GR"/>
        </w:rPr>
        <w:t>posaconazole</w:t>
      </w:r>
      <w:proofErr w:type="spellEnd"/>
      <w:r w:rsidRPr="00F55BAA">
        <w:rPr>
          <w:sz w:val="24"/>
          <w:szCs w:val="24"/>
          <w:lang w:val="en-GB" w:eastAsia="el-GR"/>
        </w:rPr>
        <w:t xml:space="preserve"> oral suspension doses up to 1,600 mg/day experienced no different adverse reactions from those reported with patients at the lower doses.</w:t>
      </w:r>
    </w:p>
    <w:p w14:paraId="68427C56" w14:textId="77777777" w:rsidR="006C2EC3" w:rsidRPr="00F55BAA" w:rsidRDefault="006C2EC3" w:rsidP="003649BE">
      <w:pPr>
        <w:ind w:left="851"/>
        <w:rPr>
          <w:sz w:val="24"/>
          <w:szCs w:val="24"/>
          <w:lang w:val="en-GB" w:eastAsia="el-GR"/>
        </w:rPr>
      </w:pPr>
    </w:p>
    <w:p w14:paraId="2D7C1E40" w14:textId="260350E1" w:rsidR="00E84EB9" w:rsidRPr="00F55BAA" w:rsidRDefault="00E84EB9" w:rsidP="003649BE">
      <w:pPr>
        <w:ind w:left="851"/>
        <w:rPr>
          <w:sz w:val="24"/>
          <w:szCs w:val="24"/>
          <w:lang w:val="en-GB" w:eastAsia="el-GR"/>
        </w:rPr>
      </w:pPr>
      <w:r w:rsidRPr="00F55BAA">
        <w:rPr>
          <w:sz w:val="24"/>
          <w:szCs w:val="24"/>
          <w:lang w:val="en-GB" w:eastAsia="el-GR"/>
        </w:rPr>
        <w:t xml:space="preserve">Accidental overdose was noted in one patient who took </w:t>
      </w:r>
      <w:proofErr w:type="spellStart"/>
      <w:r w:rsidRPr="00F55BAA">
        <w:rPr>
          <w:sz w:val="24"/>
          <w:szCs w:val="24"/>
          <w:lang w:val="en-GB" w:eastAsia="el-GR"/>
        </w:rPr>
        <w:t>posaconazole</w:t>
      </w:r>
      <w:proofErr w:type="spellEnd"/>
      <w:r w:rsidRPr="00F55BAA">
        <w:rPr>
          <w:sz w:val="24"/>
          <w:szCs w:val="24"/>
          <w:lang w:val="en-GB" w:eastAsia="el-GR"/>
        </w:rPr>
        <w:t xml:space="preserve"> oral suspension 1,200 mg twice a day for 3 days. No adverse reactions were noted by the investigator.</w:t>
      </w:r>
    </w:p>
    <w:p w14:paraId="3E281A6B" w14:textId="77777777" w:rsidR="006C2EC3" w:rsidRPr="00F55BAA" w:rsidRDefault="006C2EC3" w:rsidP="003649BE">
      <w:pPr>
        <w:ind w:left="851"/>
        <w:rPr>
          <w:sz w:val="24"/>
          <w:szCs w:val="24"/>
          <w:lang w:val="en-GB" w:eastAsia="el-GR"/>
        </w:rPr>
      </w:pPr>
    </w:p>
    <w:p w14:paraId="0DA136E0" w14:textId="59A8DCB6" w:rsidR="00E84EB9" w:rsidRPr="00F55BAA" w:rsidRDefault="00E84EB9" w:rsidP="003649BE">
      <w:pPr>
        <w:ind w:left="851"/>
        <w:rPr>
          <w:sz w:val="24"/>
          <w:szCs w:val="24"/>
          <w:lang w:val="en-GB"/>
        </w:rPr>
      </w:pPr>
      <w:proofErr w:type="spellStart"/>
      <w:r w:rsidRPr="00F55BAA">
        <w:rPr>
          <w:sz w:val="24"/>
          <w:szCs w:val="24"/>
          <w:lang w:val="en-GB" w:eastAsia="el-GR"/>
        </w:rPr>
        <w:t>Posaconazole</w:t>
      </w:r>
      <w:proofErr w:type="spellEnd"/>
      <w:r w:rsidRPr="00F55BAA">
        <w:rPr>
          <w:sz w:val="24"/>
          <w:szCs w:val="24"/>
          <w:lang w:val="en-GB" w:eastAsia="el-GR"/>
        </w:rPr>
        <w:t xml:space="preserve"> is not removed by haemodialysis. There is no special treatment available in the case of overdose with </w:t>
      </w:r>
      <w:proofErr w:type="spellStart"/>
      <w:r w:rsidRPr="00F55BAA">
        <w:rPr>
          <w:sz w:val="24"/>
          <w:szCs w:val="24"/>
          <w:lang w:val="en-GB" w:eastAsia="el-GR"/>
        </w:rPr>
        <w:t>posaconazole</w:t>
      </w:r>
      <w:proofErr w:type="spellEnd"/>
      <w:r w:rsidRPr="00F55BAA">
        <w:rPr>
          <w:sz w:val="24"/>
          <w:szCs w:val="24"/>
          <w:lang w:val="en-GB" w:eastAsia="el-GR"/>
        </w:rPr>
        <w:t>. Supportive care may be considered.</w:t>
      </w:r>
    </w:p>
    <w:p w14:paraId="4C178A66" w14:textId="77777777" w:rsidR="007C5D2A" w:rsidRPr="00F55BAA" w:rsidRDefault="007C5D2A" w:rsidP="003E0341">
      <w:pPr>
        <w:tabs>
          <w:tab w:val="left" w:pos="851"/>
        </w:tabs>
        <w:ind w:left="851"/>
        <w:rPr>
          <w:sz w:val="24"/>
          <w:szCs w:val="24"/>
          <w:lang w:val="en-GB"/>
        </w:rPr>
      </w:pPr>
    </w:p>
    <w:p w14:paraId="3E253F33" w14:textId="77777777" w:rsidR="008F2F8C" w:rsidRPr="006D6779" w:rsidRDefault="0042292D" w:rsidP="0042292D">
      <w:pPr>
        <w:tabs>
          <w:tab w:val="left" w:pos="851"/>
        </w:tabs>
        <w:rPr>
          <w:b/>
          <w:sz w:val="24"/>
          <w:szCs w:val="24"/>
          <w:lang w:val="en-US"/>
        </w:rPr>
      </w:pPr>
      <w:r w:rsidRPr="006D6779">
        <w:rPr>
          <w:b/>
          <w:sz w:val="24"/>
          <w:szCs w:val="24"/>
          <w:lang w:val="en-US"/>
        </w:rPr>
        <w:t>4.10</w:t>
      </w:r>
      <w:r w:rsidRPr="006D6779">
        <w:rPr>
          <w:b/>
          <w:sz w:val="24"/>
          <w:szCs w:val="24"/>
          <w:lang w:val="en-US"/>
        </w:rPr>
        <w:tab/>
        <w:t>Legal status</w:t>
      </w:r>
    </w:p>
    <w:p w14:paraId="4D6C3118" w14:textId="56107318" w:rsidR="00C32186" w:rsidRPr="000455A5" w:rsidRDefault="00C32186" w:rsidP="003649BE">
      <w:pPr>
        <w:ind w:left="851"/>
        <w:rPr>
          <w:sz w:val="24"/>
          <w:szCs w:val="24"/>
          <w:lang w:val="en-US"/>
        </w:rPr>
      </w:pPr>
      <w:r w:rsidRPr="000455A5">
        <w:rPr>
          <w:sz w:val="24"/>
          <w:szCs w:val="24"/>
          <w:lang w:val="en-US"/>
        </w:rPr>
        <w:t>BEGR (only for hospitals)</w:t>
      </w:r>
    </w:p>
    <w:p w14:paraId="47E845FC" w14:textId="77777777" w:rsidR="007C5D2A" w:rsidRPr="000455A5" w:rsidRDefault="007C5D2A" w:rsidP="003E0341">
      <w:pPr>
        <w:tabs>
          <w:tab w:val="left" w:pos="851"/>
        </w:tabs>
        <w:ind w:left="851"/>
        <w:rPr>
          <w:sz w:val="24"/>
          <w:szCs w:val="24"/>
          <w:lang w:val="en-US"/>
        </w:rPr>
      </w:pPr>
    </w:p>
    <w:p w14:paraId="34D1ACAA" w14:textId="77777777" w:rsidR="00AD2E36" w:rsidRPr="000455A5" w:rsidRDefault="00AD2E36" w:rsidP="003E0341">
      <w:pPr>
        <w:tabs>
          <w:tab w:val="left" w:pos="851"/>
        </w:tabs>
        <w:ind w:left="851"/>
        <w:rPr>
          <w:sz w:val="24"/>
          <w:szCs w:val="24"/>
          <w:lang w:val="en-US"/>
        </w:rPr>
      </w:pPr>
    </w:p>
    <w:p w14:paraId="6AD9C09C" w14:textId="77777777" w:rsidR="007C5D2A" w:rsidRPr="000455A5" w:rsidRDefault="007C5D2A" w:rsidP="007C5D2A">
      <w:pPr>
        <w:tabs>
          <w:tab w:val="left" w:pos="851"/>
        </w:tabs>
        <w:rPr>
          <w:b/>
          <w:sz w:val="24"/>
          <w:szCs w:val="24"/>
          <w:lang w:val="en-GB"/>
        </w:rPr>
      </w:pPr>
      <w:r w:rsidRPr="000455A5">
        <w:rPr>
          <w:b/>
          <w:sz w:val="24"/>
          <w:szCs w:val="24"/>
          <w:lang w:val="en-GB"/>
        </w:rPr>
        <w:t>5.</w:t>
      </w:r>
      <w:r w:rsidRPr="000455A5">
        <w:rPr>
          <w:b/>
          <w:sz w:val="24"/>
          <w:szCs w:val="24"/>
          <w:lang w:val="en-GB"/>
        </w:rPr>
        <w:tab/>
        <w:t>PHARMACOLOGICAL PROPERTIES</w:t>
      </w:r>
    </w:p>
    <w:p w14:paraId="3EBF0C1F" w14:textId="77777777" w:rsidR="007C5D2A" w:rsidRPr="000455A5" w:rsidRDefault="007C5D2A" w:rsidP="003E0341">
      <w:pPr>
        <w:tabs>
          <w:tab w:val="left" w:pos="851"/>
        </w:tabs>
        <w:ind w:left="851"/>
        <w:rPr>
          <w:sz w:val="24"/>
          <w:szCs w:val="24"/>
          <w:lang w:val="en-GB"/>
        </w:rPr>
      </w:pPr>
    </w:p>
    <w:p w14:paraId="2727DCC5" w14:textId="77777777" w:rsidR="007C5D2A" w:rsidRPr="000455A5" w:rsidRDefault="007C5D2A" w:rsidP="007C5D2A">
      <w:pPr>
        <w:tabs>
          <w:tab w:val="left" w:pos="851"/>
        </w:tabs>
        <w:ind w:left="851" w:hanging="851"/>
        <w:rPr>
          <w:b/>
          <w:sz w:val="24"/>
          <w:szCs w:val="24"/>
          <w:lang w:val="en-GB"/>
        </w:rPr>
      </w:pPr>
      <w:r w:rsidRPr="000455A5">
        <w:rPr>
          <w:b/>
          <w:sz w:val="24"/>
          <w:szCs w:val="24"/>
          <w:lang w:val="en-GB"/>
        </w:rPr>
        <w:t>5.1</w:t>
      </w:r>
      <w:r w:rsidRPr="000455A5">
        <w:rPr>
          <w:b/>
          <w:sz w:val="24"/>
          <w:szCs w:val="24"/>
          <w:lang w:val="en-GB"/>
        </w:rPr>
        <w:tab/>
        <w:t>Pharmacodynamic properties</w:t>
      </w:r>
      <w:r w:rsidRPr="000455A5">
        <w:rPr>
          <w:b/>
          <w:sz w:val="24"/>
          <w:szCs w:val="24"/>
          <w:lang w:val="en-GB"/>
        </w:rPr>
        <w:tab/>
      </w:r>
    </w:p>
    <w:p w14:paraId="26010329" w14:textId="77777777" w:rsidR="0072629F" w:rsidRPr="0072629F" w:rsidRDefault="0072629F" w:rsidP="005E5A3B">
      <w:pPr>
        <w:suppressAutoHyphens/>
        <w:ind w:left="851"/>
        <w:rPr>
          <w:sz w:val="24"/>
          <w:szCs w:val="24"/>
          <w:lang w:val="en-US" w:eastAsia="el-GR"/>
        </w:rPr>
      </w:pPr>
      <w:r w:rsidRPr="0072629F">
        <w:rPr>
          <w:szCs w:val="24"/>
          <w:lang w:val="en-US" w:eastAsia="el-GR"/>
        </w:rPr>
        <w:t>Pharmacotherapeutic group: Antimycotics for systemic use, triazole and tetrazole derivatives, ATC code: J02AC04.</w:t>
      </w:r>
    </w:p>
    <w:p w14:paraId="02B39087" w14:textId="77777777" w:rsidR="0072629F" w:rsidRPr="000455A5" w:rsidRDefault="0072629F" w:rsidP="003649BE">
      <w:pPr>
        <w:ind w:left="851"/>
        <w:rPr>
          <w:sz w:val="24"/>
          <w:szCs w:val="24"/>
          <w:lang w:val="en-US" w:eastAsia="el-GR"/>
        </w:rPr>
      </w:pPr>
    </w:p>
    <w:p w14:paraId="4BCFC125" w14:textId="12434CB2" w:rsidR="00E84EB9" w:rsidRPr="000455A5" w:rsidRDefault="00E84EB9" w:rsidP="003649BE">
      <w:pPr>
        <w:ind w:left="851"/>
        <w:rPr>
          <w:sz w:val="24"/>
          <w:szCs w:val="24"/>
          <w:u w:val="single"/>
          <w:lang w:val="en-US" w:eastAsia="el-GR"/>
        </w:rPr>
      </w:pPr>
      <w:r w:rsidRPr="000455A5">
        <w:rPr>
          <w:sz w:val="24"/>
          <w:szCs w:val="24"/>
          <w:u w:val="single"/>
          <w:lang w:val="en-US" w:eastAsia="el-GR"/>
        </w:rPr>
        <w:t>Mechanism of action</w:t>
      </w:r>
    </w:p>
    <w:p w14:paraId="7C31832D" w14:textId="77777777" w:rsidR="00E84EB9" w:rsidRPr="000455A5" w:rsidRDefault="00E84EB9"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inhibits the enzyme lanosterol 14</w:t>
      </w:r>
      <w:r w:rsidRPr="000455A5">
        <w:rPr>
          <w:sz w:val="24"/>
          <w:szCs w:val="24"/>
          <w:lang w:eastAsia="el-GR"/>
        </w:rPr>
        <w:t>α</w:t>
      </w:r>
      <w:r w:rsidRPr="000455A5">
        <w:rPr>
          <w:sz w:val="24"/>
          <w:szCs w:val="24"/>
          <w:lang w:val="en-US" w:eastAsia="el-GR"/>
        </w:rPr>
        <w:t xml:space="preserve">-demethylase (CYP51), which </w:t>
      </w:r>
      <w:proofErr w:type="spellStart"/>
      <w:r w:rsidRPr="000455A5">
        <w:rPr>
          <w:sz w:val="24"/>
          <w:szCs w:val="24"/>
          <w:lang w:val="en-US" w:eastAsia="el-GR"/>
        </w:rPr>
        <w:t>catalyses</w:t>
      </w:r>
      <w:proofErr w:type="spellEnd"/>
      <w:r w:rsidRPr="000455A5">
        <w:rPr>
          <w:sz w:val="24"/>
          <w:szCs w:val="24"/>
          <w:lang w:val="en-US" w:eastAsia="el-GR"/>
        </w:rPr>
        <w:t xml:space="preserve"> an essential step in ergosterol biosynthesis.</w:t>
      </w:r>
    </w:p>
    <w:p w14:paraId="12825447" w14:textId="77777777" w:rsidR="00E84EB9" w:rsidRPr="000455A5" w:rsidRDefault="00E84EB9" w:rsidP="003649BE">
      <w:pPr>
        <w:ind w:left="851"/>
        <w:rPr>
          <w:sz w:val="24"/>
          <w:szCs w:val="24"/>
          <w:lang w:val="en-US" w:eastAsia="el-GR"/>
        </w:rPr>
      </w:pPr>
    </w:p>
    <w:p w14:paraId="2CE7F63F"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Microbiology</w:t>
      </w:r>
    </w:p>
    <w:p w14:paraId="59DE892E" w14:textId="77777777" w:rsidR="00E84EB9" w:rsidRPr="000455A5" w:rsidRDefault="00E84EB9" w:rsidP="003649BE">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has been shown in vitro to be active against the following microorganisms: </w:t>
      </w:r>
      <w:r w:rsidRPr="000455A5">
        <w:rPr>
          <w:i/>
          <w:sz w:val="24"/>
          <w:szCs w:val="24"/>
          <w:lang w:val="en-US" w:eastAsia="el-GR"/>
        </w:rPr>
        <w:t>Aspergillus</w:t>
      </w:r>
      <w:r w:rsidRPr="000455A5">
        <w:rPr>
          <w:sz w:val="24"/>
          <w:szCs w:val="24"/>
          <w:lang w:val="en-US" w:eastAsia="el-GR"/>
        </w:rPr>
        <w:t xml:space="preserve"> species (</w:t>
      </w:r>
      <w:r w:rsidRPr="000455A5">
        <w:rPr>
          <w:i/>
          <w:sz w:val="24"/>
          <w:szCs w:val="24"/>
          <w:lang w:val="en-US" w:eastAsia="el-GR"/>
        </w:rPr>
        <w:t xml:space="preserve">Aspergillus fumigatus, A. flavus, A. </w:t>
      </w:r>
      <w:proofErr w:type="spellStart"/>
      <w:r w:rsidRPr="000455A5">
        <w:rPr>
          <w:i/>
          <w:sz w:val="24"/>
          <w:szCs w:val="24"/>
          <w:lang w:val="en-US" w:eastAsia="el-GR"/>
        </w:rPr>
        <w:t>terreus</w:t>
      </w:r>
      <w:proofErr w:type="spellEnd"/>
      <w:r w:rsidRPr="000455A5">
        <w:rPr>
          <w:i/>
          <w:sz w:val="24"/>
          <w:szCs w:val="24"/>
          <w:lang w:val="en-US" w:eastAsia="el-GR"/>
        </w:rPr>
        <w:t xml:space="preserve">, A. </w:t>
      </w:r>
      <w:proofErr w:type="spellStart"/>
      <w:r w:rsidRPr="000455A5">
        <w:rPr>
          <w:i/>
          <w:sz w:val="24"/>
          <w:szCs w:val="24"/>
          <w:lang w:val="en-US" w:eastAsia="el-GR"/>
        </w:rPr>
        <w:t>nidulans</w:t>
      </w:r>
      <w:proofErr w:type="spellEnd"/>
      <w:r w:rsidRPr="000455A5">
        <w:rPr>
          <w:i/>
          <w:sz w:val="24"/>
          <w:szCs w:val="24"/>
          <w:lang w:val="en-US" w:eastAsia="el-GR"/>
        </w:rPr>
        <w:t xml:space="preserve">, A. </w:t>
      </w:r>
      <w:proofErr w:type="spellStart"/>
      <w:r w:rsidRPr="000455A5">
        <w:rPr>
          <w:i/>
          <w:sz w:val="24"/>
          <w:szCs w:val="24"/>
          <w:lang w:val="en-US" w:eastAsia="el-GR"/>
        </w:rPr>
        <w:t>niger</w:t>
      </w:r>
      <w:proofErr w:type="spellEnd"/>
      <w:r w:rsidRPr="000455A5">
        <w:rPr>
          <w:i/>
          <w:sz w:val="24"/>
          <w:szCs w:val="24"/>
          <w:lang w:val="en-US" w:eastAsia="el-GR"/>
        </w:rPr>
        <w:t xml:space="preserve">, A. </w:t>
      </w:r>
      <w:proofErr w:type="spellStart"/>
      <w:r w:rsidRPr="000455A5">
        <w:rPr>
          <w:i/>
          <w:sz w:val="24"/>
          <w:szCs w:val="24"/>
          <w:lang w:val="en-US" w:eastAsia="el-GR"/>
        </w:rPr>
        <w:t>ustus</w:t>
      </w:r>
      <w:proofErr w:type="spellEnd"/>
      <w:r w:rsidRPr="000455A5">
        <w:rPr>
          <w:i/>
          <w:sz w:val="24"/>
          <w:szCs w:val="24"/>
          <w:lang w:val="en-US" w:eastAsia="el-GR"/>
        </w:rPr>
        <w:t>), Candida</w:t>
      </w:r>
      <w:r w:rsidRPr="000455A5">
        <w:rPr>
          <w:sz w:val="24"/>
          <w:szCs w:val="24"/>
          <w:lang w:val="en-US" w:eastAsia="el-GR"/>
        </w:rPr>
        <w:t xml:space="preserve"> species (</w:t>
      </w:r>
      <w:r w:rsidRPr="000455A5">
        <w:rPr>
          <w:i/>
          <w:sz w:val="24"/>
          <w:szCs w:val="24"/>
          <w:lang w:val="en-US" w:eastAsia="el-GR"/>
        </w:rPr>
        <w:t xml:space="preserve">Candida albicans, C. glabrata, C. </w:t>
      </w:r>
      <w:proofErr w:type="spellStart"/>
      <w:r w:rsidRPr="000455A5">
        <w:rPr>
          <w:i/>
          <w:sz w:val="24"/>
          <w:szCs w:val="24"/>
          <w:lang w:val="en-US" w:eastAsia="el-GR"/>
        </w:rPr>
        <w:t>krusei</w:t>
      </w:r>
      <w:proofErr w:type="spellEnd"/>
      <w:r w:rsidRPr="000455A5">
        <w:rPr>
          <w:i/>
          <w:sz w:val="24"/>
          <w:szCs w:val="24"/>
          <w:lang w:val="en-US" w:eastAsia="el-GR"/>
        </w:rPr>
        <w:t xml:space="preserve">, C. </w:t>
      </w:r>
      <w:proofErr w:type="spellStart"/>
      <w:r w:rsidRPr="000455A5">
        <w:rPr>
          <w:i/>
          <w:sz w:val="24"/>
          <w:szCs w:val="24"/>
          <w:lang w:val="en-US" w:eastAsia="el-GR"/>
        </w:rPr>
        <w:t>parapsilosis</w:t>
      </w:r>
      <w:proofErr w:type="spellEnd"/>
      <w:r w:rsidRPr="000455A5">
        <w:rPr>
          <w:i/>
          <w:sz w:val="24"/>
          <w:szCs w:val="24"/>
          <w:lang w:val="en-US" w:eastAsia="el-GR"/>
        </w:rPr>
        <w:t xml:space="preserve">, C. tropicalis, C. </w:t>
      </w:r>
      <w:proofErr w:type="spellStart"/>
      <w:r w:rsidRPr="000455A5">
        <w:rPr>
          <w:i/>
          <w:sz w:val="24"/>
          <w:szCs w:val="24"/>
          <w:lang w:val="en-US" w:eastAsia="el-GR"/>
        </w:rPr>
        <w:t>dubliniensis</w:t>
      </w:r>
      <w:proofErr w:type="spellEnd"/>
      <w:r w:rsidRPr="000455A5">
        <w:rPr>
          <w:i/>
          <w:sz w:val="24"/>
          <w:szCs w:val="24"/>
          <w:lang w:val="en-US" w:eastAsia="el-GR"/>
        </w:rPr>
        <w:t xml:space="preserve">, C. </w:t>
      </w:r>
      <w:proofErr w:type="spellStart"/>
      <w:r w:rsidRPr="000455A5">
        <w:rPr>
          <w:i/>
          <w:sz w:val="24"/>
          <w:szCs w:val="24"/>
          <w:lang w:val="en-US" w:eastAsia="el-GR"/>
        </w:rPr>
        <w:t>famata</w:t>
      </w:r>
      <w:proofErr w:type="spellEnd"/>
      <w:r w:rsidRPr="000455A5">
        <w:rPr>
          <w:i/>
          <w:sz w:val="24"/>
          <w:szCs w:val="24"/>
          <w:lang w:val="en-US" w:eastAsia="el-GR"/>
        </w:rPr>
        <w:t xml:space="preserve">, C. </w:t>
      </w:r>
      <w:proofErr w:type="spellStart"/>
      <w:r w:rsidRPr="000455A5">
        <w:rPr>
          <w:i/>
          <w:sz w:val="24"/>
          <w:szCs w:val="24"/>
          <w:lang w:val="en-US" w:eastAsia="el-GR"/>
        </w:rPr>
        <w:t>inconspicua</w:t>
      </w:r>
      <w:proofErr w:type="spellEnd"/>
      <w:r w:rsidRPr="000455A5">
        <w:rPr>
          <w:i/>
          <w:sz w:val="24"/>
          <w:szCs w:val="24"/>
          <w:lang w:val="en-US" w:eastAsia="el-GR"/>
        </w:rPr>
        <w:t xml:space="preserve">, C. </w:t>
      </w:r>
      <w:proofErr w:type="spellStart"/>
      <w:r w:rsidRPr="000455A5">
        <w:rPr>
          <w:i/>
          <w:sz w:val="24"/>
          <w:szCs w:val="24"/>
          <w:lang w:val="en-US" w:eastAsia="el-GR"/>
        </w:rPr>
        <w:t>lipolytica</w:t>
      </w:r>
      <w:proofErr w:type="spellEnd"/>
      <w:r w:rsidRPr="000455A5">
        <w:rPr>
          <w:i/>
          <w:sz w:val="24"/>
          <w:szCs w:val="24"/>
          <w:lang w:val="en-US" w:eastAsia="el-GR"/>
        </w:rPr>
        <w:t xml:space="preserve">, C. </w:t>
      </w:r>
      <w:proofErr w:type="spellStart"/>
      <w:r w:rsidRPr="000455A5">
        <w:rPr>
          <w:i/>
          <w:sz w:val="24"/>
          <w:szCs w:val="24"/>
          <w:lang w:val="en-US" w:eastAsia="el-GR"/>
        </w:rPr>
        <w:t>norvegensis</w:t>
      </w:r>
      <w:proofErr w:type="spellEnd"/>
      <w:r w:rsidRPr="000455A5">
        <w:rPr>
          <w:i/>
          <w:sz w:val="24"/>
          <w:szCs w:val="24"/>
          <w:lang w:val="en-US" w:eastAsia="el-GR"/>
        </w:rPr>
        <w:t xml:space="preserve">, C. </w:t>
      </w:r>
      <w:proofErr w:type="spellStart"/>
      <w:r w:rsidRPr="000455A5">
        <w:rPr>
          <w:i/>
          <w:sz w:val="24"/>
          <w:szCs w:val="24"/>
          <w:lang w:val="en-US" w:eastAsia="el-GR"/>
        </w:rPr>
        <w:t>pseudotropicalis</w:t>
      </w:r>
      <w:proofErr w:type="spellEnd"/>
      <w:r w:rsidRPr="000455A5">
        <w:rPr>
          <w:i/>
          <w:sz w:val="24"/>
          <w:szCs w:val="24"/>
          <w:lang w:val="en-US" w:eastAsia="el-GR"/>
        </w:rPr>
        <w:t xml:space="preserve">), Coccidioides </w:t>
      </w:r>
      <w:proofErr w:type="spellStart"/>
      <w:r w:rsidRPr="000455A5">
        <w:rPr>
          <w:i/>
          <w:sz w:val="24"/>
          <w:szCs w:val="24"/>
          <w:lang w:val="en-US" w:eastAsia="el-GR"/>
        </w:rPr>
        <w:t>immitis</w:t>
      </w:r>
      <w:proofErr w:type="spellEnd"/>
      <w:r w:rsidRPr="000455A5">
        <w:rPr>
          <w:i/>
          <w:sz w:val="24"/>
          <w:szCs w:val="24"/>
          <w:lang w:val="en-US" w:eastAsia="el-GR"/>
        </w:rPr>
        <w:t xml:space="preserve">, </w:t>
      </w:r>
      <w:proofErr w:type="spellStart"/>
      <w:r w:rsidRPr="000455A5">
        <w:rPr>
          <w:i/>
          <w:sz w:val="24"/>
          <w:szCs w:val="24"/>
          <w:lang w:val="en-US" w:eastAsia="el-GR"/>
        </w:rPr>
        <w:t>Fonsecaea</w:t>
      </w:r>
      <w:proofErr w:type="spellEnd"/>
      <w:r w:rsidRPr="000455A5">
        <w:rPr>
          <w:i/>
          <w:sz w:val="24"/>
          <w:szCs w:val="24"/>
          <w:lang w:val="en-US" w:eastAsia="el-GR"/>
        </w:rPr>
        <w:t xml:space="preserve"> </w:t>
      </w:r>
      <w:proofErr w:type="spellStart"/>
      <w:r w:rsidRPr="000455A5">
        <w:rPr>
          <w:i/>
          <w:sz w:val="24"/>
          <w:szCs w:val="24"/>
          <w:lang w:val="en-US" w:eastAsia="el-GR"/>
        </w:rPr>
        <w:t>pedrosoi</w:t>
      </w:r>
      <w:proofErr w:type="spellEnd"/>
      <w:r w:rsidRPr="000455A5">
        <w:rPr>
          <w:sz w:val="24"/>
          <w:szCs w:val="24"/>
          <w:lang w:val="en-US" w:eastAsia="el-GR"/>
        </w:rPr>
        <w:t xml:space="preserve">, and species of </w:t>
      </w:r>
      <w:r w:rsidRPr="000455A5">
        <w:rPr>
          <w:i/>
          <w:sz w:val="24"/>
          <w:szCs w:val="24"/>
          <w:lang w:val="en-US" w:eastAsia="el-GR"/>
        </w:rPr>
        <w:t xml:space="preserve">Fusarium, </w:t>
      </w:r>
      <w:proofErr w:type="spellStart"/>
      <w:r w:rsidRPr="000455A5">
        <w:rPr>
          <w:i/>
          <w:sz w:val="24"/>
          <w:szCs w:val="24"/>
          <w:lang w:val="en-US" w:eastAsia="el-GR"/>
        </w:rPr>
        <w:t>Rhizomucor</w:t>
      </w:r>
      <w:proofErr w:type="spellEnd"/>
      <w:r w:rsidRPr="000455A5">
        <w:rPr>
          <w:i/>
          <w:sz w:val="24"/>
          <w:szCs w:val="24"/>
          <w:lang w:val="en-US" w:eastAsia="el-GR"/>
        </w:rPr>
        <w:t xml:space="preserve">, Mucor, </w:t>
      </w:r>
      <w:r w:rsidRPr="000455A5">
        <w:rPr>
          <w:sz w:val="24"/>
          <w:szCs w:val="24"/>
          <w:lang w:val="en-US" w:eastAsia="el-GR"/>
        </w:rPr>
        <w:t>and</w:t>
      </w:r>
      <w:r w:rsidRPr="000455A5">
        <w:rPr>
          <w:i/>
          <w:sz w:val="24"/>
          <w:szCs w:val="24"/>
          <w:lang w:val="en-US" w:eastAsia="el-GR"/>
        </w:rPr>
        <w:t xml:space="preserve"> Rhizopus</w:t>
      </w:r>
      <w:r w:rsidRPr="000455A5">
        <w:rPr>
          <w:sz w:val="24"/>
          <w:szCs w:val="24"/>
          <w:lang w:val="en-US" w:eastAsia="el-GR"/>
        </w:rPr>
        <w:t xml:space="preserve">. The microbiological data suggest that </w:t>
      </w:r>
      <w:proofErr w:type="spellStart"/>
      <w:r w:rsidRPr="000455A5">
        <w:rPr>
          <w:sz w:val="24"/>
          <w:szCs w:val="24"/>
          <w:lang w:val="en-US" w:eastAsia="el-GR"/>
        </w:rPr>
        <w:t>posaconazole</w:t>
      </w:r>
      <w:proofErr w:type="spellEnd"/>
      <w:r w:rsidRPr="000455A5">
        <w:rPr>
          <w:sz w:val="24"/>
          <w:szCs w:val="24"/>
          <w:lang w:val="en-US" w:eastAsia="el-GR"/>
        </w:rPr>
        <w:t xml:space="preserve"> is active against </w:t>
      </w:r>
      <w:proofErr w:type="spellStart"/>
      <w:r w:rsidRPr="000455A5">
        <w:rPr>
          <w:i/>
          <w:sz w:val="24"/>
          <w:szCs w:val="24"/>
          <w:lang w:val="en-US" w:eastAsia="el-GR"/>
        </w:rPr>
        <w:t>Rhizomucor</w:t>
      </w:r>
      <w:proofErr w:type="spellEnd"/>
      <w:r w:rsidRPr="000455A5">
        <w:rPr>
          <w:i/>
          <w:sz w:val="24"/>
          <w:szCs w:val="24"/>
          <w:lang w:val="en-US" w:eastAsia="el-GR"/>
        </w:rPr>
        <w:t>, Mucor</w:t>
      </w:r>
      <w:r w:rsidRPr="000455A5">
        <w:rPr>
          <w:sz w:val="24"/>
          <w:szCs w:val="24"/>
          <w:lang w:val="en-US" w:eastAsia="el-GR"/>
        </w:rPr>
        <w:t xml:space="preserve">, and </w:t>
      </w:r>
      <w:r w:rsidRPr="000455A5">
        <w:rPr>
          <w:i/>
          <w:sz w:val="24"/>
          <w:szCs w:val="24"/>
          <w:lang w:val="en-US" w:eastAsia="el-GR"/>
        </w:rPr>
        <w:t>Rhizopus,</w:t>
      </w:r>
      <w:r w:rsidRPr="000455A5">
        <w:rPr>
          <w:sz w:val="24"/>
          <w:szCs w:val="24"/>
          <w:lang w:val="en-US" w:eastAsia="el-GR"/>
        </w:rPr>
        <w:t xml:space="preserve"> however the clinical data are currently too limited to assess the efficacy of </w:t>
      </w:r>
      <w:proofErr w:type="spellStart"/>
      <w:r w:rsidRPr="000455A5">
        <w:rPr>
          <w:sz w:val="24"/>
          <w:szCs w:val="24"/>
          <w:lang w:val="en-US" w:eastAsia="el-GR"/>
        </w:rPr>
        <w:t>posaconazole</w:t>
      </w:r>
      <w:proofErr w:type="spellEnd"/>
      <w:r w:rsidRPr="000455A5">
        <w:rPr>
          <w:sz w:val="24"/>
          <w:szCs w:val="24"/>
          <w:lang w:val="en-US" w:eastAsia="el-GR"/>
        </w:rPr>
        <w:t xml:space="preserve"> against these causative agents.</w:t>
      </w:r>
    </w:p>
    <w:p w14:paraId="49418FB0" w14:textId="0FE2FA17" w:rsidR="00E84EB9" w:rsidRDefault="00E84EB9" w:rsidP="003649BE">
      <w:pPr>
        <w:ind w:left="851"/>
        <w:rPr>
          <w:sz w:val="24"/>
          <w:szCs w:val="24"/>
          <w:lang w:val="en-US" w:eastAsia="el-GR"/>
        </w:rPr>
      </w:pPr>
    </w:p>
    <w:p w14:paraId="03ADB935" w14:textId="77777777" w:rsidR="0072629F" w:rsidRPr="005E5A3B" w:rsidRDefault="0072629F" w:rsidP="005E5A3B">
      <w:pPr>
        <w:ind w:left="851"/>
        <w:rPr>
          <w:sz w:val="24"/>
          <w:szCs w:val="24"/>
          <w:lang w:val="en-US" w:eastAsia="el-GR"/>
        </w:rPr>
      </w:pPr>
      <w:r w:rsidRPr="005E5A3B">
        <w:rPr>
          <w:sz w:val="24"/>
          <w:szCs w:val="24"/>
          <w:lang w:val="en-US" w:eastAsia="el-GR"/>
        </w:rPr>
        <w:t xml:space="preserve">The following </w:t>
      </w:r>
      <w:r w:rsidRPr="005E5A3B">
        <w:rPr>
          <w:i/>
          <w:sz w:val="24"/>
          <w:szCs w:val="24"/>
          <w:lang w:val="en-US" w:eastAsia="el-GR"/>
        </w:rPr>
        <w:t>in vitro</w:t>
      </w:r>
      <w:r w:rsidRPr="005E5A3B">
        <w:rPr>
          <w:sz w:val="24"/>
          <w:szCs w:val="24"/>
          <w:lang w:val="en-US" w:eastAsia="el-GR"/>
        </w:rPr>
        <w:t xml:space="preserve"> data are available, but their clinical significance is unknown. In a surveillance study of &gt; 3,000 clinical mold isolates from 2010-2018, 90 % of non-</w:t>
      </w:r>
      <w:r w:rsidRPr="005E5A3B">
        <w:rPr>
          <w:i/>
          <w:sz w:val="24"/>
          <w:szCs w:val="24"/>
          <w:lang w:val="en-US" w:eastAsia="el-GR"/>
        </w:rPr>
        <w:t>Aspergillus</w:t>
      </w:r>
      <w:r w:rsidRPr="005E5A3B">
        <w:rPr>
          <w:sz w:val="24"/>
          <w:szCs w:val="24"/>
          <w:lang w:val="en-US" w:eastAsia="el-GR"/>
        </w:rPr>
        <w:t xml:space="preserve"> fungi exhibited the following </w:t>
      </w:r>
      <w:r w:rsidRPr="005E5A3B">
        <w:rPr>
          <w:i/>
          <w:sz w:val="24"/>
          <w:szCs w:val="24"/>
          <w:lang w:val="en-US" w:eastAsia="el-GR"/>
        </w:rPr>
        <w:t>in vitro</w:t>
      </w:r>
      <w:r w:rsidRPr="005E5A3B">
        <w:rPr>
          <w:sz w:val="24"/>
          <w:szCs w:val="24"/>
          <w:lang w:val="en-US" w:eastAsia="el-GR"/>
        </w:rPr>
        <w:t xml:space="preserve"> minimum inhibitory concentration (MIC): </w:t>
      </w:r>
      <w:r w:rsidRPr="005E5A3B">
        <w:rPr>
          <w:i/>
          <w:sz w:val="24"/>
          <w:szCs w:val="24"/>
          <w:lang w:val="en-US" w:eastAsia="el-GR"/>
        </w:rPr>
        <w:t xml:space="preserve">Mucorales </w:t>
      </w:r>
      <w:proofErr w:type="spellStart"/>
      <w:r w:rsidRPr="005E5A3B">
        <w:rPr>
          <w:sz w:val="24"/>
          <w:szCs w:val="24"/>
          <w:lang w:val="en-US" w:eastAsia="el-GR"/>
        </w:rPr>
        <w:t>spp</w:t>
      </w:r>
      <w:proofErr w:type="spellEnd"/>
      <w:r w:rsidRPr="005E5A3B">
        <w:rPr>
          <w:sz w:val="24"/>
          <w:szCs w:val="24"/>
          <w:lang w:val="en-US" w:eastAsia="el-GR"/>
        </w:rPr>
        <w:t xml:space="preserve"> (n=81) of 2 mg/L; </w:t>
      </w:r>
      <w:proofErr w:type="spellStart"/>
      <w:r w:rsidRPr="005E5A3B">
        <w:rPr>
          <w:i/>
          <w:sz w:val="24"/>
          <w:szCs w:val="24"/>
          <w:lang w:val="en-US" w:eastAsia="el-GR"/>
        </w:rPr>
        <w:t>Scedosporium</w:t>
      </w:r>
      <w:proofErr w:type="spellEnd"/>
      <w:r w:rsidRPr="005E5A3B">
        <w:rPr>
          <w:i/>
          <w:sz w:val="24"/>
          <w:szCs w:val="24"/>
          <w:lang w:val="en-US" w:eastAsia="el-GR"/>
        </w:rPr>
        <w:t xml:space="preserve"> </w:t>
      </w:r>
      <w:proofErr w:type="spellStart"/>
      <w:r w:rsidRPr="005E5A3B">
        <w:rPr>
          <w:i/>
          <w:sz w:val="24"/>
          <w:szCs w:val="24"/>
          <w:lang w:val="en-US" w:eastAsia="el-GR"/>
        </w:rPr>
        <w:t>apiospermum</w:t>
      </w:r>
      <w:proofErr w:type="spellEnd"/>
      <w:r w:rsidRPr="005E5A3B">
        <w:rPr>
          <w:i/>
          <w:sz w:val="24"/>
          <w:szCs w:val="24"/>
          <w:lang w:val="en-US" w:eastAsia="el-GR"/>
        </w:rPr>
        <w:t>/S. boydii</w:t>
      </w:r>
      <w:r w:rsidRPr="005E5A3B">
        <w:rPr>
          <w:sz w:val="24"/>
          <w:szCs w:val="24"/>
          <w:lang w:val="en-US" w:eastAsia="el-GR"/>
        </w:rPr>
        <w:t xml:space="preserve"> (n=65) of 2 mg/L; </w:t>
      </w:r>
      <w:proofErr w:type="spellStart"/>
      <w:r w:rsidRPr="005E5A3B">
        <w:rPr>
          <w:i/>
          <w:sz w:val="24"/>
          <w:szCs w:val="24"/>
          <w:lang w:val="en-US" w:eastAsia="el-GR"/>
        </w:rPr>
        <w:t>Exophiala</w:t>
      </w:r>
      <w:proofErr w:type="spellEnd"/>
      <w:r w:rsidRPr="005E5A3B">
        <w:rPr>
          <w:i/>
          <w:sz w:val="24"/>
          <w:szCs w:val="24"/>
          <w:lang w:val="en-US" w:eastAsia="el-GR"/>
        </w:rPr>
        <w:t xml:space="preserve"> </w:t>
      </w:r>
      <w:proofErr w:type="spellStart"/>
      <w:r w:rsidRPr="005E5A3B">
        <w:rPr>
          <w:i/>
          <w:sz w:val="24"/>
          <w:szCs w:val="24"/>
          <w:lang w:val="en-US" w:eastAsia="el-GR"/>
        </w:rPr>
        <w:t>dermatiditis</w:t>
      </w:r>
      <w:proofErr w:type="spellEnd"/>
      <w:r w:rsidRPr="005E5A3B">
        <w:rPr>
          <w:sz w:val="24"/>
          <w:szCs w:val="24"/>
          <w:lang w:val="en-US" w:eastAsia="el-GR"/>
        </w:rPr>
        <w:t xml:space="preserve"> (n=15) of 0.5 mg/L, and </w:t>
      </w:r>
      <w:proofErr w:type="spellStart"/>
      <w:r w:rsidRPr="005E5A3B">
        <w:rPr>
          <w:i/>
          <w:sz w:val="24"/>
          <w:szCs w:val="24"/>
          <w:lang w:val="en-US" w:eastAsia="el-GR"/>
        </w:rPr>
        <w:t>Purpureocillium</w:t>
      </w:r>
      <w:proofErr w:type="spellEnd"/>
      <w:r w:rsidRPr="005E5A3B">
        <w:rPr>
          <w:i/>
          <w:sz w:val="24"/>
          <w:szCs w:val="24"/>
          <w:lang w:val="en-US" w:eastAsia="el-GR"/>
        </w:rPr>
        <w:t xml:space="preserve"> </w:t>
      </w:r>
      <w:proofErr w:type="spellStart"/>
      <w:r w:rsidRPr="005E5A3B">
        <w:rPr>
          <w:i/>
          <w:sz w:val="24"/>
          <w:szCs w:val="24"/>
          <w:lang w:val="en-US" w:eastAsia="el-GR"/>
        </w:rPr>
        <w:t>lilacinum</w:t>
      </w:r>
      <w:proofErr w:type="spellEnd"/>
      <w:r w:rsidRPr="005E5A3B">
        <w:rPr>
          <w:sz w:val="24"/>
          <w:szCs w:val="24"/>
          <w:lang w:val="en-US" w:eastAsia="el-GR"/>
        </w:rPr>
        <w:t xml:space="preserve"> (n=21) of 1 mg/L.</w:t>
      </w:r>
    </w:p>
    <w:p w14:paraId="11A0EEB1" w14:textId="77777777" w:rsidR="0072629F" w:rsidRPr="005E5A3B" w:rsidRDefault="0072629F" w:rsidP="005E5A3B">
      <w:pPr>
        <w:ind w:left="851"/>
        <w:rPr>
          <w:sz w:val="24"/>
          <w:szCs w:val="24"/>
          <w:lang w:val="en-US" w:eastAsia="el-GR"/>
        </w:rPr>
      </w:pPr>
    </w:p>
    <w:p w14:paraId="733234F1"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Resistance</w:t>
      </w:r>
    </w:p>
    <w:p w14:paraId="6825F1DE" w14:textId="77777777" w:rsidR="00E84EB9" w:rsidRPr="000455A5" w:rsidRDefault="00E84EB9" w:rsidP="003649BE">
      <w:pPr>
        <w:ind w:left="851"/>
        <w:rPr>
          <w:sz w:val="24"/>
          <w:szCs w:val="24"/>
          <w:lang w:val="en-US" w:eastAsia="el-GR"/>
        </w:rPr>
      </w:pPr>
      <w:r w:rsidRPr="000455A5">
        <w:rPr>
          <w:sz w:val="24"/>
          <w:szCs w:val="24"/>
          <w:lang w:val="en-US" w:eastAsia="el-GR"/>
        </w:rPr>
        <w:t xml:space="preserve">Clinical isolates with decreased susceptibility to </w:t>
      </w:r>
      <w:proofErr w:type="spellStart"/>
      <w:r w:rsidRPr="000455A5">
        <w:rPr>
          <w:sz w:val="24"/>
          <w:szCs w:val="24"/>
          <w:lang w:val="en-US" w:eastAsia="el-GR"/>
        </w:rPr>
        <w:t>posaconazole</w:t>
      </w:r>
      <w:proofErr w:type="spellEnd"/>
      <w:r w:rsidRPr="000455A5">
        <w:rPr>
          <w:sz w:val="24"/>
          <w:szCs w:val="24"/>
          <w:lang w:val="en-US" w:eastAsia="el-GR"/>
        </w:rPr>
        <w:t xml:space="preserve"> have been identified. The principle mechanism of resistance is the acquisition of substitutions in the target protein, CYP51.</w:t>
      </w:r>
    </w:p>
    <w:p w14:paraId="12BCB648" w14:textId="77777777" w:rsidR="00E84EB9" w:rsidRPr="000455A5" w:rsidRDefault="00E84EB9" w:rsidP="003649BE">
      <w:pPr>
        <w:ind w:left="851"/>
        <w:rPr>
          <w:sz w:val="24"/>
          <w:szCs w:val="24"/>
          <w:lang w:val="en-US" w:eastAsia="el-GR"/>
        </w:rPr>
      </w:pPr>
    </w:p>
    <w:p w14:paraId="6CA99975"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 xml:space="preserve">Epidemiological Cut-off (ECOFF) Values for </w:t>
      </w:r>
      <w:r w:rsidRPr="000455A5">
        <w:rPr>
          <w:i/>
          <w:sz w:val="24"/>
          <w:szCs w:val="24"/>
          <w:u w:val="single"/>
          <w:lang w:val="en-US" w:eastAsia="el-GR"/>
        </w:rPr>
        <w:t>Aspergillus</w:t>
      </w:r>
      <w:r w:rsidRPr="000455A5">
        <w:rPr>
          <w:sz w:val="24"/>
          <w:szCs w:val="24"/>
          <w:u w:val="single"/>
          <w:lang w:val="en-US" w:eastAsia="el-GR"/>
        </w:rPr>
        <w:t xml:space="preserve"> spp.</w:t>
      </w:r>
    </w:p>
    <w:p w14:paraId="41710B46" w14:textId="77777777" w:rsidR="00E84EB9" w:rsidRPr="000455A5" w:rsidRDefault="00E84EB9" w:rsidP="003649BE">
      <w:pPr>
        <w:ind w:left="851"/>
        <w:rPr>
          <w:sz w:val="24"/>
          <w:szCs w:val="24"/>
          <w:lang w:val="en-US" w:eastAsia="el-GR"/>
        </w:rPr>
      </w:pPr>
      <w:r w:rsidRPr="000455A5">
        <w:rPr>
          <w:sz w:val="24"/>
          <w:szCs w:val="24"/>
          <w:lang w:val="en-US" w:eastAsia="el-GR"/>
        </w:rPr>
        <w:t xml:space="preserve">The ECOFF values for </w:t>
      </w:r>
      <w:proofErr w:type="spellStart"/>
      <w:r w:rsidRPr="000455A5">
        <w:rPr>
          <w:sz w:val="24"/>
          <w:szCs w:val="24"/>
          <w:lang w:val="en-US" w:eastAsia="el-GR"/>
        </w:rPr>
        <w:t>posaconazole</w:t>
      </w:r>
      <w:proofErr w:type="spellEnd"/>
      <w:r w:rsidRPr="000455A5">
        <w:rPr>
          <w:sz w:val="24"/>
          <w:szCs w:val="24"/>
          <w:lang w:val="en-US" w:eastAsia="el-GR"/>
        </w:rPr>
        <w:t>, which distinguish the wild type population from isolates with acquired resistance have been determined by EUCAST methodology.</w:t>
      </w:r>
    </w:p>
    <w:p w14:paraId="3D2CFD34" w14:textId="77777777" w:rsidR="00AD229D" w:rsidRPr="006D6779" w:rsidRDefault="00AD229D" w:rsidP="003649BE">
      <w:pPr>
        <w:ind w:left="851"/>
        <w:rPr>
          <w:sz w:val="24"/>
          <w:szCs w:val="24"/>
          <w:lang w:val="en-US" w:eastAsia="el-GR"/>
        </w:rPr>
      </w:pPr>
    </w:p>
    <w:p w14:paraId="79B8299C" w14:textId="77777777" w:rsidR="0072629F" w:rsidRPr="005E5A3B" w:rsidRDefault="0072629F" w:rsidP="005E5A3B">
      <w:pPr>
        <w:suppressAutoHyphens/>
        <w:ind w:left="851"/>
        <w:rPr>
          <w:sz w:val="24"/>
          <w:szCs w:val="24"/>
          <w:lang w:eastAsia="el-GR"/>
        </w:rPr>
      </w:pPr>
      <w:r w:rsidRPr="005E5A3B">
        <w:rPr>
          <w:sz w:val="24"/>
          <w:szCs w:val="24"/>
          <w:lang w:eastAsia="el-GR"/>
        </w:rPr>
        <w:t xml:space="preserve">EUCAST ECOFF </w:t>
      </w:r>
      <w:proofErr w:type="spellStart"/>
      <w:r w:rsidRPr="005E5A3B">
        <w:rPr>
          <w:sz w:val="24"/>
          <w:szCs w:val="24"/>
          <w:lang w:eastAsia="el-GR"/>
        </w:rPr>
        <w:t>values</w:t>
      </w:r>
      <w:proofErr w:type="spellEnd"/>
      <w:r w:rsidRPr="005E5A3B">
        <w:rPr>
          <w:sz w:val="24"/>
          <w:szCs w:val="24"/>
          <w:lang w:eastAsia="el-GR"/>
        </w:rPr>
        <w:t>:</w:t>
      </w:r>
    </w:p>
    <w:p w14:paraId="292146DA" w14:textId="77777777" w:rsidR="0072629F" w:rsidRPr="005E5A3B" w:rsidRDefault="0072629F" w:rsidP="005E5A3B">
      <w:pPr>
        <w:pStyle w:val="Listeafsnit"/>
        <w:numPr>
          <w:ilvl w:val="0"/>
          <w:numId w:val="15"/>
        </w:numPr>
        <w:suppressAutoHyphens/>
        <w:overflowPunct/>
        <w:ind w:left="851" w:firstLine="0"/>
        <w:rPr>
          <w:szCs w:val="24"/>
          <w:lang w:eastAsia="el-GR"/>
        </w:rPr>
      </w:pPr>
      <w:r w:rsidRPr="005E5A3B">
        <w:rPr>
          <w:i/>
          <w:szCs w:val="24"/>
          <w:lang w:eastAsia="el-GR"/>
        </w:rPr>
        <w:t>Aspergillus flavus</w:t>
      </w:r>
      <w:r w:rsidRPr="005E5A3B">
        <w:rPr>
          <w:szCs w:val="24"/>
          <w:lang w:eastAsia="el-GR"/>
        </w:rPr>
        <w:t>: 0.5 mg/L</w:t>
      </w:r>
    </w:p>
    <w:p w14:paraId="7CA7D25D" w14:textId="77777777" w:rsidR="0072629F" w:rsidRPr="005E5A3B" w:rsidRDefault="0072629F" w:rsidP="005E5A3B">
      <w:pPr>
        <w:pStyle w:val="Listeafsnit"/>
        <w:numPr>
          <w:ilvl w:val="0"/>
          <w:numId w:val="15"/>
        </w:numPr>
        <w:suppressAutoHyphens/>
        <w:overflowPunct/>
        <w:ind w:left="851" w:firstLine="0"/>
        <w:rPr>
          <w:szCs w:val="24"/>
          <w:lang w:eastAsia="el-GR"/>
        </w:rPr>
      </w:pPr>
      <w:r w:rsidRPr="005E5A3B">
        <w:rPr>
          <w:i/>
          <w:szCs w:val="24"/>
          <w:lang w:eastAsia="el-GR"/>
        </w:rPr>
        <w:t>Aspergillus fumigatus</w:t>
      </w:r>
      <w:r w:rsidRPr="005E5A3B">
        <w:rPr>
          <w:szCs w:val="24"/>
          <w:lang w:eastAsia="el-GR"/>
        </w:rPr>
        <w:t>: 0.5 mg/L</w:t>
      </w:r>
    </w:p>
    <w:p w14:paraId="4D3E2A54" w14:textId="77777777" w:rsidR="0072629F" w:rsidRPr="005E5A3B" w:rsidRDefault="0072629F" w:rsidP="005E5A3B">
      <w:pPr>
        <w:pStyle w:val="Listeafsnit"/>
        <w:numPr>
          <w:ilvl w:val="0"/>
          <w:numId w:val="15"/>
        </w:numPr>
        <w:suppressAutoHyphens/>
        <w:overflowPunct/>
        <w:ind w:left="851" w:firstLine="0"/>
        <w:rPr>
          <w:szCs w:val="24"/>
          <w:lang w:eastAsia="el-GR"/>
        </w:rPr>
      </w:pPr>
      <w:r w:rsidRPr="005E5A3B">
        <w:rPr>
          <w:i/>
          <w:szCs w:val="24"/>
          <w:lang w:eastAsia="el-GR"/>
        </w:rPr>
        <w:t xml:space="preserve">Aspergillus </w:t>
      </w:r>
      <w:proofErr w:type="spellStart"/>
      <w:r w:rsidRPr="005E5A3B">
        <w:rPr>
          <w:i/>
          <w:szCs w:val="24"/>
          <w:lang w:eastAsia="el-GR"/>
        </w:rPr>
        <w:t>nidulans</w:t>
      </w:r>
      <w:proofErr w:type="spellEnd"/>
      <w:r w:rsidRPr="005E5A3B">
        <w:rPr>
          <w:szCs w:val="24"/>
          <w:lang w:eastAsia="el-GR"/>
        </w:rPr>
        <w:t>: 0.5 mg/L</w:t>
      </w:r>
    </w:p>
    <w:p w14:paraId="64EAABC2" w14:textId="77777777" w:rsidR="0072629F" w:rsidRPr="005E5A3B" w:rsidRDefault="0072629F" w:rsidP="005E5A3B">
      <w:pPr>
        <w:pStyle w:val="Listeafsnit"/>
        <w:numPr>
          <w:ilvl w:val="0"/>
          <w:numId w:val="15"/>
        </w:numPr>
        <w:suppressAutoHyphens/>
        <w:overflowPunct/>
        <w:ind w:left="851" w:firstLine="0"/>
        <w:rPr>
          <w:szCs w:val="24"/>
          <w:lang w:eastAsia="el-GR"/>
        </w:rPr>
      </w:pPr>
      <w:r w:rsidRPr="005E5A3B">
        <w:rPr>
          <w:i/>
          <w:szCs w:val="24"/>
          <w:lang w:eastAsia="el-GR"/>
        </w:rPr>
        <w:t xml:space="preserve">Aspergillus </w:t>
      </w:r>
      <w:proofErr w:type="spellStart"/>
      <w:r w:rsidRPr="005E5A3B">
        <w:rPr>
          <w:i/>
          <w:szCs w:val="24"/>
          <w:lang w:eastAsia="el-GR"/>
        </w:rPr>
        <w:t>niger</w:t>
      </w:r>
      <w:proofErr w:type="spellEnd"/>
      <w:r w:rsidRPr="005E5A3B">
        <w:rPr>
          <w:szCs w:val="24"/>
          <w:lang w:eastAsia="el-GR"/>
        </w:rPr>
        <w:t>: 0.5 mg/L</w:t>
      </w:r>
    </w:p>
    <w:p w14:paraId="19CC2A1D" w14:textId="77777777" w:rsidR="0072629F" w:rsidRPr="005E5A3B" w:rsidRDefault="0072629F" w:rsidP="005E5A3B">
      <w:pPr>
        <w:pStyle w:val="Listeafsnit"/>
        <w:numPr>
          <w:ilvl w:val="0"/>
          <w:numId w:val="15"/>
        </w:numPr>
        <w:suppressAutoHyphens/>
        <w:overflowPunct/>
        <w:ind w:left="851" w:firstLine="0"/>
        <w:rPr>
          <w:szCs w:val="24"/>
          <w:lang w:eastAsia="el-GR"/>
        </w:rPr>
      </w:pPr>
      <w:r w:rsidRPr="005E5A3B">
        <w:rPr>
          <w:i/>
          <w:szCs w:val="24"/>
          <w:lang w:eastAsia="el-GR"/>
        </w:rPr>
        <w:t xml:space="preserve">Aspergillus </w:t>
      </w:r>
      <w:proofErr w:type="spellStart"/>
      <w:r w:rsidRPr="005E5A3B">
        <w:rPr>
          <w:i/>
          <w:szCs w:val="24"/>
          <w:lang w:eastAsia="el-GR"/>
        </w:rPr>
        <w:t>terreus</w:t>
      </w:r>
      <w:proofErr w:type="spellEnd"/>
      <w:r w:rsidRPr="005E5A3B">
        <w:rPr>
          <w:szCs w:val="24"/>
          <w:lang w:eastAsia="el-GR"/>
        </w:rPr>
        <w:t>: 0.25 mg/L</w:t>
      </w:r>
    </w:p>
    <w:p w14:paraId="48785EF2" w14:textId="77777777" w:rsidR="0072629F" w:rsidRPr="005E5A3B" w:rsidRDefault="0072629F" w:rsidP="005E5A3B">
      <w:pPr>
        <w:suppressAutoHyphens/>
        <w:ind w:left="851"/>
        <w:rPr>
          <w:sz w:val="24"/>
          <w:szCs w:val="24"/>
          <w:lang w:val="en-US" w:eastAsia="el-GR"/>
        </w:rPr>
      </w:pPr>
      <w:r w:rsidRPr="005E5A3B">
        <w:rPr>
          <w:sz w:val="24"/>
          <w:szCs w:val="24"/>
          <w:lang w:val="en-US" w:eastAsia="el-GR"/>
        </w:rPr>
        <w:t>ECOFF values do not equate to clinical breakpoints.</w:t>
      </w:r>
    </w:p>
    <w:p w14:paraId="4CDF3D89" w14:textId="77777777" w:rsidR="0072629F" w:rsidRPr="005E5A3B" w:rsidRDefault="0072629F" w:rsidP="005E5A3B">
      <w:pPr>
        <w:suppressAutoHyphens/>
        <w:ind w:left="851"/>
        <w:rPr>
          <w:sz w:val="24"/>
          <w:szCs w:val="24"/>
          <w:lang w:val="en-US" w:eastAsia="el-GR"/>
        </w:rPr>
      </w:pPr>
    </w:p>
    <w:p w14:paraId="2B487F85" w14:textId="77777777" w:rsidR="0072629F" w:rsidRPr="005E5A3B" w:rsidRDefault="0072629F" w:rsidP="005E5A3B">
      <w:pPr>
        <w:suppressAutoHyphens/>
        <w:ind w:left="851"/>
        <w:rPr>
          <w:sz w:val="24"/>
          <w:szCs w:val="24"/>
          <w:u w:val="single"/>
          <w:lang w:val="en-US" w:eastAsia="el-GR"/>
        </w:rPr>
      </w:pPr>
      <w:r w:rsidRPr="005E5A3B">
        <w:rPr>
          <w:sz w:val="24"/>
          <w:szCs w:val="24"/>
          <w:u w:val="single"/>
          <w:lang w:val="en-US" w:eastAsia="el-GR"/>
        </w:rPr>
        <w:t>Breakpoints</w:t>
      </w:r>
      <w:r w:rsidRPr="005E5A3B">
        <w:rPr>
          <w:sz w:val="24"/>
          <w:szCs w:val="24"/>
          <w:lang w:val="en-US" w:eastAsia="el-GR"/>
        </w:rPr>
        <w:t xml:space="preserve"> </w:t>
      </w:r>
      <w:r w:rsidRPr="005E5A3B">
        <w:rPr>
          <w:sz w:val="24"/>
          <w:szCs w:val="24"/>
          <w:lang w:val="en-US"/>
        </w:rPr>
        <w:t>(EUCAST Clinical breakpoints for fungi v10.0)</w:t>
      </w:r>
    </w:p>
    <w:p w14:paraId="1750E77D" w14:textId="77777777" w:rsidR="0072629F" w:rsidRPr="005E5A3B" w:rsidRDefault="0072629F" w:rsidP="005E5A3B">
      <w:pPr>
        <w:suppressAutoHyphens/>
        <w:ind w:left="851"/>
        <w:rPr>
          <w:sz w:val="24"/>
          <w:szCs w:val="24"/>
          <w:lang w:val="en-US" w:eastAsia="el-GR"/>
        </w:rPr>
      </w:pPr>
      <w:r w:rsidRPr="005E5A3B">
        <w:rPr>
          <w:sz w:val="24"/>
          <w:szCs w:val="24"/>
          <w:lang w:val="en-US" w:eastAsia="el-GR"/>
        </w:rPr>
        <w:t xml:space="preserve">EUCAST MIC breakpoints for </w:t>
      </w:r>
      <w:proofErr w:type="spellStart"/>
      <w:r w:rsidRPr="005E5A3B">
        <w:rPr>
          <w:sz w:val="24"/>
          <w:szCs w:val="24"/>
          <w:lang w:val="en-US" w:eastAsia="el-GR"/>
        </w:rPr>
        <w:t>posaconazole</w:t>
      </w:r>
      <w:proofErr w:type="spellEnd"/>
      <w:r w:rsidRPr="005E5A3B">
        <w:rPr>
          <w:sz w:val="24"/>
          <w:szCs w:val="24"/>
          <w:lang w:val="en-US" w:eastAsia="el-GR"/>
        </w:rPr>
        <w:t xml:space="preserve"> [susceptible (S); resistant (R)]:</w:t>
      </w:r>
    </w:p>
    <w:p w14:paraId="15CD558B" w14:textId="77777777" w:rsidR="0072629F" w:rsidRPr="005E5A3B" w:rsidRDefault="0072629F" w:rsidP="005E5A3B">
      <w:pPr>
        <w:pStyle w:val="Listeafsnit"/>
        <w:widowControl w:val="0"/>
        <w:numPr>
          <w:ilvl w:val="0"/>
          <w:numId w:val="16"/>
        </w:numPr>
        <w:tabs>
          <w:tab w:val="left" w:pos="426"/>
        </w:tabs>
        <w:overflowPunct/>
        <w:adjustRightInd/>
        <w:ind w:left="851" w:firstLine="0"/>
        <w:rPr>
          <w:i/>
          <w:szCs w:val="24"/>
        </w:rPr>
      </w:pPr>
      <w:r w:rsidRPr="005E5A3B">
        <w:rPr>
          <w:i/>
          <w:szCs w:val="24"/>
        </w:rPr>
        <w:t>Aspergillus fumigatus</w:t>
      </w:r>
      <w:r w:rsidRPr="005E5A3B">
        <w:rPr>
          <w:szCs w:val="24"/>
          <w:vertAlign w:val="superscript"/>
        </w:rPr>
        <w:t>1,2</w:t>
      </w:r>
      <w:r w:rsidRPr="005E5A3B">
        <w:rPr>
          <w:szCs w:val="24"/>
        </w:rPr>
        <w:t>: S ≤0.13 mg/L, R &gt;0.25</w:t>
      </w:r>
      <w:r w:rsidRPr="005E5A3B">
        <w:rPr>
          <w:spacing w:val="-2"/>
          <w:szCs w:val="24"/>
        </w:rPr>
        <w:t xml:space="preserve"> </w:t>
      </w:r>
      <w:r w:rsidRPr="005E5A3B">
        <w:rPr>
          <w:szCs w:val="24"/>
        </w:rPr>
        <w:t>mg/L</w:t>
      </w:r>
    </w:p>
    <w:p w14:paraId="015772A4" w14:textId="77777777" w:rsidR="0072629F" w:rsidRPr="005E5A3B" w:rsidRDefault="0072629F" w:rsidP="005E5A3B">
      <w:pPr>
        <w:pStyle w:val="Listeafsnit"/>
        <w:widowControl w:val="0"/>
        <w:numPr>
          <w:ilvl w:val="0"/>
          <w:numId w:val="16"/>
        </w:numPr>
        <w:tabs>
          <w:tab w:val="left" w:pos="426"/>
        </w:tabs>
        <w:overflowPunct/>
        <w:adjustRightInd/>
        <w:ind w:left="851" w:firstLine="0"/>
        <w:rPr>
          <w:i/>
          <w:szCs w:val="24"/>
        </w:rPr>
      </w:pPr>
      <w:r w:rsidRPr="005E5A3B">
        <w:rPr>
          <w:i/>
          <w:szCs w:val="24"/>
        </w:rPr>
        <w:t>Aspergillus terreus</w:t>
      </w:r>
      <w:r w:rsidRPr="005E5A3B">
        <w:rPr>
          <w:szCs w:val="24"/>
          <w:vertAlign w:val="superscript"/>
        </w:rPr>
        <w:t>1,2</w:t>
      </w:r>
      <w:r w:rsidRPr="005E5A3B">
        <w:rPr>
          <w:szCs w:val="24"/>
        </w:rPr>
        <w:t>: S ≤0.13 mg/L, R &gt;0.25</w:t>
      </w:r>
      <w:r w:rsidRPr="005E5A3B">
        <w:rPr>
          <w:spacing w:val="-2"/>
          <w:szCs w:val="24"/>
        </w:rPr>
        <w:t xml:space="preserve"> </w:t>
      </w:r>
      <w:r w:rsidRPr="005E5A3B">
        <w:rPr>
          <w:szCs w:val="24"/>
        </w:rPr>
        <w:t>mg/L</w:t>
      </w:r>
    </w:p>
    <w:p w14:paraId="12D5B973" w14:textId="77777777" w:rsidR="0072629F" w:rsidRPr="005E5A3B" w:rsidRDefault="0072629F" w:rsidP="005E5A3B">
      <w:pPr>
        <w:pStyle w:val="Listeafsnit"/>
        <w:numPr>
          <w:ilvl w:val="0"/>
          <w:numId w:val="16"/>
        </w:numPr>
        <w:suppressAutoHyphens/>
        <w:overflowPunct/>
        <w:ind w:left="851" w:firstLine="0"/>
        <w:rPr>
          <w:szCs w:val="24"/>
          <w:lang w:eastAsia="el-GR"/>
        </w:rPr>
      </w:pPr>
      <w:r w:rsidRPr="005E5A3B">
        <w:rPr>
          <w:i/>
          <w:szCs w:val="24"/>
          <w:lang w:eastAsia="el-GR"/>
        </w:rPr>
        <w:t>Candida albicans</w:t>
      </w:r>
      <w:r w:rsidRPr="005E5A3B">
        <w:rPr>
          <w:szCs w:val="24"/>
          <w:lang w:eastAsia="el-GR"/>
        </w:rPr>
        <w:t>: S ≤0.06 mg/L, R &gt;0.06 mg/L</w:t>
      </w:r>
    </w:p>
    <w:p w14:paraId="2C382947" w14:textId="77777777" w:rsidR="0072629F" w:rsidRPr="005E5A3B" w:rsidRDefault="0072629F" w:rsidP="005E5A3B">
      <w:pPr>
        <w:pStyle w:val="Listeafsnit"/>
        <w:numPr>
          <w:ilvl w:val="0"/>
          <w:numId w:val="16"/>
        </w:numPr>
        <w:suppressAutoHyphens/>
        <w:overflowPunct/>
        <w:ind w:left="851" w:firstLine="0"/>
        <w:rPr>
          <w:szCs w:val="24"/>
          <w:lang w:eastAsia="el-GR"/>
        </w:rPr>
      </w:pPr>
      <w:r w:rsidRPr="005E5A3B">
        <w:rPr>
          <w:i/>
          <w:szCs w:val="24"/>
          <w:lang w:eastAsia="el-GR"/>
        </w:rPr>
        <w:t>Candida tropicalis</w:t>
      </w:r>
      <w:r w:rsidRPr="005E5A3B">
        <w:rPr>
          <w:szCs w:val="24"/>
          <w:lang w:eastAsia="el-GR"/>
        </w:rPr>
        <w:t>: S ≤0.06 mg/L, R &gt;0.06 mg/L</w:t>
      </w:r>
    </w:p>
    <w:p w14:paraId="01944620" w14:textId="77777777" w:rsidR="0072629F" w:rsidRPr="005E5A3B" w:rsidRDefault="0072629F" w:rsidP="005E5A3B">
      <w:pPr>
        <w:pStyle w:val="Listeafsnit"/>
        <w:numPr>
          <w:ilvl w:val="0"/>
          <w:numId w:val="16"/>
        </w:numPr>
        <w:suppressAutoHyphens/>
        <w:overflowPunct/>
        <w:ind w:left="851" w:firstLine="0"/>
        <w:rPr>
          <w:szCs w:val="24"/>
          <w:lang w:eastAsia="el-GR"/>
        </w:rPr>
      </w:pPr>
      <w:r w:rsidRPr="005E5A3B">
        <w:rPr>
          <w:i/>
          <w:szCs w:val="24"/>
          <w:lang w:eastAsia="el-GR"/>
        </w:rPr>
        <w:t xml:space="preserve">Candida </w:t>
      </w:r>
      <w:proofErr w:type="spellStart"/>
      <w:r w:rsidRPr="005E5A3B">
        <w:rPr>
          <w:i/>
          <w:szCs w:val="24"/>
          <w:lang w:eastAsia="el-GR"/>
        </w:rPr>
        <w:t>parapsilosis</w:t>
      </w:r>
      <w:proofErr w:type="spellEnd"/>
      <w:r w:rsidRPr="005E5A3B">
        <w:rPr>
          <w:szCs w:val="24"/>
          <w:lang w:eastAsia="el-GR"/>
        </w:rPr>
        <w:t>: S ≤0.06 mg/L, R &gt;0.06 mg/L</w:t>
      </w:r>
    </w:p>
    <w:p w14:paraId="3052F3BC" w14:textId="77777777" w:rsidR="0072629F" w:rsidRPr="005E5A3B" w:rsidRDefault="0072629F" w:rsidP="005E5A3B">
      <w:pPr>
        <w:pStyle w:val="Listeafsnit"/>
        <w:numPr>
          <w:ilvl w:val="0"/>
          <w:numId w:val="16"/>
        </w:numPr>
        <w:suppressAutoHyphens/>
        <w:overflowPunct/>
        <w:ind w:left="851" w:firstLine="0"/>
        <w:rPr>
          <w:szCs w:val="24"/>
          <w:lang w:eastAsia="el-GR"/>
        </w:rPr>
      </w:pPr>
      <w:r w:rsidRPr="005E5A3B">
        <w:rPr>
          <w:i/>
          <w:szCs w:val="24"/>
          <w:lang w:eastAsia="el-GR"/>
        </w:rPr>
        <w:t xml:space="preserve">Candida </w:t>
      </w:r>
      <w:proofErr w:type="spellStart"/>
      <w:r w:rsidRPr="005E5A3B">
        <w:rPr>
          <w:i/>
          <w:szCs w:val="24"/>
          <w:lang w:eastAsia="el-GR"/>
        </w:rPr>
        <w:t>dubliniensis</w:t>
      </w:r>
      <w:proofErr w:type="spellEnd"/>
      <w:r w:rsidRPr="005E5A3B">
        <w:rPr>
          <w:szCs w:val="24"/>
          <w:lang w:eastAsia="el-GR"/>
        </w:rPr>
        <w:t>: S ≤0.06 mg/L, R &gt; 0.06 mg/L</w:t>
      </w:r>
    </w:p>
    <w:p w14:paraId="795D34AB" w14:textId="44146044" w:rsidR="0072629F" w:rsidRPr="005E5A3B" w:rsidRDefault="0072629F" w:rsidP="00734384">
      <w:pPr>
        <w:pStyle w:val="Brdtekst"/>
        <w:ind w:left="1134" w:hanging="283"/>
        <w:jc w:val="left"/>
        <w:rPr>
          <w:lang w:val="en-US"/>
        </w:rPr>
      </w:pPr>
      <w:r w:rsidRPr="005E5A3B">
        <w:rPr>
          <w:vertAlign w:val="superscript"/>
          <w:lang w:val="en-US"/>
        </w:rPr>
        <w:t>1</w:t>
      </w:r>
      <w:r w:rsidRPr="005E5A3B">
        <w:rPr>
          <w:lang w:val="en-US"/>
        </w:rPr>
        <w:t xml:space="preserve"> </w:t>
      </w:r>
      <w:r w:rsidR="00734384">
        <w:rPr>
          <w:lang w:val="en-US"/>
        </w:rPr>
        <w:tab/>
      </w:r>
      <w:r w:rsidRPr="005E5A3B">
        <w:rPr>
          <w:lang w:val="en-US"/>
        </w:rPr>
        <w:t>Monitoring of azole trough concentrations in patients treated for fungal infection is recommended.</w:t>
      </w:r>
    </w:p>
    <w:p w14:paraId="07BA8F1E" w14:textId="5CBDEC6A" w:rsidR="0072629F" w:rsidRPr="005E5A3B" w:rsidRDefault="0072629F" w:rsidP="00734384">
      <w:pPr>
        <w:pStyle w:val="Default"/>
        <w:ind w:left="1134" w:hanging="283"/>
        <w:rPr>
          <w:color w:val="auto"/>
          <w:lang w:val="en-US"/>
        </w:rPr>
      </w:pPr>
      <w:r w:rsidRPr="005E5A3B">
        <w:rPr>
          <w:w w:val="105"/>
          <w:vertAlign w:val="superscript"/>
          <w:lang w:val="en-US"/>
        </w:rPr>
        <w:t>2</w:t>
      </w:r>
      <w:r w:rsidRPr="005E5A3B">
        <w:rPr>
          <w:w w:val="105"/>
          <w:lang w:val="en-US"/>
        </w:rPr>
        <w:t xml:space="preserve"> </w:t>
      </w:r>
      <w:r w:rsidR="00734384">
        <w:rPr>
          <w:w w:val="105"/>
          <w:lang w:val="en-US"/>
        </w:rPr>
        <w:tab/>
      </w:r>
      <w:r w:rsidRPr="005E5A3B">
        <w:rPr>
          <w:color w:val="auto"/>
          <w:lang w:val="en-US"/>
        </w:rPr>
        <w:t xml:space="preserve">Area of technical uncertainty (ATU) is 0.25. If S to itraconazole report as S and add the following comment: "The MIC is 0.25 mg/L and thus one dilution above the S breakpoint due to overlapping </w:t>
      </w:r>
      <w:proofErr w:type="spellStart"/>
      <w:r w:rsidRPr="005E5A3B">
        <w:rPr>
          <w:color w:val="auto"/>
          <w:lang w:val="en-US"/>
        </w:rPr>
        <w:t>wt</w:t>
      </w:r>
      <w:proofErr w:type="spellEnd"/>
      <w:r w:rsidRPr="005E5A3B">
        <w:rPr>
          <w:color w:val="auto"/>
          <w:lang w:val="en-US"/>
        </w:rPr>
        <w:t xml:space="preserve"> and non-</w:t>
      </w:r>
      <w:proofErr w:type="spellStart"/>
      <w:r w:rsidRPr="005E5A3B">
        <w:rPr>
          <w:color w:val="auto"/>
          <w:lang w:val="en-US"/>
        </w:rPr>
        <w:t>wt</w:t>
      </w:r>
      <w:proofErr w:type="spellEnd"/>
      <w:r w:rsidRPr="005E5A3B">
        <w:rPr>
          <w:color w:val="auto"/>
          <w:lang w:val="en-US"/>
        </w:rPr>
        <w:t xml:space="preserve"> populations". If not S to itraconazole report as R and refer to reference laboratory for </w:t>
      </w:r>
      <w:r w:rsidRPr="005E5A3B">
        <w:rPr>
          <w:i/>
          <w:color w:val="auto"/>
          <w:lang w:val="en-US"/>
        </w:rPr>
        <w:t xml:space="preserve">CYP51A </w:t>
      </w:r>
      <w:r w:rsidRPr="005E5A3B">
        <w:rPr>
          <w:color w:val="auto"/>
          <w:lang w:val="en-US"/>
        </w:rPr>
        <w:t>sequencing and confirmation of MICs.</w:t>
      </w:r>
    </w:p>
    <w:p w14:paraId="39D40035" w14:textId="77777777" w:rsidR="00F7361C" w:rsidRPr="005E5A3B" w:rsidRDefault="00F7361C" w:rsidP="005E5A3B">
      <w:pPr>
        <w:ind w:left="851"/>
        <w:rPr>
          <w:sz w:val="24"/>
          <w:szCs w:val="24"/>
          <w:lang w:val="en-US" w:eastAsia="el-GR"/>
        </w:rPr>
      </w:pPr>
    </w:p>
    <w:p w14:paraId="6E3F3A4C" w14:textId="77777777" w:rsidR="00CE347C" w:rsidRPr="005E5A3B" w:rsidRDefault="00CE347C" w:rsidP="005E5A3B">
      <w:pPr>
        <w:suppressAutoHyphens/>
        <w:ind w:left="851"/>
        <w:rPr>
          <w:sz w:val="24"/>
          <w:szCs w:val="24"/>
          <w:lang w:val="en-US" w:eastAsia="el-GR"/>
        </w:rPr>
      </w:pPr>
      <w:r w:rsidRPr="005E5A3B">
        <w:rPr>
          <w:sz w:val="24"/>
          <w:szCs w:val="24"/>
          <w:lang w:val="en-US" w:eastAsia="el-GR"/>
        </w:rPr>
        <w:t xml:space="preserve">There are currently insufficient data to set clinical breakpoints for other </w:t>
      </w:r>
      <w:r w:rsidRPr="005E5A3B">
        <w:rPr>
          <w:i/>
          <w:sz w:val="24"/>
          <w:szCs w:val="24"/>
          <w:lang w:val="en-US"/>
        </w:rPr>
        <w:t>Candida</w:t>
      </w:r>
      <w:r w:rsidRPr="005E5A3B">
        <w:rPr>
          <w:sz w:val="24"/>
          <w:szCs w:val="24"/>
          <w:lang w:val="en-US" w:eastAsia="el-GR"/>
        </w:rPr>
        <w:t xml:space="preserve"> or </w:t>
      </w:r>
      <w:r w:rsidRPr="005E5A3B">
        <w:rPr>
          <w:i/>
          <w:sz w:val="24"/>
          <w:szCs w:val="24"/>
          <w:lang w:val="en-US" w:eastAsia="el-GR"/>
        </w:rPr>
        <w:t>Aspergillus</w:t>
      </w:r>
      <w:r w:rsidRPr="005E5A3B">
        <w:rPr>
          <w:sz w:val="24"/>
          <w:szCs w:val="24"/>
          <w:lang w:val="en-US" w:eastAsia="el-GR"/>
        </w:rPr>
        <w:t xml:space="preserve"> species.</w:t>
      </w:r>
    </w:p>
    <w:p w14:paraId="54667760" w14:textId="77777777" w:rsidR="00E84EB9" w:rsidRPr="000455A5" w:rsidRDefault="00E84EB9" w:rsidP="003649BE">
      <w:pPr>
        <w:ind w:left="851"/>
        <w:rPr>
          <w:sz w:val="24"/>
          <w:szCs w:val="24"/>
          <w:lang w:val="en-US" w:eastAsia="el-GR"/>
        </w:rPr>
      </w:pPr>
    </w:p>
    <w:p w14:paraId="79FE84D3"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Combination with other antifungal agents</w:t>
      </w:r>
    </w:p>
    <w:p w14:paraId="343A8285" w14:textId="77777777" w:rsidR="00E84EB9" w:rsidRPr="000455A5" w:rsidRDefault="00E84EB9" w:rsidP="003649BE">
      <w:pPr>
        <w:ind w:left="851"/>
        <w:rPr>
          <w:sz w:val="24"/>
          <w:szCs w:val="24"/>
          <w:lang w:val="en-US" w:eastAsia="el-GR"/>
        </w:rPr>
      </w:pPr>
      <w:r w:rsidRPr="000455A5">
        <w:rPr>
          <w:sz w:val="24"/>
          <w:szCs w:val="24"/>
          <w:lang w:val="en-US" w:eastAsia="el-GR"/>
        </w:rPr>
        <w:t xml:space="preserve">The use of combination antifungal therapies should not decrease the efficacy of either </w:t>
      </w:r>
      <w:proofErr w:type="spellStart"/>
      <w:r w:rsidRPr="000455A5">
        <w:rPr>
          <w:sz w:val="24"/>
          <w:szCs w:val="24"/>
          <w:lang w:val="en-US" w:eastAsia="el-GR"/>
        </w:rPr>
        <w:t>posaconazole</w:t>
      </w:r>
      <w:proofErr w:type="spellEnd"/>
      <w:r w:rsidRPr="000455A5">
        <w:rPr>
          <w:sz w:val="24"/>
          <w:szCs w:val="24"/>
          <w:lang w:val="en-US" w:eastAsia="el-GR"/>
        </w:rPr>
        <w:t xml:space="preserve"> or the other therapies; however, there is currently no clinical evidence that combination therapy will provide an added benefit.</w:t>
      </w:r>
    </w:p>
    <w:p w14:paraId="43AE0980" w14:textId="77777777" w:rsidR="00E84EB9" w:rsidRPr="000455A5" w:rsidRDefault="00E84EB9" w:rsidP="003649BE">
      <w:pPr>
        <w:ind w:left="851"/>
        <w:rPr>
          <w:sz w:val="24"/>
          <w:szCs w:val="24"/>
          <w:lang w:val="en-US" w:eastAsia="el-GR"/>
        </w:rPr>
      </w:pPr>
    </w:p>
    <w:p w14:paraId="06AF3D88"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Pharmacokinetic / Pharmacodynamic relationships</w:t>
      </w:r>
    </w:p>
    <w:p w14:paraId="0BD84F92" w14:textId="77777777" w:rsidR="00E84EB9" w:rsidRPr="000455A5" w:rsidRDefault="00E84EB9" w:rsidP="003649BE">
      <w:pPr>
        <w:ind w:left="851"/>
        <w:rPr>
          <w:sz w:val="24"/>
          <w:szCs w:val="24"/>
          <w:lang w:val="en-US" w:eastAsia="el-GR"/>
        </w:rPr>
      </w:pPr>
      <w:r w:rsidRPr="000455A5">
        <w:rPr>
          <w:sz w:val="24"/>
          <w:szCs w:val="24"/>
          <w:lang w:val="en-US" w:eastAsia="el-GR"/>
        </w:rPr>
        <w:t xml:space="preserve">A correlation between total medicinal product exposure divided by MIC (AUC/MIC) and clinical outcome was observed. The critical ratio for subjects with </w:t>
      </w:r>
      <w:r w:rsidRPr="000455A5">
        <w:rPr>
          <w:i/>
          <w:sz w:val="24"/>
          <w:szCs w:val="24"/>
          <w:lang w:val="en-US" w:eastAsia="el-GR"/>
        </w:rPr>
        <w:t>Aspergillus</w:t>
      </w:r>
      <w:r w:rsidRPr="000455A5">
        <w:rPr>
          <w:sz w:val="24"/>
          <w:szCs w:val="24"/>
          <w:lang w:val="en-US" w:eastAsia="el-GR"/>
        </w:rPr>
        <w:t xml:space="preserve"> infections was ~200. It is particularly important to try to ensure that maximal plasma levels are achieved in patients infected with </w:t>
      </w:r>
      <w:r w:rsidRPr="000455A5">
        <w:rPr>
          <w:i/>
          <w:sz w:val="24"/>
          <w:szCs w:val="24"/>
          <w:lang w:val="en-US" w:eastAsia="el-GR"/>
        </w:rPr>
        <w:t>Aspergillus</w:t>
      </w:r>
      <w:r w:rsidRPr="000455A5">
        <w:rPr>
          <w:sz w:val="24"/>
          <w:szCs w:val="24"/>
          <w:lang w:val="en-US" w:eastAsia="el-GR"/>
        </w:rPr>
        <w:t xml:space="preserve"> (see sections 4.2 and 5.2 on recommended dose regimens and the effects of food on absorption).</w:t>
      </w:r>
    </w:p>
    <w:p w14:paraId="04713A42" w14:textId="77777777" w:rsidR="00E84EB9" w:rsidRPr="000455A5" w:rsidRDefault="00E84EB9" w:rsidP="003649BE">
      <w:pPr>
        <w:ind w:left="851"/>
        <w:rPr>
          <w:sz w:val="24"/>
          <w:szCs w:val="24"/>
          <w:lang w:val="en-US" w:eastAsia="el-GR"/>
        </w:rPr>
      </w:pPr>
    </w:p>
    <w:p w14:paraId="06D49B85" w14:textId="77777777" w:rsidR="00E84EB9" w:rsidRPr="000455A5" w:rsidRDefault="00E84EB9" w:rsidP="003649BE">
      <w:pPr>
        <w:ind w:left="851"/>
        <w:rPr>
          <w:sz w:val="24"/>
          <w:szCs w:val="24"/>
          <w:u w:val="single"/>
          <w:lang w:val="en-US" w:eastAsia="el-GR"/>
        </w:rPr>
      </w:pPr>
      <w:r w:rsidRPr="000455A5">
        <w:rPr>
          <w:sz w:val="24"/>
          <w:szCs w:val="24"/>
          <w:u w:val="single"/>
          <w:lang w:val="en-US" w:eastAsia="el-GR"/>
        </w:rPr>
        <w:t>Clinical experience</w:t>
      </w:r>
    </w:p>
    <w:p w14:paraId="73E0A1A1" w14:textId="77777777" w:rsidR="00F7361C" w:rsidRPr="000455A5" w:rsidRDefault="00F7361C" w:rsidP="003649BE">
      <w:pPr>
        <w:ind w:left="851"/>
        <w:rPr>
          <w:sz w:val="24"/>
          <w:szCs w:val="24"/>
          <w:u w:val="single"/>
          <w:lang w:val="en-US" w:eastAsia="el-GR"/>
        </w:rPr>
      </w:pPr>
    </w:p>
    <w:p w14:paraId="255EF0DE" w14:textId="1518CF97" w:rsidR="00E84EB9" w:rsidRPr="000455A5" w:rsidRDefault="00E84EB9" w:rsidP="003649BE">
      <w:pPr>
        <w:ind w:left="851"/>
        <w:rPr>
          <w:sz w:val="24"/>
          <w:szCs w:val="24"/>
          <w:u w:val="single"/>
          <w:lang w:val="en-US" w:eastAsia="el-GR"/>
        </w:rPr>
      </w:pPr>
      <w:r w:rsidRPr="000455A5">
        <w:rPr>
          <w:sz w:val="24"/>
          <w:szCs w:val="24"/>
          <w:u w:val="single"/>
          <w:lang w:val="en-US" w:eastAsia="el-GR"/>
        </w:rPr>
        <w:t xml:space="preserve">Summary of </w:t>
      </w:r>
      <w:proofErr w:type="spellStart"/>
      <w:r w:rsidRPr="000455A5">
        <w:rPr>
          <w:sz w:val="24"/>
          <w:szCs w:val="24"/>
          <w:u w:val="single"/>
          <w:lang w:val="en-US" w:eastAsia="el-GR"/>
        </w:rPr>
        <w:t>posaconazole</w:t>
      </w:r>
      <w:proofErr w:type="spellEnd"/>
      <w:r w:rsidRPr="000455A5">
        <w:rPr>
          <w:sz w:val="24"/>
          <w:szCs w:val="24"/>
          <w:u w:val="single"/>
          <w:lang w:val="en-US" w:eastAsia="el-GR"/>
        </w:rPr>
        <w:t xml:space="preserve"> oral suspension studies</w:t>
      </w:r>
    </w:p>
    <w:p w14:paraId="68FEBF4F" w14:textId="77777777" w:rsidR="00F7361C" w:rsidRPr="000455A5" w:rsidRDefault="00F7361C" w:rsidP="003649BE">
      <w:pPr>
        <w:ind w:left="851"/>
        <w:rPr>
          <w:i/>
          <w:sz w:val="24"/>
          <w:szCs w:val="24"/>
          <w:lang w:val="en-US" w:eastAsia="el-GR"/>
        </w:rPr>
      </w:pPr>
    </w:p>
    <w:p w14:paraId="464B4D4A" w14:textId="0BA58C29" w:rsidR="00E84EB9" w:rsidRPr="000455A5" w:rsidRDefault="00E84EB9" w:rsidP="003649BE">
      <w:pPr>
        <w:ind w:left="851"/>
        <w:rPr>
          <w:i/>
          <w:sz w:val="24"/>
          <w:szCs w:val="24"/>
          <w:lang w:val="en-US" w:eastAsia="el-GR"/>
        </w:rPr>
      </w:pPr>
      <w:r w:rsidRPr="000455A5">
        <w:rPr>
          <w:i/>
          <w:sz w:val="24"/>
          <w:szCs w:val="24"/>
          <w:lang w:val="en-US" w:eastAsia="el-GR"/>
        </w:rPr>
        <w:t>Invasive aspergillosis</w:t>
      </w:r>
    </w:p>
    <w:p w14:paraId="51E0E527" w14:textId="512EC10C" w:rsidR="00E84EB9" w:rsidRPr="000455A5" w:rsidRDefault="00E84EB9" w:rsidP="003649BE">
      <w:pPr>
        <w:ind w:left="851"/>
        <w:rPr>
          <w:sz w:val="24"/>
          <w:szCs w:val="24"/>
          <w:lang w:val="en-US" w:eastAsia="el-GR"/>
        </w:rPr>
      </w:pPr>
      <w:r w:rsidRPr="000455A5">
        <w:rPr>
          <w:sz w:val="24"/>
          <w:szCs w:val="24"/>
          <w:lang w:val="en-US" w:eastAsia="el-GR"/>
        </w:rPr>
        <w:t xml:space="preserve">Oral </w:t>
      </w:r>
      <w:proofErr w:type="spellStart"/>
      <w:r w:rsidRPr="000455A5">
        <w:rPr>
          <w:sz w:val="24"/>
          <w:szCs w:val="24"/>
          <w:lang w:val="en-US" w:eastAsia="el-GR"/>
        </w:rPr>
        <w:t>posaconazole</w:t>
      </w:r>
      <w:proofErr w:type="spellEnd"/>
      <w:r w:rsidRPr="000455A5">
        <w:rPr>
          <w:sz w:val="24"/>
          <w:szCs w:val="24"/>
          <w:lang w:val="en-US" w:eastAsia="el-GR"/>
        </w:rPr>
        <w:t xml:space="preserve"> suspension 800 mg/day in divided doses was evaluated for the treatment of invasive aspergillosis in patients with disease refractory to amphotericin B (including liposomal formulations) or itraconazole or in patients who were intolerant of these medicinal products in a noncomparative salvage therapy </w:t>
      </w:r>
      <w:r w:rsidR="00CE347C">
        <w:rPr>
          <w:sz w:val="24"/>
          <w:szCs w:val="24"/>
          <w:lang w:val="en-US" w:eastAsia="el-GR"/>
        </w:rPr>
        <w:t>study</w:t>
      </w:r>
      <w:r w:rsidRPr="000455A5">
        <w:rPr>
          <w:sz w:val="24"/>
          <w:szCs w:val="24"/>
          <w:lang w:val="en-US" w:eastAsia="el-GR"/>
        </w:rPr>
        <w:t xml:space="preserve"> (Study 0041). Clinical outcomes were compared with those in an external control group derived from a retrospective review of medical records. The external control group included 86 patients treated with available therapy (as above) mostly at the same time and at the same sites as the patients treated with </w:t>
      </w:r>
      <w:proofErr w:type="spellStart"/>
      <w:r w:rsidRPr="000455A5">
        <w:rPr>
          <w:sz w:val="24"/>
          <w:szCs w:val="24"/>
          <w:lang w:val="en-US" w:eastAsia="el-GR"/>
        </w:rPr>
        <w:t>posaconazole</w:t>
      </w:r>
      <w:proofErr w:type="spellEnd"/>
      <w:r w:rsidRPr="000455A5">
        <w:rPr>
          <w:sz w:val="24"/>
          <w:szCs w:val="24"/>
          <w:lang w:val="en-US" w:eastAsia="el-GR"/>
        </w:rPr>
        <w:t xml:space="preserve">. Most of the cases of aspergillosis were considered to be refractory to prior therapy in both the </w:t>
      </w:r>
      <w:proofErr w:type="spellStart"/>
      <w:r w:rsidRPr="000455A5">
        <w:rPr>
          <w:sz w:val="24"/>
          <w:szCs w:val="24"/>
          <w:lang w:val="en-US" w:eastAsia="el-GR"/>
        </w:rPr>
        <w:t>posaconazole</w:t>
      </w:r>
      <w:proofErr w:type="spellEnd"/>
      <w:r w:rsidRPr="000455A5">
        <w:rPr>
          <w:sz w:val="24"/>
          <w:szCs w:val="24"/>
          <w:lang w:val="en-US" w:eastAsia="el-GR"/>
        </w:rPr>
        <w:t xml:space="preserve"> group (88</w:t>
      </w:r>
      <w:r w:rsidR="00435221">
        <w:rPr>
          <w:sz w:val="24"/>
          <w:szCs w:val="24"/>
          <w:lang w:val="en-US" w:eastAsia="el-GR"/>
        </w:rPr>
        <w:t xml:space="preserve"> %</w:t>
      </w:r>
      <w:r w:rsidRPr="000455A5">
        <w:rPr>
          <w:sz w:val="24"/>
          <w:szCs w:val="24"/>
          <w:lang w:val="en-US" w:eastAsia="el-GR"/>
        </w:rPr>
        <w:t>) and in the external control group (79</w:t>
      </w:r>
      <w:r w:rsidR="00435221">
        <w:rPr>
          <w:sz w:val="24"/>
          <w:szCs w:val="24"/>
          <w:lang w:val="en-US" w:eastAsia="el-GR"/>
        </w:rPr>
        <w:t xml:space="preserve"> %</w:t>
      </w:r>
      <w:r w:rsidRPr="000455A5">
        <w:rPr>
          <w:sz w:val="24"/>
          <w:szCs w:val="24"/>
          <w:lang w:val="en-US" w:eastAsia="el-GR"/>
        </w:rPr>
        <w:t>).</w:t>
      </w:r>
    </w:p>
    <w:p w14:paraId="2303B281" w14:textId="77777777" w:rsidR="00F7361C" w:rsidRPr="00435221" w:rsidRDefault="00F7361C" w:rsidP="003649BE">
      <w:pPr>
        <w:ind w:left="851"/>
        <w:rPr>
          <w:sz w:val="24"/>
          <w:szCs w:val="24"/>
          <w:lang w:val="en-US"/>
        </w:rPr>
      </w:pPr>
    </w:p>
    <w:p w14:paraId="3BC3D7C5" w14:textId="01DFC98A" w:rsidR="00E84EB9" w:rsidRPr="006D6779" w:rsidRDefault="00E84EB9" w:rsidP="003649BE">
      <w:pPr>
        <w:ind w:left="851"/>
        <w:rPr>
          <w:sz w:val="24"/>
          <w:szCs w:val="24"/>
          <w:lang w:val="en-US"/>
        </w:rPr>
      </w:pPr>
      <w:r w:rsidRPr="000455A5">
        <w:rPr>
          <w:sz w:val="24"/>
          <w:szCs w:val="24"/>
          <w:lang w:val="en-US"/>
        </w:rPr>
        <w:t>As shown in Table 3, a successful response (complete or partial resolution) at the end of treatment was seen in 42</w:t>
      </w:r>
      <w:r w:rsidR="00435221">
        <w:rPr>
          <w:sz w:val="24"/>
          <w:szCs w:val="24"/>
          <w:lang w:val="en-US"/>
        </w:rPr>
        <w:t xml:space="preserve"> %</w:t>
      </w:r>
      <w:r w:rsidRPr="000455A5">
        <w:rPr>
          <w:sz w:val="24"/>
          <w:szCs w:val="24"/>
          <w:lang w:val="en-US"/>
        </w:rPr>
        <w:t xml:space="preserve"> of </w:t>
      </w:r>
      <w:proofErr w:type="spellStart"/>
      <w:r w:rsidRPr="000455A5">
        <w:rPr>
          <w:sz w:val="24"/>
          <w:szCs w:val="24"/>
          <w:lang w:val="en-US"/>
        </w:rPr>
        <w:t>posaconazole</w:t>
      </w:r>
      <w:proofErr w:type="spellEnd"/>
      <w:r w:rsidRPr="000455A5">
        <w:rPr>
          <w:sz w:val="24"/>
          <w:szCs w:val="24"/>
          <w:lang w:val="en-US"/>
        </w:rPr>
        <w:t>-treated patients compared to 26</w:t>
      </w:r>
      <w:r w:rsidR="00435221">
        <w:rPr>
          <w:sz w:val="24"/>
          <w:szCs w:val="24"/>
          <w:lang w:val="en-US"/>
        </w:rPr>
        <w:t xml:space="preserve"> %</w:t>
      </w:r>
      <w:r w:rsidRPr="000455A5">
        <w:rPr>
          <w:sz w:val="24"/>
          <w:szCs w:val="24"/>
          <w:lang w:val="en-US"/>
        </w:rPr>
        <w:t xml:space="preserve"> of the external group. </w:t>
      </w:r>
      <w:r w:rsidRPr="006D6779">
        <w:rPr>
          <w:sz w:val="24"/>
          <w:szCs w:val="24"/>
          <w:lang w:val="en-US"/>
        </w:rPr>
        <w:t xml:space="preserve">However, this was not a prospective, </w:t>
      </w:r>
      <w:proofErr w:type="spellStart"/>
      <w:r w:rsidRPr="006D6779">
        <w:rPr>
          <w:sz w:val="24"/>
          <w:szCs w:val="24"/>
          <w:lang w:val="en-US"/>
        </w:rPr>
        <w:t>randomised</w:t>
      </w:r>
      <w:proofErr w:type="spellEnd"/>
      <w:r w:rsidRPr="006D6779">
        <w:rPr>
          <w:sz w:val="24"/>
          <w:szCs w:val="24"/>
          <w:lang w:val="en-US"/>
        </w:rPr>
        <w:t xml:space="preserve"> controlled study and so all comparisons with the external control group should be viewed with caution.</w:t>
      </w:r>
    </w:p>
    <w:p w14:paraId="633968CC" w14:textId="77777777" w:rsidR="00E84EB9" w:rsidRPr="000455A5" w:rsidRDefault="00E84EB9" w:rsidP="003649BE">
      <w:pPr>
        <w:ind w:left="851"/>
        <w:rPr>
          <w:sz w:val="24"/>
          <w:szCs w:val="24"/>
          <w:lang w:val="en-US" w:eastAsia="el-GR"/>
        </w:rPr>
      </w:pPr>
    </w:p>
    <w:p w14:paraId="2C7637D9" w14:textId="057B740B" w:rsidR="00E84EB9" w:rsidRPr="000455A5" w:rsidRDefault="00E84EB9" w:rsidP="003649BE">
      <w:pPr>
        <w:ind w:left="851"/>
        <w:rPr>
          <w:b/>
          <w:sz w:val="24"/>
          <w:szCs w:val="24"/>
          <w:lang w:val="en-US" w:eastAsia="el-GR"/>
        </w:rPr>
      </w:pPr>
      <w:r w:rsidRPr="000455A5">
        <w:rPr>
          <w:b/>
          <w:sz w:val="24"/>
          <w:szCs w:val="24"/>
          <w:lang w:val="en-US" w:eastAsia="el-GR"/>
        </w:rPr>
        <w:t>Table 3</w:t>
      </w:r>
      <w:r w:rsidR="00197F40">
        <w:rPr>
          <w:b/>
          <w:sz w:val="24"/>
          <w:szCs w:val="24"/>
          <w:lang w:val="en-US" w:eastAsia="el-GR"/>
        </w:rPr>
        <w:t xml:space="preserve">. </w:t>
      </w:r>
      <w:r w:rsidRPr="000455A5">
        <w:rPr>
          <w:b/>
          <w:sz w:val="24"/>
          <w:szCs w:val="24"/>
          <w:lang w:val="en-US" w:eastAsia="el-GR"/>
        </w:rPr>
        <w:t xml:space="preserve">Overall efficacy of </w:t>
      </w:r>
      <w:proofErr w:type="spellStart"/>
      <w:r w:rsidRPr="000455A5">
        <w:rPr>
          <w:b/>
          <w:sz w:val="24"/>
          <w:szCs w:val="24"/>
          <w:lang w:val="en-US" w:eastAsia="el-GR"/>
        </w:rPr>
        <w:t>posaconazole</w:t>
      </w:r>
      <w:proofErr w:type="spellEnd"/>
      <w:r w:rsidRPr="000455A5">
        <w:rPr>
          <w:b/>
          <w:sz w:val="24"/>
          <w:szCs w:val="24"/>
          <w:lang w:val="en-US" w:eastAsia="el-GR"/>
        </w:rPr>
        <w:t xml:space="preserve"> oral suspension at the end of treatment for invasive aspergillosis in comparison to an external control group</w:t>
      </w:r>
    </w:p>
    <w:tbl>
      <w:tblPr>
        <w:tblStyle w:val="Tabel-Gitter"/>
        <w:tblW w:w="4649" w:type="pct"/>
        <w:tblInd w:w="846" w:type="dxa"/>
        <w:tblLook w:val="04A0" w:firstRow="1" w:lastRow="0" w:firstColumn="1" w:lastColumn="0" w:noHBand="0" w:noVBand="1"/>
      </w:tblPr>
      <w:tblGrid>
        <w:gridCol w:w="2834"/>
        <w:gridCol w:w="2908"/>
        <w:gridCol w:w="3210"/>
      </w:tblGrid>
      <w:tr w:rsidR="00E84EB9" w:rsidRPr="000455A5" w14:paraId="0BE0182F" w14:textId="77777777" w:rsidTr="00F7361C">
        <w:tc>
          <w:tcPr>
            <w:tcW w:w="1583" w:type="pct"/>
            <w:tcBorders>
              <w:top w:val="single" w:sz="4" w:space="0" w:color="auto"/>
              <w:left w:val="single" w:sz="4" w:space="0" w:color="auto"/>
              <w:bottom w:val="single" w:sz="4" w:space="0" w:color="auto"/>
              <w:right w:val="single" w:sz="4" w:space="0" w:color="auto"/>
            </w:tcBorders>
          </w:tcPr>
          <w:p w14:paraId="4E493C39" w14:textId="77777777" w:rsidR="00E84EB9" w:rsidRPr="000455A5" w:rsidRDefault="00E84EB9">
            <w:pPr>
              <w:suppressAutoHyphens/>
              <w:rPr>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6A983FFB" w14:textId="77777777" w:rsidR="00E84EB9" w:rsidRPr="000455A5" w:rsidRDefault="00E84EB9">
            <w:pPr>
              <w:suppressAutoHyphens/>
              <w:rPr>
                <w:sz w:val="24"/>
                <w:szCs w:val="24"/>
              </w:rPr>
            </w:pPr>
            <w:r w:rsidRPr="000455A5">
              <w:rPr>
                <w:sz w:val="24"/>
                <w:szCs w:val="24"/>
              </w:rPr>
              <w:t>Posaconazole oral</w:t>
            </w:r>
          </w:p>
          <w:p w14:paraId="6DDB61E3" w14:textId="77777777" w:rsidR="00E84EB9" w:rsidRPr="000455A5" w:rsidRDefault="00E84EB9">
            <w:pPr>
              <w:suppressAutoHyphens/>
              <w:rPr>
                <w:sz w:val="24"/>
                <w:szCs w:val="24"/>
              </w:rPr>
            </w:pPr>
            <w:r w:rsidRPr="000455A5">
              <w:rPr>
                <w:sz w:val="24"/>
                <w:szCs w:val="24"/>
              </w:rPr>
              <w:t>suspension</w:t>
            </w:r>
          </w:p>
        </w:tc>
        <w:tc>
          <w:tcPr>
            <w:tcW w:w="1793" w:type="pct"/>
            <w:tcBorders>
              <w:top w:val="single" w:sz="4" w:space="0" w:color="auto"/>
              <w:left w:val="single" w:sz="4" w:space="0" w:color="auto"/>
              <w:bottom w:val="single" w:sz="4" w:space="0" w:color="auto"/>
              <w:right w:val="single" w:sz="4" w:space="0" w:color="auto"/>
            </w:tcBorders>
            <w:hideMark/>
          </w:tcPr>
          <w:p w14:paraId="14473C46" w14:textId="77777777" w:rsidR="00E84EB9" w:rsidRPr="000455A5" w:rsidRDefault="00E84EB9">
            <w:pPr>
              <w:suppressAutoHyphens/>
              <w:rPr>
                <w:sz w:val="24"/>
                <w:szCs w:val="24"/>
              </w:rPr>
            </w:pPr>
            <w:r w:rsidRPr="000455A5">
              <w:rPr>
                <w:sz w:val="24"/>
                <w:szCs w:val="24"/>
              </w:rPr>
              <w:t>External control group</w:t>
            </w:r>
          </w:p>
        </w:tc>
      </w:tr>
      <w:tr w:rsidR="00E84EB9" w:rsidRPr="000455A5" w14:paraId="2EA55A6B" w14:textId="77777777" w:rsidTr="00F7361C">
        <w:tc>
          <w:tcPr>
            <w:tcW w:w="1583" w:type="pct"/>
            <w:tcBorders>
              <w:top w:val="single" w:sz="4" w:space="0" w:color="auto"/>
              <w:left w:val="single" w:sz="4" w:space="0" w:color="auto"/>
              <w:bottom w:val="single" w:sz="4" w:space="0" w:color="auto"/>
              <w:right w:val="single" w:sz="4" w:space="0" w:color="auto"/>
            </w:tcBorders>
            <w:hideMark/>
          </w:tcPr>
          <w:p w14:paraId="2F0C72E1" w14:textId="77777777" w:rsidR="00E84EB9" w:rsidRPr="000455A5" w:rsidRDefault="00E84EB9">
            <w:pPr>
              <w:suppressAutoHyphens/>
              <w:rPr>
                <w:sz w:val="24"/>
                <w:szCs w:val="24"/>
              </w:rPr>
            </w:pPr>
            <w:r w:rsidRPr="000455A5">
              <w:rPr>
                <w:sz w:val="24"/>
                <w:szCs w:val="24"/>
              </w:rPr>
              <w:t>Overall Response</w:t>
            </w:r>
          </w:p>
        </w:tc>
        <w:tc>
          <w:tcPr>
            <w:tcW w:w="1624" w:type="pct"/>
            <w:tcBorders>
              <w:top w:val="single" w:sz="4" w:space="0" w:color="auto"/>
              <w:left w:val="single" w:sz="4" w:space="0" w:color="auto"/>
              <w:bottom w:val="single" w:sz="4" w:space="0" w:color="auto"/>
              <w:right w:val="single" w:sz="4" w:space="0" w:color="auto"/>
            </w:tcBorders>
            <w:hideMark/>
          </w:tcPr>
          <w:p w14:paraId="0B9FF73C" w14:textId="351AB580" w:rsidR="00E84EB9" w:rsidRPr="000455A5" w:rsidRDefault="00E84EB9">
            <w:pPr>
              <w:suppressAutoHyphens/>
              <w:rPr>
                <w:sz w:val="24"/>
                <w:szCs w:val="24"/>
              </w:rPr>
            </w:pPr>
            <w:r w:rsidRPr="000455A5">
              <w:rPr>
                <w:sz w:val="24"/>
                <w:szCs w:val="24"/>
              </w:rPr>
              <w:t>45/107 (42</w:t>
            </w:r>
            <w:r w:rsidR="00435221">
              <w:rPr>
                <w:sz w:val="24"/>
                <w:szCs w:val="24"/>
              </w:rPr>
              <w:t xml:space="preserve"> %</w:t>
            </w:r>
            <w:r w:rsidRPr="000455A5">
              <w:rPr>
                <w:sz w:val="24"/>
                <w:szCs w:val="24"/>
              </w:rPr>
              <w:t>)</w:t>
            </w:r>
          </w:p>
        </w:tc>
        <w:tc>
          <w:tcPr>
            <w:tcW w:w="1793" w:type="pct"/>
            <w:tcBorders>
              <w:top w:val="single" w:sz="4" w:space="0" w:color="auto"/>
              <w:left w:val="single" w:sz="4" w:space="0" w:color="auto"/>
              <w:bottom w:val="single" w:sz="4" w:space="0" w:color="auto"/>
              <w:right w:val="single" w:sz="4" w:space="0" w:color="auto"/>
            </w:tcBorders>
            <w:hideMark/>
          </w:tcPr>
          <w:p w14:paraId="12DC75F1" w14:textId="2A103117" w:rsidR="00E84EB9" w:rsidRPr="000455A5" w:rsidRDefault="00E84EB9">
            <w:pPr>
              <w:suppressAutoHyphens/>
              <w:rPr>
                <w:sz w:val="24"/>
                <w:szCs w:val="24"/>
              </w:rPr>
            </w:pPr>
            <w:r w:rsidRPr="000455A5">
              <w:rPr>
                <w:sz w:val="24"/>
                <w:szCs w:val="24"/>
              </w:rPr>
              <w:t>22/86 (26</w:t>
            </w:r>
            <w:r w:rsidR="00435221">
              <w:rPr>
                <w:sz w:val="24"/>
                <w:szCs w:val="24"/>
              </w:rPr>
              <w:t xml:space="preserve"> %</w:t>
            </w:r>
            <w:r w:rsidRPr="000455A5">
              <w:rPr>
                <w:sz w:val="24"/>
                <w:szCs w:val="24"/>
              </w:rPr>
              <w:t>)</w:t>
            </w:r>
          </w:p>
        </w:tc>
      </w:tr>
      <w:tr w:rsidR="00E84EB9" w:rsidRPr="000455A5" w14:paraId="46ED8565" w14:textId="77777777" w:rsidTr="00F7361C">
        <w:tc>
          <w:tcPr>
            <w:tcW w:w="1583" w:type="pct"/>
            <w:tcBorders>
              <w:top w:val="single" w:sz="4" w:space="0" w:color="auto"/>
              <w:left w:val="single" w:sz="4" w:space="0" w:color="auto"/>
              <w:bottom w:val="single" w:sz="4" w:space="0" w:color="auto"/>
              <w:right w:val="single" w:sz="4" w:space="0" w:color="auto"/>
            </w:tcBorders>
            <w:hideMark/>
          </w:tcPr>
          <w:p w14:paraId="188A99BC" w14:textId="77777777" w:rsidR="00E84EB9" w:rsidRPr="000455A5" w:rsidRDefault="00E84EB9">
            <w:pPr>
              <w:suppressAutoHyphens/>
              <w:rPr>
                <w:b/>
                <w:sz w:val="24"/>
                <w:szCs w:val="24"/>
              </w:rPr>
            </w:pPr>
            <w:r w:rsidRPr="000455A5">
              <w:rPr>
                <w:b/>
                <w:sz w:val="24"/>
                <w:szCs w:val="24"/>
              </w:rPr>
              <w:t>Success by Species</w:t>
            </w:r>
          </w:p>
          <w:p w14:paraId="18387320" w14:textId="724B9EC1" w:rsidR="00E84EB9" w:rsidRPr="000455A5" w:rsidRDefault="00CD6F56" w:rsidP="00CD6F56">
            <w:pPr>
              <w:tabs>
                <w:tab w:val="left" w:pos="320"/>
              </w:tabs>
              <w:suppressAutoHyphens/>
              <w:ind w:left="37"/>
              <w:rPr>
                <w:sz w:val="24"/>
                <w:szCs w:val="24"/>
              </w:rPr>
            </w:pPr>
            <w:r w:rsidRPr="000455A5">
              <w:rPr>
                <w:sz w:val="24"/>
                <w:szCs w:val="24"/>
              </w:rPr>
              <w:tab/>
            </w:r>
            <w:r w:rsidR="00E84EB9" w:rsidRPr="000455A5">
              <w:rPr>
                <w:sz w:val="24"/>
                <w:szCs w:val="24"/>
              </w:rPr>
              <w:t xml:space="preserve">All mycologically </w:t>
            </w:r>
            <w:r w:rsidRPr="000455A5">
              <w:rPr>
                <w:sz w:val="24"/>
                <w:szCs w:val="24"/>
              </w:rPr>
              <w:tab/>
            </w:r>
            <w:r w:rsidR="00E84EB9" w:rsidRPr="000455A5">
              <w:rPr>
                <w:sz w:val="24"/>
                <w:szCs w:val="24"/>
              </w:rPr>
              <w:t>confirmed</w:t>
            </w:r>
          </w:p>
          <w:p w14:paraId="48A56472" w14:textId="5A1638D7" w:rsidR="00E84EB9" w:rsidRPr="000455A5" w:rsidRDefault="00CD6F56" w:rsidP="00CD6F56">
            <w:pPr>
              <w:tabs>
                <w:tab w:val="left" w:pos="320"/>
              </w:tabs>
              <w:suppressAutoHyphens/>
              <w:ind w:left="37"/>
              <w:rPr>
                <w:b/>
                <w:sz w:val="24"/>
                <w:szCs w:val="24"/>
              </w:rPr>
            </w:pPr>
            <w:r w:rsidRPr="000455A5">
              <w:rPr>
                <w:i/>
                <w:sz w:val="24"/>
                <w:szCs w:val="24"/>
              </w:rPr>
              <w:tab/>
            </w:r>
            <w:r w:rsidR="00E84EB9" w:rsidRPr="000455A5">
              <w:rPr>
                <w:i/>
                <w:sz w:val="24"/>
                <w:szCs w:val="24"/>
              </w:rPr>
              <w:t xml:space="preserve">Aspergillus </w:t>
            </w:r>
            <w:r w:rsidR="00E84EB9" w:rsidRPr="000455A5">
              <w:rPr>
                <w:sz w:val="24"/>
                <w:szCs w:val="24"/>
              </w:rPr>
              <w:t>spp.</w:t>
            </w:r>
            <w:r w:rsidR="00E84EB9" w:rsidRPr="000455A5">
              <w:rPr>
                <w:rStyle w:val="Fodnotehenvisning"/>
                <w:sz w:val="24"/>
                <w:szCs w:val="24"/>
              </w:rPr>
              <w:footnoteReference w:id="1"/>
            </w:r>
          </w:p>
        </w:tc>
        <w:tc>
          <w:tcPr>
            <w:tcW w:w="1624" w:type="pct"/>
            <w:tcBorders>
              <w:top w:val="single" w:sz="4" w:space="0" w:color="auto"/>
              <w:left w:val="single" w:sz="4" w:space="0" w:color="auto"/>
              <w:bottom w:val="single" w:sz="4" w:space="0" w:color="auto"/>
              <w:right w:val="single" w:sz="4" w:space="0" w:color="auto"/>
            </w:tcBorders>
          </w:tcPr>
          <w:p w14:paraId="29254F02" w14:textId="77777777" w:rsidR="00E84EB9" w:rsidRPr="000455A5" w:rsidRDefault="00E84EB9" w:rsidP="00CD6F56">
            <w:pPr>
              <w:tabs>
                <w:tab w:val="left" w:pos="1738"/>
              </w:tabs>
              <w:suppressAutoHyphens/>
              <w:rPr>
                <w:b/>
                <w:sz w:val="24"/>
                <w:szCs w:val="24"/>
              </w:rPr>
            </w:pPr>
          </w:p>
          <w:p w14:paraId="1754CC3B" w14:textId="64E667F0" w:rsidR="00E84EB9" w:rsidRPr="000455A5" w:rsidRDefault="00E84EB9" w:rsidP="00CD6F56">
            <w:pPr>
              <w:tabs>
                <w:tab w:val="left" w:pos="1738"/>
              </w:tabs>
              <w:suppressAutoHyphens/>
              <w:rPr>
                <w:sz w:val="24"/>
                <w:szCs w:val="24"/>
              </w:rPr>
            </w:pPr>
            <w:r w:rsidRPr="000455A5">
              <w:rPr>
                <w:sz w:val="24"/>
                <w:szCs w:val="24"/>
              </w:rPr>
              <w:t>34/76</w:t>
            </w:r>
            <w:r w:rsidR="00CD6F56" w:rsidRPr="000455A5">
              <w:rPr>
                <w:sz w:val="24"/>
                <w:szCs w:val="24"/>
              </w:rPr>
              <w:tab/>
            </w:r>
            <w:r w:rsidRPr="000455A5">
              <w:rPr>
                <w:sz w:val="24"/>
                <w:szCs w:val="24"/>
              </w:rPr>
              <w:t>(45</w:t>
            </w:r>
            <w:r w:rsidR="00435221">
              <w:rPr>
                <w:sz w:val="24"/>
                <w:szCs w:val="24"/>
              </w:rPr>
              <w:t xml:space="preserve"> %</w:t>
            </w:r>
            <w:r w:rsidRPr="000455A5">
              <w:rPr>
                <w:sz w:val="24"/>
                <w:szCs w:val="24"/>
              </w:rPr>
              <w:t xml:space="preserve">) </w:t>
            </w:r>
          </w:p>
        </w:tc>
        <w:tc>
          <w:tcPr>
            <w:tcW w:w="1793" w:type="pct"/>
            <w:tcBorders>
              <w:top w:val="single" w:sz="4" w:space="0" w:color="auto"/>
              <w:left w:val="single" w:sz="4" w:space="0" w:color="auto"/>
              <w:bottom w:val="single" w:sz="4" w:space="0" w:color="auto"/>
              <w:right w:val="single" w:sz="4" w:space="0" w:color="auto"/>
            </w:tcBorders>
          </w:tcPr>
          <w:p w14:paraId="474CCC2F" w14:textId="77777777" w:rsidR="00E84EB9" w:rsidRPr="000455A5" w:rsidRDefault="00E84EB9" w:rsidP="008016EB">
            <w:pPr>
              <w:tabs>
                <w:tab w:val="left" w:pos="1942"/>
              </w:tabs>
              <w:suppressAutoHyphens/>
              <w:rPr>
                <w:b/>
                <w:sz w:val="24"/>
                <w:szCs w:val="24"/>
              </w:rPr>
            </w:pPr>
          </w:p>
          <w:p w14:paraId="6841FF56" w14:textId="6A0344B5" w:rsidR="00E84EB9" w:rsidRPr="000455A5" w:rsidRDefault="00E84EB9" w:rsidP="008016EB">
            <w:pPr>
              <w:tabs>
                <w:tab w:val="left" w:pos="1942"/>
              </w:tabs>
              <w:suppressAutoHyphens/>
              <w:rPr>
                <w:b/>
                <w:sz w:val="24"/>
                <w:szCs w:val="24"/>
              </w:rPr>
            </w:pPr>
            <w:r w:rsidRPr="000455A5">
              <w:rPr>
                <w:sz w:val="24"/>
                <w:szCs w:val="24"/>
              </w:rPr>
              <w:t>19/74</w:t>
            </w:r>
            <w:r w:rsidR="008016EB" w:rsidRPr="000455A5">
              <w:rPr>
                <w:sz w:val="24"/>
                <w:szCs w:val="24"/>
              </w:rPr>
              <w:tab/>
            </w:r>
            <w:r w:rsidRPr="000455A5">
              <w:rPr>
                <w:sz w:val="24"/>
                <w:szCs w:val="24"/>
              </w:rPr>
              <w:t>(26</w:t>
            </w:r>
            <w:r w:rsidR="00435221">
              <w:rPr>
                <w:sz w:val="24"/>
                <w:szCs w:val="24"/>
              </w:rPr>
              <w:t xml:space="preserve"> %</w:t>
            </w:r>
            <w:r w:rsidRPr="000455A5">
              <w:rPr>
                <w:sz w:val="24"/>
                <w:szCs w:val="24"/>
              </w:rPr>
              <w:t>)</w:t>
            </w:r>
          </w:p>
        </w:tc>
      </w:tr>
      <w:tr w:rsidR="00E84EB9" w:rsidRPr="000455A5" w14:paraId="73CB2899" w14:textId="77777777" w:rsidTr="00F7361C">
        <w:tc>
          <w:tcPr>
            <w:tcW w:w="1583" w:type="pct"/>
            <w:tcBorders>
              <w:top w:val="single" w:sz="4" w:space="0" w:color="auto"/>
              <w:left w:val="single" w:sz="4" w:space="0" w:color="auto"/>
              <w:bottom w:val="single" w:sz="4" w:space="0" w:color="auto"/>
              <w:right w:val="single" w:sz="4" w:space="0" w:color="auto"/>
            </w:tcBorders>
            <w:hideMark/>
          </w:tcPr>
          <w:p w14:paraId="212356E6" w14:textId="563D6A38" w:rsidR="00E84EB9" w:rsidRPr="000455A5" w:rsidRDefault="00CD6F56" w:rsidP="00CD6F56">
            <w:pPr>
              <w:tabs>
                <w:tab w:val="left" w:pos="320"/>
              </w:tabs>
              <w:suppressAutoHyphens/>
              <w:rPr>
                <w:i/>
                <w:sz w:val="24"/>
                <w:szCs w:val="24"/>
              </w:rPr>
            </w:pPr>
            <w:r w:rsidRPr="000455A5">
              <w:rPr>
                <w:i/>
                <w:sz w:val="24"/>
                <w:szCs w:val="24"/>
              </w:rPr>
              <w:tab/>
            </w:r>
            <w:r w:rsidR="00E84EB9" w:rsidRPr="000455A5">
              <w:rPr>
                <w:i/>
                <w:sz w:val="24"/>
                <w:szCs w:val="24"/>
              </w:rPr>
              <w:t>A. fumigatus</w:t>
            </w:r>
          </w:p>
        </w:tc>
        <w:tc>
          <w:tcPr>
            <w:tcW w:w="1624" w:type="pct"/>
            <w:tcBorders>
              <w:top w:val="single" w:sz="4" w:space="0" w:color="auto"/>
              <w:left w:val="single" w:sz="4" w:space="0" w:color="auto"/>
              <w:bottom w:val="single" w:sz="4" w:space="0" w:color="auto"/>
              <w:right w:val="single" w:sz="4" w:space="0" w:color="auto"/>
            </w:tcBorders>
            <w:hideMark/>
          </w:tcPr>
          <w:p w14:paraId="63C97BE9" w14:textId="4E31BA8A" w:rsidR="00E84EB9" w:rsidRPr="000455A5" w:rsidRDefault="00E84EB9" w:rsidP="00CD6F56">
            <w:pPr>
              <w:tabs>
                <w:tab w:val="left" w:pos="1738"/>
              </w:tabs>
              <w:suppressAutoHyphens/>
              <w:rPr>
                <w:sz w:val="24"/>
                <w:szCs w:val="24"/>
              </w:rPr>
            </w:pPr>
            <w:r w:rsidRPr="000455A5">
              <w:rPr>
                <w:sz w:val="24"/>
                <w:szCs w:val="24"/>
              </w:rPr>
              <w:t>12/29</w:t>
            </w:r>
            <w:r w:rsidR="008016EB" w:rsidRPr="000455A5">
              <w:rPr>
                <w:sz w:val="24"/>
                <w:szCs w:val="24"/>
              </w:rPr>
              <w:tab/>
            </w:r>
            <w:r w:rsidRPr="000455A5">
              <w:rPr>
                <w:sz w:val="24"/>
                <w:szCs w:val="24"/>
              </w:rPr>
              <w:t>(41</w:t>
            </w:r>
            <w:r w:rsidR="00435221">
              <w:rPr>
                <w:sz w:val="24"/>
                <w:szCs w:val="24"/>
              </w:rPr>
              <w:t xml:space="preserve"> %</w:t>
            </w:r>
            <w:r w:rsidRPr="000455A5">
              <w:rPr>
                <w:sz w:val="24"/>
                <w:szCs w:val="24"/>
              </w:rPr>
              <w:t>)</w:t>
            </w:r>
          </w:p>
        </w:tc>
        <w:tc>
          <w:tcPr>
            <w:tcW w:w="1793" w:type="pct"/>
            <w:tcBorders>
              <w:top w:val="single" w:sz="4" w:space="0" w:color="auto"/>
              <w:left w:val="single" w:sz="4" w:space="0" w:color="auto"/>
              <w:bottom w:val="single" w:sz="4" w:space="0" w:color="auto"/>
              <w:right w:val="single" w:sz="4" w:space="0" w:color="auto"/>
            </w:tcBorders>
            <w:hideMark/>
          </w:tcPr>
          <w:p w14:paraId="43A388FD" w14:textId="51D8765A" w:rsidR="00E84EB9" w:rsidRPr="000455A5" w:rsidRDefault="00E84EB9" w:rsidP="008016EB">
            <w:pPr>
              <w:tabs>
                <w:tab w:val="left" w:pos="1942"/>
              </w:tabs>
              <w:suppressAutoHyphens/>
              <w:rPr>
                <w:sz w:val="24"/>
                <w:szCs w:val="24"/>
              </w:rPr>
            </w:pPr>
            <w:r w:rsidRPr="000455A5">
              <w:rPr>
                <w:sz w:val="24"/>
                <w:szCs w:val="24"/>
              </w:rPr>
              <w:t>12/34</w:t>
            </w:r>
            <w:r w:rsidR="008016EB" w:rsidRPr="000455A5">
              <w:rPr>
                <w:sz w:val="24"/>
                <w:szCs w:val="24"/>
              </w:rPr>
              <w:tab/>
            </w:r>
            <w:r w:rsidRPr="000455A5">
              <w:rPr>
                <w:sz w:val="24"/>
                <w:szCs w:val="24"/>
              </w:rPr>
              <w:t>(35</w:t>
            </w:r>
            <w:r w:rsidR="00435221">
              <w:rPr>
                <w:sz w:val="24"/>
                <w:szCs w:val="24"/>
              </w:rPr>
              <w:t xml:space="preserve"> %</w:t>
            </w:r>
            <w:r w:rsidRPr="000455A5">
              <w:rPr>
                <w:sz w:val="24"/>
                <w:szCs w:val="24"/>
              </w:rPr>
              <w:t>)</w:t>
            </w:r>
          </w:p>
        </w:tc>
      </w:tr>
      <w:tr w:rsidR="00E84EB9" w:rsidRPr="000455A5" w14:paraId="2969F0F4" w14:textId="77777777" w:rsidTr="00F7361C">
        <w:tc>
          <w:tcPr>
            <w:tcW w:w="1583" w:type="pct"/>
            <w:tcBorders>
              <w:top w:val="single" w:sz="4" w:space="0" w:color="auto"/>
              <w:left w:val="single" w:sz="4" w:space="0" w:color="auto"/>
              <w:bottom w:val="single" w:sz="4" w:space="0" w:color="auto"/>
              <w:right w:val="single" w:sz="4" w:space="0" w:color="auto"/>
            </w:tcBorders>
            <w:hideMark/>
          </w:tcPr>
          <w:p w14:paraId="53E17BDA" w14:textId="62641C8C" w:rsidR="00E84EB9" w:rsidRPr="000455A5" w:rsidRDefault="00CD6F56" w:rsidP="00CD6F56">
            <w:pPr>
              <w:tabs>
                <w:tab w:val="left" w:pos="320"/>
              </w:tabs>
              <w:suppressAutoHyphens/>
              <w:rPr>
                <w:i/>
                <w:sz w:val="24"/>
                <w:szCs w:val="24"/>
              </w:rPr>
            </w:pPr>
            <w:r w:rsidRPr="000455A5">
              <w:rPr>
                <w:i/>
                <w:sz w:val="24"/>
                <w:szCs w:val="24"/>
              </w:rPr>
              <w:tab/>
            </w:r>
            <w:r w:rsidR="00E84EB9" w:rsidRPr="000455A5">
              <w:rPr>
                <w:i/>
                <w:sz w:val="24"/>
                <w:szCs w:val="24"/>
              </w:rPr>
              <w:t>A. flavus</w:t>
            </w:r>
          </w:p>
        </w:tc>
        <w:tc>
          <w:tcPr>
            <w:tcW w:w="1624" w:type="pct"/>
            <w:tcBorders>
              <w:top w:val="single" w:sz="4" w:space="0" w:color="auto"/>
              <w:left w:val="single" w:sz="4" w:space="0" w:color="auto"/>
              <w:bottom w:val="single" w:sz="4" w:space="0" w:color="auto"/>
              <w:right w:val="single" w:sz="4" w:space="0" w:color="auto"/>
            </w:tcBorders>
            <w:hideMark/>
          </w:tcPr>
          <w:p w14:paraId="0C594738" w14:textId="7A8326AD" w:rsidR="00E84EB9" w:rsidRPr="000455A5" w:rsidRDefault="00E84EB9" w:rsidP="00CD6F56">
            <w:pPr>
              <w:tabs>
                <w:tab w:val="left" w:pos="1738"/>
              </w:tabs>
              <w:suppressAutoHyphens/>
              <w:rPr>
                <w:sz w:val="24"/>
                <w:szCs w:val="24"/>
              </w:rPr>
            </w:pPr>
            <w:r w:rsidRPr="000455A5">
              <w:rPr>
                <w:sz w:val="24"/>
                <w:szCs w:val="24"/>
              </w:rPr>
              <w:t>10/19</w:t>
            </w:r>
            <w:r w:rsidR="008016EB" w:rsidRPr="000455A5">
              <w:rPr>
                <w:sz w:val="24"/>
                <w:szCs w:val="24"/>
              </w:rPr>
              <w:tab/>
            </w:r>
            <w:r w:rsidRPr="000455A5">
              <w:rPr>
                <w:sz w:val="24"/>
                <w:szCs w:val="24"/>
              </w:rPr>
              <w:t>(53</w:t>
            </w:r>
            <w:r w:rsidR="00435221">
              <w:rPr>
                <w:sz w:val="24"/>
                <w:szCs w:val="24"/>
              </w:rPr>
              <w:t xml:space="preserve"> %</w:t>
            </w:r>
            <w:r w:rsidRPr="000455A5">
              <w:rPr>
                <w:sz w:val="24"/>
                <w:szCs w:val="24"/>
              </w:rPr>
              <w:t>)</w:t>
            </w:r>
          </w:p>
        </w:tc>
        <w:tc>
          <w:tcPr>
            <w:tcW w:w="1793" w:type="pct"/>
            <w:tcBorders>
              <w:top w:val="single" w:sz="4" w:space="0" w:color="auto"/>
              <w:left w:val="single" w:sz="4" w:space="0" w:color="auto"/>
              <w:bottom w:val="single" w:sz="4" w:space="0" w:color="auto"/>
              <w:right w:val="single" w:sz="4" w:space="0" w:color="auto"/>
            </w:tcBorders>
            <w:hideMark/>
          </w:tcPr>
          <w:p w14:paraId="580DEDD5" w14:textId="1DE62DC8" w:rsidR="00E84EB9" w:rsidRPr="000455A5" w:rsidRDefault="00E84EB9" w:rsidP="008016EB">
            <w:pPr>
              <w:tabs>
                <w:tab w:val="left" w:pos="1942"/>
              </w:tabs>
              <w:suppressAutoHyphens/>
              <w:rPr>
                <w:sz w:val="24"/>
                <w:szCs w:val="24"/>
              </w:rPr>
            </w:pPr>
            <w:r w:rsidRPr="000455A5">
              <w:rPr>
                <w:sz w:val="24"/>
                <w:szCs w:val="24"/>
              </w:rPr>
              <w:t>3/16</w:t>
            </w:r>
            <w:r w:rsidR="008016EB" w:rsidRPr="000455A5">
              <w:rPr>
                <w:sz w:val="24"/>
                <w:szCs w:val="24"/>
              </w:rPr>
              <w:tab/>
            </w:r>
            <w:r w:rsidRPr="000455A5">
              <w:rPr>
                <w:sz w:val="24"/>
                <w:szCs w:val="24"/>
              </w:rPr>
              <w:t>(19</w:t>
            </w:r>
            <w:r w:rsidR="00435221">
              <w:rPr>
                <w:sz w:val="24"/>
                <w:szCs w:val="24"/>
              </w:rPr>
              <w:t xml:space="preserve"> %</w:t>
            </w:r>
            <w:r w:rsidRPr="000455A5">
              <w:rPr>
                <w:sz w:val="24"/>
                <w:szCs w:val="24"/>
              </w:rPr>
              <w:t>)</w:t>
            </w:r>
          </w:p>
        </w:tc>
      </w:tr>
      <w:tr w:rsidR="00E84EB9" w:rsidRPr="000455A5" w14:paraId="243D94AB" w14:textId="77777777" w:rsidTr="00F7361C">
        <w:tc>
          <w:tcPr>
            <w:tcW w:w="1583" w:type="pct"/>
            <w:tcBorders>
              <w:top w:val="single" w:sz="4" w:space="0" w:color="auto"/>
              <w:left w:val="single" w:sz="4" w:space="0" w:color="auto"/>
              <w:bottom w:val="single" w:sz="4" w:space="0" w:color="auto"/>
              <w:right w:val="single" w:sz="4" w:space="0" w:color="auto"/>
            </w:tcBorders>
            <w:hideMark/>
          </w:tcPr>
          <w:p w14:paraId="604D7BAF" w14:textId="03C50FDD" w:rsidR="00E84EB9" w:rsidRPr="000455A5" w:rsidRDefault="00CD6F56" w:rsidP="00CD6F56">
            <w:pPr>
              <w:tabs>
                <w:tab w:val="left" w:pos="320"/>
              </w:tabs>
              <w:suppressAutoHyphens/>
              <w:rPr>
                <w:i/>
                <w:sz w:val="24"/>
                <w:szCs w:val="24"/>
              </w:rPr>
            </w:pPr>
            <w:r w:rsidRPr="000455A5">
              <w:rPr>
                <w:i/>
                <w:sz w:val="24"/>
                <w:szCs w:val="24"/>
              </w:rPr>
              <w:tab/>
            </w:r>
            <w:r w:rsidR="00E84EB9" w:rsidRPr="000455A5">
              <w:rPr>
                <w:i/>
                <w:sz w:val="24"/>
                <w:szCs w:val="24"/>
              </w:rPr>
              <w:t>A. terreus</w:t>
            </w:r>
          </w:p>
        </w:tc>
        <w:tc>
          <w:tcPr>
            <w:tcW w:w="1624" w:type="pct"/>
            <w:tcBorders>
              <w:top w:val="single" w:sz="4" w:space="0" w:color="auto"/>
              <w:left w:val="single" w:sz="4" w:space="0" w:color="auto"/>
              <w:bottom w:val="single" w:sz="4" w:space="0" w:color="auto"/>
              <w:right w:val="single" w:sz="4" w:space="0" w:color="auto"/>
            </w:tcBorders>
            <w:hideMark/>
          </w:tcPr>
          <w:p w14:paraId="178EC783" w14:textId="4D993DAA" w:rsidR="00E84EB9" w:rsidRPr="000455A5" w:rsidRDefault="00E84EB9" w:rsidP="00CD6F56">
            <w:pPr>
              <w:tabs>
                <w:tab w:val="left" w:pos="1738"/>
              </w:tabs>
              <w:suppressAutoHyphens/>
              <w:rPr>
                <w:sz w:val="24"/>
                <w:szCs w:val="24"/>
              </w:rPr>
            </w:pPr>
            <w:r w:rsidRPr="000455A5">
              <w:rPr>
                <w:sz w:val="24"/>
                <w:szCs w:val="24"/>
              </w:rPr>
              <w:t>4/14</w:t>
            </w:r>
            <w:r w:rsidR="008016EB" w:rsidRPr="000455A5">
              <w:rPr>
                <w:sz w:val="24"/>
                <w:szCs w:val="24"/>
              </w:rPr>
              <w:tab/>
            </w:r>
            <w:r w:rsidRPr="000455A5">
              <w:rPr>
                <w:sz w:val="24"/>
                <w:szCs w:val="24"/>
              </w:rPr>
              <w:t>(29</w:t>
            </w:r>
            <w:r w:rsidR="00435221">
              <w:rPr>
                <w:sz w:val="24"/>
                <w:szCs w:val="24"/>
              </w:rPr>
              <w:t xml:space="preserve"> %</w:t>
            </w:r>
            <w:r w:rsidRPr="000455A5">
              <w:rPr>
                <w:sz w:val="24"/>
                <w:szCs w:val="24"/>
              </w:rPr>
              <w:t>)</w:t>
            </w:r>
          </w:p>
        </w:tc>
        <w:tc>
          <w:tcPr>
            <w:tcW w:w="1793" w:type="pct"/>
            <w:tcBorders>
              <w:top w:val="single" w:sz="4" w:space="0" w:color="auto"/>
              <w:left w:val="single" w:sz="4" w:space="0" w:color="auto"/>
              <w:bottom w:val="single" w:sz="4" w:space="0" w:color="auto"/>
              <w:right w:val="single" w:sz="4" w:space="0" w:color="auto"/>
            </w:tcBorders>
            <w:hideMark/>
          </w:tcPr>
          <w:p w14:paraId="5B88A562" w14:textId="3E34034B" w:rsidR="00E84EB9" w:rsidRPr="000455A5" w:rsidRDefault="00E84EB9" w:rsidP="008016EB">
            <w:pPr>
              <w:tabs>
                <w:tab w:val="left" w:pos="1942"/>
              </w:tabs>
              <w:suppressAutoHyphens/>
              <w:rPr>
                <w:sz w:val="24"/>
                <w:szCs w:val="24"/>
              </w:rPr>
            </w:pPr>
            <w:r w:rsidRPr="000455A5">
              <w:rPr>
                <w:sz w:val="24"/>
                <w:szCs w:val="24"/>
              </w:rPr>
              <w:t>2/13</w:t>
            </w:r>
            <w:r w:rsidR="00957CD5" w:rsidRPr="000455A5">
              <w:rPr>
                <w:sz w:val="24"/>
                <w:szCs w:val="24"/>
              </w:rPr>
              <w:tab/>
            </w:r>
            <w:r w:rsidRPr="000455A5">
              <w:rPr>
                <w:sz w:val="24"/>
                <w:szCs w:val="24"/>
              </w:rPr>
              <w:t>(15</w:t>
            </w:r>
            <w:r w:rsidR="00435221">
              <w:rPr>
                <w:sz w:val="24"/>
                <w:szCs w:val="24"/>
              </w:rPr>
              <w:t xml:space="preserve"> %</w:t>
            </w:r>
            <w:r w:rsidRPr="000455A5">
              <w:rPr>
                <w:sz w:val="24"/>
                <w:szCs w:val="24"/>
              </w:rPr>
              <w:t>)</w:t>
            </w:r>
          </w:p>
        </w:tc>
      </w:tr>
      <w:tr w:rsidR="00E84EB9" w:rsidRPr="000455A5" w14:paraId="214F2F1B" w14:textId="77777777" w:rsidTr="00F7361C">
        <w:tc>
          <w:tcPr>
            <w:tcW w:w="1583" w:type="pct"/>
            <w:tcBorders>
              <w:top w:val="single" w:sz="4" w:space="0" w:color="auto"/>
              <w:left w:val="single" w:sz="4" w:space="0" w:color="auto"/>
              <w:bottom w:val="single" w:sz="4" w:space="0" w:color="auto"/>
              <w:right w:val="single" w:sz="4" w:space="0" w:color="auto"/>
            </w:tcBorders>
            <w:hideMark/>
          </w:tcPr>
          <w:p w14:paraId="697D2575" w14:textId="16E2A39F" w:rsidR="00E84EB9" w:rsidRPr="000455A5" w:rsidRDefault="00CD6F56" w:rsidP="00CD6F56">
            <w:pPr>
              <w:tabs>
                <w:tab w:val="left" w:pos="320"/>
              </w:tabs>
              <w:suppressAutoHyphens/>
              <w:rPr>
                <w:i/>
                <w:sz w:val="24"/>
                <w:szCs w:val="24"/>
              </w:rPr>
            </w:pPr>
            <w:r w:rsidRPr="000455A5">
              <w:rPr>
                <w:i/>
                <w:sz w:val="24"/>
                <w:szCs w:val="24"/>
              </w:rPr>
              <w:tab/>
            </w:r>
            <w:r w:rsidR="00E84EB9" w:rsidRPr="000455A5">
              <w:rPr>
                <w:i/>
                <w:sz w:val="24"/>
                <w:szCs w:val="24"/>
              </w:rPr>
              <w:t>A. niger</w:t>
            </w:r>
          </w:p>
        </w:tc>
        <w:tc>
          <w:tcPr>
            <w:tcW w:w="1624" w:type="pct"/>
            <w:tcBorders>
              <w:top w:val="single" w:sz="4" w:space="0" w:color="auto"/>
              <w:left w:val="single" w:sz="4" w:space="0" w:color="auto"/>
              <w:bottom w:val="single" w:sz="4" w:space="0" w:color="auto"/>
              <w:right w:val="single" w:sz="4" w:space="0" w:color="auto"/>
            </w:tcBorders>
            <w:hideMark/>
          </w:tcPr>
          <w:p w14:paraId="0112E255" w14:textId="7F1A013D" w:rsidR="00E84EB9" w:rsidRPr="000455A5" w:rsidRDefault="00E84EB9" w:rsidP="00CD6F56">
            <w:pPr>
              <w:tabs>
                <w:tab w:val="left" w:pos="1738"/>
              </w:tabs>
              <w:suppressAutoHyphens/>
              <w:rPr>
                <w:sz w:val="24"/>
                <w:szCs w:val="24"/>
              </w:rPr>
            </w:pPr>
            <w:r w:rsidRPr="000455A5">
              <w:rPr>
                <w:sz w:val="24"/>
                <w:szCs w:val="24"/>
              </w:rPr>
              <w:t>3/5</w:t>
            </w:r>
            <w:r w:rsidR="008016EB" w:rsidRPr="000455A5">
              <w:rPr>
                <w:sz w:val="24"/>
                <w:szCs w:val="24"/>
              </w:rPr>
              <w:tab/>
            </w:r>
            <w:r w:rsidRPr="000455A5">
              <w:rPr>
                <w:sz w:val="24"/>
                <w:szCs w:val="24"/>
              </w:rPr>
              <w:t>(60</w:t>
            </w:r>
            <w:r w:rsidR="00435221">
              <w:rPr>
                <w:sz w:val="24"/>
                <w:szCs w:val="24"/>
              </w:rPr>
              <w:t xml:space="preserve"> %</w:t>
            </w:r>
            <w:r w:rsidRPr="000455A5">
              <w:rPr>
                <w:sz w:val="24"/>
                <w:szCs w:val="24"/>
              </w:rPr>
              <w:t xml:space="preserve">) </w:t>
            </w:r>
          </w:p>
        </w:tc>
        <w:tc>
          <w:tcPr>
            <w:tcW w:w="1793" w:type="pct"/>
            <w:tcBorders>
              <w:top w:val="single" w:sz="4" w:space="0" w:color="auto"/>
              <w:left w:val="single" w:sz="4" w:space="0" w:color="auto"/>
              <w:bottom w:val="single" w:sz="4" w:space="0" w:color="auto"/>
              <w:right w:val="single" w:sz="4" w:space="0" w:color="auto"/>
            </w:tcBorders>
            <w:hideMark/>
          </w:tcPr>
          <w:p w14:paraId="4C818EC6" w14:textId="7A324CAF" w:rsidR="00E84EB9" w:rsidRPr="000455A5" w:rsidRDefault="00E84EB9" w:rsidP="008016EB">
            <w:pPr>
              <w:tabs>
                <w:tab w:val="left" w:pos="1942"/>
              </w:tabs>
              <w:suppressAutoHyphens/>
              <w:rPr>
                <w:sz w:val="24"/>
                <w:szCs w:val="24"/>
              </w:rPr>
            </w:pPr>
            <w:r w:rsidRPr="000455A5">
              <w:rPr>
                <w:sz w:val="24"/>
                <w:szCs w:val="24"/>
              </w:rPr>
              <w:t>2/7</w:t>
            </w:r>
            <w:r w:rsidR="00957CD5" w:rsidRPr="000455A5">
              <w:rPr>
                <w:sz w:val="24"/>
                <w:szCs w:val="24"/>
              </w:rPr>
              <w:tab/>
            </w:r>
            <w:r w:rsidRPr="000455A5">
              <w:rPr>
                <w:sz w:val="24"/>
                <w:szCs w:val="24"/>
              </w:rPr>
              <w:t>(29</w:t>
            </w:r>
            <w:r w:rsidR="00435221">
              <w:rPr>
                <w:sz w:val="24"/>
                <w:szCs w:val="24"/>
              </w:rPr>
              <w:t xml:space="preserve"> %</w:t>
            </w:r>
            <w:r w:rsidRPr="000455A5">
              <w:rPr>
                <w:sz w:val="24"/>
                <w:szCs w:val="24"/>
              </w:rPr>
              <w:t>)</w:t>
            </w:r>
          </w:p>
        </w:tc>
      </w:tr>
    </w:tbl>
    <w:p w14:paraId="75CED055" w14:textId="77777777" w:rsidR="00E84EB9" w:rsidRPr="000455A5" w:rsidRDefault="00E84EB9" w:rsidP="00957CD5">
      <w:pPr>
        <w:suppressAutoHyphens/>
        <w:rPr>
          <w:sz w:val="24"/>
          <w:szCs w:val="24"/>
          <w:lang w:val="en-GB" w:eastAsia="el-GR"/>
        </w:rPr>
      </w:pPr>
    </w:p>
    <w:p w14:paraId="1A1B4F8E" w14:textId="77777777" w:rsidR="00E84EB9" w:rsidRPr="000455A5" w:rsidRDefault="00E84EB9" w:rsidP="002B1B75">
      <w:pPr>
        <w:ind w:left="851"/>
        <w:rPr>
          <w:i/>
          <w:sz w:val="24"/>
          <w:szCs w:val="24"/>
          <w:lang w:eastAsia="el-GR"/>
        </w:rPr>
      </w:pPr>
      <w:proofErr w:type="spellStart"/>
      <w:r w:rsidRPr="000455A5">
        <w:rPr>
          <w:i/>
          <w:sz w:val="24"/>
          <w:szCs w:val="24"/>
          <w:lang w:eastAsia="el-GR"/>
        </w:rPr>
        <w:t>Fusarium</w:t>
      </w:r>
      <w:proofErr w:type="spellEnd"/>
      <w:r w:rsidRPr="000455A5">
        <w:rPr>
          <w:i/>
          <w:sz w:val="24"/>
          <w:szCs w:val="24"/>
          <w:lang w:eastAsia="el-GR"/>
        </w:rPr>
        <w:t xml:space="preserve"> </w:t>
      </w:r>
      <w:proofErr w:type="spellStart"/>
      <w:r w:rsidRPr="000455A5">
        <w:rPr>
          <w:i/>
          <w:sz w:val="24"/>
          <w:szCs w:val="24"/>
          <w:lang w:eastAsia="el-GR"/>
        </w:rPr>
        <w:t>spp</w:t>
      </w:r>
      <w:proofErr w:type="spellEnd"/>
      <w:r w:rsidRPr="000455A5">
        <w:rPr>
          <w:i/>
          <w:sz w:val="24"/>
          <w:szCs w:val="24"/>
          <w:lang w:eastAsia="el-GR"/>
        </w:rPr>
        <w:t>.</w:t>
      </w:r>
    </w:p>
    <w:p w14:paraId="24C7CC09" w14:textId="77777777" w:rsidR="00E84EB9" w:rsidRPr="000455A5" w:rsidRDefault="00E84EB9" w:rsidP="002B1B75">
      <w:pPr>
        <w:ind w:left="851"/>
        <w:rPr>
          <w:sz w:val="24"/>
          <w:szCs w:val="24"/>
          <w:lang w:val="en-US" w:eastAsia="el-GR"/>
        </w:rPr>
      </w:pPr>
      <w:r w:rsidRPr="000455A5">
        <w:rPr>
          <w:sz w:val="24"/>
          <w:szCs w:val="24"/>
          <w:lang w:val="en-US" w:eastAsia="el-GR"/>
        </w:rPr>
        <w:t xml:space="preserve">11 of 24 patients who had proven or probable </w:t>
      </w:r>
      <w:proofErr w:type="spellStart"/>
      <w:r w:rsidRPr="000455A5">
        <w:rPr>
          <w:sz w:val="24"/>
          <w:szCs w:val="24"/>
          <w:lang w:val="en-US" w:eastAsia="el-GR"/>
        </w:rPr>
        <w:t>fusariosis</w:t>
      </w:r>
      <w:proofErr w:type="spellEnd"/>
      <w:r w:rsidRPr="000455A5">
        <w:rPr>
          <w:sz w:val="24"/>
          <w:szCs w:val="24"/>
          <w:lang w:val="en-US" w:eastAsia="el-GR"/>
        </w:rPr>
        <w:t xml:space="preserve"> were successfully treated with </w:t>
      </w:r>
      <w:proofErr w:type="spellStart"/>
      <w:r w:rsidRPr="000455A5">
        <w:rPr>
          <w:sz w:val="24"/>
          <w:szCs w:val="24"/>
          <w:lang w:val="en-US" w:eastAsia="el-GR"/>
        </w:rPr>
        <w:t>posaconazole</w:t>
      </w:r>
      <w:proofErr w:type="spellEnd"/>
      <w:r w:rsidRPr="000455A5">
        <w:rPr>
          <w:sz w:val="24"/>
          <w:szCs w:val="24"/>
          <w:lang w:val="en-US" w:eastAsia="el-GR"/>
        </w:rPr>
        <w:t xml:space="preserve"> oral suspension 800 mg/day in divided doses for a median of 124 days and up to 212 days. Among eighteen patients who were intolerant or had infections refractory to amphotericin B or itraconazole, seven patients were classed as responders.</w:t>
      </w:r>
    </w:p>
    <w:p w14:paraId="1FEB39C2" w14:textId="77777777" w:rsidR="00E84EB9" w:rsidRPr="000455A5" w:rsidRDefault="00E84EB9" w:rsidP="002B1B75">
      <w:pPr>
        <w:ind w:left="851"/>
        <w:rPr>
          <w:sz w:val="24"/>
          <w:szCs w:val="24"/>
          <w:lang w:val="en-US" w:eastAsia="el-GR"/>
        </w:rPr>
      </w:pPr>
    </w:p>
    <w:p w14:paraId="1E137BB4" w14:textId="77777777" w:rsidR="00E84EB9" w:rsidRPr="000455A5" w:rsidRDefault="00E84EB9" w:rsidP="002B1B75">
      <w:pPr>
        <w:ind w:left="851"/>
        <w:rPr>
          <w:i/>
          <w:sz w:val="24"/>
          <w:szCs w:val="24"/>
          <w:lang w:val="en-US" w:eastAsia="el-GR"/>
        </w:rPr>
      </w:pPr>
      <w:r w:rsidRPr="000455A5">
        <w:rPr>
          <w:i/>
          <w:sz w:val="24"/>
          <w:szCs w:val="24"/>
          <w:lang w:val="en-US" w:eastAsia="el-GR"/>
        </w:rPr>
        <w:t>Chromoblastomycosis/Mycetoma</w:t>
      </w:r>
    </w:p>
    <w:p w14:paraId="6C7D7304" w14:textId="77777777" w:rsidR="00E84EB9" w:rsidRPr="000455A5" w:rsidRDefault="00E84EB9" w:rsidP="002B1B75">
      <w:pPr>
        <w:ind w:left="851"/>
        <w:rPr>
          <w:sz w:val="24"/>
          <w:szCs w:val="24"/>
          <w:lang w:val="en-US" w:eastAsia="el-GR"/>
        </w:rPr>
      </w:pPr>
      <w:r w:rsidRPr="000455A5">
        <w:rPr>
          <w:sz w:val="24"/>
          <w:szCs w:val="24"/>
          <w:lang w:val="en-US" w:eastAsia="el-GR"/>
        </w:rPr>
        <w:t xml:space="preserve">9 of 11 patients were successfully treated with </w:t>
      </w:r>
      <w:proofErr w:type="spellStart"/>
      <w:r w:rsidRPr="000455A5">
        <w:rPr>
          <w:sz w:val="24"/>
          <w:szCs w:val="24"/>
          <w:lang w:val="en-US" w:eastAsia="el-GR"/>
        </w:rPr>
        <w:t>posaconazole</w:t>
      </w:r>
      <w:proofErr w:type="spellEnd"/>
      <w:r w:rsidRPr="000455A5">
        <w:rPr>
          <w:sz w:val="24"/>
          <w:szCs w:val="24"/>
          <w:lang w:val="en-US" w:eastAsia="el-GR"/>
        </w:rPr>
        <w:t xml:space="preserve"> oral suspension 800 mg/day in divided doses for a median of 268 days and up to 377 days. Five of these patients had chromoblastomycosis due to </w:t>
      </w:r>
      <w:proofErr w:type="spellStart"/>
      <w:r w:rsidRPr="000455A5">
        <w:rPr>
          <w:sz w:val="24"/>
          <w:szCs w:val="24"/>
          <w:lang w:val="en-US" w:eastAsia="el-GR"/>
        </w:rPr>
        <w:t>Fonsecaea</w:t>
      </w:r>
      <w:proofErr w:type="spellEnd"/>
      <w:r w:rsidRPr="000455A5">
        <w:rPr>
          <w:sz w:val="24"/>
          <w:szCs w:val="24"/>
          <w:lang w:val="en-US" w:eastAsia="el-GR"/>
        </w:rPr>
        <w:t xml:space="preserve"> </w:t>
      </w:r>
      <w:proofErr w:type="spellStart"/>
      <w:r w:rsidRPr="000455A5">
        <w:rPr>
          <w:sz w:val="24"/>
          <w:szCs w:val="24"/>
          <w:lang w:val="en-US" w:eastAsia="el-GR"/>
        </w:rPr>
        <w:t>pedrosoi</w:t>
      </w:r>
      <w:proofErr w:type="spellEnd"/>
      <w:r w:rsidRPr="000455A5">
        <w:rPr>
          <w:sz w:val="24"/>
          <w:szCs w:val="24"/>
          <w:lang w:val="en-US" w:eastAsia="el-GR"/>
        </w:rPr>
        <w:t xml:space="preserve"> and 4 had mycetoma, mostly due to </w:t>
      </w:r>
      <w:proofErr w:type="spellStart"/>
      <w:r w:rsidRPr="000455A5">
        <w:rPr>
          <w:sz w:val="24"/>
          <w:szCs w:val="24"/>
          <w:lang w:val="en-US" w:eastAsia="el-GR"/>
        </w:rPr>
        <w:t>Madurella</w:t>
      </w:r>
      <w:proofErr w:type="spellEnd"/>
      <w:r w:rsidRPr="000455A5">
        <w:rPr>
          <w:sz w:val="24"/>
          <w:szCs w:val="24"/>
          <w:lang w:val="en-US" w:eastAsia="el-GR"/>
        </w:rPr>
        <w:t xml:space="preserve"> species.</w:t>
      </w:r>
    </w:p>
    <w:p w14:paraId="23B25D5C" w14:textId="77777777" w:rsidR="00E84EB9" w:rsidRPr="000455A5" w:rsidRDefault="00E84EB9" w:rsidP="002B1B75">
      <w:pPr>
        <w:ind w:left="851"/>
        <w:rPr>
          <w:sz w:val="24"/>
          <w:szCs w:val="24"/>
          <w:lang w:val="en-US" w:eastAsia="el-GR"/>
        </w:rPr>
      </w:pPr>
    </w:p>
    <w:p w14:paraId="0CB46479" w14:textId="77777777" w:rsidR="00E84EB9" w:rsidRPr="000455A5" w:rsidRDefault="00E84EB9" w:rsidP="002B1B75">
      <w:pPr>
        <w:ind w:left="851"/>
        <w:rPr>
          <w:i/>
          <w:sz w:val="24"/>
          <w:szCs w:val="24"/>
          <w:lang w:val="en-US" w:eastAsia="el-GR"/>
        </w:rPr>
      </w:pPr>
      <w:r w:rsidRPr="000455A5">
        <w:rPr>
          <w:i/>
          <w:sz w:val="24"/>
          <w:szCs w:val="24"/>
          <w:lang w:val="en-US" w:eastAsia="el-GR"/>
        </w:rPr>
        <w:t>Coccidioidomycosis</w:t>
      </w:r>
    </w:p>
    <w:p w14:paraId="7F7F2575" w14:textId="77777777" w:rsidR="00E84EB9" w:rsidRPr="000455A5" w:rsidRDefault="00E84EB9" w:rsidP="002B1B75">
      <w:pPr>
        <w:ind w:left="851"/>
        <w:rPr>
          <w:sz w:val="24"/>
          <w:szCs w:val="24"/>
          <w:lang w:val="en-US" w:eastAsia="el-GR"/>
        </w:rPr>
      </w:pPr>
      <w:r w:rsidRPr="000455A5">
        <w:rPr>
          <w:sz w:val="24"/>
          <w:szCs w:val="24"/>
          <w:lang w:val="en-US" w:eastAsia="el-GR"/>
        </w:rPr>
        <w:t xml:space="preserve">11 of 16 patients were successfully treated (at the end of treatment complete or partial resolution of signs and symptoms present at baseline) with </w:t>
      </w:r>
      <w:proofErr w:type="spellStart"/>
      <w:r w:rsidRPr="000455A5">
        <w:rPr>
          <w:sz w:val="24"/>
          <w:szCs w:val="24"/>
          <w:lang w:val="en-US" w:eastAsia="el-GR"/>
        </w:rPr>
        <w:t>posaconazole</w:t>
      </w:r>
      <w:proofErr w:type="spellEnd"/>
      <w:r w:rsidRPr="000455A5">
        <w:rPr>
          <w:sz w:val="24"/>
          <w:szCs w:val="24"/>
          <w:lang w:val="en-US" w:eastAsia="el-GR"/>
        </w:rPr>
        <w:t xml:space="preserve"> oral suspension 800 mg/day in divided doses for a median of 296 days and up to 460 days.</w:t>
      </w:r>
    </w:p>
    <w:p w14:paraId="4BCCFFDA" w14:textId="77777777" w:rsidR="00E84EB9" w:rsidRPr="000455A5" w:rsidRDefault="00E84EB9" w:rsidP="002B1B75">
      <w:pPr>
        <w:ind w:left="851"/>
        <w:rPr>
          <w:sz w:val="24"/>
          <w:szCs w:val="24"/>
          <w:lang w:val="en-US" w:eastAsia="el-GR"/>
        </w:rPr>
      </w:pPr>
    </w:p>
    <w:p w14:paraId="12801BE6" w14:textId="77777777" w:rsidR="00E84EB9" w:rsidRPr="000455A5" w:rsidRDefault="00E84EB9" w:rsidP="002B1B75">
      <w:pPr>
        <w:ind w:left="851"/>
        <w:rPr>
          <w:i/>
          <w:sz w:val="24"/>
          <w:szCs w:val="24"/>
          <w:lang w:val="en-US" w:eastAsia="el-GR"/>
        </w:rPr>
      </w:pPr>
      <w:r w:rsidRPr="000455A5">
        <w:rPr>
          <w:i/>
          <w:sz w:val="24"/>
          <w:szCs w:val="24"/>
          <w:lang w:val="en-US" w:eastAsia="el-GR"/>
        </w:rPr>
        <w:t>Treatment of azole-susceptible Oropharyngeal Candidiasis (OPC)</w:t>
      </w:r>
    </w:p>
    <w:p w14:paraId="57BB07E4" w14:textId="77777777" w:rsidR="00E84EB9" w:rsidRPr="000455A5" w:rsidRDefault="00E84EB9" w:rsidP="002B1B75">
      <w:pPr>
        <w:ind w:left="851"/>
        <w:rPr>
          <w:sz w:val="24"/>
          <w:szCs w:val="24"/>
          <w:lang w:val="en-US" w:eastAsia="el-GR"/>
        </w:rPr>
      </w:pPr>
      <w:r w:rsidRPr="000455A5">
        <w:rPr>
          <w:sz w:val="24"/>
          <w:szCs w:val="24"/>
          <w:lang w:val="en-US" w:eastAsia="el-GR"/>
        </w:rPr>
        <w:t xml:space="preserve">A </w:t>
      </w:r>
      <w:proofErr w:type="spellStart"/>
      <w:r w:rsidRPr="000455A5">
        <w:rPr>
          <w:sz w:val="24"/>
          <w:szCs w:val="24"/>
          <w:lang w:val="en-US" w:eastAsia="el-GR"/>
        </w:rPr>
        <w:t>randomised</w:t>
      </w:r>
      <w:proofErr w:type="spellEnd"/>
      <w:r w:rsidRPr="000455A5">
        <w:rPr>
          <w:sz w:val="24"/>
          <w:szCs w:val="24"/>
          <w:lang w:val="en-US" w:eastAsia="el-GR"/>
        </w:rPr>
        <w:t xml:space="preserve">, evaluator-blind, controlled study was completed in HIV-infected patients with azole-susceptible oropharyngeal candidiasis (most patients studied had C. albicans isolated at baseline). The primary efficacy variable was the clinical success rate (defined as cure or improvement) after 14 days of treatment. Patients were treated with </w:t>
      </w:r>
      <w:proofErr w:type="spellStart"/>
      <w:r w:rsidRPr="000455A5">
        <w:rPr>
          <w:sz w:val="24"/>
          <w:szCs w:val="24"/>
          <w:lang w:val="en-US" w:eastAsia="el-GR"/>
        </w:rPr>
        <w:t>posaconazole</w:t>
      </w:r>
      <w:proofErr w:type="spellEnd"/>
      <w:r w:rsidRPr="000455A5">
        <w:rPr>
          <w:sz w:val="24"/>
          <w:szCs w:val="24"/>
          <w:lang w:val="en-US" w:eastAsia="el-GR"/>
        </w:rPr>
        <w:t xml:space="preserve"> or fluconazole oral suspension (both </w:t>
      </w:r>
      <w:proofErr w:type="spellStart"/>
      <w:r w:rsidRPr="000455A5">
        <w:rPr>
          <w:sz w:val="24"/>
          <w:szCs w:val="24"/>
          <w:lang w:val="en-US" w:eastAsia="el-GR"/>
        </w:rPr>
        <w:t>posaconazole</w:t>
      </w:r>
      <w:proofErr w:type="spellEnd"/>
      <w:r w:rsidRPr="000455A5">
        <w:rPr>
          <w:sz w:val="24"/>
          <w:szCs w:val="24"/>
          <w:lang w:val="en-US" w:eastAsia="el-GR"/>
        </w:rPr>
        <w:t xml:space="preserve"> and fluconazole were given as follows: 100 mg twice a day for 1 day followed by 100 mg once a day for 13 days).</w:t>
      </w:r>
    </w:p>
    <w:p w14:paraId="3D2A9EA7" w14:textId="77777777" w:rsidR="00E84EB9" w:rsidRPr="000455A5" w:rsidRDefault="00E84EB9" w:rsidP="002B1B75">
      <w:pPr>
        <w:ind w:left="851"/>
        <w:rPr>
          <w:sz w:val="24"/>
          <w:szCs w:val="24"/>
          <w:lang w:val="en-US" w:eastAsia="el-GR"/>
        </w:rPr>
      </w:pPr>
    </w:p>
    <w:p w14:paraId="27154AEE" w14:textId="77777777" w:rsidR="00E84EB9" w:rsidRPr="000455A5" w:rsidRDefault="00E84EB9" w:rsidP="002B1B75">
      <w:pPr>
        <w:ind w:left="851"/>
        <w:rPr>
          <w:sz w:val="24"/>
          <w:szCs w:val="24"/>
          <w:lang w:val="en-US" w:eastAsia="el-GR"/>
        </w:rPr>
      </w:pPr>
      <w:r w:rsidRPr="000455A5">
        <w:rPr>
          <w:sz w:val="24"/>
          <w:szCs w:val="24"/>
          <w:lang w:val="en-US" w:eastAsia="el-GR"/>
        </w:rPr>
        <w:t>The clinical response rates from the above study are shown in the Table 4 below.</w:t>
      </w:r>
    </w:p>
    <w:p w14:paraId="31EFBCBE" w14:textId="77777777" w:rsidR="00957CD5" w:rsidRPr="000455A5" w:rsidRDefault="00957CD5" w:rsidP="002B1B75">
      <w:pPr>
        <w:ind w:left="851"/>
        <w:rPr>
          <w:sz w:val="24"/>
          <w:szCs w:val="24"/>
          <w:lang w:val="en-US" w:eastAsia="el-GR"/>
        </w:rPr>
      </w:pPr>
    </w:p>
    <w:p w14:paraId="76E85344" w14:textId="4113DC1B" w:rsidR="00E84EB9" w:rsidRPr="000455A5" w:rsidRDefault="00E84EB9" w:rsidP="002B1B75">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was shown to be non-inferior to fluconazole for clinical success rates at Day 14 as well as 4 weeks after the end of treatment.</w:t>
      </w:r>
    </w:p>
    <w:p w14:paraId="111745DF" w14:textId="2DB509E0" w:rsidR="00BF541D" w:rsidRDefault="00BF541D">
      <w:pPr>
        <w:rPr>
          <w:sz w:val="24"/>
          <w:szCs w:val="24"/>
          <w:lang w:val="en-US" w:eastAsia="el-GR"/>
        </w:rPr>
      </w:pPr>
      <w:r>
        <w:rPr>
          <w:sz w:val="24"/>
          <w:szCs w:val="24"/>
          <w:lang w:val="en-US" w:eastAsia="el-GR"/>
        </w:rPr>
        <w:br w:type="page"/>
      </w:r>
    </w:p>
    <w:p w14:paraId="1548A73A" w14:textId="77777777" w:rsidR="00E84EB9" w:rsidRPr="000455A5" w:rsidRDefault="00E84EB9" w:rsidP="00E84EB9">
      <w:pPr>
        <w:suppressAutoHyphens/>
        <w:jc w:val="both"/>
        <w:rPr>
          <w:sz w:val="24"/>
          <w:szCs w:val="24"/>
          <w:lang w:val="en-US" w:eastAsia="el-GR"/>
        </w:rPr>
      </w:pPr>
    </w:p>
    <w:p w14:paraId="3069A81B" w14:textId="6B8BAFAE" w:rsidR="00E84EB9" w:rsidRPr="000455A5" w:rsidRDefault="00E84EB9" w:rsidP="00957CD5">
      <w:pPr>
        <w:suppressAutoHyphens/>
        <w:ind w:firstLine="851"/>
        <w:jc w:val="both"/>
        <w:rPr>
          <w:b/>
          <w:sz w:val="24"/>
          <w:szCs w:val="24"/>
          <w:lang w:val="en-US" w:eastAsia="el-GR"/>
        </w:rPr>
      </w:pPr>
      <w:r w:rsidRPr="000455A5">
        <w:rPr>
          <w:b/>
          <w:sz w:val="24"/>
          <w:szCs w:val="24"/>
          <w:lang w:val="en-US" w:eastAsia="el-GR"/>
        </w:rPr>
        <w:t>Table 4</w:t>
      </w:r>
      <w:r w:rsidR="00957CD5" w:rsidRPr="000455A5">
        <w:rPr>
          <w:b/>
          <w:sz w:val="24"/>
          <w:szCs w:val="24"/>
          <w:lang w:val="en-US" w:eastAsia="el-GR"/>
        </w:rPr>
        <w:t xml:space="preserve">. </w:t>
      </w:r>
      <w:r w:rsidRPr="000455A5">
        <w:rPr>
          <w:b/>
          <w:sz w:val="24"/>
          <w:szCs w:val="24"/>
          <w:lang w:val="en-US" w:eastAsia="el-GR"/>
        </w:rPr>
        <w:t>Clinical success rates in Oropharyngeal Candidiasis</w:t>
      </w:r>
    </w:p>
    <w:tbl>
      <w:tblPr>
        <w:tblStyle w:val="Tabel-Gitter"/>
        <w:tblW w:w="4537" w:type="pct"/>
        <w:tblInd w:w="846" w:type="dxa"/>
        <w:tblLook w:val="04A0" w:firstRow="1" w:lastRow="0" w:firstColumn="1" w:lastColumn="0" w:noHBand="0" w:noVBand="1"/>
      </w:tblPr>
      <w:tblGrid>
        <w:gridCol w:w="4535"/>
        <w:gridCol w:w="2069"/>
        <w:gridCol w:w="2132"/>
      </w:tblGrid>
      <w:tr w:rsidR="00E84EB9" w:rsidRPr="000455A5" w14:paraId="7F0DEE88" w14:textId="77777777" w:rsidTr="00957CD5">
        <w:trPr>
          <w:trHeight w:val="294"/>
        </w:trPr>
        <w:tc>
          <w:tcPr>
            <w:tcW w:w="2596" w:type="pct"/>
            <w:tcBorders>
              <w:top w:val="single" w:sz="4" w:space="0" w:color="auto"/>
              <w:left w:val="single" w:sz="4" w:space="0" w:color="auto"/>
              <w:bottom w:val="single" w:sz="4" w:space="0" w:color="auto"/>
              <w:right w:val="single" w:sz="4" w:space="0" w:color="auto"/>
            </w:tcBorders>
            <w:hideMark/>
          </w:tcPr>
          <w:p w14:paraId="6062CF9A" w14:textId="77777777" w:rsidR="00E84EB9" w:rsidRPr="000455A5" w:rsidRDefault="00E84EB9">
            <w:pPr>
              <w:suppressAutoHyphens/>
              <w:jc w:val="both"/>
              <w:rPr>
                <w:sz w:val="24"/>
                <w:szCs w:val="24"/>
              </w:rPr>
            </w:pPr>
            <w:r w:rsidRPr="000455A5">
              <w:rPr>
                <w:sz w:val="24"/>
                <w:szCs w:val="24"/>
              </w:rPr>
              <w:t xml:space="preserve">Endpoint </w:t>
            </w:r>
          </w:p>
        </w:tc>
        <w:tc>
          <w:tcPr>
            <w:tcW w:w="1184" w:type="pct"/>
            <w:tcBorders>
              <w:top w:val="single" w:sz="4" w:space="0" w:color="auto"/>
              <w:left w:val="single" w:sz="4" w:space="0" w:color="auto"/>
              <w:bottom w:val="single" w:sz="4" w:space="0" w:color="auto"/>
              <w:right w:val="single" w:sz="4" w:space="0" w:color="auto"/>
            </w:tcBorders>
            <w:hideMark/>
          </w:tcPr>
          <w:p w14:paraId="49C31ED6" w14:textId="77777777" w:rsidR="00E84EB9" w:rsidRPr="000455A5" w:rsidRDefault="00E84EB9">
            <w:pPr>
              <w:suppressAutoHyphens/>
              <w:jc w:val="both"/>
              <w:rPr>
                <w:sz w:val="24"/>
                <w:szCs w:val="24"/>
              </w:rPr>
            </w:pPr>
            <w:r w:rsidRPr="000455A5">
              <w:rPr>
                <w:sz w:val="24"/>
                <w:szCs w:val="24"/>
              </w:rPr>
              <w:t xml:space="preserve">Posaconazole </w:t>
            </w:r>
          </w:p>
        </w:tc>
        <w:tc>
          <w:tcPr>
            <w:tcW w:w="1220" w:type="pct"/>
            <w:tcBorders>
              <w:top w:val="single" w:sz="4" w:space="0" w:color="auto"/>
              <w:left w:val="single" w:sz="4" w:space="0" w:color="auto"/>
              <w:bottom w:val="single" w:sz="4" w:space="0" w:color="auto"/>
              <w:right w:val="single" w:sz="4" w:space="0" w:color="auto"/>
            </w:tcBorders>
            <w:hideMark/>
          </w:tcPr>
          <w:p w14:paraId="5D82D40D" w14:textId="77777777" w:rsidR="00E84EB9" w:rsidRPr="000455A5" w:rsidRDefault="00E84EB9">
            <w:pPr>
              <w:suppressAutoHyphens/>
              <w:jc w:val="both"/>
              <w:rPr>
                <w:sz w:val="24"/>
                <w:szCs w:val="24"/>
              </w:rPr>
            </w:pPr>
            <w:r w:rsidRPr="000455A5">
              <w:rPr>
                <w:sz w:val="24"/>
                <w:szCs w:val="24"/>
              </w:rPr>
              <w:t>Fluconazole</w:t>
            </w:r>
          </w:p>
        </w:tc>
      </w:tr>
      <w:tr w:rsidR="00E84EB9" w:rsidRPr="000455A5" w14:paraId="7B62DBA3" w14:textId="77777777" w:rsidTr="00957CD5">
        <w:tc>
          <w:tcPr>
            <w:tcW w:w="2596" w:type="pct"/>
            <w:tcBorders>
              <w:top w:val="single" w:sz="4" w:space="0" w:color="auto"/>
              <w:left w:val="single" w:sz="4" w:space="0" w:color="auto"/>
              <w:bottom w:val="single" w:sz="4" w:space="0" w:color="auto"/>
              <w:right w:val="single" w:sz="4" w:space="0" w:color="auto"/>
            </w:tcBorders>
            <w:hideMark/>
          </w:tcPr>
          <w:p w14:paraId="5484C241" w14:textId="77777777" w:rsidR="00E84EB9" w:rsidRPr="000455A5" w:rsidRDefault="00E84EB9">
            <w:pPr>
              <w:suppressAutoHyphens/>
              <w:jc w:val="both"/>
              <w:rPr>
                <w:sz w:val="24"/>
                <w:szCs w:val="24"/>
              </w:rPr>
            </w:pPr>
            <w:r w:rsidRPr="000455A5">
              <w:rPr>
                <w:sz w:val="24"/>
                <w:szCs w:val="24"/>
              </w:rPr>
              <w:t>Clinical success rate at Day 14</w:t>
            </w:r>
          </w:p>
        </w:tc>
        <w:tc>
          <w:tcPr>
            <w:tcW w:w="1184" w:type="pct"/>
            <w:tcBorders>
              <w:top w:val="single" w:sz="4" w:space="0" w:color="auto"/>
              <w:left w:val="single" w:sz="4" w:space="0" w:color="auto"/>
              <w:bottom w:val="single" w:sz="4" w:space="0" w:color="auto"/>
              <w:right w:val="single" w:sz="4" w:space="0" w:color="auto"/>
            </w:tcBorders>
            <w:hideMark/>
          </w:tcPr>
          <w:p w14:paraId="041D125B" w14:textId="0EB7104B" w:rsidR="00E84EB9" w:rsidRPr="000455A5" w:rsidRDefault="00E84EB9">
            <w:pPr>
              <w:suppressAutoHyphens/>
              <w:jc w:val="both"/>
              <w:rPr>
                <w:sz w:val="24"/>
                <w:szCs w:val="24"/>
              </w:rPr>
            </w:pPr>
            <w:r w:rsidRPr="000455A5">
              <w:rPr>
                <w:sz w:val="24"/>
                <w:szCs w:val="24"/>
              </w:rPr>
              <w:t>91.7</w:t>
            </w:r>
            <w:r w:rsidR="00435221">
              <w:rPr>
                <w:sz w:val="24"/>
                <w:szCs w:val="24"/>
              </w:rPr>
              <w:t xml:space="preserve"> %</w:t>
            </w:r>
            <w:r w:rsidRPr="000455A5">
              <w:rPr>
                <w:sz w:val="24"/>
                <w:szCs w:val="24"/>
              </w:rPr>
              <w:t xml:space="preserve"> (155/169) </w:t>
            </w:r>
          </w:p>
        </w:tc>
        <w:tc>
          <w:tcPr>
            <w:tcW w:w="1220" w:type="pct"/>
            <w:tcBorders>
              <w:top w:val="single" w:sz="4" w:space="0" w:color="auto"/>
              <w:left w:val="single" w:sz="4" w:space="0" w:color="auto"/>
              <w:bottom w:val="single" w:sz="4" w:space="0" w:color="auto"/>
              <w:right w:val="single" w:sz="4" w:space="0" w:color="auto"/>
            </w:tcBorders>
            <w:hideMark/>
          </w:tcPr>
          <w:p w14:paraId="6A55DF42" w14:textId="24E3CC6F" w:rsidR="00E84EB9" w:rsidRPr="000455A5" w:rsidRDefault="00E84EB9">
            <w:pPr>
              <w:suppressAutoHyphens/>
              <w:jc w:val="both"/>
              <w:rPr>
                <w:sz w:val="24"/>
                <w:szCs w:val="24"/>
              </w:rPr>
            </w:pPr>
            <w:r w:rsidRPr="000455A5">
              <w:rPr>
                <w:sz w:val="24"/>
                <w:szCs w:val="24"/>
              </w:rPr>
              <w:t>92.5</w:t>
            </w:r>
            <w:r w:rsidR="00435221">
              <w:rPr>
                <w:sz w:val="24"/>
                <w:szCs w:val="24"/>
              </w:rPr>
              <w:t xml:space="preserve"> %</w:t>
            </w:r>
            <w:r w:rsidRPr="000455A5">
              <w:rPr>
                <w:sz w:val="24"/>
                <w:szCs w:val="24"/>
              </w:rPr>
              <w:t xml:space="preserve"> (148/160)</w:t>
            </w:r>
          </w:p>
        </w:tc>
      </w:tr>
      <w:tr w:rsidR="00E84EB9" w:rsidRPr="000455A5" w14:paraId="7714FE6D" w14:textId="77777777" w:rsidTr="00957CD5">
        <w:tc>
          <w:tcPr>
            <w:tcW w:w="2596" w:type="pct"/>
            <w:tcBorders>
              <w:top w:val="single" w:sz="4" w:space="0" w:color="auto"/>
              <w:left w:val="single" w:sz="4" w:space="0" w:color="auto"/>
              <w:bottom w:val="single" w:sz="4" w:space="0" w:color="auto"/>
              <w:right w:val="single" w:sz="4" w:space="0" w:color="auto"/>
            </w:tcBorders>
            <w:hideMark/>
          </w:tcPr>
          <w:p w14:paraId="1A90F54D" w14:textId="77777777" w:rsidR="00E84EB9" w:rsidRPr="000455A5" w:rsidRDefault="00E84EB9">
            <w:pPr>
              <w:suppressAutoHyphens/>
              <w:rPr>
                <w:sz w:val="24"/>
                <w:szCs w:val="24"/>
              </w:rPr>
            </w:pPr>
            <w:r w:rsidRPr="000455A5">
              <w:rPr>
                <w:sz w:val="24"/>
                <w:szCs w:val="24"/>
              </w:rPr>
              <w:t>Clinical success rate 4 weeks after end of treatment</w:t>
            </w:r>
          </w:p>
        </w:tc>
        <w:tc>
          <w:tcPr>
            <w:tcW w:w="1184" w:type="pct"/>
            <w:tcBorders>
              <w:top w:val="single" w:sz="4" w:space="0" w:color="auto"/>
              <w:left w:val="single" w:sz="4" w:space="0" w:color="auto"/>
              <w:bottom w:val="single" w:sz="4" w:space="0" w:color="auto"/>
              <w:right w:val="single" w:sz="4" w:space="0" w:color="auto"/>
            </w:tcBorders>
            <w:hideMark/>
          </w:tcPr>
          <w:p w14:paraId="461F52D4" w14:textId="2980C4C8" w:rsidR="00E84EB9" w:rsidRPr="000455A5" w:rsidRDefault="00E84EB9">
            <w:pPr>
              <w:suppressAutoHyphens/>
              <w:jc w:val="both"/>
              <w:rPr>
                <w:sz w:val="24"/>
                <w:szCs w:val="24"/>
              </w:rPr>
            </w:pPr>
            <w:r w:rsidRPr="000455A5">
              <w:rPr>
                <w:sz w:val="24"/>
                <w:szCs w:val="24"/>
              </w:rPr>
              <w:t>68.5</w:t>
            </w:r>
            <w:r w:rsidR="00435221">
              <w:rPr>
                <w:sz w:val="24"/>
                <w:szCs w:val="24"/>
              </w:rPr>
              <w:t xml:space="preserve"> %</w:t>
            </w:r>
            <w:r w:rsidRPr="000455A5">
              <w:rPr>
                <w:sz w:val="24"/>
                <w:szCs w:val="24"/>
              </w:rPr>
              <w:t xml:space="preserve"> (98/143)</w:t>
            </w:r>
          </w:p>
        </w:tc>
        <w:tc>
          <w:tcPr>
            <w:tcW w:w="1220" w:type="pct"/>
            <w:tcBorders>
              <w:top w:val="single" w:sz="4" w:space="0" w:color="auto"/>
              <w:left w:val="single" w:sz="4" w:space="0" w:color="auto"/>
              <w:bottom w:val="single" w:sz="4" w:space="0" w:color="auto"/>
              <w:right w:val="single" w:sz="4" w:space="0" w:color="auto"/>
            </w:tcBorders>
            <w:hideMark/>
          </w:tcPr>
          <w:p w14:paraId="3AB97046" w14:textId="36211966" w:rsidR="00E84EB9" w:rsidRPr="000455A5" w:rsidRDefault="00E84EB9">
            <w:pPr>
              <w:suppressAutoHyphens/>
              <w:jc w:val="both"/>
              <w:rPr>
                <w:sz w:val="24"/>
                <w:szCs w:val="24"/>
              </w:rPr>
            </w:pPr>
            <w:r w:rsidRPr="000455A5">
              <w:rPr>
                <w:sz w:val="24"/>
                <w:szCs w:val="24"/>
              </w:rPr>
              <w:t>61.8</w:t>
            </w:r>
            <w:r w:rsidR="00435221">
              <w:rPr>
                <w:sz w:val="24"/>
                <w:szCs w:val="24"/>
              </w:rPr>
              <w:t xml:space="preserve"> %</w:t>
            </w:r>
            <w:r w:rsidRPr="000455A5">
              <w:rPr>
                <w:sz w:val="24"/>
                <w:szCs w:val="24"/>
              </w:rPr>
              <w:t xml:space="preserve"> (84/136)</w:t>
            </w:r>
          </w:p>
        </w:tc>
      </w:tr>
    </w:tbl>
    <w:p w14:paraId="7B7182FF" w14:textId="77777777" w:rsidR="00E84EB9" w:rsidRPr="000455A5" w:rsidRDefault="00E84EB9" w:rsidP="002B1B75">
      <w:pPr>
        <w:ind w:left="851"/>
        <w:rPr>
          <w:sz w:val="24"/>
          <w:szCs w:val="24"/>
          <w:lang w:val="en-GB" w:eastAsia="el-GR"/>
        </w:rPr>
      </w:pPr>
      <w:r w:rsidRPr="000455A5">
        <w:rPr>
          <w:sz w:val="24"/>
          <w:szCs w:val="24"/>
          <w:lang w:val="en-US" w:eastAsia="el-GR"/>
        </w:rPr>
        <w:t>Clinical success rate was defined as the number of cases assessed as having a clinical response (cure or improvement) divided by the total number of cases eligible for analysis.</w:t>
      </w:r>
    </w:p>
    <w:p w14:paraId="4CBB63F3" w14:textId="77777777" w:rsidR="00E84EB9" w:rsidRPr="000455A5" w:rsidRDefault="00E84EB9" w:rsidP="002B1B75">
      <w:pPr>
        <w:ind w:left="851"/>
        <w:rPr>
          <w:sz w:val="24"/>
          <w:szCs w:val="24"/>
          <w:lang w:val="en-US" w:eastAsia="el-GR"/>
        </w:rPr>
      </w:pPr>
    </w:p>
    <w:p w14:paraId="4BF65019" w14:textId="77777777" w:rsidR="00E84EB9" w:rsidRPr="000455A5" w:rsidRDefault="00E84EB9" w:rsidP="002B1B75">
      <w:pPr>
        <w:ind w:left="851"/>
        <w:rPr>
          <w:i/>
          <w:sz w:val="24"/>
          <w:szCs w:val="24"/>
          <w:lang w:val="en-US" w:eastAsia="el-GR"/>
        </w:rPr>
      </w:pPr>
      <w:r w:rsidRPr="000455A5">
        <w:rPr>
          <w:i/>
          <w:sz w:val="24"/>
          <w:szCs w:val="24"/>
          <w:lang w:val="en-US" w:eastAsia="el-GR"/>
        </w:rPr>
        <w:t>Prophylaxis of Invasive Fungal Infections (IFIs) (Studies 316 and 1899)</w:t>
      </w:r>
    </w:p>
    <w:p w14:paraId="436B9B5C" w14:textId="77777777" w:rsidR="00E84EB9" w:rsidRPr="000455A5" w:rsidRDefault="00E84EB9" w:rsidP="002B1B75">
      <w:pPr>
        <w:ind w:left="851"/>
        <w:rPr>
          <w:sz w:val="24"/>
          <w:szCs w:val="24"/>
          <w:lang w:val="en-US" w:eastAsia="el-GR"/>
        </w:rPr>
      </w:pPr>
      <w:r w:rsidRPr="000455A5">
        <w:rPr>
          <w:sz w:val="24"/>
          <w:szCs w:val="24"/>
          <w:lang w:val="en-US" w:eastAsia="el-GR"/>
        </w:rPr>
        <w:t xml:space="preserve">Two </w:t>
      </w:r>
      <w:proofErr w:type="spellStart"/>
      <w:r w:rsidRPr="000455A5">
        <w:rPr>
          <w:sz w:val="24"/>
          <w:szCs w:val="24"/>
          <w:lang w:val="en-US" w:eastAsia="el-GR"/>
        </w:rPr>
        <w:t>randomised</w:t>
      </w:r>
      <w:proofErr w:type="spellEnd"/>
      <w:r w:rsidRPr="000455A5">
        <w:rPr>
          <w:sz w:val="24"/>
          <w:szCs w:val="24"/>
          <w:lang w:val="en-US" w:eastAsia="el-GR"/>
        </w:rPr>
        <w:t>, controlled prophylaxis studies were conducted among patients at high risk for developing invasive fungal infections.</w:t>
      </w:r>
    </w:p>
    <w:p w14:paraId="7E119F05" w14:textId="77777777" w:rsidR="000A2A8B" w:rsidRPr="000455A5" w:rsidRDefault="000A2A8B" w:rsidP="002B1B75">
      <w:pPr>
        <w:ind w:left="851"/>
        <w:rPr>
          <w:sz w:val="24"/>
          <w:szCs w:val="24"/>
          <w:lang w:val="en-US" w:eastAsia="el-GR"/>
        </w:rPr>
      </w:pPr>
    </w:p>
    <w:p w14:paraId="1233EED1" w14:textId="72C1DAA8" w:rsidR="00E84EB9" w:rsidRPr="000455A5" w:rsidRDefault="00E84EB9" w:rsidP="002B1B75">
      <w:pPr>
        <w:ind w:left="851"/>
        <w:rPr>
          <w:sz w:val="24"/>
          <w:szCs w:val="24"/>
          <w:lang w:val="en-US" w:eastAsia="el-GR"/>
        </w:rPr>
      </w:pPr>
      <w:r w:rsidRPr="000455A5">
        <w:rPr>
          <w:sz w:val="24"/>
          <w:szCs w:val="24"/>
          <w:lang w:val="en-US" w:eastAsia="el-GR"/>
        </w:rPr>
        <w:t xml:space="preserve">Study 316 was a </w:t>
      </w:r>
      <w:proofErr w:type="spellStart"/>
      <w:r w:rsidRPr="000455A5">
        <w:rPr>
          <w:sz w:val="24"/>
          <w:szCs w:val="24"/>
          <w:lang w:val="en-US" w:eastAsia="el-GR"/>
        </w:rPr>
        <w:t>randomised</w:t>
      </w:r>
      <w:proofErr w:type="spellEnd"/>
      <w:r w:rsidRPr="000455A5">
        <w:rPr>
          <w:sz w:val="24"/>
          <w:szCs w:val="24"/>
          <w:lang w:val="en-US" w:eastAsia="el-GR"/>
        </w:rPr>
        <w:t xml:space="preserve">, double-blind </w:t>
      </w:r>
      <w:r w:rsidR="00CE347C">
        <w:rPr>
          <w:sz w:val="24"/>
          <w:szCs w:val="24"/>
          <w:lang w:val="en-US" w:eastAsia="el-GR"/>
        </w:rPr>
        <w:t xml:space="preserve">study </w:t>
      </w:r>
      <w:r w:rsidRPr="000455A5">
        <w:rPr>
          <w:sz w:val="24"/>
          <w:szCs w:val="24"/>
          <w:lang w:val="en-US" w:eastAsia="el-GR"/>
        </w:rPr>
        <w:t xml:space="preserve">of </w:t>
      </w:r>
      <w:proofErr w:type="spellStart"/>
      <w:r w:rsidRPr="000455A5">
        <w:rPr>
          <w:sz w:val="24"/>
          <w:szCs w:val="24"/>
          <w:lang w:val="en-US" w:eastAsia="el-GR"/>
        </w:rPr>
        <w:t>posaconazole</w:t>
      </w:r>
      <w:proofErr w:type="spellEnd"/>
      <w:r w:rsidRPr="000455A5">
        <w:rPr>
          <w:sz w:val="24"/>
          <w:szCs w:val="24"/>
          <w:lang w:val="en-US" w:eastAsia="el-GR"/>
        </w:rPr>
        <w:t xml:space="preserve"> oral suspension (200 mg three times a day) versus fluconazole capsules (400 mg once daily) in allogeneic hematopoietic stem cell transplant recipients with graft-versus-host disease (GVHD). The primary efficacy endpoint was the incidence of proven/probable IFIs at 16 weeks post-</w:t>
      </w:r>
      <w:proofErr w:type="spellStart"/>
      <w:r w:rsidRPr="000455A5">
        <w:rPr>
          <w:sz w:val="24"/>
          <w:szCs w:val="24"/>
          <w:lang w:val="en-US" w:eastAsia="el-GR"/>
        </w:rPr>
        <w:t>randomi</w:t>
      </w:r>
      <w:r w:rsidR="00CE347C">
        <w:rPr>
          <w:sz w:val="24"/>
          <w:szCs w:val="24"/>
          <w:lang w:val="en-US" w:eastAsia="el-GR"/>
        </w:rPr>
        <w:t>s</w:t>
      </w:r>
      <w:r w:rsidRPr="000455A5">
        <w:rPr>
          <w:sz w:val="24"/>
          <w:szCs w:val="24"/>
          <w:lang w:val="en-US" w:eastAsia="el-GR"/>
        </w:rPr>
        <w:t>ation</w:t>
      </w:r>
      <w:proofErr w:type="spellEnd"/>
      <w:r w:rsidRPr="000455A5">
        <w:rPr>
          <w:sz w:val="24"/>
          <w:szCs w:val="24"/>
          <w:lang w:val="en-US" w:eastAsia="el-GR"/>
        </w:rPr>
        <w:t xml:space="preserve"> as determined by an independent, blinded external expert panel. A key secondary endpoint was the incidence of proven/probable IFIs during the on-treatment period (first dose to last dose of study medicinal product + 7 days). The majority (377/600, [63</w:t>
      </w:r>
      <w:r w:rsidR="00435221">
        <w:rPr>
          <w:sz w:val="24"/>
          <w:szCs w:val="24"/>
          <w:lang w:val="en-US" w:eastAsia="el-GR"/>
        </w:rPr>
        <w:t xml:space="preserve"> %</w:t>
      </w:r>
      <w:r w:rsidRPr="000455A5">
        <w:rPr>
          <w:sz w:val="24"/>
          <w:szCs w:val="24"/>
          <w:lang w:val="en-US" w:eastAsia="el-GR"/>
        </w:rPr>
        <w:t>]) of patients included had Acute Grade 2 or 3 or chronic extensive (195/600, [32.5</w:t>
      </w:r>
      <w:r w:rsidR="00197F40">
        <w:rPr>
          <w:sz w:val="24"/>
          <w:szCs w:val="24"/>
          <w:lang w:val="en-US" w:eastAsia="el-GR"/>
        </w:rPr>
        <w:t> </w:t>
      </w:r>
      <w:r w:rsidR="00435221">
        <w:rPr>
          <w:sz w:val="24"/>
          <w:szCs w:val="24"/>
          <w:lang w:val="en-US" w:eastAsia="el-GR"/>
        </w:rPr>
        <w:t>%</w:t>
      </w:r>
      <w:r w:rsidRPr="000455A5">
        <w:rPr>
          <w:sz w:val="24"/>
          <w:szCs w:val="24"/>
          <w:lang w:val="en-US" w:eastAsia="el-GR"/>
        </w:rPr>
        <w:t xml:space="preserve">]) GVHD at study start. The mean duration of therapy was 80 days for </w:t>
      </w:r>
      <w:proofErr w:type="spellStart"/>
      <w:r w:rsidRPr="000455A5">
        <w:rPr>
          <w:sz w:val="24"/>
          <w:szCs w:val="24"/>
          <w:lang w:val="en-US" w:eastAsia="el-GR"/>
        </w:rPr>
        <w:t>posaconazole</w:t>
      </w:r>
      <w:proofErr w:type="spellEnd"/>
      <w:r w:rsidRPr="000455A5">
        <w:rPr>
          <w:sz w:val="24"/>
          <w:szCs w:val="24"/>
          <w:lang w:val="en-US" w:eastAsia="el-GR"/>
        </w:rPr>
        <w:t xml:space="preserve"> and 77 days for fluconazole.</w:t>
      </w:r>
    </w:p>
    <w:p w14:paraId="16B4405D" w14:textId="77777777" w:rsidR="000A2A8B" w:rsidRPr="000455A5" w:rsidRDefault="000A2A8B" w:rsidP="002B1B75">
      <w:pPr>
        <w:ind w:left="851"/>
        <w:rPr>
          <w:sz w:val="24"/>
          <w:szCs w:val="24"/>
          <w:lang w:val="en-US" w:eastAsia="el-GR"/>
        </w:rPr>
      </w:pPr>
    </w:p>
    <w:p w14:paraId="6D5D8BF5" w14:textId="01DF25EE" w:rsidR="00E84EB9" w:rsidRPr="000455A5" w:rsidRDefault="00E84EB9" w:rsidP="002B1B75">
      <w:pPr>
        <w:ind w:left="851"/>
        <w:rPr>
          <w:sz w:val="24"/>
          <w:szCs w:val="24"/>
          <w:lang w:val="en-US" w:eastAsia="el-GR"/>
        </w:rPr>
      </w:pPr>
      <w:r w:rsidRPr="000455A5">
        <w:rPr>
          <w:sz w:val="24"/>
          <w:szCs w:val="24"/>
          <w:lang w:val="en-US" w:eastAsia="el-GR"/>
        </w:rPr>
        <w:t xml:space="preserve">Study 1899 was a </w:t>
      </w:r>
      <w:proofErr w:type="spellStart"/>
      <w:r w:rsidRPr="000455A5">
        <w:rPr>
          <w:sz w:val="24"/>
          <w:szCs w:val="24"/>
          <w:lang w:val="en-US" w:eastAsia="el-GR"/>
        </w:rPr>
        <w:t>randomised</w:t>
      </w:r>
      <w:proofErr w:type="spellEnd"/>
      <w:r w:rsidRPr="000455A5">
        <w:rPr>
          <w:sz w:val="24"/>
          <w:szCs w:val="24"/>
          <w:lang w:val="en-US" w:eastAsia="el-GR"/>
        </w:rPr>
        <w:t xml:space="preserve">, evaluator-blinded study of </w:t>
      </w:r>
      <w:proofErr w:type="spellStart"/>
      <w:r w:rsidRPr="000455A5">
        <w:rPr>
          <w:sz w:val="24"/>
          <w:szCs w:val="24"/>
          <w:lang w:val="en-US" w:eastAsia="el-GR"/>
        </w:rPr>
        <w:t>posaconazole</w:t>
      </w:r>
      <w:proofErr w:type="spellEnd"/>
      <w:r w:rsidRPr="000455A5">
        <w:rPr>
          <w:sz w:val="24"/>
          <w:szCs w:val="24"/>
          <w:lang w:val="en-US" w:eastAsia="el-GR"/>
        </w:rPr>
        <w:t xml:space="preserve"> oral suspension (200 mg three times a day) versus fluconazole suspension (400 mg once daily) or itraconazole oral solution (200 mg twice a day) in neutropenic patients who were receiving cytotoxic chemotherapy for acute myelogenous </w:t>
      </w:r>
      <w:proofErr w:type="spellStart"/>
      <w:r w:rsidRPr="000455A5">
        <w:rPr>
          <w:sz w:val="24"/>
          <w:szCs w:val="24"/>
          <w:lang w:val="en-US" w:eastAsia="el-GR"/>
        </w:rPr>
        <w:t>leukaemia</w:t>
      </w:r>
      <w:proofErr w:type="spellEnd"/>
      <w:r w:rsidRPr="000455A5">
        <w:rPr>
          <w:sz w:val="24"/>
          <w:szCs w:val="24"/>
          <w:lang w:val="en-US" w:eastAsia="el-GR"/>
        </w:rPr>
        <w:t xml:space="preserve"> or myelodysplastic syndromes. The primary efficacy endpoint was the incidence of proven/probable IFIs as determined by an independent, blinded external expert panel during the on-treatment period. A key secondary endpoint was the incidence of proven/probable IFIs at 100 days post-</w:t>
      </w:r>
      <w:proofErr w:type="spellStart"/>
      <w:r w:rsidRPr="000455A5">
        <w:rPr>
          <w:sz w:val="24"/>
          <w:szCs w:val="24"/>
          <w:lang w:val="en-US" w:eastAsia="el-GR"/>
        </w:rPr>
        <w:t>randomi</w:t>
      </w:r>
      <w:r w:rsidR="00CE347C">
        <w:rPr>
          <w:sz w:val="24"/>
          <w:szCs w:val="24"/>
          <w:lang w:val="en-US" w:eastAsia="el-GR"/>
        </w:rPr>
        <w:t>s</w:t>
      </w:r>
      <w:r w:rsidRPr="000455A5">
        <w:rPr>
          <w:sz w:val="24"/>
          <w:szCs w:val="24"/>
          <w:lang w:val="en-US" w:eastAsia="el-GR"/>
        </w:rPr>
        <w:t>ation</w:t>
      </w:r>
      <w:proofErr w:type="spellEnd"/>
      <w:r w:rsidRPr="000455A5">
        <w:rPr>
          <w:sz w:val="24"/>
          <w:szCs w:val="24"/>
          <w:lang w:val="en-US" w:eastAsia="el-GR"/>
        </w:rPr>
        <w:t xml:space="preserve">. New diagnosis of acute myelogenous </w:t>
      </w:r>
      <w:proofErr w:type="spellStart"/>
      <w:r w:rsidRPr="000455A5">
        <w:rPr>
          <w:sz w:val="24"/>
          <w:szCs w:val="24"/>
          <w:lang w:val="en-US" w:eastAsia="el-GR"/>
        </w:rPr>
        <w:t>leukaemia</w:t>
      </w:r>
      <w:proofErr w:type="spellEnd"/>
      <w:r w:rsidRPr="000455A5">
        <w:rPr>
          <w:sz w:val="24"/>
          <w:szCs w:val="24"/>
          <w:lang w:val="en-US" w:eastAsia="el-GR"/>
        </w:rPr>
        <w:t xml:space="preserve"> was the most common underlying condition (435/602, [72</w:t>
      </w:r>
      <w:r w:rsidR="00435221">
        <w:rPr>
          <w:sz w:val="24"/>
          <w:szCs w:val="24"/>
          <w:lang w:val="en-US" w:eastAsia="el-GR"/>
        </w:rPr>
        <w:t xml:space="preserve"> %</w:t>
      </w:r>
      <w:r w:rsidRPr="000455A5">
        <w:rPr>
          <w:sz w:val="24"/>
          <w:szCs w:val="24"/>
          <w:lang w:val="en-US" w:eastAsia="el-GR"/>
        </w:rPr>
        <w:t xml:space="preserve">]). The mean duration of therapy was 29 days for </w:t>
      </w:r>
      <w:proofErr w:type="spellStart"/>
      <w:r w:rsidRPr="000455A5">
        <w:rPr>
          <w:sz w:val="24"/>
          <w:szCs w:val="24"/>
          <w:lang w:val="en-US" w:eastAsia="el-GR"/>
        </w:rPr>
        <w:t>posaconazole</w:t>
      </w:r>
      <w:proofErr w:type="spellEnd"/>
      <w:r w:rsidRPr="000455A5">
        <w:rPr>
          <w:sz w:val="24"/>
          <w:szCs w:val="24"/>
          <w:lang w:val="en-US" w:eastAsia="el-GR"/>
        </w:rPr>
        <w:t xml:space="preserve"> and 25 days for fluconazole/itraconazole.</w:t>
      </w:r>
    </w:p>
    <w:p w14:paraId="0E5D7748" w14:textId="77777777" w:rsidR="000A2A8B" w:rsidRPr="000455A5" w:rsidRDefault="000A2A8B" w:rsidP="002B1B75">
      <w:pPr>
        <w:ind w:left="851"/>
        <w:rPr>
          <w:sz w:val="24"/>
          <w:szCs w:val="24"/>
          <w:lang w:val="en-US" w:eastAsia="el-GR"/>
        </w:rPr>
      </w:pPr>
    </w:p>
    <w:p w14:paraId="38CF3382" w14:textId="1C15E0CA" w:rsidR="00E84EB9" w:rsidRPr="000455A5" w:rsidRDefault="00E84EB9" w:rsidP="002B1B75">
      <w:pPr>
        <w:ind w:left="851"/>
        <w:rPr>
          <w:sz w:val="24"/>
          <w:szCs w:val="24"/>
          <w:lang w:val="en-US" w:eastAsia="el-GR"/>
        </w:rPr>
      </w:pPr>
      <w:r w:rsidRPr="000455A5">
        <w:rPr>
          <w:sz w:val="24"/>
          <w:szCs w:val="24"/>
          <w:lang w:val="en-US" w:eastAsia="el-GR"/>
        </w:rPr>
        <w:t xml:space="preserve">In both prophylaxis studies, aspergillosis was the most common breakthrough infection. See Table 5 and 6 for results from both studies. There were fewer breakthrough </w:t>
      </w:r>
      <w:r w:rsidRPr="000455A5">
        <w:rPr>
          <w:i/>
          <w:sz w:val="24"/>
          <w:szCs w:val="24"/>
          <w:lang w:val="en-US" w:eastAsia="el-GR"/>
        </w:rPr>
        <w:t>Aspergillus</w:t>
      </w:r>
      <w:r w:rsidRPr="000455A5">
        <w:rPr>
          <w:sz w:val="24"/>
          <w:szCs w:val="24"/>
          <w:lang w:val="en-US" w:eastAsia="el-GR"/>
        </w:rPr>
        <w:t xml:space="preserve"> infections in patients receiving </w:t>
      </w:r>
      <w:proofErr w:type="spellStart"/>
      <w:r w:rsidRPr="000455A5">
        <w:rPr>
          <w:sz w:val="24"/>
          <w:szCs w:val="24"/>
          <w:lang w:val="en-US" w:eastAsia="el-GR"/>
        </w:rPr>
        <w:t>posaconazole</w:t>
      </w:r>
      <w:proofErr w:type="spellEnd"/>
      <w:r w:rsidRPr="000455A5">
        <w:rPr>
          <w:sz w:val="24"/>
          <w:szCs w:val="24"/>
          <w:lang w:val="en-US" w:eastAsia="el-GR"/>
        </w:rPr>
        <w:t xml:space="preserve"> prophylaxis when compared to control patients.</w:t>
      </w:r>
    </w:p>
    <w:p w14:paraId="7FF7E5A7" w14:textId="77777777" w:rsidR="00E84EB9" w:rsidRPr="000455A5" w:rsidRDefault="00E84EB9" w:rsidP="00E84EB9">
      <w:pPr>
        <w:suppressAutoHyphens/>
        <w:jc w:val="both"/>
        <w:rPr>
          <w:sz w:val="24"/>
          <w:szCs w:val="24"/>
          <w:lang w:val="en-US" w:eastAsia="el-GR"/>
        </w:rPr>
      </w:pPr>
    </w:p>
    <w:p w14:paraId="6432394B" w14:textId="15DFEE1F" w:rsidR="00E84EB9" w:rsidRPr="000455A5" w:rsidRDefault="00E84EB9" w:rsidP="00E84EB9">
      <w:pPr>
        <w:suppressAutoHyphens/>
        <w:jc w:val="both"/>
        <w:rPr>
          <w:b/>
          <w:sz w:val="24"/>
          <w:szCs w:val="24"/>
          <w:lang w:val="en-US" w:eastAsia="el-GR"/>
        </w:rPr>
      </w:pPr>
      <w:r w:rsidRPr="000455A5">
        <w:rPr>
          <w:b/>
          <w:sz w:val="24"/>
          <w:szCs w:val="24"/>
          <w:lang w:val="en-US" w:eastAsia="el-GR"/>
        </w:rPr>
        <w:t>Table 5</w:t>
      </w:r>
      <w:r w:rsidR="000A2A8B" w:rsidRPr="000455A5">
        <w:rPr>
          <w:b/>
          <w:sz w:val="24"/>
          <w:szCs w:val="24"/>
          <w:lang w:val="en-US" w:eastAsia="el-GR"/>
        </w:rPr>
        <w:t xml:space="preserve">. </w:t>
      </w:r>
      <w:r w:rsidRPr="000455A5">
        <w:rPr>
          <w:b/>
          <w:sz w:val="24"/>
          <w:szCs w:val="24"/>
          <w:lang w:val="en-US" w:eastAsia="el-GR"/>
        </w:rPr>
        <w:t>Results from clinical studies in prophylaxis of Invasive Fungal Infections</w:t>
      </w:r>
    </w:p>
    <w:tbl>
      <w:tblPr>
        <w:tblStyle w:val="Tabel-Gitter"/>
        <w:tblW w:w="5000" w:type="pct"/>
        <w:tblInd w:w="0" w:type="dxa"/>
        <w:tblLook w:val="04A0" w:firstRow="1" w:lastRow="0" w:firstColumn="1" w:lastColumn="0" w:noHBand="0" w:noVBand="1"/>
      </w:tblPr>
      <w:tblGrid>
        <w:gridCol w:w="2407"/>
        <w:gridCol w:w="2407"/>
        <w:gridCol w:w="2407"/>
        <w:gridCol w:w="2407"/>
      </w:tblGrid>
      <w:tr w:rsidR="00E84EB9" w:rsidRPr="000455A5" w14:paraId="36EA1640" w14:textId="77777777" w:rsidTr="000A2A8B">
        <w:tc>
          <w:tcPr>
            <w:tcW w:w="1250" w:type="pct"/>
            <w:tcBorders>
              <w:top w:val="single" w:sz="4" w:space="0" w:color="auto"/>
              <w:left w:val="single" w:sz="4" w:space="0" w:color="auto"/>
              <w:bottom w:val="single" w:sz="4" w:space="0" w:color="auto"/>
              <w:right w:val="single" w:sz="4" w:space="0" w:color="auto"/>
            </w:tcBorders>
            <w:hideMark/>
          </w:tcPr>
          <w:p w14:paraId="75CCD560" w14:textId="77777777" w:rsidR="00E84EB9" w:rsidRPr="000455A5" w:rsidRDefault="00E84EB9">
            <w:pPr>
              <w:suppressAutoHyphens/>
              <w:jc w:val="center"/>
              <w:rPr>
                <w:b/>
                <w:sz w:val="24"/>
                <w:szCs w:val="24"/>
              </w:rPr>
            </w:pPr>
            <w:r w:rsidRPr="000455A5">
              <w:rPr>
                <w:b/>
                <w:sz w:val="24"/>
                <w:szCs w:val="24"/>
              </w:rPr>
              <w:t>Study</w:t>
            </w:r>
          </w:p>
        </w:tc>
        <w:tc>
          <w:tcPr>
            <w:tcW w:w="1250" w:type="pct"/>
            <w:tcBorders>
              <w:top w:val="single" w:sz="4" w:space="0" w:color="auto"/>
              <w:left w:val="single" w:sz="4" w:space="0" w:color="auto"/>
              <w:bottom w:val="single" w:sz="4" w:space="0" w:color="auto"/>
              <w:right w:val="single" w:sz="4" w:space="0" w:color="auto"/>
            </w:tcBorders>
            <w:hideMark/>
          </w:tcPr>
          <w:p w14:paraId="4E22A9A1" w14:textId="77777777" w:rsidR="00E84EB9" w:rsidRPr="000455A5" w:rsidRDefault="00E84EB9">
            <w:pPr>
              <w:suppressAutoHyphens/>
              <w:jc w:val="center"/>
              <w:rPr>
                <w:b/>
                <w:sz w:val="24"/>
                <w:szCs w:val="24"/>
              </w:rPr>
            </w:pPr>
            <w:r w:rsidRPr="000455A5">
              <w:rPr>
                <w:b/>
                <w:sz w:val="24"/>
                <w:szCs w:val="24"/>
              </w:rPr>
              <w:t>Posaconazole oral</w:t>
            </w:r>
          </w:p>
          <w:p w14:paraId="22D252BE" w14:textId="77777777" w:rsidR="00E84EB9" w:rsidRPr="000455A5" w:rsidRDefault="00E84EB9">
            <w:pPr>
              <w:suppressAutoHyphens/>
              <w:jc w:val="center"/>
              <w:rPr>
                <w:b/>
                <w:sz w:val="24"/>
                <w:szCs w:val="24"/>
              </w:rPr>
            </w:pPr>
            <w:r w:rsidRPr="000455A5">
              <w:rPr>
                <w:b/>
                <w:sz w:val="24"/>
                <w:szCs w:val="24"/>
              </w:rPr>
              <w:t>suspension</w:t>
            </w:r>
          </w:p>
        </w:tc>
        <w:tc>
          <w:tcPr>
            <w:tcW w:w="1250" w:type="pct"/>
            <w:tcBorders>
              <w:top w:val="single" w:sz="4" w:space="0" w:color="auto"/>
              <w:left w:val="single" w:sz="4" w:space="0" w:color="auto"/>
              <w:bottom w:val="single" w:sz="4" w:space="0" w:color="auto"/>
              <w:right w:val="single" w:sz="4" w:space="0" w:color="auto"/>
            </w:tcBorders>
            <w:hideMark/>
          </w:tcPr>
          <w:p w14:paraId="79BD00E9" w14:textId="77777777" w:rsidR="00E84EB9" w:rsidRPr="000455A5" w:rsidRDefault="00E84EB9">
            <w:pPr>
              <w:suppressAutoHyphens/>
              <w:jc w:val="center"/>
              <w:rPr>
                <w:b/>
                <w:sz w:val="24"/>
                <w:szCs w:val="24"/>
              </w:rPr>
            </w:pPr>
            <w:r w:rsidRPr="000455A5">
              <w:rPr>
                <w:b/>
                <w:sz w:val="24"/>
                <w:szCs w:val="24"/>
              </w:rPr>
              <w:t>Control</w:t>
            </w:r>
            <w:r w:rsidRPr="000455A5">
              <w:rPr>
                <w:b/>
                <w:sz w:val="24"/>
                <w:szCs w:val="24"/>
                <w:vertAlign w:val="superscript"/>
              </w:rPr>
              <w:t>a</w:t>
            </w:r>
          </w:p>
        </w:tc>
        <w:tc>
          <w:tcPr>
            <w:tcW w:w="1250" w:type="pct"/>
            <w:tcBorders>
              <w:top w:val="single" w:sz="4" w:space="0" w:color="auto"/>
              <w:left w:val="single" w:sz="4" w:space="0" w:color="auto"/>
              <w:bottom w:val="single" w:sz="4" w:space="0" w:color="auto"/>
              <w:right w:val="single" w:sz="4" w:space="0" w:color="auto"/>
            </w:tcBorders>
            <w:hideMark/>
          </w:tcPr>
          <w:p w14:paraId="62D8EC32" w14:textId="77777777" w:rsidR="00E84EB9" w:rsidRPr="000455A5" w:rsidRDefault="00E84EB9">
            <w:pPr>
              <w:suppressAutoHyphens/>
              <w:jc w:val="center"/>
              <w:rPr>
                <w:b/>
                <w:sz w:val="24"/>
                <w:szCs w:val="24"/>
              </w:rPr>
            </w:pPr>
            <w:r w:rsidRPr="000455A5">
              <w:rPr>
                <w:b/>
                <w:sz w:val="24"/>
                <w:szCs w:val="24"/>
              </w:rPr>
              <w:t>P-Value</w:t>
            </w:r>
          </w:p>
        </w:tc>
      </w:tr>
      <w:tr w:rsidR="00E84EB9" w:rsidRPr="00BD3F6B" w14:paraId="22626762" w14:textId="77777777" w:rsidTr="000A2A8B">
        <w:tc>
          <w:tcPr>
            <w:tcW w:w="5000" w:type="pct"/>
            <w:gridSpan w:val="4"/>
            <w:tcBorders>
              <w:top w:val="single" w:sz="4" w:space="0" w:color="auto"/>
              <w:left w:val="single" w:sz="4" w:space="0" w:color="auto"/>
              <w:bottom w:val="single" w:sz="4" w:space="0" w:color="auto"/>
              <w:right w:val="single" w:sz="4" w:space="0" w:color="auto"/>
            </w:tcBorders>
            <w:hideMark/>
          </w:tcPr>
          <w:p w14:paraId="4D647828" w14:textId="079E43E8" w:rsidR="00E84EB9" w:rsidRPr="000455A5" w:rsidRDefault="00E84EB9">
            <w:pPr>
              <w:suppressAutoHyphens/>
              <w:jc w:val="center"/>
              <w:rPr>
                <w:b/>
                <w:sz w:val="24"/>
                <w:szCs w:val="24"/>
              </w:rPr>
            </w:pPr>
            <w:r w:rsidRPr="000455A5">
              <w:rPr>
                <w:b/>
                <w:sz w:val="24"/>
                <w:szCs w:val="24"/>
              </w:rPr>
              <w:t>Proportion (</w:t>
            </w:r>
            <w:r w:rsidR="00435221">
              <w:rPr>
                <w:b/>
                <w:sz w:val="24"/>
                <w:szCs w:val="24"/>
              </w:rPr>
              <w:t>%</w:t>
            </w:r>
            <w:r w:rsidRPr="000455A5">
              <w:rPr>
                <w:b/>
                <w:sz w:val="24"/>
                <w:szCs w:val="24"/>
              </w:rPr>
              <w:t>) of patients with proven/probable IFIs</w:t>
            </w:r>
          </w:p>
        </w:tc>
      </w:tr>
      <w:tr w:rsidR="00E84EB9" w:rsidRPr="000455A5" w14:paraId="02F44797" w14:textId="77777777" w:rsidTr="000A2A8B">
        <w:tc>
          <w:tcPr>
            <w:tcW w:w="5000" w:type="pct"/>
            <w:gridSpan w:val="4"/>
            <w:tcBorders>
              <w:top w:val="single" w:sz="4" w:space="0" w:color="auto"/>
              <w:left w:val="single" w:sz="4" w:space="0" w:color="auto"/>
              <w:bottom w:val="single" w:sz="4" w:space="0" w:color="auto"/>
              <w:right w:val="single" w:sz="4" w:space="0" w:color="auto"/>
            </w:tcBorders>
            <w:hideMark/>
          </w:tcPr>
          <w:p w14:paraId="3424CDB4" w14:textId="77777777" w:rsidR="00E84EB9" w:rsidRPr="000455A5" w:rsidRDefault="00E84EB9">
            <w:pPr>
              <w:suppressAutoHyphens/>
              <w:jc w:val="center"/>
              <w:rPr>
                <w:b/>
                <w:sz w:val="24"/>
                <w:szCs w:val="24"/>
              </w:rPr>
            </w:pPr>
            <w:r w:rsidRPr="000455A5">
              <w:rPr>
                <w:b/>
                <w:sz w:val="24"/>
                <w:szCs w:val="24"/>
              </w:rPr>
              <w:t>On-treatment period</w:t>
            </w:r>
            <w:r w:rsidRPr="000455A5">
              <w:rPr>
                <w:b/>
                <w:sz w:val="24"/>
                <w:szCs w:val="24"/>
                <w:vertAlign w:val="superscript"/>
              </w:rPr>
              <w:t>b</w:t>
            </w:r>
          </w:p>
        </w:tc>
      </w:tr>
      <w:tr w:rsidR="00E84EB9" w:rsidRPr="000455A5" w14:paraId="0248A3DD" w14:textId="77777777" w:rsidTr="000A2A8B">
        <w:tc>
          <w:tcPr>
            <w:tcW w:w="1250" w:type="pct"/>
            <w:tcBorders>
              <w:top w:val="single" w:sz="4" w:space="0" w:color="auto"/>
              <w:left w:val="single" w:sz="4" w:space="0" w:color="auto"/>
              <w:bottom w:val="single" w:sz="4" w:space="0" w:color="auto"/>
              <w:right w:val="single" w:sz="4" w:space="0" w:color="auto"/>
            </w:tcBorders>
            <w:hideMark/>
          </w:tcPr>
          <w:p w14:paraId="706B0D1F" w14:textId="77777777" w:rsidR="00E84EB9" w:rsidRPr="000455A5" w:rsidRDefault="00E84EB9">
            <w:pPr>
              <w:suppressAutoHyphens/>
              <w:rPr>
                <w:sz w:val="24"/>
                <w:szCs w:val="24"/>
              </w:rPr>
            </w:pPr>
            <w:r w:rsidRPr="000455A5">
              <w:rPr>
                <w:sz w:val="24"/>
                <w:szCs w:val="24"/>
              </w:rPr>
              <w:t>1899</w:t>
            </w:r>
            <w:r w:rsidRPr="000455A5">
              <w:rPr>
                <w:sz w:val="24"/>
                <w:szCs w:val="24"/>
                <w:vertAlign w:val="superscript"/>
              </w:rPr>
              <w:t>d</w:t>
            </w:r>
          </w:p>
        </w:tc>
        <w:tc>
          <w:tcPr>
            <w:tcW w:w="1250" w:type="pct"/>
            <w:tcBorders>
              <w:top w:val="single" w:sz="4" w:space="0" w:color="auto"/>
              <w:left w:val="single" w:sz="4" w:space="0" w:color="auto"/>
              <w:bottom w:val="single" w:sz="4" w:space="0" w:color="auto"/>
              <w:right w:val="single" w:sz="4" w:space="0" w:color="auto"/>
            </w:tcBorders>
            <w:hideMark/>
          </w:tcPr>
          <w:p w14:paraId="55E350FA" w14:textId="77777777" w:rsidR="00E84EB9" w:rsidRPr="000455A5" w:rsidRDefault="00E84EB9">
            <w:pPr>
              <w:suppressAutoHyphens/>
              <w:jc w:val="center"/>
              <w:rPr>
                <w:sz w:val="24"/>
                <w:szCs w:val="24"/>
              </w:rPr>
            </w:pPr>
            <w:r w:rsidRPr="000455A5">
              <w:rPr>
                <w:sz w:val="24"/>
                <w:szCs w:val="24"/>
              </w:rPr>
              <w:t>7/304 (2)</w:t>
            </w:r>
          </w:p>
        </w:tc>
        <w:tc>
          <w:tcPr>
            <w:tcW w:w="1250" w:type="pct"/>
            <w:tcBorders>
              <w:top w:val="single" w:sz="4" w:space="0" w:color="auto"/>
              <w:left w:val="single" w:sz="4" w:space="0" w:color="auto"/>
              <w:bottom w:val="single" w:sz="4" w:space="0" w:color="auto"/>
              <w:right w:val="single" w:sz="4" w:space="0" w:color="auto"/>
            </w:tcBorders>
            <w:hideMark/>
          </w:tcPr>
          <w:p w14:paraId="0CA67B30" w14:textId="77777777" w:rsidR="00E84EB9" w:rsidRPr="000455A5" w:rsidRDefault="00E84EB9">
            <w:pPr>
              <w:suppressAutoHyphens/>
              <w:jc w:val="center"/>
              <w:rPr>
                <w:sz w:val="24"/>
                <w:szCs w:val="24"/>
              </w:rPr>
            </w:pPr>
            <w:r w:rsidRPr="000455A5">
              <w:rPr>
                <w:sz w:val="24"/>
                <w:szCs w:val="24"/>
              </w:rPr>
              <w:t>25/298 (8)</w:t>
            </w:r>
          </w:p>
        </w:tc>
        <w:tc>
          <w:tcPr>
            <w:tcW w:w="1250" w:type="pct"/>
            <w:tcBorders>
              <w:top w:val="single" w:sz="4" w:space="0" w:color="auto"/>
              <w:left w:val="single" w:sz="4" w:space="0" w:color="auto"/>
              <w:bottom w:val="single" w:sz="4" w:space="0" w:color="auto"/>
              <w:right w:val="single" w:sz="4" w:space="0" w:color="auto"/>
            </w:tcBorders>
            <w:hideMark/>
          </w:tcPr>
          <w:p w14:paraId="69D09748" w14:textId="77777777" w:rsidR="00E84EB9" w:rsidRPr="000455A5" w:rsidRDefault="00E84EB9">
            <w:pPr>
              <w:suppressAutoHyphens/>
              <w:jc w:val="center"/>
              <w:rPr>
                <w:sz w:val="24"/>
                <w:szCs w:val="24"/>
              </w:rPr>
            </w:pPr>
            <w:r w:rsidRPr="000455A5">
              <w:rPr>
                <w:sz w:val="24"/>
                <w:szCs w:val="24"/>
              </w:rPr>
              <w:t>0.0009</w:t>
            </w:r>
          </w:p>
        </w:tc>
      </w:tr>
      <w:tr w:rsidR="00E84EB9" w:rsidRPr="000455A5" w14:paraId="2B085DA2" w14:textId="77777777" w:rsidTr="000A2A8B">
        <w:tc>
          <w:tcPr>
            <w:tcW w:w="1250" w:type="pct"/>
            <w:tcBorders>
              <w:top w:val="single" w:sz="4" w:space="0" w:color="auto"/>
              <w:left w:val="single" w:sz="4" w:space="0" w:color="auto"/>
              <w:bottom w:val="single" w:sz="4" w:space="0" w:color="auto"/>
              <w:right w:val="single" w:sz="4" w:space="0" w:color="auto"/>
            </w:tcBorders>
            <w:hideMark/>
          </w:tcPr>
          <w:p w14:paraId="37C30EAE" w14:textId="77777777" w:rsidR="00E84EB9" w:rsidRPr="000455A5" w:rsidRDefault="00E84EB9">
            <w:pPr>
              <w:suppressAutoHyphens/>
              <w:jc w:val="both"/>
              <w:rPr>
                <w:sz w:val="24"/>
                <w:szCs w:val="24"/>
              </w:rPr>
            </w:pPr>
            <w:r w:rsidRPr="000455A5">
              <w:rPr>
                <w:sz w:val="24"/>
                <w:szCs w:val="24"/>
              </w:rPr>
              <w:t>316</w:t>
            </w:r>
            <w:r w:rsidRPr="000455A5">
              <w:rPr>
                <w:sz w:val="24"/>
                <w:szCs w:val="24"/>
                <w:vertAlign w:val="superscript"/>
              </w:rPr>
              <w:t>e</w:t>
            </w:r>
          </w:p>
        </w:tc>
        <w:tc>
          <w:tcPr>
            <w:tcW w:w="1250" w:type="pct"/>
            <w:tcBorders>
              <w:top w:val="single" w:sz="4" w:space="0" w:color="auto"/>
              <w:left w:val="single" w:sz="4" w:space="0" w:color="auto"/>
              <w:bottom w:val="single" w:sz="4" w:space="0" w:color="auto"/>
              <w:right w:val="single" w:sz="4" w:space="0" w:color="auto"/>
            </w:tcBorders>
            <w:hideMark/>
          </w:tcPr>
          <w:p w14:paraId="5117084C" w14:textId="77777777" w:rsidR="00E84EB9" w:rsidRPr="000455A5" w:rsidRDefault="00E84EB9">
            <w:pPr>
              <w:suppressAutoHyphens/>
              <w:jc w:val="center"/>
              <w:rPr>
                <w:sz w:val="24"/>
                <w:szCs w:val="24"/>
              </w:rPr>
            </w:pPr>
            <w:r w:rsidRPr="000455A5">
              <w:rPr>
                <w:sz w:val="24"/>
                <w:szCs w:val="24"/>
              </w:rPr>
              <w:t>7/291 (2)</w:t>
            </w:r>
          </w:p>
        </w:tc>
        <w:tc>
          <w:tcPr>
            <w:tcW w:w="1250" w:type="pct"/>
            <w:tcBorders>
              <w:top w:val="single" w:sz="4" w:space="0" w:color="auto"/>
              <w:left w:val="single" w:sz="4" w:space="0" w:color="auto"/>
              <w:bottom w:val="single" w:sz="4" w:space="0" w:color="auto"/>
              <w:right w:val="single" w:sz="4" w:space="0" w:color="auto"/>
            </w:tcBorders>
            <w:hideMark/>
          </w:tcPr>
          <w:p w14:paraId="7BA62957" w14:textId="77777777" w:rsidR="00E84EB9" w:rsidRPr="000455A5" w:rsidRDefault="00E84EB9">
            <w:pPr>
              <w:suppressAutoHyphens/>
              <w:jc w:val="center"/>
              <w:rPr>
                <w:sz w:val="24"/>
                <w:szCs w:val="24"/>
              </w:rPr>
            </w:pPr>
            <w:r w:rsidRPr="000455A5">
              <w:rPr>
                <w:sz w:val="24"/>
                <w:szCs w:val="24"/>
              </w:rPr>
              <w:t>22/288 (8)</w:t>
            </w:r>
          </w:p>
        </w:tc>
        <w:tc>
          <w:tcPr>
            <w:tcW w:w="1250" w:type="pct"/>
            <w:tcBorders>
              <w:top w:val="single" w:sz="4" w:space="0" w:color="auto"/>
              <w:left w:val="single" w:sz="4" w:space="0" w:color="auto"/>
              <w:bottom w:val="single" w:sz="4" w:space="0" w:color="auto"/>
              <w:right w:val="single" w:sz="4" w:space="0" w:color="auto"/>
            </w:tcBorders>
            <w:hideMark/>
          </w:tcPr>
          <w:p w14:paraId="308CF7BA" w14:textId="77777777" w:rsidR="00E84EB9" w:rsidRPr="000455A5" w:rsidRDefault="00E84EB9">
            <w:pPr>
              <w:suppressAutoHyphens/>
              <w:jc w:val="center"/>
              <w:rPr>
                <w:sz w:val="24"/>
                <w:szCs w:val="24"/>
              </w:rPr>
            </w:pPr>
            <w:r w:rsidRPr="000455A5">
              <w:rPr>
                <w:sz w:val="24"/>
                <w:szCs w:val="24"/>
              </w:rPr>
              <w:t>0.0038</w:t>
            </w:r>
          </w:p>
        </w:tc>
      </w:tr>
      <w:tr w:rsidR="00E84EB9" w:rsidRPr="000455A5" w14:paraId="5122B98E" w14:textId="77777777" w:rsidTr="000A2A8B">
        <w:tc>
          <w:tcPr>
            <w:tcW w:w="5000" w:type="pct"/>
            <w:gridSpan w:val="4"/>
            <w:tcBorders>
              <w:top w:val="single" w:sz="4" w:space="0" w:color="auto"/>
              <w:left w:val="single" w:sz="4" w:space="0" w:color="auto"/>
              <w:bottom w:val="single" w:sz="4" w:space="0" w:color="auto"/>
              <w:right w:val="single" w:sz="4" w:space="0" w:color="auto"/>
            </w:tcBorders>
            <w:hideMark/>
          </w:tcPr>
          <w:p w14:paraId="7AFCD921" w14:textId="77777777" w:rsidR="00E84EB9" w:rsidRPr="000455A5" w:rsidRDefault="00E84EB9">
            <w:pPr>
              <w:suppressAutoHyphens/>
              <w:jc w:val="center"/>
              <w:rPr>
                <w:b/>
                <w:sz w:val="24"/>
                <w:szCs w:val="24"/>
              </w:rPr>
            </w:pPr>
            <w:r w:rsidRPr="000455A5">
              <w:rPr>
                <w:b/>
                <w:sz w:val="24"/>
                <w:szCs w:val="24"/>
              </w:rPr>
              <w:t>Fixed-time period</w:t>
            </w:r>
            <w:r w:rsidRPr="000455A5">
              <w:rPr>
                <w:b/>
                <w:sz w:val="24"/>
                <w:szCs w:val="24"/>
                <w:vertAlign w:val="superscript"/>
              </w:rPr>
              <w:t>c</w:t>
            </w:r>
          </w:p>
        </w:tc>
      </w:tr>
      <w:tr w:rsidR="00E84EB9" w:rsidRPr="000455A5" w14:paraId="67119FC3" w14:textId="77777777" w:rsidTr="000A2A8B">
        <w:tc>
          <w:tcPr>
            <w:tcW w:w="1250" w:type="pct"/>
            <w:tcBorders>
              <w:top w:val="single" w:sz="4" w:space="0" w:color="auto"/>
              <w:left w:val="single" w:sz="4" w:space="0" w:color="auto"/>
              <w:bottom w:val="single" w:sz="4" w:space="0" w:color="auto"/>
              <w:right w:val="single" w:sz="4" w:space="0" w:color="auto"/>
            </w:tcBorders>
            <w:hideMark/>
          </w:tcPr>
          <w:p w14:paraId="3C354C16" w14:textId="77777777" w:rsidR="00E84EB9" w:rsidRPr="000455A5" w:rsidRDefault="00E84EB9">
            <w:pPr>
              <w:suppressAutoHyphens/>
              <w:jc w:val="both"/>
              <w:rPr>
                <w:sz w:val="24"/>
                <w:szCs w:val="24"/>
              </w:rPr>
            </w:pPr>
            <w:r w:rsidRPr="000455A5">
              <w:rPr>
                <w:sz w:val="24"/>
                <w:szCs w:val="24"/>
              </w:rPr>
              <w:t>1899</w:t>
            </w:r>
            <w:r w:rsidRPr="000455A5">
              <w:rPr>
                <w:sz w:val="24"/>
                <w:szCs w:val="24"/>
                <w:vertAlign w:val="superscript"/>
              </w:rPr>
              <w:t>d</w:t>
            </w:r>
          </w:p>
        </w:tc>
        <w:tc>
          <w:tcPr>
            <w:tcW w:w="1250" w:type="pct"/>
            <w:tcBorders>
              <w:top w:val="single" w:sz="4" w:space="0" w:color="auto"/>
              <w:left w:val="single" w:sz="4" w:space="0" w:color="auto"/>
              <w:bottom w:val="single" w:sz="4" w:space="0" w:color="auto"/>
              <w:right w:val="single" w:sz="4" w:space="0" w:color="auto"/>
            </w:tcBorders>
            <w:hideMark/>
          </w:tcPr>
          <w:p w14:paraId="63B4B71D" w14:textId="77777777" w:rsidR="00E84EB9" w:rsidRPr="000455A5" w:rsidRDefault="00E84EB9">
            <w:pPr>
              <w:suppressAutoHyphens/>
              <w:jc w:val="center"/>
              <w:rPr>
                <w:sz w:val="24"/>
                <w:szCs w:val="24"/>
              </w:rPr>
            </w:pPr>
            <w:r w:rsidRPr="000455A5">
              <w:rPr>
                <w:sz w:val="24"/>
                <w:szCs w:val="24"/>
              </w:rPr>
              <w:t>14/304 (5)</w:t>
            </w:r>
          </w:p>
        </w:tc>
        <w:tc>
          <w:tcPr>
            <w:tcW w:w="1250" w:type="pct"/>
            <w:tcBorders>
              <w:top w:val="single" w:sz="4" w:space="0" w:color="auto"/>
              <w:left w:val="single" w:sz="4" w:space="0" w:color="auto"/>
              <w:bottom w:val="single" w:sz="4" w:space="0" w:color="auto"/>
              <w:right w:val="single" w:sz="4" w:space="0" w:color="auto"/>
            </w:tcBorders>
            <w:hideMark/>
          </w:tcPr>
          <w:p w14:paraId="26E1CC8C" w14:textId="77777777" w:rsidR="00E84EB9" w:rsidRPr="000455A5" w:rsidRDefault="00E84EB9">
            <w:pPr>
              <w:suppressAutoHyphens/>
              <w:jc w:val="center"/>
              <w:rPr>
                <w:sz w:val="24"/>
                <w:szCs w:val="24"/>
              </w:rPr>
            </w:pPr>
            <w:r w:rsidRPr="000455A5">
              <w:rPr>
                <w:sz w:val="24"/>
                <w:szCs w:val="24"/>
              </w:rPr>
              <w:t>33/298 (11)</w:t>
            </w:r>
          </w:p>
        </w:tc>
        <w:tc>
          <w:tcPr>
            <w:tcW w:w="1250" w:type="pct"/>
            <w:tcBorders>
              <w:top w:val="single" w:sz="4" w:space="0" w:color="auto"/>
              <w:left w:val="single" w:sz="4" w:space="0" w:color="auto"/>
              <w:bottom w:val="single" w:sz="4" w:space="0" w:color="auto"/>
              <w:right w:val="single" w:sz="4" w:space="0" w:color="auto"/>
            </w:tcBorders>
            <w:hideMark/>
          </w:tcPr>
          <w:p w14:paraId="3F70D7BF" w14:textId="77777777" w:rsidR="00E84EB9" w:rsidRPr="000455A5" w:rsidRDefault="00E84EB9">
            <w:pPr>
              <w:suppressAutoHyphens/>
              <w:jc w:val="center"/>
              <w:rPr>
                <w:sz w:val="24"/>
                <w:szCs w:val="24"/>
              </w:rPr>
            </w:pPr>
            <w:r w:rsidRPr="000455A5">
              <w:rPr>
                <w:sz w:val="24"/>
                <w:szCs w:val="24"/>
              </w:rPr>
              <w:t>0.0031</w:t>
            </w:r>
          </w:p>
        </w:tc>
      </w:tr>
      <w:tr w:rsidR="00E84EB9" w:rsidRPr="000455A5" w14:paraId="386D065E" w14:textId="77777777" w:rsidTr="000A2A8B">
        <w:tc>
          <w:tcPr>
            <w:tcW w:w="1250" w:type="pct"/>
            <w:tcBorders>
              <w:top w:val="single" w:sz="4" w:space="0" w:color="auto"/>
              <w:left w:val="single" w:sz="4" w:space="0" w:color="auto"/>
              <w:bottom w:val="single" w:sz="4" w:space="0" w:color="auto"/>
              <w:right w:val="single" w:sz="4" w:space="0" w:color="auto"/>
            </w:tcBorders>
            <w:hideMark/>
          </w:tcPr>
          <w:p w14:paraId="2A2AF2D4" w14:textId="698BDDDF" w:rsidR="00E84EB9" w:rsidRPr="000455A5" w:rsidRDefault="00E84EB9">
            <w:pPr>
              <w:suppressAutoHyphens/>
              <w:jc w:val="both"/>
              <w:rPr>
                <w:sz w:val="24"/>
                <w:szCs w:val="24"/>
              </w:rPr>
            </w:pPr>
            <w:r w:rsidRPr="000455A5">
              <w:rPr>
                <w:sz w:val="24"/>
                <w:szCs w:val="24"/>
              </w:rPr>
              <w:t>316</w:t>
            </w:r>
            <w:r w:rsidRPr="000455A5">
              <w:rPr>
                <w:sz w:val="24"/>
                <w:szCs w:val="24"/>
                <w:vertAlign w:val="superscript"/>
              </w:rPr>
              <w:t>d</w:t>
            </w:r>
          </w:p>
        </w:tc>
        <w:tc>
          <w:tcPr>
            <w:tcW w:w="1250" w:type="pct"/>
            <w:tcBorders>
              <w:top w:val="single" w:sz="4" w:space="0" w:color="auto"/>
              <w:left w:val="single" w:sz="4" w:space="0" w:color="auto"/>
              <w:bottom w:val="single" w:sz="4" w:space="0" w:color="auto"/>
              <w:right w:val="single" w:sz="4" w:space="0" w:color="auto"/>
            </w:tcBorders>
            <w:hideMark/>
          </w:tcPr>
          <w:p w14:paraId="4CB27393" w14:textId="77777777" w:rsidR="00E84EB9" w:rsidRPr="000455A5" w:rsidRDefault="00E84EB9">
            <w:pPr>
              <w:suppressAutoHyphens/>
              <w:jc w:val="center"/>
              <w:rPr>
                <w:sz w:val="24"/>
                <w:szCs w:val="24"/>
              </w:rPr>
            </w:pPr>
            <w:r w:rsidRPr="000455A5">
              <w:rPr>
                <w:sz w:val="24"/>
                <w:szCs w:val="24"/>
              </w:rPr>
              <w:t>16/301 (5)</w:t>
            </w:r>
          </w:p>
        </w:tc>
        <w:tc>
          <w:tcPr>
            <w:tcW w:w="1250" w:type="pct"/>
            <w:tcBorders>
              <w:top w:val="single" w:sz="4" w:space="0" w:color="auto"/>
              <w:left w:val="single" w:sz="4" w:space="0" w:color="auto"/>
              <w:bottom w:val="single" w:sz="4" w:space="0" w:color="auto"/>
              <w:right w:val="single" w:sz="4" w:space="0" w:color="auto"/>
            </w:tcBorders>
            <w:hideMark/>
          </w:tcPr>
          <w:p w14:paraId="7508AFF5" w14:textId="77777777" w:rsidR="00E84EB9" w:rsidRPr="000455A5" w:rsidRDefault="00E84EB9">
            <w:pPr>
              <w:suppressAutoHyphens/>
              <w:jc w:val="center"/>
              <w:rPr>
                <w:sz w:val="24"/>
                <w:szCs w:val="24"/>
              </w:rPr>
            </w:pPr>
            <w:r w:rsidRPr="000455A5">
              <w:rPr>
                <w:sz w:val="24"/>
                <w:szCs w:val="24"/>
              </w:rPr>
              <w:t>27/299 (9)</w:t>
            </w:r>
          </w:p>
        </w:tc>
        <w:tc>
          <w:tcPr>
            <w:tcW w:w="1250" w:type="pct"/>
            <w:tcBorders>
              <w:top w:val="single" w:sz="4" w:space="0" w:color="auto"/>
              <w:left w:val="single" w:sz="4" w:space="0" w:color="auto"/>
              <w:bottom w:val="single" w:sz="4" w:space="0" w:color="auto"/>
              <w:right w:val="single" w:sz="4" w:space="0" w:color="auto"/>
            </w:tcBorders>
            <w:hideMark/>
          </w:tcPr>
          <w:p w14:paraId="695336DF" w14:textId="77777777" w:rsidR="00E84EB9" w:rsidRPr="000455A5" w:rsidRDefault="00E84EB9">
            <w:pPr>
              <w:suppressAutoHyphens/>
              <w:jc w:val="center"/>
              <w:rPr>
                <w:sz w:val="24"/>
                <w:szCs w:val="24"/>
              </w:rPr>
            </w:pPr>
            <w:r w:rsidRPr="000455A5">
              <w:rPr>
                <w:sz w:val="24"/>
                <w:szCs w:val="24"/>
              </w:rPr>
              <w:t>0.0740</w:t>
            </w:r>
          </w:p>
        </w:tc>
      </w:tr>
    </w:tbl>
    <w:p w14:paraId="499A1991" w14:textId="77777777" w:rsidR="00E84EB9" w:rsidRPr="004C6445" w:rsidRDefault="00E84EB9" w:rsidP="002B1B75">
      <w:pPr>
        <w:rPr>
          <w:sz w:val="20"/>
          <w:lang w:val="en-GB" w:eastAsia="el-GR"/>
        </w:rPr>
      </w:pPr>
      <w:r w:rsidRPr="004C6445">
        <w:rPr>
          <w:sz w:val="20"/>
          <w:lang w:val="en-US" w:eastAsia="el-GR"/>
        </w:rPr>
        <w:t xml:space="preserve">FLU = fluconazole; ITZ = itraconazole; POS = </w:t>
      </w:r>
      <w:proofErr w:type="spellStart"/>
      <w:r w:rsidRPr="004C6445">
        <w:rPr>
          <w:sz w:val="20"/>
          <w:lang w:val="en-US" w:eastAsia="el-GR"/>
        </w:rPr>
        <w:t>posaconazole</w:t>
      </w:r>
      <w:proofErr w:type="spellEnd"/>
      <w:r w:rsidRPr="004C6445">
        <w:rPr>
          <w:sz w:val="20"/>
          <w:lang w:val="en-US" w:eastAsia="el-GR"/>
        </w:rPr>
        <w:t>.</w:t>
      </w:r>
    </w:p>
    <w:p w14:paraId="1A67FCDE" w14:textId="77777777" w:rsidR="00CE347C" w:rsidRPr="00734384" w:rsidRDefault="00CE347C" w:rsidP="00734384">
      <w:pPr>
        <w:suppressAutoHyphens/>
        <w:ind w:left="284" w:hanging="284"/>
        <w:jc w:val="both"/>
        <w:rPr>
          <w:sz w:val="20"/>
          <w:lang w:val="en-US" w:eastAsia="el-GR"/>
        </w:rPr>
      </w:pPr>
      <w:r w:rsidRPr="00734384">
        <w:rPr>
          <w:sz w:val="20"/>
          <w:lang w:val="en-US" w:eastAsia="el-GR"/>
        </w:rPr>
        <w:t>a:</w:t>
      </w:r>
      <w:r w:rsidRPr="00734384">
        <w:rPr>
          <w:sz w:val="20"/>
          <w:lang w:val="en-US" w:eastAsia="el-GR"/>
        </w:rPr>
        <w:tab/>
        <w:t>FLU/ITZ (1899); FLU (316).</w:t>
      </w:r>
    </w:p>
    <w:p w14:paraId="225C8BFE" w14:textId="77777777" w:rsidR="00CE347C" w:rsidRPr="00734384" w:rsidRDefault="00CE347C" w:rsidP="00734384">
      <w:pPr>
        <w:suppressAutoHyphens/>
        <w:ind w:left="284" w:hanging="284"/>
        <w:jc w:val="both"/>
        <w:rPr>
          <w:sz w:val="20"/>
          <w:lang w:val="en-US" w:eastAsia="el-GR"/>
        </w:rPr>
      </w:pPr>
      <w:r w:rsidRPr="00734384">
        <w:rPr>
          <w:sz w:val="20"/>
          <w:lang w:val="en-US" w:eastAsia="el-GR"/>
        </w:rPr>
        <w:t>b:</w:t>
      </w:r>
      <w:r w:rsidRPr="00734384">
        <w:rPr>
          <w:sz w:val="20"/>
          <w:lang w:val="en-US" w:eastAsia="el-GR"/>
        </w:rPr>
        <w:tab/>
        <w:t xml:space="preserve">In 1899 this was the period from </w:t>
      </w:r>
      <w:proofErr w:type="spellStart"/>
      <w:r w:rsidRPr="00734384">
        <w:rPr>
          <w:sz w:val="20"/>
          <w:lang w:val="en-US" w:eastAsia="el-GR"/>
        </w:rPr>
        <w:t>randomisation</w:t>
      </w:r>
      <w:proofErr w:type="spellEnd"/>
      <w:r w:rsidRPr="00734384">
        <w:rPr>
          <w:sz w:val="20"/>
          <w:lang w:val="en-US" w:eastAsia="el-GR"/>
        </w:rPr>
        <w:t xml:space="preserve"> to last dose of study medicinal product plus 7 days; in 316 it was the period from first dose to last dose of study medicinal product plus 7 days.</w:t>
      </w:r>
    </w:p>
    <w:p w14:paraId="537363B7" w14:textId="77777777" w:rsidR="00CE347C" w:rsidRPr="00734384" w:rsidRDefault="00CE347C" w:rsidP="00734384">
      <w:pPr>
        <w:pStyle w:val="Brdtekstindrykning"/>
        <w:spacing w:after="0"/>
        <w:ind w:left="284" w:hanging="284"/>
        <w:rPr>
          <w:sz w:val="20"/>
          <w:lang w:val="en-US" w:eastAsia="el-GR"/>
        </w:rPr>
      </w:pPr>
      <w:r w:rsidRPr="00734384">
        <w:rPr>
          <w:sz w:val="20"/>
          <w:lang w:val="en-US"/>
        </w:rPr>
        <w:t>c:</w:t>
      </w:r>
      <w:r w:rsidRPr="00734384">
        <w:rPr>
          <w:sz w:val="20"/>
          <w:lang w:val="en-US"/>
        </w:rPr>
        <w:tab/>
        <w:t xml:space="preserve">In 1899, this was the period from </w:t>
      </w:r>
      <w:proofErr w:type="spellStart"/>
      <w:r w:rsidRPr="00734384">
        <w:rPr>
          <w:sz w:val="20"/>
          <w:lang w:val="en-US"/>
        </w:rPr>
        <w:t>randomisation</w:t>
      </w:r>
      <w:proofErr w:type="spellEnd"/>
      <w:r w:rsidRPr="00734384">
        <w:rPr>
          <w:sz w:val="20"/>
          <w:lang w:val="en-US"/>
        </w:rPr>
        <w:t xml:space="preserve"> to 100 days post-</w:t>
      </w:r>
      <w:proofErr w:type="spellStart"/>
      <w:r w:rsidRPr="00734384">
        <w:rPr>
          <w:sz w:val="20"/>
          <w:lang w:val="en-US"/>
        </w:rPr>
        <w:t>randomisation</w:t>
      </w:r>
      <w:proofErr w:type="spellEnd"/>
      <w:r w:rsidRPr="00734384">
        <w:rPr>
          <w:sz w:val="20"/>
          <w:lang w:val="en-US"/>
        </w:rPr>
        <w:t>; in 316 it was the period from the baseline day to 111 days post-baseline.</w:t>
      </w:r>
    </w:p>
    <w:p w14:paraId="0CC55886" w14:textId="77777777" w:rsidR="00CE347C" w:rsidRPr="00734384" w:rsidRDefault="00CE347C" w:rsidP="00734384">
      <w:pPr>
        <w:suppressAutoHyphens/>
        <w:ind w:left="284" w:hanging="284"/>
        <w:jc w:val="both"/>
        <w:rPr>
          <w:sz w:val="20"/>
          <w:lang w:val="en-US" w:eastAsia="el-GR"/>
        </w:rPr>
      </w:pPr>
      <w:r w:rsidRPr="00734384">
        <w:rPr>
          <w:sz w:val="20"/>
          <w:lang w:val="en-US" w:eastAsia="el-GR"/>
        </w:rPr>
        <w:t>d:</w:t>
      </w:r>
      <w:r w:rsidRPr="00734384">
        <w:rPr>
          <w:sz w:val="20"/>
          <w:lang w:val="en-US" w:eastAsia="el-GR"/>
        </w:rPr>
        <w:tab/>
        <w:t xml:space="preserve">All </w:t>
      </w:r>
      <w:proofErr w:type="spellStart"/>
      <w:r w:rsidRPr="00734384">
        <w:rPr>
          <w:sz w:val="20"/>
          <w:lang w:val="en-US" w:eastAsia="el-GR"/>
        </w:rPr>
        <w:t>randomised</w:t>
      </w:r>
      <w:proofErr w:type="spellEnd"/>
    </w:p>
    <w:p w14:paraId="09E1B585" w14:textId="77777777" w:rsidR="00CE347C" w:rsidRPr="00734384" w:rsidRDefault="00CE347C" w:rsidP="00734384">
      <w:pPr>
        <w:suppressAutoHyphens/>
        <w:ind w:left="284" w:hanging="284"/>
        <w:jc w:val="both"/>
        <w:rPr>
          <w:sz w:val="20"/>
          <w:lang w:val="en-US" w:eastAsia="el-GR"/>
        </w:rPr>
      </w:pPr>
      <w:r w:rsidRPr="00734384">
        <w:rPr>
          <w:sz w:val="20"/>
          <w:lang w:val="en-US" w:eastAsia="el-GR"/>
        </w:rPr>
        <w:t>e:</w:t>
      </w:r>
      <w:r w:rsidRPr="00734384">
        <w:rPr>
          <w:sz w:val="20"/>
          <w:lang w:val="en-US" w:eastAsia="el-GR"/>
        </w:rPr>
        <w:tab/>
        <w:t>All treated</w:t>
      </w:r>
    </w:p>
    <w:p w14:paraId="66E63CD6" w14:textId="77777777" w:rsidR="00E84EB9" w:rsidRPr="000455A5" w:rsidRDefault="00E84EB9" w:rsidP="00E84EB9">
      <w:pPr>
        <w:suppressAutoHyphens/>
        <w:jc w:val="both"/>
        <w:rPr>
          <w:sz w:val="24"/>
          <w:szCs w:val="24"/>
          <w:lang w:val="en-US" w:eastAsia="el-GR"/>
        </w:rPr>
      </w:pPr>
    </w:p>
    <w:p w14:paraId="29B8DBB3" w14:textId="6589B8B3" w:rsidR="00E84EB9" w:rsidRPr="000455A5" w:rsidRDefault="00E84EB9" w:rsidP="00E84EB9">
      <w:pPr>
        <w:suppressAutoHyphens/>
        <w:jc w:val="both"/>
        <w:rPr>
          <w:b/>
          <w:sz w:val="24"/>
          <w:szCs w:val="24"/>
          <w:lang w:val="en-US" w:eastAsia="el-GR"/>
        </w:rPr>
      </w:pPr>
      <w:r w:rsidRPr="000455A5">
        <w:rPr>
          <w:b/>
          <w:sz w:val="24"/>
          <w:szCs w:val="24"/>
          <w:lang w:val="en-US" w:eastAsia="el-GR"/>
        </w:rPr>
        <w:t>Table 6</w:t>
      </w:r>
      <w:r w:rsidR="000A2A8B" w:rsidRPr="000455A5">
        <w:rPr>
          <w:b/>
          <w:sz w:val="24"/>
          <w:szCs w:val="24"/>
          <w:lang w:val="en-US" w:eastAsia="el-GR"/>
        </w:rPr>
        <w:t xml:space="preserve">. </w:t>
      </w:r>
      <w:r w:rsidRPr="000455A5">
        <w:rPr>
          <w:b/>
          <w:sz w:val="24"/>
          <w:szCs w:val="24"/>
          <w:lang w:val="en-US" w:eastAsia="el-GR"/>
        </w:rPr>
        <w:t>Results from clinical studies in prophylaxis of Invasive Fungal Infections</w:t>
      </w:r>
    </w:p>
    <w:tbl>
      <w:tblPr>
        <w:tblStyle w:val="Tabel-Gitter"/>
        <w:tblW w:w="5000" w:type="pct"/>
        <w:tblInd w:w="0" w:type="dxa"/>
        <w:tblLook w:val="04A0" w:firstRow="1" w:lastRow="0" w:firstColumn="1" w:lastColumn="0" w:noHBand="0" w:noVBand="1"/>
      </w:tblPr>
      <w:tblGrid>
        <w:gridCol w:w="3208"/>
        <w:gridCol w:w="3210"/>
        <w:gridCol w:w="3210"/>
      </w:tblGrid>
      <w:tr w:rsidR="00E84EB9" w:rsidRPr="000455A5" w14:paraId="11050EAC" w14:textId="77777777" w:rsidTr="000A2A8B">
        <w:tc>
          <w:tcPr>
            <w:tcW w:w="1666" w:type="pct"/>
            <w:tcBorders>
              <w:top w:val="single" w:sz="4" w:space="0" w:color="auto"/>
              <w:left w:val="single" w:sz="4" w:space="0" w:color="auto"/>
              <w:bottom w:val="single" w:sz="4" w:space="0" w:color="auto"/>
              <w:right w:val="single" w:sz="4" w:space="0" w:color="auto"/>
            </w:tcBorders>
            <w:hideMark/>
          </w:tcPr>
          <w:p w14:paraId="33D12277" w14:textId="77777777" w:rsidR="00E84EB9" w:rsidRPr="000455A5" w:rsidRDefault="00E84EB9">
            <w:pPr>
              <w:suppressAutoHyphens/>
              <w:jc w:val="center"/>
              <w:rPr>
                <w:b/>
                <w:sz w:val="24"/>
                <w:szCs w:val="24"/>
              </w:rPr>
            </w:pPr>
            <w:r w:rsidRPr="000455A5">
              <w:rPr>
                <w:b/>
                <w:sz w:val="24"/>
                <w:szCs w:val="24"/>
              </w:rPr>
              <w:t>Study</w:t>
            </w:r>
          </w:p>
        </w:tc>
        <w:tc>
          <w:tcPr>
            <w:tcW w:w="1667" w:type="pct"/>
            <w:tcBorders>
              <w:top w:val="single" w:sz="4" w:space="0" w:color="auto"/>
              <w:left w:val="single" w:sz="4" w:space="0" w:color="auto"/>
              <w:bottom w:val="single" w:sz="4" w:space="0" w:color="auto"/>
              <w:right w:val="single" w:sz="4" w:space="0" w:color="auto"/>
            </w:tcBorders>
            <w:hideMark/>
          </w:tcPr>
          <w:p w14:paraId="79241129" w14:textId="77777777" w:rsidR="00E84EB9" w:rsidRPr="000455A5" w:rsidRDefault="00E84EB9">
            <w:pPr>
              <w:suppressAutoHyphens/>
              <w:jc w:val="center"/>
              <w:rPr>
                <w:b/>
                <w:sz w:val="24"/>
                <w:szCs w:val="24"/>
              </w:rPr>
            </w:pPr>
            <w:r w:rsidRPr="000455A5">
              <w:rPr>
                <w:b/>
                <w:sz w:val="24"/>
                <w:szCs w:val="24"/>
              </w:rPr>
              <w:t>Posaconazole oral</w:t>
            </w:r>
          </w:p>
          <w:p w14:paraId="77B33B3E" w14:textId="77777777" w:rsidR="00E84EB9" w:rsidRPr="000455A5" w:rsidRDefault="00E84EB9">
            <w:pPr>
              <w:suppressAutoHyphens/>
              <w:jc w:val="center"/>
              <w:rPr>
                <w:b/>
                <w:sz w:val="24"/>
                <w:szCs w:val="24"/>
              </w:rPr>
            </w:pPr>
            <w:r w:rsidRPr="000455A5">
              <w:rPr>
                <w:b/>
                <w:sz w:val="24"/>
                <w:szCs w:val="24"/>
              </w:rPr>
              <w:t>suspension</w:t>
            </w:r>
          </w:p>
        </w:tc>
        <w:tc>
          <w:tcPr>
            <w:tcW w:w="1667" w:type="pct"/>
            <w:tcBorders>
              <w:top w:val="single" w:sz="4" w:space="0" w:color="auto"/>
              <w:left w:val="single" w:sz="4" w:space="0" w:color="auto"/>
              <w:bottom w:val="single" w:sz="4" w:space="0" w:color="auto"/>
              <w:right w:val="single" w:sz="4" w:space="0" w:color="auto"/>
            </w:tcBorders>
            <w:hideMark/>
          </w:tcPr>
          <w:p w14:paraId="31F4A259" w14:textId="77777777" w:rsidR="00E84EB9" w:rsidRPr="000455A5" w:rsidRDefault="00E84EB9">
            <w:pPr>
              <w:suppressAutoHyphens/>
              <w:jc w:val="center"/>
              <w:rPr>
                <w:b/>
                <w:sz w:val="24"/>
                <w:szCs w:val="24"/>
              </w:rPr>
            </w:pPr>
            <w:r w:rsidRPr="000455A5">
              <w:rPr>
                <w:b/>
                <w:sz w:val="24"/>
                <w:szCs w:val="24"/>
              </w:rPr>
              <w:t>Control</w:t>
            </w:r>
            <w:r w:rsidRPr="000455A5">
              <w:rPr>
                <w:b/>
                <w:sz w:val="24"/>
                <w:szCs w:val="24"/>
                <w:vertAlign w:val="superscript"/>
              </w:rPr>
              <w:t>a</w:t>
            </w:r>
          </w:p>
        </w:tc>
      </w:tr>
      <w:tr w:rsidR="00E84EB9" w:rsidRPr="00BD3F6B" w14:paraId="36A0D6DD" w14:textId="77777777" w:rsidTr="000A2A8B">
        <w:tc>
          <w:tcPr>
            <w:tcW w:w="5000" w:type="pct"/>
            <w:gridSpan w:val="3"/>
            <w:tcBorders>
              <w:top w:val="single" w:sz="4" w:space="0" w:color="auto"/>
              <w:left w:val="single" w:sz="4" w:space="0" w:color="auto"/>
              <w:bottom w:val="single" w:sz="4" w:space="0" w:color="auto"/>
              <w:right w:val="single" w:sz="4" w:space="0" w:color="auto"/>
            </w:tcBorders>
            <w:hideMark/>
          </w:tcPr>
          <w:p w14:paraId="0A1083E6" w14:textId="57844029" w:rsidR="00E84EB9" w:rsidRPr="000455A5" w:rsidRDefault="00E84EB9">
            <w:pPr>
              <w:suppressAutoHyphens/>
              <w:jc w:val="center"/>
              <w:rPr>
                <w:b/>
                <w:sz w:val="24"/>
                <w:szCs w:val="24"/>
              </w:rPr>
            </w:pPr>
            <w:r w:rsidRPr="000455A5">
              <w:rPr>
                <w:b/>
                <w:sz w:val="24"/>
                <w:szCs w:val="24"/>
              </w:rPr>
              <w:t>Proportion (</w:t>
            </w:r>
            <w:r w:rsidR="00435221">
              <w:rPr>
                <w:b/>
                <w:sz w:val="24"/>
                <w:szCs w:val="24"/>
              </w:rPr>
              <w:t>%</w:t>
            </w:r>
            <w:r w:rsidRPr="000455A5">
              <w:rPr>
                <w:b/>
                <w:sz w:val="24"/>
                <w:szCs w:val="24"/>
              </w:rPr>
              <w:t>) of patients with proven/probable Aspergillosis</w:t>
            </w:r>
          </w:p>
        </w:tc>
      </w:tr>
      <w:tr w:rsidR="00E84EB9" w:rsidRPr="000455A5" w14:paraId="15BBCAC3" w14:textId="77777777" w:rsidTr="000A2A8B">
        <w:tc>
          <w:tcPr>
            <w:tcW w:w="5000" w:type="pct"/>
            <w:gridSpan w:val="3"/>
            <w:tcBorders>
              <w:top w:val="single" w:sz="4" w:space="0" w:color="auto"/>
              <w:left w:val="single" w:sz="4" w:space="0" w:color="auto"/>
              <w:bottom w:val="single" w:sz="4" w:space="0" w:color="auto"/>
              <w:right w:val="single" w:sz="4" w:space="0" w:color="auto"/>
            </w:tcBorders>
            <w:hideMark/>
          </w:tcPr>
          <w:p w14:paraId="535F9AA0" w14:textId="77777777" w:rsidR="00E84EB9" w:rsidRPr="000455A5" w:rsidRDefault="00E84EB9">
            <w:pPr>
              <w:suppressAutoHyphens/>
              <w:jc w:val="center"/>
              <w:rPr>
                <w:b/>
                <w:sz w:val="24"/>
                <w:szCs w:val="24"/>
              </w:rPr>
            </w:pPr>
            <w:r w:rsidRPr="000455A5">
              <w:rPr>
                <w:b/>
                <w:sz w:val="24"/>
                <w:szCs w:val="24"/>
              </w:rPr>
              <w:t>On-treatment period</w:t>
            </w:r>
            <w:r w:rsidRPr="000455A5">
              <w:rPr>
                <w:b/>
                <w:sz w:val="24"/>
                <w:szCs w:val="24"/>
                <w:vertAlign w:val="superscript"/>
              </w:rPr>
              <w:t>b</w:t>
            </w:r>
          </w:p>
        </w:tc>
      </w:tr>
      <w:tr w:rsidR="00E84EB9" w:rsidRPr="000455A5" w14:paraId="75DD25F7" w14:textId="77777777" w:rsidTr="000A2A8B">
        <w:tc>
          <w:tcPr>
            <w:tcW w:w="1666" w:type="pct"/>
            <w:tcBorders>
              <w:top w:val="single" w:sz="4" w:space="0" w:color="auto"/>
              <w:left w:val="single" w:sz="4" w:space="0" w:color="auto"/>
              <w:bottom w:val="single" w:sz="4" w:space="0" w:color="auto"/>
              <w:right w:val="single" w:sz="4" w:space="0" w:color="auto"/>
            </w:tcBorders>
            <w:hideMark/>
          </w:tcPr>
          <w:p w14:paraId="605E5E20" w14:textId="77777777" w:rsidR="00E84EB9" w:rsidRPr="000455A5" w:rsidRDefault="00E84EB9">
            <w:pPr>
              <w:suppressAutoHyphens/>
              <w:jc w:val="both"/>
              <w:rPr>
                <w:sz w:val="24"/>
                <w:szCs w:val="24"/>
              </w:rPr>
            </w:pPr>
            <w:r w:rsidRPr="000455A5">
              <w:rPr>
                <w:sz w:val="24"/>
                <w:szCs w:val="24"/>
              </w:rPr>
              <w:t>1899</w:t>
            </w:r>
            <w:r w:rsidRPr="000455A5">
              <w:rPr>
                <w:sz w:val="24"/>
                <w:szCs w:val="24"/>
                <w:vertAlign w:val="superscript"/>
              </w:rPr>
              <w:t>d</w:t>
            </w:r>
          </w:p>
        </w:tc>
        <w:tc>
          <w:tcPr>
            <w:tcW w:w="1667" w:type="pct"/>
            <w:tcBorders>
              <w:top w:val="single" w:sz="4" w:space="0" w:color="auto"/>
              <w:left w:val="single" w:sz="4" w:space="0" w:color="auto"/>
              <w:bottom w:val="single" w:sz="4" w:space="0" w:color="auto"/>
              <w:right w:val="single" w:sz="4" w:space="0" w:color="auto"/>
            </w:tcBorders>
            <w:hideMark/>
          </w:tcPr>
          <w:p w14:paraId="1F4DCFD0" w14:textId="77777777" w:rsidR="00E84EB9" w:rsidRPr="000455A5" w:rsidRDefault="00E84EB9">
            <w:pPr>
              <w:suppressAutoHyphens/>
              <w:jc w:val="center"/>
              <w:rPr>
                <w:sz w:val="24"/>
                <w:szCs w:val="24"/>
              </w:rPr>
            </w:pPr>
            <w:r w:rsidRPr="000455A5">
              <w:rPr>
                <w:sz w:val="24"/>
                <w:szCs w:val="24"/>
              </w:rPr>
              <w:t>2/304 (1)</w:t>
            </w:r>
          </w:p>
        </w:tc>
        <w:tc>
          <w:tcPr>
            <w:tcW w:w="1667" w:type="pct"/>
            <w:tcBorders>
              <w:top w:val="single" w:sz="4" w:space="0" w:color="auto"/>
              <w:left w:val="single" w:sz="4" w:space="0" w:color="auto"/>
              <w:bottom w:val="single" w:sz="4" w:space="0" w:color="auto"/>
              <w:right w:val="single" w:sz="4" w:space="0" w:color="auto"/>
            </w:tcBorders>
            <w:hideMark/>
          </w:tcPr>
          <w:p w14:paraId="072A1E68" w14:textId="77777777" w:rsidR="00E84EB9" w:rsidRPr="000455A5" w:rsidRDefault="00E84EB9">
            <w:pPr>
              <w:suppressAutoHyphens/>
              <w:jc w:val="center"/>
              <w:rPr>
                <w:sz w:val="24"/>
                <w:szCs w:val="24"/>
              </w:rPr>
            </w:pPr>
            <w:r w:rsidRPr="000455A5">
              <w:rPr>
                <w:sz w:val="24"/>
                <w:szCs w:val="24"/>
              </w:rPr>
              <w:t>20/298 (7)</w:t>
            </w:r>
          </w:p>
        </w:tc>
      </w:tr>
      <w:tr w:rsidR="00E84EB9" w:rsidRPr="000455A5" w14:paraId="37CFF39B" w14:textId="77777777" w:rsidTr="000A2A8B">
        <w:tc>
          <w:tcPr>
            <w:tcW w:w="1666" w:type="pct"/>
            <w:tcBorders>
              <w:top w:val="single" w:sz="4" w:space="0" w:color="auto"/>
              <w:left w:val="single" w:sz="4" w:space="0" w:color="auto"/>
              <w:bottom w:val="single" w:sz="4" w:space="0" w:color="auto"/>
              <w:right w:val="single" w:sz="4" w:space="0" w:color="auto"/>
            </w:tcBorders>
            <w:hideMark/>
          </w:tcPr>
          <w:p w14:paraId="400658AF" w14:textId="77777777" w:rsidR="00E84EB9" w:rsidRPr="000455A5" w:rsidRDefault="00E84EB9">
            <w:pPr>
              <w:suppressAutoHyphens/>
              <w:jc w:val="both"/>
              <w:rPr>
                <w:sz w:val="24"/>
                <w:szCs w:val="24"/>
              </w:rPr>
            </w:pPr>
            <w:r w:rsidRPr="000455A5">
              <w:rPr>
                <w:sz w:val="24"/>
                <w:szCs w:val="24"/>
              </w:rPr>
              <w:t>316</w:t>
            </w:r>
            <w:r w:rsidRPr="000455A5">
              <w:rPr>
                <w:sz w:val="24"/>
                <w:szCs w:val="24"/>
                <w:vertAlign w:val="superscript"/>
              </w:rPr>
              <w:t>e</w:t>
            </w:r>
          </w:p>
        </w:tc>
        <w:tc>
          <w:tcPr>
            <w:tcW w:w="1667" w:type="pct"/>
            <w:tcBorders>
              <w:top w:val="single" w:sz="4" w:space="0" w:color="auto"/>
              <w:left w:val="single" w:sz="4" w:space="0" w:color="auto"/>
              <w:bottom w:val="single" w:sz="4" w:space="0" w:color="auto"/>
              <w:right w:val="single" w:sz="4" w:space="0" w:color="auto"/>
            </w:tcBorders>
            <w:hideMark/>
          </w:tcPr>
          <w:p w14:paraId="4E851767" w14:textId="77777777" w:rsidR="00E84EB9" w:rsidRPr="000455A5" w:rsidRDefault="00E84EB9">
            <w:pPr>
              <w:suppressAutoHyphens/>
              <w:jc w:val="center"/>
              <w:rPr>
                <w:sz w:val="24"/>
                <w:szCs w:val="24"/>
              </w:rPr>
            </w:pPr>
            <w:r w:rsidRPr="000455A5">
              <w:rPr>
                <w:sz w:val="24"/>
                <w:szCs w:val="24"/>
              </w:rPr>
              <w:t>3/291 (1)</w:t>
            </w:r>
          </w:p>
        </w:tc>
        <w:tc>
          <w:tcPr>
            <w:tcW w:w="1667" w:type="pct"/>
            <w:tcBorders>
              <w:top w:val="single" w:sz="4" w:space="0" w:color="auto"/>
              <w:left w:val="single" w:sz="4" w:space="0" w:color="auto"/>
              <w:bottom w:val="single" w:sz="4" w:space="0" w:color="auto"/>
              <w:right w:val="single" w:sz="4" w:space="0" w:color="auto"/>
            </w:tcBorders>
            <w:hideMark/>
          </w:tcPr>
          <w:p w14:paraId="62DF9E7C" w14:textId="77777777" w:rsidR="00E84EB9" w:rsidRPr="000455A5" w:rsidRDefault="00E84EB9">
            <w:pPr>
              <w:suppressAutoHyphens/>
              <w:jc w:val="center"/>
              <w:rPr>
                <w:sz w:val="24"/>
                <w:szCs w:val="24"/>
              </w:rPr>
            </w:pPr>
            <w:r w:rsidRPr="000455A5">
              <w:rPr>
                <w:sz w:val="24"/>
                <w:szCs w:val="24"/>
              </w:rPr>
              <w:t>17/288 (6)</w:t>
            </w:r>
          </w:p>
        </w:tc>
      </w:tr>
      <w:tr w:rsidR="00E84EB9" w:rsidRPr="000455A5" w14:paraId="7950E146" w14:textId="77777777" w:rsidTr="000A2A8B">
        <w:tc>
          <w:tcPr>
            <w:tcW w:w="5000" w:type="pct"/>
            <w:gridSpan w:val="3"/>
            <w:tcBorders>
              <w:top w:val="single" w:sz="4" w:space="0" w:color="auto"/>
              <w:left w:val="single" w:sz="4" w:space="0" w:color="auto"/>
              <w:bottom w:val="single" w:sz="4" w:space="0" w:color="auto"/>
              <w:right w:val="single" w:sz="4" w:space="0" w:color="auto"/>
            </w:tcBorders>
            <w:hideMark/>
          </w:tcPr>
          <w:p w14:paraId="3FC1651D" w14:textId="77777777" w:rsidR="00E84EB9" w:rsidRPr="000455A5" w:rsidRDefault="00E84EB9">
            <w:pPr>
              <w:suppressAutoHyphens/>
              <w:jc w:val="center"/>
              <w:rPr>
                <w:b/>
                <w:sz w:val="24"/>
                <w:szCs w:val="24"/>
              </w:rPr>
            </w:pPr>
            <w:r w:rsidRPr="000455A5">
              <w:rPr>
                <w:b/>
                <w:sz w:val="24"/>
                <w:szCs w:val="24"/>
              </w:rPr>
              <w:t>Fixed-time period</w:t>
            </w:r>
            <w:r w:rsidRPr="000455A5">
              <w:rPr>
                <w:b/>
                <w:sz w:val="24"/>
                <w:szCs w:val="24"/>
                <w:vertAlign w:val="superscript"/>
              </w:rPr>
              <w:t>c</w:t>
            </w:r>
          </w:p>
        </w:tc>
      </w:tr>
      <w:tr w:rsidR="00E84EB9" w:rsidRPr="000455A5" w14:paraId="75CED585" w14:textId="77777777" w:rsidTr="000A2A8B">
        <w:tc>
          <w:tcPr>
            <w:tcW w:w="1666" w:type="pct"/>
            <w:tcBorders>
              <w:top w:val="single" w:sz="4" w:space="0" w:color="auto"/>
              <w:left w:val="single" w:sz="4" w:space="0" w:color="auto"/>
              <w:bottom w:val="single" w:sz="4" w:space="0" w:color="auto"/>
              <w:right w:val="single" w:sz="4" w:space="0" w:color="auto"/>
            </w:tcBorders>
            <w:hideMark/>
          </w:tcPr>
          <w:p w14:paraId="2EDF2F2B" w14:textId="77777777" w:rsidR="00E84EB9" w:rsidRPr="000455A5" w:rsidRDefault="00E84EB9">
            <w:pPr>
              <w:suppressAutoHyphens/>
              <w:jc w:val="both"/>
              <w:rPr>
                <w:sz w:val="24"/>
                <w:szCs w:val="24"/>
              </w:rPr>
            </w:pPr>
            <w:r w:rsidRPr="000455A5">
              <w:rPr>
                <w:sz w:val="24"/>
                <w:szCs w:val="24"/>
              </w:rPr>
              <w:t>1899</w:t>
            </w:r>
            <w:r w:rsidRPr="000455A5">
              <w:rPr>
                <w:sz w:val="24"/>
                <w:szCs w:val="24"/>
                <w:vertAlign w:val="superscript"/>
              </w:rPr>
              <w:t>d</w:t>
            </w:r>
          </w:p>
        </w:tc>
        <w:tc>
          <w:tcPr>
            <w:tcW w:w="1667" w:type="pct"/>
            <w:tcBorders>
              <w:top w:val="single" w:sz="4" w:space="0" w:color="auto"/>
              <w:left w:val="single" w:sz="4" w:space="0" w:color="auto"/>
              <w:bottom w:val="single" w:sz="4" w:space="0" w:color="auto"/>
              <w:right w:val="single" w:sz="4" w:space="0" w:color="auto"/>
            </w:tcBorders>
            <w:hideMark/>
          </w:tcPr>
          <w:p w14:paraId="43215E76" w14:textId="77777777" w:rsidR="00E84EB9" w:rsidRPr="000455A5" w:rsidRDefault="00E84EB9">
            <w:pPr>
              <w:suppressAutoHyphens/>
              <w:jc w:val="center"/>
              <w:rPr>
                <w:sz w:val="24"/>
                <w:szCs w:val="24"/>
              </w:rPr>
            </w:pPr>
            <w:r w:rsidRPr="000455A5">
              <w:rPr>
                <w:sz w:val="24"/>
                <w:szCs w:val="24"/>
              </w:rPr>
              <w:t>4/304 (1)</w:t>
            </w:r>
          </w:p>
        </w:tc>
        <w:tc>
          <w:tcPr>
            <w:tcW w:w="1667" w:type="pct"/>
            <w:tcBorders>
              <w:top w:val="single" w:sz="4" w:space="0" w:color="auto"/>
              <w:left w:val="single" w:sz="4" w:space="0" w:color="auto"/>
              <w:bottom w:val="single" w:sz="4" w:space="0" w:color="auto"/>
              <w:right w:val="single" w:sz="4" w:space="0" w:color="auto"/>
            </w:tcBorders>
            <w:hideMark/>
          </w:tcPr>
          <w:p w14:paraId="7231A689" w14:textId="77777777" w:rsidR="00E84EB9" w:rsidRPr="000455A5" w:rsidRDefault="00E84EB9">
            <w:pPr>
              <w:suppressAutoHyphens/>
              <w:jc w:val="center"/>
              <w:rPr>
                <w:sz w:val="24"/>
                <w:szCs w:val="24"/>
              </w:rPr>
            </w:pPr>
            <w:r w:rsidRPr="000455A5">
              <w:rPr>
                <w:sz w:val="24"/>
                <w:szCs w:val="24"/>
              </w:rPr>
              <w:t>26/298 (9)</w:t>
            </w:r>
          </w:p>
        </w:tc>
      </w:tr>
      <w:tr w:rsidR="00E84EB9" w:rsidRPr="000455A5" w14:paraId="63B5DBDC" w14:textId="77777777" w:rsidTr="000A2A8B">
        <w:tc>
          <w:tcPr>
            <w:tcW w:w="1666" w:type="pct"/>
            <w:tcBorders>
              <w:top w:val="single" w:sz="4" w:space="0" w:color="auto"/>
              <w:left w:val="single" w:sz="4" w:space="0" w:color="auto"/>
              <w:bottom w:val="single" w:sz="4" w:space="0" w:color="auto"/>
              <w:right w:val="single" w:sz="4" w:space="0" w:color="auto"/>
            </w:tcBorders>
            <w:hideMark/>
          </w:tcPr>
          <w:p w14:paraId="1AE243FB" w14:textId="77777777" w:rsidR="00E84EB9" w:rsidRPr="000455A5" w:rsidRDefault="00E84EB9">
            <w:pPr>
              <w:suppressAutoHyphens/>
              <w:jc w:val="both"/>
              <w:rPr>
                <w:sz w:val="24"/>
                <w:szCs w:val="24"/>
              </w:rPr>
            </w:pPr>
            <w:r w:rsidRPr="000455A5">
              <w:rPr>
                <w:sz w:val="24"/>
                <w:szCs w:val="24"/>
              </w:rPr>
              <w:t>316</w:t>
            </w:r>
            <w:r w:rsidRPr="000455A5">
              <w:rPr>
                <w:sz w:val="24"/>
                <w:szCs w:val="24"/>
                <w:vertAlign w:val="superscript"/>
              </w:rPr>
              <w:t>d</w:t>
            </w:r>
          </w:p>
        </w:tc>
        <w:tc>
          <w:tcPr>
            <w:tcW w:w="1667" w:type="pct"/>
            <w:tcBorders>
              <w:top w:val="single" w:sz="4" w:space="0" w:color="auto"/>
              <w:left w:val="single" w:sz="4" w:space="0" w:color="auto"/>
              <w:bottom w:val="single" w:sz="4" w:space="0" w:color="auto"/>
              <w:right w:val="single" w:sz="4" w:space="0" w:color="auto"/>
            </w:tcBorders>
            <w:hideMark/>
          </w:tcPr>
          <w:p w14:paraId="7556C6FA" w14:textId="77777777" w:rsidR="00E84EB9" w:rsidRPr="000455A5" w:rsidRDefault="00E84EB9">
            <w:pPr>
              <w:suppressAutoHyphens/>
              <w:jc w:val="center"/>
              <w:rPr>
                <w:sz w:val="24"/>
                <w:szCs w:val="24"/>
              </w:rPr>
            </w:pPr>
            <w:r w:rsidRPr="000455A5">
              <w:rPr>
                <w:sz w:val="24"/>
                <w:szCs w:val="24"/>
              </w:rPr>
              <w:t>7/301 (2)</w:t>
            </w:r>
          </w:p>
        </w:tc>
        <w:tc>
          <w:tcPr>
            <w:tcW w:w="1667" w:type="pct"/>
            <w:tcBorders>
              <w:top w:val="single" w:sz="4" w:space="0" w:color="auto"/>
              <w:left w:val="single" w:sz="4" w:space="0" w:color="auto"/>
              <w:bottom w:val="single" w:sz="4" w:space="0" w:color="auto"/>
              <w:right w:val="single" w:sz="4" w:space="0" w:color="auto"/>
            </w:tcBorders>
            <w:hideMark/>
          </w:tcPr>
          <w:p w14:paraId="1D1C5A03" w14:textId="77777777" w:rsidR="00E84EB9" w:rsidRPr="000455A5" w:rsidRDefault="00E84EB9">
            <w:pPr>
              <w:suppressAutoHyphens/>
              <w:jc w:val="center"/>
              <w:rPr>
                <w:sz w:val="24"/>
                <w:szCs w:val="24"/>
              </w:rPr>
            </w:pPr>
            <w:r w:rsidRPr="000455A5">
              <w:rPr>
                <w:sz w:val="24"/>
                <w:szCs w:val="24"/>
              </w:rPr>
              <w:t>21/299 (7)</w:t>
            </w:r>
          </w:p>
        </w:tc>
      </w:tr>
    </w:tbl>
    <w:p w14:paraId="52C07EA8" w14:textId="77777777" w:rsidR="00E84EB9" w:rsidRPr="004C6445" w:rsidRDefault="00E84EB9" w:rsidP="00CA7716">
      <w:pPr>
        <w:rPr>
          <w:sz w:val="20"/>
          <w:lang w:val="en-GB" w:eastAsia="el-GR"/>
        </w:rPr>
      </w:pPr>
      <w:r w:rsidRPr="004C6445">
        <w:rPr>
          <w:sz w:val="20"/>
          <w:lang w:val="en-US" w:eastAsia="el-GR"/>
        </w:rPr>
        <w:t xml:space="preserve">FLU = fluconazole; ITZ = itraconazole; POS = </w:t>
      </w:r>
      <w:proofErr w:type="spellStart"/>
      <w:r w:rsidRPr="004C6445">
        <w:rPr>
          <w:sz w:val="20"/>
          <w:lang w:val="en-US" w:eastAsia="el-GR"/>
        </w:rPr>
        <w:t>posaconazole</w:t>
      </w:r>
      <w:proofErr w:type="spellEnd"/>
      <w:r w:rsidRPr="004C6445">
        <w:rPr>
          <w:sz w:val="20"/>
          <w:lang w:val="en-US" w:eastAsia="el-GR"/>
        </w:rPr>
        <w:t>.</w:t>
      </w:r>
    </w:p>
    <w:p w14:paraId="01728828" w14:textId="77777777" w:rsidR="00CE347C" w:rsidRPr="00CE347C" w:rsidRDefault="00CE347C" w:rsidP="00734384">
      <w:pPr>
        <w:suppressAutoHyphens/>
        <w:ind w:left="284" w:hanging="284"/>
        <w:rPr>
          <w:sz w:val="20"/>
          <w:lang w:val="en-US" w:eastAsia="el-GR"/>
        </w:rPr>
      </w:pPr>
      <w:r w:rsidRPr="00CE347C">
        <w:rPr>
          <w:sz w:val="20"/>
          <w:lang w:val="en-US" w:eastAsia="el-GR"/>
        </w:rPr>
        <w:t>a:</w:t>
      </w:r>
      <w:r w:rsidRPr="00CE347C">
        <w:rPr>
          <w:sz w:val="20"/>
          <w:lang w:val="en-US" w:eastAsia="el-GR"/>
        </w:rPr>
        <w:tab/>
        <w:t>FLU/ITZ (1899); FLU (316).</w:t>
      </w:r>
    </w:p>
    <w:p w14:paraId="21DE1690" w14:textId="77777777" w:rsidR="00CE347C" w:rsidRPr="00CE347C" w:rsidRDefault="00CE347C" w:rsidP="00734384">
      <w:pPr>
        <w:suppressAutoHyphens/>
        <w:ind w:left="284" w:hanging="284"/>
        <w:rPr>
          <w:sz w:val="20"/>
          <w:lang w:val="en-US" w:eastAsia="el-GR"/>
        </w:rPr>
      </w:pPr>
      <w:r w:rsidRPr="00CE347C">
        <w:rPr>
          <w:sz w:val="20"/>
          <w:lang w:val="en-US" w:eastAsia="el-GR"/>
        </w:rPr>
        <w:t>b:</w:t>
      </w:r>
      <w:r w:rsidRPr="00CE347C">
        <w:rPr>
          <w:sz w:val="20"/>
          <w:lang w:val="en-US" w:eastAsia="el-GR"/>
        </w:rPr>
        <w:tab/>
        <w:t xml:space="preserve">In 1899 this was the period from </w:t>
      </w:r>
      <w:proofErr w:type="spellStart"/>
      <w:r w:rsidRPr="00CE347C">
        <w:rPr>
          <w:sz w:val="20"/>
          <w:lang w:val="en-US" w:eastAsia="el-GR"/>
        </w:rPr>
        <w:t>randomisation</w:t>
      </w:r>
      <w:proofErr w:type="spellEnd"/>
      <w:r w:rsidRPr="00CE347C">
        <w:rPr>
          <w:sz w:val="20"/>
          <w:lang w:val="en-US" w:eastAsia="el-GR"/>
        </w:rPr>
        <w:t xml:space="preserve"> to last dose of study medicinal product plus 7 days; in 316 it was the period from first dose to last dose of study medicinal product plus 7 days.</w:t>
      </w:r>
    </w:p>
    <w:p w14:paraId="60145659" w14:textId="77777777" w:rsidR="00CE347C" w:rsidRPr="00CE347C" w:rsidRDefault="00CE347C" w:rsidP="00734384">
      <w:pPr>
        <w:suppressAutoHyphens/>
        <w:ind w:left="284" w:hanging="284"/>
        <w:rPr>
          <w:sz w:val="20"/>
          <w:lang w:val="en-US" w:eastAsia="el-GR"/>
        </w:rPr>
      </w:pPr>
      <w:r w:rsidRPr="00CE347C">
        <w:rPr>
          <w:sz w:val="20"/>
          <w:lang w:val="en-US" w:eastAsia="el-GR"/>
        </w:rPr>
        <w:t>c:</w:t>
      </w:r>
      <w:r w:rsidRPr="00CE347C">
        <w:rPr>
          <w:sz w:val="20"/>
          <w:lang w:val="en-US" w:eastAsia="el-GR"/>
        </w:rPr>
        <w:tab/>
        <w:t xml:space="preserve">In 1899, this was the period from </w:t>
      </w:r>
      <w:proofErr w:type="spellStart"/>
      <w:r w:rsidRPr="00CE347C">
        <w:rPr>
          <w:sz w:val="20"/>
          <w:lang w:val="en-US" w:eastAsia="el-GR"/>
        </w:rPr>
        <w:t>randomisation</w:t>
      </w:r>
      <w:proofErr w:type="spellEnd"/>
      <w:r w:rsidRPr="00CE347C">
        <w:rPr>
          <w:sz w:val="20"/>
          <w:lang w:val="en-US" w:eastAsia="el-GR"/>
        </w:rPr>
        <w:t xml:space="preserve"> to 100 days post-</w:t>
      </w:r>
      <w:proofErr w:type="spellStart"/>
      <w:r w:rsidRPr="00CE347C">
        <w:rPr>
          <w:sz w:val="20"/>
          <w:lang w:val="en-US" w:eastAsia="el-GR"/>
        </w:rPr>
        <w:t>randomisation</w:t>
      </w:r>
      <w:proofErr w:type="spellEnd"/>
      <w:r w:rsidRPr="00CE347C">
        <w:rPr>
          <w:sz w:val="20"/>
          <w:lang w:val="en-US" w:eastAsia="el-GR"/>
        </w:rPr>
        <w:t>; in 316 it was the period from the baseline day to 111 days post-baseline.</w:t>
      </w:r>
    </w:p>
    <w:p w14:paraId="074176FB" w14:textId="77777777" w:rsidR="00CE347C" w:rsidRPr="00CE347C" w:rsidRDefault="00CE347C" w:rsidP="00734384">
      <w:pPr>
        <w:suppressAutoHyphens/>
        <w:ind w:left="284" w:hanging="284"/>
        <w:rPr>
          <w:sz w:val="20"/>
          <w:lang w:val="en-US" w:eastAsia="el-GR"/>
        </w:rPr>
      </w:pPr>
      <w:r w:rsidRPr="00CE347C">
        <w:rPr>
          <w:sz w:val="20"/>
          <w:lang w:val="en-US" w:eastAsia="el-GR"/>
        </w:rPr>
        <w:t>d:</w:t>
      </w:r>
      <w:r w:rsidRPr="00CE347C">
        <w:rPr>
          <w:sz w:val="20"/>
          <w:lang w:val="en-US" w:eastAsia="el-GR"/>
        </w:rPr>
        <w:tab/>
        <w:t xml:space="preserve">All </w:t>
      </w:r>
      <w:proofErr w:type="spellStart"/>
      <w:r w:rsidRPr="00CE347C">
        <w:rPr>
          <w:sz w:val="20"/>
          <w:lang w:val="en-US" w:eastAsia="el-GR"/>
        </w:rPr>
        <w:t>randomised</w:t>
      </w:r>
      <w:proofErr w:type="spellEnd"/>
    </w:p>
    <w:p w14:paraId="757E207F" w14:textId="77777777" w:rsidR="00CE347C" w:rsidRPr="00CE347C" w:rsidRDefault="00CE347C" w:rsidP="00734384">
      <w:pPr>
        <w:suppressAutoHyphens/>
        <w:ind w:left="284" w:hanging="284"/>
        <w:rPr>
          <w:sz w:val="20"/>
          <w:lang w:val="en-US" w:eastAsia="el-GR"/>
        </w:rPr>
      </w:pPr>
      <w:r w:rsidRPr="00CE347C">
        <w:rPr>
          <w:sz w:val="20"/>
          <w:lang w:val="en-US" w:eastAsia="el-GR"/>
        </w:rPr>
        <w:t>e:</w:t>
      </w:r>
      <w:r w:rsidRPr="00CE347C">
        <w:rPr>
          <w:sz w:val="20"/>
          <w:lang w:val="en-US" w:eastAsia="el-GR"/>
        </w:rPr>
        <w:tab/>
        <w:t>All treated</w:t>
      </w:r>
    </w:p>
    <w:p w14:paraId="0DE168EC" w14:textId="77777777" w:rsidR="00E84EB9" w:rsidRPr="000455A5" w:rsidRDefault="00E84EB9" w:rsidP="002B1B75">
      <w:pPr>
        <w:ind w:left="851"/>
        <w:rPr>
          <w:sz w:val="24"/>
          <w:szCs w:val="24"/>
          <w:lang w:val="en-US" w:eastAsia="el-GR"/>
        </w:rPr>
      </w:pPr>
    </w:p>
    <w:p w14:paraId="1B82CEB9" w14:textId="7174C74D" w:rsidR="00E84EB9" w:rsidRPr="000455A5" w:rsidRDefault="00E84EB9" w:rsidP="002B1B75">
      <w:pPr>
        <w:ind w:left="851"/>
        <w:rPr>
          <w:sz w:val="24"/>
          <w:szCs w:val="24"/>
          <w:lang w:val="en-US" w:eastAsia="el-GR"/>
        </w:rPr>
      </w:pPr>
      <w:r w:rsidRPr="000455A5">
        <w:rPr>
          <w:sz w:val="24"/>
          <w:szCs w:val="24"/>
          <w:lang w:val="en-US" w:eastAsia="el-GR"/>
        </w:rPr>
        <w:t xml:space="preserve">In Study 1899, a significant decrease in all-cause mortality in </w:t>
      </w:r>
      <w:proofErr w:type="spellStart"/>
      <w:r w:rsidRPr="000455A5">
        <w:rPr>
          <w:sz w:val="24"/>
          <w:szCs w:val="24"/>
          <w:lang w:val="en-US" w:eastAsia="el-GR"/>
        </w:rPr>
        <w:t>favour</w:t>
      </w:r>
      <w:proofErr w:type="spellEnd"/>
      <w:r w:rsidRPr="000455A5">
        <w:rPr>
          <w:sz w:val="24"/>
          <w:szCs w:val="24"/>
          <w:lang w:val="en-US" w:eastAsia="el-GR"/>
        </w:rPr>
        <w:t xml:space="preserve"> of </w:t>
      </w:r>
      <w:proofErr w:type="spellStart"/>
      <w:r w:rsidRPr="000455A5">
        <w:rPr>
          <w:sz w:val="24"/>
          <w:szCs w:val="24"/>
          <w:lang w:val="en-US" w:eastAsia="el-GR"/>
        </w:rPr>
        <w:t>posaconazole</w:t>
      </w:r>
      <w:proofErr w:type="spellEnd"/>
      <w:r w:rsidRPr="000455A5">
        <w:rPr>
          <w:sz w:val="24"/>
          <w:szCs w:val="24"/>
          <w:lang w:val="en-US" w:eastAsia="el-GR"/>
        </w:rPr>
        <w:t xml:space="preserve"> was observed [POS 49/304 (16</w:t>
      </w:r>
      <w:r w:rsidR="00435221">
        <w:rPr>
          <w:sz w:val="24"/>
          <w:szCs w:val="24"/>
          <w:lang w:val="en-US" w:eastAsia="el-GR"/>
        </w:rPr>
        <w:t xml:space="preserve"> %</w:t>
      </w:r>
      <w:r w:rsidRPr="000455A5">
        <w:rPr>
          <w:sz w:val="24"/>
          <w:szCs w:val="24"/>
          <w:lang w:val="en-US" w:eastAsia="el-GR"/>
        </w:rPr>
        <w:t>) vs. FLU/ITZ 67/298 (22</w:t>
      </w:r>
      <w:r w:rsidR="00435221">
        <w:rPr>
          <w:sz w:val="24"/>
          <w:szCs w:val="24"/>
          <w:lang w:val="en-US" w:eastAsia="el-GR"/>
        </w:rPr>
        <w:t xml:space="preserve"> %</w:t>
      </w:r>
      <w:r w:rsidRPr="000455A5">
        <w:rPr>
          <w:sz w:val="24"/>
          <w:szCs w:val="24"/>
          <w:lang w:val="en-US" w:eastAsia="el-GR"/>
        </w:rPr>
        <w:t xml:space="preserve">) p= 0.048]. Based on Kaplan-Meier estimates, the probability of survival up to day 100 after </w:t>
      </w:r>
      <w:proofErr w:type="spellStart"/>
      <w:r w:rsidRPr="000455A5">
        <w:rPr>
          <w:sz w:val="24"/>
          <w:szCs w:val="24"/>
          <w:lang w:val="en-US" w:eastAsia="el-GR"/>
        </w:rPr>
        <w:t>randomi</w:t>
      </w:r>
      <w:r w:rsidR="00CE347C">
        <w:rPr>
          <w:sz w:val="24"/>
          <w:szCs w:val="24"/>
          <w:lang w:val="en-US" w:eastAsia="el-GR"/>
        </w:rPr>
        <w:t>s</w:t>
      </w:r>
      <w:r w:rsidRPr="000455A5">
        <w:rPr>
          <w:sz w:val="24"/>
          <w:szCs w:val="24"/>
          <w:lang w:val="en-US" w:eastAsia="el-GR"/>
        </w:rPr>
        <w:t>ation</w:t>
      </w:r>
      <w:proofErr w:type="spellEnd"/>
      <w:r w:rsidRPr="000455A5">
        <w:rPr>
          <w:sz w:val="24"/>
          <w:szCs w:val="24"/>
          <w:lang w:val="en-US" w:eastAsia="el-GR"/>
        </w:rPr>
        <w:t xml:space="preserve">, was significantly higher for </w:t>
      </w:r>
      <w:proofErr w:type="spellStart"/>
      <w:r w:rsidRPr="000455A5">
        <w:rPr>
          <w:sz w:val="24"/>
          <w:szCs w:val="24"/>
          <w:lang w:val="en-US" w:eastAsia="el-GR"/>
        </w:rPr>
        <w:t>posaconazole</w:t>
      </w:r>
      <w:proofErr w:type="spellEnd"/>
      <w:r w:rsidRPr="000455A5">
        <w:rPr>
          <w:sz w:val="24"/>
          <w:szCs w:val="24"/>
          <w:lang w:val="en-US" w:eastAsia="el-GR"/>
        </w:rPr>
        <w:t xml:space="preserve"> recipients; this survival benefit was demonstrated when the analysis considered all causes of death (P= 0.0354) as well as IFI-related deaths (P = 0.0209).</w:t>
      </w:r>
    </w:p>
    <w:p w14:paraId="5C45E5E6" w14:textId="77777777" w:rsidR="00CE347C" w:rsidRDefault="00CE347C" w:rsidP="002B1B75">
      <w:pPr>
        <w:ind w:left="851"/>
        <w:rPr>
          <w:sz w:val="24"/>
          <w:szCs w:val="24"/>
          <w:lang w:val="en-US" w:eastAsia="el-GR"/>
        </w:rPr>
      </w:pPr>
    </w:p>
    <w:p w14:paraId="04415066" w14:textId="280ED674" w:rsidR="00E84EB9" w:rsidRPr="000455A5" w:rsidRDefault="00E84EB9" w:rsidP="002B1B75">
      <w:pPr>
        <w:ind w:left="851"/>
        <w:rPr>
          <w:sz w:val="24"/>
          <w:szCs w:val="24"/>
          <w:lang w:val="en-US" w:eastAsia="el-GR"/>
        </w:rPr>
      </w:pPr>
      <w:r w:rsidRPr="000455A5">
        <w:rPr>
          <w:sz w:val="24"/>
          <w:szCs w:val="24"/>
          <w:lang w:val="en-US" w:eastAsia="el-GR"/>
        </w:rPr>
        <w:t>In Study 316, overall mortality was similar (POS, 25</w:t>
      </w:r>
      <w:r w:rsidR="00435221">
        <w:rPr>
          <w:sz w:val="24"/>
          <w:szCs w:val="24"/>
          <w:lang w:val="en-US" w:eastAsia="el-GR"/>
        </w:rPr>
        <w:t xml:space="preserve"> %</w:t>
      </w:r>
      <w:r w:rsidRPr="000455A5">
        <w:rPr>
          <w:sz w:val="24"/>
          <w:szCs w:val="24"/>
          <w:lang w:val="en-US" w:eastAsia="el-GR"/>
        </w:rPr>
        <w:t>; FLU, 28</w:t>
      </w:r>
      <w:r w:rsidR="00435221">
        <w:rPr>
          <w:sz w:val="24"/>
          <w:szCs w:val="24"/>
          <w:lang w:val="en-US" w:eastAsia="el-GR"/>
        </w:rPr>
        <w:t xml:space="preserve"> %</w:t>
      </w:r>
      <w:r w:rsidRPr="000455A5">
        <w:rPr>
          <w:sz w:val="24"/>
          <w:szCs w:val="24"/>
          <w:lang w:val="en-US" w:eastAsia="el-GR"/>
        </w:rPr>
        <w:t>); however, the proportion of IFI-related deaths was significantly lower in the POS group (4/301) compared with the FLU group (12/299; P= 0.0413).</w:t>
      </w:r>
    </w:p>
    <w:p w14:paraId="58B60D94" w14:textId="77777777" w:rsidR="00E84EB9" w:rsidRPr="000455A5" w:rsidRDefault="00E84EB9" w:rsidP="002B1B75">
      <w:pPr>
        <w:ind w:left="851"/>
        <w:rPr>
          <w:sz w:val="24"/>
          <w:szCs w:val="24"/>
          <w:lang w:val="en-US" w:eastAsia="el-GR"/>
        </w:rPr>
      </w:pPr>
    </w:p>
    <w:p w14:paraId="5B33CD44" w14:textId="77777777" w:rsidR="00E84EB9" w:rsidRPr="000455A5" w:rsidRDefault="00E84EB9" w:rsidP="002B1B75">
      <w:pPr>
        <w:ind w:left="851"/>
        <w:rPr>
          <w:sz w:val="24"/>
          <w:szCs w:val="24"/>
          <w:u w:val="single"/>
          <w:lang w:val="en-US" w:eastAsia="el-GR"/>
        </w:rPr>
      </w:pPr>
      <w:r w:rsidRPr="000455A5">
        <w:rPr>
          <w:sz w:val="24"/>
          <w:szCs w:val="24"/>
          <w:u w:val="single"/>
          <w:lang w:val="en-US" w:eastAsia="el-GR"/>
        </w:rPr>
        <w:t>Paediatric population</w:t>
      </w:r>
    </w:p>
    <w:p w14:paraId="7B8781B5" w14:textId="77777777" w:rsidR="00CE347C" w:rsidRPr="00734384" w:rsidRDefault="00CE347C" w:rsidP="00734384">
      <w:pPr>
        <w:pStyle w:val="Sidehoved"/>
        <w:ind w:left="851"/>
        <w:rPr>
          <w:szCs w:val="24"/>
        </w:rPr>
      </w:pPr>
      <w:r w:rsidRPr="00734384">
        <w:rPr>
          <w:szCs w:val="24"/>
          <w:lang w:val="en-US" w:eastAsia="el-GR"/>
        </w:rPr>
        <w:t>No dose</w:t>
      </w:r>
      <w:r w:rsidRPr="00734384">
        <w:rPr>
          <w:szCs w:val="24"/>
          <w:lang w:val="en-US"/>
        </w:rPr>
        <w:t xml:space="preserve"> of </w:t>
      </w:r>
      <w:proofErr w:type="spellStart"/>
      <w:r w:rsidRPr="00734384">
        <w:rPr>
          <w:szCs w:val="24"/>
          <w:lang w:val="en-US"/>
        </w:rPr>
        <w:t>posaconazole</w:t>
      </w:r>
      <w:proofErr w:type="spellEnd"/>
      <w:r w:rsidRPr="00734384">
        <w:rPr>
          <w:szCs w:val="24"/>
          <w:lang w:val="en-US"/>
        </w:rPr>
        <w:t xml:space="preserve"> oral suspension </w:t>
      </w:r>
      <w:r w:rsidRPr="00734384">
        <w:rPr>
          <w:szCs w:val="24"/>
          <w:lang w:val="en-US" w:eastAsia="el-GR"/>
        </w:rPr>
        <w:t>could be recommended</w:t>
      </w:r>
      <w:r w:rsidRPr="00734384">
        <w:rPr>
          <w:szCs w:val="24"/>
          <w:lang w:val="en-US"/>
        </w:rPr>
        <w:t xml:space="preserve"> for paediatric patients</w:t>
      </w:r>
      <w:r w:rsidRPr="00734384">
        <w:rPr>
          <w:szCs w:val="24"/>
          <w:lang w:val="en-US" w:eastAsia="el-GR"/>
        </w:rPr>
        <w:t>. However</w:t>
      </w:r>
      <w:r w:rsidRPr="00734384">
        <w:rPr>
          <w:szCs w:val="24"/>
          <w:lang w:val="en-US"/>
        </w:rPr>
        <w:t xml:space="preserve">, the safety </w:t>
      </w:r>
      <w:r w:rsidRPr="00734384">
        <w:rPr>
          <w:szCs w:val="24"/>
          <w:lang w:val="en-US" w:eastAsia="el-GR"/>
        </w:rPr>
        <w:t xml:space="preserve">and efficacy of other formulations of </w:t>
      </w:r>
      <w:proofErr w:type="spellStart"/>
      <w:r w:rsidRPr="00734384">
        <w:rPr>
          <w:szCs w:val="24"/>
          <w:lang w:val="en-US"/>
        </w:rPr>
        <w:t>posaconazole</w:t>
      </w:r>
      <w:proofErr w:type="spellEnd"/>
      <w:r w:rsidRPr="00734384">
        <w:rPr>
          <w:szCs w:val="24"/>
          <w:lang w:val="en-US"/>
        </w:rPr>
        <w:t xml:space="preserve"> </w:t>
      </w:r>
      <w:r w:rsidRPr="00734384">
        <w:rPr>
          <w:szCs w:val="24"/>
          <w:lang w:val="en-US" w:eastAsia="el-GR"/>
        </w:rPr>
        <w:t>(</w:t>
      </w:r>
      <w:proofErr w:type="spellStart"/>
      <w:r w:rsidRPr="00734384">
        <w:rPr>
          <w:szCs w:val="24"/>
          <w:lang w:val="en-US"/>
        </w:rPr>
        <w:t>posaconazole</w:t>
      </w:r>
      <w:proofErr w:type="spellEnd"/>
      <w:r w:rsidRPr="00734384">
        <w:rPr>
          <w:szCs w:val="24"/>
          <w:lang w:val="en-US"/>
        </w:rPr>
        <w:t xml:space="preserve"> </w:t>
      </w:r>
      <w:r w:rsidRPr="00734384">
        <w:rPr>
          <w:szCs w:val="24"/>
          <w:lang w:val="en-US" w:eastAsia="el-GR"/>
        </w:rPr>
        <w:t>gastro-resistant powder</w:t>
      </w:r>
      <w:r w:rsidRPr="00734384">
        <w:rPr>
          <w:szCs w:val="24"/>
          <w:lang w:val="en-US"/>
        </w:rPr>
        <w:t xml:space="preserve"> and </w:t>
      </w:r>
      <w:r w:rsidRPr="00734384">
        <w:rPr>
          <w:szCs w:val="24"/>
          <w:lang w:val="en-US" w:eastAsia="el-GR"/>
        </w:rPr>
        <w:t xml:space="preserve">solvent for oral suspension; </w:t>
      </w:r>
      <w:proofErr w:type="spellStart"/>
      <w:r w:rsidRPr="00734384">
        <w:rPr>
          <w:szCs w:val="24"/>
          <w:lang w:val="en-US" w:eastAsia="el-GR"/>
        </w:rPr>
        <w:t>Posaconazole</w:t>
      </w:r>
      <w:proofErr w:type="spellEnd"/>
      <w:r w:rsidRPr="00734384">
        <w:rPr>
          <w:szCs w:val="24"/>
          <w:lang w:val="en-US" w:eastAsia="el-GR"/>
        </w:rPr>
        <w:t xml:space="preserve"> concentrate for solution for infusion)</w:t>
      </w:r>
      <w:r w:rsidRPr="00734384">
        <w:rPr>
          <w:szCs w:val="24"/>
          <w:lang w:val="en-US"/>
        </w:rPr>
        <w:t xml:space="preserve"> have been established</w:t>
      </w:r>
      <w:r w:rsidRPr="00734384">
        <w:rPr>
          <w:szCs w:val="24"/>
          <w:lang w:val="en-US" w:eastAsia="el-GR"/>
        </w:rPr>
        <w:t xml:space="preserve"> in paediatric patients 2 to less than 18 years of age. </w:t>
      </w:r>
      <w:r w:rsidRPr="00734384">
        <w:rPr>
          <w:szCs w:val="24"/>
          <w:lang w:eastAsia="el-GR"/>
        </w:rPr>
        <w:t xml:space="preserve">Refer to </w:t>
      </w:r>
      <w:proofErr w:type="spellStart"/>
      <w:r w:rsidRPr="00734384">
        <w:rPr>
          <w:szCs w:val="24"/>
          <w:lang w:eastAsia="el-GR"/>
        </w:rPr>
        <w:t>their</w:t>
      </w:r>
      <w:proofErr w:type="spellEnd"/>
      <w:r w:rsidRPr="00734384">
        <w:rPr>
          <w:szCs w:val="24"/>
          <w:lang w:eastAsia="el-GR"/>
        </w:rPr>
        <w:t xml:space="preserve"> </w:t>
      </w:r>
      <w:proofErr w:type="spellStart"/>
      <w:r w:rsidRPr="00734384">
        <w:rPr>
          <w:szCs w:val="24"/>
          <w:lang w:eastAsia="el-GR"/>
        </w:rPr>
        <w:t>SmPC</w:t>
      </w:r>
      <w:proofErr w:type="spellEnd"/>
      <w:r w:rsidRPr="00734384">
        <w:rPr>
          <w:szCs w:val="24"/>
          <w:lang w:eastAsia="el-GR"/>
        </w:rPr>
        <w:t xml:space="preserve"> for </w:t>
      </w:r>
      <w:proofErr w:type="spellStart"/>
      <w:r w:rsidRPr="00734384">
        <w:rPr>
          <w:szCs w:val="24"/>
          <w:lang w:eastAsia="el-GR"/>
        </w:rPr>
        <w:t>additional</w:t>
      </w:r>
      <w:proofErr w:type="spellEnd"/>
      <w:r w:rsidRPr="00734384">
        <w:rPr>
          <w:szCs w:val="24"/>
          <w:lang w:eastAsia="el-GR"/>
        </w:rPr>
        <w:t xml:space="preserve"> information</w:t>
      </w:r>
      <w:r w:rsidRPr="00734384">
        <w:rPr>
          <w:szCs w:val="24"/>
        </w:rPr>
        <w:t>.</w:t>
      </w:r>
    </w:p>
    <w:p w14:paraId="3126D758" w14:textId="77777777" w:rsidR="00E84EB9" w:rsidRPr="00734384" w:rsidRDefault="00E84EB9" w:rsidP="00734384">
      <w:pPr>
        <w:ind w:left="851"/>
        <w:rPr>
          <w:sz w:val="24"/>
          <w:szCs w:val="24"/>
          <w:lang w:val="en-US" w:eastAsia="el-GR"/>
        </w:rPr>
      </w:pPr>
    </w:p>
    <w:p w14:paraId="3A201779" w14:textId="77777777" w:rsidR="00E84EB9" w:rsidRPr="000455A5" w:rsidRDefault="00E84EB9" w:rsidP="002B1B75">
      <w:pPr>
        <w:ind w:left="851"/>
        <w:rPr>
          <w:sz w:val="24"/>
          <w:szCs w:val="24"/>
          <w:u w:val="single"/>
          <w:lang w:val="en-US" w:eastAsia="el-GR"/>
        </w:rPr>
      </w:pPr>
      <w:r w:rsidRPr="000455A5">
        <w:rPr>
          <w:sz w:val="24"/>
          <w:szCs w:val="24"/>
          <w:u w:val="single"/>
          <w:lang w:val="en-US" w:eastAsia="el-GR"/>
        </w:rPr>
        <w:t>Electrocardiogram evaluation</w:t>
      </w:r>
    </w:p>
    <w:p w14:paraId="7C3141E3" w14:textId="77777777" w:rsidR="00E84EB9" w:rsidRPr="000455A5" w:rsidRDefault="00E84EB9" w:rsidP="002B1B75">
      <w:pPr>
        <w:ind w:left="851"/>
        <w:rPr>
          <w:sz w:val="24"/>
          <w:szCs w:val="24"/>
          <w:lang w:val="en-US" w:eastAsia="el-GR"/>
        </w:rPr>
      </w:pPr>
      <w:r w:rsidRPr="000455A5">
        <w:rPr>
          <w:sz w:val="24"/>
          <w:szCs w:val="24"/>
          <w:lang w:val="en-US" w:eastAsia="el-GR"/>
        </w:rPr>
        <w:t xml:space="preserve">Multiple, time-matched ECGs collected over a </w:t>
      </w:r>
      <w:proofErr w:type="gramStart"/>
      <w:r w:rsidRPr="000455A5">
        <w:rPr>
          <w:sz w:val="24"/>
          <w:szCs w:val="24"/>
          <w:lang w:val="en-US" w:eastAsia="el-GR"/>
        </w:rPr>
        <w:t>12 hour</w:t>
      </w:r>
      <w:proofErr w:type="gramEnd"/>
      <w:r w:rsidRPr="000455A5">
        <w:rPr>
          <w:sz w:val="24"/>
          <w:szCs w:val="24"/>
          <w:lang w:val="en-US" w:eastAsia="el-GR"/>
        </w:rPr>
        <w:t xml:space="preserve"> period were obtained before and during 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oral suspension (400 mg twice daily with high fat meals) from 173 healthy male and female volunteers aged 18 to 85 years. No clinically relevant changes in the mean QTc (</w:t>
      </w:r>
      <w:proofErr w:type="spellStart"/>
      <w:r w:rsidRPr="000455A5">
        <w:rPr>
          <w:sz w:val="24"/>
          <w:szCs w:val="24"/>
          <w:lang w:val="en-US" w:eastAsia="el-GR"/>
        </w:rPr>
        <w:t>Fridericia</w:t>
      </w:r>
      <w:proofErr w:type="spellEnd"/>
      <w:r w:rsidRPr="000455A5">
        <w:rPr>
          <w:sz w:val="24"/>
          <w:szCs w:val="24"/>
          <w:lang w:val="en-US" w:eastAsia="el-GR"/>
        </w:rPr>
        <w:t>) interval from baseline were observed.</w:t>
      </w:r>
    </w:p>
    <w:p w14:paraId="0EEBD927" w14:textId="1F440F2C" w:rsidR="00BF541D" w:rsidRDefault="00BF541D">
      <w:pPr>
        <w:rPr>
          <w:sz w:val="24"/>
          <w:szCs w:val="24"/>
          <w:lang w:val="en-GB"/>
        </w:rPr>
      </w:pPr>
      <w:r>
        <w:rPr>
          <w:sz w:val="24"/>
          <w:szCs w:val="24"/>
          <w:lang w:val="en-GB"/>
        </w:rPr>
        <w:br w:type="page"/>
      </w:r>
    </w:p>
    <w:p w14:paraId="1106E02E" w14:textId="77777777" w:rsidR="007C5D2A" w:rsidRPr="000455A5" w:rsidRDefault="007C5D2A" w:rsidP="003E0341">
      <w:pPr>
        <w:tabs>
          <w:tab w:val="left" w:pos="851"/>
        </w:tabs>
        <w:ind w:left="851"/>
        <w:rPr>
          <w:sz w:val="24"/>
          <w:szCs w:val="24"/>
          <w:lang w:val="en-GB"/>
        </w:rPr>
      </w:pPr>
    </w:p>
    <w:p w14:paraId="08F66465" w14:textId="2E8FC943" w:rsidR="007C5D2A" w:rsidRPr="000455A5" w:rsidRDefault="007C5D2A" w:rsidP="007C5D2A">
      <w:pPr>
        <w:tabs>
          <w:tab w:val="left" w:pos="851"/>
        </w:tabs>
        <w:ind w:left="851" w:hanging="851"/>
        <w:rPr>
          <w:b/>
          <w:sz w:val="24"/>
          <w:szCs w:val="24"/>
          <w:lang w:val="en-GB"/>
        </w:rPr>
      </w:pPr>
      <w:r w:rsidRPr="000455A5">
        <w:rPr>
          <w:b/>
          <w:sz w:val="24"/>
          <w:szCs w:val="24"/>
          <w:lang w:val="en-GB"/>
        </w:rPr>
        <w:t>5.2</w:t>
      </w:r>
      <w:r w:rsidRPr="000455A5">
        <w:rPr>
          <w:b/>
          <w:sz w:val="24"/>
          <w:szCs w:val="24"/>
          <w:lang w:val="en-GB"/>
        </w:rPr>
        <w:tab/>
        <w:t>Pharmacokinetic properties</w:t>
      </w:r>
    </w:p>
    <w:p w14:paraId="01832F3A" w14:textId="77777777" w:rsidR="00A72502" w:rsidRPr="000455A5" w:rsidRDefault="00A72502" w:rsidP="002B1B75">
      <w:pPr>
        <w:ind w:left="851"/>
        <w:rPr>
          <w:sz w:val="24"/>
          <w:szCs w:val="24"/>
          <w:lang w:val="en-US" w:eastAsia="el-GR"/>
        </w:rPr>
      </w:pPr>
    </w:p>
    <w:p w14:paraId="25AF0AD0" w14:textId="772FD820" w:rsidR="00E84EB9" w:rsidRPr="000455A5" w:rsidRDefault="00E84EB9" w:rsidP="002B1B75">
      <w:pPr>
        <w:ind w:left="851"/>
        <w:rPr>
          <w:sz w:val="24"/>
          <w:szCs w:val="24"/>
          <w:u w:val="single"/>
          <w:lang w:val="en-US" w:eastAsia="el-GR"/>
        </w:rPr>
      </w:pPr>
      <w:r w:rsidRPr="000455A5">
        <w:rPr>
          <w:sz w:val="24"/>
          <w:szCs w:val="24"/>
          <w:u w:val="single"/>
          <w:lang w:val="en-US" w:eastAsia="el-GR"/>
        </w:rPr>
        <w:t>Absorption</w:t>
      </w:r>
    </w:p>
    <w:p w14:paraId="473E8862" w14:textId="316252F6" w:rsidR="00E84EB9" w:rsidRPr="000455A5" w:rsidRDefault="00E84EB9" w:rsidP="002B1B75">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is absorbed with a median </w:t>
      </w:r>
      <w:proofErr w:type="spellStart"/>
      <w:r w:rsidR="00CE347C">
        <w:rPr>
          <w:sz w:val="24"/>
          <w:szCs w:val="24"/>
          <w:lang w:val="en-US" w:eastAsia="el-GR"/>
        </w:rPr>
        <w:t>T</w:t>
      </w:r>
      <w:r w:rsidRPr="000455A5">
        <w:rPr>
          <w:sz w:val="24"/>
          <w:szCs w:val="24"/>
          <w:vertAlign w:val="subscript"/>
          <w:lang w:val="en-US" w:eastAsia="el-GR"/>
        </w:rPr>
        <w:t>max</w:t>
      </w:r>
      <w:proofErr w:type="spellEnd"/>
      <w:r w:rsidRPr="000455A5">
        <w:rPr>
          <w:sz w:val="24"/>
          <w:szCs w:val="24"/>
          <w:vertAlign w:val="subscript"/>
          <w:lang w:val="en-US" w:eastAsia="el-GR"/>
        </w:rPr>
        <w:t xml:space="preserve"> </w:t>
      </w:r>
      <w:r w:rsidRPr="000455A5">
        <w:rPr>
          <w:sz w:val="24"/>
          <w:szCs w:val="24"/>
          <w:lang w:val="en-US" w:eastAsia="el-GR"/>
        </w:rPr>
        <w:t xml:space="preserve">of 3 hours (fed patients). The pharmacokinetics of </w:t>
      </w:r>
      <w:proofErr w:type="spellStart"/>
      <w:r w:rsidRPr="000455A5">
        <w:rPr>
          <w:sz w:val="24"/>
          <w:szCs w:val="24"/>
          <w:lang w:val="en-US" w:eastAsia="el-GR"/>
        </w:rPr>
        <w:t>posaconazole</w:t>
      </w:r>
      <w:proofErr w:type="spellEnd"/>
      <w:r w:rsidRPr="000455A5">
        <w:rPr>
          <w:sz w:val="24"/>
          <w:szCs w:val="24"/>
          <w:lang w:val="en-US" w:eastAsia="el-GR"/>
        </w:rPr>
        <w:t xml:space="preserve"> are linear following single and multiple dose administration of up to 800 mg when taken with a high fat meal. No further increases in exposure were observed when doses above 800 mg daily were administered to patients and healthy volunteers. In the fasting state, AUC increased less than in proportion to dose above 200 mg. In healthy volunteers under fasting conditions, dividing the total daily dose (800 mg) into 200 mg four times daily compared to 400 mg twice daily, was shown to increase </w:t>
      </w:r>
      <w:proofErr w:type="spellStart"/>
      <w:r w:rsidRPr="000455A5">
        <w:rPr>
          <w:sz w:val="24"/>
          <w:szCs w:val="24"/>
          <w:lang w:val="en-US" w:eastAsia="el-GR"/>
        </w:rPr>
        <w:t>posaconazole</w:t>
      </w:r>
      <w:proofErr w:type="spellEnd"/>
      <w:r w:rsidRPr="000455A5">
        <w:rPr>
          <w:sz w:val="24"/>
          <w:szCs w:val="24"/>
          <w:lang w:val="en-US" w:eastAsia="el-GR"/>
        </w:rPr>
        <w:t xml:space="preserve"> exposure by 2.6-fold.</w:t>
      </w:r>
    </w:p>
    <w:p w14:paraId="4502E1A1" w14:textId="77777777" w:rsidR="00E84EB9" w:rsidRPr="000455A5" w:rsidRDefault="00E84EB9" w:rsidP="002B1B75">
      <w:pPr>
        <w:ind w:left="851"/>
        <w:rPr>
          <w:sz w:val="24"/>
          <w:szCs w:val="24"/>
          <w:lang w:val="en-US" w:eastAsia="el-GR"/>
        </w:rPr>
      </w:pPr>
    </w:p>
    <w:p w14:paraId="1A96C903" w14:textId="77777777" w:rsidR="00E84EB9" w:rsidRPr="000455A5" w:rsidRDefault="00E84EB9" w:rsidP="002B1B75">
      <w:pPr>
        <w:ind w:left="851"/>
        <w:rPr>
          <w:sz w:val="24"/>
          <w:szCs w:val="24"/>
          <w:u w:val="single"/>
          <w:lang w:val="en-US" w:eastAsia="el-GR"/>
        </w:rPr>
      </w:pPr>
      <w:r w:rsidRPr="000455A5">
        <w:rPr>
          <w:sz w:val="24"/>
          <w:szCs w:val="24"/>
          <w:u w:val="single"/>
          <w:lang w:val="en-US" w:eastAsia="el-GR"/>
        </w:rPr>
        <w:t>Effect of food on oral absorption in healthy volunteers</w:t>
      </w:r>
    </w:p>
    <w:p w14:paraId="25AA44AB" w14:textId="639A0D8E" w:rsidR="00E84EB9" w:rsidRPr="000455A5" w:rsidRDefault="00E84EB9" w:rsidP="002B1B75">
      <w:pPr>
        <w:ind w:left="851"/>
        <w:rPr>
          <w:sz w:val="24"/>
          <w:szCs w:val="24"/>
          <w:lang w:val="en-US" w:eastAsia="el-GR"/>
        </w:rPr>
      </w:pPr>
      <w:r w:rsidRPr="000455A5">
        <w:rPr>
          <w:sz w:val="24"/>
          <w:szCs w:val="24"/>
          <w:lang w:val="en-US" w:eastAsia="el-GR"/>
        </w:rPr>
        <w:t xml:space="preserve">The absorption of </w:t>
      </w:r>
      <w:proofErr w:type="spellStart"/>
      <w:r w:rsidRPr="000455A5">
        <w:rPr>
          <w:sz w:val="24"/>
          <w:szCs w:val="24"/>
          <w:lang w:val="en-US" w:eastAsia="el-GR"/>
        </w:rPr>
        <w:t>posaconazole</w:t>
      </w:r>
      <w:proofErr w:type="spellEnd"/>
      <w:r w:rsidRPr="000455A5">
        <w:rPr>
          <w:sz w:val="24"/>
          <w:szCs w:val="24"/>
          <w:lang w:val="en-US" w:eastAsia="el-GR"/>
        </w:rPr>
        <w:t xml:space="preserve"> was significantly increased when </w:t>
      </w:r>
      <w:proofErr w:type="spellStart"/>
      <w:r w:rsidRPr="000455A5">
        <w:rPr>
          <w:sz w:val="24"/>
          <w:szCs w:val="24"/>
          <w:lang w:val="en-US" w:eastAsia="el-GR"/>
        </w:rPr>
        <w:t>posaconazole</w:t>
      </w:r>
      <w:proofErr w:type="spellEnd"/>
      <w:r w:rsidRPr="000455A5">
        <w:rPr>
          <w:sz w:val="24"/>
          <w:szCs w:val="24"/>
          <w:lang w:val="en-US" w:eastAsia="el-GR"/>
        </w:rPr>
        <w:t xml:space="preserve"> 400 mg (once daily) was administered during and immediately after the consumption of a high fat meal (~ 50 grams fat) compared to administration before a meal, with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and AUC increasing by approximately 330</w:t>
      </w:r>
      <w:r w:rsidR="00435221">
        <w:rPr>
          <w:sz w:val="24"/>
          <w:szCs w:val="24"/>
          <w:lang w:val="en-US" w:eastAsia="el-GR"/>
        </w:rPr>
        <w:t xml:space="preserve"> %</w:t>
      </w:r>
      <w:r w:rsidRPr="000455A5">
        <w:rPr>
          <w:sz w:val="24"/>
          <w:szCs w:val="24"/>
          <w:lang w:val="en-US" w:eastAsia="el-GR"/>
        </w:rPr>
        <w:t xml:space="preserve"> and 360</w:t>
      </w:r>
      <w:r w:rsidR="00435221">
        <w:rPr>
          <w:sz w:val="24"/>
          <w:szCs w:val="24"/>
          <w:lang w:val="en-US" w:eastAsia="el-GR"/>
        </w:rPr>
        <w:t xml:space="preserve"> %</w:t>
      </w:r>
      <w:r w:rsidRPr="000455A5">
        <w:rPr>
          <w:sz w:val="24"/>
          <w:szCs w:val="24"/>
          <w:lang w:val="en-US" w:eastAsia="el-GR"/>
        </w:rPr>
        <w:t xml:space="preserve">, respectively. The AUC of </w:t>
      </w:r>
      <w:proofErr w:type="spellStart"/>
      <w:r w:rsidRPr="000455A5">
        <w:rPr>
          <w:sz w:val="24"/>
          <w:szCs w:val="24"/>
          <w:lang w:val="en-US" w:eastAsia="el-GR"/>
        </w:rPr>
        <w:t>posaconazole</w:t>
      </w:r>
      <w:proofErr w:type="spellEnd"/>
      <w:r w:rsidRPr="000455A5">
        <w:rPr>
          <w:sz w:val="24"/>
          <w:szCs w:val="24"/>
          <w:lang w:val="en-US" w:eastAsia="el-GR"/>
        </w:rPr>
        <w:t xml:space="preserve"> is: 4 times greater when administered with a </w:t>
      </w:r>
      <w:proofErr w:type="spellStart"/>
      <w:r w:rsidRPr="000455A5">
        <w:rPr>
          <w:sz w:val="24"/>
          <w:szCs w:val="24"/>
          <w:lang w:val="en-US" w:eastAsia="el-GR"/>
        </w:rPr>
        <w:t>highfat</w:t>
      </w:r>
      <w:proofErr w:type="spellEnd"/>
      <w:r w:rsidRPr="000455A5">
        <w:rPr>
          <w:sz w:val="24"/>
          <w:szCs w:val="24"/>
          <w:lang w:val="en-US" w:eastAsia="el-GR"/>
        </w:rPr>
        <w:t xml:space="preserve"> meal (~ 50 grams fat) and about 2.6 times greater when administered during a non-fat meal or nutritional supplement (14 grams fat) relative to the fasted state (see sections 4.2 and 4.5).</w:t>
      </w:r>
    </w:p>
    <w:p w14:paraId="10192007" w14:textId="77777777" w:rsidR="00E84EB9" w:rsidRPr="000455A5" w:rsidRDefault="00E84EB9" w:rsidP="002B1B75">
      <w:pPr>
        <w:ind w:left="851"/>
        <w:rPr>
          <w:sz w:val="24"/>
          <w:szCs w:val="24"/>
          <w:lang w:val="en-US" w:eastAsia="el-GR"/>
        </w:rPr>
      </w:pPr>
    </w:p>
    <w:p w14:paraId="2EEE6018" w14:textId="77777777" w:rsidR="00E84EB9" w:rsidRPr="000455A5" w:rsidRDefault="00E84EB9" w:rsidP="002B1B75">
      <w:pPr>
        <w:ind w:left="851"/>
        <w:rPr>
          <w:sz w:val="24"/>
          <w:szCs w:val="24"/>
          <w:u w:val="single"/>
          <w:lang w:val="en-US" w:eastAsia="el-GR"/>
        </w:rPr>
      </w:pPr>
      <w:r w:rsidRPr="000455A5">
        <w:rPr>
          <w:sz w:val="24"/>
          <w:szCs w:val="24"/>
          <w:u w:val="single"/>
          <w:lang w:val="en-US" w:eastAsia="el-GR"/>
        </w:rPr>
        <w:t>Distribution</w:t>
      </w:r>
    </w:p>
    <w:p w14:paraId="09E9515D" w14:textId="2E51A718" w:rsidR="00E84EB9" w:rsidRPr="000455A5" w:rsidRDefault="00E84EB9" w:rsidP="002B1B75">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is slowly absorbed and slowly eliminated with a large apparent volume of distribution (1,774 </w:t>
      </w:r>
      <w:proofErr w:type="spellStart"/>
      <w:r w:rsidRPr="000455A5">
        <w:rPr>
          <w:sz w:val="24"/>
          <w:szCs w:val="24"/>
          <w:lang w:val="en-US" w:eastAsia="el-GR"/>
        </w:rPr>
        <w:t>litres</w:t>
      </w:r>
      <w:proofErr w:type="spellEnd"/>
      <w:r w:rsidRPr="000455A5">
        <w:rPr>
          <w:sz w:val="24"/>
          <w:szCs w:val="24"/>
          <w:lang w:val="en-US" w:eastAsia="el-GR"/>
        </w:rPr>
        <w:t>) and is highly protein bound (&gt; 98</w:t>
      </w:r>
      <w:r w:rsidR="00435221">
        <w:rPr>
          <w:sz w:val="24"/>
          <w:szCs w:val="24"/>
          <w:lang w:val="en-US" w:eastAsia="el-GR"/>
        </w:rPr>
        <w:t xml:space="preserve"> %</w:t>
      </w:r>
      <w:r w:rsidRPr="000455A5">
        <w:rPr>
          <w:sz w:val="24"/>
          <w:szCs w:val="24"/>
          <w:lang w:val="en-US" w:eastAsia="el-GR"/>
        </w:rPr>
        <w:t>), predominantly to serum albumin.</w:t>
      </w:r>
    </w:p>
    <w:p w14:paraId="56E30BB0" w14:textId="77777777" w:rsidR="00E84EB9" w:rsidRPr="000455A5" w:rsidRDefault="00E84EB9" w:rsidP="002B1B75">
      <w:pPr>
        <w:ind w:left="851"/>
        <w:rPr>
          <w:sz w:val="24"/>
          <w:szCs w:val="24"/>
          <w:lang w:val="en-US" w:eastAsia="el-GR"/>
        </w:rPr>
      </w:pPr>
    </w:p>
    <w:p w14:paraId="5F4453E6" w14:textId="77777777" w:rsidR="00E84EB9" w:rsidRPr="000455A5" w:rsidRDefault="00E84EB9" w:rsidP="002B1B75">
      <w:pPr>
        <w:ind w:left="851"/>
        <w:rPr>
          <w:sz w:val="24"/>
          <w:szCs w:val="24"/>
          <w:u w:val="single"/>
          <w:lang w:val="en-US" w:eastAsia="el-GR"/>
        </w:rPr>
      </w:pPr>
      <w:r w:rsidRPr="000455A5">
        <w:rPr>
          <w:sz w:val="24"/>
          <w:szCs w:val="24"/>
          <w:u w:val="single"/>
          <w:lang w:val="en-US" w:eastAsia="el-GR"/>
        </w:rPr>
        <w:t>Biotransformation</w:t>
      </w:r>
    </w:p>
    <w:p w14:paraId="5B538D26" w14:textId="1C753668" w:rsidR="00E84EB9" w:rsidRPr="000455A5" w:rsidRDefault="00E84EB9" w:rsidP="002B1B75">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does not have any major circulating metabolites and its concentrations are unlikely to be altered by inhibitors of CYP450 enzymes. Of the circulating metabolites, the majority are glucuronide conjugates of </w:t>
      </w:r>
      <w:proofErr w:type="spellStart"/>
      <w:r w:rsidRPr="000455A5">
        <w:rPr>
          <w:sz w:val="24"/>
          <w:szCs w:val="24"/>
          <w:lang w:val="en-US" w:eastAsia="el-GR"/>
        </w:rPr>
        <w:t>posaconazole</w:t>
      </w:r>
      <w:proofErr w:type="spellEnd"/>
      <w:r w:rsidRPr="000455A5">
        <w:rPr>
          <w:sz w:val="24"/>
          <w:szCs w:val="24"/>
          <w:lang w:val="en-US" w:eastAsia="el-GR"/>
        </w:rPr>
        <w:t xml:space="preserve"> with only minor amounts of oxidative (CYP450 mediated) metabolites observed. The excreted metabolites in urine and </w:t>
      </w:r>
      <w:proofErr w:type="spellStart"/>
      <w:r w:rsidRPr="000455A5">
        <w:rPr>
          <w:sz w:val="24"/>
          <w:szCs w:val="24"/>
          <w:lang w:val="en-US" w:eastAsia="el-GR"/>
        </w:rPr>
        <w:t>faeces</w:t>
      </w:r>
      <w:proofErr w:type="spellEnd"/>
      <w:r w:rsidRPr="000455A5">
        <w:rPr>
          <w:sz w:val="24"/>
          <w:szCs w:val="24"/>
          <w:lang w:val="en-US" w:eastAsia="el-GR"/>
        </w:rPr>
        <w:t xml:space="preserve"> account for approximately 17</w:t>
      </w:r>
      <w:r w:rsidR="00435221">
        <w:rPr>
          <w:sz w:val="24"/>
          <w:szCs w:val="24"/>
          <w:lang w:val="en-US" w:eastAsia="el-GR"/>
        </w:rPr>
        <w:t xml:space="preserve"> %</w:t>
      </w:r>
      <w:r w:rsidRPr="000455A5">
        <w:rPr>
          <w:sz w:val="24"/>
          <w:szCs w:val="24"/>
          <w:lang w:val="en-US" w:eastAsia="el-GR"/>
        </w:rPr>
        <w:t xml:space="preserve"> of the administered </w:t>
      </w:r>
      <w:proofErr w:type="spellStart"/>
      <w:r w:rsidRPr="000455A5">
        <w:rPr>
          <w:sz w:val="24"/>
          <w:szCs w:val="24"/>
          <w:lang w:val="en-US" w:eastAsia="el-GR"/>
        </w:rPr>
        <w:t>radiolabelled</w:t>
      </w:r>
      <w:proofErr w:type="spellEnd"/>
      <w:r w:rsidRPr="000455A5">
        <w:rPr>
          <w:sz w:val="24"/>
          <w:szCs w:val="24"/>
          <w:lang w:val="en-US" w:eastAsia="el-GR"/>
        </w:rPr>
        <w:t xml:space="preserve"> dose.</w:t>
      </w:r>
    </w:p>
    <w:p w14:paraId="2F5AC88B" w14:textId="77777777" w:rsidR="00E84EB9" w:rsidRPr="000455A5" w:rsidRDefault="00E84EB9" w:rsidP="002B1B75">
      <w:pPr>
        <w:ind w:left="851"/>
        <w:rPr>
          <w:sz w:val="24"/>
          <w:szCs w:val="24"/>
          <w:lang w:val="en-US" w:eastAsia="el-GR"/>
        </w:rPr>
      </w:pPr>
    </w:p>
    <w:p w14:paraId="48CC38E3" w14:textId="77777777" w:rsidR="00E84EB9" w:rsidRPr="000455A5" w:rsidRDefault="00E84EB9" w:rsidP="002B1B75">
      <w:pPr>
        <w:ind w:left="851"/>
        <w:rPr>
          <w:sz w:val="24"/>
          <w:szCs w:val="24"/>
          <w:u w:val="single"/>
          <w:lang w:val="en-US" w:eastAsia="el-GR"/>
        </w:rPr>
      </w:pPr>
      <w:r w:rsidRPr="000455A5">
        <w:rPr>
          <w:sz w:val="24"/>
          <w:szCs w:val="24"/>
          <w:u w:val="single"/>
          <w:lang w:val="en-US" w:eastAsia="el-GR"/>
        </w:rPr>
        <w:t>Elimination</w:t>
      </w:r>
    </w:p>
    <w:p w14:paraId="5DAF45BD" w14:textId="6AA7AAF2" w:rsidR="00E84EB9" w:rsidRPr="000455A5" w:rsidRDefault="00E84EB9" w:rsidP="002B1B75">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is slowly eliminated with a mean half-life (t½) of 35 hours (range 20 to 66 hours). After administration of </w:t>
      </w:r>
      <w:r w:rsidRPr="000455A5">
        <w:rPr>
          <w:sz w:val="24"/>
          <w:szCs w:val="24"/>
          <w:vertAlign w:val="superscript"/>
          <w:lang w:val="en-US" w:eastAsia="el-GR"/>
        </w:rPr>
        <w:t>14</w:t>
      </w:r>
      <w:r w:rsidRPr="000455A5">
        <w:rPr>
          <w:sz w:val="24"/>
          <w:szCs w:val="24"/>
          <w:lang w:val="en-US" w:eastAsia="el-GR"/>
        </w:rPr>
        <w:t xml:space="preserve">C-posaconazole, radioactivity was predominantly recovered in the </w:t>
      </w:r>
      <w:proofErr w:type="spellStart"/>
      <w:r w:rsidRPr="000455A5">
        <w:rPr>
          <w:sz w:val="24"/>
          <w:szCs w:val="24"/>
          <w:lang w:val="en-US" w:eastAsia="el-GR"/>
        </w:rPr>
        <w:t>faeces</w:t>
      </w:r>
      <w:proofErr w:type="spellEnd"/>
      <w:r w:rsidRPr="000455A5">
        <w:rPr>
          <w:sz w:val="24"/>
          <w:szCs w:val="24"/>
          <w:lang w:val="en-US" w:eastAsia="el-GR"/>
        </w:rPr>
        <w:t xml:space="preserve"> (77</w:t>
      </w:r>
      <w:r w:rsidR="00435221">
        <w:rPr>
          <w:sz w:val="24"/>
          <w:szCs w:val="24"/>
          <w:lang w:val="en-US" w:eastAsia="el-GR"/>
        </w:rPr>
        <w:t xml:space="preserve"> %</w:t>
      </w:r>
      <w:r w:rsidRPr="000455A5">
        <w:rPr>
          <w:sz w:val="24"/>
          <w:szCs w:val="24"/>
          <w:lang w:val="en-US" w:eastAsia="el-GR"/>
        </w:rPr>
        <w:t xml:space="preserve"> of the </w:t>
      </w:r>
      <w:proofErr w:type="spellStart"/>
      <w:r w:rsidRPr="000455A5">
        <w:rPr>
          <w:sz w:val="24"/>
          <w:szCs w:val="24"/>
          <w:lang w:val="en-US" w:eastAsia="el-GR"/>
        </w:rPr>
        <w:t>radiolabelled</w:t>
      </w:r>
      <w:proofErr w:type="spellEnd"/>
      <w:r w:rsidRPr="000455A5">
        <w:rPr>
          <w:sz w:val="24"/>
          <w:szCs w:val="24"/>
          <w:lang w:val="en-US" w:eastAsia="el-GR"/>
        </w:rPr>
        <w:t xml:space="preserve"> dose) with the major component being parent compound (66</w:t>
      </w:r>
      <w:r w:rsidR="00435221">
        <w:rPr>
          <w:sz w:val="24"/>
          <w:szCs w:val="24"/>
          <w:lang w:val="en-US" w:eastAsia="el-GR"/>
        </w:rPr>
        <w:t xml:space="preserve"> %</w:t>
      </w:r>
      <w:r w:rsidRPr="000455A5">
        <w:rPr>
          <w:sz w:val="24"/>
          <w:szCs w:val="24"/>
          <w:lang w:val="en-US" w:eastAsia="el-GR"/>
        </w:rPr>
        <w:t xml:space="preserve"> of the </w:t>
      </w:r>
      <w:proofErr w:type="spellStart"/>
      <w:r w:rsidRPr="000455A5">
        <w:rPr>
          <w:sz w:val="24"/>
          <w:szCs w:val="24"/>
          <w:lang w:val="en-US" w:eastAsia="el-GR"/>
        </w:rPr>
        <w:t>radiolabelled</w:t>
      </w:r>
      <w:proofErr w:type="spellEnd"/>
      <w:r w:rsidRPr="000455A5">
        <w:rPr>
          <w:sz w:val="24"/>
          <w:szCs w:val="24"/>
          <w:lang w:val="en-US" w:eastAsia="el-GR"/>
        </w:rPr>
        <w:t xml:space="preserve"> dose). Renal clearance is a minor elimination pathway, with 14</w:t>
      </w:r>
      <w:r w:rsidR="00435221">
        <w:rPr>
          <w:sz w:val="24"/>
          <w:szCs w:val="24"/>
          <w:lang w:val="en-US" w:eastAsia="el-GR"/>
        </w:rPr>
        <w:t xml:space="preserve"> %</w:t>
      </w:r>
      <w:r w:rsidRPr="000455A5">
        <w:rPr>
          <w:sz w:val="24"/>
          <w:szCs w:val="24"/>
          <w:lang w:val="en-US" w:eastAsia="el-GR"/>
        </w:rPr>
        <w:t xml:space="preserve"> of the </w:t>
      </w:r>
      <w:proofErr w:type="spellStart"/>
      <w:r w:rsidRPr="000455A5">
        <w:rPr>
          <w:sz w:val="24"/>
          <w:szCs w:val="24"/>
          <w:lang w:val="en-US" w:eastAsia="el-GR"/>
        </w:rPr>
        <w:t>radiolabelled</w:t>
      </w:r>
      <w:proofErr w:type="spellEnd"/>
      <w:r w:rsidRPr="000455A5">
        <w:rPr>
          <w:sz w:val="24"/>
          <w:szCs w:val="24"/>
          <w:lang w:val="en-US" w:eastAsia="el-GR"/>
        </w:rPr>
        <w:t xml:space="preserve"> dose excreted in urine (&lt; 0.2</w:t>
      </w:r>
      <w:r w:rsidR="00435221">
        <w:rPr>
          <w:sz w:val="24"/>
          <w:szCs w:val="24"/>
          <w:lang w:val="en-US" w:eastAsia="el-GR"/>
        </w:rPr>
        <w:t xml:space="preserve"> %</w:t>
      </w:r>
      <w:r w:rsidRPr="000455A5">
        <w:rPr>
          <w:sz w:val="24"/>
          <w:szCs w:val="24"/>
          <w:lang w:val="en-US" w:eastAsia="el-GR"/>
        </w:rPr>
        <w:t xml:space="preserve"> of the </w:t>
      </w:r>
      <w:proofErr w:type="spellStart"/>
      <w:r w:rsidRPr="000455A5">
        <w:rPr>
          <w:sz w:val="24"/>
          <w:szCs w:val="24"/>
          <w:lang w:val="en-US" w:eastAsia="el-GR"/>
        </w:rPr>
        <w:t>radiolabelled</w:t>
      </w:r>
      <w:proofErr w:type="spellEnd"/>
      <w:r w:rsidRPr="000455A5">
        <w:rPr>
          <w:sz w:val="24"/>
          <w:szCs w:val="24"/>
          <w:lang w:val="en-US" w:eastAsia="el-GR"/>
        </w:rPr>
        <w:t xml:space="preserve"> dose is parent compound). Steady-state is attained following 7 to 10 days of multiple-dose administration.</w:t>
      </w:r>
    </w:p>
    <w:p w14:paraId="2813455E" w14:textId="77777777" w:rsidR="00E84EB9" w:rsidRPr="000455A5" w:rsidRDefault="00E84EB9" w:rsidP="002B1B75">
      <w:pPr>
        <w:ind w:left="851"/>
        <w:rPr>
          <w:sz w:val="24"/>
          <w:szCs w:val="24"/>
          <w:lang w:val="en-US" w:eastAsia="el-GR"/>
        </w:rPr>
      </w:pPr>
    </w:p>
    <w:p w14:paraId="0658FB99" w14:textId="77777777" w:rsidR="00E84EB9" w:rsidRPr="000455A5" w:rsidRDefault="00E84EB9" w:rsidP="002B1B75">
      <w:pPr>
        <w:ind w:left="851"/>
        <w:rPr>
          <w:sz w:val="24"/>
          <w:szCs w:val="24"/>
          <w:u w:val="single"/>
          <w:lang w:val="en-US" w:eastAsia="el-GR"/>
        </w:rPr>
      </w:pPr>
      <w:r w:rsidRPr="000455A5">
        <w:rPr>
          <w:sz w:val="24"/>
          <w:szCs w:val="24"/>
          <w:u w:val="single"/>
          <w:lang w:val="en-US" w:eastAsia="el-GR"/>
        </w:rPr>
        <w:t>Pharmacokinetics in special populations</w:t>
      </w:r>
    </w:p>
    <w:p w14:paraId="1EB8C4E5" w14:textId="77777777" w:rsidR="00E84EB9" w:rsidRPr="000455A5" w:rsidRDefault="00E84EB9" w:rsidP="002B1B75">
      <w:pPr>
        <w:ind w:left="851"/>
        <w:rPr>
          <w:i/>
          <w:sz w:val="24"/>
          <w:szCs w:val="24"/>
          <w:lang w:val="en-US" w:eastAsia="el-GR"/>
        </w:rPr>
      </w:pPr>
    </w:p>
    <w:p w14:paraId="31665464" w14:textId="77777777" w:rsidR="00E84EB9" w:rsidRPr="000455A5" w:rsidRDefault="00E84EB9" w:rsidP="002B1B75">
      <w:pPr>
        <w:ind w:left="851"/>
        <w:rPr>
          <w:i/>
          <w:sz w:val="24"/>
          <w:szCs w:val="24"/>
          <w:lang w:val="en-US" w:eastAsia="el-GR"/>
        </w:rPr>
      </w:pPr>
      <w:r w:rsidRPr="000455A5">
        <w:rPr>
          <w:i/>
          <w:sz w:val="24"/>
          <w:szCs w:val="24"/>
          <w:lang w:val="en-US" w:eastAsia="el-GR"/>
        </w:rPr>
        <w:t>Children (&lt; 18 years)</w:t>
      </w:r>
    </w:p>
    <w:p w14:paraId="3DC059F1" w14:textId="3AEC273E" w:rsidR="00E84EB9" w:rsidRPr="000455A5" w:rsidRDefault="00E84EB9" w:rsidP="002B1B75">
      <w:pPr>
        <w:ind w:left="851"/>
        <w:rPr>
          <w:sz w:val="24"/>
          <w:szCs w:val="24"/>
          <w:lang w:val="en-US" w:eastAsia="el-GR"/>
        </w:rPr>
      </w:pPr>
      <w:r w:rsidRPr="000455A5">
        <w:rPr>
          <w:sz w:val="24"/>
          <w:szCs w:val="24"/>
          <w:lang w:val="en-US" w:eastAsia="el-GR"/>
        </w:rPr>
        <w:t xml:space="preserve">Following administration of 800 mg per day of </w:t>
      </w:r>
      <w:proofErr w:type="spellStart"/>
      <w:r w:rsidRPr="000455A5">
        <w:rPr>
          <w:sz w:val="24"/>
          <w:szCs w:val="24"/>
          <w:lang w:val="en-US" w:eastAsia="el-GR"/>
        </w:rPr>
        <w:t>posaconazole</w:t>
      </w:r>
      <w:proofErr w:type="spellEnd"/>
      <w:r w:rsidRPr="000455A5">
        <w:rPr>
          <w:sz w:val="24"/>
          <w:szCs w:val="24"/>
          <w:lang w:val="en-US" w:eastAsia="el-GR"/>
        </w:rPr>
        <w:t xml:space="preserve"> as a divided dose for treatment of invasive fungal infections, mean trough plasma concentrations from 12 patients 8 - 17 years of age (776 ng/mL) were similar to concentrations from 194 patients 18 - 64 years of age (817 ng/mL). Similarly, in the prophylaxis studies, the mean steady-state </w:t>
      </w:r>
      <w:proofErr w:type="spellStart"/>
      <w:r w:rsidRPr="000455A5">
        <w:rPr>
          <w:sz w:val="24"/>
          <w:szCs w:val="24"/>
          <w:lang w:val="en-US" w:eastAsia="el-GR"/>
        </w:rPr>
        <w:t>posaconazole</w:t>
      </w:r>
      <w:proofErr w:type="spellEnd"/>
      <w:r w:rsidRPr="000455A5">
        <w:rPr>
          <w:sz w:val="24"/>
          <w:szCs w:val="24"/>
          <w:lang w:val="en-US" w:eastAsia="el-GR"/>
        </w:rPr>
        <w:t xml:space="preserve"> average concentration (C</w:t>
      </w:r>
      <w:r w:rsidRPr="00CE347C">
        <w:rPr>
          <w:sz w:val="24"/>
          <w:szCs w:val="24"/>
          <w:vertAlign w:val="subscript"/>
          <w:lang w:val="en-US" w:eastAsia="el-GR"/>
        </w:rPr>
        <w:t>av</w:t>
      </w:r>
      <w:r w:rsidRPr="000455A5">
        <w:rPr>
          <w:sz w:val="24"/>
          <w:szCs w:val="24"/>
          <w:lang w:val="en-US" w:eastAsia="el-GR"/>
        </w:rPr>
        <w:t>) was comparable among ten adolescents (13-17 years of age) to C</w:t>
      </w:r>
      <w:r w:rsidRPr="00CE347C">
        <w:rPr>
          <w:sz w:val="24"/>
          <w:szCs w:val="24"/>
          <w:vertAlign w:val="subscript"/>
          <w:lang w:val="en-US" w:eastAsia="el-GR"/>
        </w:rPr>
        <w:t>av</w:t>
      </w:r>
      <w:r w:rsidRPr="000455A5">
        <w:rPr>
          <w:sz w:val="24"/>
          <w:szCs w:val="24"/>
          <w:lang w:val="en-US" w:eastAsia="el-GR"/>
        </w:rPr>
        <w:t xml:space="preserve"> achieved in adults (≥ 18 years of age). In a study of 136 neutropenic paediatric patients 11 months – 17 years treated with </w:t>
      </w:r>
      <w:proofErr w:type="spellStart"/>
      <w:r w:rsidRPr="000455A5">
        <w:rPr>
          <w:sz w:val="24"/>
          <w:szCs w:val="24"/>
          <w:lang w:val="en-US" w:eastAsia="el-GR"/>
        </w:rPr>
        <w:t>posaconazole</w:t>
      </w:r>
      <w:proofErr w:type="spellEnd"/>
      <w:r w:rsidRPr="000455A5">
        <w:rPr>
          <w:sz w:val="24"/>
          <w:szCs w:val="24"/>
          <w:lang w:val="en-US" w:eastAsia="el-GR"/>
        </w:rPr>
        <w:t xml:space="preserve"> oral suspension at doses up to 18 mg/kg/day divided TID, approximately 50</w:t>
      </w:r>
      <w:r w:rsidR="00435221">
        <w:rPr>
          <w:sz w:val="24"/>
          <w:szCs w:val="24"/>
          <w:lang w:val="en-US" w:eastAsia="el-GR"/>
        </w:rPr>
        <w:t xml:space="preserve"> %</w:t>
      </w:r>
      <w:r w:rsidRPr="000455A5">
        <w:rPr>
          <w:sz w:val="24"/>
          <w:szCs w:val="24"/>
          <w:lang w:val="en-US" w:eastAsia="el-GR"/>
        </w:rPr>
        <w:t xml:space="preserve"> met the prespecified target (Day 7 C</w:t>
      </w:r>
      <w:r w:rsidRPr="00CE347C">
        <w:rPr>
          <w:sz w:val="24"/>
          <w:szCs w:val="24"/>
          <w:vertAlign w:val="subscript"/>
          <w:lang w:val="en-US" w:eastAsia="el-GR"/>
        </w:rPr>
        <w:t>av</w:t>
      </w:r>
      <w:r w:rsidRPr="000455A5">
        <w:rPr>
          <w:sz w:val="24"/>
          <w:szCs w:val="24"/>
          <w:lang w:val="en-US" w:eastAsia="el-GR"/>
        </w:rPr>
        <w:t xml:space="preserve"> between 500 ng/mL-2,500 ng/mL). In general, exposures tended to be higher in the older patients (7 to &lt;18 years) than in younger patients (2 to &lt;7 years).</w:t>
      </w:r>
    </w:p>
    <w:p w14:paraId="174755AF" w14:textId="77777777" w:rsidR="00E84EB9" w:rsidRPr="000455A5" w:rsidRDefault="00E84EB9" w:rsidP="002B1B75">
      <w:pPr>
        <w:ind w:left="851"/>
        <w:rPr>
          <w:sz w:val="24"/>
          <w:szCs w:val="24"/>
          <w:lang w:val="en-US" w:eastAsia="el-GR"/>
        </w:rPr>
      </w:pPr>
    </w:p>
    <w:p w14:paraId="26AED9F7" w14:textId="77777777" w:rsidR="00E84EB9" w:rsidRPr="000455A5" w:rsidRDefault="00E84EB9" w:rsidP="002B1B75">
      <w:pPr>
        <w:ind w:left="851"/>
        <w:rPr>
          <w:i/>
          <w:sz w:val="24"/>
          <w:szCs w:val="24"/>
          <w:lang w:val="en-US" w:eastAsia="el-GR"/>
        </w:rPr>
      </w:pPr>
      <w:r w:rsidRPr="000455A5">
        <w:rPr>
          <w:i/>
          <w:sz w:val="24"/>
          <w:szCs w:val="24"/>
          <w:lang w:val="en-US" w:eastAsia="el-GR"/>
        </w:rPr>
        <w:t>Gender</w:t>
      </w:r>
    </w:p>
    <w:p w14:paraId="1CECA5D6" w14:textId="77777777" w:rsidR="00E84EB9" w:rsidRPr="000455A5" w:rsidRDefault="00E84EB9" w:rsidP="002B1B75">
      <w:pPr>
        <w:ind w:left="851"/>
        <w:rPr>
          <w:sz w:val="24"/>
          <w:szCs w:val="24"/>
          <w:lang w:val="en-US" w:eastAsia="el-GR"/>
        </w:rPr>
      </w:pPr>
      <w:r w:rsidRPr="000455A5">
        <w:rPr>
          <w:sz w:val="24"/>
          <w:szCs w:val="24"/>
          <w:lang w:val="en-US" w:eastAsia="el-GR"/>
        </w:rPr>
        <w:t xml:space="preserve">The pharmacokinetics of </w:t>
      </w:r>
      <w:proofErr w:type="spellStart"/>
      <w:r w:rsidRPr="000455A5">
        <w:rPr>
          <w:sz w:val="24"/>
          <w:szCs w:val="24"/>
          <w:lang w:val="en-US" w:eastAsia="el-GR"/>
        </w:rPr>
        <w:t>posaconazole</w:t>
      </w:r>
      <w:proofErr w:type="spellEnd"/>
      <w:r w:rsidRPr="000455A5">
        <w:rPr>
          <w:sz w:val="24"/>
          <w:szCs w:val="24"/>
          <w:lang w:val="en-US" w:eastAsia="el-GR"/>
        </w:rPr>
        <w:t xml:space="preserve"> are comparable in men and women.</w:t>
      </w:r>
    </w:p>
    <w:p w14:paraId="3DA2B2B2" w14:textId="77777777" w:rsidR="00E84EB9" w:rsidRPr="00734384" w:rsidRDefault="00E84EB9" w:rsidP="00734384">
      <w:pPr>
        <w:ind w:left="851"/>
        <w:rPr>
          <w:sz w:val="24"/>
          <w:szCs w:val="24"/>
          <w:lang w:val="en-US" w:eastAsia="el-GR"/>
        </w:rPr>
      </w:pPr>
    </w:p>
    <w:p w14:paraId="0D052F5A" w14:textId="77777777" w:rsidR="00CE347C" w:rsidRPr="00734384" w:rsidRDefault="00CE347C" w:rsidP="00734384">
      <w:pPr>
        <w:suppressAutoHyphens/>
        <w:ind w:left="851"/>
        <w:rPr>
          <w:i/>
          <w:sz w:val="24"/>
          <w:szCs w:val="24"/>
          <w:lang w:val="en-US" w:eastAsia="el-GR"/>
        </w:rPr>
      </w:pPr>
      <w:r w:rsidRPr="00734384">
        <w:rPr>
          <w:i/>
          <w:sz w:val="24"/>
          <w:szCs w:val="24"/>
          <w:lang w:val="en-US" w:eastAsia="el-GR"/>
        </w:rPr>
        <w:t>Elderly</w:t>
      </w:r>
    </w:p>
    <w:p w14:paraId="1AF65156" w14:textId="77777777" w:rsidR="00CE347C" w:rsidRPr="00734384" w:rsidRDefault="00CE347C" w:rsidP="00734384">
      <w:pPr>
        <w:suppressAutoHyphens/>
        <w:ind w:left="851"/>
        <w:rPr>
          <w:sz w:val="24"/>
          <w:szCs w:val="24"/>
          <w:lang w:val="en-US" w:eastAsia="el-GR"/>
        </w:rPr>
      </w:pPr>
      <w:r w:rsidRPr="00734384">
        <w:rPr>
          <w:sz w:val="24"/>
          <w:szCs w:val="24"/>
          <w:lang w:val="en-US" w:eastAsia="el-GR"/>
        </w:rPr>
        <w:t xml:space="preserve">An increase in </w:t>
      </w:r>
      <w:proofErr w:type="spellStart"/>
      <w:r w:rsidRPr="00734384">
        <w:rPr>
          <w:sz w:val="24"/>
          <w:szCs w:val="24"/>
          <w:lang w:val="en-US" w:eastAsia="el-GR"/>
        </w:rPr>
        <w:t>C</w:t>
      </w:r>
      <w:r w:rsidRPr="00734384">
        <w:rPr>
          <w:sz w:val="24"/>
          <w:szCs w:val="24"/>
          <w:vertAlign w:val="subscript"/>
          <w:lang w:val="en-US" w:eastAsia="el-GR"/>
        </w:rPr>
        <w:t>max</w:t>
      </w:r>
      <w:proofErr w:type="spellEnd"/>
      <w:r w:rsidRPr="00734384">
        <w:rPr>
          <w:sz w:val="24"/>
          <w:szCs w:val="24"/>
          <w:lang w:val="en-US" w:eastAsia="el-GR"/>
        </w:rPr>
        <w:t xml:space="preserve"> (26%) and AUC (29%) was observed in elderly subjects (24 subjects </w:t>
      </w:r>
      <w:r w:rsidRPr="00734384">
        <w:rPr>
          <w:i/>
          <w:sz w:val="24"/>
          <w:szCs w:val="24"/>
          <w:lang w:val="en-US" w:eastAsia="el-GR"/>
        </w:rPr>
        <w:t xml:space="preserve">≥ </w:t>
      </w:r>
      <w:r w:rsidRPr="00734384">
        <w:rPr>
          <w:sz w:val="24"/>
          <w:szCs w:val="24"/>
          <w:lang w:val="en-US" w:eastAsia="el-GR"/>
        </w:rPr>
        <w:t xml:space="preserve">65 years of age) relative to younger subjects (24 subjects 18 - 45 years of age). However, in clinical efficacy studies, the safety profile of </w:t>
      </w:r>
      <w:proofErr w:type="spellStart"/>
      <w:r w:rsidRPr="00734384">
        <w:rPr>
          <w:sz w:val="24"/>
          <w:szCs w:val="24"/>
          <w:lang w:val="en-US" w:eastAsia="el-GR"/>
        </w:rPr>
        <w:t>posaconazole</w:t>
      </w:r>
      <w:proofErr w:type="spellEnd"/>
      <w:r w:rsidRPr="00734384">
        <w:rPr>
          <w:sz w:val="24"/>
          <w:szCs w:val="24"/>
          <w:lang w:val="en-US" w:eastAsia="el-GR"/>
        </w:rPr>
        <w:t xml:space="preserve"> between the young and elderly patients was similar.</w:t>
      </w:r>
    </w:p>
    <w:p w14:paraId="5DDBD12A" w14:textId="77777777" w:rsidR="00E84EB9" w:rsidRPr="00734384" w:rsidRDefault="00E84EB9" w:rsidP="00734384">
      <w:pPr>
        <w:ind w:left="851"/>
        <w:rPr>
          <w:sz w:val="24"/>
          <w:szCs w:val="24"/>
          <w:lang w:val="en-US" w:eastAsia="el-GR"/>
        </w:rPr>
      </w:pPr>
    </w:p>
    <w:p w14:paraId="54F41013" w14:textId="77777777" w:rsidR="00E84EB9" w:rsidRPr="000455A5" w:rsidRDefault="00E84EB9" w:rsidP="002B1B75">
      <w:pPr>
        <w:ind w:left="851"/>
        <w:rPr>
          <w:i/>
          <w:sz w:val="24"/>
          <w:szCs w:val="24"/>
          <w:lang w:val="en-US" w:eastAsia="el-GR"/>
        </w:rPr>
      </w:pPr>
      <w:r w:rsidRPr="000455A5">
        <w:rPr>
          <w:i/>
          <w:sz w:val="24"/>
          <w:szCs w:val="24"/>
          <w:lang w:val="en-US" w:eastAsia="el-GR"/>
        </w:rPr>
        <w:t>Race</w:t>
      </w:r>
    </w:p>
    <w:p w14:paraId="32197E3F" w14:textId="7B223D10" w:rsidR="00E84EB9" w:rsidRPr="000455A5" w:rsidRDefault="00E84EB9" w:rsidP="002B1B75">
      <w:pPr>
        <w:ind w:left="851"/>
        <w:rPr>
          <w:sz w:val="24"/>
          <w:szCs w:val="24"/>
          <w:lang w:val="en-US" w:eastAsia="el-GR"/>
        </w:rPr>
      </w:pPr>
      <w:r w:rsidRPr="000455A5">
        <w:rPr>
          <w:sz w:val="24"/>
          <w:szCs w:val="24"/>
          <w:lang w:val="en-US" w:eastAsia="el-GR"/>
        </w:rPr>
        <w:t>There was a slight decrease (16</w:t>
      </w:r>
      <w:r w:rsidR="00435221">
        <w:rPr>
          <w:sz w:val="24"/>
          <w:szCs w:val="24"/>
          <w:lang w:val="en-US" w:eastAsia="el-GR"/>
        </w:rPr>
        <w:t xml:space="preserve"> %</w:t>
      </w:r>
      <w:r w:rsidRPr="000455A5">
        <w:rPr>
          <w:sz w:val="24"/>
          <w:szCs w:val="24"/>
          <w:lang w:val="en-US" w:eastAsia="el-GR"/>
        </w:rPr>
        <w:t xml:space="preserve">) in the AUC and </w:t>
      </w:r>
      <w:proofErr w:type="spellStart"/>
      <w:r w:rsidRPr="000455A5">
        <w:rPr>
          <w:sz w:val="24"/>
          <w:szCs w:val="24"/>
          <w:lang w:val="en-US" w:eastAsia="el-GR"/>
        </w:rPr>
        <w:t>C</w:t>
      </w:r>
      <w:r w:rsidRPr="000455A5">
        <w:rPr>
          <w:sz w:val="24"/>
          <w:szCs w:val="24"/>
          <w:vertAlign w:val="subscript"/>
          <w:lang w:val="en-US" w:eastAsia="el-GR"/>
        </w:rPr>
        <w:t>max</w:t>
      </w:r>
      <w:proofErr w:type="spellEnd"/>
      <w:r w:rsidRPr="000455A5">
        <w:rPr>
          <w:sz w:val="24"/>
          <w:szCs w:val="24"/>
          <w:lang w:val="en-US" w:eastAsia="el-GR"/>
        </w:rPr>
        <w:t xml:space="preserve"> of </w:t>
      </w:r>
      <w:proofErr w:type="spellStart"/>
      <w:r w:rsidRPr="000455A5">
        <w:rPr>
          <w:sz w:val="24"/>
          <w:szCs w:val="24"/>
          <w:lang w:val="en-US" w:eastAsia="el-GR"/>
        </w:rPr>
        <w:t>posaconazole</w:t>
      </w:r>
      <w:proofErr w:type="spellEnd"/>
      <w:r w:rsidRPr="000455A5">
        <w:rPr>
          <w:sz w:val="24"/>
          <w:szCs w:val="24"/>
          <w:lang w:val="en-US" w:eastAsia="el-GR"/>
        </w:rPr>
        <w:t xml:space="preserve"> oral suspension in Black subjects, relative to Caucasian subjects. However, the safety profile of </w:t>
      </w:r>
      <w:proofErr w:type="spellStart"/>
      <w:r w:rsidRPr="000455A5">
        <w:rPr>
          <w:sz w:val="24"/>
          <w:szCs w:val="24"/>
          <w:lang w:val="en-US" w:eastAsia="el-GR"/>
        </w:rPr>
        <w:t>posaconazole</w:t>
      </w:r>
      <w:proofErr w:type="spellEnd"/>
      <w:r w:rsidRPr="000455A5">
        <w:rPr>
          <w:sz w:val="24"/>
          <w:szCs w:val="24"/>
          <w:lang w:val="en-US" w:eastAsia="el-GR"/>
        </w:rPr>
        <w:t xml:space="preserve"> between the Black and Caucasian subjects was similar.</w:t>
      </w:r>
    </w:p>
    <w:p w14:paraId="170D0C75" w14:textId="77777777" w:rsidR="00E84EB9" w:rsidRPr="00734384" w:rsidRDefault="00E84EB9" w:rsidP="00734384">
      <w:pPr>
        <w:ind w:left="851"/>
        <w:rPr>
          <w:sz w:val="24"/>
          <w:szCs w:val="24"/>
          <w:lang w:val="en-US" w:eastAsia="el-GR"/>
        </w:rPr>
      </w:pPr>
    </w:p>
    <w:p w14:paraId="674650B2" w14:textId="77777777" w:rsidR="00CE347C" w:rsidRPr="00734384" w:rsidRDefault="00CE347C" w:rsidP="00734384">
      <w:pPr>
        <w:suppressAutoHyphens/>
        <w:ind w:left="851"/>
        <w:rPr>
          <w:i/>
          <w:sz w:val="24"/>
          <w:szCs w:val="24"/>
          <w:lang w:val="en-US" w:eastAsia="el-GR"/>
        </w:rPr>
      </w:pPr>
      <w:r w:rsidRPr="00734384">
        <w:rPr>
          <w:i/>
          <w:sz w:val="24"/>
          <w:szCs w:val="24"/>
          <w:lang w:val="en-US" w:eastAsia="el-GR"/>
        </w:rPr>
        <w:t>Weight</w:t>
      </w:r>
    </w:p>
    <w:p w14:paraId="0F92B753" w14:textId="77777777" w:rsidR="00CE347C" w:rsidRPr="00734384" w:rsidRDefault="00CE347C" w:rsidP="00734384">
      <w:pPr>
        <w:pStyle w:val="Brdtekst"/>
        <w:ind w:left="851"/>
        <w:jc w:val="left"/>
      </w:pPr>
      <w:r w:rsidRPr="00734384">
        <w:t xml:space="preserve">The population pharmacokinetic model of </w:t>
      </w:r>
      <w:proofErr w:type="spellStart"/>
      <w:r w:rsidRPr="00734384">
        <w:t>posaconazole</w:t>
      </w:r>
      <w:proofErr w:type="spellEnd"/>
      <w:r w:rsidRPr="00734384">
        <w:t xml:space="preserve"> concentrate for solution for infusion and tablets indicates that </w:t>
      </w:r>
      <w:proofErr w:type="spellStart"/>
      <w:r w:rsidRPr="00734384">
        <w:t>posaconazole</w:t>
      </w:r>
      <w:proofErr w:type="spellEnd"/>
      <w:r w:rsidRPr="00734384">
        <w:t xml:space="preserve"> clearance is related to weight. In patients &gt; 120 kg, the C</w:t>
      </w:r>
      <w:r w:rsidRPr="00734384">
        <w:rPr>
          <w:vertAlign w:val="subscript"/>
        </w:rPr>
        <w:t>av</w:t>
      </w:r>
      <w:r w:rsidRPr="00734384">
        <w:t xml:space="preserve"> is decreased by 25 % and in patients &lt; 50 kg, the C</w:t>
      </w:r>
      <w:r w:rsidRPr="00734384">
        <w:rPr>
          <w:vertAlign w:val="subscript"/>
        </w:rPr>
        <w:t>av</w:t>
      </w:r>
      <w:r w:rsidRPr="00734384">
        <w:t xml:space="preserve"> is increased by 19 %.</w:t>
      </w:r>
    </w:p>
    <w:p w14:paraId="0A8FABE5" w14:textId="77777777" w:rsidR="00CE347C" w:rsidRPr="00734384" w:rsidRDefault="00CE347C" w:rsidP="00734384">
      <w:pPr>
        <w:pStyle w:val="Sidehoved"/>
        <w:ind w:left="851"/>
        <w:rPr>
          <w:szCs w:val="24"/>
          <w:lang w:val="en-US"/>
        </w:rPr>
      </w:pPr>
      <w:r w:rsidRPr="00734384">
        <w:rPr>
          <w:szCs w:val="24"/>
          <w:lang w:val="en-US"/>
        </w:rPr>
        <w:t>It is, therefore, suggested to closely monitor for breakthrough fungal infections in patients weighing more than 120 kg.</w:t>
      </w:r>
    </w:p>
    <w:p w14:paraId="43D003AD" w14:textId="77777777" w:rsidR="00E84EB9" w:rsidRPr="00734384" w:rsidRDefault="00E84EB9" w:rsidP="00734384">
      <w:pPr>
        <w:ind w:left="851"/>
        <w:rPr>
          <w:sz w:val="24"/>
          <w:szCs w:val="24"/>
          <w:lang w:val="en-US" w:eastAsia="el-GR"/>
        </w:rPr>
      </w:pPr>
    </w:p>
    <w:p w14:paraId="1E29D885" w14:textId="77777777" w:rsidR="00E84EB9" w:rsidRPr="000455A5" w:rsidRDefault="00E84EB9" w:rsidP="002B1B75">
      <w:pPr>
        <w:ind w:left="851"/>
        <w:rPr>
          <w:i/>
          <w:sz w:val="24"/>
          <w:szCs w:val="24"/>
          <w:lang w:val="en-US" w:eastAsia="el-GR"/>
        </w:rPr>
      </w:pPr>
      <w:r w:rsidRPr="000455A5">
        <w:rPr>
          <w:i/>
          <w:sz w:val="24"/>
          <w:szCs w:val="24"/>
          <w:lang w:val="en-US" w:eastAsia="el-GR"/>
        </w:rPr>
        <w:t>Renal impairment</w:t>
      </w:r>
    </w:p>
    <w:p w14:paraId="46642388" w14:textId="428F5C9E" w:rsidR="00E84EB9" w:rsidRPr="000455A5" w:rsidRDefault="00E84EB9" w:rsidP="002B1B75">
      <w:pPr>
        <w:ind w:left="851"/>
        <w:rPr>
          <w:sz w:val="24"/>
          <w:szCs w:val="24"/>
          <w:lang w:val="en-US" w:eastAsia="el-GR"/>
        </w:rPr>
      </w:pPr>
      <w:r w:rsidRPr="000455A5">
        <w:rPr>
          <w:sz w:val="24"/>
          <w:szCs w:val="24"/>
          <w:lang w:val="en-US" w:eastAsia="el-GR"/>
        </w:rPr>
        <w:t xml:space="preserve">Following single-dose administration of </w:t>
      </w:r>
      <w:proofErr w:type="spellStart"/>
      <w:r w:rsidRPr="000455A5">
        <w:rPr>
          <w:sz w:val="24"/>
          <w:szCs w:val="24"/>
          <w:lang w:val="en-US" w:eastAsia="el-GR"/>
        </w:rPr>
        <w:t>posaconazole</w:t>
      </w:r>
      <w:proofErr w:type="spellEnd"/>
      <w:r w:rsidRPr="000455A5">
        <w:rPr>
          <w:sz w:val="24"/>
          <w:szCs w:val="24"/>
          <w:lang w:val="en-US" w:eastAsia="el-GR"/>
        </w:rPr>
        <w:t xml:space="preserve"> oral suspension, there was no effect of mild and moderate renal impairment (n=18, Cl </w:t>
      </w:r>
      <w:proofErr w:type="spellStart"/>
      <w:r w:rsidRPr="000455A5">
        <w:rPr>
          <w:sz w:val="24"/>
          <w:szCs w:val="24"/>
          <w:vertAlign w:val="subscript"/>
          <w:lang w:val="en-US" w:eastAsia="el-GR"/>
        </w:rPr>
        <w:t>cr</w:t>
      </w:r>
      <w:proofErr w:type="spellEnd"/>
      <w:r w:rsidRPr="000455A5">
        <w:rPr>
          <w:sz w:val="24"/>
          <w:szCs w:val="24"/>
          <w:lang w:val="en-US" w:eastAsia="el-GR"/>
        </w:rPr>
        <w:t xml:space="preserve"> ≥ 20 mL/min/1.73 m</w:t>
      </w:r>
      <w:r w:rsidRPr="000455A5">
        <w:rPr>
          <w:sz w:val="24"/>
          <w:szCs w:val="24"/>
          <w:vertAlign w:val="superscript"/>
          <w:lang w:val="en-US" w:eastAsia="el-GR"/>
        </w:rPr>
        <w:t>2</w:t>
      </w:r>
      <w:r w:rsidRPr="000455A5">
        <w:rPr>
          <w:sz w:val="24"/>
          <w:szCs w:val="24"/>
          <w:lang w:val="en-US" w:eastAsia="el-GR"/>
        </w:rPr>
        <w:t xml:space="preserve">) on </w:t>
      </w:r>
      <w:proofErr w:type="spellStart"/>
      <w:r w:rsidRPr="000455A5">
        <w:rPr>
          <w:sz w:val="24"/>
          <w:szCs w:val="24"/>
          <w:lang w:val="en-US" w:eastAsia="el-GR"/>
        </w:rPr>
        <w:t>posaconazole</w:t>
      </w:r>
      <w:proofErr w:type="spellEnd"/>
      <w:r w:rsidRPr="000455A5">
        <w:rPr>
          <w:sz w:val="24"/>
          <w:szCs w:val="24"/>
          <w:lang w:val="en-US" w:eastAsia="el-GR"/>
        </w:rPr>
        <w:t xml:space="preserve"> pharmacokinetics; therefore, no dose adjustment is required. In subjects with severe renal impairment (n=6, Cl </w:t>
      </w:r>
      <w:proofErr w:type="spellStart"/>
      <w:r w:rsidRPr="000455A5">
        <w:rPr>
          <w:sz w:val="24"/>
          <w:szCs w:val="24"/>
          <w:vertAlign w:val="subscript"/>
          <w:lang w:val="en-US" w:eastAsia="el-GR"/>
        </w:rPr>
        <w:t>cr</w:t>
      </w:r>
      <w:proofErr w:type="spellEnd"/>
      <w:r w:rsidRPr="000455A5">
        <w:rPr>
          <w:sz w:val="24"/>
          <w:szCs w:val="24"/>
          <w:vertAlign w:val="subscript"/>
          <w:lang w:val="en-US" w:eastAsia="el-GR"/>
        </w:rPr>
        <w:t xml:space="preserve"> </w:t>
      </w:r>
      <w:r w:rsidRPr="000455A5">
        <w:rPr>
          <w:sz w:val="24"/>
          <w:szCs w:val="24"/>
          <w:lang w:val="en-US" w:eastAsia="el-GR"/>
        </w:rPr>
        <w:t>&lt; 20 mL/min/1.73 m</w:t>
      </w:r>
      <w:r w:rsidRPr="000455A5">
        <w:rPr>
          <w:sz w:val="24"/>
          <w:szCs w:val="24"/>
          <w:vertAlign w:val="superscript"/>
          <w:lang w:val="en-US" w:eastAsia="el-GR"/>
        </w:rPr>
        <w:t>2</w:t>
      </w:r>
      <w:r w:rsidRPr="000455A5">
        <w:rPr>
          <w:sz w:val="24"/>
          <w:szCs w:val="24"/>
          <w:lang w:val="en-US" w:eastAsia="el-GR"/>
        </w:rPr>
        <w:t xml:space="preserve">), the AUC of </w:t>
      </w:r>
      <w:proofErr w:type="spellStart"/>
      <w:r w:rsidRPr="000455A5">
        <w:rPr>
          <w:sz w:val="24"/>
          <w:szCs w:val="24"/>
          <w:lang w:val="en-US" w:eastAsia="el-GR"/>
        </w:rPr>
        <w:t>posaconazole</w:t>
      </w:r>
      <w:proofErr w:type="spellEnd"/>
      <w:r w:rsidRPr="000455A5">
        <w:rPr>
          <w:sz w:val="24"/>
          <w:szCs w:val="24"/>
          <w:lang w:val="en-US" w:eastAsia="el-GR"/>
        </w:rPr>
        <w:t xml:space="preserve"> was highly variable [&gt; 96</w:t>
      </w:r>
      <w:r w:rsidR="00435221">
        <w:rPr>
          <w:sz w:val="24"/>
          <w:szCs w:val="24"/>
          <w:lang w:val="en-US" w:eastAsia="el-GR"/>
        </w:rPr>
        <w:t xml:space="preserve"> %</w:t>
      </w:r>
      <w:r w:rsidRPr="000455A5">
        <w:rPr>
          <w:sz w:val="24"/>
          <w:szCs w:val="24"/>
          <w:lang w:val="en-US" w:eastAsia="el-GR"/>
        </w:rPr>
        <w:t xml:space="preserve"> CV (coefficient of variance)] compared to other renal groups [&lt;</w:t>
      </w:r>
      <w:r w:rsidR="008D20C3">
        <w:rPr>
          <w:sz w:val="24"/>
          <w:szCs w:val="24"/>
          <w:lang w:val="en-US" w:eastAsia="el-GR"/>
        </w:rPr>
        <w:t> </w:t>
      </w:r>
      <w:r w:rsidRPr="000455A5">
        <w:rPr>
          <w:sz w:val="24"/>
          <w:szCs w:val="24"/>
          <w:lang w:val="en-US" w:eastAsia="el-GR"/>
        </w:rPr>
        <w:t>40</w:t>
      </w:r>
      <w:r w:rsidR="008D20C3">
        <w:rPr>
          <w:sz w:val="24"/>
          <w:szCs w:val="24"/>
          <w:lang w:val="en-US" w:eastAsia="el-GR"/>
        </w:rPr>
        <w:t> </w:t>
      </w:r>
      <w:r w:rsidR="00435221">
        <w:rPr>
          <w:sz w:val="24"/>
          <w:szCs w:val="24"/>
          <w:lang w:val="en-US" w:eastAsia="el-GR"/>
        </w:rPr>
        <w:t>%</w:t>
      </w:r>
      <w:r w:rsidRPr="000455A5">
        <w:rPr>
          <w:sz w:val="24"/>
          <w:szCs w:val="24"/>
          <w:lang w:val="en-US" w:eastAsia="el-GR"/>
        </w:rPr>
        <w:t xml:space="preserve"> CV]. However, as </w:t>
      </w:r>
      <w:proofErr w:type="spellStart"/>
      <w:r w:rsidRPr="000455A5">
        <w:rPr>
          <w:sz w:val="24"/>
          <w:szCs w:val="24"/>
          <w:lang w:val="en-US" w:eastAsia="el-GR"/>
        </w:rPr>
        <w:t>posaconazole</w:t>
      </w:r>
      <w:proofErr w:type="spellEnd"/>
      <w:r w:rsidRPr="000455A5">
        <w:rPr>
          <w:sz w:val="24"/>
          <w:szCs w:val="24"/>
          <w:lang w:val="en-US" w:eastAsia="el-GR"/>
        </w:rPr>
        <w:t xml:space="preserve"> is not significantly renally eliminated, an effect of severe renal impairment on the pharmacokinetics of </w:t>
      </w:r>
      <w:proofErr w:type="spellStart"/>
      <w:r w:rsidRPr="000455A5">
        <w:rPr>
          <w:sz w:val="24"/>
          <w:szCs w:val="24"/>
          <w:lang w:val="en-US" w:eastAsia="el-GR"/>
        </w:rPr>
        <w:t>posaconazole</w:t>
      </w:r>
      <w:proofErr w:type="spellEnd"/>
      <w:r w:rsidRPr="000455A5">
        <w:rPr>
          <w:sz w:val="24"/>
          <w:szCs w:val="24"/>
          <w:lang w:val="en-US" w:eastAsia="el-GR"/>
        </w:rPr>
        <w:t xml:space="preserve"> is not expected and no dose adjustment is recommended. </w:t>
      </w:r>
      <w:proofErr w:type="spellStart"/>
      <w:r w:rsidRPr="000455A5">
        <w:rPr>
          <w:sz w:val="24"/>
          <w:szCs w:val="24"/>
          <w:lang w:val="en-US" w:eastAsia="el-GR"/>
        </w:rPr>
        <w:t>Posaconazole</w:t>
      </w:r>
      <w:proofErr w:type="spellEnd"/>
      <w:r w:rsidRPr="000455A5">
        <w:rPr>
          <w:sz w:val="24"/>
          <w:szCs w:val="24"/>
          <w:lang w:val="en-US" w:eastAsia="el-GR"/>
        </w:rPr>
        <w:t xml:space="preserve"> is not removed by </w:t>
      </w:r>
      <w:proofErr w:type="spellStart"/>
      <w:r w:rsidRPr="000455A5">
        <w:rPr>
          <w:sz w:val="24"/>
          <w:szCs w:val="24"/>
          <w:lang w:val="en-US" w:eastAsia="el-GR"/>
        </w:rPr>
        <w:t>haemodialysis</w:t>
      </w:r>
      <w:proofErr w:type="spellEnd"/>
      <w:r w:rsidRPr="000455A5">
        <w:rPr>
          <w:sz w:val="24"/>
          <w:szCs w:val="24"/>
          <w:lang w:val="en-US" w:eastAsia="el-GR"/>
        </w:rPr>
        <w:t>.</w:t>
      </w:r>
    </w:p>
    <w:p w14:paraId="0AB4019C" w14:textId="77777777" w:rsidR="00E84EB9" w:rsidRPr="000455A5" w:rsidRDefault="00E84EB9" w:rsidP="002B1B75">
      <w:pPr>
        <w:ind w:left="851"/>
        <w:rPr>
          <w:sz w:val="24"/>
          <w:szCs w:val="24"/>
          <w:lang w:val="en-US" w:eastAsia="el-GR"/>
        </w:rPr>
      </w:pPr>
    </w:p>
    <w:p w14:paraId="36AE720C" w14:textId="77777777" w:rsidR="00E84EB9" w:rsidRPr="000455A5" w:rsidRDefault="00E84EB9" w:rsidP="002B1B75">
      <w:pPr>
        <w:ind w:left="851"/>
        <w:rPr>
          <w:i/>
          <w:sz w:val="24"/>
          <w:szCs w:val="24"/>
          <w:lang w:val="en-US" w:eastAsia="el-GR"/>
        </w:rPr>
      </w:pPr>
      <w:r w:rsidRPr="000455A5">
        <w:rPr>
          <w:i/>
          <w:sz w:val="24"/>
          <w:szCs w:val="24"/>
          <w:lang w:val="en-US" w:eastAsia="el-GR"/>
        </w:rPr>
        <w:t>Hepatic impairment</w:t>
      </w:r>
    </w:p>
    <w:p w14:paraId="5D5A0EEC" w14:textId="03817384" w:rsidR="00E84EB9" w:rsidRPr="000455A5" w:rsidRDefault="00E84EB9" w:rsidP="002B1B75">
      <w:pPr>
        <w:ind w:left="851"/>
        <w:rPr>
          <w:sz w:val="24"/>
          <w:szCs w:val="24"/>
          <w:lang w:val="en-US" w:eastAsia="el-GR"/>
        </w:rPr>
      </w:pPr>
      <w:r w:rsidRPr="000455A5">
        <w:rPr>
          <w:sz w:val="24"/>
          <w:szCs w:val="24"/>
          <w:lang w:val="en-US" w:eastAsia="el-GR"/>
        </w:rPr>
        <w:t xml:space="preserve">After a single oral dose of 400 mg </w:t>
      </w:r>
      <w:proofErr w:type="spellStart"/>
      <w:r w:rsidRPr="000455A5">
        <w:rPr>
          <w:sz w:val="24"/>
          <w:szCs w:val="24"/>
          <w:lang w:val="en-US" w:eastAsia="el-GR"/>
        </w:rPr>
        <w:t>posaconazole</w:t>
      </w:r>
      <w:proofErr w:type="spellEnd"/>
      <w:r w:rsidRPr="000455A5">
        <w:rPr>
          <w:sz w:val="24"/>
          <w:szCs w:val="24"/>
          <w:lang w:val="en-US" w:eastAsia="el-GR"/>
        </w:rPr>
        <w:t xml:space="preserve"> oral suspension to patients with mild (Child-Pugh Class A), moderate (Child-Pugh Class B) or severe (Child-Pugh Class C) hepatic impairment (six per group), the mean AUC was 1.3 to 1.6-fold higher compared to that for matched control subjects with normal hepatic function. Unbound concentrations were not determined and it cannot be excluded that there is a larger increase in unbound </w:t>
      </w:r>
      <w:proofErr w:type="spellStart"/>
      <w:r w:rsidRPr="000455A5">
        <w:rPr>
          <w:sz w:val="24"/>
          <w:szCs w:val="24"/>
          <w:lang w:val="en-US" w:eastAsia="el-GR"/>
        </w:rPr>
        <w:t>posaconazole</w:t>
      </w:r>
      <w:proofErr w:type="spellEnd"/>
      <w:r w:rsidRPr="000455A5">
        <w:rPr>
          <w:sz w:val="24"/>
          <w:szCs w:val="24"/>
          <w:lang w:val="en-US" w:eastAsia="el-GR"/>
        </w:rPr>
        <w:t xml:space="preserve"> exposure than the observed 60</w:t>
      </w:r>
      <w:r w:rsidR="00435221">
        <w:rPr>
          <w:sz w:val="24"/>
          <w:szCs w:val="24"/>
          <w:lang w:val="en-US" w:eastAsia="el-GR"/>
        </w:rPr>
        <w:t xml:space="preserve"> %</w:t>
      </w:r>
      <w:r w:rsidRPr="000455A5">
        <w:rPr>
          <w:sz w:val="24"/>
          <w:szCs w:val="24"/>
          <w:lang w:val="en-US" w:eastAsia="el-GR"/>
        </w:rPr>
        <w:t xml:space="preserve"> increase in total AUC. The elimination half-life (t</w:t>
      </w:r>
      <w:r w:rsidRPr="000455A5">
        <w:rPr>
          <w:sz w:val="24"/>
          <w:szCs w:val="24"/>
          <w:vertAlign w:val="superscript"/>
          <w:lang w:val="en-US" w:eastAsia="el-GR"/>
        </w:rPr>
        <w:t>1/2</w:t>
      </w:r>
      <w:r w:rsidRPr="000455A5">
        <w:rPr>
          <w:sz w:val="24"/>
          <w:szCs w:val="24"/>
          <w:lang w:val="en-US" w:eastAsia="el-GR"/>
        </w:rPr>
        <w:t>) was prolonged from approximately 27 hours up to ~43 hours in respective groups. No dose adjustment is recommended for patients with mild to severe hepatic impairment but caution is advised due to the potential for higher plasma exposure.</w:t>
      </w:r>
    </w:p>
    <w:p w14:paraId="227BEDF6" w14:textId="4FD30C57" w:rsidR="00BF541D" w:rsidRDefault="00BF541D">
      <w:pPr>
        <w:rPr>
          <w:sz w:val="24"/>
          <w:szCs w:val="24"/>
          <w:lang w:val="en-GB"/>
        </w:rPr>
      </w:pPr>
      <w:r>
        <w:rPr>
          <w:sz w:val="24"/>
          <w:szCs w:val="24"/>
          <w:lang w:val="en-GB"/>
        </w:rPr>
        <w:br w:type="page"/>
      </w:r>
    </w:p>
    <w:p w14:paraId="6E8D5851" w14:textId="77777777" w:rsidR="007C5D2A" w:rsidRPr="000455A5" w:rsidRDefault="007C5D2A" w:rsidP="003E0341">
      <w:pPr>
        <w:tabs>
          <w:tab w:val="left" w:pos="851"/>
        </w:tabs>
        <w:ind w:left="851"/>
        <w:rPr>
          <w:sz w:val="24"/>
          <w:szCs w:val="24"/>
          <w:lang w:val="en-GB"/>
        </w:rPr>
      </w:pPr>
    </w:p>
    <w:p w14:paraId="0764B10A" w14:textId="77777777" w:rsidR="007C5D2A" w:rsidRPr="000455A5" w:rsidRDefault="00180A12" w:rsidP="007C5D2A">
      <w:pPr>
        <w:tabs>
          <w:tab w:val="left" w:pos="851"/>
        </w:tabs>
        <w:ind w:left="851" w:hanging="851"/>
        <w:rPr>
          <w:b/>
          <w:sz w:val="24"/>
          <w:szCs w:val="24"/>
          <w:lang w:val="en-GB"/>
        </w:rPr>
      </w:pPr>
      <w:r w:rsidRPr="000455A5">
        <w:rPr>
          <w:b/>
          <w:sz w:val="24"/>
          <w:szCs w:val="24"/>
          <w:lang w:val="en-GB"/>
        </w:rPr>
        <w:t>5.3</w:t>
      </w:r>
      <w:r w:rsidRPr="000455A5">
        <w:rPr>
          <w:b/>
          <w:sz w:val="24"/>
          <w:szCs w:val="24"/>
          <w:lang w:val="en-GB"/>
        </w:rPr>
        <w:tab/>
        <w:t>Preclinical safety data</w:t>
      </w:r>
    </w:p>
    <w:p w14:paraId="1FC4FA2E" w14:textId="77777777" w:rsidR="00E84EB9" w:rsidRPr="000455A5" w:rsidRDefault="00E84EB9" w:rsidP="002B1B75">
      <w:pPr>
        <w:ind w:left="851"/>
        <w:rPr>
          <w:sz w:val="24"/>
          <w:szCs w:val="24"/>
          <w:lang w:val="en-US" w:eastAsia="el-GR"/>
        </w:rPr>
      </w:pPr>
      <w:r w:rsidRPr="000455A5">
        <w:rPr>
          <w:sz w:val="24"/>
          <w:szCs w:val="24"/>
          <w:lang w:val="en-US" w:eastAsia="el-GR"/>
        </w:rPr>
        <w:t xml:space="preserve">As observed with other azole antifungal agents, effects related to inhibition of steroid hormone synthesis were seen in repeated-dose toxicity studies with </w:t>
      </w:r>
      <w:proofErr w:type="spellStart"/>
      <w:r w:rsidRPr="000455A5">
        <w:rPr>
          <w:sz w:val="24"/>
          <w:szCs w:val="24"/>
          <w:lang w:val="en-US" w:eastAsia="el-GR"/>
        </w:rPr>
        <w:t>posaconazole</w:t>
      </w:r>
      <w:proofErr w:type="spellEnd"/>
      <w:r w:rsidRPr="000455A5">
        <w:rPr>
          <w:sz w:val="24"/>
          <w:szCs w:val="24"/>
          <w:lang w:val="en-US" w:eastAsia="el-GR"/>
        </w:rPr>
        <w:t>. Adrenal suppressive effects were observed in toxicity studies in rats and dogs at exposures equal to or greater than those obtained at therapeutic doses in humans.</w:t>
      </w:r>
    </w:p>
    <w:p w14:paraId="3B35FF57" w14:textId="77777777" w:rsidR="009E6B18" w:rsidRPr="000455A5" w:rsidRDefault="009E6B18" w:rsidP="002B1B75">
      <w:pPr>
        <w:ind w:left="851"/>
        <w:rPr>
          <w:sz w:val="24"/>
          <w:szCs w:val="24"/>
          <w:lang w:val="en-US" w:eastAsia="el-GR"/>
        </w:rPr>
      </w:pPr>
    </w:p>
    <w:p w14:paraId="62BE8875" w14:textId="65DF1BAF" w:rsidR="00E84EB9" w:rsidRPr="000455A5" w:rsidRDefault="00E84EB9" w:rsidP="002B1B75">
      <w:pPr>
        <w:ind w:left="851"/>
        <w:rPr>
          <w:sz w:val="24"/>
          <w:szCs w:val="24"/>
          <w:lang w:val="en-US" w:eastAsia="el-GR"/>
        </w:rPr>
      </w:pPr>
      <w:r w:rsidRPr="000455A5">
        <w:rPr>
          <w:sz w:val="24"/>
          <w:szCs w:val="24"/>
          <w:lang w:val="en-US" w:eastAsia="el-GR"/>
        </w:rPr>
        <w:t xml:space="preserve">Neuronal </w:t>
      </w:r>
      <w:proofErr w:type="spellStart"/>
      <w:r w:rsidRPr="000455A5">
        <w:rPr>
          <w:sz w:val="24"/>
          <w:szCs w:val="24"/>
          <w:lang w:val="en-US" w:eastAsia="el-GR"/>
        </w:rPr>
        <w:t>phospholipidosis</w:t>
      </w:r>
      <w:proofErr w:type="spellEnd"/>
      <w:r w:rsidRPr="000455A5">
        <w:rPr>
          <w:sz w:val="24"/>
          <w:szCs w:val="24"/>
          <w:lang w:val="en-US" w:eastAsia="el-GR"/>
        </w:rPr>
        <w:t xml:space="preserve"> occurred in dogs dosed for ≥ 3 months at lower systemic exposures than those obtained at therapeutic doses in humans. This finding was not seen in monkeys dosed for one year. In twelve-month neurotoxicity studies in dogs and monkeys, no functional effects were observed on the central or peripheral nervous systems at systemic exposures greater than those achieved therapeutically.</w:t>
      </w:r>
    </w:p>
    <w:p w14:paraId="63FFB631" w14:textId="77777777" w:rsidR="009E6B18" w:rsidRPr="000455A5" w:rsidRDefault="009E6B18" w:rsidP="002B1B75">
      <w:pPr>
        <w:ind w:left="851"/>
        <w:rPr>
          <w:sz w:val="24"/>
          <w:szCs w:val="24"/>
          <w:lang w:val="en-US" w:eastAsia="el-GR"/>
        </w:rPr>
      </w:pPr>
    </w:p>
    <w:p w14:paraId="4285D0DD" w14:textId="21917344" w:rsidR="00E84EB9" w:rsidRPr="000455A5" w:rsidRDefault="00E84EB9" w:rsidP="002B1B75">
      <w:pPr>
        <w:ind w:left="851"/>
        <w:rPr>
          <w:sz w:val="24"/>
          <w:szCs w:val="24"/>
          <w:lang w:val="en-US" w:eastAsia="el-GR"/>
        </w:rPr>
      </w:pPr>
      <w:r w:rsidRPr="000455A5">
        <w:rPr>
          <w:sz w:val="24"/>
          <w:szCs w:val="24"/>
          <w:lang w:val="en-US" w:eastAsia="el-GR"/>
        </w:rPr>
        <w:t xml:space="preserve">Pulmonary </w:t>
      </w:r>
      <w:proofErr w:type="spellStart"/>
      <w:r w:rsidRPr="000455A5">
        <w:rPr>
          <w:sz w:val="24"/>
          <w:szCs w:val="24"/>
          <w:lang w:val="en-US" w:eastAsia="el-GR"/>
        </w:rPr>
        <w:t>phospholipidosis</w:t>
      </w:r>
      <w:proofErr w:type="spellEnd"/>
      <w:r w:rsidRPr="000455A5">
        <w:rPr>
          <w:sz w:val="24"/>
          <w:szCs w:val="24"/>
          <w:lang w:val="en-US" w:eastAsia="el-GR"/>
        </w:rPr>
        <w:t xml:space="preserve"> resulting in dilatation and obstruction of the alveoli was observed in the 2-year study in rats. These findings are not necessarily indicative of a potential for functional changes in humans.</w:t>
      </w:r>
    </w:p>
    <w:p w14:paraId="0AB3B7EC" w14:textId="77777777" w:rsidR="009E6B18" w:rsidRPr="000455A5" w:rsidRDefault="009E6B18" w:rsidP="002B1B75">
      <w:pPr>
        <w:ind w:left="851"/>
        <w:rPr>
          <w:sz w:val="24"/>
          <w:szCs w:val="24"/>
          <w:lang w:val="en-US" w:eastAsia="el-GR"/>
        </w:rPr>
      </w:pPr>
    </w:p>
    <w:p w14:paraId="22AA7864" w14:textId="63FD625F" w:rsidR="00E84EB9" w:rsidRPr="000455A5" w:rsidRDefault="00E84EB9" w:rsidP="002B1B75">
      <w:pPr>
        <w:ind w:left="851"/>
        <w:rPr>
          <w:sz w:val="24"/>
          <w:szCs w:val="24"/>
          <w:lang w:val="en-US" w:eastAsia="el-GR"/>
        </w:rPr>
      </w:pPr>
      <w:r w:rsidRPr="000455A5">
        <w:rPr>
          <w:sz w:val="24"/>
          <w:szCs w:val="24"/>
          <w:lang w:val="en-US" w:eastAsia="el-GR"/>
        </w:rPr>
        <w:t>No effects on electrocardiograms, including QT and QTc intervals, were seen in a repeat dose safety pharmacology study in monkeys at systemic exposures 4.6-fold greater than the concentrations obtained at therapeutic doses in humans. Echocardiography revealed no indication of cardiac decompensation in a repeat dose safety pharmacology study in rats at a systemic exposure 1.4-fold greater than that achieved therapeutically. Increased systolic and arterial blood pressures (up to 29 mm-Hg) were seen in rats and monkeys at systemic exposures 1.4-fold and 4.6-fold greater, respectively, than those achieved with the human therapeutic doses.</w:t>
      </w:r>
    </w:p>
    <w:p w14:paraId="3D0A3C7F" w14:textId="77777777" w:rsidR="009E6B18" w:rsidRPr="000455A5" w:rsidRDefault="009E6B18" w:rsidP="002B1B75">
      <w:pPr>
        <w:ind w:left="851"/>
        <w:rPr>
          <w:sz w:val="24"/>
          <w:szCs w:val="24"/>
          <w:lang w:val="en-US" w:eastAsia="el-GR"/>
        </w:rPr>
      </w:pPr>
    </w:p>
    <w:p w14:paraId="00D96076" w14:textId="2BA3914F" w:rsidR="00E84EB9" w:rsidRPr="000455A5" w:rsidRDefault="00E84EB9" w:rsidP="002B1B75">
      <w:pPr>
        <w:ind w:left="851"/>
        <w:rPr>
          <w:sz w:val="24"/>
          <w:szCs w:val="24"/>
          <w:lang w:val="en-US"/>
        </w:rPr>
      </w:pPr>
      <w:r w:rsidRPr="000455A5">
        <w:rPr>
          <w:sz w:val="24"/>
          <w:szCs w:val="24"/>
          <w:lang w:val="en-US" w:eastAsia="el-GR"/>
        </w:rPr>
        <w:t xml:space="preserve">Reproduction, peri- and postnatal development studies were conducted in rats. At exposures lower than those obtained at therapeutic doses in humans, </w:t>
      </w:r>
      <w:proofErr w:type="spellStart"/>
      <w:r w:rsidRPr="000455A5">
        <w:rPr>
          <w:sz w:val="24"/>
          <w:szCs w:val="24"/>
          <w:lang w:val="en-US" w:eastAsia="el-GR"/>
        </w:rPr>
        <w:t>posaconazole</w:t>
      </w:r>
      <w:proofErr w:type="spellEnd"/>
      <w:r w:rsidRPr="000455A5">
        <w:rPr>
          <w:sz w:val="24"/>
          <w:szCs w:val="24"/>
          <w:lang w:val="en-US" w:eastAsia="el-GR"/>
        </w:rPr>
        <w:t xml:space="preserve"> caused skeletal variations and malformations, dystocia, increased length of gestation, reduced mean litter size and postnatal viability. In rabbits, </w:t>
      </w:r>
      <w:proofErr w:type="spellStart"/>
      <w:r w:rsidRPr="000455A5">
        <w:rPr>
          <w:sz w:val="24"/>
          <w:szCs w:val="24"/>
          <w:lang w:val="en-US" w:eastAsia="el-GR"/>
        </w:rPr>
        <w:t>posaconazole</w:t>
      </w:r>
      <w:proofErr w:type="spellEnd"/>
      <w:r w:rsidRPr="000455A5">
        <w:rPr>
          <w:sz w:val="24"/>
          <w:szCs w:val="24"/>
          <w:lang w:val="en-US" w:eastAsia="el-GR"/>
        </w:rPr>
        <w:t xml:space="preserve"> was embryotoxic at exposures greater than those obtained at therapeutic doses. As observed with other azole antifungal agents, these effects on reproduction were considered to be due to a treatment-related effect on steroidogenesis.</w:t>
      </w:r>
      <w:r w:rsidRPr="000455A5">
        <w:rPr>
          <w:sz w:val="24"/>
          <w:szCs w:val="24"/>
          <w:lang w:val="en-US"/>
        </w:rPr>
        <w:t xml:space="preserve"> </w:t>
      </w:r>
    </w:p>
    <w:p w14:paraId="6EB07671" w14:textId="77777777" w:rsidR="009E6B18" w:rsidRPr="000455A5" w:rsidRDefault="009E6B18" w:rsidP="002B1B75">
      <w:pPr>
        <w:ind w:left="851"/>
        <w:rPr>
          <w:sz w:val="24"/>
          <w:szCs w:val="24"/>
          <w:lang w:val="en-US" w:eastAsia="el-GR"/>
        </w:rPr>
      </w:pPr>
    </w:p>
    <w:p w14:paraId="2E5630F6" w14:textId="4CBFA1D6" w:rsidR="00E84EB9" w:rsidRPr="000455A5" w:rsidRDefault="00E84EB9" w:rsidP="002B1B75">
      <w:pPr>
        <w:ind w:left="851"/>
        <w:rPr>
          <w:sz w:val="24"/>
          <w:szCs w:val="24"/>
          <w:lang w:val="en-US" w:eastAsia="el-GR"/>
        </w:rPr>
      </w:pPr>
      <w:proofErr w:type="spellStart"/>
      <w:r w:rsidRPr="000455A5">
        <w:rPr>
          <w:sz w:val="24"/>
          <w:szCs w:val="24"/>
          <w:lang w:val="en-US" w:eastAsia="el-GR"/>
        </w:rPr>
        <w:t>Posaconazole</w:t>
      </w:r>
      <w:proofErr w:type="spellEnd"/>
      <w:r w:rsidRPr="000455A5">
        <w:rPr>
          <w:sz w:val="24"/>
          <w:szCs w:val="24"/>
          <w:lang w:val="en-US" w:eastAsia="el-GR"/>
        </w:rPr>
        <w:t xml:space="preserve"> was not genotoxic in in vitro and in vivo studies. Carcinogenicity studies did not reveal special hazards for humans.</w:t>
      </w:r>
    </w:p>
    <w:p w14:paraId="797B6048" w14:textId="02BCB5E1" w:rsidR="007C5D2A" w:rsidRPr="000455A5" w:rsidRDefault="007C5D2A" w:rsidP="003E0341">
      <w:pPr>
        <w:tabs>
          <w:tab w:val="left" w:pos="851"/>
        </w:tabs>
        <w:ind w:left="851"/>
        <w:rPr>
          <w:sz w:val="24"/>
          <w:szCs w:val="24"/>
          <w:lang w:val="en-GB"/>
        </w:rPr>
      </w:pPr>
    </w:p>
    <w:p w14:paraId="1C9A30B6" w14:textId="77777777" w:rsidR="009E6B18" w:rsidRPr="000455A5" w:rsidRDefault="009E6B18" w:rsidP="003E0341">
      <w:pPr>
        <w:tabs>
          <w:tab w:val="left" w:pos="851"/>
        </w:tabs>
        <w:ind w:left="851"/>
        <w:rPr>
          <w:sz w:val="24"/>
          <w:szCs w:val="24"/>
          <w:lang w:val="en-GB"/>
        </w:rPr>
      </w:pPr>
    </w:p>
    <w:p w14:paraId="0D29A378" w14:textId="77777777" w:rsidR="007C5D2A" w:rsidRPr="000455A5" w:rsidRDefault="009925C9" w:rsidP="007C5D2A">
      <w:pPr>
        <w:ind w:left="851" w:hanging="851"/>
        <w:rPr>
          <w:b/>
          <w:sz w:val="24"/>
          <w:szCs w:val="24"/>
          <w:lang w:val="en-GB"/>
        </w:rPr>
      </w:pPr>
      <w:r w:rsidRPr="000455A5">
        <w:rPr>
          <w:b/>
          <w:sz w:val="24"/>
          <w:szCs w:val="24"/>
          <w:lang w:val="en-GB"/>
        </w:rPr>
        <w:t>6.</w:t>
      </w:r>
      <w:r w:rsidR="007C5D2A" w:rsidRPr="000455A5">
        <w:rPr>
          <w:b/>
          <w:sz w:val="24"/>
          <w:szCs w:val="24"/>
          <w:lang w:val="en-GB"/>
        </w:rPr>
        <w:tab/>
        <w:t>PHARMACEUTICAL PARTICULARS</w:t>
      </w:r>
    </w:p>
    <w:p w14:paraId="1170E912" w14:textId="77777777" w:rsidR="007C5D2A" w:rsidRPr="000455A5" w:rsidRDefault="007C5D2A" w:rsidP="003E0341">
      <w:pPr>
        <w:tabs>
          <w:tab w:val="left" w:pos="851"/>
        </w:tabs>
        <w:ind w:left="851"/>
        <w:rPr>
          <w:sz w:val="24"/>
          <w:szCs w:val="24"/>
          <w:lang w:val="en-GB"/>
        </w:rPr>
      </w:pPr>
    </w:p>
    <w:p w14:paraId="33AA0D0A" w14:textId="77777777" w:rsidR="007C5D2A" w:rsidRPr="000455A5" w:rsidRDefault="007C5D2A" w:rsidP="007C5D2A">
      <w:pPr>
        <w:ind w:left="851" w:hanging="851"/>
        <w:rPr>
          <w:b/>
          <w:sz w:val="24"/>
          <w:szCs w:val="24"/>
          <w:lang w:val="en-GB"/>
        </w:rPr>
      </w:pPr>
      <w:r w:rsidRPr="000455A5">
        <w:rPr>
          <w:b/>
          <w:sz w:val="24"/>
          <w:szCs w:val="24"/>
          <w:lang w:val="en-GB"/>
        </w:rPr>
        <w:t>6.1</w:t>
      </w:r>
      <w:r w:rsidRPr="000455A5">
        <w:rPr>
          <w:b/>
          <w:sz w:val="24"/>
          <w:szCs w:val="24"/>
          <w:lang w:val="en-GB"/>
        </w:rPr>
        <w:tab/>
        <w:t>List of excipients</w:t>
      </w:r>
    </w:p>
    <w:p w14:paraId="3311C4CD" w14:textId="77777777" w:rsidR="00E84EB9" w:rsidRPr="000455A5" w:rsidRDefault="00E84EB9" w:rsidP="002B1B75">
      <w:pPr>
        <w:ind w:left="851"/>
        <w:rPr>
          <w:sz w:val="24"/>
          <w:szCs w:val="24"/>
          <w:lang w:val="en-GB"/>
        </w:rPr>
      </w:pPr>
      <w:r w:rsidRPr="000455A5">
        <w:rPr>
          <w:sz w:val="24"/>
          <w:szCs w:val="24"/>
          <w:lang w:val="en-GB"/>
        </w:rPr>
        <w:t>Citric acid monohydrate</w:t>
      </w:r>
    </w:p>
    <w:p w14:paraId="4BB7B65A" w14:textId="77777777" w:rsidR="00E84EB9" w:rsidRPr="000455A5" w:rsidRDefault="00E84EB9" w:rsidP="002B1B75">
      <w:pPr>
        <w:ind w:left="851"/>
        <w:rPr>
          <w:sz w:val="24"/>
          <w:szCs w:val="24"/>
          <w:lang w:val="de-DE"/>
        </w:rPr>
      </w:pPr>
      <w:proofErr w:type="spellStart"/>
      <w:r w:rsidRPr="000455A5">
        <w:rPr>
          <w:sz w:val="24"/>
          <w:szCs w:val="24"/>
          <w:lang w:val="de-DE"/>
        </w:rPr>
        <w:t>Monosodium</w:t>
      </w:r>
      <w:proofErr w:type="spellEnd"/>
      <w:r w:rsidRPr="000455A5">
        <w:rPr>
          <w:sz w:val="24"/>
          <w:szCs w:val="24"/>
          <w:lang w:val="de-DE"/>
        </w:rPr>
        <w:t xml:space="preserve"> </w:t>
      </w:r>
      <w:proofErr w:type="spellStart"/>
      <w:r w:rsidRPr="000455A5">
        <w:rPr>
          <w:sz w:val="24"/>
          <w:szCs w:val="24"/>
          <w:lang w:val="de-DE"/>
        </w:rPr>
        <w:t>citrate</w:t>
      </w:r>
      <w:proofErr w:type="spellEnd"/>
      <w:r w:rsidRPr="000455A5">
        <w:rPr>
          <w:sz w:val="24"/>
          <w:szCs w:val="24"/>
          <w:lang w:val="de-DE"/>
        </w:rPr>
        <w:t xml:space="preserve"> </w:t>
      </w:r>
      <w:proofErr w:type="spellStart"/>
      <w:r w:rsidRPr="000455A5">
        <w:rPr>
          <w:sz w:val="24"/>
          <w:szCs w:val="24"/>
          <w:lang w:val="de-DE"/>
        </w:rPr>
        <w:t>anhydrous</w:t>
      </w:r>
      <w:proofErr w:type="spellEnd"/>
    </w:p>
    <w:p w14:paraId="61DB7847" w14:textId="77777777" w:rsidR="00E84EB9" w:rsidRPr="000455A5" w:rsidRDefault="00E84EB9" w:rsidP="002B1B75">
      <w:pPr>
        <w:ind w:left="851"/>
        <w:rPr>
          <w:sz w:val="24"/>
          <w:szCs w:val="24"/>
          <w:lang w:val="de-DE"/>
        </w:rPr>
      </w:pPr>
      <w:proofErr w:type="spellStart"/>
      <w:r w:rsidRPr="000455A5">
        <w:rPr>
          <w:sz w:val="24"/>
          <w:szCs w:val="24"/>
          <w:lang w:val="de-DE"/>
        </w:rPr>
        <w:t>Sodium</w:t>
      </w:r>
      <w:proofErr w:type="spellEnd"/>
      <w:r w:rsidRPr="000455A5">
        <w:rPr>
          <w:sz w:val="24"/>
          <w:szCs w:val="24"/>
          <w:lang w:val="de-DE"/>
        </w:rPr>
        <w:t xml:space="preserve"> </w:t>
      </w:r>
      <w:proofErr w:type="spellStart"/>
      <w:r w:rsidRPr="000455A5">
        <w:rPr>
          <w:sz w:val="24"/>
          <w:szCs w:val="24"/>
          <w:lang w:val="de-DE"/>
        </w:rPr>
        <w:t>benzoate</w:t>
      </w:r>
      <w:proofErr w:type="spellEnd"/>
      <w:r w:rsidRPr="000455A5">
        <w:rPr>
          <w:sz w:val="24"/>
          <w:szCs w:val="24"/>
          <w:lang w:val="de-DE"/>
        </w:rPr>
        <w:t xml:space="preserve"> (E211)</w:t>
      </w:r>
    </w:p>
    <w:p w14:paraId="3BA236FA" w14:textId="77777777" w:rsidR="00E84EB9" w:rsidRPr="000455A5" w:rsidRDefault="00E84EB9" w:rsidP="002B1B75">
      <w:pPr>
        <w:ind w:left="851"/>
        <w:rPr>
          <w:sz w:val="24"/>
          <w:szCs w:val="24"/>
          <w:lang w:val="en-GB"/>
        </w:rPr>
      </w:pPr>
      <w:r w:rsidRPr="000455A5">
        <w:rPr>
          <w:sz w:val="24"/>
          <w:szCs w:val="24"/>
          <w:lang w:val="en-GB"/>
        </w:rPr>
        <w:t xml:space="preserve">Sodium </w:t>
      </w:r>
      <w:proofErr w:type="spellStart"/>
      <w:r w:rsidRPr="000455A5">
        <w:rPr>
          <w:sz w:val="24"/>
          <w:szCs w:val="24"/>
          <w:lang w:val="en-GB"/>
        </w:rPr>
        <w:t>laurilsulfate</w:t>
      </w:r>
      <w:proofErr w:type="spellEnd"/>
    </w:p>
    <w:p w14:paraId="5923DFF9" w14:textId="10A3BED2" w:rsidR="00E84EB9" w:rsidRPr="000455A5" w:rsidRDefault="00E84EB9" w:rsidP="002B1B75">
      <w:pPr>
        <w:ind w:left="851"/>
        <w:rPr>
          <w:sz w:val="24"/>
          <w:szCs w:val="24"/>
          <w:lang w:val="en-GB"/>
        </w:rPr>
      </w:pPr>
      <w:r w:rsidRPr="000455A5">
        <w:rPr>
          <w:sz w:val="24"/>
          <w:szCs w:val="24"/>
          <w:lang w:val="en-GB"/>
        </w:rPr>
        <w:t>Simethicone emulsion 30</w:t>
      </w:r>
      <w:r w:rsidR="00435221">
        <w:rPr>
          <w:sz w:val="24"/>
          <w:szCs w:val="24"/>
          <w:lang w:val="en-GB"/>
        </w:rPr>
        <w:t xml:space="preserve"> %</w:t>
      </w:r>
      <w:r w:rsidRPr="000455A5">
        <w:rPr>
          <w:sz w:val="24"/>
          <w:szCs w:val="24"/>
          <w:lang w:val="en-GB"/>
        </w:rPr>
        <w:t xml:space="preserve"> containing:</w:t>
      </w:r>
    </w:p>
    <w:p w14:paraId="5054346A" w14:textId="77777777" w:rsidR="00E84EB9" w:rsidRPr="000455A5" w:rsidRDefault="00E84EB9" w:rsidP="002B1B75">
      <w:pPr>
        <w:ind w:left="851"/>
        <w:rPr>
          <w:sz w:val="24"/>
          <w:szCs w:val="24"/>
          <w:lang w:val="en-GB"/>
        </w:rPr>
      </w:pPr>
      <w:r w:rsidRPr="000455A5">
        <w:rPr>
          <w:sz w:val="24"/>
          <w:szCs w:val="24"/>
          <w:lang w:val="en-GB"/>
        </w:rPr>
        <w:tab/>
      </w:r>
      <w:proofErr w:type="spellStart"/>
      <w:r w:rsidRPr="000455A5">
        <w:rPr>
          <w:sz w:val="24"/>
          <w:szCs w:val="24"/>
          <w:lang w:val="en-GB"/>
        </w:rPr>
        <w:t>Simeticone</w:t>
      </w:r>
      <w:proofErr w:type="spellEnd"/>
    </w:p>
    <w:p w14:paraId="496BA1FF" w14:textId="77777777" w:rsidR="00E84EB9" w:rsidRPr="000455A5" w:rsidRDefault="00E84EB9" w:rsidP="002B1B75">
      <w:pPr>
        <w:ind w:left="851"/>
        <w:rPr>
          <w:sz w:val="24"/>
          <w:szCs w:val="24"/>
          <w:lang w:val="en-GB"/>
        </w:rPr>
      </w:pPr>
      <w:r w:rsidRPr="000455A5">
        <w:rPr>
          <w:sz w:val="24"/>
          <w:szCs w:val="24"/>
          <w:lang w:val="en-GB"/>
        </w:rPr>
        <w:tab/>
        <w:t>Methylcellulose</w:t>
      </w:r>
    </w:p>
    <w:p w14:paraId="41328529" w14:textId="77777777" w:rsidR="00E84EB9" w:rsidRPr="000455A5" w:rsidRDefault="00E84EB9" w:rsidP="002B1B75">
      <w:pPr>
        <w:ind w:left="851"/>
        <w:rPr>
          <w:sz w:val="24"/>
          <w:szCs w:val="24"/>
          <w:lang w:val="en-GB"/>
        </w:rPr>
      </w:pPr>
      <w:r w:rsidRPr="000455A5">
        <w:rPr>
          <w:sz w:val="24"/>
          <w:szCs w:val="24"/>
          <w:lang w:val="en-GB"/>
        </w:rPr>
        <w:tab/>
        <w:t>Sorbic acid</w:t>
      </w:r>
    </w:p>
    <w:p w14:paraId="4A2B4159" w14:textId="77777777" w:rsidR="00E84EB9" w:rsidRPr="000455A5" w:rsidRDefault="00E84EB9" w:rsidP="002B1B75">
      <w:pPr>
        <w:ind w:left="851"/>
        <w:rPr>
          <w:sz w:val="24"/>
          <w:szCs w:val="24"/>
          <w:lang w:val="en-GB"/>
        </w:rPr>
      </w:pPr>
      <w:r w:rsidRPr="000455A5">
        <w:rPr>
          <w:sz w:val="24"/>
          <w:szCs w:val="24"/>
          <w:lang w:val="en-GB"/>
        </w:rPr>
        <w:tab/>
        <w:t>Water</w:t>
      </w:r>
    </w:p>
    <w:p w14:paraId="7876C9CC" w14:textId="77777777" w:rsidR="00E84EB9" w:rsidRPr="000455A5" w:rsidRDefault="00E84EB9" w:rsidP="002B1B75">
      <w:pPr>
        <w:ind w:left="851"/>
        <w:rPr>
          <w:sz w:val="24"/>
          <w:szCs w:val="24"/>
          <w:lang w:val="en-GB"/>
        </w:rPr>
      </w:pPr>
      <w:r w:rsidRPr="000455A5">
        <w:rPr>
          <w:sz w:val="24"/>
          <w:szCs w:val="24"/>
          <w:lang w:val="en-GB"/>
        </w:rPr>
        <w:t>Glycerol</w:t>
      </w:r>
    </w:p>
    <w:p w14:paraId="0028887B" w14:textId="77777777" w:rsidR="00E84EB9" w:rsidRPr="000455A5" w:rsidRDefault="00E84EB9" w:rsidP="002B1B75">
      <w:pPr>
        <w:ind w:left="851"/>
        <w:rPr>
          <w:sz w:val="24"/>
          <w:szCs w:val="24"/>
          <w:lang w:val="en-GB"/>
        </w:rPr>
      </w:pPr>
      <w:r w:rsidRPr="000455A5">
        <w:rPr>
          <w:sz w:val="24"/>
          <w:szCs w:val="24"/>
          <w:lang w:val="en-GB"/>
        </w:rPr>
        <w:t>Xanthan gum</w:t>
      </w:r>
    </w:p>
    <w:p w14:paraId="2E08836B" w14:textId="77777777" w:rsidR="00E84EB9" w:rsidRPr="000455A5" w:rsidRDefault="00E84EB9" w:rsidP="002B1B75">
      <w:pPr>
        <w:ind w:left="851"/>
        <w:rPr>
          <w:sz w:val="24"/>
          <w:szCs w:val="24"/>
          <w:lang w:val="en-GB"/>
        </w:rPr>
      </w:pPr>
      <w:r w:rsidRPr="000455A5">
        <w:rPr>
          <w:sz w:val="24"/>
          <w:szCs w:val="24"/>
          <w:lang w:val="en-GB"/>
        </w:rPr>
        <w:t>Glucose, liquid</w:t>
      </w:r>
    </w:p>
    <w:p w14:paraId="17A66436" w14:textId="77777777" w:rsidR="00E84EB9" w:rsidRPr="000455A5" w:rsidRDefault="00E84EB9" w:rsidP="002B1B75">
      <w:pPr>
        <w:ind w:left="851"/>
        <w:rPr>
          <w:sz w:val="24"/>
          <w:szCs w:val="24"/>
          <w:lang w:val="en-GB"/>
        </w:rPr>
      </w:pPr>
      <w:r w:rsidRPr="000455A5">
        <w:rPr>
          <w:sz w:val="24"/>
          <w:szCs w:val="24"/>
          <w:lang w:val="en-GB"/>
        </w:rPr>
        <w:t>Titanium dioxide (E171)</w:t>
      </w:r>
    </w:p>
    <w:p w14:paraId="655F204A" w14:textId="77777777" w:rsidR="00E84EB9" w:rsidRPr="000455A5" w:rsidRDefault="00E84EB9" w:rsidP="002B1B75">
      <w:pPr>
        <w:ind w:left="851"/>
        <w:rPr>
          <w:sz w:val="24"/>
          <w:szCs w:val="24"/>
          <w:lang w:val="en-GB"/>
        </w:rPr>
      </w:pPr>
      <w:r w:rsidRPr="000455A5">
        <w:rPr>
          <w:sz w:val="24"/>
          <w:szCs w:val="24"/>
          <w:lang w:val="en-GB"/>
        </w:rPr>
        <w:t xml:space="preserve">Cherry </w:t>
      </w:r>
      <w:proofErr w:type="spellStart"/>
      <w:r w:rsidRPr="000455A5">
        <w:rPr>
          <w:sz w:val="24"/>
          <w:szCs w:val="24"/>
          <w:lang w:val="en-GB"/>
        </w:rPr>
        <w:t>flavor</w:t>
      </w:r>
      <w:proofErr w:type="spellEnd"/>
      <w:r w:rsidRPr="000455A5">
        <w:rPr>
          <w:sz w:val="24"/>
          <w:szCs w:val="24"/>
          <w:lang w:val="en-GB"/>
        </w:rPr>
        <w:t xml:space="preserve"> PHL 142-355</w:t>
      </w:r>
    </w:p>
    <w:p w14:paraId="0D66AB53" w14:textId="77777777" w:rsidR="00E84EB9" w:rsidRPr="000455A5" w:rsidRDefault="00E84EB9" w:rsidP="002B1B75">
      <w:pPr>
        <w:ind w:left="851"/>
        <w:rPr>
          <w:sz w:val="24"/>
          <w:szCs w:val="24"/>
          <w:lang w:val="en-GB"/>
        </w:rPr>
      </w:pPr>
      <w:r w:rsidRPr="000455A5">
        <w:rPr>
          <w:sz w:val="24"/>
          <w:szCs w:val="24"/>
          <w:lang w:val="en-GB"/>
        </w:rPr>
        <w:t>Purified water</w:t>
      </w:r>
    </w:p>
    <w:p w14:paraId="5DE25210" w14:textId="77777777" w:rsidR="007C5D2A" w:rsidRPr="000455A5" w:rsidRDefault="007C5D2A" w:rsidP="003D727E">
      <w:pPr>
        <w:tabs>
          <w:tab w:val="left" w:pos="851"/>
        </w:tabs>
        <w:ind w:left="851"/>
        <w:rPr>
          <w:sz w:val="24"/>
          <w:szCs w:val="24"/>
          <w:lang w:val="en-GB"/>
        </w:rPr>
      </w:pPr>
    </w:p>
    <w:p w14:paraId="4E730827" w14:textId="77777777" w:rsidR="007C5D2A" w:rsidRPr="000455A5" w:rsidRDefault="007C5D2A" w:rsidP="007C5D2A">
      <w:pPr>
        <w:ind w:left="851" w:hanging="851"/>
        <w:rPr>
          <w:b/>
          <w:sz w:val="24"/>
          <w:szCs w:val="24"/>
          <w:lang w:val="en-GB"/>
        </w:rPr>
      </w:pPr>
      <w:r w:rsidRPr="000455A5">
        <w:rPr>
          <w:b/>
          <w:sz w:val="24"/>
          <w:szCs w:val="24"/>
          <w:lang w:val="en-GB"/>
        </w:rPr>
        <w:t>6.2</w:t>
      </w:r>
      <w:r w:rsidRPr="000455A5">
        <w:rPr>
          <w:b/>
          <w:sz w:val="24"/>
          <w:szCs w:val="24"/>
          <w:lang w:val="en-GB"/>
        </w:rPr>
        <w:tab/>
        <w:t>Incompatibilities</w:t>
      </w:r>
    </w:p>
    <w:p w14:paraId="65CB8B00" w14:textId="77777777" w:rsidR="00E84EB9" w:rsidRPr="000455A5" w:rsidRDefault="00E84EB9" w:rsidP="002B1B75">
      <w:pPr>
        <w:suppressAutoHyphens/>
        <w:ind w:left="851"/>
        <w:rPr>
          <w:sz w:val="24"/>
          <w:szCs w:val="24"/>
          <w:lang w:val="en-US"/>
        </w:rPr>
      </w:pPr>
      <w:r w:rsidRPr="000455A5">
        <w:rPr>
          <w:sz w:val="24"/>
          <w:szCs w:val="24"/>
          <w:lang w:val="en-US"/>
        </w:rPr>
        <w:t>Not applicable</w:t>
      </w:r>
    </w:p>
    <w:p w14:paraId="3560262F" w14:textId="77777777" w:rsidR="007C5D2A" w:rsidRPr="000455A5" w:rsidRDefault="007C5D2A" w:rsidP="003E0341">
      <w:pPr>
        <w:tabs>
          <w:tab w:val="left" w:pos="851"/>
        </w:tabs>
        <w:ind w:left="851"/>
        <w:rPr>
          <w:sz w:val="24"/>
          <w:szCs w:val="24"/>
          <w:lang w:val="en-GB"/>
        </w:rPr>
      </w:pPr>
    </w:p>
    <w:p w14:paraId="44A59FCE" w14:textId="0C157AAA" w:rsidR="007C5D2A" w:rsidRPr="000455A5" w:rsidRDefault="007C5D2A" w:rsidP="007C5D2A">
      <w:pPr>
        <w:ind w:left="851" w:hanging="851"/>
        <w:rPr>
          <w:b/>
          <w:sz w:val="24"/>
          <w:szCs w:val="24"/>
          <w:lang w:val="en-GB"/>
        </w:rPr>
      </w:pPr>
      <w:r w:rsidRPr="000455A5">
        <w:rPr>
          <w:b/>
          <w:sz w:val="24"/>
          <w:szCs w:val="24"/>
          <w:lang w:val="en-GB"/>
        </w:rPr>
        <w:t>6.3</w:t>
      </w:r>
      <w:r w:rsidRPr="000455A5">
        <w:rPr>
          <w:b/>
          <w:sz w:val="24"/>
          <w:szCs w:val="24"/>
          <w:lang w:val="en-GB"/>
        </w:rPr>
        <w:tab/>
        <w:t>Shelf</w:t>
      </w:r>
      <w:r w:rsidR="0023363D">
        <w:rPr>
          <w:b/>
          <w:sz w:val="24"/>
          <w:szCs w:val="24"/>
          <w:lang w:val="en-GB"/>
        </w:rPr>
        <w:t xml:space="preserve"> </w:t>
      </w:r>
      <w:r w:rsidRPr="000455A5">
        <w:rPr>
          <w:b/>
          <w:sz w:val="24"/>
          <w:szCs w:val="24"/>
          <w:lang w:val="en-GB"/>
        </w:rPr>
        <w:t>life</w:t>
      </w:r>
    </w:p>
    <w:p w14:paraId="47F26ED1" w14:textId="77777777" w:rsidR="00E84EB9" w:rsidRPr="000455A5" w:rsidRDefault="00E84EB9" w:rsidP="002B1B75">
      <w:pPr>
        <w:ind w:left="851"/>
        <w:rPr>
          <w:sz w:val="24"/>
          <w:szCs w:val="24"/>
          <w:lang w:val="en-US" w:eastAsia="el-GR"/>
        </w:rPr>
      </w:pPr>
      <w:r w:rsidRPr="000455A5">
        <w:rPr>
          <w:sz w:val="24"/>
          <w:szCs w:val="24"/>
          <w:lang w:val="en-US" w:eastAsia="el-GR"/>
        </w:rPr>
        <w:t xml:space="preserve">Unopened container: 3 years </w:t>
      </w:r>
    </w:p>
    <w:p w14:paraId="060FC781" w14:textId="77777777" w:rsidR="009E6B18" w:rsidRPr="000455A5" w:rsidRDefault="009E6B18" w:rsidP="002B1B75">
      <w:pPr>
        <w:ind w:left="851"/>
        <w:rPr>
          <w:sz w:val="24"/>
          <w:szCs w:val="24"/>
          <w:lang w:val="en-US" w:eastAsia="el-GR"/>
        </w:rPr>
      </w:pPr>
    </w:p>
    <w:p w14:paraId="3A921A1F" w14:textId="624B83E5" w:rsidR="00E84EB9" w:rsidRPr="000455A5" w:rsidRDefault="00E84EB9" w:rsidP="002B1B75">
      <w:pPr>
        <w:ind w:left="851"/>
        <w:rPr>
          <w:sz w:val="24"/>
          <w:szCs w:val="24"/>
          <w:lang w:val="en-US" w:eastAsia="el-GR"/>
        </w:rPr>
      </w:pPr>
      <w:r w:rsidRPr="000455A5">
        <w:rPr>
          <w:sz w:val="24"/>
          <w:szCs w:val="24"/>
          <w:lang w:val="en-US" w:eastAsia="el-GR"/>
        </w:rPr>
        <w:t xml:space="preserve">After first opening of the container: 30 days </w:t>
      </w:r>
    </w:p>
    <w:p w14:paraId="47774E7B" w14:textId="77777777" w:rsidR="007C5D2A" w:rsidRPr="000455A5" w:rsidRDefault="007C5D2A" w:rsidP="003E0341">
      <w:pPr>
        <w:tabs>
          <w:tab w:val="left" w:pos="851"/>
        </w:tabs>
        <w:ind w:left="851"/>
        <w:rPr>
          <w:sz w:val="24"/>
          <w:szCs w:val="24"/>
          <w:lang w:val="en-GB"/>
        </w:rPr>
      </w:pPr>
    </w:p>
    <w:p w14:paraId="470AA677" w14:textId="77777777" w:rsidR="007C5D2A" w:rsidRPr="000455A5" w:rsidRDefault="007C5D2A" w:rsidP="007C5D2A">
      <w:pPr>
        <w:ind w:left="851" w:hanging="851"/>
        <w:rPr>
          <w:b/>
          <w:sz w:val="24"/>
          <w:szCs w:val="24"/>
          <w:lang w:val="en-GB"/>
        </w:rPr>
      </w:pPr>
      <w:r w:rsidRPr="000455A5">
        <w:rPr>
          <w:b/>
          <w:sz w:val="24"/>
          <w:szCs w:val="24"/>
          <w:lang w:val="en-GB"/>
        </w:rPr>
        <w:t>6.4</w:t>
      </w:r>
      <w:r w:rsidRPr="000455A5">
        <w:rPr>
          <w:b/>
          <w:sz w:val="24"/>
          <w:szCs w:val="24"/>
          <w:lang w:val="en-GB"/>
        </w:rPr>
        <w:tab/>
        <w:t>Special precautions for storage</w:t>
      </w:r>
    </w:p>
    <w:p w14:paraId="1E198854" w14:textId="77777777" w:rsidR="00E84EB9" w:rsidRPr="000455A5" w:rsidRDefault="00E84EB9" w:rsidP="002B1B75">
      <w:pPr>
        <w:ind w:left="851"/>
        <w:rPr>
          <w:sz w:val="24"/>
          <w:szCs w:val="24"/>
          <w:lang w:val="en-US"/>
        </w:rPr>
      </w:pPr>
      <w:r w:rsidRPr="000455A5">
        <w:rPr>
          <w:sz w:val="24"/>
          <w:szCs w:val="24"/>
          <w:lang w:val="en-US"/>
        </w:rPr>
        <w:t>Do not refrigerate or freeze.</w:t>
      </w:r>
    </w:p>
    <w:p w14:paraId="0155CA80" w14:textId="77777777" w:rsidR="007C5D2A" w:rsidRPr="000455A5" w:rsidRDefault="007C5D2A" w:rsidP="003E0341">
      <w:pPr>
        <w:tabs>
          <w:tab w:val="left" w:pos="851"/>
        </w:tabs>
        <w:ind w:left="851"/>
        <w:rPr>
          <w:sz w:val="24"/>
          <w:szCs w:val="24"/>
          <w:lang w:val="en-GB"/>
        </w:rPr>
      </w:pPr>
    </w:p>
    <w:p w14:paraId="534639C9" w14:textId="77777777" w:rsidR="007C5D2A" w:rsidRPr="000455A5" w:rsidRDefault="007C5D2A" w:rsidP="007C5D2A">
      <w:pPr>
        <w:ind w:left="851" w:hanging="851"/>
        <w:rPr>
          <w:b/>
          <w:sz w:val="24"/>
          <w:szCs w:val="24"/>
          <w:lang w:val="en-GB"/>
        </w:rPr>
      </w:pPr>
      <w:r w:rsidRPr="000455A5">
        <w:rPr>
          <w:b/>
          <w:sz w:val="24"/>
          <w:szCs w:val="24"/>
          <w:lang w:val="en-GB"/>
        </w:rPr>
        <w:t>6.5</w:t>
      </w:r>
      <w:r w:rsidRPr="000455A5">
        <w:rPr>
          <w:b/>
          <w:sz w:val="24"/>
          <w:szCs w:val="24"/>
          <w:lang w:val="en-GB"/>
        </w:rPr>
        <w:tab/>
        <w:t>Nature and contents of container</w:t>
      </w:r>
    </w:p>
    <w:p w14:paraId="45953CA9" w14:textId="77777777" w:rsidR="00E84EB9" w:rsidRPr="000455A5" w:rsidRDefault="00E84EB9" w:rsidP="002B1B75">
      <w:pPr>
        <w:ind w:left="851"/>
        <w:rPr>
          <w:sz w:val="24"/>
          <w:szCs w:val="24"/>
          <w:lang w:val="en-US" w:eastAsia="en-US"/>
        </w:rPr>
      </w:pPr>
      <w:r w:rsidRPr="000455A5">
        <w:rPr>
          <w:sz w:val="24"/>
          <w:szCs w:val="24"/>
          <w:lang w:val="en-US" w:eastAsia="en-US"/>
        </w:rPr>
        <w:t>Amber glass (type III) bottle with white, plastic, screw child-resistant closures with LDPE liner containing 105 ml oral suspension. A measuring spoon suitable to deliver 2.5 ml and 5 ml doses is provided with each bottle.</w:t>
      </w:r>
    </w:p>
    <w:p w14:paraId="187FFF2D" w14:textId="77777777" w:rsidR="009E6B18" w:rsidRPr="000455A5" w:rsidRDefault="009E6B18" w:rsidP="002B1B75">
      <w:pPr>
        <w:ind w:left="851"/>
        <w:rPr>
          <w:sz w:val="24"/>
          <w:szCs w:val="24"/>
          <w:lang w:val="en-US"/>
        </w:rPr>
      </w:pPr>
    </w:p>
    <w:p w14:paraId="0944EC6D" w14:textId="26655524" w:rsidR="00E84EB9" w:rsidRPr="000455A5" w:rsidRDefault="00E84EB9" w:rsidP="002B1B75">
      <w:pPr>
        <w:ind w:left="851"/>
        <w:rPr>
          <w:sz w:val="24"/>
          <w:szCs w:val="24"/>
          <w:lang w:val="en-US"/>
        </w:rPr>
      </w:pPr>
      <w:r w:rsidRPr="000455A5">
        <w:rPr>
          <w:sz w:val="24"/>
          <w:szCs w:val="24"/>
          <w:lang w:val="en-US"/>
        </w:rPr>
        <w:t>Not all pack sizes may be marketed.</w:t>
      </w:r>
    </w:p>
    <w:p w14:paraId="1C4D4880" w14:textId="77777777" w:rsidR="007C5D2A" w:rsidRPr="000455A5" w:rsidRDefault="007C5D2A" w:rsidP="002B1B75">
      <w:pPr>
        <w:ind w:left="851"/>
        <w:rPr>
          <w:sz w:val="24"/>
          <w:szCs w:val="24"/>
          <w:lang w:val="en-GB"/>
        </w:rPr>
      </w:pPr>
    </w:p>
    <w:p w14:paraId="5BE3101E" w14:textId="77777777" w:rsidR="007C5D2A" w:rsidRPr="000455A5" w:rsidRDefault="007C5D2A" w:rsidP="007C5D2A">
      <w:pPr>
        <w:ind w:left="851" w:hanging="851"/>
        <w:rPr>
          <w:b/>
          <w:sz w:val="24"/>
          <w:szCs w:val="24"/>
          <w:lang w:val="en-GB"/>
        </w:rPr>
      </w:pPr>
      <w:r w:rsidRPr="000455A5">
        <w:rPr>
          <w:b/>
          <w:sz w:val="24"/>
          <w:szCs w:val="24"/>
          <w:lang w:val="en-GB"/>
        </w:rPr>
        <w:t>6.6</w:t>
      </w:r>
      <w:r w:rsidRPr="000455A5">
        <w:rPr>
          <w:b/>
          <w:sz w:val="24"/>
          <w:szCs w:val="24"/>
          <w:lang w:val="en-GB"/>
        </w:rPr>
        <w:tab/>
        <w:t>Special precautions for disposal and other handling</w:t>
      </w:r>
    </w:p>
    <w:p w14:paraId="30EE42E4" w14:textId="016D2490" w:rsidR="007C5D2A" w:rsidRPr="000455A5" w:rsidRDefault="00E84EB9" w:rsidP="002B1B75">
      <w:pPr>
        <w:ind w:left="851"/>
        <w:rPr>
          <w:sz w:val="24"/>
          <w:szCs w:val="24"/>
          <w:lang w:val="en-US"/>
        </w:rPr>
      </w:pPr>
      <w:r w:rsidRPr="000455A5">
        <w:rPr>
          <w:sz w:val="24"/>
          <w:szCs w:val="24"/>
          <w:lang w:val="en-US" w:eastAsia="el-GR"/>
        </w:rPr>
        <w:t>Any unused medicinal product or waste material should be disposed of in accordance with local requirements.</w:t>
      </w:r>
    </w:p>
    <w:p w14:paraId="3F88DF33" w14:textId="77777777" w:rsidR="007C5D2A" w:rsidRPr="000455A5" w:rsidRDefault="007C5D2A" w:rsidP="00AB4376">
      <w:pPr>
        <w:tabs>
          <w:tab w:val="left" w:pos="851"/>
        </w:tabs>
        <w:ind w:left="851"/>
        <w:rPr>
          <w:sz w:val="24"/>
          <w:szCs w:val="24"/>
          <w:lang w:val="en-GB"/>
        </w:rPr>
      </w:pPr>
    </w:p>
    <w:p w14:paraId="00E76E1D" w14:textId="77777777" w:rsidR="007C5D2A" w:rsidRPr="000455A5" w:rsidRDefault="007C5D2A" w:rsidP="007C5D2A">
      <w:pPr>
        <w:tabs>
          <w:tab w:val="left" w:pos="851"/>
        </w:tabs>
        <w:ind w:left="851" w:hanging="851"/>
        <w:jc w:val="both"/>
        <w:rPr>
          <w:b/>
          <w:sz w:val="24"/>
          <w:szCs w:val="24"/>
          <w:lang w:val="en-GB"/>
        </w:rPr>
      </w:pPr>
      <w:r w:rsidRPr="000455A5">
        <w:rPr>
          <w:b/>
          <w:sz w:val="24"/>
          <w:szCs w:val="24"/>
          <w:lang w:val="en-GB"/>
        </w:rPr>
        <w:t>7.</w:t>
      </w:r>
      <w:r w:rsidRPr="000455A5">
        <w:rPr>
          <w:b/>
          <w:sz w:val="24"/>
          <w:szCs w:val="24"/>
          <w:lang w:val="en-GB"/>
        </w:rPr>
        <w:tab/>
        <w:t>MARKETING AUTHORISATION HOLDER</w:t>
      </w:r>
    </w:p>
    <w:p w14:paraId="0E8D0605" w14:textId="77777777" w:rsidR="00C32186" w:rsidRPr="000455A5" w:rsidRDefault="00C32186" w:rsidP="00C32186">
      <w:pPr>
        <w:tabs>
          <w:tab w:val="left" w:pos="851"/>
        </w:tabs>
        <w:ind w:left="851"/>
        <w:rPr>
          <w:sz w:val="24"/>
          <w:szCs w:val="24"/>
          <w:lang w:val="en-US"/>
        </w:rPr>
      </w:pPr>
      <w:r w:rsidRPr="000455A5">
        <w:rPr>
          <w:sz w:val="24"/>
          <w:szCs w:val="24"/>
          <w:lang w:val="en-US"/>
        </w:rPr>
        <w:t>Teva B.V.</w:t>
      </w:r>
    </w:p>
    <w:p w14:paraId="532C9753" w14:textId="77777777" w:rsidR="00C32186" w:rsidRPr="006D6779" w:rsidRDefault="00C32186" w:rsidP="00C32186">
      <w:pPr>
        <w:tabs>
          <w:tab w:val="left" w:pos="851"/>
        </w:tabs>
        <w:ind w:left="851"/>
        <w:rPr>
          <w:sz w:val="24"/>
          <w:szCs w:val="24"/>
          <w:lang w:val="en-US" w:eastAsia="en-US"/>
        </w:rPr>
      </w:pPr>
      <w:proofErr w:type="spellStart"/>
      <w:r w:rsidRPr="006D6779">
        <w:rPr>
          <w:sz w:val="24"/>
          <w:szCs w:val="24"/>
          <w:lang w:val="en-US"/>
        </w:rPr>
        <w:t>Swensweg</w:t>
      </w:r>
      <w:proofErr w:type="spellEnd"/>
      <w:r w:rsidRPr="006D6779">
        <w:rPr>
          <w:sz w:val="24"/>
          <w:szCs w:val="24"/>
          <w:lang w:val="en-US"/>
        </w:rPr>
        <w:t xml:space="preserve"> 5</w:t>
      </w:r>
    </w:p>
    <w:p w14:paraId="70B63D1E" w14:textId="77777777" w:rsidR="00C32186" w:rsidRPr="006D6779" w:rsidRDefault="00C32186" w:rsidP="00C32186">
      <w:pPr>
        <w:tabs>
          <w:tab w:val="left" w:pos="851"/>
        </w:tabs>
        <w:ind w:left="851"/>
        <w:rPr>
          <w:sz w:val="24"/>
          <w:szCs w:val="24"/>
          <w:lang w:val="en-US"/>
        </w:rPr>
      </w:pPr>
      <w:r w:rsidRPr="006D6779">
        <w:rPr>
          <w:sz w:val="24"/>
          <w:szCs w:val="24"/>
          <w:lang w:val="en-US"/>
        </w:rPr>
        <w:t>2031 GA Haarlem</w:t>
      </w:r>
    </w:p>
    <w:p w14:paraId="1A538C4E" w14:textId="77777777" w:rsidR="00C32186" w:rsidRPr="006D6779" w:rsidRDefault="00C32186" w:rsidP="00C32186">
      <w:pPr>
        <w:tabs>
          <w:tab w:val="left" w:pos="851"/>
        </w:tabs>
        <w:ind w:left="851"/>
        <w:rPr>
          <w:sz w:val="24"/>
          <w:szCs w:val="24"/>
          <w:lang w:val="en-US"/>
        </w:rPr>
      </w:pPr>
      <w:r w:rsidRPr="006D6779">
        <w:rPr>
          <w:sz w:val="24"/>
          <w:szCs w:val="24"/>
          <w:lang w:val="en-US"/>
        </w:rPr>
        <w:t>Holland</w:t>
      </w:r>
    </w:p>
    <w:p w14:paraId="123A4F1A" w14:textId="77777777" w:rsidR="00C32186" w:rsidRPr="006D6779" w:rsidRDefault="00C32186" w:rsidP="00C32186">
      <w:pPr>
        <w:tabs>
          <w:tab w:val="left" w:pos="851"/>
        </w:tabs>
        <w:ind w:left="851"/>
        <w:rPr>
          <w:sz w:val="24"/>
          <w:szCs w:val="24"/>
          <w:lang w:val="en-US"/>
        </w:rPr>
      </w:pPr>
    </w:p>
    <w:p w14:paraId="61F945DA" w14:textId="3C025C9E" w:rsidR="00C32186" w:rsidRPr="006D6779" w:rsidRDefault="00C32186" w:rsidP="00C32186">
      <w:pPr>
        <w:tabs>
          <w:tab w:val="left" w:pos="851"/>
        </w:tabs>
        <w:ind w:left="851"/>
        <w:rPr>
          <w:b/>
          <w:sz w:val="24"/>
          <w:szCs w:val="24"/>
          <w:lang w:val="en-US"/>
        </w:rPr>
      </w:pPr>
      <w:r w:rsidRPr="006D6779">
        <w:rPr>
          <w:b/>
          <w:sz w:val="24"/>
          <w:szCs w:val="24"/>
          <w:lang w:val="en-US"/>
        </w:rPr>
        <w:t>Repr</w:t>
      </w:r>
      <w:r w:rsidR="00BD3F6B">
        <w:rPr>
          <w:b/>
          <w:sz w:val="24"/>
          <w:szCs w:val="24"/>
          <w:lang w:val="en-US"/>
        </w:rPr>
        <w:t>e</w:t>
      </w:r>
      <w:r w:rsidRPr="006D6779">
        <w:rPr>
          <w:b/>
          <w:sz w:val="24"/>
          <w:szCs w:val="24"/>
          <w:lang w:val="en-US"/>
        </w:rPr>
        <w:t>senta</w:t>
      </w:r>
      <w:r w:rsidR="00BD3F6B">
        <w:rPr>
          <w:b/>
          <w:sz w:val="24"/>
          <w:szCs w:val="24"/>
          <w:lang w:val="en-US"/>
        </w:rPr>
        <w:t>tive</w:t>
      </w:r>
      <w:bookmarkStart w:id="1" w:name="_GoBack"/>
      <w:bookmarkEnd w:id="1"/>
    </w:p>
    <w:p w14:paraId="32F998E2" w14:textId="77777777" w:rsidR="00C32186" w:rsidRPr="006D6779" w:rsidRDefault="00C32186" w:rsidP="00C32186">
      <w:pPr>
        <w:tabs>
          <w:tab w:val="left" w:pos="851"/>
        </w:tabs>
        <w:ind w:left="851"/>
        <w:rPr>
          <w:sz w:val="24"/>
          <w:szCs w:val="24"/>
          <w:lang w:val="en-US"/>
        </w:rPr>
      </w:pPr>
      <w:r w:rsidRPr="006D6779">
        <w:rPr>
          <w:sz w:val="24"/>
          <w:szCs w:val="24"/>
          <w:lang w:val="en-US"/>
        </w:rPr>
        <w:t>Teva Denmark A/S</w:t>
      </w:r>
    </w:p>
    <w:p w14:paraId="2C6AE407" w14:textId="77777777" w:rsidR="00C32186" w:rsidRPr="006D6779" w:rsidRDefault="00C32186" w:rsidP="00C32186">
      <w:pPr>
        <w:tabs>
          <w:tab w:val="left" w:pos="851"/>
        </w:tabs>
        <w:ind w:left="851"/>
        <w:rPr>
          <w:sz w:val="24"/>
          <w:szCs w:val="24"/>
          <w:lang w:val="en-US"/>
        </w:rPr>
      </w:pPr>
      <w:proofErr w:type="spellStart"/>
      <w:r w:rsidRPr="006D6779">
        <w:rPr>
          <w:sz w:val="24"/>
          <w:szCs w:val="24"/>
          <w:lang w:val="en-US"/>
        </w:rPr>
        <w:t>Vandtårnsvej</w:t>
      </w:r>
      <w:proofErr w:type="spellEnd"/>
      <w:r w:rsidRPr="006D6779">
        <w:rPr>
          <w:sz w:val="24"/>
          <w:szCs w:val="24"/>
          <w:lang w:val="en-US"/>
        </w:rPr>
        <w:t xml:space="preserve"> 83A</w:t>
      </w:r>
    </w:p>
    <w:p w14:paraId="1BBAB6CA" w14:textId="77777777" w:rsidR="00C32186" w:rsidRPr="006D6779" w:rsidRDefault="00C32186" w:rsidP="00C32186">
      <w:pPr>
        <w:tabs>
          <w:tab w:val="left" w:pos="851"/>
        </w:tabs>
        <w:ind w:left="851"/>
        <w:rPr>
          <w:sz w:val="24"/>
          <w:szCs w:val="24"/>
          <w:lang w:val="en-US"/>
        </w:rPr>
      </w:pPr>
      <w:r w:rsidRPr="006D6779">
        <w:rPr>
          <w:sz w:val="24"/>
          <w:szCs w:val="24"/>
          <w:lang w:val="en-US"/>
        </w:rPr>
        <w:t xml:space="preserve">2860 </w:t>
      </w:r>
      <w:proofErr w:type="spellStart"/>
      <w:r w:rsidRPr="006D6779">
        <w:rPr>
          <w:sz w:val="24"/>
          <w:szCs w:val="24"/>
          <w:lang w:val="en-US"/>
        </w:rPr>
        <w:t>Søborg</w:t>
      </w:r>
      <w:proofErr w:type="spellEnd"/>
    </w:p>
    <w:p w14:paraId="1C8D37C8" w14:textId="77777777" w:rsidR="007C5D2A" w:rsidRPr="000455A5" w:rsidRDefault="007C5D2A" w:rsidP="003E0341">
      <w:pPr>
        <w:tabs>
          <w:tab w:val="left" w:pos="851"/>
        </w:tabs>
        <w:ind w:left="851"/>
        <w:jc w:val="both"/>
        <w:rPr>
          <w:sz w:val="24"/>
          <w:szCs w:val="24"/>
          <w:lang w:val="en-GB"/>
        </w:rPr>
      </w:pPr>
    </w:p>
    <w:p w14:paraId="70A1B9C9" w14:textId="77777777" w:rsidR="007C5D2A" w:rsidRPr="000455A5" w:rsidRDefault="007C5D2A" w:rsidP="007C5D2A">
      <w:pPr>
        <w:ind w:left="851" w:hanging="851"/>
        <w:jc w:val="both"/>
        <w:rPr>
          <w:b/>
          <w:sz w:val="24"/>
          <w:szCs w:val="24"/>
          <w:lang w:val="en-GB"/>
        </w:rPr>
      </w:pPr>
      <w:r w:rsidRPr="000455A5">
        <w:rPr>
          <w:b/>
          <w:sz w:val="24"/>
          <w:szCs w:val="24"/>
          <w:lang w:val="en-GB"/>
        </w:rPr>
        <w:t>8.</w:t>
      </w:r>
      <w:r w:rsidRPr="000455A5">
        <w:rPr>
          <w:b/>
          <w:sz w:val="24"/>
          <w:szCs w:val="24"/>
          <w:lang w:val="en-GB"/>
        </w:rPr>
        <w:tab/>
        <w:t>MARKETING AUTHORISATION NUMBER(S)</w:t>
      </w:r>
    </w:p>
    <w:p w14:paraId="0FD54924" w14:textId="77777777" w:rsidR="00C32186" w:rsidRPr="006D6779" w:rsidRDefault="00C32186" w:rsidP="00C32186">
      <w:pPr>
        <w:tabs>
          <w:tab w:val="left" w:pos="851"/>
        </w:tabs>
        <w:ind w:left="851" w:hanging="851"/>
        <w:rPr>
          <w:sz w:val="24"/>
          <w:szCs w:val="24"/>
          <w:lang w:val="en-US"/>
        </w:rPr>
      </w:pPr>
      <w:r w:rsidRPr="006D6779">
        <w:rPr>
          <w:sz w:val="24"/>
          <w:szCs w:val="24"/>
          <w:lang w:val="en-US"/>
        </w:rPr>
        <w:tab/>
        <w:t>61330</w:t>
      </w:r>
    </w:p>
    <w:p w14:paraId="3BFFDF6B" w14:textId="77777777" w:rsidR="007C5D2A" w:rsidRPr="000455A5" w:rsidRDefault="007C5D2A" w:rsidP="00180A12">
      <w:pPr>
        <w:tabs>
          <w:tab w:val="left" w:pos="851"/>
        </w:tabs>
        <w:ind w:left="851"/>
        <w:jc w:val="both"/>
        <w:rPr>
          <w:sz w:val="24"/>
          <w:szCs w:val="24"/>
          <w:lang w:val="en-GB"/>
        </w:rPr>
      </w:pPr>
    </w:p>
    <w:p w14:paraId="622AF19F" w14:textId="77777777" w:rsidR="007C5D2A" w:rsidRPr="000455A5" w:rsidRDefault="007C5D2A" w:rsidP="007C5D2A">
      <w:pPr>
        <w:tabs>
          <w:tab w:val="left" w:pos="851"/>
        </w:tabs>
        <w:jc w:val="both"/>
        <w:rPr>
          <w:sz w:val="24"/>
          <w:szCs w:val="24"/>
          <w:lang w:val="en-GB"/>
        </w:rPr>
      </w:pPr>
      <w:r w:rsidRPr="000455A5">
        <w:rPr>
          <w:b/>
          <w:sz w:val="24"/>
          <w:szCs w:val="24"/>
          <w:lang w:val="en-GB"/>
        </w:rPr>
        <w:t>9.</w:t>
      </w:r>
      <w:r w:rsidRPr="000455A5">
        <w:rPr>
          <w:b/>
          <w:sz w:val="24"/>
          <w:szCs w:val="24"/>
          <w:lang w:val="en-GB"/>
        </w:rPr>
        <w:tab/>
        <w:t>DATE OF FIRST AUTHORISATION</w:t>
      </w:r>
    </w:p>
    <w:p w14:paraId="0F350B41" w14:textId="1FB731A2" w:rsidR="00C32186" w:rsidRPr="00F2196A" w:rsidRDefault="00C32186" w:rsidP="00C32186">
      <w:pPr>
        <w:tabs>
          <w:tab w:val="left" w:pos="851"/>
        </w:tabs>
        <w:ind w:left="851" w:hanging="851"/>
        <w:rPr>
          <w:sz w:val="24"/>
          <w:szCs w:val="24"/>
          <w:lang w:val="en-GB"/>
        </w:rPr>
      </w:pPr>
      <w:r w:rsidRPr="00F2196A">
        <w:rPr>
          <w:sz w:val="24"/>
          <w:szCs w:val="24"/>
          <w:lang w:val="en-GB"/>
        </w:rPr>
        <w:tab/>
        <w:t xml:space="preserve">19 </w:t>
      </w:r>
      <w:r w:rsidR="00C6509B" w:rsidRPr="00F2196A">
        <w:rPr>
          <w:sz w:val="24"/>
          <w:szCs w:val="24"/>
          <w:lang w:val="en-GB"/>
        </w:rPr>
        <w:t>S</w:t>
      </w:r>
      <w:r w:rsidRPr="00F2196A">
        <w:rPr>
          <w:sz w:val="24"/>
          <w:szCs w:val="24"/>
          <w:lang w:val="en-GB"/>
        </w:rPr>
        <w:t>eptember 2019</w:t>
      </w:r>
    </w:p>
    <w:p w14:paraId="03A00B64" w14:textId="77777777" w:rsidR="007C5D2A" w:rsidRPr="000455A5" w:rsidRDefault="007C5D2A" w:rsidP="003E0341">
      <w:pPr>
        <w:tabs>
          <w:tab w:val="left" w:pos="851"/>
        </w:tabs>
        <w:ind w:left="851"/>
        <w:jc w:val="both"/>
        <w:rPr>
          <w:sz w:val="24"/>
          <w:szCs w:val="24"/>
          <w:lang w:val="en-GB"/>
        </w:rPr>
      </w:pPr>
    </w:p>
    <w:p w14:paraId="2DE1B865" w14:textId="77777777" w:rsidR="007C5D2A" w:rsidRPr="000455A5" w:rsidRDefault="007C5D2A" w:rsidP="007C5D2A">
      <w:pPr>
        <w:tabs>
          <w:tab w:val="left" w:pos="851"/>
        </w:tabs>
        <w:jc w:val="both"/>
        <w:rPr>
          <w:sz w:val="24"/>
          <w:szCs w:val="24"/>
          <w:lang w:val="en-GB"/>
        </w:rPr>
      </w:pPr>
      <w:r w:rsidRPr="000455A5">
        <w:rPr>
          <w:b/>
          <w:sz w:val="24"/>
          <w:szCs w:val="24"/>
          <w:lang w:val="en-GB"/>
        </w:rPr>
        <w:t>10.</w:t>
      </w:r>
      <w:r w:rsidRPr="000455A5">
        <w:rPr>
          <w:b/>
          <w:sz w:val="24"/>
          <w:szCs w:val="24"/>
          <w:lang w:val="en-GB"/>
        </w:rPr>
        <w:tab/>
        <w:t>DATE OF REVISION OF THE TEXT</w:t>
      </w:r>
    </w:p>
    <w:p w14:paraId="476BD5F4" w14:textId="3DE5825D" w:rsidR="007C5D2A" w:rsidRPr="000455A5" w:rsidRDefault="00734384" w:rsidP="003E0341">
      <w:pPr>
        <w:tabs>
          <w:tab w:val="left" w:pos="851"/>
        </w:tabs>
        <w:ind w:left="851"/>
        <w:jc w:val="both"/>
        <w:rPr>
          <w:sz w:val="24"/>
          <w:szCs w:val="24"/>
          <w:lang w:val="en-GB"/>
        </w:rPr>
      </w:pPr>
      <w:r>
        <w:rPr>
          <w:sz w:val="24"/>
          <w:szCs w:val="24"/>
          <w:lang w:val="en-GB"/>
        </w:rPr>
        <w:t>6 November 2024</w:t>
      </w:r>
    </w:p>
    <w:sectPr w:rsidR="007C5D2A" w:rsidRPr="000455A5"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F98F5" w14:textId="77777777" w:rsidR="0072629F" w:rsidRDefault="0072629F">
      <w:r>
        <w:separator/>
      </w:r>
    </w:p>
  </w:endnote>
  <w:endnote w:type="continuationSeparator" w:id="0">
    <w:p w14:paraId="64B2C584" w14:textId="77777777" w:rsidR="0072629F" w:rsidRDefault="0072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19F1" w14:textId="77777777" w:rsidR="0072629F" w:rsidRDefault="0072629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6E57" w14:textId="77777777" w:rsidR="0072629F" w:rsidRDefault="0072629F">
    <w:pPr>
      <w:pStyle w:val="Sidefod"/>
      <w:pBdr>
        <w:bottom w:val="single" w:sz="6" w:space="1" w:color="auto"/>
      </w:pBdr>
    </w:pPr>
  </w:p>
  <w:p w14:paraId="6675E030" w14:textId="77777777" w:rsidR="0072629F" w:rsidRDefault="0072629F">
    <w:pPr>
      <w:pStyle w:val="Sidefod"/>
      <w:tabs>
        <w:tab w:val="clear" w:pos="4819"/>
        <w:tab w:val="left" w:pos="8647"/>
      </w:tabs>
      <w:rPr>
        <w:i/>
        <w:snapToGrid w:val="0"/>
        <w:sz w:val="18"/>
      </w:rPr>
    </w:pPr>
  </w:p>
  <w:p w14:paraId="53267072" w14:textId="09ED100E" w:rsidR="0072629F" w:rsidRPr="00F2196A" w:rsidRDefault="0072629F" w:rsidP="00AC033C">
    <w:pPr>
      <w:pStyle w:val="Sidefod"/>
      <w:tabs>
        <w:tab w:val="clear" w:pos="4819"/>
        <w:tab w:val="left" w:pos="8364"/>
      </w:tabs>
      <w:rPr>
        <w:i/>
        <w:sz w:val="18"/>
        <w:lang w:val="en-US"/>
      </w:rPr>
    </w:pPr>
    <w:r>
      <w:rPr>
        <w:i/>
        <w:snapToGrid w:val="0"/>
        <w:sz w:val="18"/>
      </w:rPr>
      <w:fldChar w:fldCharType="begin"/>
    </w:r>
    <w:r w:rsidRPr="00F2196A">
      <w:rPr>
        <w:i/>
        <w:snapToGrid w:val="0"/>
        <w:sz w:val="18"/>
        <w:lang w:val="en-US"/>
      </w:rPr>
      <w:instrText xml:space="preserve"> FILENAME </w:instrText>
    </w:r>
    <w:r>
      <w:rPr>
        <w:i/>
        <w:snapToGrid w:val="0"/>
        <w:sz w:val="18"/>
      </w:rPr>
      <w:fldChar w:fldCharType="separate"/>
    </w:r>
    <w:r w:rsidRPr="00F2196A">
      <w:rPr>
        <w:i/>
        <w:noProof/>
        <w:snapToGrid w:val="0"/>
        <w:sz w:val="18"/>
        <w:lang w:val="en-US"/>
      </w:rPr>
      <w:t>Posaconazol Teva B.V., oral suspension 40 mg-ml.docx</w:t>
    </w:r>
    <w:r>
      <w:rPr>
        <w:i/>
        <w:snapToGrid w:val="0"/>
        <w:sz w:val="18"/>
      </w:rPr>
      <w:fldChar w:fldCharType="end"/>
    </w:r>
    <w:r w:rsidRPr="00F2196A">
      <w:rPr>
        <w:i/>
        <w:snapToGrid w:val="0"/>
        <w:sz w:val="18"/>
        <w:lang w:val="en-US"/>
      </w:rPr>
      <w:tab/>
      <w:t xml:space="preserve">Page </w:t>
    </w:r>
    <w:r>
      <w:rPr>
        <w:i/>
        <w:snapToGrid w:val="0"/>
        <w:sz w:val="18"/>
      </w:rPr>
      <w:fldChar w:fldCharType="begin"/>
    </w:r>
    <w:r w:rsidRPr="00F2196A">
      <w:rPr>
        <w:i/>
        <w:snapToGrid w:val="0"/>
        <w:sz w:val="18"/>
        <w:lang w:val="en-US"/>
      </w:rPr>
      <w:instrText xml:space="preserve"> PAGE </w:instrText>
    </w:r>
    <w:r>
      <w:rPr>
        <w:i/>
        <w:snapToGrid w:val="0"/>
        <w:sz w:val="18"/>
      </w:rPr>
      <w:fldChar w:fldCharType="separate"/>
    </w:r>
    <w:r w:rsidRPr="00F2196A">
      <w:rPr>
        <w:i/>
        <w:noProof/>
        <w:snapToGrid w:val="0"/>
        <w:sz w:val="18"/>
        <w:lang w:val="en-US"/>
      </w:rPr>
      <w:t>1</w:t>
    </w:r>
    <w:r>
      <w:rPr>
        <w:i/>
        <w:snapToGrid w:val="0"/>
        <w:sz w:val="18"/>
      </w:rPr>
      <w:fldChar w:fldCharType="end"/>
    </w:r>
    <w:r w:rsidRPr="00F2196A">
      <w:rPr>
        <w:i/>
        <w:snapToGrid w:val="0"/>
        <w:sz w:val="18"/>
        <w:lang w:val="en-US"/>
      </w:rPr>
      <w:t xml:space="preserve"> of </w:t>
    </w:r>
    <w:r>
      <w:rPr>
        <w:i/>
        <w:snapToGrid w:val="0"/>
        <w:sz w:val="18"/>
      </w:rPr>
      <w:fldChar w:fldCharType="begin"/>
    </w:r>
    <w:r w:rsidRPr="00F2196A">
      <w:rPr>
        <w:i/>
        <w:snapToGrid w:val="0"/>
        <w:sz w:val="18"/>
        <w:lang w:val="en-US"/>
      </w:rPr>
      <w:instrText xml:space="preserve"> NUMPAGES </w:instrText>
    </w:r>
    <w:r>
      <w:rPr>
        <w:i/>
        <w:snapToGrid w:val="0"/>
        <w:sz w:val="18"/>
      </w:rPr>
      <w:fldChar w:fldCharType="separate"/>
    </w:r>
    <w:r w:rsidRPr="00F2196A">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811F" w14:textId="77777777" w:rsidR="0072629F" w:rsidRDefault="0072629F">
    <w:pPr>
      <w:pStyle w:val="Sidefod"/>
      <w:pBdr>
        <w:bottom w:val="single" w:sz="6" w:space="1" w:color="auto"/>
      </w:pBdr>
      <w:tabs>
        <w:tab w:val="clear" w:pos="4819"/>
        <w:tab w:val="left" w:pos="8789"/>
      </w:tabs>
      <w:rPr>
        <w:i/>
        <w:snapToGrid w:val="0"/>
        <w:sz w:val="18"/>
      </w:rPr>
    </w:pPr>
  </w:p>
  <w:p w14:paraId="03877249" w14:textId="77777777" w:rsidR="0072629F" w:rsidRDefault="0072629F">
    <w:pPr>
      <w:pStyle w:val="Sidefod"/>
      <w:tabs>
        <w:tab w:val="clear" w:pos="4819"/>
        <w:tab w:val="left" w:pos="8789"/>
      </w:tabs>
      <w:rPr>
        <w:i/>
        <w:snapToGrid w:val="0"/>
        <w:sz w:val="18"/>
      </w:rPr>
    </w:pPr>
  </w:p>
  <w:p w14:paraId="7E37FCE8" w14:textId="6179F4F5" w:rsidR="0072629F" w:rsidRPr="00F2196A" w:rsidRDefault="0072629F">
    <w:pPr>
      <w:pStyle w:val="Sidefod"/>
      <w:tabs>
        <w:tab w:val="clear" w:pos="4819"/>
        <w:tab w:val="left" w:pos="8647"/>
      </w:tabs>
      <w:rPr>
        <w:i/>
        <w:sz w:val="18"/>
        <w:lang w:val="en-US"/>
      </w:rPr>
    </w:pPr>
    <w:r>
      <w:rPr>
        <w:i/>
        <w:snapToGrid w:val="0"/>
        <w:sz w:val="18"/>
      </w:rPr>
      <w:fldChar w:fldCharType="begin"/>
    </w:r>
    <w:r w:rsidRPr="00F2196A">
      <w:rPr>
        <w:i/>
        <w:snapToGrid w:val="0"/>
        <w:sz w:val="18"/>
        <w:lang w:val="en-US"/>
      </w:rPr>
      <w:instrText xml:space="preserve"> FILENAME </w:instrText>
    </w:r>
    <w:r>
      <w:rPr>
        <w:i/>
        <w:snapToGrid w:val="0"/>
        <w:sz w:val="18"/>
      </w:rPr>
      <w:fldChar w:fldCharType="separate"/>
    </w:r>
    <w:r w:rsidRPr="00F2196A">
      <w:rPr>
        <w:i/>
        <w:noProof/>
        <w:snapToGrid w:val="0"/>
        <w:sz w:val="18"/>
        <w:lang w:val="en-US"/>
      </w:rPr>
      <w:t>Posaconazol Teva B.V., oral suspension 40 mg-ml.docx</w:t>
    </w:r>
    <w:r>
      <w:rPr>
        <w:i/>
        <w:snapToGrid w:val="0"/>
        <w:sz w:val="18"/>
      </w:rPr>
      <w:fldChar w:fldCharType="end"/>
    </w:r>
    <w:r w:rsidRPr="00F2196A">
      <w:rPr>
        <w:i/>
        <w:snapToGrid w:val="0"/>
        <w:sz w:val="18"/>
        <w:lang w:val="en-US"/>
      </w:rPr>
      <w:tab/>
      <w:t xml:space="preserve">Page </w:t>
    </w:r>
    <w:r>
      <w:rPr>
        <w:i/>
        <w:snapToGrid w:val="0"/>
        <w:sz w:val="18"/>
      </w:rPr>
      <w:fldChar w:fldCharType="begin"/>
    </w:r>
    <w:r w:rsidRPr="00F2196A">
      <w:rPr>
        <w:i/>
        <w:snapToGrid w:val="0"/>
        <w:sz w:val="18"/>
        <w:lang w:val="en-US"/>
      </w:rPr>
      <w:instrText xml:space="preserve"> PAGE </w:instrText>
    </w:r>
    <w:r>
      <w:rPr>
        <w:i/>
        <w:snapToGrid w:val="0"/>
        <w:sz w:val="18"/>
      </w:rPr>
      <w:fldChar w:fldCharType="separate"/>
    </w:r>
    <w:r w:rsidRPr="00F2196A">
      <w:rPr>
        <w:i/>
        <w:noProof/>
        <w:snapToGrid w:val="0"/>
        <w:sz w:val="18"/>
        <w:lang w:val="en-US"/>
      </w:rPr>
      <w:t>1</w:t>
    </w:r>
    <w:r>
      <w:rPr>
        <w:i/>
        <w:snapToGrid w:val="0"/>
        <w:sz w:val="18"/>
      </w:rPr>
      <w:fldChar w:fldCharType="end"/>
    </w:r>
    <w:r w:rsidRPr="00F2196A">
      <w:rPr>
        <w:i/>
        <w:snapToGrid w:val="0"/>
        <w:sz w:val="18"/>
        <w:lang w:val="en-US"/>
      </w:rPr>
      <w:t xml:space="preserve"> of </w:t>
    </w:r>
    <w:r>
      <w:rPr>
        <w:i/>
        <w:snapToGrid w:val="0"/>
        <w:sz w:val="18"/>
      </w:rPr>
      <w:fldChar w:fldCharType="begin"/>
    </w:r>
    <w:r w:rsidRPr="00F2196A">
      <w:rPr>
        <w:i/>
        <w:snapToGrid w:val="0"/>
        <w:sz w:val="18"/>
        <w:lang w:val="en-US"/>
      </w:rPr>
      <w:instrText xml:space="preserve"> NUMPAGES </w:instrText>
    </w:r>
    <w:r>
      <w:rPr>
        <w:i/>
        <w:snapToGrid w:val="0"/>
        <w:sz w:val="18"/>
      </w:rPr>
      <w:fldChar w:fldCharType="separate"/>
    </w:r>
    <w:r w:rsidRPr="00F2196A">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4BA4E" w14:textId="77777777" w:rsidR="0072629F" w:rsidRDefault="0072629F">
      <w:r>
        <w:separator/>
      </w:r>
    </w:p>
  </w:footnote>
  <w:footnote w:type="continuationSeparator" w:id="0">
    <w:p w14:paraId="55844B05" w14:textId="77777777" w:rsidR="0072629F" w:rsidRDefault="0072629F">
      <w:r>
        <w:continuationSeparator/>
      </w:r>
    </w:p>
  </w:footnote>
  <w:footnote w:id="1">
    <w:p w14:paraId="551CE7A0" w14:textId="77777777" w:rsidR="0072629F" w:rsidRDefault="0072629F" w:rsidP="00E84EB9">
      <w:pPr>
        <w:pStyle w:val="Fodnotetekst"/>
        <w:rPr>
          <w:lang w:val="en-US"/>
        </w:rPr>
      </w:pPr>
      <w:r>
        <w:rPr>
          <w:rStyle w:val="Fodnotehenvisning"/>
        </w:rPr>
        <w:footnoteRef/>
      </w:r>
      <w:r>
        <w:t xml:space="preserve"> Includes other less common species or species unknown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BC4C2" w14:textId="77777777" w:rsidR="0072629F" w:rsidRDefault="0072629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C7E7" w14:textId="77777777" w:rsidR="0072629F" w:rsidRDefault="0072629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BD14" w14:textId="77777777" w:rsidR="0072629F" w:rsidRDefault="0072629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47056D"/>
    <w:multiLevelType w:val="hybridMultilevel"/>
    <w:tmpl w:val="9AD20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BC2D97"/>
    <w:multiLevelType w:val="hybridMultilevel"/>
    <w:tmpl w:val="80F6DC88"/>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4E719F"/>
    <w:multiLevelType w:val="hybridMultilevel"/>
    <w:tmpl w:val="E494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772488"/>
    <w:multiLevelType w:val="hybridMultilevel"/>
    <w:tmpl w:val="56705888"/>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7BD0625"/>
    <w:multiLevelType w:val="hybridMultilevel"/>
    <w:tmpl w:val="DF2AE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504AE5"/>
    <w:multiLevelType w:val="hybridMultilevel"/>
    <w:tmpl w:val="F39430D2"/>
    <w:lvl w:ilvl="0" w:tplc="8ACEA7A0">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A667E12"/>
    <w:multiLevelType w:val="hybridMultilevel"/>
    <w:tmpl w:val="99C80CA2"/>
    <w:lvl w:ilvl="0" w:tplc="8ACEA7A0">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FBB0D7D"/>
    <w:multiLevelType w:val="hybridMultilevel"/>
    <w:tmpl w:val="3A2299E2"/>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2" w15:restartNumberingAfterBreak="0">
    <w:nsid w:val="79BF6BA0"/>
    <w:multiLevelType w:val="hybridMultilevel"/>
    <w:tmpl w:val="31B668BC"/>
    <w:lvl w:ilvl="0" w:tplc="8ACEA7A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2"/>
  </w:num>
  <w:num w:numId="5">
    <w:abstractNumId w:val="12"/>
  </w:num>
  <w:num w:numId="6">
    <w:abstractNumId w:val="5"/>
  </w:num>
  <w:num w:numId="7">
    <w:abstractNumId w:val="7"/>
  </w:num>
  <w:num w:numId="8">
    <w:abstractNumId w:val="1"/>
  </w:num>
  <w:num w:numId="9">
    <w:abstractNumId w:val="12"/>
  </w:num>
  <w:num w:numId="10">
    <w:abstractNumId w:val="8"/>
  </w:num>
  <w:num w:numId="11">
    <w:abstractNumId w:val="9"/>
  </w:num>
  <w:num w:numId="12">
    <w:abstractNumId w:val="10"/>
  </w:num>
  <w:num w:numId="13">
    <w:abstractNumId w:val="3"/>
  </w:num>
  <w:num w:numId="14">
    <w:abstractNumId w:val="6"/>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66"/>
    <w:rsid w:val="000455A5"/>
    <w:rsid w:val="00056601"/>
    <w:rsid w:val="00093056"/>
    <w:rsid w:val="000A2A8B"/>
    <w:rsid w:val="000C3846"/>
    <w:rsid w:val="000C6218"/>
    <w:rsid w:val="000D3C9D"/>
    <w:rsid w:val="000D426D"/>
    <w:rsid w:val="000F0D47"/>
    <w:rsid w:val="001221FA"/>
    <w:rsid w:val="001242DE"/>
    <w:rsid w:val="00147B93"/>
    <w:rsid w:val="00156B4A"/>
    <w:rsid w:val="00162D5B"/>
    <w:rsid w:val="0016496D"/>
    <w:rsid w:val="00180A12"/>
    <w:rsid w:val="00197F40"/>
    <w:rsid w:val="001C3BD3"/>
    <w:rsid w:val="001D778F"/>
    <w:rsid w:val="001F46CE"/>
    <w:rsid w:val="00214331"/>
    <w:rsid w:val="00214CF4"/>
    <w:rsid w:val="0023363D"/>
    <w:rsid w:val="00266677"/>
    <w:rsid w:val="00281F03"/>
    <w:rsid w:val="0029458A"/>
    <w:rsid w:val="002A1587"/>
    <w:rsid w:val="002B1B75"/>
    <w:rsid w:val="002B27C5"/>
    <w:rsid w:val="002E1E64"/>
    <w:rsid w:val="002E6A23"/>
    <w:rsid w:val="00303008"/>
    <w:rsid w:val="00343FBB"/>
    <w:rsid w:val="003649BE"/>
    <w:rsid w:val="00373B55"/>
    <w:rsid w:val="003D727E"/>
    <w:rsid w:val="003E0341"/>
    <w:rsid w:val="003E3402"/>
    <w:rsid w:val="003F4736"/>
    <w:rsid w:val="00401B49"/>
    <w:rsid w:val="0042292D"/>
    <w:rsid w:val="00435221"/>
    <w:rsid w:val="00435EBB"/>
    <w:rsid w:val="00440254"/>
    <w:rsid w:val="004551C1"/>
    <w:rsid w:val="00464950"/>
    <w:rsid w:val="004860D3"/>
    <w:rsid w:val="004A3BF4"/>
    <w:rsid w:val="004A5DB3"/>
    <w:rsid w:val="004A6336"/>
    <w:rsid w:val="004C02E2"/>
    <w:rsid w:val="004C6445"/>
    <w:rsid w:val="004C7CC2"/>
    <w:rsid w:val="00504828"/>
    <w:rsid w:val="005152D9"/>
    <w:rsid w:val="00533AD4"/>
    <w:rsid w:val="00534849"/>
    <w:rsid w:val="00550AE5"/>
    <w:rsid w:val="00560102"/>
    <w:rsid w:val="00562EA1"/>
    <w:rsid w:val="005E5A3B"/>
    <w:rsid w:val="00617BB8"/>
    <w:rsid w:val="00660E7F"/>
    <w:rsid w:val="00680052"/>
    <w:rsid w:val="00683267"/>
    <w:rsid w:val="006844E9"/>
    <w:rsid w:val="006B3847"/>
    <w:rsid w:val="006C2EC3"/>
    <w:rsid w:val="006D6779"/>
    <w:rsid w:val="007166B9"/>
    <w:rsid w:val="0072629F"/>
    <w:rsid w:val="00734384"/>
    <w:rsid w:val="0075453D"/>
    <w:rsid w:val="00755DC6"/>
    <w:rsid w:val="007A4CC6"/>
    <w:rsid w:val="007C3623"/>
    <w:rsid w:val="007C5D2A"/>
    <w:rsid w:val="007E2903"/>
    <w:rsid w:val="007F1E00"/>
    <w:rsid w:val="008016EB"/>
    <w:rsid w:val="00830E66"/>
    <w:rsid w:val="008400E3"/>
    <w:rsid w:val="00864538"/>
    <w:rsid w:val="00873B4F"/>
    <w:rsid w:val="00877E3B"/>
    <w:rsid w:val="008D20C3"/>
    <w:rsid w:val="008E2AE2"/>
    <w:rsid w:val="008E51AE"/>
    <w:rsid w:val="008F2F8C"/>
    <w:rsid w:val="00957CD5"/>
    <w:rsid w:val="009925C9"/>
    <w:rsid w:val="009E6B18"/>
    <w:rsid w:val="009F09A2"/>
    <w:rsid w:val="00A057B9"/>
    <w:rsid w:val="00A179D0"/>
    <w:rsid w:val="00A358A3"/>
    <w:rsid w:val="00A46747"/>
    <w:rsid w:val="00A72502"/>
    <w:rsid w:val="00A80446"/>
    <w:rsid w:val="00A81642"/>
    <w:rsid w:val="00A85D26"/>
    <w:rsid w:val="00A9153A"/>
    <w:rsid w:val="00AB28C5"/>
    <w:rsid w:val="00AB4376"/>
    <w:rsid w:val="00AC033C"/>
    <w:rsid w:val="00AD229D"/>
    <w:rsid w:val="00AD2E36"/>
    <w:rsid w:val="00B30F9A"/>
    <w:rsid w:val="00B71FDE"/>
    <w:rsid w:val="00BC2A04"/>
    <w:rsid w:val="00BD3490"/>
    <w:rsid w:val="00BD3F6B"/>
    <w:rsid w:val="00BF541D"/>
    <w:rsid w:val="00C26226"/>
    <w:rsid w:val="00C32186"/>
    <w:rsid w:val="00C3571D"/>
    <w:rsid w:val="00C54F0B"/>
    <w:rsid w:val="00C6509B"/>
    <w:rsid w:val="00C82621"/>
    <w:rsid w:val="00CA7716"/>
    <w:rsid w:val="00CB1423"/>
    <w:rsid w:val="00CD6F56"/>
    <w:rsid w:val="00CE347C"/>
    <w:rsid w:val="00D02508"/>
    <w:rsid w:val="00D778CC"/>
    <w:rsid w:val="00D82FE9"/>
    <w:rsid w:val="00D97B77"/>
    <w:rsid w:val="00DB6A85"/>
    <w:rsid w:val="00E06B32"/>
    <w:rsid w:val="00E1290F"/>
    <w:rsid w:val="00E36A80"/>
    <w:rsid w:val="00E60E27"/>
    <w:rsid w:val="00E84EB9"/>
    <w:rsid w:val="00EA1CBE"/>
    <w:rsid w:val="00EB21D7"/>
    <w:rsid w:val="00EE3EB7"/>
    <w:rsid w:val="00F2196A"/>
    <w:rsid w:val="00F55BAA"/>
    <w:rsid w:val="00F57E16"/>
    <w:rsid w:val="00F60336"/>
    <w:rsid w:val="00F7361C"/>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65888"/>
  <w15:chartTrackingRefBased/>
  <w15:docId w15:val="{02DFFCEF-4707-4E77-9089-105D9FF4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7E2903"/>
    <w:pPr>
      <w:overflowPunct w:val="0"/>
      <w:autoSpaceDE w:val="0"/>
      <w:autoSpaceDN w:val="0"/>
      <w:adjustRightInd w:val="0"/>
      <w:ind w:left="720"/>
      <w:contextualSpacing/>
    </w:pPr>
    <w:rPr>
      <w:sz w:val="24"/>
      <w:lang w:val="en-GB"/>
    </w:rPr>
  </w:style>
  <w:style w:type="table" w:styleId="Tabel-Gitter">
    <w:name w:val="Table Grid"/>
    <w:basedOn w:val="Tabel-Normal"/>
    <w:uiPriority w:val="59"/>
    <w:rsid w:val="007E2903"/>
    <w:rPr>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semiHidden/>
    <w:unhideWhenUsed/>
    <w:rsid w:val="00E84EB9"/>
    <w:pPr>
      <w:suppressAutoHyphens/>
      <w:autoSpaceDE w:val="0"/>
      <w:autoSpaceDN w:val="0"/>
      <w:adjustRightInd w:val="0"/>
      <w:jc w:val="both"/>
    </w:pPr>
    <w:rPr>
      <w:sz w:val="24"/>
      <w:szCs w:val="24"/>
      <w:lang w:val="en-GB" w:eastAsia="el-GR"/>
    </w:rPr>
  </w:style>
  <w:style w:type="character" w:customStyle="1" w:styleId="BrdtekstTegn">
    <w:name w:val="Brødtekst Tegn"/>
    <w:basedOn w:val="Standardskrifttypeiafsnit"/>
    <w:link w:val="Brdtekst"/>
    <w:uiPriority w:val="99"/>
    <w:semiHidden/>
    <w:rsid w:val="00E84EB9"/>
    <w:rPr>
      <w:sz w:val="24"/>
      <w:szCs w:val="24"/>
      <w:lang w:val="en-GB" w:eastAsia="el-GR"/>
    </w:rPr>
  </w:style>
  <w:style w:type="paragraph" w:styleId="Brdtekst2">
    <w:name w:val="Body Text 2"/>
    <w:basedOn w:val="Normal"/>
    <w:link w:val="Brdtekst2Tegn"/>
    <w:uiPriority w:val="99"/>
    <w:semiHidden/>
    <w:unhideWhenUsed/>
    <w:rsid w:val="00E84EB9"/>
    <w:pPr>
      <w:suppressAutoHyphens/>
      <w:autoSpaceDE w:val="0"/>
      <w:autoSpaceDN w:val="0"/>
      <w:adjustRightInd w:val="0"/>
      <w:jc w:val="both"/>
    </w:pPr>
    <w:rPr>
      <w:sz w:val="20"/>
      <w:lang w:val="en-GB" w:eastAsia="el-GR"/>
    </w:rPr>
  </w:style>
  <w:style w:type="character" w:customStyle="1" w:styleId="Brdtekst2Tegn">
    <w:name w:val="Brødtekst 2 Tegn"/>
    <w:basedOn w:val="Standardskrifttypeiafsnit"/>
    <w:link w:val="Brdtekst2"/>
    <w:uiPriority w:val="99"/>
    <w:semiHidden/>
    <w:rsid w:val="00E84EB9"/>
    <w:rPr>
      <w:lang w:val="en-GB" w:eastAsia="el-GR"/>
    </w:rPr>
  </w:style>
  <w:style w:type="paragraph" w:styleId="Brdtekstindrykning">
    <w:name w:val="Body Text Indent"/>
    <w:basedOn w:val="Normal"/>
    <w:link w:val="BrdtekstindrykningTegn"/>
    <w:uiPriority w:val="99"/>
    <w:semiHidden/>
    <w:unhideWhenUsed/>
    <w:rsid w:val="00E84EB9"/>
    <w:pPr>
      <w:spacing w:after="120"/>
      <w:ind w:left="283"/>
    </w:pPr>
  </w:style>
  <w:style w:type="character" w:customStyle="1" w:styleId="BrdtekstindrykningTegn">
    <w:name w:val="Brødtekstindrykning Tegn"/>
    <w:basedOn w:val="Standardskrifttypeiafsnit"/>
    <w:link w:val="Brdtekstindrykning"/>
    <w:uiPriority w:val="99"/>
    <w:semiHidden/>
    <w:rsid w:val="00E84EB9"/>
    <w:rPr>
      <w:sz w:val="23"/>
    </w:rPr>
  </w:style>
  <w:style w:type="paragraph" w:styleId="Fodnotetekst">
    <w:name w:val="footnote text"/>
    <w:basedOn w:val="Normal"/>
    <w:link w:val="FodnotetekstTegn"/>
    <w:semiHidden/>
    <w:unhideWhenUsed/>
    <w:rsid w:val="00E84EB9"/>
    <w:pPr>
      <w:tabs>
        <w:tab w:val="left" w:pos="425"/>
      </w:tabs>
      <w:overflowPunct w:val="0"/>
      <w:autoSpaceDE w:val="0"/>
      <w:autoSpaceDN w:val="0"/>
      <w:adjustRightInd w:val="0"/>
      <w:spacing w:after="120"/>
      <w:ind w:left="425" w:hanging="425"/>
    </w:pPr>
    <w:rPr>
      <w:sz w:val="22"/>
      <w:lang w:val="en-GB"/>
    </w:rPr>
  </w:style>
  <w:style w:type="character" w:customStyle="1" w:styleId="FodnotetekstTegn">
    <w:name w:val="Fodnotetekst Tegn"/>
    <w:basedOn w:val="Standardskrifttypeiafsnit"/>
    <w:link w:val="Fodnotetekst"/>
    <w:semiHidden/>
    <w:rsid w:val="00E84EB9"/>
    <w:rPr>
      <w:sz w:val="22"/>
      <w:lang w:val="en-GB"/>
    </w:rPr>
  </w:style>
  <w:style w:type="character" w:styleId="Fodnotehenvisning">
    <w:name w:val="footnote reference"/>
    <w:semiHidden/>
    <w:unhideWhenUsed/>
    <w:rsid w:val="00E84EB9"/>
    <w:rPr>
      <w:color w:val="0000FF"/>
      <w:vertAlign w:val="superscript"/>
    </w:rPr>
  </w:style>
  <w:style w:type="paragraph" w:customStyle="1" w:styleId="Default">
    <w:name w:val="Default"/>
    <w:rsid w:val="00E84EB9"/>
    <w:pPr>
      <w:autoSpaceDE w:val="0"/>
      <w:autoSpaceDN w:val="0"/>
      <w:adjustRightInd w:val="0"/>
    </w:pPr>
    <w:rPr>
      <w:color w:val="000000"/>
      <w:sz w:val="24"/>
      <w:szCs w:val="24"/>
      <w:lang w:val="el-GR" w:eastAsia="el-GR"/>
    </w:rPr>
  </w:style>
  <w:style w:type="character" w:customStyle="1" w:styleId="SidehovedTegn">
    <w:name w:val="Sidehoved Tegn"/>
    <w:basedOn w:val="Standardskrifttypeiafsnit"/>
    <w:link w:val="Sidehoved"/>
    <w:rsid w:val="007262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5841">
      <w:bodyDiv w:val="1"/>
      <w:marLeft w:val="0"/>
      <w:marRight w:val="0"/>
      <w:marTop w:val="0"/>
      <w:marBottom w:val="0"/>
      <w:divBdr>
        <w:top w:val="none" w:sz="0" w:space="0" w:color="auto"/>
        <w:left w:val="none" w:sz="0" w:space="0" w:color="auto"/>
        <w:bottom w:val="none" w:sz="0" w:space="0" w:color="auto"/>
        <w:right w:val="none" w:sz="0" w:space="0" w:color="auto"/>
      </w:divBdr>
    </w:div>
    <w:div w:id="131605002">
      <w:bodyDiv w:val="1"/>
      <w:marLeft w:val="0"/>
      <w:marRight w:val="0"/>
      <w:marTop w:val="0"/>
      <w:marBottom w:val="0"/>
      <w:divBdr>
        <w:top w:val="none" w:sz="0" w:space="0" w:color="auto"/>
        <w:left w:val="none" w:sz="0" w:space="0" w:color="auto"/>
        <w:bottom w:val="none" w:sz="0" w:space="0" w:color="auto"/>
        <w:right w:val="none" w:sz="0" w:space="0" w:color="auto"/>
      </w:divBdr>
    </w:div>
    <w:div w:id="193858194">
      <w:bodyDiv w:val="1"/>
      <w:marLeft w:val="0"/>
      <w:marRight w:val="0"/>
      <w:marTop w:val="0"/>
      <w:marBottom w:val="0"/>
      <w:divBdr>
        <w:top w:val="none" w:sz="0" w:space="0" w:color="auto"/>
        <w:left w:val="none" w:sz="0" w:space="0" w:color="auto"/>
        <w:bottom w:val="none" w:sz="0" w:space="0" w:color="auto"/>
        <w:right w:val="none" w:sz="0" w:space="0" w:color="auto"/>
      </w:divBdr>
    </w:div>
    <w:div w:id="203031247">
      <w:bodyDiv w:val="1"/>
      <w:marLeft w:val="0"/>
      <w:marRight w:val="0"/>
      <w:marTop w:val="0"/>
      <w:marBottom w:val="0"/>
      <w:divBdr>
        <w:top w:val="none" w:sz="0" w:space="0" w:color="auto"/>
        <w:left w:val="none" w:sz="0" w:space="0" w:color="auto"/>
        <w:bottom w:val="none" w:sz="0" w:space="0" w:color="auto"/>
        <w:right w:val="none" w:sz="0" w:space="0" w:color="auto"/>
      </w:divBdr>
    </w:div>
    <w:div w:id="239799961">
      <w:bodyDiv w:val="1"/>
      <w:marLeft w:val="0"/>
      <w:marRight w:val="0"/>
      <w:marTop w:val="0"/>
      <w:marBottom w:val="0"/>
      <w:divBdr>
        <w:top w:val="none" w:sz="0" w:space="0" w:color="auto"/>
        <w:left w:val="none" w:sz="0" w:space="0" w:color="auto"/>
        <w:bottom w:val="none" w:sz="0" w:space="0" w:color="auto"/>
        <w:right w:val="none" w:sz="0" w:space="0" w:color="auto"/>
      </w:divBdr>
    </w:div>
    <w:div w:id="246963387">
      <w:bodyDiv w:val="1"/>
      <w:marLeft w:val="0"/>
      <w:marRight w:val="0"/>
      <w:marTop w:val="0"/>
      <w:marBottom w:val="0"/>
      <w:divBdr>
        <w:top w:val="none" w:sz="0" w:space="0" w:color="auto"/>
        <w:left w:val="none" w:sz="0" w:space="0" w:color="auto"/>
        <w:bottom w:val="none" w:sz="0" w:space="0" w:color="auto"/>
        <w:right w:val="none" w:sz="0" w:space="0" w:color="auto"/>
      </w:divBdr>
    </w:div>
    <w:div w:id="332268091">
      <w:bodyDiv w:val="1"/>
      <w:marLeft w:val="0"/>
      <w:marRight w:val="0"/>
      <w:marTop w:val="0"/>
      <w:marBottom w:val="0"/>
      <w:divBdr>
        <w:top w:val="none" w:sz="0" w:space="0" w:color="auto"/>
        <w:left w:val="none" w:sz="0" w:space="0" w:color="auto"/>
        <w:bottom w:val="none" w:sz="0" w:space="0" w:color="auto"/>
        <w:right w:val="none" w:sz="0" w:space="0" w:color="auto"/>
      </w:divBdr>
    </w:div>
    <w:div w:id="352264342">
      <w:bodyDiv w:val="1"/>
      <w:marLeft w:val="0"/>
      <w:marRight w:val="0"/>
      <w:marTop w:val="0"/>
      <w:marBottom w:val="0"/>
      <w:divBdr>
        <w:top w:val="none" w:sz="0" w:space="0" w:color="auto"/>
        <w:left w:val="none" w:sz="0" w:space="0" w:color="auto"/>
        <w:bottom w:val="none" w:sz="0" w:space="0" w:color="auto"/>
        <w:right w:val="none" w:sz="0" w:space="0" w:color="auto"/>
      </w:divBdr>
    </w:div>
    <w:div w:id="433289256">
      <w:bodyDiv w:val="1"/>
      <w:marLeft w:val="0"/>
      <w:marRight w:val="0"/>
      <w:marTop w:val="0"/>
      <w:marBottom w:val="0"/>
      <w:divBdr>
        <w:top w:val="none" w:sz="0" w:space="0" w:color="auto"/>
        <w:left w:val="none" w:sz="0" w:space="0" w:color="auto"/>
        <w:bottom w:val="none" w:sz="0" w:space="0" w:color="auto"/>
        <w:right w:val="none" w:sz="0" w:space="0" w:color="auto"/>
      </w:divBdr>
    </w:div>
    <w:div w:id="504445101">
      <w:bodyDiv w:val="1"/>
      <w:marLeft w:val="0"/>
      <w:marRight w:val="0"/>
      <w:marTop w:val="0"/>
      <w:marBottom w:val="0"/>
      <w:divBdr>
        <w:top w:val="none" w:sz="0" w:space="0" w:color="auto"/>
        <w:left w:val="none" w:sz="0" w:space="0" w:color="auto"/>
        <w:bottom w:val="none" w:sz="0" w:space="0" w:color="auto"/>
        <w:right w:val="none" w:sz="0" w:space="0" w:color="auto"/>
      </w:divBdr>
    </w:div>
    <w:div w:id="505511150">
      <w:bodyDiv w:val="1"/>
      <w:marLeft w:val="0"/>
      <w:marRight w:val="0"/>
      <w:marTop w:val="0"/>
      <w:marBottom w:val="0"/>
      <w:divBdr>
        <w:top w:val="none" w:sz="0" w:space="0" w:color="auto"/>
        <w:left w:val="none" w:sz="0" w:space="0" w:color="auto"/>
        <w:bottom w:val="none" w:sz="0" w:space="0" w:color="auto"/>
        <w:right w:val="none" w:sz="0" w:space="0" w:color="auto"/>
      </w:divBdr>
    </w:div>
    <w:div w:id="525292242">
      <w:bodyDiv w:val="1"/>
      <w:marLeft w:val="0"/>
      <w:marRight w:val="0"/>
      <w:marTop w:val="0"/>
      <w:marBottom w:val="0"/>
      <w:divBdr>
        <w:top w:val="none" w:sz="0" w:space="0" w:color="auto"/>
        <w:left w:val="none" w:sz="0" w:space="0" w:color="auto"/>
        <w:bottom w:val="none" w:sz="0" w:space="0" w:color="auto"/>
        <w:right w:val="none" w:sz="0" w:space="0" w:color="auto"/>
      </w:divBdr>
    </w:div>
    <w:div w:id="565267628">
      <w:bodyDiv w:val="1"/>
      <w:marLeft w:val="0"/>
      <w:marRight w:val="0"/>
      <w:marTop w:val="0"/>
      <w:marBottom w:val="0"/>
      <w:divBdr>
        <w:top w:val="none" w:sz="0" w:space="0" w:color="auto"/>
        <w:left w:val="none" w:sz="0" w:space="0" w:color="auto"/>
        <w:bottom w:val="none" w:sz="0" w:space="0" w:color="auto"/>
        <w:right w:val="none" w:sz="0" w:space="0" w:color="auto"/>
      </w:divBdr>
    </w:div>
    <w:div w:id="577402491">
      <w:bodyDiv w:val="1"/>
      <w:marLeft w:val="0"/>
      <w:marRight w:val="0"/>
      <w:marTop w:val="0"/>
      <w:marBottom w:val="0"/>
      <w:divBdr>
        <w:top w:val="none" w:sz="0" w:space="0" w:color="auto"/>
        <w:left w:val="none" w:sz="0" w:space="0" w:color="auto"/>
        <w:bottom w:val="none" w:sz="0" w:space="0" w:color="auto"/>
        <w:right w:val="none" w:sz="0" w:space="0" w:color="auto"/>
      </w:divBdr>
    </w:div>
    <w:div w:id="578833058">
      <w:bodyDiv w:val="1"/>
      <w:marLeft w:val="0"/>
      <w:marRight w:val="0"/>
      <w:marTop w:val="0"/>
      <w:marBottom w:val="0"/>
      <w:divBdr>
        <w:top w:val="none" w:sz="0" w:space="0" w:color="auto"/>
        <w:left w:val="none" w:sz="0" w:space="0" w:color="auto"/>
        <w:bottom w:val="none" w:sz="0" w:space="0" w:color="auto"/>
        <w:right w:val="none" w:sz="0" w:space="0" w:color="auto"/>
      </w:divBdr>
    </w:div>
    <w:div w:id="579485439">
      <w:bodyDiv w:val="1"/>
      <w:marLeft w:val="0"/>
      <w:marRight w:val="0"/>
      <w:marTop w:val="0"/>
      <w:marBottom w:val="0"/>
      <w:divBdr>
        <w:top w:val="none" w:sz="0" w:space="0" w:color="auto"/>
        <w:left w:val="none" w:sz="0" w:space="0" w:color="auto"/>
        <w:bottom w:val="none" w:sz="0" w:space="0" w:color="auto"/>
        <w:right w:val="none" w:sz="0" w:space="0" w:color="auto"/>
      </w:divBdr>
    </w:div>
    <w:div w:id="593703635">
      <w:bodyDiv w:val="1"/>
      <w:marLeft w:val="0"/>
      <w:marRight w:val="0"/>
      <w:marTop w:val="0"/>
      <w:marBottom w:val="0"/>
      <w:divBdr>
        <w:top w:val="none" w:sz="0" w:space="0" w:color="auto"/>
        <w:left w:val="none" w:sz="0" w:space="0" w:color="auto"/>
        <w:bottom w:val="none" w:sz="0" w:space="0" w:color="auto"/>
        <w:right w:val="none" w:sz="0" w:space="0" w:color="auto"/>
      </w:divBdr>
    </w:div>
    <w:div w:id="621494551">
      <w:bodyDiv w:val="1"/>
      <w:marLeft w:val="0"/>
      <w:marRight w:val="0"/>
      <w:marTop w:val="0"/>
      <w:marBottom w:val="0"/>
      <w:divBdr>
        <w:top w:val="none" w:sz="0" w:space="0" w:color="auto"/>
        <w:left w:val="none" w:sz="0" w:space="0" w:color="auto"/>
        <w:bottom w:val="none" w:sz="0" w:space="0" w:color="auto"/>
        <w:right w:val="none" w:sz="0" w:space="0" w:color="auto"/>
      </w:divBdr>
    </w:div>
    <w:div w:id="684945800">
      <w:bodyDiv w:val="1"/>
      <w:marLeft w:val="0"/>
      <w:marRight w:val="0"/>
      <w:marTop w:val="0"/>
      <w:marBottom w:val="0"/>
      <w:divBdr>
        <w:top w:val="none" w:sz="0" w:space="0" w:color="auto"/>
        <w:left w:val="none" w:sz="0" w:space="0" w:color="auto"/>
        <w:bottom w:val="none" w:sz="0" w:space="0" w:color="auto"/>
        <w:right w:val="none" w:sz="0" w:space="0" w:color="auto"/>
      </w:divBdr>
    </w:div>
    <w:div w:id="688800262">
      <w:bodyDiv w:val="1"/>
      <w:marLeft w:val="0"/>
      <w:marRight w:val="0"/>
      <w:marTop w:val="0"/>
      <w:marBottom w:val="0"/>
      <w:divBdr>
        <w:top w:val="none" w:sz="0" w:space="0" w:color="auto"/>
        <w:left w:val="none" w:sz="0" w:space="0" w:color="auto"/>
        <w:bottom w:val="none" w:sz="0" w:space="0" w:color="auto"/>
        <w:right w:val="none" w:sz="0" w:space="0" w:color="auto"/>
      </w:divBdr>
    </w:div>
    <w:div w:id="722942951">
      <w:bodyDiv w:val="1"/>
      <w:marLeft w:val="0"/>
      <w:marRight w:val="0"/>
      <w:marTop w:val="0"/>
      <w:marBottom w:val="0"/>
      <w:divBdr>
        <w:top w:val="none" w:sz="0" w:space="0" w:color="auto"/>
        <w:left w:val="none" w:sz="0" w:space="0" w:color="auto"/>
        <w:bottom w:val="none" w:sz="0" w:space="0" w:color="auto"/>
        <w:right w:val="none" w:sz="0" w:space="0" w:color="auto"/>
      </w:divBdr>
    </w:div>
    <w:div w:id="807017857">
      <w:bodyDiv w:val="1"/>
      <w:marLeft w:val="0"/>
      <w:marRight w:val="0"/>
      <w:marTop w:val="0"/>
      <w:marBottom w:val="0"/>
      <w:divBdr>
        <w:top w:val="none" w:sz="0" w:space="0" w:color="auto"/>
        <w:left w:val="none" w:sz="0" w:space="0" w:color="auto"/>
        <w:bottom w:val="none" w:sz="0" w:space="0" w:color="auto"/>
        <w:right w:val="none" w:sz="0" w:space="0" w:color="auto"/>
      </w:divBdr>
    </w:div>
    <w:div w:id="812066507">
      <w:bodyDiv w:val="1"/>
      <w:marLeft w:val="0"/>
      <w:marRight w:val="0"/>
      <w:marTop w:val="0"/>
      <w:marBottom w:val="0"/>
      <w:divBdr>
        <w:top w:val="none" w:sz="0" w:space="0" w:color="auto"/>
        <w:left w:val="none" w:sz="0" w:space="0" w:color="auto"/>
        <w:bottom w:val="none" w:sz="0" w:space="0" w:color="auto"/>
        <w:right w:val="none" w:sz="0" w:space="0" w:color="auto"/>
      </w:divBdr>
    </w:div>
    <w:div w:id="830175167">
      <w:bodyDiv w:val="1"/>
      <w:marLeft w:val="0"/>
      <w:marRight w:val="0"/>
      <w:marTop w:val="0"/>
      <w:marBottom w:val="0"/>
      <w:divBdr>
        <w:top w:val="none" w:sz="0" w:space="0" w:color="auto"/>
        <w:left w:val="none" w:sz="0" w:space="0" w:color="auto"/>
        <w:bottom w:val="none" w:sz="0" w:space="0" w:color="auto"/>
        <w:right w:val="none" w:sz="0" w:space="0" w:color="auto"/>
      </w:divBdr>
    </w:div>
    <w:div w:id="856309087">
      <w:bodyDiv w:val="1"/>
      <w:marLeft w:val="0"/>
      <w:marRight w:val="0"/>
      <w:marTop w:val="0"/>
      <w:marBottom w:val="0"/>
      <w:divBdr>
        <w:top w:val="none" w:sz="0" w:space="0" w:color="auto"/>
        <w:left w:val="none" w:sz="0" w:space="0" w:color="auto"/>
        <w:bottom w:val="none" w:sz="0" w:space="0" w:color="auto"/>
        <w:right w:val="none" w:sz="0" w:space="0" w:color="auto"/>
      </w:divBdr>
    </w:div>
    <w:div w:id="884609589">
      <w:bodyDiv w:val="1"/>
      <w:marLeft w:val="0"/>
      <w:marRight w:val="0"/>
      <w:marTop w:val="0"/>
      <w:marBottom w:val="0"/>
      <w:divBdr>
        <w:top w:val="none" w:sz="0" w:space="0" w:color="auto"/>
        <w:left w:val="none" w:sz="0" w:space="0" w:color="auto"/>
        <w:bottom w:val="none" w:sz="0" w:space="0" w:color="auto"/>
        <w:right w:val="none" w:sz="0" w:space="0" w:color="auto"/>
      </w:divBdr>
    </w:div>
    <w:div w:id="902330614">
      <w:bodyDiv w:val="1"/>
      <w:marLeft w:val="0"/>
      <w:marRight w:val="0"/>
      <w:marTop w:val="0"/>
      <w:marBottom w:val="0"/>
      <w:divBdr>
        <w:top w:val="none" w:sz="0" w:space="0" w:color="auto"/>
        <w:left w:val="none" w:sz="0" w:space="0" w:color="auto"/>
        <w:bottom w:val="none" w:sz="0" w:space="0" w:color="auto"/>
        <w:right w:val="none" w:sz="0" w:space="0" w:color="auto"/>
      </w:divBdr>
    </w:div>
    <w:div w:id="925113226">
      <w:bodyDiv w:val="1"/>
      <w:marLeft w:val="0"/>
      <w:marRight w:val="0"/>
      <w:marTop w:val="0"/>
      <w:marBottom w:val="0"/>
      <w:divBdr>
        <w:top w:val="none" w:sz="0" w:space="0" w:color="auto"/>
        <w:left w:val="none" w:sz="0" w:space="0" w:color="auto"/>
        <w:bottom w:val="none" w:sz="0" w:space="0" w:color="auto"/>
        <w:right w:val="none" w:sz="0" w:space="0" w:color="auto"/>
      </w:divBdr>
    </w:div>
    <w:div w:id="985010353">
      <w:bodyDiv w:val="1"/>
      <w:marLeft w:val="0"/>
      <w:marRight w:val="0"/>
      <w:marTop w:val="0"/>
      <w:marBottom w:val="0"/>
      <w:divBdr>
        <w:top w:val="none" w:sz="0" w:space="0" w:color="auto"/>
        <w:left w:val="none" w:sz="0" w:space="0" w:color="auto"/>
        <w:bottom w:val="none" w:sz="0" w:space="0" w:color="auto"/>
        <w:right w:val="none" w:sz="0" w:space="0" w:color="auto"/>
      </w:divBdr>
    </w:div>
    <w:div w:id="1034690977">
      <w:bodyDiv w:val="1"/>
      <w:marLeft w:val="0"/>
      <w:marRight w:val="0"/>
      <w:marTop w:val="0"/>
      <w:marBottom w:val="0"/>
      <w:divBdr>
        <w:top w:val="none" w:sz="0" w:space="0" w:color="auto"/>
        <w:left w:val="none" w:sz="0" w:space="0" w:color="auto"/>
        <w:bottom w:val="none" w:sz="0" w:space="0" w:color="auto"/>
        <w:right w:val="none" w:sz="0" w:space="0" w:color="auto"/>
      </w:divBdr>
    </w:div>
    <w:div w:id="1088506226">
      <w:bodyDiv w:val="1"/>
      <w:marLeft w:val="0"/>
      <w:marRight w:val="0"/>
      <w:marTop w:val="0"/>
      <w:marBottom w:val="0"/>
      <w:divBdr>
        <w:top w:val="none" w:sz="0" w:space="0" w:color="auto"/>
        <w:left w:val="none" w:sz="0" w:space="0" w:color="auto"/>
        <w:bottom w:val="none" w:sz="0" w:space="0" w:color="auto"/>
        <w:right w:val="none" w:sz="0" w:space="0" w:color="auto"/>
      </w:divBdr>
    </w:div>
    <w:div w:id="1205558569">
      <w:bodyDiv w:val="1"/>
      <w:marLeft w:val="0"/>
      <w:marRight w:val="0"/>
      <w:marTop w:val="0"/>
      <w:marBottom w:val="0"/>
      <w:divBdr>
        <w:top w:val="none" w:sz="0" w:space="0" w:color="auto"/>
        <w:left w:val="none" w:sz="0" w:space="0" w:color="auto"/>
        <w:bottom w:val="none" w:sz="0" w:space="0" w:color="auto"/>
        <w:right w:val="none" w:sz="0" w:space="0" w:color="auto"/>
      </w:divBdr>
    </w:div>
    <w:div w:id="1264067467">
      <w:bodyDiv w:val="1"/>
      <w:marLeft w:val="0"/>
      <w:marRight w:val="0"/>
      <w:marTop w:val="0"/>
      <w:marBottom w:val="0"/>
      <w:divBdr>
        <w:top w:val="none" w:sz="0" w:space="0" w:color="auto"/>
        <w:left w:val="none" w:sz="0" w:space="0" w:color="auto"/>
        <w:bottom w:val="none" w:sz="0" w:space="0" w:color="auto"/>
        <w:right w:val="none" w:sz="0" w:space="0" w:color="auto"/>
      </w:divBdr>
    </w:div>
    <w:div w:id="1374966820">
      <w:bodyDiv w:val="1"/>
      <w:marLeft w:val="0"/>
      <w:marRight w:val="0"/>
      <w:marTop w:val="0"/>
      <w:marBottom w:val="0"/>
      <w:divBdr>
        <w:top w:val="none" w:sz="0" w:space="0" w:color="auto"/>
        <w:left w:val="none" w:sz="0" w:space="0" w:color="auto"/>
        <w:bottom w:val="none" w:sz="0" w:space="0" w:color="auto"/>
        <w:right w:val="none" w:sz="0" w:space="0" w:color="auto"/>
      </w:divBdr>
    </w:div>
    <w:div w:id="1381511611">
      <w:bodyDiv w:val="1"/>
      <w:marLeft w:val="0"/>
      <w:marRight w:val="0"/>
      <w:marTop w:val="0"/>
      <w:marBottom w:val="0"/>
      <w:divBdr>
        <w:top w:val="none" w:sz="0" w:space="0" w:color="auto"/>
        <w:left w:val="none" w:sz="0" w:space="0" w:color="auto"/>
        <w:bottom w:val="none" w:sz="0" w:space="0" w:color="auto"/>
        <w:right w:val="none" w:sz="0" w:space="0" w:color="auto"/>
      </w:divBdr>
    </w:div>
    <w:div w:id="1388531078">
      <w:bodyDiv w:val="1"/>
      <w:marLeft w:val="0"/>
      <w:marRight w:val="0"/>
      <w:marTop w:val="0"/>
      <w:marBottom w:val="0"/>
      <w:divBdr>
        <w:top w:val="none" w:sz="0" w:space="0" w:color="auto"/>
        <w:left w:val="none" w:sz="0" w:space="0" w:color="auto"/>
        <w:bottom w:val="none" w:sz="0" w:space="0" w:color="auto"/>
        <w:right w:val="none" w:sz="0" w:space="0" w:color="auto"/>
      </w:divBdr>
    </w:div>
    <w:div w:id="1402210923">
      <w:bodyDiv w:val="1"/>
      <w:marLeft w:val="0"/>
      <w:marRight w:val="0"/>
      <w:marTop w:val="0"/>
      <w:marBottom w:val="0"/>
      <w:divBdr>
        <w:top w:val="none" w:sz="0" w:space="0" w:color="auto"/>
        <w:left w:val="none" w:sz="0" w:space="0" w:color="auto"/>
        <w:bottom w:val="none" w:sz="0" w:space="0" w:color="auto"/>
        <w:right w:val="none" w:sz="0" w:space="0" w:color="auto"/>
      </w:divBdr>
    </w:div>
    <w:div w:id="1420979700">
      <w:bodyDiv w:val="1"/>
      <w:marLeft w:val="0"/>
      <w:marRight w:val="0"/>
      <w:marTop w:val="0"/>
      <w:marBottom w:val="0"/>
      <w:divBdr>
        <w:top w:val="none" w:sz="0" w:space="0" w:color="auto"/>
        <w:left w:val="none" w:sz="0" w:space="0" w:color="auto"/>
        <w:bottom w:val="none" w:sz="0" w:space="0" w:color="auto"/>
        <w:right w:val="none" w:sz="0" w:space="0" w:color="auto"/>
      </w:divBdr>
    </w:div>
    <w:div w:id="1502352290">
      <w:bodyDiv w:val="1"/>
      <w:marLeft w:val="0"/>
      <w:marRight w:val="0"/>
      <w:marTop w:val="0"/>
      <w:marBottom w:val="0"/>
      <w:divBdr>
        <w:top w:val="none" w:sz="0" w:space="0" w:color="auto"/>
        <w:left w:val="none" w:sz="0" w:space="0" w:color="auto"/>
        <w:bottom w:val="none" w:sz="0" w:space="0" w:color="auto"/>
        <w:right w:val="none" w:sz="0" w:space="0" w:color="auto"/>
      </w:divBdr>
    </w:div>
    <w:div w:id="1504930879">
      <w:bodyDiv w:val="1"/>
      <w:marLeft w:val="0"/>
      <w:marRight w:val="0"/>
      <w:marTop w:val="0"/>
      <w:marBottom w:val="0"/>
      <w:divBdr>
        <w:top w:val="none" w:sz="0" w:space="0" w:color="auto"/>
        <w:left w:val="none" w:sz="0" w:space="0" w:color="auto"/>
        <w:bottom w:val="none" w:sz="0" w:space="0" w:color="auto"/>
        <w:right w:val="none" w:sz="0" w:space="0" w:color="auto"/>
      </w:divBdr>
    </w:div>
    <w:div w:id="1524978651">
      <w:bodyDiv w:val="1"/>
      <w:marLeft w:val="0"/>
      <w:marRight w:val="0"/>
      <w:marTop w:val="0"/>
      <w:marBottom w:val="0"/>
      <w:divBdr>
        <w:top w:val="none" w:sz="0" w:space="0" w:color="auto"/>
        <w:left w:val="none" w:sz="0" w:space="0" w:color="auto"/>
        <w:bottom w:val="none" w:sz="0" w:space="0" w:color="auto"/>
        <w:right w:val="none" w:sz="0" w:space="0" w:color="auto"/>
      </w:divBdr>
    </w:div>
    <w:div w:id="1778016187">
      <w:bodyDiv w:val="1"/>
      <w:marLeft w:val="0"/>
      <w:marRight w:val="0"/>
      <w:marTop w:val="0"/>
      <w:marBottom w:val="0"/>
      <w:divBdr>
        <w:top w:val="none" w:sz="0" w:space="0" w:color="auto"/>
        <w:left w:val="none" w:sz="0" w:space="0" w:color="auto"/>
        <w:bottom w:val="none" w:sz="0" w:space="0" w:color="auto"/>
        <w:right w:val="none" w:sz="0" w:space="0" w:color="auto"/>
      </w:divBdr>
    </w:div>
    <w:div w:id="1778670037">
      <w:bodyDiv w:val="1"/>
      <w:marLeft w:val="0"/>
      <w:marRight w:val="0"/>
      <w:marTop w:val="0"/>
      <w:marBottom w:val="0"/>
      <w:divBdr>
        <w:top w:val="none" w:sz="0" w:space="0" w:color="auto"/>
        <w:left w:val="none" w:sz="0" w:space="0" w:color="auto"/>
        <w:bottom w:val="none" w:sz="0" w:space="0" w:color="auto"/>
        <w:right w:val="none" w:sz="0" w:space="0" w:color="auto"/>
      </w:divBdr>
    </w:div>
    <w:div w:id="1836334266">
      <w:bodyDiv w:val="1"/>
      <w:marLeft w:val="0"/>
      <w:marRight w:val="0"/>
      <w:marTop w:val="0"/>
      <w:marBottom w:val="0"/>
      <w:divBdr>
        <w:top w:val="none" w:sz="0" w:space="0" w:color="auto"/>
        <w:left w:val="none" w:sz="0" w:space="0" w:color="auto"/>
        <w:bottom w:val="none" w:sz="0" w:space="0" w:color="auto"/>
        <w:right w:val="none" w:sz="0" w:space="0" w:color="auto"/>
      </w:divBdr>
    </w:div>
    <w:div w:id="1872036319">
      <w:bodyDiv w:val="1"/>
      <w:marLeft w:val="0"/>
      <w:marRight w:val="0"/>
      <w:marTop w:val="0"/>
      <w:marBottom w:val="0"/>
      <w:divBdr>
        <w:top w:val="none" w:sz="0" w:space="0" w:color="auto"/>
        <w:left w:val="none" w:sz="0" w:space="0" w:color="auto"/>
        <w:bottom w:val="none" w:sz="0" w:space="0" w:color="auto"/>
        <w:right w:val="none" w:sz="0" w:space="0" w:color="auto"/>
      </w:divBdr>
    </w:div>
    <w:div w:id="1959296488">
      <w:bodyDiv w:val="1"/>
      <w:marLeft w:val="0"/>
      <w:marRight w:val="0"/>
      <w:marTop w:val="0"/>
      <w:marBottom w:val="0"/>
      <w:divBdr>
        <w:top w:val="none" w:sz="0" w:space="0" w:color="auto"/>
        <w:left w:val="none" w:sz="0" w:space="0" w:color="auto"/>
        <w:bottom w:val="none" w:sz="0" w:space="0" w:color="auto"/>
        <w:right w:val="none" w:sz="0" w:space="0" w:color="auto"/>
      </w:divBdr>
    </w:div>
    <w:div w:id="1979416252">
      <w:bodyDiv w:val="1"/>
      <w:marLeft w:val="0"/>
      <w:marRight w:val="0"/>
      <w:marTop w:val="0"/>
      <w:marBottom w:val="0"/>
      <w:divBdr>
        <w:top w:val="none" w:sz="0" w:space="0" w:color="auto"/>
        <w:left w:val="none" w:sz="0" w:space="0" w:color="auto"/>
        <w:bottom w:val="none" w:sz="0" w:space="0" w:color="auto"/>
        <w:right w:val="none" w:sz="0" w:space="0" w:color="auto"/>
      </w:divBdr>
    </w:div>
    <w:div w:id="20976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22</Pages>
  <Words>7979</Words>
  <Characters>48226</Characters>
  <Application>Microsoft Office Word</Application>
  <DocSecurity>0</DocSecurity>
  <Lines>401</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2022070889, var. 11G, pkt. 4.1, 4.2, 4.4, 4.8, 5.1, 5.2, 6.2 + 2024100232, var. 15, pkt. 4.4, 4.5, 4.8</dc:description>
  <cp:lastModifiedBy>Gitte Jørgensen</cp:lastModifiedBy>
  <cp:revision>11</cp:revision>
  <cp:lastPrinted>2006-02-24T09:31:00Z</cp:lastPrinted>
  <dcterms:created xsi:type="dcterms:W3CDTF">2024-11-06T08:23:00Z</dcterms:created>
  <dcterms:modified xsi:type="dcterms:W3CDTF">2024-11-06T14:29:00Z</dcterms:modified>
</cp:coreProperties>
</file>