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F3701" w14:textId="77777777" w:rsidR="009260DE" w:rsidRPr="00875F19" w:rsidRDefault="0021526C" w:rsidP="009260DE">
      <w:pPr>
        <w:rPr>
          <w:sz w:val="24"/>
          <w:szCs w:val="24"/>
        </w:rPr>
      </w:pPr>
      <w:r w:rsidRPr="00875F19">
        <w:rPr>
          <w:noProof/>
          <w:sz w:val="24"/>
          <w:szCs w:val="24"/>
          <w:lang w:eastAsia="da-DK"/>
        </w:rPr>
        <w:drawing>
          <wp:anchor distT="0" distB="0" distL="114300" distR="114300" simplePos="0" relativeHeight="251658240" behindDoc="0" locked="0" layoutInCell="1" allowOverlap="1" wp14:anchorId="1F4E731C" wp14:editId="1FA2C52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75F19">
        <w:rPr>
          <w:sz w:val="24"/>
          <w:szCs w:val="24"/>
        </w:rPr>
        <w:br w:type="textWrapping" w:clear="all"/>
      </w:r>
    </w:p>
    <w:p w14:paraId="26B9781F" w14:textId="142A5DAE" w:rsidR="00BC713B" w:rsidRPr="00BC713B" w:rsidRDefault="009260DE" w:rsidP="009260DE">
      <w:pPr>
        <w:pStyle w:val="Titel"/>
        <w:tabs>
          <w:tab w:val="right" w:pos="9356"/>
        </w:tabs>
        <w:jc w:val="left"/>
        <w:rPr>
          <w:szCs w:val="24"/>
        </w:rPr>
      </w:pPr>
      <w:r w:rsidRPr="00875F19">
        <w:rPr>
          <w:b w:val="0"/>
          <w:szCs w:val="24"/>
          <w:lang w:eastAsia="en-US"/>
        </w:rPr>
        <w:tab/>
      </w:r>
      <w:r w:rsidR="00BC713B">
        <w:rPr>
          <w:szCs w:val="24"/>
        </w:rPr>
        <w:t>19. december 2025</w:t>
      </w:r>
    </w:p>
    <w:p w14:paraId="33C15569" w14:textId="77777777" w:rsidR="009260DE" w:rsidRPr="00875F19" w:rsidRDefault="009260DE" w:rsidP="009260DE">
      <w:pPr>
        <w:pStyle w:val="Titel"/>
        <w:tabs>
          <w:tab w:val="left" w:pos="8222"/>
        </w:tabs>
        <w:jc w:val="left"/>
        <w:rPr>
          <w:b w:val="0"/>
          <w:szCs w:val="24"/>
        </w:rPr>
      </w:pPr>
    </w:p>
    <w:p w14:paraId="1AF664DA" w14:textId="77777777" w:rsidR="009260DE" w:rsidRPr="00875F19" w:rsidRDefault="009260DE" w:rsidP="009260DE">
      <w:pPr>
        <w:pStyle w:val="Titel"/>
        <w:jc w:val="left"/>
        <w:rPr>
          <w:b w:val="0"/>
          <w:szCs w:val="24"/>
        </w:rPr>
      </w:pPr>
    </w:p>
    <w:p w14:paraId="7987D283" w14:textId="77777777" w:rsidR="009260DE" w:rsidRPr="00875F19" w:rsidRDefault="009260DE" w:rsidP="009260DE">
      <w:pPr>
        <w:pStyle w:val="Titel"/>
        <w:jc w:val="left"/>
        <w:rPr>
          <w:b w:val="0"/>
          <w:szCs w:val="24"/>
        </w:rPr>
      </w:pPr>
    </w:p>
    <w:p w14:paraId="6AA3EB31" w14:textId="77777777" w:rsidR="009260DE" w:rsidRPr="00875F19" w:rsidRDefault="009260DE" w:rsidP="009260DE">
      <w:pPr>
        <w:jc w:val="center"/>
        <w:rPr>
          <w:b/>
          <w:sz w:val="24"/>
          <w:szCs w:val="24"/>
        </w:rPr>
      </w:pPr>
      <w:r w:rsidRPr="00875F19">
        <w:rPr>
          <w:b/>
          <w:sz w:val="24"/>
          <w:szCs w:val="24"/>
        </w:rPr>
        <w:t>PRODUKTRESUMÉ</w:t>
      </w:r>
    </w:p>
    <w:p w14:paraId="2D829D87" w14:textId="77777777" w:rsidR="009260DE" w:rsidRPr="00875F19" w:rsidRDefault="009260DE" w:rsidP="009260DE">
      <w:pPr>
        <w:jc w:val="center"/>
        <w:rPr>
          <w:b/>
          <w:sz w:val="24"/>
          <w:szCs w:val="24"/>
        </w:rPr>
      </w:pPr>
    </w:p>
    <w:p w14:paraId="06E21F02" w14:textId="77777777" w:rsidR="009260DE" w:rsidRPr="00875F19" w:rsidRDefault="009260DE" w:rsidP="009260DE">
      <w:pPr>
        <w:jc w:val="center"/>
        <w:rPr>
          <w:b/>
          <w:sz w:val="24"/>
          <w:szCs w:val="24"/>
        </w:rPr>
      </w:pPr>
      <w:r w:rsidRPr="00875F19">
        <w:rPr>
          <w:b/>
          <w:sz w:val="24"/>
          <w:szCs w:val="24"/>
        </w:rPr>
        <w:t>for</w:t>
      </w:r>
    </w:p>
    <w:p w14:paraId="2BCC56D6" w14:textId="77777777" w:rsidR="000B058C" w:rsidRPr="00875F19" w:rsidRDefault="000B058C" w:rsidP="009260DE">
      <w:pPr>
        <w:jc w:val="center"/>
        <w:rPr>
          <w:b/>
          <w:sz w:val="24"/>
          <w:szCs w:val="24"/>
        </w:rPr>
      </w:pPr>
    </w:p>
    <w:p w14:paraId="592C11AE" w14:textId="20B7626C" w:rsidR="009260DE" w:rsidRPr="00875F19" w:rsidRDefault="00C806DE" w:rsidP="009260DE">
      <w:pPr>
        <w:jc w:val="center"/>
        <w:rPr>
          <w:b/>
          <w:sz w:val="24"/>
          <w:szCs w:val="24"/>
        </w:rPr>
      </w:pPr>
      <w:r w:rsidRPr="00875F19">
        <w:rPr>
          <w:b/>
          <w:sz w:val="24"/>
          <w:szCs w:val="24"/>
        </w:rPr>
        <w:t>Posaconazole "Amarox", koncentrat til infusionsvæske, opløsning</w:t>
      </w:r>
    </w:p>
    <w:p w14:paraId="0AAF140F" w14:textId="77777777" w:rsidR="009260DE" w:rsidRPr="00875F19" w:rsidRDefault="009260DE" w:rsidP="009260DE">
      <w:pPr>
        <w:jc w:val="both"/>
        <w:rPr>
          <w:sz w:val="24"/>
          <w:szCs w:val="24"/>
        </w:rPr>
      </w:pPr>
    </w:p>
    <w:p w14:paraId="79A140BD" w14:textId="77777777" w:rsidR="009260DE" w:rsidRPr="00875F19" w:rsidRDefault="009260DE" w:rsidP="009260DE">
      <w:pPr>
        <w:jc w:val="both"/>
        <w:rPr>
          <w:sz w:val="24"/>
          <w:szCs w:val="24"/>
        </w:rPr>
      </w:pPr>
    </w:p>
    <w:p w14:paraId="3A3D82D4" w14:textId="77777777" w:rsidR="009260DE" w:rsidRPr="00875F19" w:rsidRDefault="009260DE" w:rsidP="009260DE">
      <w:pPr>
        <w:tabs>
          <w:tab w:val="left" w:pos="851"/>
        </w:tabs>
        <w:ind w:left="851" w:hanging="851"/>
        <w:rPr>
          <w:b/>
          <w:sz w:val="24"/>
          <w:szCs w:val="24"/>
        </w:rPr>
      </w:pPr>
      <w:r w:rsidRPr="00875F19">
        <w:rPr>
          <w:b/>
          <w:sz w:val="24"/>
          <w:szCs w:val="24"/>
        </w:rPr>
        <w:t>0.</w:t>
      </w:r>
      <w:r w:rsidRPr="00875F19">
        <w:rPr>
          <w:b/>
          <w:sz w:val="24"/>
          <w:szCs w:val="24"/>
        </w:rPr>
        <w:tab/>
        <w:t>D.SP.NR.</w:t>
      </w:r>
    </w:p>
    <w:p w14:paraId="64D0D5B5" w14:textId="431D36C2" w:rsidR="009260DE" w:rsidRPr="00875F19" w:rsidRDefault="00C806DE" w:rsidP="009260DE">
      <w:pPr>
        <w:tabs>
          <w:tab w:val="left" w:pos="851"/>
        </w:tabs>
        <w:ind w:left="851"/>
        <w:rPr>
          <w:sz w:val="24"/>
          <w:szCs w:val="24"/>
        </w:rPr>
      </w:pPr>
      <w:r w:rsidRPr="00875F19">
        <w:rPr>
          <w:sz w:val="24"/>
          <w:szCs w:val="24"/>
        </w:rPr>
        <w:t>33858</w:t>
      </w:r>
    </w:p>
    <w:p w14:paraId="3AA360AA" w14:textId="77777777" w:rsidR="009260DE" w:rsidRPr="00875F19" w:rsidRDefault="009260DE" w:rsidP="009260DE">
      <w:pPr>
        <w:tabs>
          <w:tab w:val="left" w:pos="851"/>
        </w:tabs>
        <w:ind w:left="851"/>
        <w:rPr>
          <w:sz w:val="24"/>
          <w:szCs w:val="24"/>
        </w:rPr>
      </w:pPr>
    </w:p>
    <w:p w14:paraId="28C0206B" w14:textId="77777777" w:rsidR="009260DE" w:rsidRPr="00875F19" w:rsidRDefault="009260DE" w:rsidP="009260DE">
      <w:pPr>
        <w:tabs>
          <w:tab w:val="left" w:pos="851"/>
        </w:tabs>
        <w:ind w:left="851" w:hanging="851"/>
        <w:rPr>
          <w:b/>
          <w:sz w:val="24"/>
          <w:szCs w:val="24"/>
        </w:rPr>
      </w:pPr>
      <w:r w:rsidRPr="00875F19">
        <w:rPr>
          <w:b/>
          <w:sz w:val="24"/>
          <w:szCs w:val="24"/>
        </w:rPr>
        <w:t>1.</w:t>
      </w:r>
      <w:r w:rsidRPr="00875F19">
        <w:rPr>
          <w:b/>
          <w:sz w:val="24"/>
          <w:szCs w:val="24"/>
        </w:rPr>
        <w:tab/>
        <w:t>LÆGEMIDLETS NAVN</w:t>
      </w:r>
    </w:p>
    <w:p w14:paraId="6DA8675C" w14:textId="6C575A71" w:rsidR="009260DE" w:rsidRPr="00875F19" w:rsidRDefault="00C806DE" w:rsidP="009260DE">
      <w:pPr>
        <w:tabs>
          <w:tab w:val="left" w:pos="851"/>
        </w:tabs>
        <w:ind w:left="851"/>
        <w:rPr>
          <w:sz w:val="24"/>
          <w:szCs w:val="24"/>
        </w:rPr>
      </w:pPr>
      <w:r w:rsidRPr="00875F19">
        <w:rPr>
          <w:sz w:val="24"/>
          <w:szCs w:val="24"/>
        </w:rPr>
        <w:t>Posaconazole "Amarox"</w:t>
      </w:r>
    </w:p>
    <w:p w14:paraId="709220FE" w14:textId="77777777" w:rsidR="009260DE" w:rsidRPr="00875F19" w:rsidRDefault="009260DE" w:rsidP="009260DE">
      <w:pPr>
        <w:tabs>
          <w:tab w:val="left" w:pos="851"/>
        </w:tabs>
        <w:ind w:left="851"/>
        <w:rPr>
          <w:sz w:val="24"/>
          <w:szCs w:val="24"/>
        </w:rPr>
      </w:pPr>
    </w:p>
    <w:p w14:paraId="310891C2" w14:textId="77777777" w:rsidR="009260DE" w:rsidRPr="00875F19" w:rsidRDefault="009260DE" w:rsidP="009260DE">
      <w:pPr>
        <w:tabs>
          <w:tab w:val="left" w:pos="851"/>
        </w:tabs>
        <w:ind w:left="851" w:hanging="851"/>
        <w:rPr>
          <w:b/>
          <w:sz w:val="24"/>
          <w:szCs w:val="24"/>
        </w:rPr>
      </w:pPr>
      <w:r w:rsidRPr="00875F19">
        <w:rPr>
          <w:b/>
          <w:sz w:val="24"/>
          <w:szCs w:val="24"/>
        </w:rPr>
        <w:t>2.</w:t>
      </w:r>
      <w:r w:rsidRPr="00875F19">
        <w:rPr>
          <w:b/>
          <w:sz w:val="24"/>
          <w:szCs w:val="24"/>
        </w:rPr>
        <w:tab/>
        <w:t>KVALITATIV OG KVANTITATIV SAMMENSÆTNING</w:t>
      </w:r>
    </w:p>
    <w:p w14:paraId="31F3B83A" w14:textId="77777777" w:rsidR="00C806DE" w:rsidRPr="00875F19" w:rsidRDefault="00C806DE" w:rsidP="00C806DE">
      <w:pPr>
        <w:ind w:left="851"/>
        <w:rPr>
          <w:sz w:val="24"/>
          <w:szCs w:val="24"/>
        </w:rPr>
      </w:pPr>
      <w:r w:rsidRPr="00875F19">
        <w:rPr>
          <w:sz w:val="24"/>
          <w:szCs w:val="24"/>
        </w:rPr>
        <w:t xml:space="preserve">Hvert hætteglas indeholder 300 mg posaconazol. </w:t>
      </w:r>
    </w:p>
    <w:p w14:paraId="6DEF6322" w14:textId="77777777" w:rsidR="00C806DE" w:rsidRPr="00875F19" w:rsidRDefault="00C806DE" w:rsidP="00C806DE">
      <w:pPr>
        <w:ind w:left="851"/>
        <w:rPr>
          <w:sz w:val="24"/>
          <w:szCs w:val="24"/>
        </w:rPr>
      </w:pPr>
      <w:r w:rsidRPr="00875F19">
        <w:rPr>
          <w:sz w:val="24"/>
          <w:szCs w:val="24"/>
        </w:rPr>
        <w:t>Hver ml indeholder 18 mg posaconazol.</w:t>
      </w:r>
    </w:p>
    <w:p w14:paraId="13BAF5EE" w14:textId="77777777" w:rsidR="00C806DE" w:rsidRPr="00875F19" w:rsidRDefault="00C806DE" w:rsidP="00C806DE">
      <w:pPr>
        <w:ind w:left="851"/>
        <w:rPr>
          <w:sz w:val="24"/>
          <w:szCs w:val="24"/>
        </w:rPr>
      </w:pPr>
    </w:p>
    <w:p w14:paraId="06797891" w14:textId="77777777" w:rsidR="00C806DE" w:rsidRPr="00875F19" w:rsidRDefault="00C806DE" w:rsidP="00C806DE">
      <w:pPr>
        <w:ind w:left="851"/>
        <w:rPr>
          <w:sz w:val="24"/>
          <w:szCs w:val="24"/>
          <w:u w:val="single"/>
          <w:lang w:val="nl-NL"/>
        </w:rPr>
      </w:pPr>
      <w:r w:rsidRPr="00875F19">
        <w:rPr>
          <w:sz w:val="24"/>
          <w:szCs w:val="24"/>
          <w:u w:val="single"/>
          <w:lang w:val="nl-NL"/>
        </w:rPr>
        <w:t xml:space="preserve">Hjælpestoffer, som behandleren skal være opmærksom på </w:t>
      </w:r>
    </w:p>
    <w:p w14:paraId="7D1302A0" w14:textId="77777777" w:rsidR="00C806DE" w:rsidRPr="00875F19" w:rsidRDefault="00C806DE" w:rsidP="00C806DE">
      <w:pPr>
        <w:ind w:left="851"/>
        <w:rPr>
          <w:sz w:val="24"/>
          <w:szCs w:val="24"/>
          <w:lang w:val="nl-NL"/>
        </w:rPr>
      </w:pPr>
      <w:r w:rsidRPr="00875F19">
        <w:rPr>
          <w:sz w:val="24"/>
          <w:szCs w:val="24"/>
          <w:lang w:val="nl-NL"/>
        </w:rPr>
        <w:t xml:space="preserve">Hvert hætteglas indeholder 462 mg natrium. </w:t>
      </w:r>
    </w:p>
    <w:p w14:paraId="5D58BDEB" w14:textId="2B961C05" w:rsidR="00C806DE" w:rsidRPr="00875F19" w:rsidRDefault="00C806DE" w:rsidP="00C806DE">
      <w:pPr>
        <w:ind w:left="851"/>
        <w:rPr>
          <w:sz w:val="24"/>
          <w:szCs w:val="24"/>
        </w:rPr>
      </w:pPr>
      <w:r w:rsidRPr="00875F19">
        <w:rPr>
          <w:sz w:val="24"/>
          <w:szCs w:val="24"/>
          <w:lang w:val="nl-NL"/>
        </w:rPr>
        <w:t xml:space="preserve">Hvert hætteglas indeholder 6,68 g </w:t>
      </w:r>
      <w:r w:rsidR="003F6401">
        <w:rPr>
          <w:sz w:val="24"/>
          <w:szCs w:val="24"/>
          <w:lang w:val="nl-NL"/>
        </w:rPr>
        <w:t>s</w:t>
      </w:r>
      <w:r w:rsidRPr="00875F19">
        <w:rPr>
          <w:sz w:val="24"/>
          <w:szCs w:val="24"/>
        </w:rPr>
        <w:t>ulfobutylether-beta-cyclodextrinnatrium</w:t>
      </w:r>
    </w:p>
    <w:p w14:paraId="6F7FF8B3" w14:textId="77777777" w:rsidR="00C806DE" w:rsidRPr="00875F19" w:rsidRDefault="00C806DE" w:rsidP="00C806DE">
      <w:pPr>
        <w:ind w:left="851"/>
        <w:rPr>
          <w:sz w:val="24"/>
          <w:szCs w:val="24"/>
          <w:lang w:val="nl-NL"/>
        </w:rPr>
      </w:pPr>
    </w:p>
    <w:p w14:paraId="1B74E517" w14:textId="77777777" w:rsidR="00C806DE" w:rsidRPr="00875F19" w:rsidRDefault="00C806DE" w:rsidP="00C806DE">
      <w:pPr>
        <w:ind w:left="851"/>
        <w:rPr>
          <w:sz w:val="24"/>
          <w:szCs w:val="24"/>
          <w:lang w:val="nl-NL"/>
        </w:rPr>
      </w:pPr>
      <w:r w:rsidRPr="00875F19">
        <w:rPr>
          <w:sz w:val="24"/>
          <w:szCs w:val="24"/>
          <w:lang w:val="nl-NL"/>
        </w:rPr>
        <w:t>Hver ml indeholder 27,66 mg natrium.</w:t>
      </w:r>
    </w:p>
    <w:p w14:paraId="6E8552C8" w14:textId="6B8BDABE" w:rsidR="00C806DE" w:rsidRPr="00875F19" w:rsidRDefault="00C806DE" w:rsidP="00C806DE">
      <w:pPr>
        <w:ind w:left="851"/>
        <w:rPr>
          <w:sz w:val="24"/>
          <w:szCs w:val="24"/>
        </w:rPr>
      </w:pPr>
      <w:r w:rsidRPr="00875F19">
        <w:rPr>
          <w:sz w:val="24"/>
          <w:szCs w:val="24"/>
          <w:lang w:val="nl-NL"/>
        </w:rPr>
        <w:t xml:space="preserve">Hver ml indeholder 400 mg </w:t>
      </w:r>
      <w:r w:rsidR="003F6401">
        <w:rPr>
          <w:sz w:val="24"/>
          <w:szCs w:val="24"/>
          <w:lang w:val="nl-NL"/>
        </w:rPr>
        <w:t>s</w:t>
      </w:r>
      <w:r w:rsidRPr="00875F19">
        <w:rPr>
          <w:sz w:val="24"/>
          <w:szCs w:val="24"/>
        </w:rPr>
        <w:t>ulfobutylether-beta-cyclodextrinnatrium</w:t>
      </w:r>
    </w:p>
    <w:p w14:paraId="3CB1A504" w14:textId="77777777" w:rsidR="00C806DE" w:rsidRPr="00875F19" w:rsidRDefault="00C806DE" w:rsidP="00C806DE">
      <w:pPr>
        <w:ind w:left="851"/>
        <w:rPr>
          <w:sz w:val="24"/>
          <w:szCs w:val="24"/>
          <w:lang w:val="nl-NL"/>
        </w:rPr>
      </w:pPr>
    </w:p>
    <w:p w14:paraId="06146AD1" w14:textId="77777777" w:rsidR="00C806DE" w:rsidRPr="00875F19" w:rsidRDefault="00C806DE" w:rsidP="00C806DE">
      <w:pPr>
        <w:ind w:left="851"/>
        <w:rPr>
          <w:sz w:val="24"/>
          <w:szCs w:val="24"/>
          <w:lang w:val="nl-NL"/>
        </w:rPr>
      </w:pPr>
      <w:r w:rsidRPr="00875F19">
        <w:rPr>
          <w:sz w:val="24"/>
          <w:szCs w:val="24"/>
          <w:lang w:val="nl-NL"/>
        </w:rPr>
        <w:t>Alle hjælpestoffer er anført under pkt. 6.1.</w:t>
      </w:r>
    </w:p>
    <w:p w14:paraId="3034775D" w14:textId="77777777" w:rsidR="009260DE" w:rsidRPr="00875F19" w:rsidRDefault="009260DE" w:rsidP="009260DE">
      <w:pPr>
        <w:tabs>
          <w:tab w:val="left" w:pos="851"/>
        </w:tabs>
        <w:ind w:left="851"/>
        <w:rPr>
          <w:sz w:val="24"/>
          <w:szCs w:val="24"/>
          <w:lang w:val="nl-NL"/>
        </w:rPr>
      </w:pPr>
    </w:p>
    <w:p w14:paraId="67D3F4BD" w14:textId="77777777" w:rsidR="009260DE" w:rsidRPr="00875F19" w:rsidRDefault="009260DE" w:rsidP="009260DE">
      <w:pPr>
        <w:tabs>
          <w:tab w:val="left" w:pos="851"/>
        </w:tabs>
        <w:ind w:left="851" w:hanging="851"/>
        <w:rPr>
          <w:b/>
          <w:sz w:val="24"/>
          <w:szCs w:val="24"/>
        </w:rPr>
      </w:pPr>
      <w:r w:rsidRPr="00875F19">
        <w:rPr>
          <w:b/>
          <w:sz w:val="24"/>
          <w:szCs w:val="24"/>
        </w:rPr>
        <w:t>3.</w:t>
      </w:r>
      <w:r w:rsidRPr="00875F19">
        <w:rPr>
          <w:b/>
          <w:sz w:val="24"/>
          <w:szCs w:val="24"/>
        </w:rPr>
        <w:tab/>
        <w:t>LÆGEMIDDELFORM</w:t>
      </w:r>
    </w:p>
    <w:p w14:paraId="161C42CB" w14:textId="57E4C28B" w:rsidR="00C806DE" w:rsidRPr="00875F19" w:rsidRDefault="00C806DE" w:rsidP="00C806DE">
      <w:pPr>
        <w:ind w:left="851"/>
        <w:rPr>
          <w:sz w:val="24"/>
          <w:szCs w:val="24"/>
        </w:rPr>
      </w:pPr>
      <w:r w:rsidRPr="00875F19">
        <w:rPr>
          <w:sz w:val="24"/>
          <w:szCs w:val="24"/>
        </w:rPr>
        <w:t>Koncentrat til infusionsvæske, opløsning</w:t>
      </w:r>
    </w:p>
    <w:p w14:paraId="553B2B47" w14:textId="77777777" w:rsidR="00C806DE" w:rsidRPr="00875F19" w:rsidRDefault="00C806DE" w:rsidP="00C806DE">
      <w:pPr>
        <w:ind w:left="851"/>
        <w:rPr>
          <w:sz w:val="24"/>
          <w:szCs w:val="24"/>
        </w:rPr>
      </w:pPr>
    </w:p>
    <w:p w14:paraId="59F83236" w14:textId="77777777" w:rsidR="00C806DE" w:rsidRPr="00875F19" w:rsidRDefault="00C806DE" w:rsidP="00C806DE">
      <w:pPr>
        <w:ind w:left="851"/>
        <w:rPr>
          <w:sz w:val="24"/>
          <w:szCs w:val="24"/>
          <w:lang w:val="nl-NL"/>
        </w:rPr>
      </w:pPr>
      <w:r w:rsidRPr="00875F19">
        <w:rPr>
          <w:sz w:val="24"/>
          <w:szCs w:val="24"/>
          <w:lang w:val="nl-NL"/>
        </w:rPr>
        <w:t xml:space="preserve">En klar, farveløs til gul opløsning. </w:t>
      </w:r>
    </w:p>
    <w:p w14:paraId="21AB1F48" w14:textId="77777777" w:rsidR="00C806DE" w:rsidRPr="00875F19" w:rsidRDefault="00C806DE" w:rsidP="00C806DE">
      <w:pPr>
        <w:ind w:left="851"/>
        <w:rPr>
          <w:sz w:val="24"/>
          <w:szCs w:val="24"/>
          <w:lang w:val="nl-NL"/>
        </w:rPr>
      </w:pPr>
      <w:r w:rsidRPr="00875F19">
        <w:rPr>
          <w:sz w:val="24"/>
          <w:szCs w:val="24"/>
          <w:lang w:val="nl-NL"/>
        </w:rPr>
        <w:t>Osmolaliteten for opløsningen er cirka 330-450 mOsm/kg.</w:t>
      </w:r>
    </w:p>
    <w:p w14:paraId="23C69DAE" w14:textId="77777777" w:rsidR="009260DE" w:rsidRPr="00875F19" w:rsidRDefault="009260DE" w:rsidP="009260DE">
      <w:pPr>
        <w:tabs>
          <w:tab w:val="left" w:pos="851"/>
        </w:tabs>
        <w:ind w:left="851"/>
        <w:rPr>
          <w:sz w:val="24"/>
          <w:szCs w:val="24"/>
        </w:rPr>
      </w:pPr>
    </w:p>
    <w:p w14:paraId="159BE7BE" w14:textId="77777777" w:rsidR="009260DE" w:rsidRPr="00875F19" w:rsidRDefault="009260DE" w:rsidP="009260DE">
      <w:pPr>
        <w:tabs>
          <w:tab w:val="left" w:pos="851"/>
        </w:tabs>
        <w:ind w:left="851"/>
        <w:rPr>
          <w:sz w:val="24"/>
          <w:szCs w:val="24"/>
        </w:rPr>
      </w:pPr>
    </w:p>
    <w:p w14:paraId="19161B19" w14:textId="77777777" w:rsidR="009260DE" w:rsidRPr="00875F19" w:rsidRDefault="009260DE" w:rsidP="009260DE">
      <w:pPr>
        <w:tabs>
          <w:tab w:val="left" w:pos="851"/>
        </w:tabs>
        <w:ind w:left="851" w:hanging="851"/>
        <w:rPr>
          <w:b/>
          <w:sz w:val="24"/>
          <w:szCs w:val="24"/>
        </w:rPr>
      </w:pPr>
      <w:r w:rsidRPr="00875F19">
        <w:rPr>
          <w:b/>
          <w:sz w:val="24"/>
          <w:szCs w:val="24"/>
        </w:rPr>
        <w:t>4.</w:t>
      </w:r>
      <w:r w:rsidRPr="00875F19">
        <w:rPr>
          <w:b/>
          <w:sz w:val="24"/>
          <w:szCs w:val="24"/>
        </w:rPr>
        <w:tab/>
        <w:t>KLINISKE OPLYSNINGER</w:t>
      </w:r>
    </w:p>
    <w:p w14:paraId="001A54F8" w14:textId="77777777" w:rsidR="009260DE" w:rsidRPr="00875F19" w:rsidRDefault="009260DE" w:rsidP="009260DE">
      <w:pPr>
        <w:tabs>
          <w:tab w:val="left" w:pos="851"/>
        </w:tabs>
        <w:ind w:left="851"/>
        <w:rPr>
          <w:b/>
          <w:sz w:val="24"/>
          <w:szCs w:val="24"/>
        </w:rPr>
      </w:pPr>
    </w:p>
    <w:p w14:paraId="0D3A5B21" w14:textId="77777777" w:rsidR="009260DE" w:rsidRPr="00875F19" w:rsidRDefault="009260DE" w:rsidP="009260DE">
      <w:pPr>
        <w:tabs>
          <w:tab w:val="left" w:pos="851"/>
        </w:tabs>
        <w:ind w:left="851" w:hanging="851"/>
        <w:rPr>
          <w:b/>
          <w:sz w:val="24"/>
          <w:szCs w:val="24"/>
          <w:u w:val="single"/>
        </w:rPr>
      </w:pPr>
      <w:r w:rsidRPr="00875F19">
        <w:rPr>
          <w:b/>
          <w:sz w:val="24"/>
          <w:szCs w:val="24"/>
        </w:rPr>
        <w:t>4.1</w:t>
      </w:r>
      <w:r w:rsidRPr="00875F19">
        <w:rPr>
          <w:b/>
          <w:sz w:val="24"/>
          <w:szCs w:val="24"/>
        </w:rPr>
        <w:tab/>
        <w:t>Terapeutiske indikationer</w:t>
      </w:r>
    </w:p>
    <w:p w14:paraId="2A97F33E" w14:textId="5E0F5502" w:rsidR="00C806DE" w:rsidRPr="00875F19" w:rsidRDefault="00C806DE" w:rsidP="00875F19">
      <w:pPr>
        <w:ind w:left="851"/>
        <w:rPr>
          <w:sz w:val="24"/>
          <w:szCs w:val="24"/>
        </w:rPr>
      </w:pPr>
      <w:r w:rsidRPr="00875F19">
        <w:rPr>
          <w:sz w:val="24"/>
          <w:szCs w:val="24"/>
        </w:rPr>
        <w:t xml:space="preserve">Posaconazole </w:t>
      </w:r>
      <w:r w:rsidR="003F6401">
        <w:rPr>
          <w:sz w:val="24"/>
          <w:szCs w:val="24"/>
        </w:rPr>
        <w:t>"Amarox"</w:t>
      </w:r>
      <w:r w:rsidRPr="00875F19">
        <w:rPr>
          <w:sz w:val="24"/>
          <w:szCs w:val="24"/>
        </w:rPr>
        <w:t xml:space="preserve"> koncentrat til infusionsvæske, opløsning er indiceret til behandling af følgende svampeinfektioner hos voksne (se pkt. 4.2 og 5.1):</w:t>
      </w:r>
    </w:p>
    <w:p w14:paraId="225B48E6" w14:textId="77777777" w:rsidR="00C806DE" w:rsidRPr="00875F19" w:rsidRDefault="00C806DE" w:rsidP="00875F19">
      <w:pPr>
        <w:pStyle w:val="Listeafsnit"/>
        <w:numPr>
          <w:ilvl w:val="0"/>
          <w:numId w:val="12"/>
        </w:numPr>
        <w:spacing w:after="0" w:line="240" w:lineRule="auto"/>
        <w:ind w:left="1276" w:hanging="425"/>
        <w:rPr>
          <w:rFonts w:ascii="Times New Roman" w:hAnsi="Times New Roman" w:cs="Times New Roman"/>
          <w:sz w:val="24"/>
          <w:szCs w:val="24"/>
        </w:rPr>
      </w:pPr>
      <w:r w:rsidRPr="00875F19">
        <w:rPr>
          <w:rFonts w:ascii="Times New Roman" w:hAnsi="Times New Roman" w:cs="Times New Roman"/>
          <w:sz w:val="24"/>
          <w:szCs w:val="24"/>
        </w:rPr>
        <w:t xml:space="preserve">Invasiv aspergillose </w:t>
      </w:r>
    </w:p>
    <w:p w14:paraId="23085BF3" w14:textId="77777777" w:rsidR="00C806DE" w:rsidRPr="00875F19" w:rsidRDefault="00C806DE" w:rsidP="00875F19">
      <w:pPr>
        <w:ind w:left="851"/>
        <w:rPr>
          <w:sz w:val="24"/>
          <w:szCs w:val="24"/>
        </w:rPr>
      </w:pPr>
    </w:p>
    <w:p w14:paraId="12BC3C31" w14:textId="7A8E8961" w:rsidR="00C806DE" w:rsidRPr="00875F19" w:rsidRDefault="00C806DE" w:rsidP="00875F19">
      <w:pPr>
        <w:ind w:left="851"/>
        <w:rPr>
          <w:sz w:val="24"/>
          <w:szCs w:val="24"/>
        </w:rPr>
      </w:pPr>
      <w:r w:rsidRPr="00875F19">
        <w:rPr>
          <w:sz w:val="24"/>
          <w:szCs w:val="24"/>
        </w:rPr>
        <w:lastRenderedPageBreak/>
        <w:t xml:space="preserve">Posaconazole </w:t>
      </w:r>
      <w:r w:rsidR="003F6401">
        <w:rPr>
          <w:sz w:val="24"/>
          <w:szCs w:val="24"/>
        </w:rPr>
        <w:t>"Amarox"</w:t>
      </w:r>
      <w:r w:rsidRPr="00875F19">
        <w:rPr>
          <w:sz w:val="24"/>
          <w:szCs w:val="24"/>
        </w:rPr>
        <w:t xml:space="preserve"> koncentrat til infusionsvæske, opløsning, er indiceret til behandling af følgende svampeinfektioner hos voksne og pædiatriske patienter fra 2 år (se pkt. 4.2 og 5.1):</w:t>
      </w:r>
    </w:p>
    <w:p w14:paraId="5A5DDF25" w14:textId="77777777" w:rsidR="00C806DE" w:rsidRPr="00BC713B" w:rsidRDefault="00C806DE" w:rsidP="00875F19">
      <w:pPr>
        <w:pStyle w:val="Listeafsnit"/>
        <w:numPr>
          <w:ilvl w:val="0"/>
          <w:numId w:val="13"/>
        </w:numPr>
        <w:spacing w:after="0" w:line="240" w:lineRule="auto"/>
        <w:ind w:left="1276" w:hanging="425"/>
        <w:rPr>
          <w:rFonts w:ascii="Times New Roman" w:hAnsi="Times New Roman" w:cs="Times New Roman"/>
          <w:sz w:val="24"/>
          <w:szCs w:val="24"/>
          <w:lang w:val="da-DK"/>
        </w:rPr>
      </w:pPr>
      <w:r w:rsidRPr="00BC713B">
        <w:rPr>
          <w:rFonts w:ascii="Times New Roman" w:hAnsi="Times New Roman" w:cs="Times New Roman"/>
          <w:sz w:val="24"/>
          <w:szCs w:val="24"/>
          <w:lang w:val="da-DK"/>
        </w:rPr>
        <w:t xml:space="preserve">Invasiv aspergillose hos patienter med sygdom, hvor behandling med amphotericin B eller itraconazol har været utilstrækkelig, eller hos patienter med intolerans over for disse lægemidler; </w:t>
      </w:r>
    </w:p>
    <w:p w14:paraId="5E4662E2" w14:textId="77777777" w:rsidR="00C806DE" w:rsidRPr="00BC713B" w:rsidRDefault="00C806DE" w:rsidP="00875F19">
      <w:pPr>
        <w:pStyle w:val="Listeafsnit"/>
        <w:numPr>
          <w:ilvl w:val="0"/>
          <w:numId w:val="13"/>
        </w:numPr>
        <w:spacing w:after="0" w:line="240" w:lineRule="auto"/>
        <w:ind w:left="1276" w:hanging="425"/>
        <w:rPr>
          <w:rFonts w:ascii="Times New Roman" w:hAnsi="Times New Roman" w:cs="Times New Roman"/>
          <w:sz w:val="24"/>
          <w:szCs w:val="24"/>
          <w:lang w:val="da-DK"/>
        </w:rPr>
      </w:pPr>
      <w:r w:rsidRPr="00BC713B">
        <w:rPr>
          <w:rFonts w:ascii="Times New Roman" w:hAnsi="Times New Roman" w:cs="Times New Roman"/>
          <w:sz w:val="24"/>
          <w:szCs w:val="24"/>
          <w:lang w:val="da-DK"/>
        </w:rPr>
        <w:t xml:space="preserve">Fusariose hos patienter med sygdom, hvor behandling med amphotericin B har været utilstrækkelig, eller hos patienter med intolerans over for amphotericin B; </w:t>
      </w:r>
    </w:p>
    <w:p w14:paraId="4D4C6D24" w14:textId="77777777" w:rsidR="00C806DE" w:rsidRPr="00BC713B" w:rsidRDefault="00C806DE" w:rsidP="00875F19">
      <w:pPr>
        <w:pStyle w:val="Listeafsnit"/>
        <w:numPr>
          <w:ilvl w:val="0"/>
          <w:numId w:val="13"/>
        </w:numPr>
        <w:spacing w:after="0" w:line="240" w:lineRule="auto"/>
        <w:ind w:left="1276" w:hanging="425"/>
        <w:rPr>
          <w:rFonts w:ascii="Times New Roman" w:hAnsi="Times New Roman" w:cs="Times New Roman"/>
          <w:sz w:val="24"/>
          <w:szCs w:val="24"/>
          <w:lang w:val="da-DK"/>
        </w:rPr>
      </w:pPr>
      <w:r w:rsidRPr="00BC713B">
        <w:rPr>
          <w:rFonts w:ascii="Times New Roman" w:hAnsi="Times New Roman" w:cs="Times New Roman"/>
          <w:sz w:val="24"/>
          <w:szCs w:val="24"/>
          <w:lang w:val="da-DK"/>
        </w:rPr>
        <w:t xml:space="preserve">Chromoblastomykose og mycetoma hos patienter med sygdom, hvor behandling med itraconazol har været utilstrækkelig, eller hos patienter med intolerans over for itraconazol; </w:t>
      </w:r>
    </w:p>
    <w:p w14:paraId="0803CD48" w14:textId="77777777" w:rsidR="00C806DE" w:rsidRPr="00BC713B" w:rsidRDefault="00C806DE" w:rsidP="00875F19">
      <w:pPr>
        <w:pStyle w:val="Listeafsnit"/>
        <w:numPr>
          <w:ilvl w:val="0"/>
          <w:numId w:val="13"/>
        </w:numPr>
        <w:spacing w:after="0" w:line="240" w:lineRule="auto"/>
        <w:ind w:left="1276" w:hanging="425"/>
        <w:rPr>
          <w:rFonts w:ascii="Times New Roman" w:hAnsi="Times New Roman" w:cs="Times New Roman"/>
          <w:sz w:val="24"/>
          <w:szCs w:val="24"/>
          <w:lang w:val="da-DK"/>
        </w:rPr>
      </w:pPr>
      <w:r w:rsidRPr="00BC713B">
        <w:rPr>
          <w:rFonts w:ascii="Times New Roman" w:hAnsi="Times New Roman" w:cs="Times New Roman"/>
          <w:sz w:val="24"/>
          <w:szCs w:val="24"/>
          <w:lang w:val="da-DK"/>
        </w:rPr>
        <w:t>Coccidioidomykose hos patienter med sygdom, hvor behandling med amphotericin B, itraconazol eller fluconazol har været utilstrækkelig, eller hos patienter med intolerans over for disse lægemidler.</w:t>
      </w:r>
    </w:p>
    <w:p w14:paraId="14E6F669" w14:textId="77777777" w:rsidR="00C806DE" w:rsidRPr="00875F19" w:rsidRDefault="00C806DE" w:rsidP="00875F19">
      <w:pPr>
        <w:ind w:left="851"/>
        <w:rPr>
          <w:sz w:val="24"/>
          <w:szCs w:val="24"/>
        </w:rPr>
      </w:pPr>
    </w:p>
    <w:p w14:paraId="7B87D6E8" w14:textId="77777777" w:rsidR="00C806DE" w:rsidRPr="00875F19" w:rsidRDefault="00C806DE" w:rsidP="00C806DE">
      <w:pPr>
        <w:ind w:left="851"/>
        <w:rPr>
          <w:sz w:val="24"/>
          <w:szCs w:val="24"/>
          <w:lang w:val="nl-NL"/>
        </w:rPr>
      </w:pPr>
      <w:r w:rsidRPr="00875F19">
        <w:rPr>
          <w:sz w:val="24"/>
          <w:szCs w:val="24"/>
          <w:lang w:val="nl-NL"/>
        </w:rPr>
        <w:t>Utilstrækkelig behandling defineres som progression af en infektion eller mangel på bedring efter mindst 7 dages terapeutiske doser af effektiv behandling med antimykotika.</w:t>
      </w:r>
    </w:p>
    <w:p w14:paraId="254C8E66" w14:textId="77777777" w:rsidR="00C806DE" w:rsidRPr="00875F19" w:rsidRDefault="00C806DE" w:rsidP="00C806DE">
      <w:pPr>
        <w:ind w:left="851"/>
        <w:rPr>
          <w:sz w:val="24"/>
          <w:szCs w:val="24"/>
          <w:lang w:val="nl-NL"/>
        </w:rPr>
      </w:pPr>
    </w:p>
    <w:p w14:paraId="04FFAC4F" w14:textId="32FC7F68" w:rsidR="00C806DE" w:rsidRPr="00875F19" w:rsidRDefault="00C806DE" w:rsidP="00C806DE">
      <w:pPr>
        <w:ind w:left="851"/>
        <w:rPr>
          <w:sz w:val="24"/>
          <w:szCs w:val="24"/>
          <w:lang w:val="nl-NL"/>
        </w:rPr>
      </w:pPr>
      <w:r w:rsidRPr="00875F19">
        <w:rPr>
          <w:sz w:val="24"/>
          <w:szCs w:val="24"/>
          <w:lang w:val="nl-NL"/>
        </w:rPr>
        <w:t xml:space="preserve">Posaconazole </w:t>
      </w:r>
      <w:r w:rsidR="003F6401">
        <w:rPr>
          <w:sz w:val="24"/>
          <w:szCs w:val="24"/>
          <w:lang w:val="nl-NL"/>
        </w:rPr>
        <w:t>"Amarox"</w:t>
      </w:r>
      <w:r w:rsidRPr="00875F19">
        <w:rPr>
          <w:sz w:val="24"/>
          <w:szCs w:val="24"/>
          <w:lang w:val="nl-NL"/>
        </w:rPr>
        <w:t xml:space="preserve"> koncentrat til infusionsvæske, opløsning er også indiceret til forebyggelse af invasive svampeinfektioner hos følgende voksne og pædiatriske patienter fra 2 år (se pkt. 4.2 og 5.1): </w:t>
      </w:r>
    </w:p>
    <w:p w14:paraId="5F821097" w14:textId="77777777" w:rsidR="00C806DE" w:rsidRPr="00875F19" w:rsidRDefault="00C806DE" w:rsidP="00875F19">
      <w:pPr>
        <w:pStyle w:val="Listeafsnit"/>
        <w:numPr>
          <w:ilvl w:val="0"/>
          <w:numId w:val="14"/>
        </w:numPr>
        <w:spacing w:after="0" w:line="240" w:lineRule="auto"/>
        <w:ind w:left="1276" w:hanging="425"/>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Patienter, der får kemoterapi til remissionsinduktion for akut myeloid leukæmi (AML) eller myelodysplastiske syndromer (MDS), der forventes at resultere i langvarig neutropeni og som har høj risiko for at udvikle invasive svampeinfektioner; </w:t>
      </w:r>
    </w:p>
    <w:p w14:paraId="1BC34C0C" w14:textId="77777777" w:rsidR="00C806DE" w:rsidRPr="00875F19" w:rsidRDefault="00C806DE" w:rsidP="00875F19">
      <w:pPr>
        <w:pStyle w:val="Listeafsnit"/>
        <w:numPr>
          <w:ilvl w:val="0"/>
          <w:numId w:val="14"/>
        </w:numPr>
        <w:spacing w:after="0" w:line="240" w:lineRule="auto"/>
        <w:ind w:left="1276" w:hanging="425"/>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Modtagere af hematopoietisk stamcelletransplantation (HSCT), der gennemgår høj-dosis immunsuppressiv behandling for </w:t>
      </w:r>
      <w:r w:rsidRPr="00875F19">
        <w:rPr>
          <w:rFonts w:ascii="Times New Roman" w:hAnsi="Times New Roman" w:cs="Times New Roman"/>
          <w:i/>
          <w:iCs/>
          <w:sz w:val="24"/>
          <w:szCs w:val="24"/>
          <w:lang w:val="nl-NL"/>
        </w:rPr>
        <w:t>graft versus host-</w:t>
      </w:r>
      <w:r w:rsidRPr="00875F19">
        <w:rPr>
          <w:rFonts w:ascii="Times New Roman" w:hAnsi="Times New Roman" w:cs="Times New Roman"/>
          <w:sz w:val="24"/>
          <w:szCs w:val="24"/>
          <w:lang w:val="nl-NL"/>
        </w:rPr>
        <w:t>sygdom og som har høj risiko for at udvikle invasive svampeinfektioner.</w:t>
      </w:r>
    </w:p>
    <w:p w14:paraId="2E491E02" w14:textId="77777777" w:rsidR="00C806DE" w:rsidRPr="00875F19" w:rsidRDefault="00C806DE" w:rsidP="00C806DE">
      <w:pPr>
        <w:ind w:left="851"/>
        <w:rPr>
          <w:sz w:val="24"/>
          <w:szCs w:val="24"/>
          <w:lang w:val="nl-NL"/>
        </w:rPr>
      </w:pPr>
    </w:p>
    <w:p w14:paraId="46110EAA" w14:textId="3858A737" w:rsidR="00C806DE" w:rsidRPr="00875F19" w:rsidRDefault="00C806DE" w:rsidP="00C806DE">
      <w:pPr>
        <w:ind w:left="851"/>
        <w:rPr>
          <w:sz w:val="24"/>
          <w:szCs w:val="24"/>
        </w:rPr>
      </w:pPr>
      <w:r w:rsidRPr="00875F19">
        <w:rPr>
          <w:sz w:val="24"/>
          <w:szCs w:val="24"/>
        </w:rPr>
        <w:t>Se produktresuméet for posaconazol oral suspension for oplysninger om brug til oropharyngeal candidiasis.</w:t>
      </w:r>
    </w:p>
    <w:p w14:paraId="6CFA6E49" w14:textId="77777777" w:rsidR="009260DE" w:rsidRPr="00875F19" w:rsidRDefault="009260DE" w:rsidP="009260DE">
      <w:pPr>
        <w:tabs>
          <w:tab w:val="left" w:pos="851"/>
        </w:tabs>
        <w:ind w:left="851"/>
        <w:rPr>
          <w:sz w:val="24"/>
          <w:szCs w:val="24"/>
        </w:rPr>
      </w:pPr>
    </w:p>
    <w:p w14:paraId="5E65CD35" w14:textId="77777777" w:rsidR="009260DE" w:rsidRPr="00875F19" w:rsidRDefault="009260DE" w:rsidP="009260DE">
      <w:pPr>
        <w:tabs>
          <w:tab w:val="left" w:pos="851"/>
        </w:tabs>
        <w:ind w:left="851" w:hanging="851"/>
        <w:rPr>
          <w:b/>
          <w:sz w:val="24"/>
          <w:szCs w:val="24"/>
        </w:rPr>
      </w:pPr>
      <w:r w:rsidRPr="00875F19">
        <w:rPr>
          <w:b/>
          <w:sz w:val="24"/>
          <w:szCs w:val="24"/>
        </w:rPr>
        <w:t>4.2</w:t>
      </w:r>
      <w:r w:rsidRPr="00875F19">
        <w:rPr>
          <w:b/>
          <w:sz w:val="24"/>
          <w:szCs w:val="24"/>
        </w:rPr>
        <w:tab/>
        <w:t xml:space="preserve">Dosering og </w:t>
      </w:r>
      <w:r w:rsidR="002C1EC0" w:rsidRPr="00875F19">
        <w:rPr>
          <w:b/>
          <w:sz w:val="24"/>
          <w:szCs w:val="24"/>
        </w:rPr>
        <w:t>administration</w:t>
      </w:r>
    </w:p>
    <w:p w14:paraId="7AABA2F0" w14:textId="77777777" w:rsidR="00C806DE" w:rsidRPr="00875F19" w:rsidRDefault="00C806DE" w:rsidP="00C806DE">
      <w:pPr>
        <w:ind w:left="851"/>
        <w:rPr>
          <w:sz w:val="24"/>
          <w:szCs w:val="24"/>
        </w:rPr>
      </w:pPr>
      <w:r w:rsidRPr="00875F19">
        <w:rPr>
          <w:sz w:val="24"/>
          <w:szCs w:val="24"/>
        </w:rPr>
        <w:t>Behandling bør initieres af en læge med erfaring i behandling af svampeinfektioner eller i den understøttende behandling af høj-risiko patienter, for hvem posaconazol er indiceret som profylakse.</w:t>
      </w:r>
    </w:p>
    <w:p w14:paraId="2596CADF" w14:textId="77777777" w:rsidR="00C806DE" w:rsidRPr="00875F19" w:rsidRDefault="00C806DE" w:rsidP="00C806DE">
      <w:pPr>
        <w:ind w:left="851"/>
        <w:rPr>
          <w:sz w:val="24"/>
          <w:szCs w:val="24"/>
        </w:rPr>
      </w:pPr>
    </w:p>
    <w:p w14:paraId="24F1A641" w14:textId="77777777" w:rsidR="00C806DE" w:rsidRPr="00875F19" w:rsidRDefault="00C806DE" w:rsidP="00C806DE">
      <w:pPr>
        <w:ind w:left="851"/>
        <w:rPr>
          <w:sz w:val="24"/>
          <w:szCs w:val="24"/>
          <w:u w:val="single"/>
        </w:rPr>
      </w:pPr>
      <w:r w:rsidRPr="00875F19">
        <w:rPr>
          <w:sz w:val="24"/>
          <w:szCs w:val="24"/>
          <w:u w:val="single"/>
        </w:rPr>
        <w:t>Dosering</w:t>
      </w:r>
    </w:p>
    <w:p w14:paraId="6583CBE6" w14:textId="774448BE" w:rsidR="00C806DE" w:rsidRPr="00875F19" w:rsidRDefault="00C806DE" w:rsidP="00C806DE">
      <w:pPr>
        <w:ind w:left="851"/>
        <w:rPr>
          <w:sz w:val="24"/>
          <w:szCs w:val="24"/>
        </w:rPr>
      </w:pPr>
      <w:r w:rsidRPr="00875F19">
        <w:rPr>
          <w:sz w:val="24"/>
          <w:szCs w:val="24"/>
        </w:rPr>
        <w:t>Posaconazol fås også til oral administration (</w:t>
      </w:r>
      <w:r w:rsidR="003F6401">
        <w:rPr>
          <w:sz w:val="24"/>
          <w:szCs w:val="24"/>
        </w:rPr>
        <w:t>p</w:t>
      </w:r>
      <w:r w:rsidRPr="00875F19">
        <w:rPr>
          <w:sz w:val="24"/>
          <w:szCs w:val="24"/>
        </w:rPr>
        <w:t>osaconazol 100 mg gastroresistente tabletter, 40 mg/ml oral suspension og 300 mg enteropulver og solvens til oral suspension). Så snart patientens tilstand tillader det, anbefales det, at der skiftes til oral administration (se pkt. 4.4).</w:t>
      </w:r>
    </w:p>
    <w:p w14:paraId="0C3230EB" w14:textId="77777777" w:rsidR="00C806DE" w:rsidRPr="00875F19" w:rsidRDefault="00C806DE" w:rsidP="00C806DE">
      <w:pPr>
        <w:ind w:left="851"/>
        <w:rPr>
          <w:sz w:val="24"/>
          <w:szCs w:val="24"/>
        </w:rPr>
      </w:pPr>
    </w:p>
    <w:p w14:paraId="7C8B4C3C" w14:textId="77777777" w:rsidR="00C806DE" w:rsidRPr="00875F19" w:rsidRDefault="00C806DE" w:rsidP="00C806DE">
      <w:pPr>
        <w:ind w:left="851"/>
        <w:rPr>
          <w:sz w:val="24"/>
          <w:szCs w:val="24"/>
          <w:lang w:val="nl-NL"/>
        </w:rPr>
      </w:pPr>
      <w:r w:rsidRPr="00875F19">
        <w:rPr>
          <w:sz w:val="24"/>
          <w:szCs w:val="24"/>
          <w:lang w:val="nl-NL"/>
        </w:rPr>
        <w:t>Anbefalet dosering er vist i tabel 1.</w:t>
      </w:r>
    </w:p>
    <w:p w14:paraId="06F881BA" w14:textId="77777777" w:rsidR="00C806DE" w:rsidRPr="00875F19" w:rsidRDefault="00C806DE" w:rsidP="00C806DE">
      <w:pPr>
        <w:ind w:left="851"/>
        <w:rPr>
          <w:sz w:val="24"/>
          <w:szCs w:val="24"/>
          <w:lang w:val="nl-NL"/>
        </w:rPr>
      </w:pPr>
    </w:p>
    <w:p w14:paraId="06956DA7" w14:textId="77777777" w:rsidR="00C806DE" w:rsidRPr="00875F19" w:rsidRDefault="00C806DE" w:rsidP="00C806DE">
      <w:pPr>
        <w:rPr>
          <w:sz w:val="24"/>
          <w:szCs w:val="24"/>
        </w:rPr>
      </w:pPr>
      <w:r w:rsidRPr="00875F19">
        <w:rPr>
          <w:b/>
          <w:bCs/>
          <w:sz w:val="24"/>
          <w:szCs w:val="24"/>
        </w:rPr>
        <w:t>Tabel 1:</w:t>
      </w:r>
      <w:r w:rsidRPr="00875F19">
        <w:rPr>
          <w:sz w:val="24"/>
          <w:szCs w:val="24"/>
        </w:rPr>
        <w:t xml:space="preserve"> Anbefalet dosering efter indikation</w:t>
      </w:r>
    </w:p>
    <w:p w14:paraId="2D9C522C" w14:textId="77777777" w:rsidR="00C806DE" w:rsidRPr="00875F19" w:rsidRDefault="00C806DE" w:rsidP="00C806DE">
      <w:pPr>
        <w:rPr>
          <w:sz w:val="24"/>
          <w:szCs w:val="24"/>
        </w:rPr>
      </w:pPr>
    </w:p>
    <w:tbl>
      <w:tblPr>
        <w:tblStyle w:val="Tabel-Gitter"/>
        <w:tblW w:w="5000" w:type="pct"/>
        <w:tblInd w:w="0" w:type="dxa"/>
        <w:tblLook w:val="04A0" w:firstRow="1" w:lastRow="0" w:firstColumn="1" w:lastColumn="0" w:noHBand="0" w:noVBand="1"/>
      </w:tblPr>
      <w:tblGrid>
        <w:gridCol w:w="3610"/>
        <w:gridCol w:w="6018"/>
      </w:tblGrid>
      <w:tr w:rsidR="00C806DE" w:rsidRPr="00875F19" w14:paraId="73CEB0AF" w14:textId="77777777" w:rsidTr="00C806DE">
        <w:tc>
          <w:tcPr>
            <w:tcW w:w="1875" w:type="pct"/>
            <w:tcBorders>
              <w:top w:val="single" w:sz="4" w:space="0" w:color="auto"/>
              <w:left w:val="single" w:sz="4" w:space="0" w:color="auto"/>
              <w:bottom w:val="single" w:sz="4" w:space="0" w:color="auto"/>
              <w:right w:val="single" w:sz="4" w:space="0" w:color="auto"/>
            </w:tcBorders>
            <w:hideMark/>
          </w:tcPr>
          <w:p w14:paraId="610925CB" w14:textId="77777777" w:rsidR="00C806DE" w:rsidRPr="00875F19" w:rsidRDefault="00C806DE">
            <w:pPr>
              <w:rPr>
                <w:rFonts w:ascii="Times New Roman" w:hAnsi="Times New Roman" w:cs="Times New Roman"/>
                <w:b/>
                <w:bCs/>
                <w:sz w:val="24"/>
                <w:szCs w:val="24"/>
              </w:rPr>
            </w:pPr>
            <w:r w:rsidRPr="00875F19">
              <w:rPr>
                <w:rFonts w:ascii="Times New Roman" w:hAnsi="Times New Roman" w:cs="Times New Roman"/>
                <w:b/>
                <w:bCs/>
                <w:sz w:val="24"/>
                <w:szCs w:val="24"/>
              </w:rPr>
              <w:t>Indikation</w:t>
            </w:r>
          </w:p>
        </w:tc>
        <w:tc>
          <w:tcPr>
            <w:tcW w:w="3125" w:type="pct"/>
            <w:tcBorders>
              <w:top w:val="single" w:sz="4" w:space="0" w:color="auto"/>
              <w:left w:val="single" w:sz="4" w:space="0" w:color="auto"/>
              <w:bottom w:val="single" w:sz="4" w:space="0" w:color="auto"/>
              <w:right w:val="single" w:sz="4" w:space="0" w:color="auto"/>
            </w:tcBorders>
            <w:hideMark/>
          </w:tcPr>
          <w:p w14:paraId="36FBC559" w14:textId="77777777" w:rsidR="00C806DE" w:rsidRPr="00875F19" w:rsidRDefault="00C806DE">
            <w:pPr>
              <w:rPr>
                <w:rFonts w:ascii="Times New Roman" w:hAnsi="Times New Roman" w:cs="Times New Roman"/>
                <w:b/>
                <w:bCs/>
                <w:sz w:val="24"/>
                <w:szCs w:val="24"/>
                <w:lang w:val="nl-NL"/>
              </w:rPr>
            </w:pPr>
            <w:r w:rsidRPr="00875F19">
              <w:rPr>
                <w:rFonts w:ascii="Times New Roman" w:hAnsi="Times New Roman" w:cs="Times New Roman"/>
                <w:b/>
                <w:bCs/>
                <w:sz w:val="24"/>
                <w:szCs w:val="24"/>
                <w:lang w:val="nl-NL"/>
              </w:rPr>
              <w:t>Dosis og varighed af behandling (Se pkt. 5.2)</w:t>
            </w:r>
          </w:p>
        </w:tc>
      </w:tr>
      <w:tr w:rsidR="00C806DE" w:rsidRPr="00875F19" w14:paraId="61AC7638" w14:textId="77777777" w:rsidTr="00C806DE">
        <w:tc>
          <w:tcPr>
            <w:tcW w:w="1875" w:type="pct"/>
            <w:tcBorders>
              <w:top w:val="single" w:sz="4" w:space="0" w:color="auto"/>
              <w:left w:val="single" w:sz="4" w:space="0" w:color="auto"/>
              <w:bottom w:val="single" w:sz="4" w:space="0" w:color="auto"/>
              <w:right w:val="single" w:sz="4" w:space="0" w:color="auto"/>
            </w:tcBorders>
            <w:hideMark/>
          </w:tcPr>
          <w:p w14:paraId="5B5D231B"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Behandling af invasiv aspergillose (kun for voksne)</w:t>
            </w:r>
          </w:p>
        </w:tc>
        <w:tc>
          <w:tcPr>
            <w:tcW w:w="3125" w:type="pct"/>
            <w:tcBorders>
              <w:top w:val="single" w:sz="4" w:space="0" w:color="auto"/>
              <w:left w:val="single" w:sz="4" w:space="0" w:color="auto"/>
              <w:bottom w:val="single" w:sz="4" w:space="0" w:color="auto"/>
              <w:right w:val="single" w:sz="4" w:space="0" w:color="auto"/>
            </w:tcBorders>
            <w:hideMark/>
          </w:tcPr>
          <w:p w14:paraId="1F18B4A1" w14:textId="73D000C0"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 xml:space="preserve">Initialdosis på 300 mg Posaconazole </w:t>
            </w:r>
            <w:r w:rsidR="003F6401">
              <w:rPr>
                <w:rFonts w:ascii="Times New Roman" w:hAnsi="Times New Roman" w:cs="Times New Roman"/>
                <w:sz w:val="24"/>
                <w:szCs w:val="24"/>
                <w:lang w:val="da-DK"/>
              </w:rPr>
              <w:t>"Amarox"</w:t>
            </w:r>
            <w:r w:rsidRPr="00875F19">
              <w:rPr>
                <w:rFonts w:ascii="Times New Roman" w:hAnsi="Times New Roman" w:cs="Times New Roman"/>
                <w:sz w:val="24"/>
                <w:szCs w:val="24"/>
                <w:lang w:val="da-DK"/>
              </w:rPr>
              <w:t xml:space="preserve"> (300 mg koncentrat til infusionsvæske, opløsning, eller tre 100 mg tabletter) to gange dagligt på den første dag, herefter </w:t>
            </w:r>
            <w:r w:rsidRPr="00875F19">
              <w:rPr>
                <w:rFonts w:ascii="Times New Roman" w:hAnsi="Times New Roman" w:cs="Times New Roman"/>
                <w:sz w:val="24"/>
                <w:szCs w:val="24"/>
                <w:lang w:val="da-DK"/>
              </w:rPr>
              <w:lastRenderedPageBreak/>
              <w:t>300</w:t>
            </w:r>
            <w:r w:rsidR="00F25278">
              <w:rPr>
                <w:rFonts w:ascii="Times New Roman" w:hAnsi="Times New Roman" w:cs="Times New Roman"/>
                <w:sz w:val="24"/>
                <w:szCs w:val="24"/>
                <w:lang w:val="da-DK"/>
              </w:rPr>
              <w:t> </w:t>
            </w:r>
            <w:r w:rsidRPr="00875F19">
              <w:rPr>
                <w:rFonts w:ascii="Times New Roman" w:hAnsi="Times New Roman" w:cs="Times New Roman"/>
                <w:sz w:val="24"/>
                <w:szCs w:val="24"/>
                <w:lang w:val="da-DK"/>
              </w:rPr>
              <w:t xml:space="preserve">mg (300 mg koncentrat til infusionsvæske, opløsning, eller tre 100 mg tabletter) en gang dagligt. </w:t>
            </w:r>
          </w:p>
          <w:p w14:paraId="11D63498"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Hver tabletdosis kan tages uden hensyn til fødeindtagelse. Den anbefalede samlede varighed af behandlingen er 6-12 uger. Skift mellem intravenøs og oral administration er hensigtsmæssig, hvis det er klinisk relevant.</w:t>
            </w:r>
          </w:p>
        </w:tc>
      </w:tr>
      <w:tr w:rsidR="00C806DE" w:rsidRPr="00875F19" w14:paraId="38AF65E2" w14:textId="77777777" w:rsidTr="00C806DE">
        <w:tc>
          <w:tcPr>
            <w:tcW w:w="1875" w:type="pct"/>
            <w:vMerge w:val="restart"/>
            <w:tcBorders>
              <w:top w:val="single" w:sz="4" w:space="0" w:color="auto"/>
              <w:left w:val="single" w:sz="4" w:space="0" w:color="auto"/>
              <w:bottom w:val="single" w:sz="4" w:space="0" w:color="auto"/>
              <w:right w:val="single" w:sz="4" w:space="0" w:color="auto"/>
            </w:tcBorders>
            <w:hideMark/>
          </w:tcPr>
          <w:p w14:paraId="30403BBB"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lastRenderedPageBreak/>
              <w:t>Refraktære invasive svampeinfektioner (IFI)/patienter med IFI, som er intolerante over for førstevalgsbehandling</w:t>
            </w:r>
          </w:p>
        </w:tc>
        <w:tc>
          <w:tcPr>
            <w:tcW w:w="3125" w:type="pct"/>
            <w:tcBorders>
              <w:top w:val="single" w:sz="4" w:space="0" w:color="auto"/>
              <w:left w:val="single" w:sz="4" w:space="0" w:color="auto"/>
              <w:bottom w:val="single" w:sz="4" w:space="0" w:color="auto"/>
              <w:right w:val="single" w:sz="4" w:space="0" w:color="auto"/>
            </w:tcBorders>
            <w:hideMark/>
          </w:tcPr>
          <w:p w14:paraId="2B40324D" w14:textId="77777777" w:rsidR="00C806DE" w:rsidRPr="00875F19" w:rsidRDefault="00C806DE">
            <w:pPr>
              <w:rPr>
                <w:rFonts w:ascii="Times New Roman" w:hAnsi="Times New Roman" w:cs="Times New Roman"/>
                <w:b/>
                <w:bCs/>
                <w:sz w:val="24"/>
                <w:szCs w:val="24"/>
                <w:lang w:val="nl-NL"/>
              </w:rPr>
            </w:pPr>
            <w:r w:rsidRPr="00875F19">
              <w:rPr>
                <w:rFonts w:ascii="Times New Roman" w:hAnsi="Times New Roman" w:cs="Times New Roman"/>
                <w:b/>
                <w:bCs/>
                <w:sz w:val="24"/>
                <w:szCs w:val="24"/>
                <w:lang w:val="nl-NL"/>
              </w:rPr>
              <w:t xml:space="preserve">Voksne: </w:t>
            </w:r>
          </w:p>
          <w:p w14:paraId="58D684BF" w14:textId="7805565D"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Initialdosis på 300 mg Posaconazole </w:t>
            </w:r>
            <w:r w:rsidR="003F6401">
              <w:rPr>
                <w:rFonts w:ascii="Times New Roman" w:hAnsi="Times New Roman" w:cs="Times New Roman"/>
                <w:sz w:val="24"/>
                <w:szCs w:val="24"/>
                <w:lang w:val="nl-NL"/>
              </w:rPr>
              <w:t>"Amarox"</w:t>
            </w:r>
            <w:r w:rsidRPr="00875F19">
              <w:rPr>
                <w:rFonts w:ascii="Times New Roman" w:hAnsi="Times New Roman" w:cs="Times New Roman"/>
                <w:sz w:val="24"/>
                <w:szCs w:val="24"/>
                <w:lang w:val="nl-NL"/>
              </w:rPr>
              <w:t xml:space="preserve"> to gange dagligt på den første dag, herefter 300 mg en gang dagligt. Behandlingens varighed afhænger af sværhedsgraden af den grundliggende sygdom, bedring efter immunsuppression og klinisk respons.</w:t>
            </w:r>
          </w:p>
        </w:tc>
      </w:tr>
      <w:tr w:rsidR="00C806DE" w:rsidRPr="00875F19" w14:paraId="7A86F9DC" w14:textId="77777777" w:rsidTr="00C806DE">
        <w:tc>
          <w:tcPr>
            <w:tcW w:w="1875" w:type="pct"/>
            <w:vMerge/>
            <w:tcBorders>
              <w:top w:val="single" w:sz="4" w:space="0" w:color="auto"/>
              <w:left w:val="single" w:sz="4" w:space="0" w:color="auto"/>
              <w:bottom w:val="single" w:sz="4" w:space="0" w:color="auto"/>
              <w:right w:val="single" w:sz="4" w:space="0" w:color="auto"/>
            </w:tcBorders>
            <w:vAlign w:val="center"/>
            <w:hideMark/>
          </w:tcPr>
          <w:p w14:paraId="3BE4686B" w14:textId="77777777" w:rsidR="00C806DE" w:rsidRPr="00875F19" w:rsidRDefault="00C806DE">
            <w:pPr>
              <w:rPr>
                <w:rFonts w:ascii="Times New Roman" w:hAnsi="Times New Roman" w:cs="Times New Roman"/>
                <w:sz w:val="24"/>
                <w:szCs w:val="24"/>
                <w:lang w:val="da-DK"/>
              </w:rPr>
            </w:pPr>
          </w:p>
        </w:tc>
        <w:tc>
          <w:tcPr>
            <w:tcW w:w="3125" w:type="pct"/>
            <w:tcBorders>
              <w:top w:val="single" w:sz="4" w:space="0" w:color="auto"/>
              <w:left w:val="single" w:sz="4" w:space="0" w:color="auto"/>
              <w:bottom w:val="single" w:sz="4" w:space="0" w:color="auto"/>
              <w:right w:val="single" w:sz="4" w:space="0" w:color="auto"/>
            </w:tcBorders>
            <w:hideMark/>
          </w:tcPr>
          <w:p w14:paraId="44869821" w14:textId="2A8FF78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b/>
                <w:bCs/>
                <w:sz w:val="24"/>
                <w:szCs w:val="24"/>
                <w:lang w:val="nl-NL"/>
              </w:rPr>
              <w:t>Pædiatriske patienter i alderen 2 år til under 18 år:</w:t>
            </w:r>
            <w:r w:rsidRPr="00875F19">
              <w:rPr>
                <w:rFonts w:ascii="Times New Roman" w:hAnsi="Times New Roman" w:cs="Times New Roman"/>
                <w:sz w:val="24"/>
                <w:szCs w:val="24"/>
                <w:lang w:val="nl-NL"/>
              </w:rPr>
              <w:t xml:space="preserve"> Initialdosis på 6 mg/kg (op til højst 300 mg) to gange dagligt på den første dag, herefter 6 mg/kg (op til højst 300</w:t>
            </w:r>
            <w:r w:rsidR="00F25278">
              <w:rPr>
                <w:rFonts w:ascii="Times New Roman" w:hAnsi="Times New Roman" w:cs="Times New Roman"/>
                <w:sz w:val="24"/>
                <w:szCs w:val="24"/>
                <w:lang w:val="nl-NL"/>
              </w:rPr>
              <w:t> </w:t>
            </w:r>
            <w:r w:rsidRPr="00875F19">
              <w:rPr>
                <w:rFonts w:ascii="Times New Roman" w:hAnsi="Times New Roman" w:cs="Times New Roman"/>
                <w:sz w:val="24"/>
                <w:szCs w:val="24"/>
                <w:lang w:val="nl-NL"/>
              </w:rPr>
              <w:t>mg) en gang dagligt. Behandlingens varighed afhænger af sværhedsgraden af den grundliggende sygdom, bedring efter immunsuppression og klinisk respons.</w:t>
            </w:r>
          </w:p>
        </w:tc>
      </w:tr>
      <w:tr w:rsidR="00C806DE" w:rsidRPr="00875F19" w14:paraId="3C4F4097" w14:textId="77777777" w:rsidTr="00C806DE">
        <w:tc>
          <w:tcPr>
            <w:tcW w:w="1875" w:type="pct"/>
            <w:vMerge w:val="restart"/>
            <w:tcBorders>
              <w:top w:val="single" w:sz="4" w:space="0" w:color="auto"/>
              <w:left w:val="single" w:sz="4" w:space="0" w:color="auto"/>
              <w:bottom w:val="single" w:sz="4" w:space="0" w:color="auto"/>
              <w:right w:val="single" w:sz="4" w:space="0" w:color="auto"/>
            </w:tcBorders>
            <w:hideMark/>
          </w:tcPr>
          <w:p w14:paraId="272C5EE4"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Forebyggelse af invasive svampeinfektioner</w:t>
            </w:r>
          </w:p>
        </w:tc>
        <w:tc>
          <w:tcPr>
            <w:tcW w:w="3125" w:type="pct"/>
            <w:tcBorders>
              <w:top w:val="single" w:sz="4" w:space="0" w:color="auto"/>
              <w:left w:val="single" w:sz="4" w:space="0" w:color="auto"/>
              <w:bottom w:val="single" w:sz="4" w:space="0" w:color="auto"/>
              <w:right w:val="single" w:sz="4" w:space="0" w:color="auto"/>
            </w:tcBorders>
            <w:hideMark/>
          </w:tcPr>
          <w:p w14:paraId="6C410EF1" w14:textId="77777777" w:rsidR="00C806DE" w:rsidRPr="00875F19" w:rsidRDefault="00C806DE">
            <w:pPr>
              <w:rPr>
                <w:rFonts w:ascii="Times New Roman" w:hAnsi="Times New Roman" w:cs="Times New Roman"/>
                <w:b/>
                <w:bCs/>
                <w:sz w:val="24"/>
                <w:szCs w:val="24"/>
                <w:lang w:val="nl-NL"/>
              </w:rPr>
            </w:pPr>
            <w:r w:rsidRPr="00875F19">
              <w:rPr>
                <w:rFonts w:ascii="Times New Roman" w:hAnsi="Times New Roman" w:cs="Times New Roman"/>
                <w:b/>
                <w:bCs/>
                <w:sz w:val="24"/>
                <w:szCs w:val="24"/>
                <w:lang w:val="nl-NL"/>
              </w:rPr>
              <w:t xml:space="preserve">Voksne: </w:t>
            </w:r>
          </w:p>
          <w:p w14:paraId="16E723A5" w14:textId="60A16C55"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Initialdosis på 300 mg Posaconazole </w:t>
            </w:r>
            <w:r w:rsidR="003F6401">
              <w:rPr>
                <w:rFonts w:ascii="Times New Roman" w:hAnsi="Times New Roman" w:cs="Times New Roman"/>
                <w:sz w:val="24"/>
                <w:szCs w:val="24"/>
                <w:lang w:val="nl-NL"/>
              </w:rPr>
              <w:t>"Amarox"</w:t>
            </w:r>
            <w:r w:rsidRPr="00875F19">
              <w:rPr>
                <w:rFonts w:ascii="Times New Roman" w:hAnsi="Times New Roman" w:cs="Times New Roman"/>
                <w:sz w:val="24"/>
                <w:szCs w:val="24"/>
                <w:lang w:val="nl-NL"/>
              </w:rPr>
              <w:t xml:space="preserve"> to gange dagligt på den første dag, herefter 300 mg en gang dagligt. Behandlingens varighed afhænger af bedring efter neutropeni eller immunsuppression. For patienter med AML eller MDS bør forebyggelse med Posaconazole </w:t>
            </w:r>
            <w:r w:rsidR="003F6401">
              <w:rPr>
                <w:rFonts w:ascii="Times New Roman" w:hAnsi="Times New Roman" w:cs="Times New Roman"/>
                <w:sz w:val="24"/>
                <w:szCs w:val="24"/>
                <w:lang w:val="nl-NL"/>
              </w:rPr>
              <w:t>"Amarox"</w:t>
            </w:r>
            <w:r w:rsidRPr="00875F19">
              <w:rPr>
                <w:rFonts w:ascii="Times New Roman" w:hAnsi="Times New Roman" w:cs="Times New Roman"/>
                <w:sz w:val="24"/>
                <w:szCs w:val="24"/>
                <w:lang w:val="nl-NL"/>
              </w:rPr>
              <w:t xml:space="preserve"> påbegyndes flere dage før den forventede optræden af neutropeni og fortsætte i 7 dage, efter at neutrofiltallet stiger til over 500 celler pr. mm</w:t>
            </w:r>
            <w:r w:rsidRPr="00875F19">
              <w:rPr>
                <w:rFonts w:ascii="Times New Roman" w:hAnsi="Times New Roman" w:cs="Times New Roman"/>
                <w:sz w:val="24"/>
                <w:szCs w:val="24"/>
                <w:vertAlign w:val="superscript"/>
                <w:lang w:val="nl-NL"/>
              </w:rPr>
              <w:t>3</w:t>
            </w:r>
            <w:r w:rsidRPr="00875F19">
              <w:rPr>
                <w:rFonts w:ascii="Times New Roman" w:hAnsi="Times New Roman" w:cs="Times New Roman"/>
                <w:sz w:val="24"/>
                <w:szCs w:val="24"/>
                <w:lang w:val="nl-NL"/>
              </w:rPr>
              <w:t>.</w:t>
            </w:r>
          </w:p>
        </w:tc>
      </w:tr>
      <w:tr w:rsidR="00C806DE" w:rsidRPr="00875F19" w14:paraId="387355EE" w14:textId="77777777" w:rsidTr="00C806DE">
        <w:tc>
          <w:tcPr>
            <w:tcW w:w="1875" w:type="pct"/>
            <w:vMerge/>
            <w:tcBorders>
              <w:top w:val="single" w:sz="4" w:space="0" w:color="auto"/>
              <w:left w:val="single" w:sz="4" w:space="0" w:color="auto"/>
              <w:bottom w:val="single" w:sz="4" w:space="0" w:color="auto"/>
              <w:right w:val="single" w:sz="4" w:space="0" w:color="auto"/>
            </w:tcBorders>
            <w:vAlign w:val="center"/>
            <w:hideMark/>
          </w:tcPr>
          <w:p w14:paraId="476DBDEB" w14:textId="77777777" w:rsidR="00C806DE" w:rsidRPr="00875F19" w:rsidRDefault="00C806DE">
            <w:pPr>
              <w:rPr>
                <w:rFonts w:ascii="Times New Roman" w:hAnsi="Times New Roman" w:cs="Times New Roman"/>
                <w:sz w:val="24"/>
                <w:szCs w:val="24"/>
                <w:lang w:val="da-DK"/>
              </w:rPr>
            </w:pPr>
          </w:p>
        </w:tc>
        <w:tc>
          <w:tcPr>
            <w:tcW w:w="3125" w:type="pct"/>
            <w:tcBorders>
              <w:top w:val="single" w:sz="4" w:space="0" w:color="auto"/>
              <w:left w:val="single" w:sz="4" w:space="0" w:color="auto"/>
              <w:bottom w:val="single" w:sz="4" w:space="0" w:color="auto"/>
              <w:right w:val="single" w:sz="4" w:space="0" w:color="auto"/>
            </w:tcBorders>
            <w:hideMark/>
          </w:tcPr>
          <w:p w14:paraId="581BAAC6" w14:textId="5A4D1CC4"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b/>
                <w:bCs/>
                <w:sz w:val="24"/>
                <w:szCs w:val="24"/>
                <w:lang w:val="nl-NL"/>
              </w:rPr>
              <w:t xml:space="preserve">Pædiatriske patienter i alderen 2 år til under 18 år: </w:t>
            </w:r>
            <w:r w:rsidRPr="00875F19">
              <w:rPr>
                <w:rFonts w:ascii="Times New Roman" w:hAnsi="Times New Roman" w:cs="Times New Roman"/>
                <w:sz w:val="24"/>
                <w:szCs w:val="24"/>
                <w:lang w:val="nl-NL"/>
              </w:rPr>
              <w:t>Initialdosis på 6 mg/kg (op til højst 300 mg) to gange dagligt på den første dag, herefter 6 mg/kg (op til højst 300</w:t>
            </w:r>
            <w:r w:rsidR="00F25278">
              <w:rPr>
                <w:rFonts w:ascii="Times New Roman" w:hAnsi="Times New Roman" w:cs="Times New Roman"/>
                <w:sz w:val="24"/>
                <w:szCs w:val="24"/>
                <w:lang w:val="nl-NL"/>
              </w:rPr>
              <w:t> </w:t>
            </w:r>
            <w:r w:rsidRPr="00875F19">
              <w:rPr>
                <w:rFonts w:ascii="Times New Roman" w:hAnsi="Times New Roman" w:cs="Times New Roman"/>
                <w:sz w:val="24"/>
                <w:szCs w:val="24"/>
                <w:lang w:val="nl-NL"/>
              </w:rPr>
              <w:t xml:space="preserve">mg) en gang dagligt. Behandlingens varighed afhænger af bedring efter neutropeni eller immunsuppression. For patienter med akut myeloid leukæmi (AML) eller myelodysplastiske syndromer (MDS) bør forebyggelse med Posaconazole </w:t>
            </w:r>
            <w:r w:rsidR="003F6401">
              <w:rPr>
                <w:rFonts w:ascii="Times New Roman" w:hAnsi="Times New Roman" w:cs="Times New Roman"/>
                <w:sz w:val="24"/>
                <w:szCs w:val="24"/>
                <w:lang w:val="nl-NL"/>
              </w:rPr>
              <w:t>"Amarox"</w:t>
            </w:r>
            <w:r w:rsidRPr="00875F19">
              <w:rPr>
                <w:rFonts w:ascii="Times New Roman" w:hAnsi="Times New Roman" w:cs="Times New Roman"/>
                <w:sz w:val="24"/>
                <w:szCs w:val="24"/>
                <w:lang w:val="nl-NL"/>
              </w:rPr>
              <w:t xml:space="preserve"> påbegyndes flere dage før den forventede optræden af neutropeni og fortsætte i 7 dage efter at neutrofiltallet stiger til over 500 celler pr. mm</w:t>
            </w:r>
            <w:r w:rsidRPr="00875F19">
              <w:rPr>
                <w:rFonts w:ascii="Times New Roman" w:hAnsi="Times New Roman" w:cs="Times New Roman"/>
                <w:sz w:val="24"/>
                <w:szCs w:val="24"/>
                <w:vertAlign w:val="superscript"/>
                <w:lang w:val="nl-NL"/>
              </w:rPr>
              <w:t>3</w:t>
            </w:r>
            <w:r w:rsidRPr="00875F19">
              <w:rPr>
                <w:rFonts w:ascii="Times New Roman" w:hAnsi="Times New Roman" w:cs="Times New Roman"/>
                <w:sz w:val="24"/>
                <w:szCs w:val="24"/>
                <w:lang w:val="nl-NL"/>
              </w:rPr>
              <w:t>.</w:t>
            </w:r>
          </w:p>
        </w:tc>
      </w:tr>
    </w:tbl>
    <w:p w14:paraId="3BB469CC" w14:textId="77777777" w:rsidR="00C806DE" w:rsidRPr="00875F19" w:rsidRDefault="00C806DE" w:rsidP="00C806DE">
      <w:pPr>
        <w:rPr>
          <w:kern w:val="2"/>
          <w:sz w:val="24"/>
          <w:szCs w:val="24"/>
          <w:lang w:val="nl-NL"/>
          <w14:ligatures w14:val="standardContextual"/>
        </w:rPr>
      </w:pPr>
    </w:p>
    <w:p w14:paraId="134B84E3" w14:textId="4320059D" w:rsidR="00C806DE" w:rsidRPr="00875F19" w:rsidRDefault="00C806DE" w:rsidP="00C806DE">
      <w:pPr>
        <w:ind w:left="851"/>
        <w:rPr>
          <w:sz w:val="24"/>
          <w:szCs w:val="24"/>
          <w:lang w:val="nl-NL"/>
        </w:rPr>
      </w:pPr>
      <w:r w:rsidRPr="00875F19">
        <w:rPr>
          <w:sz w:val="24"/>
          <w:szCs w:val="24"/>
          <w:lang w:val="nl-NL"/>
        </w:rPr>
        <w:t xml:space="preserve">Posaconazole </w:t>
      </w:r>
      <w:r w:rsidR="003F6401">
        <w:rPr>
          <w:sz w:val="24"/>
          <w:szCs w:val="24"/>
          <w:lang w:val="nl-NL"/>
        </w:rPr>
        <w:t>"Amarox"</w:t>
      </w:r>
      <w:r w:rsidRPr="00875F19">
        <w:rPr>
          <w:sz w:val="24"/>
          <w:szCs w:val="24"/>
          <w:lang w:val="nl-NL"/>
        </w:rPr>
        <w:t xml:space="preserve"> bør administreres via en infusionsslange med et centralt venekateter (CVK) eller et perifert anlagt centralt venekateter (PICC-line) som en langsom intravenøs infusion over ca. 90 minutter. Posaconazole </w:t>
      </w:r>
      <w:r w:rsidR="003F6401">
        <w:rPr>
          <w:sz w:val="24"/>
          <w:szCs w:val="24"/>
          <w:lang w:val="nl-NL"/>
        </w:rPr>
        <w:t>"Amarox"</w:t>
      </w:r>
      <w:r w:rsidRPr="00875F19">
        <w:rPr>
          <w:sz w:val="24"/>
          <w:szCs w:val="24"/>
          <w:lang w:val="nl-NL"/>
        </w:rPr>
        <w:t xml:space="preserve"> koncentrat til infusionsvæske, opløsning må ikke administreres som bolus. Hvis et centralt venekateter ikke er muligt, må der administreres en enkelt infusion gennem et perifert venekateter. Ved administration via et perifert venekateter skal infusionen gives over ca. 30 minutter (se pkt. 4.8 og 6.6).</w:t>
      </w:r>
    </w:p>
    <w:p w14:paraId="5335C0C5" w14:textId="77777777" w:rsidR="00C806DE" w:rsidRPr="00875F19" w:rsidRDefault="00C806DE" w:rsidP="00C806DE">
      <w:pPr>
        <w:ind w:left="851"/>
        <w:rPr>
          <w:sz w:val="24"/>
          <w:szCs w:val="24"/>
          <w:lang w:val="nl-NL"/>
        </w:rPr>
      </w:pPr>
    </w:p>
    <w:p w14:paraId="50312A45" w14:textId="77777777" w:rsidR="00C806DE" w:rsidRPr="00875F19" w:rsidRDefault="00C806DE" w:rsidP="00C806DE">
      <w:pPr>
        <w:ind w:left="851"/>
        <w:rPr>
          <w:sz w:val="24"/>
          <w:szCs w:val="24"/>
          <w:u w:val="single"/>
          <w:lang w:val="nl-NL"/>
        </w:rPr>
      </w:pPr>
      <w:r w:rsidRPr="00875F19">
        <w:rPr>
          <w:sz w:val="24"/>
          <w:szCs w:val="24"/>
          <w:u w:val="single"/>
          <w:lang w:val="nl-NL"/>
        </w:rPr>
        <w:t>Særlige populationer</w:t>
      </w:r>
    </w:p>
    <w:p w14:paraId="092F77B4" w14:textId="77777777" w:rsidR="00C806DE" w:rsidRPr="00875F19" w:rsidRDefault="00C806DE" w:rsidP="00C806DE">
      <w:pPr>
        <w:ind w:left="851"/>
        <w:rPr>
          <w:sz w:val="24"/>
          <w:szCs w:val="24"/>
          <w:lang w:val="nl-NL"/>
        </w:rPr>
      </w:pPr>
    </w:p>
    <w:p w14:paraId="7D0FF7AC" w14:textId="77777777" w:rsidR="00C806DE" w:rsidRPr="00875F19" w:rsidRDefault="00C806DE" w:rsidP="00C806DE">
      <w:pPr>
        <w:ind w:left="851"/>
        <w:rPr>
          <w:i/>
          <w:iCs/>
          <w:sz w:val="24"/>
          <w:szCs w:val="24"/>
          <w:lang w:val="nl-NL"/>
        </w:rPr>
      </w:pPr>
      <w:r w:rsidRPr="00875F19">
        <w:rPr>
          <w:i/>
          <w:iCs/>
          <w:sz w:val="24"/>
          <w:szCs w:val="24"/>
          <w:lang w:val="nl-NL"/>
        </w:rPr>
        <w:t xml:space="preserve">Nedsat nyrefunktion </w:t>
      </w:r>
    </w:p>
    <w:p w14:paraId="689D8608" w14:textId="3947E187" w:rsidR="00C806DE" w:rsidRPr="00875F19" w:rsidRDefault="00C806DE" w:rsidP="00C806DE">
      <w:pPr>
        <w:ind w:left="851"/>
        <w:rPr>
          <w:sz w:val="24"/>
          <w:szCs w:val="24"/>
          <w:lang w:val="nl-NL"/>
        </w:rPr>
      </w:pPr>
      <w:r w:rsidRPr="00875F19">
        <w:rPr>
          <w:sz w:val="24"/>
          <w:szCs w:val="24"/>
          <w:lang w:val="nl-NL"/>
        </w:rPr>
        <w:t xml:space="preserve">Hos patienter med moderat til svært nedsat nyrefunktion (creatinin-clearance &lt;50 ml/min) kan det forventes, at der forekommer ophobning af det intravenøse vehikel, </w:t>
      </w:r>
      <w:r w:rsidRPr="00875F19">
        <w:rPr>
          <w:sz w:val="24"/>
          <w:szCs w:val="24"/>
          <w:lang w:val="nl-NL"/>
        </w:rPr>
        <w:lastRenderedPageBreak/>
        <w:t xml:space="preserve">Sulfobutylether beta cyclodextrinnatrium (SBECD). Orale formuleringer af Posaconazole </w:t>
      </w:r>
      <w:r w:rsidR="003F6401">
        <w:rPr>
          <w:sz w:val="24"/>
          <w:szCs w:val="24"/>
          <w:lang w:val="nl-NL"/>
        </w:rPr>
        <w:t>"Amarox"</w:t>
      </w:r>
      <w:r w:rsidRPr="00875F19">
        <w:rPr>
          <w:sz w:val="24"/>
          <w:szCs w:val="24"/>
          <w:lang w:val="nl-NL"/>
        </w:rPr>
        <w:t xml:space="preserve"> bør anvendes til disse patienter, medmindre en vurdering af benefit/risk-forholdet for patienten berettiger, at der anvendes Posaconazole </w:t>
      </w:r>
      <w:r w:rsidR="003F6401">
        <w:rPr>
          <w:sz w:val="24"/>
          <w:szCs w:val="24"/>
          <w:lang w:val="nl-NL"/>
        </w:rPr>
        <w:t>"Amarox"</w:t>
      </w:r>
      <w:r w:rsidRPr="00875F19">
        <w:rPr>
          <w:sz w:val="24"/>
          <w:szCs w:val="24"/>
          <w:lang w:val="nl-NL"/>
        </w:rPr>
        <w:t xml:space="preserve"> koncentrat til infusionsvæske, opløsning. Creatininniveauer i serum bør monitoreres nøje hos disse patienter (se pkt. 4.4).</w:t>
      </w:r>
    </w:p>
    <w:p w14:paraId="7E2BC72E" w14:textId="77777777" w:rsidR="00C806DE" w:rsidRPr="00875F19" w:rsidRDefault="00C806DE" w:rsidP="00C806DE">
      <w:pPr>
        <w:ind w:left="851"/>
        <w:rPr>
          <w:sz w:val="24"/>
          <w:szCs w:val="24"/>
          <w:lang w:val="nl-NL"/>
        </w:rPr>
      </w:pPr>
    </w:p>
    <w:p w14:paraId="70852D96" w14:textId="77777777" w:rsidR="00C806DE" w:rsidRPr="00875F19" w:rsidRDefault="00C806DE" w:rsidP="00C806DE">
      <w:pPr>
        <w:ind w:left="851"/>
        <w:rPr>
          <w:i/>
          <w:iCs/>
          <w:sz w:val="24"/>
          <w:szCs w:val="24"/>
          <w:lang w:val="nl-NL"/>
        </w:rPr>
      </w:pPr>
      <w:r w:rsidRPr="00875F19">
        <w:rPr>
          <w:i/>
          <w:iCs/>
          <w:sz w:val="24"/>
          <w:szCs w:val="24"/>
          <w:lang w:val="nl-NL"/>
        </w:rPr>
        <w:t xml:space="preserve">Nedsat leverfunktion </w:t>
      </w:r>
    </w:p>
    <w:p w14:paraId="4032D9B0" w14:textId="77777777" w:rsidR="00C806DE" w:rsidRPr="00875F19" w:rsidRDefault="00C806DE" w:rsidP="00C806DE">
      <w:pPr>
        <w:ind w:left="851"/>
        <w:rPr>
          <w:sz w:val="24"/>
          <w:szCs w:val="24"/>
        </w:rPr>
      </w:pPr>
      <w:r w:rsidRPr="00875F19">
        <w:rPr>
          <w:sz w:val="24"/>
          <w:szCs w:val="24"/>
          <w:lang w:val="nl-NL"/>
        </w:rPr>
        <w:t xml:space="preserve">Begrænsede data vedrørende indvirkningen af nedsat leverfunktion (inklusive Child-Pugh C klassificering af kronisk leversygdom) på farmakokinetikken for posaconazol viser en stigning i eksponeringen i plasma sammenlignet med forsøgspersoner med normal leverfunktion, men tyder ikke på, at dosisjustering er nødvendig (se pkt. 4.4 og 5.2). </w:t>
      </w:r>
      <w:r w:rsidRPr="00875F19">
        <w:rPr>
          <w:sz w:val="24"/>
          <w:szCs w:val="24"/>
        </w:rPr>
        <w:t>Det anbefales at udvise forsigtighed pga. muligheden for højere plasmaeksponering.</w:t>
      </w:r>
    </w:p>
    <w:p w14:paraId="79D61B10" w14:textId="77777777" w:rsidR="00C806DE" w:rsidRPr="00875F19" w:rsidRDefault="00C806DE" w:rsidP="00C806DE">
      <w:pPr>
        <w:ind w:left="851"/>
        <w:rPr>
          <w:sz w:val="24"/>
          <w:szCs w:val="24"/>
        </w:rPr>
      </w:pPr>
    </w:p>
    <w:p w14:paraId="25D924C2" w14:textId="77777777" w:rsidR="00C806DE" w:rsidRPr="00875F19" w:rsidRDefault="00C806DE" w:rsidP="00C806DE">
      <w:pPr>
        <w:ind w:left="851"/>
        <w:rPr>
          <w:i/>
          <w:iCs/>
          <w:sz w:val="24"/>
          <w:szCs w:val="24"/>
          <w:lang w:val="nl-NL"/>
        </w:rPr>
      </w:pPr>
      <w:r w:rsidRPr="00875F19">
        <w:rPr>
          <w:i/>
          <w:iCs/>
          <w:sz w:val="24"/>
          <w:szCs w:val="24"/>
          <w:lang w:val="nl-NL"/>
        </w:rPr>
        <w:t xml:space="preserve">Pædiatrisk population </w:t>
      </w:r>
    </w:p>
    <w:p w14:paraId="1663E857" w14:textId="77777777" w:rsidR="00C806DE" w:rsidRPr="00875F19" w:rsidRDefault="00C806DE" w:rsidP="00C806DE">
      <w:pPr>
        <w:ind w:left="851"/>
        <w:rPr>
          <w:sz w:val="24"/>
          <w:szCs w:val="24"/>
          <w:lang w:val="nl-NL"/>
        </w:rPr>
      </w:pPr>
      <w:r w:rsidRPr="00875F19">
        <w:rPr>
          <w:sz w:val="24"/>
          <w:szCs w:val="24"/>
          <w:lang w:val="nl-NL"/>
        </w:rPr>
        <w:t xml:space="preserve">Sikkerhed og virkning af posaconazol hos børn under 2 år er ikke klarlagt. </w:t>
      </w:r>
    </w:p>
    <w:p w14:paraId="11D51E7C" w14:textId="77777777" w:rsidR="00C806DE" w:rsidRPr="00875F19" w:rsidRDefault="00C806DE" w:rsidP="00C806DE">
      <w:pPr>
        <w:ind w:left="851"/>
        <w:rPr>
          <w:sz w:val="24"/>
          <w:szCs w:val="24"/>
          <w:lang w:val="nl-NL"/>
        </w:rPr>
      </w:pPr>
      <w:r w:rsidRPr="00875F19">
        <w:rPr>
          <w:sz w:val="24"/>
          <w:szCs w:val="24"/>
          <w:lang w:val="nl-NL"/>
        </w:rPr>
        <w:t>Der foreligger ingen kliniske data.</w:t>
      </w:r>
    </w:p>
    <w:p w14:paraId="37FF3C76" w14:textId="49D42FF8" w:rsidR="00C806DE" w:rsidRPr="00875F19" w:rsidRDefault="00C806DE" w:rsidP="00C806DE">
      <w:pPr>
        <w:ind w:left="851"/>
        <w:rPr>
          <w:sz w:val="24"/>
          <w:szCs w:val="24"/>
          <w:lang w:val="nl-NL"/>
        </w:rPr>
      </w:pPr>
      <w:r w:rsidRPr="00875F19">
        <w:rPr>
          <w:sz w:val="24"/>
          <w:szCs w:val="24"/>
          <w:lang w:val="nl-NL"/>
        </w:rPr>
        <w:t xml:space="preserve">Posaconazole </w:t>
      </w:r>
      <w:r w:rsidR="003F6401">
        <w:rPr>
          <w:sz w:val="24"/>
          <w:szCs w:val="24"/>
          <w:lang w:val="nl-NL"/>
        </w:rPr>
        <w:t>"Amarox"</w:t>
      </w:r>
      <w:r w:rsidRPr="00875F19">
        <w:rPr>
          <w:sz w:val="24"/>
          <w:szCs w:val="24"/>
          <w:lang w:val="nl-NL"/>
        </w:rPr>
        <w:t xml:space="preserve"> koncentrat til infusionsvæske, opløsning bør ikke anvendes til børn under 2 år på grund af non-kliniske problemstillinger vedrørende sikkerhed (se pkt. 5.3).</w:t>
      </w:r>
    </w:p>
    <w:p w14:paraId="55BF444C" w14:textId="77777777" w:rsidR="00C806DE" w:rsidRPr="00875F19" w:rsidRDefault="00C806DE" w:rsidP="00C806DE">
      <w:pPr>
        <w:ind w:left="851"/>
        <w:rPr>
          <w:sz w:val="24"/>
          <w:szCs w:val="24"/>
          <w:lang w:val="nl-NL"/>
        </w:rPr>
      </w:pPr>
    </w:p>
    <w:p w14:paraId="25ABF1C0" w14:textId="77777777" w:rsidR="00C806DE" w:rsidRPr="00875F19" w:rsidRDefault="00C806DE" w:rsidP="00C806DE">
      <w:pPr>
        <w:ind w:left="851"/>
        <w:rPr>
          <w:sz w:val="24"/>
          <w:szCs w:val="24"/>
          <w:u w:val="single"/>
        </w:rPr>
      </w:pPr>
      <w:r w:rsidRPr="00875F19">
        <w:rPr>
          <w:sz w:val="24"/>
          <w:szCs w:val="24"/>
          <w:u w:val="single"/>
        </w:rPr>
        <w:t>Administration</w:t>
      </w:r>
    </w:p>
    <w:p w14:paraId="506619EE" w14:textId="1A21E917" w:rsidR="00C806DE" w:rsidRPr="00875F19" w:rsidRDefault="00C806DE" w:rsidP="00C806DE">
      <w:pPr>
        <w:ind w:left="851"/>
        <w:rPr>
          <w:sz w:val="24"/>
          <w:szCs w:val="24"/>
        </w:rPr>
      </w:pPr>
      <w:r w:rsidRPr="00875F19">
        <w:rPr>
          <w:sz w:val="24"/>
          <w:szCs w:val="24"/>
        </w:rPr>
        <w:t xml:space="preserve">Posaconazole </w:t>
      </w:r>
      <w:r w:rsidR="003F6401">
        <w:rPr>
          <w:sz w:val="24"/>
          <w:szCs w:val="24"/>
        </w:rPr>
        <w:t>"Amarox"</w:t>
      </w:r>
      <w:r w:rsidRPr="00875F19">
        <w:rPr>
          <w:sz w:val="24"/>
          <w:szCs w:val="24"/>
        </w:rPr>
        <w:t xml:space="preserve"> koncentrat til infusionsvæske, opløsning skal fortyndes (se pkt. 6.6) før administration. </w:t>
      </w:r>
    </w:p>
    <w:p w14:paraId="77FDAEBA" w14:textId="3D51FAD7" w:rsidR="00C806DE" w:rsidRPr="00875F19" w:rsidRDefault="00C806DE" w:rsidP="00C806DE">
      <w:pPr>
        <w:ind w:left="851"/>
        <w:rPr>
          <w:sz w:val="24"/>
          <w:szCs w:val="24"/>
          <w:lang w:val="nl-NL"/>
        </w:rPr>
      </w:pPr>
      <w:r w:rsidRPr="00875F19">
        <w:rPr>
          <w:sz w:val="24"/>
          <w:szCs w:val="24"/>
          <w:lang w:val="nl-NL"/>
        </w:rPr>
        <w:t xml:space="preserve">Posaconazole </w:t>
      </w:r>
      <w:r w:rsidR="003F6401">
        <w:rPr>
          <w:sz w:val="24"/>
          <w:szCs w:val="24"/>
          <w:lang w:val="nl-NL"/>
        </w:rPr>
        <w:t>"Amarox"</w:t>
      </w:r>
      <w:r w:rsidRPr="00875F19">
        <w:rPr>
          <w:sz w:val="24"/>
          <w:szCs w:val="24"/>
          <w:lang w:val="nl-NL"/>
        </w:rPr>
        <w:t xml:space="preserve"> bør administreres via en infusionsslange med et centralt venekateter (CVK) eller et perifert anlagt centralt venekateter (PICC-line) som en langsom intravenøs (iv) infusion over ca. 90 minutter (se pkt. 4.2, 4.4 og 4.8). </w:t>
      </w:r>
    </w:p>
    <w:p w14:paraId="5A250BA8" w14:textId="5B815289" w:rsidR="00C806DE" w:rsidRPr="00875F19" w:rsidRDefault="00C806DE" w:rsidP="00C806DE">
      <w:pPr>
        <w:ind w:left="851"/>
        <w:rPr>
          <w:sz w:val="24"/>
          <w:szCs w:val="24"/>
          <w:lang w:val="nl-NL"/>
        </w:rPr>
      </w:pPr>
      <w:r w:rsidRPr="00875F19">
        <w:rPr>
          <w:sz w:val="24"/>
          <w:szCs w:val="24"/>
          <w:lang w:val="nl-NL"/>
        </w:rPr>
        <w:t xml:space="preserve">Posaconazole </w:t>
      </w:r>
      <w:r w:rsidR="003F6401">
        <w:rPr>
          <w:sz w:val="24"/>
          <w:szCs w:val="24"/>
          <w:lang w:val="nl-NL"/>
        </w:rPr>
        <w:t>"Amarox"</w:t>
      </w:r>
      <w:r w:rsidRPr="00875F19">
        <w:rPr>
          <w:sz w:val="24"/>
          <w:szCs w:val="24"/>
          <w:lang w:val="nl-NL"/>
        </w:rPr>
        <w:t xml:space="preserve"> koncentrat til infusionsvæske, opløsning må ikke administreres som bolus.</w:t>
      </w:r>
    </w:p>
    <w:p w14:paraId="5A3D100F" w14:textId="77777777" w:rsidR="00C806DE" w:rsidRPr="00875F19" w:rsidRDefault="00C806DE" w:rsidP="00C806DE">
      <w:pPr>
        <w:ind w:left="851"/>
        <w:rPr>
          <w:sz w:val="24"/>
          <w:szCs w:val="24"/>
          <w:lang w:val="nl-NL"/>
        </w:rPr>
      </w:pPr>
    </w:p>
    <w:p w14:paraId="739DFC18" w14:textId="77777777" w:rsidR="00C806DE" w:rsidRPr="00875F19" w:rsidRDefault="00C806DE" w:rsidP="00C806DE">
      <w:pPr>
        <w:ind w:left="851"/>
        <w:rPr>
          <w:sz w:val="24"/>
          <w:szCs w:val="24"/>
        </w:rPr>
      </w:pPr>
      <w:r w:rsidRPr="00875F19">
        <w:rPr>
          <w:sz w:val="24"/>
          <w:szCs w:val="24"/>
          <w:lang w:val="nl-NL"/>
        </w:rPr>
        <w:t xml:space="preserve">Hvis et centralt venekateter ikke er muligt, må der administreres en enkelt infusion gennem et perifert venekateter. </w:t>
      </w:r>
      <w:r w:rsidRPr="00875F19">
        <w:rPr>
          <w:sz w:val="24"/>
          <w:szCs w:val="24"/>
        </w:rPr>
        <w:t>Ved administration via et perifert venekateter skal infusionen gives over ca. 30 minutter for at nedsætte risikoen for reaktioner på infusionsstedet (se pkt. 4.8).</w:t>
      </w:r>
    </w:p>
    <w:p w14:paraId="4390C12A" w14:textId="77777777" w:rsidR="009260DE" w:rsidRPr="00875F19" w:rsidRDefault="009260DE" w:rsidP="009260DE">
      <w:pPr>
        <w:tabs>
          <w:tab w:val="left" w:pos="851"/>
        </w:tabs>
        <w:ind w:left="851"/>
        <w:rPr>
          <w:sz w:val="24"/>
          <w:szCs w:val="24"/>
        </w:rPr>
      </w:pPr>
    </w:p>
    <w:p w14:paraId="234F3703" w14:textId="77777777" w:rsidR="009260DE" w:rsidRPr="00875F19" w:rsidRDefault="009260DE" w:rsidP="009260DE">
      <w:pPr>
        <w:tabs>
          <w:tab w:val="left" w:pos="851"/>
        </w:tabs>
        <w:ind w:left="851" w:hanging="851"/>
        <w:rPr>
          <w:b/>
          <w:sz w:val="24"/>
          <w:szCs w:val="24"/>
        </w:rPr>
      </w:pPr>
      <w:r w:rsidRPr="00875F19">
        <w:rPr>
          <w:b/>
          <w:sz w:val="24"/>
          <w:szCs w:val="24"/>
        </w:rPr>
        <w:t>4.3</w:t>
      </w:r>
      <w:r w:rsidRPr="00875F19">
        <w:rPr>
          <w:b/>
          <w:sz w:val="24"/>
          <w:szCs w:val="24"/>
        </w:rPr>
        <w:tab/>
        <w:t>Kontraindikationer</w:t>
      </w:r>
    </w:p>
    <w:p w14:paraId="198DD6F6" w14:textId="77777777" w:rsidR="00C806DE" w:rsidRPr="00875F19" w:rsidRDefault="00C806DE" w:rsidP="00C806DE">
      <w:pPr>
        <w:ind w:left="851"/>
        <w:rPr>
          <w:sz w:val="24"/>
          <w:szCs w:val="24"/>
        </w:rPr>
      </w:pPr>
      <w:r w:rsidRPr="00875F19">
        <w:rPr>
          <w:sz w:val="24"/>
          <w:szCs w:val="24"/>
        </w:rPr>
        <w:t>Overfølsomhed over for det aktive stof eller over for et eller flere af hjælpestofferne anført i pkt. 6.1.</w:t>
      </w:r>
    </w:p>
    <w:p w14:paraId="717C57D5" w14:textId="77777777" w:rsidR="00C806DE" w:rsidRPr="00875F19" w:rsidRDefault="00C806DE" w:rsidP="00C806DE">
      <w:pPr>
        <w:ind w:left="851"/>
        <w:rPr>
          <w:sz w:val="24"/>
          <w:szCs w:val="24"/>
        </w:rPr>
      </w:pPr>
    </w:p>
    <w:p w14:paraId="4A42769F" w14:textId="77777777" w:rsidR="00C806DE" w:rsidRPr="00875F19" w:rsidRDefault="00C806DE" w:rsidP="00C806DE">
      <w:pPr>
        <w:ind w:left="851"/>
        <w:rPr>
          <w:sz w:val="24"/>
          <w:szCs w:val="24"/>
        </w:rPr>
      </w:pPr>
      <w:r w:rsidRPr="00875F19">
        <w:rPr>
          <w:sz w:val="24"/>
          <w:szCs w:val="24"/>
        </w:rPr>
        <w:t>Samtidig administration med sekalealkaloider (se pkt. 4.5).</w:t>
      </w:r>
    </w:p>
    <w:p w14:paraId="72CD8F7F" w14:textId="77777777" w:rsidR="00C806DE" w:rsidRPr="00875F19" w:rsidRDefault="00C806DE" w:rsidP="00C806DE">
      <w:pPr>
        <w:ind w:left="851"/>
        <w:rPr>
          <w:sz w:val="24"/>
          <w:szCs w:val="24"/>
        </w:rPr>
      </w:pPr>
    </w:p>
    <w:p w14:paraId="5306DDE4" w14:textId="77777777" w:rsidR="00C806DE" w:rsidRPr="00875F19" w:rsidRDefault="00C806DE" w:rsidP="00C806DE">
      <w:pPr>
        <w:ind w:left="851"/>
        <w:rPr>
          <w:sz w:val="24"/>
          <w:szCs w:val="24"/>
        </w:rPr>
      </w:pPr>
      <w:r w:rsidRPr="00875F19">
        <w:rPr>
          <w:sz w:val="24"/>
          <w:szCs w:val="24"/>
        </w:rPr>
        <w:t xml:space="preserve">Samtidig administration med CYP3A4-substraterne terfenadin, astemizol, cisaprid, pimozid, halofantrin eller quinidin, da dette kan resultere i forhøjede plasmakoncentrationer af disse lægemidler med forlænget QTc og sjældne forekomster af </w:t>
      </w:r>
      <w:r w:rsidRPr="00875F19">
        <w:rPr>
          <w:i/>
          <w:iCs/>
          <w:sz w:val="24"/>
          <w:szCs w:val="24"/>
        </w:rPr>
        <w:t>torsades de pointes</w:t>
      </w:r>
      <w:r w:rsidRPr="00875F19">
        <w:rPr>
          <w:sz w:val="24"/>
          <w:szCs w:val="24"/>
        </w:rPr>
        <w:t xml:space="preserve"> til følge (se pkt. 4.4 og 4.5).</w:t>
      </w:r>
    </w:p>
    <w:p w14:paraId="497B5D41" w14:textId="77777777" w:rsidR="00C806DE" w:rsidRPr="00875F19" w:rsidRDefault="00C806DE" w:rsidP="00C806DE">
      <w:pPr>
        <w:ind w:left="851"/>
        <w:rPr>
          <w:sz w:val="24"/>
          <w:szCs w:val="24"/>
        </w:rPr>
      </w:pPr>
    </w:p>
    <w:p w14:paraId="72C6D064" w14:textId="3AFC103D" w:rsidR="00C806DE" w:rsidRPr="00875F19" w:rsidRDefault="00C806DE" w:rsidP="00C806DE">
      <w:pPr>
        <w:ind w:left="851"/>
        <w:rPr>
          <w:sz w:val="24"/>
          <w:szCs w:val="24"/>
          <w:lang w:val="nl-NL"/>
        </w:rPr>
      </w:pPr>
      <w:r w:rsidRPr="00875F19">
        <w:rPr>
          <w:sz w:val="24"/>
          <w:szCs w:val="24"/>
        </w:rPr>
        <w:t>Samtidig administration med HMG-CoA reduktasehæmmerne simvastatin, lovastatin og atorvastatin</w:t>
      </w:r>
      <w:r w:rsidR="00875F19">
        <w:rPr>
          <w:sz w:val="24"/>
          <w:szCs w:val="24"/>
        </w:rPr>
        <w:t xml:space="preserve"> </w:t>
      </w:r>
      <w:r w:rsidRPr="00875F19">
        <w:rPr>
          <w:sz w:val="24"/>
          <w:szCs w:val="24"/>
          <w:lang w:val="nl-NL"/>
        </w:rPr>
        <w:t>(se pkt. 4.5).</w:t>
      </w:r>
    </w:p>
    <w:p w14:paraId="5035821D" w14:textId="77777777" w:rsidR="00C806DE" w:rsidRPr="00875F19" w:rsidRDefault="00C806DE" w:rsidP="00C806DE">
      <w:pPr>
        <w:ind w:left="851"/>
        <w:rPr>
          <w:sz w:val="24"/>
          <w:szCs w:val="24"/>
          <w:lang w:val="nl-NL"/>
        </w:rPr>
      </w:pPr>
    </w:p>
    <w:p w14:paraId="2FCD810E" w14:textId="77777777" w:rsidR="00C806DE" w:rsidRPr="00875F19" w:rsidRDefault="00C806DE" w:rsidP="00C806DE">
      <w:pPr>
        <w:ind w:left="851"/>
        <w:rPr>
          <w:sz w:val="24"/>
          <w:szCs w:val="24"/>
          <w:lang w:val="nl-NL"/>
        </w:rPr>
      </w:pPr>
      <w:r w:rsidRPr="00875F19">
        <w:rPr>
          <w:sz w:val="24"/>
          <w:szCs w:val="24"/>
          <w:lang w:val="nl-NL"/>
        </w:rPr>
        <w:t>Samtidig administration af venetoclax under initierings- og dosistitreringsfasen hos patienter med kronisk lymfatisk leukæmi (CLL) (se pkt. 4.4 og 4.5).</w:t>
      </w:r>
    </w:p>
    <w:p w14:paraId="234027FC" w14:textId="11A7A307" w:rsidR="003F6401" w:rsidRDefault="003F6401">
      <w:pPr>
        <w:rPr>
          <w:sz w:val="24"/>
          <w:szCs w:val="24"/>
        </w:rPr>
      </w:pPr>
      <w:r>
        <w:rPr>
          <w:sz w:val="24"/>
          <w:szCs w:val="24"/>
        </w:rPr>
        <w:br w:type="page"/>
      </w:r>
    </w:p>
    <w:p w14:paraId="6725FCB6" w14:textId="77777777" w:rsidR="009260DE" w:rsidRPr="00875F19" w:rsidRDefault="009260DE" w:rsidP="009260DE">
      <w:pPr>
        <w:tabs>
          <w:tab w:val="left" w:pos="851"/>
        </w:tabs>
        <w:ind w:left="851"/>
        <w:rPr>
          <w:sz w:val="24"/>
          <w:szCs w:val="24"/>
        </w:rPr>
      </w:pPr>
    </w:p>
    <w:p w14:paraId="6F4AAC83" w14:textId="77777777" w:rsidR="009260DE" w:rsidRPr="00875F19" w:rsidRDefault="009260DE" w:rsidP="009260DE">
      <w:pPr>
        <w:tabs>
          <w:tab w:val="left" w:pos="851"/>
        </w:tabs>
        <w:ind w:left="851" w:hanging="851"/>
        <w:rPr>
          <w:b/>
          <w:sz w:val="24"/>
          <w:szCs w:val="24"/>
        </w:rPr>
      </w:pPr>
      <w:r w:rsidRPr="00875F19">
        <w:rPr>
          <w:b/>
          <w:sz w:val="24"/>
          <w:szCs w:val="24"/>
        </w:rPr>
        <w:t>4.4</w:t>
      </w:r>
      <w:r w:rsidRPr="00875F19">
        <w:rPr>
          <w:b/>
          <w:sz w:val="24"/>
          <w:szCs w:val="24"/>
        </w:rPr>
        <w:tab/>
        <w:t>Særlige advarsler og forsigtighedsregler vedrørende brugen</w:t>
      </w:r>
    </w:p>
    <w:p w14:paraId="0B406127" w14:textId="77777777" w:rsidR="00875F19" w:rsidRDefault="00875F19" w:rsidP="00C806DE">
      <w:pPr>
        <w:ind w:left="851"/>
        <w:rPr>
          <w:sz w:val="24"/>
          <w:szCs w:val="24"/>
        </w:rPr>
      </w:pPr>
    </w:p>
    <w:p w14:paraId="5A11694C" w14:textId="7307BF3C" w:rsidR="00C806DE" w:rsidRPr="00875F19" w:rsidRDefault="00C806DE" w:rsidP="00C806DE">
      <w:pPr>
        <w:ind w:left="851"/>
        <w:rPr>
          <w:sz w:val="24"/>
          <w:szCs w:val="24"/>
          <w:u w:val="single"/>
          <w:lang w:val="nl-NL"/>
        </w:rPr>
      </w:pPr>
      <w:r w:rsidRPr="00875F19">
        <w:rPr>
          <w:sz w:val="24"/>
          <w:szCs w:val="24"/>
          <w:u w:val="single"/>
          <w:lang w:val="nl-NL"/>
        </w:rPr>
        <w:t xml:space="preserve">Overfølsomhed </w:t>
      </w:r>
    </w:p>
    <w:p w14:paraId="690175C7" w14:textId="77777777" w:rsidR="00C806DE" w:rsidRPr="00875F19" w:rsidRDefault="00C806DE" w:rsidP="00C806DE">
      <w:pPr>
        <w:ind w:left="851"/>
        <w:rPr>
          <w:sz w:val="24"/>
          <w:szCs w:val="24"/>
          <w:lang w:val="nl-NL"/>
        </w:rPr>
      </w:pPr>
      <w:r w:rsidRPr="00875F19">
        <w:rPr>
          <w:sz w:val="24"/>
          <w:szCs w:val="24"/>
          <w:lang w:val="nl-NL"/>
        </w:rPr>
        <w:t>Der findes ingen data om krydsallergi mellem posaconazol og andre antimykotiske azolderivater. Der bør udvises forsigtighed, når posaconazol ordineres til patienter, som er overfølsomme over for andre azoler.</w:t>
      </w:r>
    </w:p>
    <w:p w14:paraId="78104614" w14:textId="77777777" w:rsidR="00C806DE" w:rsidRPr="00875F19" w:rsidRDefault="00C806DE" w:rsidP="00C806DE">
      <w:pPr>
        <w:ind w:left="851"/>
        <w:rPr>
          <w:sz w:val="24"/>
          <w:szCs w:val="24"/>
          <w:lang w:val="nl-NL"/>
        </w:rPr>
      </w:pPr>
    </w:p>
    <w:p w14:paraId="235D77F6" w14:textId="77777777" w:rsidR="00C806DE" w:rsidRPr="00875F19" w:rsidRDefault="00C806DE" w:rsidP="00C806DE">
      <w:pPr>
        <w:ind w:left="851"/>
        <w:rPr>
          <w:sz w:val="24"/>
          <w:szCs w:val="24"/>
          <w:u w:val="single"/>
          <w:lang w:val="nl-NL"/>
        </w:rPr>
      </w:pPr>
      <w:r w:rsidRPr="00875F19">
        <w:rPr>
          <w:sz w:val="24"/>
          <w:szCs w:val="24"/>
          <w:u w:val="single"/>
          <w:lang w:val="nl-NL"/>
        </w:rPr>
        <w:t xml:space="preserve">Levertoksicitet </w:t>
      </w:r>
    </w:p>
    <w:p w14:paraId="53CFD43C" w14:textId="3FDBCE7D" w:rsidR="00C806DE" w:rsidRPr="00875F19" w:rsidRDefault="00C806DE" w:rsidP="00C806DE">
      <w:pPr>
        <w:ind w:left="851"/>
        <w:rPr>
          <w:sz w:val="24"/>
          <w:szCs w:val="24"/>
          <w:lang w:val="nl-NL"/>
        </w:rPr>
      </w:pPr>
      <w:r w:rsidRPr="00875F19">
        <w:rPr>
          <w:sz w:val="24"/>
          <w:szCs w:val="24"/>
          <w:lang w:val="nl-NL"/>
        </w:rPr>
        <w:t>Der er rapporteret hepatiske reaktioner (f.eks. forhøjelser af ALAT, ASAT, alkalisk fosfatase og total bilirubin og/eller klinisk hepatitis) under behandling med posaconazol. Forhøjede leverfunktionsværdier var generelt reversible ved afbrydelse af behandlingen, og i nogle tilfælde normaliseredes disse værdier uden afbrydelse af behandling. Mere alvorlige hepatiske reaktioner med letalt udfald er sjældent set</w:t>
      </w:r>
      <w:r w:rsidR="00875F19">
        <w:rPr>
          <w:sz w:val="24"/>
          <w:szCs w:val="24"/>
          <w:lang w:val="nl-NL"/>
        </w:rPr>
        <w:t>.</w:t>
      </w:r>
    </w:p>
    <w:p w14:paraId="670DE0A7" w14:textId="77777777" w:rsidR="00C806DE" w:rsidRPr="00875F19" w:rsidRDefault="00C806DE" w:rsidP="00C806DE">
      <w:pPr>
        <w:ind w:left="851"/>
        <w:rPr>
          <w:sz w:val="24"/>
          <w:szCs w:val="24"/>
          <w:lang w:val="nl-NL"/>
        </w:rPr>
      </w:pPr>
    </w:p>
    <w:p w14:paraId="1A706539" w14:textId="77777777" w:rsidR="00C806DE" w:rsidRPr="00875F19" w:rsidRDefault="00C806DE" w:rsidP="00C806DE">
      <w:pPr>
        <w:ind w:left="851"/>
        <w:rPr>
          <w:sz w:val="24"/>
          <w:szCs w:val="24"/>
          <w:lang w:val="nl-NL"/>
        </w:rPr>
      </w:pPr>
      <w:r w:rsidRPr="00875F19">
        <w:rPr>
          <w:sz w:val="24"/>
          <w:szCs w:val="24"/>
          <w:lang w:val="nl-NL"/>
        </w:rPr>
        <w:t>Posaconazol bør anvendes med forsigtighed hos patienter med nedsat leverfunktion grundet begrænset klinisk erfaring og muligheden for, at posaconazols plasmaniveau kan være højere hos disse patienter (se pkt. 4.2 og 5.2).</w:t>
      </w:r>
    </w:p>
    <w:p w14:paraId="64E80D87" w14:textId="77777777" w:rsidR="00C806DE" w:rsidRPr="00875F19" w:rsidRDefault="00C806DE" w:rsidP="00C806DE">
      <w:pPr>
        <w:ind w:left="851"/>
        <w:rPr>
          <w:sz w:val="24"/>
          <w:szCs w:val="24"/>
          <w:lang w:val="nl-NL"/>
        </w:rPr>
      </w:pPr>
    </w:p>
    <w:p w14:paraId="355BDB5F" w14:textId="77777777" w:rsidR="00C806DE" w:rsidRPr="00875F19" w:rsidRDefault="00C806DE" w:rsidP="00C806DE">
      <w:pPr>
        <w:ind w:left="851"/>
        <w:rPr>
          <w:sz w:val="24"/>
          <w:szCs w:val="24"/>
          <w:u w:val="single"/>
          <w:lang w:val="nl-NL"/>
        </w:rPr>
      </w:pPr>
      <w:r w:rsidRPr="00875F19">
        <w:rPr>
          <w:sz w:val="24"/>
          <w:szCs w:val="24"/>
          <w:u w:val="single"/>
          <w:lang w:val="nl-NL"/>
        </w:rPr>
        <w:t xml:space="preserve">Monitorering af patienter med svært nedsat nyrefunktion </w:t>
      </w:r>
    </w:p>
    <w:p w14:paraId="1FFB917F" w14:textId="77777777" w:rsidR="00C806DE" w:rsidRPr="00875F19" w:rsidRDefault="00C806DE" w:rsidP="00C806DE">
      <w:pPr>
        <w:ind w:left="851"/>
        <w:rPr>
          <w:sz w:val="24"/>
          <w:szCs w:val="24"/>
          <w:lang w:val="nl-NL"/>
        </w:rPr>
      </w:pPr>
      <w:r w:rsidRPr="00875F19">
        <w:rPr>
          <w:sz w:val="24"/>
          <w:szCs w:val="24"/>
          <w:lang w:val="nl-NL"/>
        </w:rPr>
        <w:t>Patienter med svært nedsat nyrefunktion skal monitoreres nøje for tilbagevendende svampeinfektioner på grund af variabilitet i eksponering (se pkt. 4.2 og 5.2).</w:t>
      </w:r>
    </w:p>
    <w:p w14:paraId="110981A4" w14:textId="77777777" w:rsidR="00C806DE" w:rsidRPr="00875F19" w:rsidRDefault="00C806DE" w:rsidP="00C806DE">
      <w:pPr>
        <w:ind w:left="851"/>
        <w:rPr>
          <w:sz w:val="24"/>
          <w:szCs w:val="24"/>
          <w:lang w:val="nl-NL"/>
        </w:rPr>
      </w:pPr>
    </w:p>
    <w:p w14:paraId="34BF3583" w14:textId="77777777" w:rsidR="00C806DE" w:rsidRPr="00875F19" w:rsidRDefault="00C806DE" w:rsidP="00C806DE">
      <w:pPr>
        <w:ind w:left="851"/>
        <w:rPr>
          <w:sz w:val="24"/>
          <w:szCs w:val="24"/>
          <w:u w:val="single"/>
          <w:lang w:val="nl-NL"/>
        </w:rPr>
      </w:pPr>
      <w:r w:rsidRPr="00875F19">
        <w:rPr>
          <w:sz w:val="24"/>
          <w:szCs w:val="24"/>
          <w:u w:val="single"/>
          <w:lang w:val="nl-NL"/>
        </w:rPr>
        <w:t xml:space="preserve">Monitorering af leverfunktion </w:t>
      </w:r>
    </w:p>
    <w:p w14:paraId="2674C0A0" w14:textId="77777777" w:rsidR="00C806DE" w:rsidRPr="00875F19" w:rsidRDefault="00C806DE" w:rsidP="00C806DE">
      <w:pPr>
        <w:ind w:left="851"/>
        <w:rPr>
          <w:sz w:val="24"/>
          <w:szCs w:val="24"/>
          <w:lang w:val="nl-NL"/>
        </w:rPr>
      </w:pPr>
      <w:r w:rsidRPr="00875F19">
        <w:rPr>
          <w:sz w:val="24"/>
          <w:szCs w:val="24"/>
          <w:lang w:val="nl-NL"/>
        </w:rPr>
        <w:t>Leverfunktionstest skal vurderes i starten af og i løbet af behandlingen med posaconazol. Patienter, som får anormale leverfunktionsværdier under behandling med posaconazol, skal rutinemæssigt monitoreres for at undgå udvikling af mere alvorlig leverskade. Patientbehandlingen bør omfatte laboratoriemæssig evaluering af leverfunktionen (især leverfunktionstest og bilirubin). Hvis der er kliniske tegn og symptomer på udvikling af leversygdom, bør seponering af posaconazol overvejes.</w:t>
      </w:r>
    </w:p>
    <w:p w14:paraId="680E9263" w14:textId="77777777" w:rsidR="00C806DE" w:rsidRPr="00875F19" w:rsidRDefault="00C806DE" w:rsidP="00C806DE">
      <w:pPr>
        <w:ind w:left="851"/>
        <w:rPr>
          <w:sz w:val="24"/>
          <w:szCs w:val="24"/>
          <w:lang w:val="nl-NL"/>
        </w:rPr>
      </w:pPr>
    </w:p>
    <w:p w14:paraId="1212DF1F" w14:textId="77777777" w:rsidR="00C806DE" w:rsidRPr="00875F19" w:rsidRDefault="00C806DE" w:rsidP="00C806DE">
      <w:pPr>
        <w:ind w:left="851"/>
        <w:rPr>
          <w:sz w:val="24"/>
          <w:szCs w:val="24"/>
          <w:u w:val="single"/>
          <w:lang w:val="nl-NL"/>
        </w:rPr>
      </w:pPr>
      <w:r w:rsidRPr="00875F19">
        <w:rPr>
          <w:sz w:val="24"/>
          <w:szCs w:val="24"/>
          <w:u w:val="single"/>
          <w:lang w:val="nl-NL"/>
        </w:rPr>
        <w:t xml:space="preserve">QTc-forlængelse </w:t>
      </w:r>
    </w:p>
    <w:p w14:paraId="7906651A" w14:textId="77777777" w:rsidR="00C806DE" w:rsidRPr="00875F19" w:rsidRDefault="00C806DE" w:rsidP="00C806DE">
      <w:pPr>
        <w:ind w:left="851"/>
        <w:rPr>
          <w:sz w:val="24"/>
          <w:szCs w:val="24"/>
        </w:rPr>
      </w:pPr>
      <w:r w:rsidRPr="00875F19">
        <w:rPr>
          <w:sz w:val="24"/>
          <w:szCs w:val="24"/>
          <w:lang w:val="nl-NL"/>
        </w:rPr>
        <w:t xml:space="preserve">Nogle azoler har været forbundet med forlængelse af QTc-intervallet. Posaconazol må ikke administreres sammen med lægemidler, som er substrater for CYP3A4, og som er kendt for at forlænge QTc-intervallet (se pkt. 4.3 og 4.5). </w:t>
      </w:r>
      <w:r w:rsidRPr="00875F19">
        <w:rPr>
          <w:sz w:val="24"/>
          <w:szCs w:val="24"/>
        </w:rPr>
        <w:t>Posaconazol bør administreres med forsigtighed til patienter med proarytmiske tilstande såsom:</w:t>
      </w:r>
    </w:p>
    <w:p w14:paraId="0561832C" w14:textId="77777777" w:rsidR="00C806DE" w:rsidRPr="00875F19" w:rsidRDefault="00C806DE" w:rsidP="00875F19">
      <w:pPr>
        <w:pStyle w:val="Listeafsnit"/>
        <w:numPr>
          <w:ilvl w:val="0"/>
          <w:numId w:val="15"/>
        </w:numPr>
        <w:spacing w:after="0" w:line="240" w:lineRule="auto"/>
        <w:ind w:left="1276" w:hanging="425"/>
        <w:rPr>
          <w:rFonts w:ascii="Times New Roman" w:hAnsi="Times New Roman" w:cs="Times New Roman"/>
          <w:sz w:val="24"/>
          <w:szCs w:val="24"/>
        </w:rPr>
      </w:pPr>
      <w:r w:rsidRPr="00875F19">
        <w:rPr>
          <w:rFonts w:ascii="Times New Roman" w:hAnsi="Times New Roman" w:cs="Times New Roman"/>
          <w:sz w:val="24"/>
          <w:szCs w:val="24"/>
        </w:rPr>
        <w:t xml:space="preserve">Kongenital eller erhvervet QTc-forlængelse </w:t>
      </w:r>
    </w:p>
    <w:p w14:paraId="08F1D1AE" w14:textId="77777777" w:rsidR="00C806DE" w:rsidRPr="00875F19" w:rsidRDefault="00C806DE" w:rsidP="00875F19">
      <w:pPr>
        <w:pStyle w:val="Listeafsnit"/>
        <w:numPr>
          <w:ilvl w:val="0"/>
          <w:numId w:val="15"/>
        </w:numPr>
        <w:spacing w:after="0" w:line="240" w:lineRule="auto"/>
        <w:ind w:left="1276" w:hanging="425"/>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Kardiomyopati, især hvis hjerteinsufficiens er til stede </w:t>
      </w:r>
    </w:p>
    <w:p w14:paraId="4005B782" w14:textId="77777777" w:rsidR="00C806DE" w:rsidRPr="00875F19" w:rsidRDefault="00C806DE" w:rsidP="00875F19">
      <w:pPr>
        <w:pStyle w:val="Listeafsnit"/>
        <w:numPr>
          <w:ilvl w:val="0"/>
          <w:numId w:val="15"/>
        </w:numPr>
        <w:spacing w:after="0" w:line="240" w:lineRule="auto"/>
        <w:ind w:left="1276" w:hanging="425"/>
        <w:rPr>
          <w:rFonts w:ascii="Times New Roman" w:hAnsi="Times New Roman" w:cs="Times New Roman"/>
          <w:sz w:val="24"/>
          <w:szCs w:val="24"/>
        </w:rPr>
      </w:pPr>
      <w:r w:rsidRPr="00875F19">
        <w:rPr>
          <w:rFonts w:ascii="Times New Roman" w:hAnsi="Times New Roman" w:cs="Times New Roman"/>
          <w:sz w:val="24"/>
          <w:szCs w:val="24"/>
        </w:rPr>
        <w:t xml:space="preserve">Sinusbradykardi </w:t>
      </w:r>
    </w:p>
    <w:p w14:paraId="365DD204" w14:textId="77777777" w:rsidR="00C806DE" w:rsidRPr="00875F19" w:rsidRDefault="00C806DE" w:rsidP="00875F19">
      <w:pPr>
        <w:pStyle w:val="Listeafsnit"/>
        <w:numPr>
          <w:ilvl w:val="0"/>
          <w:numId w:val="15"/>
        </w:numPr>
        <w:spacing w:after="0" w:line="240" w:lineRule="auto"/>
        <w:ind w:left="1276" w:hanging="425"/>
        <w:rPr>
          <w:rFonts w:ascii="Times New Roman" w:hAnsi="Times New Roman" w:cs="Times New Roman"/>
          <w:sz w:val="24"/>
          <w:szCs w:val="24"/>
        </w:rPr>
      </w:pPr>
      <w:r w:rsidRPr="00875F19">
        <w:rPr>
          <w:rFonts w:ascii="Times New Roman" w:hAnsi="Times New Roman" w:cs="Times New Roman"/>
          <w:sz w:val="24"/>
          <w:szCs w:val="24"/>
        </w:rPr>
        <w:t xml:space="preserve">Eksisterende symptomatiske arytmier </w:t>
      </w:r>
    </w:p>
    <w:p w14:paraId="484EAA7C" w14:textId="77777777" w:rsidR="00C806DE" w:rsidRPr="00875F19" w:rsidRDefault="00C806DE" w:rsidP="00875F19">
      <w:pPr>
        <w:pStyle w:val="Listeafsnit"/>
        <w:numPr>
          <w:ilvl w:val="0"/>
          <w:numId w:val="15"/>
        </w:numPr>
        <w:spacing w:after="0" w:line="240" w:lineRule="auto"/>
        <w:ind w:left="1276" w:hanging="425"/>
        <w:rPr>
          <w:rFonts w:ascii="Times New Roman" w:hAnsi="Times New Roman" w:cs="Times New Roman"/>
          <w:sz w:val="24"/>
          <w:szCs w:val="24"/>
          <w:lang w:val="nl-NL"/>
        </w:rPr>
      </w:pPr>
      <w:r w:rsidRPr="00875F19">
        <w:rPr>
          <w:rFonts w:ascii="Times New Roman" w:hAnsi="Times New Roman" w:cs="Times New Roman"/>
          <w:sz w:val="24"/>
          <w:szCs w:val="24"/>
          <w:lang w:val="nl-NL"/>
        </w:rPr>
        <w:t>Samtidig behandling med lægemidler, som er kendt for at forlænge QTc-intervallet (ud over dem, der er nævnt under pkt. 4.3).</w:t>
      </w:r>
    </w:p>
    <w:p w14:paraId="0CEF3862" w14:textId="77777777" w:rsidR="00C806DE" w:rsidRPr="00875F19" w:rsidRDefault="00C806DE" w:rsidP="00C806DE">
      <w:pPr>
        <w:ind w:left="851"/>
        <w:rPr>
          <w:sz w:val="24"/>
          <w:szCs w:val="24"/>
          <w:lang w:val="nl-NL"/>
        </w:rPr>
      </w:pPr>
    </w:p>
    <w:p w14:paraId="5052B934" w14:textId="77777777" w:rsidR="00C806DE" w:rsidRPr="00875F19" w:rsidRDefault="00C806DE" w:rsidP="00C806DE">
      <w:pPr>
        <w:ind w:left="851"/>
        <w:rPr>
          <w:sz w:val="24"/>
          <w:szCs w:val="24"/>
          <w:lang w:val="nl-NL"/>
        </w:rPr>
      </w:pPr>
      <w:r w:rsidRPr="00875F19">
        <w:rPr>
          <w:sz w:val="24"/>
          <w:szCs w:val="24"/>
          <w:lang w:val="nl-NL"/>
        </w:rPr>
        <w:t xml:space="preserve">Elektrolytforstyrrelser, især dem som er forbundet med kalium-, magnesium- eller calciumniveauer, bør monitoreres og korrigeres efter behov før og under behandling med posaconazol. </w:t>
      </w:r>
    </w:p>
    <w:p w14:paraId="1097E32D" w14:textId="77777777" w:rsidR="00C806DE" w:rsidRPr="00875F19" w:rsidRDefault="00C806DE" w:rsidP="00C806DE">
      <w:pPr>
        <w:ind w:left="851"/>
        <w:rPr>
          <w:sz w:val="24"/>
          <w:szCs w:val="24"/>
          <w:lang w:val="nl-NL"/>
        </w:rPr>
      </w:pPr>
      <w:r w:rsidRPr="00875F19">
        <w:rPr>
          <w:sz w:val="24"/>
          <w:szCs w:val="24"/>
          <w:lang w:val="nl-NL"/>
        </w:rPr>
        <w:t>Hos patienter stiger den gennemsnitlige maksimale plasmakoncentration (C</w:t>
      </w:r>
      <w:r w:rsidRPr="00875F19">
        <w:rPr>
          <w:sz w:val="24"/>
          <w:szCs w:val="24"/>
          <w:vertAlign w:val="subscript"/>
          <w:lang w:val="nl-NL"/>
        </w:rPr>
        <w:t>max</w:t>
      </w:r>
      <w:r w:rsidRPr="00875F19">
        <w:rPr>
          <w:sz w:val="24"/>
          <w:szCs w:val="24"/>
          <w:lang w:val="nl-NL"/>
        </w:rPr>
        <w:t>) efter administration af posaconazol koncentrat til infusionsvæske, opløsning 4 gange i forhold til efter administration af oral suspension. En øget effekt på QTc-intervallet kan ikke udelukkes. Der bør udvises særlig forsigtighed i tilfælde, hvor posaconazol administreres perifert, da den anbefalede infusionstid på 30 minutter kan forøge C</w:t>
      </w:r>
      <w:r w:rsidRPr="00875F19">
        <w:rPr>
          <w:sz w:val="24"/>
          <w:szCs w:val="24"/>
          <w:vertAlign w:val="subscript"/>
          <w:lang w:val="nl-NL"/>
        </w:rPr>
        <w:t>max</w:t>
      </w:r>
      <w:r w:rsidRPr="00875F19">
        <w:rPr>
          <w:sz w:val="24"/>
          <w:szCs w:val="24"/>
          <w:lang w:val="nl-NL"/>
        </w:rPr>
        <w:t xml:space="preserve"> yderligere.</w:t>
      </w:r>
    </w:p>
    <w:p w14:paraId="2DF2DC50" w14:textId="77777777" w:rsidR="00C806DE" w:rsidRPr="00875F19" w:rsidRDefault="00C806DE" w:rsidP="00C806DE">
      <w:pPr>
        <w:ind w:left="851"/>
        <w:rPr>
          <w:sz w:val="24"/>
          <w:szCs w:val="24"/>
          <w:lang w:val="nl-NL"/>
        </w:rPr>
      </w:pPr>
    </w:p>
    <w:p w14:paraId="58FAADEC" w14:textId="77777777" w:rsidR="00C806DE" w:rsidRPr="00875F19" w:rsidRDefault="00C806DE" w:rsidP="00C806DE">
      <w:pPr>
        <w:ind w:left="851"/>
        <w:rPr>
          <w:sz w:val="24"/>
          <w:szCs w:val="24"/>
          <w:u w:val="single"/>
          <w:lang w:val="nl-NL"/>
        </w:rPr>
      </w:pPr>
      <w:r w:rsidRPr="00875F19">
        <w:rPr>
          <w:sz w:val="24"/>
          <w:szCs w:val="24"/>
          <w:u w:val="single"/>
          <w:lang w:val="nl-NL"/>
        </w:rPr>
        <w:t xml:space="preserve">Lægemiddelinteraktioner </w:t>
      </w:r>
    </w:p>
    <w:p w14:paraId="23EF0DCE" w14:textId="77777777" w:rsidR="00C806DE" w:rsidRPr="00875F19" w:rsidRDefault="00C806DE" w:rsidP="00C806DE">
      <w:pPr>
        <w:ind w:left="851"/>
        <w:rPr>
          <w:sz w:val="24"/>
          <w:szCs w:val="24"/>
          <w:lang w:val="nl-NL"/>
        </w:rPr>
      </w:pPr>
      <w:r w:rsidRPr="00875F19">
        <w:rPr>
          <w:sz w:val="24"/>
          <w:szCs w:val="24"/>
          <w:lang w:val="nl-NL"/>
        </w:rPr>
        <w:t>Posaconazol er en hæmmer af CYP3A4 og bør kun anvendes under særlige omstændigheder ved behandling med andre lægemidler, som metaboliseres af CYP3A4 (se pkt. 4.5).</w:t>
      </w:r>
    </w:p>
    <w:p w14:paraId="24F14DDC" w14:textId="77777777" w:rsidR="00C806DE" w:rsidRPr="00875F19" w:rsidRDefault="00C806DE" w:rsidP="00C806DE">
      <w:pPr>
        <w:ind w:left="851"/>
        <w:rPr>
          <w:sz w:val="24"/>
          <w:szCs w:val="24"/>
          <w:lang w:val="nl-NL"/>
        </w:rPr>
      </w:pPr>
    </w:p>
    <w:p w14:paraId="5844C956" w14:textId="77777777" w:rsidR="00C806DE" w:rsidRPr="00875F19" w:rsidRDefault="00C806DE" w:rsidP="00C806DE">
      <w:pPr>
        <w:ind w:left="851"/>
        <w:rPr>
          <w:sz w:val="24"/>
          <w:szCs w:val="24"/>
          <w:u w:val="single"/>
          <w:lang w:val="nl-NL"/>
        </w:rPr>
      </w:pPr>
      <w:r w:rsidRPr="00875F19">
        <w:rPr>
          <w:sz w:val="24"/>
          <w:szCs w:val="24"/>
          <w:u w:val="single"/>
          <w:lang w:val="nl-NL"/>
        </w:rPr>
        <w:t xml:space="preserve">Midazolam og andre benzodiazepiner </w:t>
      </w:r>
    </w:p>
    <w:p w14:paraId="61ECCEF8" w14:textId="77777777" w:rsidR="00C806DE" w:rsidRPr="00875F19" w:rsidRDefault="00C806DE" w:rsidP="00C806DE">
      <w:pPr>
        <w:ind w:left="851"/>
        <w:rPr>
          <w:sz w:val="24"/>
          <w:szCs w:val="24"/>
          <w:lang w:val="nl-NL"/>
        </w:rPr>
      </w:pPr>
      <w:r w:rsidRPr="00875F19">
        <w:rPr>
          <w:sz w:val="24"/>
          <w:szCs w:val="24"/>
          <w:lang w:val="nl-NL"/>
        </w:rPr>
        <w:t>Som følge af risikoen for forlænget sedering og mulig respirationsdepression bør samtidig administration af posaconazol og benzodiazepiner, som metaboliseres af CYP3A4 (f.eks. midazolam, triazolam, alprazolam), kun overvejes, hvis det er absolut nødvendigt. Dosisjustering af benzodiazepiner, som metaboliseres af CYP3A4, bør overvejes (se pkt. 4.5).</w:t>
      </w:r>
    </w:p>
    <w:p w14:paraId="54CCDB0E" w14:textId="77777777" w:rsidR="00C806DE" w:rsidRPr="00875F19" w:rsidRDefault="00C806DE" w:rsidP="00C806DE">
      <w:pPr>
        <w:ind w:left="851"/>
        <w:rPr>
          <w:sz w:val="24"/>
          <w:szCs w:val="24"/>
          <w:lang w:val="nl-NL"/>
        </w:rPr>
      </w:pPr>
    </w:p>
    <w:p w14:paraId="51FC958E" w14:textId="77777777" w:rsidR="00C806DE" w:rsidRPr="00875F19" w:rsidRDefault="00C806DE" w:rsidP="00C806DE">
      <w:pPr>
        <w:ind w:left="851"/>
        <w:rPr>
          <w:sz w:val="24"/>
          <w:szCs w:val="24"/>
          <w:u w:val="single"/>
          <w:lang w:val="nl-NL"/>
        </w:rPr>
      </w:pPr>
      <w:r w:rsidRPr="00875F19">
        <w:rPr>
          <w:sz w:val="24"/>
          <w:szCs w:val="24"/>
          <w:u w:val="single"/>
          <w:lang w:val="nl-NL"/>
        </w:rPr>
        <w:t xml:space="preserve">Vincristin-toksicitet </w:t>
      </w:r>
    </w:p>
    <w:p w14:paraId="620250E2" w14:textId="77777777" w:rsidR="00C806DE" w:rsidRPr="00875F19" w:rsidRDefault="00C806DE" w:rsidP="00C806DE">
      <w:pPr>
        <w:ind w:left="851"/>
        <w:rPr>
          <w:sz w:val="24"/>
          <w:szCs w:val="24"/>
          <w:lang w:val="nl-NL"/>
        </w:rPr>
      </w:pPr>
      <w:r w:rsidRPr="00875F19">
        <w:rPr>
          <w:sz w:val="24"/>
          <w:szCs w:val="24"/>
          <w:lang w:val="nl-NL"/>
        </w:rPr>
        <w:t>Samtidig administration af azol-antimykotika, inklusive posaconazol, og vincristin er blevet associeret med neurotoksicitet og andre alvorlige bivirkninger, inklusive krampeanfald, perifer neuropati, syndrom med uhensigtsmæssig sekretion af antidiuretisk hormon og paralytisk ileus. Azolantimykotika, inklusive posaconazol, bør kun anvendes til patienter, der får vinkaalkaloider, inklusive vincristin, og som ikke har andre muligheder for behandling med antimykotika (se pkt. 4.5).</w:t>
      </w:r>
    </w:p>
    <w:p w14:paraId="0DE5E850" w14:textId="77777777" w:rsidR="00C806DE" w:rsidRPr="00875F19" w:rsidRDefault="00C806DE" w:rsidP="00C806DE">
      <w:pPr>
        <w:ind w:left="851"/>
        <w:rPr>
          <w:sz w:val="24"/>
          <w:szCs w:val="24"/>
          <w:lang w:val="nl-NL"/>
        </w:rPr>
      </w:pPr>
    </w:p>
    <w:p w14:paraId="480E025B" w14:textId="77777777" w:rsidR="00C806DE" w:rsidRPr="00875F19" w:rsidRDefault="00C806DE" w:rsidP="00C806DE">
      <w:pPr>
        <w:ind w:left="851"/>
        <w:rPr>
          <w:sz w:val="24"/>
          <w:szCs w:val="24"/>
          <w:u w:val="single"/>
          <w:lang w:val="nl-NL"/>
        </w:rPr>
      </w:pPr>
      <w:r w:rsidRPr="00875F19">
        <w:rPr>
          <w:sz w:val="24"/>
          <w:szCs w:val="24"/>
          <w:u w:val="single"/>
          <w:lang w:val="nl-NL"/>
        </w:rPr>
        <w:t xml:space="preserve">Venetoclax-toksicitet </w:t>
      </w:r>
    </w:p>
    <w:p w14:paraId="5C7D26DD" w14:textId="17528179" w:rsidR="00C806DE" w:rsidRPr="00875F19" w:rsidRDefault="00C806DE" w:rsidP="00C806DE">
      <w:pPr>
        <w:ind w:left="851"/>
        <w:rPr>
          <w:sz w:val="24"/>
          <w:szCs w:val="24"/>
          <w:lang w:val="nl-NL"/>
        </w:rPr>
      </w:pPr>
      <w:r w:rsidRPr="00875F19">
        <w:rPr>
          <w:sz w:val="24"/>
          <w:szCs w:val="24"/>
          <w:lang w:val="nl-NL"/>
        </w:rPr>
        <w:t xml:space="preserve">Samtidig administration af potente CYP3A-hæmmere, inklusive posaconazol, med CYP3A4-substratet venetoclax kan øge toksiciteten af venetoclax, herunder risikoen for tumorlysesyndrom (TLS) og neutropeni (se pkt. 4.3 og 4.5). Se </w:t>
      </w:r>
      <w:r w:rsidR="003F6401">
        <w:rPr>
          <w:sz w:val="24"/>
          <w:szCs w:val="24"/>
          <w:lang w:val="nl-NL"/>
        </w:rPr>
        <w:t xml:space="preserve">produktresumé </w:t>
      </w:r>
      <w:r w:rsidRPr="00875F19">
        <w:rPr>
          <w:sz w:val="24"/>
          <w:szCs w:val="24"/>
          <w:lang w:val="nl-NL"/>
        </w:rPr>
        <w:t>for venetoclax for detaljeret vejledning.</w:t>
      </w:r>
    </w:p>
    <w:p w14:paraId="4848C2E7" w14:textId="77777777" w:rsidR="00C806DE" w:rsidRPr="00875F19" w:rsidRDefault="00C806DE" w:rsidP="00C806DE">
      <w:pPr>
        <w:ind w:left="851"/>
        <w:rPr>
          <w:sz w:val="24"/>
          <w:szCs w:val="24"/>
          <w:lang w:val="nl-NL"/>
        </w:rPr>
      </w:pPr>
    </w:p>
    <w:p w14:paraId="2A69F0DC" w14:textId="77777777" w:rsidR="00C806DE" w:rsidRPr="00875F19" w:rsidRDefault="00C806DE" w:rsidP="00C806DE">
      <w:pPr>
        <w:ind w:left="851"/>
        <w:rPr>
          <w:sz w:val="24"/>
          <w:szCs w:val="24"/>
          <w:u w:val="single"/>
          <w:lang w:val="nl-NL"/>
        </w:rPr>
      </w:pPr>
      <w:r w:rsidRPr="00875F19">
        <w:rPr>
          <w:sz w:val="24"/>
          <w:szCs w:val="24"/>
          <w:u w:val="single"/>
          <w:lang w:val="nl-NL"/>
        </w:rPr>
        <w:t xml:space="preserve">Rifamycin antibakterielle midler (rifampicin, rifabutin), flucloxacillin, visse antiepileptika (phenytoin, carbamazepin, phenobarbital, primidon) og efavirenz </w:t>
      </w:r>
    </w:p>
    <w:p w14:paraId="3D49F2B3" w14:textId="77777777" w:rsidR="00C806DE" w:rsidRPr="00875F19" w:rsidRDefault="00C806DE" w:rsidP="00C806DE">
      <w:pPr>
        <w:ind w:left="851"/>
        <w:rPr>
          <w:sz w:val="24"/>
          <w:szCs w:val="24"/>
          <w:lang w:val="nl-NL"/>
        </w:rPr>
      </w:pPr>
      <w:r w:rsidRPr="00875F19">
        <w:rPr>
          <w:sz w:val="24"/>
          <w:szCs w:val="24"/>
          <w:lang w:val="nl-NL"/>
        </w:rPr>
        <w:t>Koncentrationen af posaconazol kan være betydeligt nedsat ved kombination. Samtidig behandling med posaconazol bør derfor undgås, medmindre fordelen for patienten opvejer risikoen (se pkt. 4.5).</w:t>
      </w:r>
    </w:p>
    <w:p w14:paraId="58F0A181" w14:textId="77777777" w:rsidR="00C806DE" w:rsidRPr="00875F19" w:rsidRDefault="00C806DE" w:rsidP="00C806DE">
      <w:pPr>
        <w:ind w:left="851"/>
        <w:rPr>
          <w:sz w:val="24"/>
          <w:szCs w:val="24"/>
          <w:lang w:val="nl-NL"/>
        </w:rPr>
      </w:pPr>
    </w:p>
    <w:p w14:paraId="2270C1F5" w14:textId="77777777" w:rsidR="00C806DE" w:rsidRPr="00875F19" w:rsidRDefault="00C806DE" w:rsidP="00C806DE">
      <w:pPr>
        <w:ind w:left="851"/>
        <w:rPr>
          <w:sz w:val="24"/>
          <w:szCs w:val="24"/>
          <w:u w:val="single"/>
          <w:lang w:val="nl-NL"/>
        </w:rPr>
      </w:pPr>
      <w:r w:rsidRPr="00875F19">
        <w:rPr>
          <w:sz w:val="24"/>
          <w:szCs w:val="24"/>
          <w:u w:val="single"/>
          <w:lang w:val="nl-NL"/>
        </w:rPr>
        <w:t xml:space="preserve">Plasmaeksponering </w:t>
      </w:r>
    </w:p>
    <w:p w14:paraId="5ACDA3A7" w14:textId="77777777" w:rsidR="00C806DE" w:rsidRPr="00875F19" w:rsidRDefault="00C806DE" w:rsidP="00C806DE">
      <w:pPr>
        <w:ind w:left="851"/>
        <w:rPr>
          <w:sz w:val="24"/>
          <w:szCs w:val="24"/>
          <w:lang w:val="nl-NL"/>
        </w:rPr>
      </w:pPr>
      <w:r w:rsidRPr="00875F19">
        <w:rPr>
          <w:sz w:val="24"/>
          <w:szCs w:val="24"/>
          <w:lang w:val="nl-NL"/>
        </w:rPr>
        <w:t>Plasmakoncentrationen er generelt højere efter administration af posaconazol intravenøs koncentrat til infusionsvæske, opløsning end efter administration af posaconazol oral suspension. Plasmakoncentrationen af posaconazol efter administration af posaconazol kan med tiden stige hos nogle patienter (se pkt. 5.2).</w:t>
      </w:r>
    </w:p>
    <w:p w14:paraId="1E0C1ABB" w14:textId="77777777" w:rsidR="00C806DE" w:rsidRPr="00875F19" w:rsidRDefault="00C806DE" w:rsidP="00C806DE">
      <w:pPr>
        <w:ind w:left="851"/>
        <w:rPr>
          <w:sz w:val="24"/>
          <w:szCs w:val="24"/>
          <w:lang w:val="nl-NL"/>
        </w:rPr>
      </w:pPr>
    </w:p>
    <w:p w14:paraId="516A4256" w14:textId="77777777" w:rsidR="00C806DE" w:rsidRPr="00875F19" w:rsidRDefault="00C806DE" w:rsidP="00C806DE">
      <w:pPr>
        <w:ind w:left="851"/>
        <w:rPr>
          <w:sz w:val="24"/>
          <w:szCs w:val="24"/>
          <w:u w:val="single"/>
          <w:lang w:val="nl-NL"/>
        </w:rPr>
      </w:pPr>
      <w:r w:rsidRPr="00875F19">
        <w:rPr>
          <w:sz w:val="24"/>
          <w:szCs w:val="24"/>
          <w:u w:val="single"/>
          <w:lang w:val="nl-NL"/>
        </w:rPr>
        <w:t xml:space="preserve">Tromboemboliske hændelser </w:t>
      </w:r>
    </w:p>
    <w:p w14:paraId="747FC53D" w14:textId="77777777" w:rsidR="00C806DE" w:rsidRPr="00875F19" w:rsidRDefault="00C806DE" w:rsidP="00C806DE">
      <w:pPr>
        <w:ind w:left="851"/>
        <w:rPr>
          <w:sz w:val="24"/>
          <w:szCs w:val="24"/>
          <w:lang w:val="nl-NL"/>
        </w:rPr>
      </w:pPr>
      <w:r w:rsidRPr="00875F19">
        <w:rPr>
          <w:sz w:val="24"/>
          <w:szCs w:val="24"/>
          <w:lang w:val="nl-NL"/>
        </w:rPr>
        <w:t>Tromboemboliske hændelser er blevet identificeret som en potentiel risiko ved posaconazol intravenøs koncentrat til infusionsvæske, men er ikke set i kliniske studier. Tromboflebitis er set i kliniske studier. Forsigtighed er påkrævet ved alle tegn eller symptomer på tromboemboliske hændelser (se pkt. 4.8 og 5.3).</w:t>
      </w:r>
    </w:p>
    <w:p w14:paraId="64BEB9DB" w14:textId="77777777" w:rsidR="00C806DE" w:rsidRPr="00875F19" w:rsidRDefault="00C806DE" w:rsidP="00C806DE">
      <w:pPr>
        <w:ind w:left="851"/>
        <w:rPr>
          <w:sz w:val="24"/>
          <w:szCs w:val="24"/>
          <w:lang w:val="nl-NL"/>
        </w:rPr>
      </w:pPr>
    </w:p>
    <w:p w14:paraId="03ECFAC7" w14:textId="77777777" w:rsidR="00C806DE" w:rsidRPr="00875F19" w:rsidRDefault="00C806DE" w:rsidP="00C806DE">
      <w:pPr>
        <w:ind w:left="851"/>
        <w:rPr>
          <w:sz w:val="24"/>
          <w:szCs w:val="24"/>
          <w:u w:val="single"/>
          <w:lang w:val="nl-NL"/>
        </w:rPr>
      </w:pPr>
      <w:r w:rsidRPr="00875F19">
        <w:rPr>
          <w:sz w:val="24"/>
          <w:szCs w:val="24"/>
          <w:u w:val="single"/>
          <w:lang w:val="nl-NL"/>
        </w:rPr>
        <w:t xml:space="preserve">Lysfølsomhedsreaktion </w:t>
      </w:r>
    </w:p>
    <w:p w14:paraId="355D4D34" w14:textId="77777777" w:rsidR="00C806DE" w:rsidRPr="00875F19" w:rsidRDefault="00C806DE" w:rsidP="00C806DE">
      <w:pPr>
        <w:ind w:left="851"/>
        <w:rPr>
          <w:sz w:val="24"/>
          <w:szCs w:val="24"/>
          <w:lang w:val="nl-NL"/>
        </w:rPr>
      </w:pPr>
      <w:r w:rsidRPr="00875F19">
        <w:rPr>
          <w:sz w:val="24"/>
          <w:szCs w:val="24"/>
          <w:lang w:val="nl-NL"/>
        </w:rPr>
        <w:t>Posaconazol kan medføre øget risiko for lysfølsomhedsreaktion. Patienter skal rådes til at undgå eksponering for sollys uden tilstrækkelig solbeskyttelse såsom beskyttende tøj og solcreme med en høj solbeskyttelsesfaktor (SPF) under behandlingen.</w:t>
      </w:r>
    </w:p>
    <w:p w14:paraId="5767A479" w14:textId="533DAD43" w:rsidR="003F6401" w:rsidRDefault="003F6401">
      <w:pPr>
        <w:rPr>
          <w:sz w:val="24"/>
          <w:szCs w:val="24"/>
          <w:lang w:val="nl-NL"/>
        </w:rPr>
      </w:pPr>
      <w:r>
        <w:rPr>
          <w:sz w:val="24"/>
          <w:szCs w:val="24"/>
          <w:lang w:val="nl-NL"/>
        </w:rPr>
        <w:br w:type="page"/>
      </w:r>
    </w:p>
    <w:p w14:paraId="002CC6EC" w14:textId="77777777" w:rsidR="00C806DE" w:rsidRPr="00875F19" w:rsidRDefault="00C806DE" w:rsidP="00C806DE">
      <w:pPr>
        <w:ind w:left="851"/>
        <w:rPr>
          <w:sz w:val="24"/>
          <w:szCs w:val="24"/>
          <w:lang w:val="nl-NL"/>
        </w:rPr>
      </w:pPr>
    </w:p>
    <w:p w14:paraId="3E1D94F7" w14:textId="77777777" w:rsidR="00C806DE" w:rsidRPr="00875F19" w:rsidRDefault="00C806DE" w:rsidP="00C806DE">
      <w:pPr>
        <w:ind w:left="851"/>
        <w:rPr>
          <w:sz w:val="24"/>
          <w:szCs w:val="24"/>
          <w:u w:val="single"/>
          <w:lang w:val="nl-NL"/>
        </w:rPr>
      </w:pPr>
      <w:r w:rsidRPr="00875F19">
        <w:rPr>
          <w:sz w:val="24"/>
          <w:szCs w:val="24"/>
          <w:u w:val="single"/>
          <w:lang w:val="nl-NL"/>
        </w:rPr>
        <w:t xml:space="preserve">Natrium </w:t>
      </w:r>
    </w:p>
    <w:p w14:paraId="0FE8ADDC" w14:textId="77777777" w:rsidR="00C806DE" w:rsidRPr="00875F19" w:rsidRDefault="00C806DE" w:rsidP="00C806DE">
      <w:pPr>
        <w:ind w:left="851"/>
        <w:rPr>
          <w:sz w:val="24"/>
          <w:szCs w:val="24"/>
          <w:lang w:val="nl-NL"/>
        </w:rPr>
      </w:pPr>
      <w:r w:rsidRPr="00875F19">
        <w:rPr>
          <w:sz w:val="24"/>
          <w:szCs w:val="24"/>
          <w:lang w:val="nl-NL"/>
        </w:rPr>
        <w:t xml:space="preserve">Dette lægemiddel indeholder 462 mg (20 mmol) natrium pr. hætteglas, svarende til 23% af den WHO anbefalede maksimale daglige indtagelse af natrium. </w:t>
      </w:r>
    </w:p>
    <w:p w14:paraId="6C629A80" w14:textId="3C13BC00" w:rsidR="00C806DE" w:rsidRPr="00875F19" w:rsidRDefault="00C806DE" w:rsidP="00C806DE">
      <w:pPr>
        <w:ind w:left="851"/>
        <w:rPr>
          <w:sz w:val="24"/>
          <w:szCs w:val="24"/>
          <w:lang w:val="nl-NL"/>
        </w:rPr>
      </w:pPr>
      <w:r w:rsidRPr="00875F19">
        <w:rPr>
          <w:sz w:val="24"/>
          <w:szCs w:val="24"/>
          <w:lang w:val="nl-NL"/>
        </w:rPr>
        <w:t>Den maksimale daglige dosis af dette produkt svarer til 46</w:t>
      </w:r>
      <w:r w:rsidR="00BC713B">
        <w:rPr>
          <w:sz w:val="24"/>
          <w:szCs w:val="24"/>
          <w:lang w:val="nl-NL"/>
        </w:rPr>
        <w:t xml:space="preserve"> </w:t>
      </w:r>
      <w:r w:rsidRPr="00875F19">
        <w:rPr>
          <w:sz w:val="24"/>
          <w:szCs w:val="24"/>
          <w:lang w:val="nl-NL"/>
        </w:rPr>
        <w:t xml:space="preserve">% af den WHO anbefalede maksimale daglige indtagelse for natrium. </w:t>
      </w:r>
    </w:p>
    <w:p w14:paraId="1DCE0894" w14:textId="6A5655FF" w:rsidR="00C806DE" w:rsidRPr="00875F19" w:rsidRDefault="00C806DE" w:rsidP="00C806DE">
      <w:pPr>
        <w:ind w:left="851"/>
        <w:rPr>
          <w:sz w:val="24"/>
          <w:szCs w:val="24"/>
        </w:rPr>
      </w:pPr>
      <w:r w:rsidRPr="00875F19">
        <w:rPr>
          <w:sz w:val="24"/>
          <w:szCs w:val="24"/>
        </w:rPr>
        <w:t xml:space="preserve">Posaconazole </w:t>
      </w:r>
      <w:r w:rsidR="003F6401">
        <w:rPr>
          <w:sz w:val="24"/>
          <w:szCs w:val="24"/>
        </w:rPr>
        <w:t>"Amarox"</w:t>
      </w:r>
      <w:r w:rsidRPr="00875F19">
        <w:rPr>
          <w:sz w:val="24"/>
          <w:szCs w:val="24"/>
        </w:rPr>
        <w:t xml:space="preserve"> 300 mg koncentrat til infusionsvæske, opløsning anses for at have et højt indhold af natrium. Der skal især tages højde for dette hos patienter, som er på en diæt med lavt saltindhold.</w:t>
      </w:r>
    </w:p>
    <w:p w14:paraId="042BD4C9" w14:textId="77777777" w:rsidR="00C806DE" w:rsidRPr="00875F19" w:rsidRDefault="00C806DE" w:rsidP="00C806DE">
      <w:pPr>
        <w:ind w:left="851"/>
        <w:rPr>
          <w:sz w:val="24"/>
          <w:szCs w:val="24"/>
        </w:rPr>
      </w:pPr>
    </w:p>
    <w:p w14:paraId="6AFBC053" w14:textId="77777777" w:rsidR="004D0FCB" w:rsidRPr="004D0FCB" w:rsidRDefault="00C806DE" w:rsidP="00C806DE">
      <w:pPr>
        <w:ind w:left="851"/>
        <w:rPr>
          <w:sz w:val="24"/>
          <w:szCs w:val="24"/>
          <w:u w:val="single"/>
        </w:rPr>
      </w:pPr>
      <w:r w:rsidRPr="004D0FCB">
        <w:rPr>
          <w:sz w:val="24"/>
          <w:szCs w:val="24"/>
          <w:u w:val="single"/>
        </w:rPr>
        <w:t>Sulfobutylether-beta-cyclodextrinnatrium</w:t>
      </w:r>
    </w:p>
    <w:p w14:paraId="208ECD48" w14:textId="0BB3D1C8" w:rsidR="00C806DE" w:rsidRPr="00875F19" w:rsidRDefault="00C806DE" w:rsidP="00C806DE">
      <w:pPr>
        <w:ind w:left="851"/>
        <w:rPr>
          <w:sz w:val="24"/>
          <w:szCs w:val="24"/>
        </w:rPr>
      </w:pPr>
      <w:r w:rsidRPr="00875F19">
        <w:rPr>
          <w:sz w:val="24"/>
          <w:szCs w:val="24"/>
        </w:rPr>
        <w:t xml:space="preserve">Dette lægemiddel indeholder 6,68 g </w:t>
      </w:r>
      <w:r w:rsidR="003F6401">
        <w:rPr>
          <w:sz w:val="24"/>
          <w:szCs w:val="24"/>
        </w:rPr>
        <w:t>s</w:t>
      </w:r>
      <w:r w:rsidRPr="00875F19">
        <w:rPr>
          <w:sz w:val="24"/>
          <w:szCs w:val="24"/>
        </w:rPr>
        <w:t>ulfobutylether-beta-cyclodextrinnatrium i hvert hætteglas, hvilket svarer til 6,68 g/16,7 ml.</w:t>
      </w:r>
    </w:p>
    <w:p w14:paraId="20081A6E" w14:textId="77777777" w:rsidR="009260DE" w:rsidRPr="00875F19" w:rsidRDefault="009260DE" w:rsidP="009260DE">
      <w:pPr>
        <w:tabs>
          <w:tab w:val="left" w:pos="851"/>
        </w:tabs>
        <w:ind w:left="851"/>
        <w:rPr>
          <w:sz w:val="24"/>
          <w:szCs w:val="24"/>
        </w:rPr>
      </w:pPr>
    </w:p>
    <w:p w14:paraId="71EAB1D8" w14:textId="77777777" w:rsidR="009260DE" w:rsidRPr="00875F19" w:rsidRDefault="009260DE" w:rsidP="009260DE">
      <w:pPr>
        <w:tabs>
          <w:tab w:val="left" w:pos="851"/>
        </w:tabs>
        <w:ind w:left="851" w:hanging="851"/>
        <w:rPr>
          <w:b/>
          <w:sz w:val="24"/>
          <w:szCs w:val="24"/>
        </w:rPr>
      </w:pPr>
      <w:r w:rsidRPr="00875F19">
        <w:rPr>
          <w:b/>
          <w:sz w:val="24"/>
          <w:szCs w:val="24"/>
        </w:rPr>
        <w:t>4.5</w:t>
      </w:r>
      <w:r w:rsidRPr="00875F19">
        <w:rPr>
          <w:b/>
          <w:sz w:val="24"/>
          <w:szCs w:val="24"/>
        </w:rPr>
        <w:tab/>
        <w:t>Interaktion med andre lægemidler og andre former for interaktion</w:t>
      </w:r>
    </w:p>
    <w:p w14:paraId="6E4A40F0" w14:textId="77777777" w:rsidR="00C806DE" w:rsidRPr="00875F19" w:rsidRDefault="00C806DE" w:rsidP="00C806DE">
      <w:pPr>
        <w:ind w:left="851"/>
        <w:rPr>
          <w:sz w:val="24"/>
          <w:szCs w:val="24"/>
        </w:rPr>
      </w:pPr>
      <w:r w:rsidRPr="00875F19">
        <w:rPr>
          <w:sz w:val="24"/>
          <w:szCs w:val="24"/>
        </w:rPr>
        <w:t>Følgende oplysninger er udledt fra data med posaconazol oral suspension eller den tidlige tabletformulering. Alle interaktioner, som posaconazol oral suspension har med andre lægemidler, bortset fra de interaktioner, der påvirker posaconazols absorption (via gastrisk pH-værdi og motilitet), anses for også at være relevante for posaconazol koncentrat til infusionsvæske, opløsning.</w:t>
      </w:r>
    </w:p>
    <w:p w14:paraId="31AA1958" w14:textId="77777777" w:rsidR="00C806DE" w:rsidRPr="00875F19" w:rsidRDefault="00C806DE" w:rsidP="00C806DE">
      <w:pPr>
        <w:ind w:left="851"/>
        <w:rPr>
          <w:sz w:val="24"/>
          <w:szCs w:val="24"/>
        </w:rPr>
      </w:pPr>
    </w:p>
    <w:p w14:paraId="659B1D02" w14:textId="77777777" w:rsidR="00C806DE" w:rsidRPr="00875F19" w:rsidRDefault="00C806DE" w:rsidP="00C806DE">
      <w:pPr>
        <w:ind w:left="851"/>
        <w:rPr>
          <w:sz w:val="24"/>
          <w:szCs w:val="24"/>
          <w:u w:val="single"/>
        </w:rPr>
      </w:pPr>
      <w:r w:rsidRPr="00875F19">
        <w:rPr>
          <w:sz w:val="24"/>
          <w:szCs w:val="24"/>
          <w:u w:val="single"/>
        </w:rPr>
        <w:t xml:space="preserve">Andre lægemidlers virkning på posaconazol </w:t>
      </w:r>
    </w:p>
    <w:p w14:paraId="0AB4BFFA" w14:textId="77777777" w:rsidR="00C806DE" w:rsidRPr="00875F19" w:rsidRDefault="00C806DE" w:rsidP="00C806DE">
      <w:pPr>
        <w:ind w:left="851"/>
        <w:rPr>
          <w:sz w:val="24"/>
          <w:szCs w:val="24"/>
        </w:rPr>
      </w:pPr>
      <w:r w:rsidRPr="00875F19">
        <w:rPr>
          <w:sz w:val="24"/>
          <w:szCs w:val="24"/>
        </w:rPr>
        <w:t xml:space="preserve">Posaconazol metaboliseres via UDP-glukuronidering (fase 2 enzymer) og er et substrat for pglykoprotein (P-gp) efflux </w:t>
      </w:r>
      <w:r w:rsidRPr="00875F19">
        <w:rPr>
          <w:i/>
          <w:iCs/>
          <w:sz w:val="24"/>
          <w:szCs w:val="24"/>
        </w:rPr>
        <w:t>in vitro</w:t>
      </w:r>
      <w:r w:rsidRPr="00875F19">
        <w:rPr>
          <w:sz w:val="24"/>
          <w:szCs w:val="24"/>
        </w:rPr>
        <w:t>. Hæmmere (f.eks. verapamil, ciclosporin, quinidin, chlarithromycin, erythromycin osv.) eller induktorer (f.eks. rifampicin, rifabutin, visse antiepileptika osv.) af disse eliminationsveje kan således henholdsvis forhøje eller nedsætte plasmakoncentrationerne af posaconazol.</w:t>
      </w:r>
    </w:p>
    <w:p w14:paraId="5335A306" w14:textId="77777777" w:rsidR="00C806DE" w:rsidRPr="00875F19" w:rsidRDefault="00C806DE" w:rsidP="00C806DE">
      <w:pPr>
        <w:ind w:left="851"/>
        <w:rPr>
          <w:sz w:val="24"/>
          <w:szCs w:val="24"/>
        </w:rPr>
      </w:pPr>
    </w:p>
    <w:p w14:paraId="4BBC08C7" w14:textId="77777777" w:rsidR="00C806DE" w:rsidRPr="00875F19" w:rsidRDefault="00C806DE" w:rsidP="00C806DE">
      <w:pPr>
        <w:ind w:left="851"/>
        <w:rPr>
          <w:i/>
          <w:iCs/>
          <w:sz w:val="24"/>
          <w:szCs w:val="24"/>
        </w:rPr>
      </w:pPr>
      <w:r w:rsidRPr="00875F19">
        <w:rPr>
          <w:i/>
          <w:iCs/>
          <w:sz w:val="24"/>
          <w:szCs w:val="24"/>
        </w:rPr>
        <w:t xml:space="preserve">Rifabutin </w:t>
      </w:r>
    </w:p>
    <w:p w14:paraId="07A98DD7" w14:textId="77777777" w:rsidR="00C806DE" w:rsidRPr="00875F19" w:rsidRDefault="00C806DE" w:rsidP="00C806DE">
      <w:pPr>
        <w:ind w:left="851"/>
        <w:rPr>
          <w:sz w:val="24"/>
          <w:szCs w:val="24"/>
          <w:lang w:val="nl-NL"/>
        </w:rPr>
      </w:pPr>
      <w:r w:rsidRPr="00875F19">
        <w:rPr>
          <w:sz w:val="24"/>
          <w:szCs w:val="24"/>
        </w:rPr>
        <w:t>Rifabutin (300 mg en gang dagligt) nedsatte C</w:t>
      </w:r>
      <w:r w:rsidRPr="00875F19">
        <w:rPr>
          <w:sz w:val="24"/>
          <w:szCs w:val="24"/>
          <w:vertAlign w:val="subscript"/>
        </w:rPr>
        <w:t>max</w:t>
      </w:r>
      <w:r w:rsidRPr="00875F19">
        <w:rPr>
          <w:sz w:val="24"/>
          <w:szCs w:val="24"/>
        </w:rPr>
        <w:t xml:space="preserve"> (maksimal plasmakoncentration) og AUC (arealet under kurven for plasmakoncentration som funktion af tiden) for posaconazol til henholdsvis 57 % og 51 %. Samtidig administration af posaconazol og rifabutin og lignende induktorer (f.eks. rifampicin) bør undgås, medmindre fordelen for patienten opvejer risikoen. </w:t>
      </w:r>
      <w:r w:rsidRPr="00875F19">
        <w:rPr>
          <w:sz w:val="24"/>
          <w:szCs w:val="24"/>
          <w:lang w:val="nl-NL"/>
        </w:rPr>
        <w:t>Se også nedenfor vedrørende virkningen af posaconazol på plasmaniveauer af rifabutin.</w:t>
      </w:r>
    </w:p>
    <w:p w14:paraId="0EB338E4" w14:textId="77777777" w:rsidR="00C806DE" w:rsidRPr="00875F19" w:rsidRDefault="00C806DE" w:rsidP="00C806DE">
      <w:pPr>
        <w:ind w:left="851"/>
        <w:rPr>
          <w:sz w:val="24"/>
          <w:szCs w:val="24"/>
          <w:lang w:val="nl-NL"/>
        </w:rPr>
      </w:pPr>
    </w:p>
    <w:p w14:paraId="0C9A36C2" w14:textId="77777777" w:rsidR="00C806DE" w:rsidRPr="00875F19" w:rsidRDefault="00C806DE" w:rsidP="00C806DE">
      <w:pPr>
        <w:ind w:left="851"/>
        <w:rPr>
          <w:i/>
          <w:iCs/>
          <w:sz w:val="24"/>
          <w:szCs w:val="24"/>
          <w:lang w:val="nl-NL"/>
        </w:rPr>
      </w:pPr>
      <w:r w:rsidRPr="00875F19">
        <w:rPr>
          <w:i/>
          <w:iCs/>
          <w:sz w:val="24"/>
          <w:szCs w:val="24"/>
          <w:lang w:val="nl-NL"/>
        </w:rPr>
        <w:t xml:space="preserve">Flucloxacillin </w:t>
      </w:r>
    </w:p>
    <w:p w14:paraId="13335F3C" w14:textId="77777777" w:rsidR="00C806DE" w:rsidRPr="00875F19" w:rsidRDefault="00C806DE" w:rsidP="00C806DE">
      <w:pPr>
        <w:ind w:left="851"/>
        <w:rPr>
          <w:sz w:val="24"/>
          <w:szCs w:val="24"/>
          <w:lang w:val="nl-NL"/>
        </w:rPr>
      </w:pPr>
      <w:r w:rsidRPr="00875F19">
        <w:rPr>
          <w:sz w:val="24"/>
          <w:szCs w:val="24"/>
          <w:lang w:val="nl-NL"/>
        </w:rPr>
        <w:t>Flucloxacillin (en CYP450-induktor) kan nedsætte plasmakoncentrationen af posaconazol. Samtidig anvendelse af posaconazol og flucloxacillin bør undgås, medmindre fordelen for patienten opvejer risikoen (se pkt. 4.4).</w:t>
      </w:r>
    </w:p>
    <w:p w14:paraId="34D94176" w14:textId="77777777" w:rsidR="00C806DE" w:rsidRPr="00875F19" w:rsidRDefault="00C806DE" w:rsidP="00C806DE">
      <w:pPr>
        <w:ind w:left="851"/>
        <w:rPr>
          <w:sz w:val="24"/>
          <w:szCs w:val="24"/>
          <w:lang w:val="nl-NL"/>
        </w:rPr>
      </w:pPr>
    </w:p>
    <w:p w14:paraId="0DB11C58" w14:textId="77777777" w:rsidR="00C806DE" w:rsidRPr="00875F19" w:rsidRDefault="00C806DE" w:rsidP="00C806DE">
      <w:pPr>
        <w:ind w:left="851"/>
        <w:rPr>
          <w:i/>
          <w:iCs/>
          <w:sz w:val="24"/>
          <w:szCs w:val="24"/>
          <w:lang w:val="nl-NL"/>
        </w:rPr>
      </w:pPr>
      <w:r w:rsidRPr="00875F19">
        <w:rPr>
          <w:i/>
          <w:iCs/>
          <w:sz w:val="24"/>
          <w:szCs w:val="24"/>
          <w:lang w:val="nl-NL"/>
        </w:rPr>
        <w:t xml:space="preserve">Efavirenz </w:t>
      </w:r>
    </w:p>
    <w:p w14:paraId="5E991297" w14:textId="77777777" w:rsidR="00C806DE" w:rsidRPr="00875F19" w:rsidRDefault="00C806DE" w:rsidP="00C806DE">
      <w:pPr>
        <w:ind w:left="851"/>
        <w:rPr>
          <w:sz w:val="24"/>
          <w:szCs w:val="24"/>
          <w:lang w:val="nl-NL"/>
        </w:rPr>
      </w:pPr>
      <w:r w:rsidRPr="00875F19">
        <w:rPr>
          <w:sz w:val="24"/>
          <w:szCs w:val="24"/>
          <w:lang w:val="nl-NL"/>
        </w:rPr>
        <w:t>Efavirenz (400 mg en gang dagligt) nedsatte C</w:t>
      </w:r>
      <w:r w:rsidRPr="00875F19">
        <w:rPr>
          <w:sz w:val="24"/>
          <w:szCs w:val="24"/>
          <w:vertAlign w:val="subscript"/>
          <w:lang w:val="nl-NL"/>
        </w:rPr>
        <w:t>max</w:t>
      </w:r>
      <w:r w:rsidRPr="00875F19">
        <w:rPr>
          <w:sz w:val="24"/>
          <w:szCs w:val="24"/>
          <w:lang w:val="nl-NL"/>
        </w:rPr>
        <w:t xml:space="preserve"> og AUC for posaconazol med henholdsvis 45 % og 50 %. Samtidig anvendelse af posaconazol og efavirenz bør undgås, medmindre fordelen for patienten opvejer risikoen.</w:t>
      </w:r>
    </w:p>
    <w:p w14:paraId="316B14A8" w14:textId="77777777" w:rsidR="00C806DE" w:rsidRPr="00875F19" w:rsidRDefault="00C806DE" w:rsidP="00C806DE">
      <w:pPr>
        <w:ind w:left="851"/>
        <w:rPr>
          <w:sz w:val="24"/>
          <w:szCs w:val="24"/>
          <w:lang w:val="nl-NL"/>
        </w:rPr>
      </w:pPr>
    </w:p>
    <w:p w14:paraId="740436C9" w14:textId="77777777" w:rsidR="00C806DE" w:rsidRPr="00875F19" w:rsidRDefault="00C806DE" w:rsidP="00C806DE">
      <w:pPr>
        <w:ind w:left="851"/>
        <w:rPr>
          <w:i/>
          <w:iCs/>
          <w:sz w:val="24"/>
          <w:szCs w:val="24"/>
          <w:lang w:val="nl-NL"/>
        </w:rPr>
      </w:pPr>
      <w:r w:rsidRPr="00875F19">
        <w:rPr>
          <w:i/>
          <w:iCs/>
          <w:sz w:val="24"/>
          <w:szCs w:val="24"/>
          <w:lang w:val="nl-NL"/>
        </w:rPr>
        <w:t xml:space="preserve">Fosamprenavir </w:t>
      </w:r>
    </w:p>
    <w:p w14:paraId="60B6C157" w14:textId="77777777" w:rsidR="00C806DE" w:rsidRPr="00875F19" w:rsidRDefault="00C806DE" w:rsidP="00C806DE">
      <w:pPr>
        <w:ind w:left="851"/>
        <w:rPr>
          <w:sz w:val="24"/>
          <w:szCs w:val="24"/>
          <w:lang w:val="nl-NL"/>
        </w:rPr>
      </w:pPr>
      <w:r w:rsidRPr="00875F19">
        <w:rPr>
          <w:sz w:val="24"/>
          <w:szCs w:val="24"/>
          <w:lang w:val="nl-NL"/>
        </w:rPr>
        <w:t>Kombination af fosamprenavir og posaconazol kan medføre lavere plasmakoncentration af posaconazol. Hvis samtidig administration er nødvendig, tilrådes nøje monitorering for tilbagevendende svampeinfektioner. Gentagne doser af fosamprenavir (700 mg to gange dagligt i 10 dage) nedsatte C</w:t>
      </w:r>
      <w:r w:rsidRPr="00875F19">
        <w:rPr>
          <w:sz w:val="24"/>
          <w:szCs w:val="24"/>
          <w:vertAlign w:val="subscript"/>
          <w:lang w:val="nl-NL"/>
        </w:rPr>
        <w:t>max</w:t>
      </w:r>
      <w:r w:rsidRPr="00875F19">
        <w:rPr>
          <w:sz w:val="24"/>
          <w:szCs w:val="24"/>
          <w:lang w:val="nl-NL"/>
        </w:rPr>
        <w:t xml:space="preserve"> og AUC for posaconazol oral suspension (200 mg en gang </w:t>
      </w:r>
      <w:r w:rsidRPr="00875F19">
        <w:rPr>
          <w:sz w:val="24"/>
          <w:szCs w:val="24"/>
          <w:lang w:val="nl-NL"/>
        </w:rPr>
        <w:lastRenderedPageBreak/>
        <w:t>dagligt på dag 1, 200 mg to gange dagligt på dag 2, derefter 400 mg to gange dagligt i 8 dage) med henholdsvis 21 % og 23 %. Posaconazols virkning på fosamprenavir-niveauet, når fosamprenavir gives sammen med ritonavir, er ikke kendt.</w:t>
      </w:r>
    </w:p>
    <w:p w14:paraId="5E241E6A" w14:textId="77777777" w:rsidR="00C806DE" w:rsidRPr="00875F19" w:rsidRDefault="00C806DE" w:rsidP="00C806DE">
      <w:pPr>
        <w:ind w:left="851"/>
        <w:rPr>
          <w:sz w:val="24"/>
          <w:szCs w:val="24"/>
          <w:lang w:val="nl-NL"/>
        </w:rPr>
      </w:pPr>
    </w:p>
    <w:p w14:paraId="2AAFB35B" w14:textId="77777777" w:rsidR="00C806DE" w:rsidRPr="00875F19" w:rsidRDefault="00C806DE" w:rsidP="00C806DE">
      <w:pPr>
        <w:ind w:left="851"/>
        <w:rPr>
          <w:i/>
          <w:iCs/>
          <w:sz w:val="24"/>
          <w:szCs w:val="24"/>
          <w:lang w:val="nl-NL"/>
        </w:rPr>
      </w:pPr>
      <w:r w:rsidRPr="00875F19">
        <w:rPr>
          <w:i/>
          <w:iCs/>
          <w:sz w:val="24"/>
          <w:szCs w:val="24"/>
          <w:lang w:val="nl-NL"/>
        </w:rPr>
        <w:t xml:space="preserve">Phenytoin </w:t>
      </w:r>
    </w:p>
    <w:p w14:paraId="318084A6" w14:textId="77777777" w:rsidR="00C806DE" w:rsidRPr="00875F19" w:rsidRDefault="00C806DE" w:rsidP="00C806DE">
      <w:pPr>
        <w:ind w:left="851"/>
        <w:rPr>
          <w:sz w:val="24"/>
          <w:szCs w:val="24"/>
          <w:lang w:val="nl-NL"/>
        </w:rPr>
      </w:pPr>
      <w:r w:rsidRPr="00875F19">
        <w:rPr>
          <w:sz w:val="24"/>
          <w:szCs w:val="24"/>
          <w:lang w:val="nl-NL"/>
        </w:rPr>
        <w:t>Phenytoin (200 mg en gang dagligt) nedsatte C</w:t>
      </w:r>
      <w:r w:rsidRPr="00875F19">
        <w:rPr>
          <w:sz w:val="24"/>
          <w:szCs w:val="24"/>
          <w:vertAlign w:val="subscript"/>
          <w:lang w:val="nl-NL"/>
        </w:rPr>
        <w:t xml:space="preserve">max </w:t>
      </w:r>
      <w:r w:rsidRPr="00875F19">
        <w:rPr>
          <w:sz w:val="24"/>
          <w:szCs w:val="24"/>
          <w:lang w:val="nl-NL"/>
        </w:rPr>
        <w:t>og AUC for posaconazol med henholdsvis 41 % og 50 %. Samtidig administration af posaconazol og phenytoin og lignende induktorer (f.eks. carbamazepin, phenobarbital, primidon) bør undgås, medmindre fordelen for patienten opvejer risikoen.</w:t>
      </w:r>
    </w:p>
    <w:p w14:paraId="2A6D9EEF" w14:textId="77777777" w:rsidR="00C806DE" w:rsidRPr="00875F19" w:rsidRDefault="00C806DE" w:rsidP="00C806DE">
      <w:pPr>
        <w:ind w:left="851"/>
        <w:rPr>
          <w:sz w:val="24"/>
          <w:szCs w:val="24"/>
          <w:u w:val="single"/>
          <w:lang w:val="nl-NL"/>
        </w:rPr>
      </w:pPr>
    </w:p>
    <w:p w14:paraId="4A770D5E" w14:textId="77777777" w:rsidR="00C806DE" w:rsidRPr="00875F19" w:rsidRDefault="00C806DE" w:rsidP="00C806DE">
      <w:pPr>
        <w:ind w:left="851"/>
        <w:rPr>
          <w:sz w:val="24"/>
          <w:szCs w:val="24"/>
          <w:lang w:val="nl-NL"/>
        </w:rPr>
      </w:pPr>
      <w:r w:rsidRPr="00875F19">
        <w:rPr>
          <w:sz w:val="24"/>
          <w:szCs w:val="24"/>
          <w:u w:val="single"/>
          <w:lang w:val="nl-NL"/>
        </w:rPr>
        <w:t>Virkningen af posaconazol på andre lægemidler</w:t>
      </w:r>
      <w:r w:rsidRPr="00875F19">
        <w:rPr>
          <w:sz w:val="24"/>
          <w:szCs w:val="24"/>
          <w:lang w:val="nl-NL"/>
        </w:rPr>
        <w:t xml:space="preserve"> </w:t>
      </w:r>
    </w:p>
    <w:p w14:paraId="5448A11E" w14:textId="0C83A63F" w:rsidR="00C806DE" w:rsidRPr="00875F19" w:rsidRDefault="00C806DE" w:rsidP="00C806DE">
      <w:pPr>
        <w:ind w:left="851"/>
        <w:rPr>
          <w:sz w:val="24"/>
          <w:szCs w:val="24"/>
          <w:lang w:val="nl-NL"/>
        </w:rPr>
      </w:pPr>
      <w:r w:rsidRPr="00875F19">
        <w:rPr>
          <w:sz w:val="24"/>
          <w:szCs w:val="24"/>
          <w:lang w:val="nl-NL"/>
        </w:rPr>
        <w:t>Posaconazol er en potent hæmmer af CYP3A4. Samtidig administration af posaconazol og CYP3A4-substrater kan resultere i en stor stigning i eksponering for CYP3A4-substrater som eksemplificeret nedenfor ved virkningen på tacrolimus, sirolimus, atazanavir og midazolam. Forsigtighed bør udvises under samtidig administration af posaconazol og CYP3A4-substrater administreret intravenøst, og der kan være behov for, at dosis af CYP3A4-substratet reduceres. Hvis posaconazol anvendes sammen med CYP3A4-substrater, som administreres oralt, og for hvilke en stigning i plasmakoncentrationerne kan være forbundet med uacceptable bivirkninger, bør plasmakoncentrationerne af CYP3A4-substrat og/eller bivirkninger følges nøje, og dosis justeres efter behov.</w:t>
      </w:r>
    </w:p>
    <w:p w14:paraId="0159F12A" w14:textId="77777777" w:rsidR="00C806DE" w:rsidRPr="00875F19" w:rsidRDefault="00C806DE" w:rsidP="00C806DE">
      <w:pPr>
        <w:ind w:left="851"/>
        <w:rPr>
          <w:sz w:val="24"/>
          <w:szCs w:val="24"/>
          <w:lang w:val="nl-NL"/>
        </w:rPr>
      </w:pPr>
    </w:p>
    <w:p w14:paraId="728595FF" w14:textId="77777777" w:rsidR="00C806DE" w:rsidRPr="00875F19" w:rsidRDefault="00C806DE" w:rsidP="00C806DE">
      <w:pPr>
        <w:ind w:left="851"/>
        <w:rPr>
          <w:i/>
          <w:iCs/>
          <w:sz w:val="24"/>
          <w:szCs w:val="24"/>
          <w:lang w:val="en-IN"/>
        </w:rPr>
      </w:pPr>
      <w:r w:rsidRPr="00875F19">
        <w:rPr>
          <w:i/>
          <w:iCs/>
          <w:sz w:val="24"/>
          <w:szCs w:val="24"/>
          <w:lang w:val="en-US"/>
        </w:rPr>
        <w:t xml:space="preserve">Terfenadin, astemizol, cisaprid, pimozid, halofantrin og quinidin (CYP3A4-substrater) </w:t>
      </w:r>
    </w:p>
    <w:p w14:paraId="09D84B42" w14:textId="77777777" w:rsidR="00C806DE" w:rsidRPr="00875F19" w:rsidRDefault="00C806DE" w:rsidP="00C806DE">
      <w:pPr>
        <w:ind w:left="851"/>
        <w:rPr>
          <w:sz w:val="24"/>
          <w:szCs w:val="24"/>
          <w:lang w:val="nl-NL"/>
        </w:rPr>
      </w:pPr>
      <w:r w:rsidRPr="00875F19">
        <w:rPr>
          <w:sz w:val="24"/>
          <w:szCs w:val="24"/>
          <w:lang w:val="nl-NL"/>
        </w:rPr>
        <w:t xml:space="preserve">Samtidig administration af posaconazol og terfenadin, astemizol, cisaprid, pimozid, halofantrin eller quinidin er kontraindiceret. Samtidig administration kan resultere i forhøjede plasmakoncentrationer af disse lægemidler, som kan medføre QTc-forlængelse og sjældne forekomster af </w:t>
      </w:r>
      <w:r w:rsidRPr="00875F19">
        <w:rPr>
          <w:i/>
          <w:iCs/>
          <w:sz w:val="24"/>
          <w:szCs w:val="24"/>
          <w:lang w:val="nl-NL"/>
        </w:rPr>
        <w:t>torsades de pointes</w:t>
      </w:r>
      <w:r w:rsidRPr="00875F19">
        <w:rPr>
          <w:sz w:val="24"/>
          <w:szCs w:val="24"/>
          <w:lang w:val="nl-NL"/>
        </w:rPr>
        <w:t xml:space="preserve"> (se pkt. 4.3).</w:t>
      </w:r>
    </w:p>
    <w:p w14:paraId="49CBC61E" w14:textId="77777777" w:rsidR="00C806DE" w:rsidRPr="00875F19" w:rsidRDefault="00C806DE" w:rsidP="00C806DE">
      <w:pPr>
        <w:ind w:left="851"/>
        <w:rPr>
          <w:sz w:val="24"/>
          <w:szCs w:val="24"/>
          <w:lang w:val="nl-NL"/>
        </w:rPr>
      </w:pPr>
    </w:p>
    <w:p w14:paraId="297C4E02" w14:textId="77777777" w:rsidR="00C806DE" w:rsidRPr="00875F19" w:rsidRDefault="00C806DE" w:rsidP="00C806DE">
      <w:pPr>
        <w:ind w:left="851"/>
        <w:rPr>
          <w:i/>
          <w:iCs/>
          <w:sz w:val="24"/>
          <w:szCs w:val="24"/>
          <w:lang w:val="nl-NL"/>
        </w:rPr>
      </w:pPr>
      <w:r w:rsidRPr="00875F19">
        <w:rPr>
          <w:i/>
          <w:iCs/>
          <w:sz w:val="24"/>
          <w:szCs w:val="24"/>
          <w:lang w:val="nl-NL"/>
        </w:rPr>
        <w:t xml:space="preserve">Sekalealkaloider </w:t>
      </w:r>
    </w:p>
    <w:p w14:paraId="20C965CA" w14:textId="77777777" w:rsidR="00C806DE" w:rsidRPr="00875F19" w:rsidRDefault="00C806DE" w:rsidP="00C806DE">
      <w:pPr>
        <w:ind w:left="851"/>
        <w:rPr>
          <w:sz w:val="24"/>
          <w:szCs w:val="24"/>
          <w:lang w:val="nl-NL"/>
        </w:rPr>
      </w:pPr>
      <w:r w:rsidRPr="00875F19">
        <w:rPr>
          <w:sz w:val="24"/>
          <w:szCs w:val="24"/>
          <w:lang w:val="nl-NL"/>
        </w:rPr>
        <w:t>Posaconazol kan øge plasmakoncentrationen af sekalealkaloider (ergotamin og dihydroergotamin), som kan medføre ergotisme. Samtidig administration af posaconazol og sekalealkaloider er kontraindiceret (se pkt. 4.3).</w:t>
      </w:r>
    </w:p>
    <w:p w14:paraId="6952BFA9" w14:textId="77777777" w:rsidR="00C806DE" w:rsidRPr="00875F19" w:rsidRDefault="00C806DE" w:rsidP="00C806DE">
      <w:pPr>
        <w:ind w:left="851"/>
        <w:rPr>
          <w:sz w:val="24"/>
          <w:szCs w:val="24"/>
          <w:lang w:val="nl-NL"/>
        </w:rPr>
      </w:pPr>
    </w:p>
    <w:p w14:paraId="268FA8F6" w14:textId="77777777" w:rsidR="00C806DE" w:rsidRPr="00875F19" w:rsidRDefault="00C806DE" w:rsidP="00C806DE">
      <w:pPr>
        <w:ind w:left="851"/>
        <w:rPr>
          <w:i/>
          <w:iCs/>
          <w:sz w:val="24"/>
          <w:szCs w:val="24"/>
        </w:rPr>
      </w:pPr>
      <w:r w:rsidRPr="00875F19">
        <w:rPr>
          <w:i/>
          <w:iCs/>
          <w:sz w:val="24"/>
          <w:szCs w:val="24"/>
        </w:rPr>
        <w:t xml:space="preserve">HMG-CoA reduktasehæmmere metaboliseret via CYP3A4 (f.eks. simvastatin, lovastatin og atorvastatin) </w:t>
      </w:r>
    </w:p>
    <w:p w14:paraId="7051B4CA" w14:textId="77777777" w:rsidR="00C806DE" w:rsidRPr="00875F19" w:rsidRDefault="00C806DE" w:rsidP="00C806DE">
      <w:pPr>
        <w:ind w:left="851"/>
        <w:rPr>
          <w:sz w:val="24"/>
          <w:szCs w:val="24"/>
          <w:lang w:val="nl-NL"/>
        </w:rPr>
      </w:pPr>
      <w:r w:rsidRPr="00875F19">
        <w:rPr>
          <w:sz w:val="24"/>
          <w:szCs w:val="24"/>
          <w:lang w:val="nl-NL"/>
        </w:rPr>
        <w:t>Posaconazol kan øge plasmaniveauerne af HMG-CoA reduktasehæmmere, som metaboliseres af CYP3A4, betydeligt. Behandling med disse HMG-CoA reduktasehæmmere bør seponeres under behandling med posaconazol, da forhøjede niveauer har været forbundet med rhabdomyolyse (se pkt. 4.3).</w:t>
      </w:r>
    </w:p>
    <w:p w14:paraId="099197E8" w14:textId="77777777" w:rsidR="00C806DE" w:rsidRPr="00875F19" w:rsidRDefault="00C806DE" w:rsidP="00C806DE">
      <w:pPr>
        <w:ind w:left="851"/>
        <w:rPr>
          <w:sz w:val="24"/>
          <w:szCs w:val="24"/>
          <w:lang w:val="nl-NL"/>
        </w:rPr>
      </w:pPr>
    </w:p>
    <w:p w14:paraId="317D4FC3" w14:textId="77777777" w:rsidR="00C806DE" w:rsidRPr="00383C5F" w:rsidRDefault="00C806DE" w:rsidP="00C806DE">
      <w:pPr>
        <w:ind w:left="851"/>
        <w:rPr>
          <w:i/>
          <w:sz w:val="24"/>
          <w:szCs w:val="24"/>
          <w:lang w:val="nl-NL"/>
        </w:rPr>
      </w:pPr>
      <w:r w:rsidRPr="00383C5F">
        <w:rPr>
          <w:i/>
          <w:sz w:val="24"/>
          <w:szCs w:val="24"/>
          <w:lang w:val="nl-NL"/>
        </w:rPr>
        <w:t xml:space="preserve">Vinkaalkaloider </w:t>
      </w:r>
    </w:p>
    <w:p w14:paraId="2F69B353" w14:textId="77777777" w:rsidR="00C806DE" w:rsidRPr="00875F19" w:rsidRDefault="00C806DE" w:rsidP="00C806DE">
      <w:pPr>
        <w:ind w:left="851"/>
        <w:rPr>
          <w:sz w:val="24"/>
          <w:szCs w:val="24"/>
          <w:lang w:val="nl-NL"/>
        </w:rPr>
      </w:pPr>
      <w:r w:rsidRPr="00875F19">
        <w:rPr>
          <w:sz w:val="24"/>
          <w:szCs w:val="24"/>
          <w:lang w:val="nl-NL"/>
        </w:rPr>
        <w:t>De fleste vinkaalkaloider (f.eks. vincristin og vinblastin) er substrater af CYP3A4. Samtidig administration af azol-antimykotika, inklusive posaconazol, og vincristin er blevet associeret med alvorlige bivirkninger (se pkt. 4.4). Posaconazol kan øge plasmakoncentrationen af vinkaalkaloider, hvilket kan føre til neurotoksicitet og andre alvorlige bivirkninger. Derfor bør azol-antimykotika, inklusive posaconazol, kun anvendes til patienter, der får vinkaalkaloider, inklusive vincristin, og som ikke har andre muligheder for behandling med antimykotika.</w:t>
      </w:r>
    </w:p>
    <w:p w14:paraId="05113592" w14:textId="77777777" w:rsidR="00C806DE" w:rsidRPr="00875F19" w:rsidRDefault="00C806DE" w:rsidP="00C806DE">
      <w:pPr>
        <w:ind w:left="851"/>
        <w:rPr>
          <w:sz w:val="24"/>
          <w:szCs w:val="24"/>
          <w:lang w:val="nl-NL"/>
        </w:rPr>
      </w:pPr>
    </w:p>
    <w:p w14:paraId="0040E148" w14:textId="77777777" w:rsidR="00C806DE" w:rsidRPr="00875F19" w:rsidRDefault="00C806DE" w:rsidP="00C806DE">
      <w:pPr>
        <w:ind w:left="851"/>
        <w:rPr>
          <w:i/>
          <w:iCs/>
          <w:sz w:val="24"/>
          <w:szCs w:val="24"/>
        </w:rPr>
      </w:pPr>
      <w:r w:rsidRPr="00875F19">
        <w:rPr>
          <w:i/>
          <w:iCs/>
          <w:sz w:val="24"/>
          <w:szCs w:val="24"/>
        </w:rPr>
        <w:t xml:space="preserve">Rifabutin </w:t>
      </w:r>
    </w:p>
    <w:p w14:paraId="540F4652" w14:textId="77777777" w:rsidR="00C806DE" w:rsidRPr="00875F19" w:rsidRDefault="00C806DE" w:rsidP="00C806DE">
      <w:pPr>
        <w:ind w:left="851"/>
        <w:rPr>
          <w:sz w:val="24"/>
          <w:szCs w:val="24"/>
          <w:lang w:val="nl-NL"/>
        </w:rPr>
      </w:pPr>
      <w:r w:rsidRPr="00875F19">
        <w:rPr>
          <w:sz w:val="24"/>
          <w:szCs w:val="24"/>
        </w:rPr>
        <w:t>Efter oral administration øgede posaconazol C</w:t>
      </w:r>
      <w:r w:rsidRPr="00875F19">
        <w:rPr>
          <w:sz w:val="24"/>
          <w:szCs w:val="24"/>
          <w:vertAlign w:val="subscript"/>
        </w:rPr>
        <w:t>max</w:t>
      </w:r>
      <w:r w:rsidRPr="00875F19">
        <w:rPr>
          <w:sz w:val="24"/>
          <w:szCs w:val="24"/>
        </w:rPr>
        <w:t xml:space="preserve"> og AUC for rifabutin med henholdsvis 31 % og 72 %. Samtidig administration af posaconazol og rifabutin bør undgås, </w:t>
      </w:r>
      <w:r w:rsidRPr="00875F19">
        <w:rPr>
          <w:sz w:val="24"/>
          <w:szCs w:val="24"/>
        </w:rPr>
        <w:lastRenderedPageBreak/>
        <w:t xml:space="preserve">medmindre fordelen for patienten opvejer risikoen (se også ovenfor vedrørende indvirkningen af rifabutin på plasmaniveauer af posaconazol). </w:t>
      </w:r>
      <w:r w:rsidRPr="00875F19">
        <w:rPr>
          <w:sz w:val="24"/>
          <w:szCs w:val="24"/>
          <w:lang w:val="nl-NL"/>
        </w:rPr>
        <w:t>Hvis disse lægemidler administreres samtidigt, anbefales omhyggelig monitorering af fuldstændig blodtælling og bivirkninger relateret til forhøjede niveauer af rifabutin (f.eks. uveitis).</w:t>
      </w:r>
    </w:p>
    <w:p w14:paraId="69099659" w14:textId="77777777" w:rsidR="00C806DE" w:rsidRPr="00875F19" w:rsidRDefault="00C806DE" w:rsidP="00C806DE">
      <w:pPr>
        <w:ind w:left="851"/>
        <w:rPr>
          <w:sz w:val="24"/>
          <w:szCs w:val="24"/>
          <w:lang w:val="nl-NL"/>
        </w:rPr>
      </w:pPr>
    </w:p>
    <w:p w14:paraId="2FD9C566" w14:textId="77777777" w:rsidR="00C806DE" w:rsidRPr="00875F19" w:rsidRDefault="00C806DE" w:rsidP="00C806DE">
      <w:pPr>
        <w:ind w:left="851"/>
        <w:rPr>
          <w:i/>
          <w:iCs/>
          <w:sz w:val="24"/>
          <w:szCs w:val="24"/>
          <w:lang w:val="nl-NL"/>
        </w:rPr>
      </w:pPr>
      <w:r w:rsidRPr="00875F19">
        <w:rPr>
          <w:i/>
          <w:iCs/>
          <w:sz w:val="24"/>
          <w:szCs w:val="24"/>
          <w:lang w:val="nl-NL"/>
        </w:rPr>
        <w:t xml:space="preserve">Sirolimus </w:t>
      </w:r>
    </w:p>
    <w:p w14:paraId="5076B791" w14:textId="77777777" w:rsidR="00C806DE" w:rsidRPr="00875F19" w:rsidRDefault="00C806DE" w:rsidP="00C806DE">
      <w:pPr>
        <w:ind w:left="851"/>
        <w:rPr>
          <w:sz w:val="24"/>
          <w:szCs w:val="24"/>
          <w:lang w:val="nl-NL"/>
        </w:rPr>
      </w:pPr>
      <w:r w:rsidRPr="00875F19">
        <w:rPr>
          <w:sz w:val="24"/>
          <w:szCs w:val="24"/>
          <w:lang w:val="nl-NL"/>
        </w:rPr>
        <w:t>Gentagen administration af posaconazol oral suspension (400 mg to gange dagligt i 16 dage) øgede C</w:t>
      </w:r>
      <w:r w:rsidRPr="00875F19">
        <w:rPr>
          <w:sz w:val="24"/>
          <w:szCs w:val="24"/>
          <w:vertAlign w:val="subscript"/>
          <w:lang w:val="nl-NL"/>
        </w:rPr>
        <w:t>max</w:t>
      </w:r>
      <w:r w:rsidRPr="00875F19">
        <w:rPr>
          <w:sz w:val="24"/>
          <w:szCs w:val="24"/>
          <w:lang w:val="nl-NL"/>
        </w:rPr>
        <w:t xml:space="preserve"> og AUC for sirolimus (2 mg enkeltdosis) med henholdsvis et gennemsnit på 6,7 gange og 8,9 gange (interval 3,1 til 17,5 gange) hos raske forsøgspersoner. Indvirkningen af posaconazol på sirolimus hos patienter er ukendt, men forventes at være varierende som følge af den varierende eksponering for posaconazol hos patienterne. Samtidig administration af posaconazol og sirolimus anbefales ikke og bør undgås, når det er muligt. Såfremt det vurderes, at samtidig administration ikke kan undgås, anbefales det, at dosis af sirolimus reduceres væsentligt ved initiering af behandling med posaconazol, og at der bør ske meget hyppige målinger af dalkoncentrationer af sirolimus i fuldblod. Koncentrationer af sirolimus bør måles ved initiering af behandling, under samtidig administration og ved seponering af behandling med posaconazol. Dosis af sirolimus justeres i overensstemmelse hermed. Det bør bemærkes, at forholdet mellem dalkoncentrationen af sirolimus og AUC ændres ved samtidig administration af posaconazol. Som resultat heraf kan dalkoncentrationer af sirolimus, der ligger inden for det sædvanlige terapeutiske indeks, resultere i subterapeutiske niveauer. Dalkoncentrationer af sirolimus, der ligger i den øvre del af det sædvanlige terapeutiske indeks, bør derfor tilstræbes, og der bør rettes særlig opmærksomhed mod kliniske tegn og symptomer, laboratorieparametre og vævsbiopsier.</w:t>
      </w:r>
    </w:p>
    <w:p w14:paraId="756D0386" w14:textId="77777777" w:rsidR="00C806DE" w:rsidRPr="00875F19" w:rsidRDefault="00C806DE" w:rsidP="00C806DE">
      <w:pPr>
        <w:ind w:left="851"/>
        <w:rPr>
          <w:sz w:val="24"/>
          <w:szCs w:val="24"/>
          <w:lang w:val="nl-NL"/>
        </w:rPr>
      </w:pPr>
    </w:p>
    <w:p w14:paraId="722D2150" w14:textId="77777777" w:rsidR="00C806DE" w:rsidRPr="00875F19" w:rsidRDefault="00C806DE" w:rsidP="00C806DE">
      <w:pPr>
        <w:ind w:left="851"/>
        <w:rPr>
          <w:i/>
          <w:iCs/>
          <w:sz w:val="24"/>
          <w:szCs w:val="24"/>
          <w:lang w:val="nl-NL"/>
        </w:rPr>
      </w:pPr>
      <w:r w:rsidRPr="00875F19">
        <w:rPr>
          <w:i/>
          <w:iCs/>
          <w:sz w:val="24"/>
          <w:szCs w:val="24"/>
          <w:lang w:val="nl-NL"/>
        </w:rPr>
        <w:t xml:space="preserve">Ciclosporin </w:t>
      </w:r>
    </w:p>
    <w:p w14:paraId="48640128" w14:textId="4B2E1BA6" w:rsidR="00C806DE" w:rsidRDefault="00C806DE" w:rsidP="00C806DE">
      <w:pPr>
        <w:ind w:left="851"/>
        <w:rPr>
          <w:sz w:val="24"/>
          <w:szCs w:val="24"/>
          <w:lang w:val="nl-NL"/>
        </w:rPr>
      </w:pPr>
      <w:r w:rsidRPr="00875F19">
        <w:rPr>
          <w:sz w:val="24"/>
          <w:szCs w:val="24"/>
          <w:lang w:val="nl-NL"/>
        </w:rPr>
        <w:t>Posaconazol oral suspension 200 mg en gang dagligt øgede koncentrationerne af ciclosporin hos hjertetransplanterede patienter på en stabil dosis af ciclosporin, hvilket medførte behov for dosisnedsættelser. I kliniske effektstudier blev der rapporteret tilfælde af stigning i ciclosporinniveauer med alvorlige bivirkninger til følge, inklusive nefrotoksicitet samt et letalt tilfælde af leukoencephalopati. Når behandling med posaconazol initieres hos patienter, der allerede får ciclosporin, bør dosis af ciclosporin nedsættes (f.eks. til omkring tre fjerdedele af den aktuelle dosis). Niveauet af ciclosporin i blodet bør derefter følges omhyggeligt under samtidig administration og efter afbrydelse af behandling med posaconazol, og dosis af ciclosporin bør om nødvendigt justeres.</w:t>
      </w:r>
    </w:p>
    <w:p w14:paraId="42E781CD" w14:textId="77777777" w:rsidR="00383C5F" w:rsidRPr="00875F19" w:rsidRDefault="00383C5F" w:rsidP="00C806DE">
      <w:pPr>
        <w:ind w:left="851"/>
        <w:rPr>
          <w:sz w:val="24"/>
          <w:szCs w:val="24"/>
          <w:lang w:val="nl-NL"/>
        </w:rPr>
      </w:pPr>
    </w:p>
    <w:p w14:paraId="3F8D488D" w14:textId="77777777" w:rsidR="00C806DE" w:rsidRPr="00875F19" w:rsidRDefault="00C806DE" w:rsidP="00C806DE">
      <w:pPr>
        <w:ind w:left="851"/>
        <w:rPr>
          <w:i/>
          <w:iCs/>
          <w:sz w:val="24"/>
          <w:szCs w:val="24"/>
          <w:lang w:val="nl-NL"/>
        </w:rPr>
      </w:pPr>
      <w:r w:rsidRPr="00875F19">
        <w:rPr>
          <w:i/>
          <w:iCs/>
          <w:sz w:val="24"/>
          <w:szCs w:val="24"/>
          <w:lang w:val="nl-NL"/>
        </w:rPr>
        <w:t xml:space="preserve">Tacrolimus </w:t>
      </w:r>
    </w:p>
    <w:p w14:paraId="2A252E14" w14:textId="77777777" w:rsidR="00C806DE" w:rsidRPr="00875F19" w:rsidRDefault="00C806DE" w:rsidP="00C806DE">
      <w:pPr>
        <w:ind w:left="851"/>
        <w:rPr>
          <w:sz w:val="24"/>
          <w:szCs w:val="24"/>
          <w:lang w:val="nl-NL"/>
        </w:rPr>
      </w:pPr>
      <w:r w:rsidRPr="00875F19">
        <w:rPr>
          <w:sz w:val="24"/>
          <w:szCs w:val="24"/>
          <w:lang w:val="nl-NL"/>
        </w:rPr>
        <w:t>Posaconazol øgede C</w:t>
      </w:r>
      <w:r w:rsidRPr="00875F19">
        <w:rPr>
          <w:sz w:val="24"/>
          <w:szCs w:val="24"/>
          <w:vertAlign w:val="subscript"/>
          <w:lang w:val="nl-NL"/>
        </w:rPr>
        <w:t xml:space="preserve">max </w:t>
      </w:r>
      <w:r w:rsidRPr="00875F19">
        <w:rPr>
          <w:sz w:val="24"/>
          <w:szCs w:val="24"/>
          <w:lang w:val="nl-NL"/>
        </w:rPr>
        <w:t>og AUC for tacrolimus (0,05 mg/kg kropsvægt som enkeltdosis) med henholdsvis 121 % og 358 %. I kliniske effektstudier blev der rapporteret klinisk signifikante interaktioner, som resulterede i hospitalsindlæggelse og/eller afbrydelse af behandling med posaconazol. Når behandling med posaconazol initieres hos patienter, der allerede får tacrolimus, bør dosis af tacrolimus nedsættes (f.eks. til ca. en tredjedel af den aktuelle dosis). Derefter bør blodniveauer af tacrolimus monitoreres omhyggeligt under samtidig administration og ved seponering af posaconazol, og doseringen af tacrolimus bør justeres som nødvendigt.</w:t>
      </w:r>
    </w:p>
    <w:p w14:paraId="6F657B79" w14:textId="77777777" w:rsidR="00C806DE" w:rsidRPr="00875F19" w:rsidRDefault="00C806DE" w:rsidP="00C806DE">
      <w:pPr>
        <w:ind w:left="851"/>
        <w:rPr>
          <w:sz w:val="24"/>
          <w:szCs w:val="24"/>
          <w:lang w:val="nl-NL"/>
        </w:rPr>
      </w:pPr>
    </w:p>
    <w:p w14:paraId="233EB25E" w14:textId="77777777" w:rsidR="00C806DE" w:rsidRPr="00875F19" w:rsidRDefault="00C806DE" w:rsidP="00C806DE">
      <w:pPr>
        <w:ind w:left="851"/>
        <w:rPr>
          <w:i/>
          <w:iCs/>
          <w:sz w:val="24"/>
          <w:szCs w:val="24"/>
        </w:rPr>
      </w:pPr>
      <w:r w:rsidRPr="00875F19">
        <w:rPr>
          <w:i/>
          <w:iCs/>
          <w:sz w:val="24"/>
          <w:szCs w:val="24"/>
        </w:rPr>
        <w:t xml:space="preserve">Hiv-proteasehæmmere </w:t>
      </w:r>
    </w:p>
    <w:p w14:paraId="374D78B8" w14:textId="77777777" w:rsidR="00C806DE" w:rsidRPr="00875F19" w:rsidRDefault="00C806DE" w:rsidP="00C806DE">
      <w:pPr>
        <w:ind w:left="851"/>
        <w:rPr>
          <w:sz w:val="24"/>
          <w:szCs w:val="24"/>
        </w:rPr>
      </w:pPr>
      <w:r w:rsidRPr="00875F19">
        <w:rPr>
          <w:sz w:val="24"/>
          <w:szCs w:val="24"/>
        </w:rPr>
        <w:t>Da hiv-proteasehæmmere er CYP3A4-substrater forventes det, at posaconazol vil øge plasmaniveauer af disse antiretrovirale midler. Efter samtidig administration af posaconazol oral suspension (400 mg to gange dagligt) og atazanavir (300 mg en gang dagligt) i 7 dage hos raske forsøgspersoner øgedes C</w:t>
      </w:r>
      <w:r w:rsidRPr="00875F19">
        <w:rPr>
          <w:sz w:val="24"/>
          <w:szCs w:val="24"/>
          <w:vertAlign w:val="subscript"/>
        </w:rPr>
        <w:t xml:space="preserve">max </w:t>
      </w:r>
      <w:r w:rsidRPr="00875F19">
        <w:rPr>
          <w:sz w:val="24"/>
          <w:szCs w:val="24"/>
        </w:rPr>
        <w:t xml:space="preserve">og AUC for atazanavir med et </w:t>
      </w:r>
      <w:r w:rsidRPr="00875F19">
        <w:rPr>
          <w:sz w:val="24"/>
          <w:szCs w:val="24"/>
        </w:rPr>
        <w:lastRenderedPageBreak/>
        <w:t>gennemsnit på henholdsvis 2,6 gange og 3,7 gange (interval 1,2 til 26 gange). Efter samtidig administration af posaconazol oral suspension (400 mg to gange dagligt) og atazanavir og ritonavir (300/100 mg en gang dagligt) i 7 dage hos raske forsøgspersoner øgedes C</w:t>
      </w:r>
      <w:r w:rsidRPr="00383C5F">
        <w:rPr>
          <w:sz w:val="24"/>
          <w:szCs w:val="24"/>
          <w:vertAlign w:val="subscript"/>
        </w:rPr>
        <w:t>max</w:t>
      </w:r>
      <w:r w:rsidRPr="00875F19">
        <w:rPr>
          <w:sz w:val="24"/>
          <w:szCs w:val="24"/>
        </w:rPr>
        <w:t xml:space="preserve"> og AUC for atazanavir med et gennemsnit på henholdsvis 1,5 gange og 2,5 gange (interval 0,9 til 4,1 gange). Tilføjelsen af posaconazol til behandling med atazanavir eller med atazanavir plus ritonavir blev associeret med forhøjede bilirubinniveauer i plasma. Der anbefales hyppig monitorering for bivirkninger og toksicitet relateret til antiretrovirale midler, der er CYP3A4-substrater, ved administration samtidig med posaconazol.</w:t>
      </w:r>
    </w:p>
    <w:p w14:paraId="321D0A01" w14:textId="77777777" w:rsidR="00C806DE" w:rsidRPr="00875F19" w:rsidRDefault="00C806DE" w:rsidP="00C806DE">
      <w:pPr>
        <w:ind w:left="851"/>
        <w:rPr>
          <w:sz w:val="24"/>
          <w:szCs w:val="24"/>
        </w:rPr>
      </w:pPr>
    </w:p>
    <w:p w14:paraId="1F159611" w14:textId="77777777" w:rsidR="00C806DE" w:rsidRPr="00875F19" w:rsidRDefault="00C806DE" w:rsidP="00C806DE">
      <w:pPr>
        <w:ind w:left="851"/>
        <w:rPr>
          <w:i/>
          <w:iCs/>
          <w:sz w:val="24"/>
          <w:szCs w:val="24"/>
        </w:rPr>
      </w:pPr>
      <w:r w:rsidRPr="00875F19">
        <w:rPr>
          <w:i/>
          <w:iCs/>
          <w:sz w:val="24"/>
          <w:szCs w:val="24"/>
        </w:rPr>
        <w:t xml:space="preserve">Midazolam og andre benzodiazepiner, som metaboliseres af CYP3A4 </w:t>
      </w:r>
    </w:p>
    <w:p w14:paraId="1A2ACB84" w14:textId="77777777" w:rsidR="00C806DE" w:rsidRPr="00875F19" w:rsidRDefault="00C806DE" w:rsidP="00C806DE">
      <w:pPr>
        <w:ind w:left="851"/>
        <w:rPr>
          <w:sz w:val="24"/>
          <w:szCs w:val="24"/>
          <w:lang w:val="nl-NL"/>
        </w:rPr>
      </w:pPr>
      <w:r w:rsidRPr="00875F19">
        <w:rPr>
          <w:sz w:val="24"/>
          <w:szCs w:val="24"/>
        </w:rPr>
        <w:t>I et studie med raske frivillige øgede posaconazol oral suspension (200 mg en gang dagligt i 10 dage) eksponeringen (AUC) for intravenøst midazolam (0,05 mg/kg) med 83 %. I et andet studie med raske frivillige øgede gentagen administration af posaconazol oral suspension (200 mg to gange dagligt i 7 dage) C</w:t>
      </w:r>
      <w:r w:rsidRPr="00875F19">
        <w:rPr>
          <w:sz w:val="24"/>
          <w:szCs w:val="24"/>
          <w:vertAlign w:val="subscript"/>
        </w:rPr>
        <w:t xml:space="preserve">max </w:t>
      </w:r>
      <w:r w:rsidRPr="00875F19">
        <w:rPr>
          <w:sz w:val="24"/>
          <w:szCs w:val="24"/>
        </w:rPr>
        <w:t>og AUC for intravenøst midazolam (0,4 mg enkeltdosis) med et gennemsnit på henholdsvis 1,3 og 4,6 gange (interval 1,7 til 6,4 gange); posaconazol oral suspension 400 mg to gange dagligt i 7 dage øgede intravenøst midazolam C</w:t>
      </w:r>
      <w:r w:rsidRPr="00875F19">
        <w:rPr>
          <w:sz w:val="24"/>
          <w:szCs w:val="24"/>
          <w:vertAlign w:val="subscript"/>
        </w:rPr>
        <w:t>max</w:t>
      </w:r>
      <w:r w:rsidRPr="00875F19">
        <w:rPr>
          <w:sz w:val="24"/>
          <w:szCs w:val="24"/>
        </w:rPr>
        <w:t xml:space="preserve"> og AUC med henholdsvis 1,6 og 6,2 gange (interval 1,6 til 7,6 gange). </w:t>
      </w:r>
      <w:r w:rsidRPr="00875F19">
        <w:rPr>
          <w:sz w:val="24"/>
          <w:szCs w:val="24"/>
          <w:lang w:val="nl-NL"/>
        </w:rPr>
        <w:t>Begge doser af posaconazol øgede C</w:t>
      </w:r>
      <w:r w:rsidRPr="00875F19">
        <w:rPr>
          <w:sz w:val="24"/>
          <w:szCs w:val="24"/>
          <w:vertAlign w:val="subscript"/>
          <w:lang w:val="nl-NL"/>
        </w:rPr>
        <w:t>max</w:t>
      </w:r>
      <w:r w:rsidRPr="00875F19">
        <w:rPr>
          <w:sz w:val="24"/>
          <w:szCs w:val="24"/>
          <w:lang w:val="nl-NL"/>
        </w:rPr>
        <w:t xml:space="preserve"> og AUC for oralt midazolam (2 mg oral enkeltdosis) med henholdsvis 2,2 og 4,5 gange. Posaconazol oral suspension (200 mg eller 400 mg) forlængede ydermere middelterminalhalveringstiden af midazolam fra omkring 3-4 timer til 8-10 timer under samtidig administration. </w:t>
      </w:r>
    </w:p>
    <w:p w14:paraId="76CE4969" w14:textId="77777777" w:rsidR="00C806DE" w:rsidRPr="00875F19" w:rsidRDefault="00C806DE" w:rsidP="00C806DE">
      <w:pPr>
        <w:ind w:left="851"/>
        <w:rPr>
          <w:sz w:val="24"/>
          <w:szCs w:val="24"/>
          <w:lang w:val="nl-NL"/>
        </w:rPr>
      </w:pPr>
      <w:r w:rsidRPr="00875F19">
        <w:rPr>
          <w:sz w:val="24"/>
          <w:szCs w:val="24"/>
          <w:lang w:val="nl-NL"/>
        </w:rPr>
        <w:t>Som følge af risikoen for forlænget sedering, anbefales det at dosisjustering bør overvejes, når posaconazol gives samtidig med et hvilken som helst benzodiazepin, der metaboliseres af CYP3A4 (f.eks. midazolam, triazolam, alprazolam) (se pkt. 4.4).</w:t>
      </w:r>
    </w:p>
    <w:p w14:paraId="62E345C4" w14:textId="77777777" w:rsidR="00C806DE" w:rsidRPr="00875F19" w:rsidRDefault="00C806DE" w:rsidP="00C806DE">
      <w:pPr>
        <w:ind w:left="851"/>
        <w:rPr>
          <w:sz w:val="24"/>
          <w:szCs w:val="24"/>
          <w:lang w:val="nl-NL"/>
        </w:rPr>
      </w:pPr>
    </w:p>
    <w:p w14:paraId="43F85D86" w14:textId="77777777" w:rsidR="00C806DE" w:rsidRPr="00875F19" w:rsidRDefault="00C806DE" w:rsidP="00C806DE">
      <w:pPr>
        <w:ind w:left="851"/>
        <w:rPr>
          <w:i/>
          <w:iCs/>
          <w:sz w:val="24"/>
          <w:szCs w:val="24"/>
          <w:lang w:val="nl-NL"/>
        </w:rPr>
      </w:pPr>
      <w:r w:rsidRPr="00875F19">
        <w:rPr>
          <w:i/>
          <w:iCs/>
          <w:sz w:val="24"/>
          <w:szCs w:val="24"/>
          <w:lang w:val="nl-NL"/>
        </w:rPr>
        <w:t xml:space="preserve">Calciumantagonister metaboliseret via CYP3A4 (f.eks. diltiazem, verapamil, nifedipin, nisoldipin) </w:t>
      </w:r>
    </w:p>
    <w:p w14:paraId="2A28B80B" w14:textId="77777777" w:rsidR="00C806DE" w:rsidRPr="00875F19" w:rsidRDefault="00C806DE" w:rsidP="00C806DE">
      <w:pPr>
        <w:ind w:left="851"/>
        <w:rPr>
          <w:sz w:val="24"/>
          <w:szCs w:val="24"/>
          <w:lang w:val="nl-NL"/>
        </w:rPr>
      </w:pPr>
      <w:r w:rsidRPr="00875F19">
        <w:rPr>
          <w:sz w:val="24"/>
          <w:szCs w:val="24"/>
          <w:lang w:val="nl-NL"/>
        </w:rPr>
        <w:t>Der anbefales hyppig monitorering for bivirkninger og toksicitet relateret til calciumantagonister ved administration sammen med posaconazol. Dosisjustering af calciumantagonister kan være nødvendigt.</w:t>
      </w:r>
    </w:p>
    <w:p w14:paraId="77295A14" w14:textId="77777777" w:rsidR="00C806DE" w:rsidRPr="00875F19" w:rsidRDefault="00C806DE" w:rsidP="00C806DE">
      <w:pPr>
        <w:ind w:left="851"/>
        <w:rPr>
          <w:sz w:val="24"/>
          <w:szCs w:val="24"/>
          <w:lang w:val="nl-NL"/>
        </w:rPr>
      </w:pPr>
    </w:p>
    <w:p w14:paraId="0871BA8A" w14:textId="77777777" w:rsidR="00C806DE" w:rsidRPr="00875F19" w:rsidRDefault="00C806DE" w:rsidP="00C806DE">
      <w:pPr>
        <w:ind w:left="851"/>
        <w:rPr>
          <w:i/>
          <w:iCs/>
          <w:sz w:val="24"/>
          <w:szCs w:val="24"/>
          <w:lang w:val="nl-NL"/>
        </w:rPr>
      </w:pPr>
      <w:r w:rsidRPr="00875F19">
        <w:rPr>
          <w:i/>
          <w:iCs/>
          <w:sz w:val="24"/>
          <w:szCs w:val="24"/>
          <w:lang w:val="nl-NL"/>
        </w:rPr>
        <w:t xml:space="preserve">Digoxin </w:t>
      </w:r>
    </w:p>
    <w:p w14:paraId="0E0DEA9F" w14:textId="77777777" w:rsidR="00C806DE" w:rsidRPr="00875F19" w:rsidRDefault="00C806DE" w:rsidP="00C806DE">
      <w:pPr>
        <w:ind w:left="851"/>
        <w:rPr>
          <w:sz w:val="24"/>
          <w:szCs w:val="24"/>
          <w:lang w:val="nl-NL"/>
        </w:rPr>
      </w:pPr>
      <w:r w:rsidRPr="00875F19">
        <w:rPr>
          <w:sz w:val="24"/>
          <w:szCs w:val="24"/>
          <w:lang w:val="nl-NL"/>
        </w:rPr>
        <w:t>Administration af andre azoler har været associeret med stigning i digoxinniveauer. Derfor kan posaconazol øge plasmakoncentrationen af digoxin, så det er nødvendigt at monitorere digoxinniveauerne ved påbegyndelse eller seponering af behandling med posaconazol.</w:t>
      </w:r>
    </w:p>
    <w:p w14:paraId="46EE88DD" w14:textId="77777777" w:rsidR="00C806DE" w:rsidRPr="00875F19" w:rsidRDefault="00C806DE" w:rsidP="00C806DE">
      <w:pPr>
        <w:ind w:left="851"/>
        <w:rPr>
          <w:sz w:val="24"/>
          <w:szCs w:val="24"/>
          <w:lang w:val="nl-NL"/>
        </w:rPr>
      </w:pPr>
    </w:p>
    <w:p w14:paraId="48055B7A" w14:textId="77777777" w:rsidR="00C806DE" w:rsidRPr="00875F19" w:rsidRDefault="00C806DE" w:rsidP="00C806DE">
      <w:pPr>
        <w:ind w:left="851"/>
        <w:rPr>
          <w:i/>
          <w:iCs/>
          <w:sz w:val="24"/>
          <w:szCs w:val="24"/>
          <w:lang w:val="nl-NL"/>
        </w:rPr>
      </w:pPr>
      <w:r w:rsidRPr="00875F19">
        <w:rPr>
          <w:i/>
          <w:iCs/>
          <w:sz w:val="24"/>
          <w:szCs w:val="24"/>
          <w:lang w:val="nl-NL"/>
        </w:rPr>
        <w:t xml:space="preserve">Sulfonylurinstoffer </w:t>
      </w:r>
    </w:p>
    <w:p w14:paraId="10934551" w14:textId="77777777" w:rsidR="00C806DE" w:rsidRPr="00875F19" w:rsidRDefault="00C806DE" w:rsidP="00C806DE">
      <w:pPr>
        <w:ind w:left="851"/>
        <w:rPr>
          <w:sz w:val="24"/>
          <w:szCs w:val="24"/>
          <w:lang w:val="nl-NL"/>
        </w:rPr>
      </w:pPr>
      <w:r w:rsidRPr="00875F19">
        <w:rPr>
          <w:sz w:val="24"/>
          <w:szCs w:val="24"/>
          <w:lang w:val="nl-NL"/>
        </w:rPr>
        <w:t>Glucosekoncentrationerne faldt hos nogle raske forsøgspersoner, da glipizid blev administreret samtidig med posaconazol. Monitorering af glucosekoncentrationer hos diabetespatienter anbefales.</w:t>
      </w:r>
    </w:p>
    <w:p w14:paraId="7CD700C6" w14:textId="77777777" w:rsidR="00C806DE" w:rsidRPr="00875F19" w:rsidRDefault="00C806DE" w:rsidP="00C806DE">
      <w:pPr>
        <w:ind w:left="851"/>
        <w:rPr>
          <w:sz w:val="24"/>
          <w:szCs w:val="24"/>
          <w:lang w:val="nl-NL"/>
        </w:rPr>
      </w:pPr>
    </w:p>
    <w:p w14:paraId="5F45AFA7" w14:textId="77777777" w:rsidR="00C806DE" w:rsidRPr="00875F19" w:rsidRDefault="00C806DE" w:rsidP="00C806DE">
      <w:pPr>
        <w:ind w:left="851"/>
        <w:rPr>
          <w:i/>
          <w:iCs/>
          <w:sz w:val="24"/>
          <w:szCs w:val="24"/>
          <w:lang w:val="nl-NL"/>
        </w:rPr>
      </w:pPr>
      <w:r w:rsidRPr="00875F19">
        <w:rPr>
          <w:i/>
          <w:iCs/>
          <w:sz w:val="24"/>
          <w:szCs w:val="24"/>
          <w:lang w:val="nl-NL"/>
        </w:rPr>
        <w:t xml:space="preserve">Hel-trans-retinsyre (ATRA) eller tretinoin </w:t>
      </w:r>
    </w:p>
    <w:p w14:paraId="0F708019" w14:textId="77777777" w:rsidR="00C806DE" w:rsidRPr="00875F19" w:rsidRDefault="00C806DE" w:rsidP="00C806DE">
      <w:pPr>
        <w:ind w:left="851"/>
        <w:rPr>
          <w:sz w:val="24"/>
          <w:szCs w:val="24"/>
          <w:lang w:val="nl-NL"/>
        </w:rPr>
      </w:pPr>
      <w:r w:rsidRPr="00875F19">
        <w:rPr>
          <w:sz w:val="24"/>
          <w:szCs w:val="24"/>
          <w:lang w:val="nl-NL"/>
        </w:rPr>
        <w:t>Da ATRA metaboliseres af CYP450-enzymer i leveren, især CYP3A4, kan samtidig administration af posaconazol, der er en potent CYP3A4-hæmmer, medføre øget eksponering for tretinoin, og dermed føre til øget toksicitet (navnlig hyperkalcæmi). Kalciumniveauet i serum bør monitoreres, og om nødvendigt bør passende dosisjustering af tretinoin overvejes under behandlingen med posaconazol og i dagene efter behandling.</w:t>
      </w:r>
    </w:p>
    <w:p w14:paraId="69EEFE2B" w14:textId="527E5090" w:rsidR="00E5143B" w:rsidRDefault="00E5143B">
      <w:pPr>
        <w:rPr>
          <w:sz w:val="24"/>
          <w:szCs w:val="24"/>
          <w:lang w:val="nl-NL"/>
        </w:rPr>
      </w:pPr>
      <w:r>
        <w:rPr>
          <w:sz w:val="24"/>
          <w:szCs w:val="24"/>
          <w:lang w:val="nl-NL"/>
        </w:rPr>
        <w:br w:type="page"/>
      </w:r>
    </w:p>
    <w:p w14:paraId="52E58EEF" w14:textId="77777777" w:rsidR="00C806DE" w:rsidRPr="00875F19" w:rsidRDefault="00C806DE" w:rsidP="00C806DE">
      <w:pPr>
        <w:ind w:left="851"/>
        <w:rPr>
          <w:sz w:val="24"/>
          <w:szCs w:val="24"/>
          <w:lang w:val="nl-NL"/>
        </w:rPr>
      </w:pPr>
    </w:p>
    <w:p w14:paraId="1099B594" w14:textId="77777777" w:rsidR="00C806DE" w:rsidRPr="00875F19" w:rsidRDefault="00C806DE" w:rsidP="00C806DE">
      <w:pPr>
        <w:ind w:left="851"/>
        <w:rPr>
          <w:i/>
          <w:iCs/>
          <w:sz w:val="24"/>
          <w:szCs w:val="24"/>
          <w:lang w:val="nl-NL"/>
        </w:rPr>
      </w:pPr>
      <w:r w:rsidRPr="00875F19">
        <w:rPr>
          <w:i/>
          <w:iCs/>
          <w:sz w:val="24"/>
          <w:szCs w:val="24"/>
          <w:lang w:val="nl-NL"/>
        </w:rPr>
        <w:t xml:space="preserve">Venetoclax </w:t>
      </w:r>
    </w:p>
    <w:p w14:paraId="73D7AF33" w14:textId="44D9D74B" w:rsidR="00C806DE" w:rsidRPr="00875F19" w:rsidRDefault="00C806DE" w:rsidP="00C806DE">
      <w:pPr>
        <w:ind w:left="851"/>
        <w:rPr>
          <w:sz w:val="24"/>
          <w:szCs w:val="24"/>
        </w:rPr>
      </w:pPr>
      <w:r w:rsidRPr="00875F19">
        <w:rPr>
          <w:sz w:val="24"/>
          <w:szCs w:val="24"/>
          <w:lang w:val="nl-NL"/>
        </w:rPr>
        <w:t>Sammenlignet med venetoclax 400 mg administreret alene, øgedes C</w:t>
      </w:r>
      <w:r w:rsidRPr="00875F19">
        <w:rPr>
          <w:sz w:val="24"/>
          <w:szCs w:val="24"/>
          <w:vertAlign w:val="subscript"/>
          <w:lang w:val="nl-NL"/>
        </w:rPr>
        <w:t>max</w:t>
      </w:r>
      <w:r w:rsidRPr="00875F19">
        <w:rPr>
          <w:sz w:val="24"/>
          <w:szCs w:val="24"/>
          <w:lang w:val="nl-NL"/>
        </w:rPr>
        <w:t xml:space="preserve"> af venetoclax til henholdsvis 1,6 gange og 1,9 gange samt AUC til henholdsvis 1,9 gange og 2,4 gange ved samtidig administration af 300 mg posaconazol, en potent CYP3A-hæmmer, og venetoclax 50 mg og 100 mg i 7 dage hos 12 patienter (se pkt. 4.3 og 4.4). </w:t>
      </w:r>
      <w:r w:rsidRPr="00875F19">
        <w:rPr>
          <w:sz w:val="24"/>
          <w:szCs w:val="24"/>
        </w:rPr>
        <w:t xml:space="preserve">Se </w:t>
      </w:r>
      <w:r w:rsidR="00E5143B">
        <w:rPr>
          <w:sz w:val="24"/>
          <w:szCs w:val="24"/>
        </w:rPr>
        <w:t>produktresumé</w:t>
      </w:r>
      <w:r w:rsidRPr="00875F19">
        <w:rPr>
          <w:sz w:val="24"/>
          <w:szCs w:val="24"/>
        </w:rPr>
        <w:t xml:space="preserve"> for venetoclax.</w:t>
      </w:r>
    </w:p>
    <w:p w14:paraId="34693FD3" w14:textId="77777777" w:rsidR="00C806DE" w:rsidRPr="00875F19" w:rsidRDefault="00C806DE" w:rsidP="00C806DE">
      <w:pPr>
        <w:ind w:left="851"/>
        <w:rPr>
          <w:sz w:val="24"/>
          <w:szCs w:val="24"/>
        </w:rPr>
      </w:pPr>
    </w:p>
    <w:p w14:paraId="44C244B7" w14:textId="77777777" w:rsidR="00C806DE" w:rsidRPr="00875F19" w:rsidRDefault="00C806DE" w:rsidP="00C806DE">
      <w:pPr>
        <w:ind w:left="851"/>
        <w:rPr>
          <w:sz w:val="24"/>
          <w:szCs w:val="24"/>
          <w:u w:val="single"/>
        </w:rPr>
      </w:pPr>
      <w:r w:rsidRPr="00875F19">
        <w:rPr>
          <w:sz w:val="24"/>
          <w:szCs w:val="24"/>
          <w:u w:val="single"/>
        </w:rPr>
        <w:t xml:space="preserve">Pædiatrisk population </w:t>
      </w:r>
    </w:p>
    <w:p w14:paraId="6BD2E9C2" w14:textId="77777777" w:rsidR="00C806DE" w:rsidRPr="00875F19" w:rsidRDefault="00C806DE" w:rsidP="00C806DE">
      <w:pPr>
        <w:ind w:left="851"/>
        <w:rPr>
          <w:sz w:val="24"/>
          <w:szCs w:val="24"/>
        </w:rPr>
      </w:pPr>
      <w:r w:rsidRPr="00875F19">
        <w:rPr>
          <w:sz w:val="24"/>
          <w:szCs w:val="24"/>
        </w:rPr>
        <w:t>Interaktionsstudier er kun udført hos voksne.</w:t>
      </w:r>
    </w:p>
    <w:p w14:paraId="790993F0" w14:textId="77777777" w:rsidR="009260DE" w:rsidRPr="00875F19" w:rsidRDefault="009260DE" w:rsidP="009260DE">
      <w:pPr>
        <w:tabs>
          <w:tab w:val="left" w:pos="851"/>
        </w:tabs>
        <w:ind w:left="851"/>
        <w:rPr>
          <w:sz w:val="24"/>
          <w:szCs w:val="24"/>
        </w:rPr>
      </w:pPr>
    </w:p>
    <w:p w14:paraId="7F7D5F10" w14:textId="77777777" w:rsidR="009260DE" w:rsidRPr="00875F19" w:rsidRDefault="009260DE" w:rsidP="009260DE">
      <w:pPr>
        <w:tabs>
          <w:tab w:val="left" w:pos="851"/>
        </w:tabs>
        <w:ind w:left="851" w:hanging="851"/>
        <w:rPr>
          <w:b/>
          <w:sz w:val="24"/>
          <w:szCs w:val="24"/>
        </w:rPr>
      </w:pPr>
      <w:r w:rsidRPr="00875F19">
        <w:rPr>
          <w:b/>
          <w:sz w:val="24"/>
          <w:szCs w:val="24"/>
        </w:rPr>
        <w:t>4.6</w:t>
      </w:r>
      <w:r w:rsidRPr="00875F19">
        <w:rPr>
          <w:b/>
          <w:sz w:val="24"/>
          <w:szCs w:val="24"/>
        </w:rPr>
        <w:tab/>
      </w:r>
      <w:r w:rsidR="0071241E" w:rsidRPr="00875F19">
        <w:rPr>
          <w:b/>
          <w:sz w:val="24"/>
          <w:szCs w:val="24"/>
        </w:rPr>
        <w:t>Fertilitet, g</w:t>
      </w:r>
      <w:r w:rsidRPr="00875F19">
        <w:rPr>
          <w:b/>
          <w:sz w:val="24"/>
          <w:szCs w:val="24"/>
        </w:rPr>
        <w:t>raviditet og amning</w:t>
      </w:r>
    </w:p>
    <w:p w14:paraId="228602A4" w14:textId="77777777" w:rsidR="00383C5F" w:rsidRDefault="00383C5F" w:rsidP="00C806DE">
      <w:pPr>
        <w:ind w:left="851"/>
        <w:rPr>
          <w:sz w:val="24"/>
          <w:szCs w:val="24"/>
        </w:rPr>
      </w:pPr>
    </w:p>
    <w:p w14:paraId="54191D73" w14:textId="466B6ECA" w:rsidR="00C806DE" w:rsidRPr="00383C5F" w:rsidRDefault="00C806DE" w:rsidP="00C806DE">
      <w:pPr>
        <w:ind w:left="851"/>
        <w:rPr>
          <w:sz w:val="24"/>
          <w:szCs w:val="24"/>
          <w:u w:val="single"/>
        </w:rPr>
      </w:pPr>
      <w:r w:rsidRPr="00383C5F">
        <w:rPr>
          <w:sz w:val="24"/>
          <w:szCs w:val="24"/>
          <w:u w:val="single"/>
        </w:rPr>
        <w:t xml:space="preserve">Graviditet </w:t>
      </w:r>
    </w:p>
    <w:p w14:paraId="628BA954" w14:textId="77777777" w:rsidR="00C806DE" w:rsidRPr="00875F19" w:rsidRDefault="00C806DE" w:rsidP="00C806DE">
      <w:pPr>
        <w:ind w:left="851"/>
        <w:rPr>
          <w:sz w:val="24"/>
          <w:szCs w:val="24"/>
          <w:lang w:val="nl-NL"/>
        </w:rPr>
      </w:pPr>
      <w:r w:rsidRPr="00875F19">
        <w:rPr>
          <w:sz w:val="24"/>
          <w:szCs w:val="24"/>
          <w:lang w:val="nl-NL"/>
        </w:rPr>
        <w:t>Der er utilstrækkelige data fra anvendelse af posaconazol til gravide kvinder. Dyreforsøg har påvist reproduktionstoksicitet (se pkt. 5.3). Den potentielle risiko for mennesker er ukendt.</w:t>
      </w:r>
    </w:p>
    <w:p w14:paraId="22EBF294" w14:textId="77777777" w:rsidR="00C806DE" w:rsidRPr="00875F19" w:rsidRDefault="00C806DE" w:rsidP="00C806DE">
      <w:pPr>
        <w:ind w:left="851"/>
        <w:rPr>
          <w:sz w:val="24"/>
          <w:szCs w:val="24"/>
          <w:lang w:val="nl-NL"/>
        </w:rPr>
      </w:pPr>
    </w:p>
    <w:p w14:paraId="50C5E34B" w14:textId="77777777" w:rsidR="00C806DE" w:rsidRPr="00875F19" w:rsidRDefault="00C806DE" w:rsidP="00C806DE">
      <w:pPr>
        <w:ind w:left="851"/>
        <w:rPr>
          <w:sz w:val="24"/>
          <w:szCs w:val="24"/>
          <w:lang w:val="nl-NL"/>
        </w:rPr>
      </w:pPr>
      <w:r w:rsidRPr="00875F19">
        <w:rPr>
          <w:sz w:val="24"/>
          <w:szCs w:val="24"/>
          <w:lang w:val="nl-NL"/>
        </w:rPr>
        <w:t>Kvinder i den fertile alder skal anvende sikker kontraception under behandlingen. Posaconazol må ikke anvendes under graviditet, medmindre fordelen for moderen klart opvejer den potentielle risiko for fostret.</w:t>
      </w:r>
    </w:p>
    <w:p w14:paraId="52AD91AE" w14:textId="77777777" w:rsidR="00C806DE" w:rsidRPr="00875F19" w:rsidRDefault="00C806DE" w:rsidP="00C806DE">
      <w:pPr>
        <w:ind w:left="851"/>
        <w:rPr>
          <w:sz w:val="24"/>
          <w:szCs w:val="24"/>
          <w:lang w:val="nl-NL"/>
        </w:rPr>
      </w:pPr>
    </w:p>
    <w:p w14:paraId="67BAAD74" w14:textId="77777777" w:rsidR="00C806DE" w:rsidRPr="00875F19" w:rsidRDefault="00C806DE" w:rsidP="00C806DE">
      <w:pPr>
        <w:ind w:left="851"/>
        <w:rPr>
          <w:sz w:val="24"/>
          <w:szCs w:val="24"/>
          <w:u w:val="single"/>
          <w:lang w:val="nl-NL"/>
        </w:rPr>
      </w:pPr>
      <w:r w:rsidRPr="00875F19">
        <w:rPr>
          <w:sz w:val="24"/>
          <w:szCs w:val="24"/>
          <w:u w:val="single"/>
          <w:lang w:val="nl-NL"/>
        </w:rPr>
        <w:t xml:space="preserve">Amning </w:t>
      </w:r>
    </w:p>
    <w:p w14:paraId="7F9D34E5" w14:textId="77777777" w:rsidR="00C806DE" w:rsidRPr="00875F19" w:rsidRDefault="00C806DE" w:rsidP="00C806DE">
      <w:pPr>
        <w:ind w:left="851"/>
        <w:rPr>
          <w:sz w:val="24"/>
          <w:szCs w:val="24"/>
          <w:lang w:val="nl-NL"/>
        </w:rPr>
      </w:pPr>
      <w:r w:rsidRPr="00875F19">
        <w:rPr>
          <w:sz w:val="24"/>
          <w:szCs w:val="24"/>
          <w:lang w:val="nl-NL"/>
        </w:rPr>
        <w:t>Posaconazol udskilles i mælken hos diegivende rotter (se pkt. 5.3). Udskillelsen af posaconazol i human mælk er ikke undersøgt. Amning skal ophøre ved påbegyndelse af behandling med posaconazol.</w:t>
      </w:r>
    </w:p>
    <w:p w14:paraId="4D033BC3" w14:textId="77777777" w:rsidR="00C806DE" w:rsidRPr="00875F19" w:rsidRDefault="00C806DE" w:rsidP="00C806DE">
      <w:pPr>
        <w:ind w:left="851"/>
        <w:rPr>
          <w:sz w:val="24"/>
          <w:szCs w:val="24"/>
          <w:lang w:val="nl-NL"/>
        </w:rPr>
      </w:pPr>
    </w:p>
    <w:p w14:paraId="10188A60" w14:textId="77777777" w:rsidR="00C806DE" w:rsidRPr="00875F19" w:rsidRDefault="00C806DE" w:rsidP="00C806DE">
      <w:pPr>
        <w:ind w:left="851"/>
        <w:rPr>
          <w:sz w:val="24"/>
          <w:szCs w:val="24"/>
          <w:u w:val="single"/>
          <w:lang w:val="nl-NL"/>
        </w:rPr>
      </w:pPr>
      <w:r w:rsidRPr="00875F19">
        <w:rPr>
          <w:sz w:val="24"/>
          <w:szCs w:val="24"/>
          <w:u w:val="single"/>
          <w:lang w:val="nl-NL"/>
        </w:rPr>
        <w:t xml:space="preserve">Fertilitet </w:t>
      </w:r>
    </w:p>
    <w:p w14:paraId="188132E2" w14:textId="77777777" w:rsidR="00C806DE" w:rsidRPr="00875F19" w:rsidRDefault="00C806DE" w:rsidP="00C806DE">
      <w:pPr>
        <w:ind w:left="851"/>
        <w:rPr>
          <w:sz w:val="24"/>
          <w:szCs w:val="24"/>
          <w:lang w:val="nl-NL"/>
        </w:rPr>
      </w:pPr>
      <w:r w:rsidRPr="00875F19">
        <w:rPr>
          <w:sz w:val="24"/>
          <w:szCs w:val="24"/>
          <w:lang w:val="nl-NL"/>
        </w:rPr>
        <w:t>Posaconazol havde ingen indvirkning på hanrotters fertilitet ved doser på op til 180 mg/kg (2,8 gange den eksponering, som blev opnået fra en 300 mg intravenøs dosis hos mennesker) eller på hunrotters fertilitet ved en dosis på op til 45 mg/kg (3,4 gange eksponeringen fra en 300 mg intravenøs dosis hos patienter). Der er ingen klinisk erfaring, som vurderer posaconazols indvirkning på fertiliteten hos mennesker.</w:t>
      </w:r>
    </w:p>
    <w:p w14:paraId="3F09367B" w14:textId="77777777" w:rsidR="009260DE" w:rsidRPr="00875F19" w:rsidRDefault="009260DE" w:rsidP="009260DE">
      <w:pPr>
        <w:tabs>
          <w:tab w:val="left" w:pos="851"/>
        </w:tabs>
        <w:ind w:left="851"/>
        <w:rPr>
          <w:sz w:val="24"/>
          <w:szCs w:val="24"/>
        </w:rPr>
      </w:pPr>
    </w:p>
    <w:p w14:paraId="5F7BE53F" w14:textId="77777777" w:rsidR="009260DE" w:rsidRPr="00875F19" w:rsidRDefault="009260DE" w:rsidP="009260DE">
      <w:pPr>
        <w:tabs>
          <w:tab w:val="left" w:pos="851"/>
        </w:tabs>
        <w:ind w:left="851" w:hanging="851"/>
        <w:rPr>
          <w:b/>
          <w:sz w:val="24"/>
          <w:szCs w:val="24"/>
        </w:rPr>
      </w:pPr>
      <w:r w:rsidRPr="00875F19">
        <w:rPr>
          <w:b/>
          <w:sz w:val="24"/>
          <w:szCs w:val="24"/>
        </w:rPr>
        <w:t>4.7</w:t>
      </w:r>
      <w:r w:rsidRPr="00875F19">
        <w:rPr>
          <w:b/>
          <w:sz w:val="24"/>
          <w:szCs w:val="24"/>
        </w:rPr>
        <w:tab/>
        <w:t xml:space="preserve">Virkning på evnen til at føre motorkøretøj </w:t>
      </w:r>
      <w:r w:rsidR="0071241E" w:rsidRPr="00875F19">
        <w:rPr>
          <w:b/>
          <w:sz w:val="24"/>
          <w:szCs w:val="24"/>
        </w:rPr>
        <w:t>og</w:t>
      </w:r>
      <w:r w:rsidRPr="00875F19">
        <w:rPr>
          <w:b/>
          <w:sz w:val="24"/>
          <w:szCs w:val="24"/>
        </w:rPr>
        <w:t xml:space="preserve"> betjene maskiner</w:t>
      </w:r>
    </w:p>
    <w:p w14:paraId="758B7EE1" w14:textId="77777777" w:rsidR="006D7224" w:rsidRDefault="006D7224" w:rsidP="00C806DE">
      <w:pPr>
        <w:ind w:left="851"/>
        <w:rPr>
          <w:sz w:val="24"/>
          <w:szCs w:val="24"/>
        </w:rPr>
      </w:pPr>
      <w:r>
        <w:rPr>
          <w:sz w:val="24"/>
          <w:szCs w:val="24"/>
        </w:rPr>
        <w:t>Ikke mærkning.</w:t>
      </w:r>
    </w:p>
    <w:p w14:paraId="49021755" w14:textId="52F7552D" w:rsidR="00C806DE" w:rsidRPr="00875F19" w:rsidRDefault="00C806DE" w:rsidP="00C806DE">
      <w:pPr>
        <w:ind w:left="851"/>
        <w:rPr>
          <w:sz w:val="24"/>
          <w:szCs w:val="24"/>
        </w:rPr>
      </w:pPr>
      <w:r w:rsidRPr="00875F19">
        <w:rPr>
          <w:sz w:val="24"/>
          <w:szCs w:val="24"/>
        </w:rPr>
        <w:t>Da visse bivirkninger (f.eks. svimmelhed, døsighed osv.), som potentielt kan påvirke evnen til at føre motorkøretøj og betjene maskiner, er set ved anvendelse af posaconazol, skal der udvises forsigtighed.</w:t>
      </w:r>
    </w:p>
    <w:p w14:paraId="109A71F2" w14:textId="77777777" w:rsidR="009260DE" w:rsidRPr="00875F19" w:rsidRDefault="009260DE" w:rsidP="009260DE">
      <w:pPr>
        <w:tabs>
          <w:tab w:val="left" w:pos="851"/>
        </w:tabs>
        <w:ind w:left="851"/>
        <w:rPr>
          <w:sz w:val="24"/>
          <w:szCs w:val="24"/>
        </w:rPr>
      </w:pPr>
    </w:p>
    <w:p w14:paraId="101218C6" w14:textId="77777777" w:rsidR="009260DE" w:rsidRPr="00875F19" w:rsidRDefault="009260DE" w:rsidP="009260DE">
      <w:pPr>
        <w:tabs>
          <w:tab w:val="left" w:pos="851"/>
        </w:tabs>
        <w:ind w:left="851" w:hanging="851"/>
        <w:rPr>
          <w:b/>
          <w:sz w:val="24"/>
          <w:szCs w:val="24"/>
        </w:rPr>
      </w:pPr>
      <w:r w:rsidRPr="00875F19">
        <w:rPr>
          <w:b/>
          <w:sz w:val="24"/>
          <w:szCs w:val="24"/>
        </w:rPr>
        <w:t>4.8</w:t>
      </w:r>
      <w:r w:rsidRPr="00875F19">
        <w:rPr>
          <w:b/>
          <w:sz w:val="24"/>
          <w:szCs w:val="24"/>
        </w:rPr>
        <w:tab/>
        <w:t>Bivirkninger</w:t>
      </w:r>
    </w:p>
    <w:p w14:paraId="021B55C1" w14:textId="77777777" w:rsidR="00C806DE" w:rsidRPr="00875F19" w:rsidRDefault="00C806DE" w:rsidP="00507609">
      <w:pPr>
        <w:ind w:left="851"/>
        <w:rPr>
          <w:sz w:val="24"/>
          <w:szCs w:val="24"/>
        </w:rPr>
      </w:pPr>
    </w:p>
    <w:p w14:paraId="6DB57160" w14:textId="77777777" w:rsidR="00C806DE" w:rsidRPr="00875F19" w:rsidRDefault="00C806DE" w:rsidP="00507609">
      <w:pPr>
        <w:ind w:left="851"/>
        <w:rPr>
          <w:sz w:val="24"/>
          <w:szCs w:val="24"/>
          <w:u w:val="single"/>
        </w:rPr>
      </w:pPr>
      <w:r w:rsidRPr="00875F19">
        <w:rPr>
          <w:sz w:val="24"/>
          <w:szCs w:val="24"/>
          <w:u w:val="single"/>
        </w:rPr>
        <w:t>Oversigt over sikkerhedsprofilen</w:t>
      </w:r>
    </w:p>
    <w:p w14:paraId="64CB6CC8" w14:textId="77777777" w:rsidR="00C806DE" w:rsidRPr="00875F19" w:rsidRDefault="00C806DE" w:rsidP="00507609">
      <w:pPr>
        <w:ind w:left="851"/>
        <w:rPr>
          <w:sz w:val="24"/>
          <w:szCs w:val="24"/>
          <w:lang w:val="nl-NL"/>
        </w:rPr>
      </w:pPr>
      <w:r w:rsidRPr="00875F19">
        <w:rPr>
          <w:sz w:val="24"/>
          <w:szCs w:val="24"/>
          <w:lang w:val="nl-NL"/>
        </w:rPr>
        <w:t xml:space="preserve">Sikkerhedsdata stammer hovedsaglig fra studier med den orale suspension. </w:t>
      </w:r>
    </w:p>
    <w:p w14:paraId="6B191DA1" w14:textId="77777777" w:rsidR="00C806DE" w:rsidRPr="00875F19" w:rsidRDefault="00C806DE" w:rsidP="00507609">
      <w:pPr>
        <w:ind w:left="851"/>
        <w:rPr>
          <w:sz w:val="24"/>
          <w:szCs w:val="24"/>
          <w:lang w:val="nl-NL"/>
        </w:rPr>
      </w:pPr>
    </w:p>
    <w:p w14:paraId="3D9295AF" w14:textId="77777777" w:rsidR="00C806DE" w:rsidRPr="00875F19" w:rsidRDefault="00C806DE" w:rsidP="00507609">
      <w:pPr>
        <w:ind w:left="851"/>
        <w:rPr>
          <w:sz w:val="24"/>
          <w:szCs w:val="24"/>
          <w:lang w:val="nl-NL"/>
        </w:rPr>
      </w:pPr>
      <w:r w:rsidRPr="00875F19">
        <w:rPr>
          <w:sz w:val="24"/>
          <w:szCs w:val="24"/>
          <w:lang w:val="nl-NL"/>
        </w:rPr>
        <w:t>Sikkerheden af posaconazol oral suspension er vurderet hos &gt; 2.400 patienter og frivillige raske forsøgspersoner i kliniske studier og på baggrund af erfaring efter markedsføring. De hyppigst rapporterede alvorlige bivirkninger var kvalme, opkastning, diarré, pyreksi og øget bilirubinniveau.</w:t>
      </w:r>
    </w:p>
    <w:p w14:paraId="3B853F81" w14:textId="7425227F" w:rsidR="00E5143B" w:rsidRDefault="00E5143B">
      <w:pPr>
        <w:rPr>
          <w:sz w:val="24"/>
          <w:szCs w:val="24"/>
          <w:lang w:val="nl-NL"/>
        </w:rPr>
      </w:pPr>
      <w:r>
        <w:rPr>
          <w:sz w:val="24"/>
          <w:szCs w:val="24"/>
          <w:lang w:val="nl-NL"/>
        </w:rPr>
        <w:br w:type="page"/>
      </w:r>
    </w:p>
    <w:p w14:paraId="4FA96290" w14:textId="77777777" w:rsidR="00C806DE" w:rsidRPr="00875F19" w:rsidRDefault="00C806DE" w:rsidP="00507609">
      <w:pPr>
        <w:ind w:left="851"/>
        <w:rPr>
          <w:sz w:val="24"/>
          <w:szCs w:val="24"/>
          <w:lang w:val="nl-NL"/>
        </w:rPr>
      </w:pPr>
    </w:p>
    <w:p w14:paraId="01E2050B" w14:textId="77777777" w:rsidR="00C806DE" w:rsidRPr="00875F19" w:rsidRDefault="00C806DE" w:rsidP="00507609">
      <w:pPr>
        <w:ind w:left="851"/>
        <w:rPr>
          <w:i/>
          <w:iCs/>
          <w:sz w:val="24"/>
          <w:szCs w:val="24"/>
          <w:u w:val="single"/>
          <w:lang w:val="nl-NL"/>
        </w:rPr>
      </w:pPr>
      <w:r w:rsidRPr="00875F19">
        <w:rPr>
          <w:i/>
          <w:iCs/>
          <w:sz w:val="24"/>
          <w:szCs w:val="24"/>
          <w:u w:val="single"/>
          <w:lang w:val="nl-NL"/>
        </w:rPr>
        <w:t xml:space="preserve">Posaconazol koncentrat til infusionsvæske, opløsning </w:t>
      </w:r>
    </w:p>
    <w:p w14:paraId="56E82DEB" w14:textId="77777777" w:rsidR="00C806DE" w:rsidRPr="00875F19" w:rsidRDefault="00C806DE" w:rsidP="00507609">
      <w:pPr>
        <w:ind w:left="851"/>
        <w:rPr>
          <w:sz w:val="24"/>
          <w:szCs w:val="24"/>
          <w:lang w:val="nl-NL"/>
        </w:rPr>
      </w:pPr>
      <w:r w:rsidRPr="00875F19">
        <w:rPr>
          <w:sz w:val="24"/>
          <w:szCs w:val="24"/>
          <w:lang w:val="nl-NL"/>
        </w:rPr>
        <w:t>Sikkerheden af posaconazol koncentrat til infusionsvæske, opløsning, er vurderet hos 72 raske frivillige forsøgspersoner og 268 patienter i et studie med profylaktisk antimykotisk behandling. Sikkerheden af posaconazol koncentrat til infusionsvæske, opløsning, og posaconazol tabletter er vurderet hos 288 patienter i et klinisk studie med behandling af invasiv aspergillose, hvoraf 161 patienter fik koncentrat til infusionsvæske, opløsning, og 127 patienter fik tabletformuleringen.</w:t>
      </w:r>
    </w:p>
    <w:p w14:paraId="24366FAF" w14:textId="77777777" w:rsidR="00C806DE" w:rsidRPr="00875F19" w:rsidRDefault="00C806DE" w:rsidP="00507609">
      <w:pPr>
        <w:ind w:left="851"/>
        <w:rPr>
          <w:sz w:val="24"/>
          <w:szCs w:val="24"/>
          <w:lang w:val="nl-NL"/>
        </w:rPr>
      </w:pPr>
    </w:p>
    <w:p w14:paraId="576758DA" w14:textId="77777777" w:rsidR="00C806DE" w:rsidRPr="00875F19" w:rsidRDefault="00C806DE" w:rsidP="00507609">
      <w:pPr>
        <w:ind w:left="851"/>
        <w:rPr>
          <w:sz w:val="24"/>
          <w:szCs w:val="24"/>
          <w:lang w:val="nl-NL"/>
        </w:rPr>
      </w:pPr>
      <w:r w:rsidRPr="00875F19">
        <w:rPr>
          <w:sz w:val="24"/>
          <w:szCs w:val="24"/>
          <w:lang w:val="nl-NL"/>
        </w:rPr>
        <w:t xml:space="preserve">Posaconazol koncentrat til infusionsvæske, opløsning er udelukkende blevet undersøgt hos patienter med AML og patienter med MDS samt hos patienter efter HSCT med eller uden risiko for </w:t>
      </w:r>
      <w:r w:rsidRPr="00875F19">
        <w:rPr>
          <w:i/>
          <w:iCs/>
          <w:sz w:val="24"/>
          <w:szCs w:val="24"/>
          <w:lang w:val="nl-NL"/>
        </w:rPr>
        <w:t>graft versus</w:t>
      </w:r>
      <w:r w:rsidRPr="00875F19">
        <w:rPr>
          <w:sz w:val="24"/>
          <w:szCs w:val="24"/>
          <w:lang w:val="nl-NL"/>
        </w:rPr>
        <w:t xml:space="preserve"> </w:t>
      </w:r>
      <w:r w:rsidRPr="00875F19">
        <w:rPr>
          <w:i/>
          <w:iCs/>
          <w:sz w:val="24"/>
          <w:szCs w:val="24"/>
          <w:lang w:val="nl-NL"/>
        </w:rPr>
        <w:t>host-</w:t>
      </w:r>
      <w:r w:rsidRPr="00875F19">
        <w:rPr>
          <w:sz w:val="24"/>
          <w:szCs w:val="24"/>
          <w:lang w:val="nl-NL"/>
        </w:rPr>
        <w:t>sygdom (GVHD). Den maksimale varighed af eksponering for koncentratet til infusionsvæske, opløsning var kortere end eksponeringen for den orale suspension. Plasmaeksponeringen fra koncentrat til infusionsvæske, opløsning var højere end den plasmaeksponering, som blev set ved den orale suspension.</w:t>
      </w:r>
    </w:p>
    <w:p w14:paraId="32C87997" w14:textId="77777777" w:rsidR="00C806DE" w:rsidRPr="00875F19" w:rsidRDefault="00C806DE" w:rsidP="00507609">
      <w:pPr>
        <w:ind w:left="851"/>
        <w:rPr>
          <w:sz w:val="24"/>
          <w:szCs w:val="24"/>
          <w:lang w:val="nl-NL"/>
        </w:rPr>
      </w:pPr>
    </w:p>
    <w:p w14:paraId="4FED59E4" w14:textId="77777777" w:rsidR="00C806DE" w:rsidRPr="00875F19" w:rsidRDefault="00C806DE" w:rsidP="00507609">
      <w:pPr>
        <w:ind w:left="851"/>
        <w:rPr>
          <w:sz w:val="24"/>
          <w:szCs w:val="24"/>
          <w:lang w:val="nl-NL"/>
        </w:rPr>
      </w:pPr>
      <w:r w:rsidRPr="00875F19">
        <w:rPr>
          <w:sz w:val="24"/>
          <w:szCs w:val="24"/>
          <w:lang w:val="nl-NL"/>
        </w:rPr>
        <w:t>I initiale studier med raske forsøgspersoner blev administration af en enkelt dosis posaconazol indgivet over 30 minutter via et perifert venekateter associeret med en forekomst af reaktioner på infusionsstedet på 12 % (forekomst af tromboflebitis på 4 %). Flere doser af posaconazol, som blev administreret via et perifert venekateter, blev associeret med tromboflebitis (forekomst på 60 %). Derfor blev posaconazol administreret via et centralt venekateter i efterfølgende studier. Hvis et centralt venekateter ikke var muligt, kunne patienterne få en enkelt infusion over 30 minutter via et perifert venekateter. Infusionstider i perifere venekatetre, der overstiger 30 minutter, fører til en højere forekomst af reaktioner på infusionsstedet og tromboflebitis.</w:t>
      </w:r>
    </w:p>
    <w:p w14:paraId="5F9E56F8" w14:textId="77777777" w:rsidR="00C806DE" w:rsidRPr="00875F19" w:rsidRDefault="00C806DE" w:rsidP="00507609">
      <w:pPr>
        <w:ind w:left="851"/>
        <w:rPr>
          <w:sz w:val="24"/>
          <w:szCs w:val="24"/>
          <w:lang w:val="nl-NL"/>
        </w:rPr>
      </w:pPr>
    </w:p>
    <w:p w14:paraId="587B4B73" w14:textId="77777777" w:rsidR="00C806DE" w:rsidRPr="00875F19" w:rsidRDefault="00C806DE" w:rsidP="00507609">
      <w:pPr>
        <w:ind w:left="851"/>
        <w:rPr>
          <w:sz w:val="24"/>
          <w:szCs w:val="24"/>
          <w:lang w:val="nl-NL"/>
        </w:rPr>
      </w:pPr>
      <w:r w:rsidRPr="00875F19">
        <w:rPr>
          <w:sz w:val="24"/>
          <w:szCs w:val="24"/>
          <w:lang w:val="nl-NL"/>
        </w:rPr>
        <w:t>Sikkerheden af posaconazol koncentrat til infusionsvæske, opløsning er vurderet hos 268 patienter i kliniske studier. Patienterne blev inkluderet i et ikke-sammenlignende farmakokinetisk sikkerhedsstudie med posaconazol koncentrat til infusionsvæske, opløsning indgivet som profylaktisk antimykotisk behandling (studie 5520). 11 patienter fik en enkelt dosis på 200 mg posaconazol koncentrat til infusionsvæske, opløsning, 21 patienter fik en daglig dosis på 200 mg med en medianvarighed på 14 dage og 237 patienter fik en daglig dosis på 300 mg med en medianvarighed på 9 dage. Der foreligger ingen sikkerhedsdata for administration &gt; 28 dage. Der er begrænsede sikkerhedsdata fra ældre patienter.</w:t>
      </w:r>
    </w:p>
    <w:p w14:paraId="0D0A4F13" w14:textId="77777777" w:rsidR="00C806DE" w:rsidRPr="00875F19" w:rsidRDefault="00C806DE" w:rsidP="00507609">
      <w:pPr>
        <w:ind w:left="851"/>
        <w:rPr>
          <w:sz w:val="24"/>
          <w:szCs w:val="24"/>
          <w:lang w:val="nl-NL"/>
        </w:rPr>
      </w:pPr>
    </w:p>
    <w:p w14:paraId="5F884CA4" w14:textId="77777777" w:rsidR="00C806DE" w:rsidRPr="00875F19" w:rsidRDefault="00C806DE" w:rsidP="00507609">
      <w:pPr>
        <w:ind w:left="851"/>
        <w:rPr>
          <w:sz w:val="24"/>
          <w:szCs w:val="24"/>
          <w:lang w:val="nl-NL"/>
        </w:rPr>
      </w:pPr>
      <w:r w:rsidRPr="00875F19">
        <w:rPr>
          <w:sz w:val="24"/>
          <w:szCs w:val="24"/>
          <w:lang w:val="nl-NL"/>
        </w:rPr>
        <w:t>Den hyppigst rapporterede bivirkning (&gt; 25 %) med start under den intravenøse fase af doseringen med posaconazol 300 mg en gang dagligt var diarré (32 %).</w:t>
      </w:r>
    </w:p>
    <w:p w14:paraId="0AF10706" w14:textId="77777777" w:rsidR="00C806DE" w:rsidRPr="00875F19" w:rsidRDefault="00C806DE" w:rsidP="00507609">
      <w:pPr>
        <w:ind w:left="851"/>
        <w:rPr>
          <w:sz w:val="24"/>
          <w:szCs w:val="24"/>
          <w:lang w:val="nl-NL"/>
        </w:rPr>
      </w:pPr>
    </w:p>
    <w:p w14:paraId="5BA723AE" w14:textId="30869367" w:rsidR="00C806DE" w:rsidRPr="00875F19" w:rsidRDefault="00C806DE" w:rsidP="00507609">
      <w:pPr>
        <w:ind w:left="851"/>
        <w:rPr>
          <w:sz w:val="24"/>
          <w:szCs w:val="24"/>
          <w:lang w:val="nl-NL"/>
        </w:rPr>
      </w:pPr>
      <w:r w:rsidRPr="00875F19">
        <w:rPr>
          <w:sz w:val="24"/>
          <w:szCs w:val="24"/>
          <w:lang w:val="nl-NL"/>
        </w:rPr>
        <w:t>Den mest almindelige bivirkning (&gt; 1 %), som førte til seponering af behandlingen med posaconazol koncentrat til infusionsvæske, opløsning 300 mg en gang dagligt, var AML (1</w:t>
      </w:r>
      <w:r w:rsidR="006D7224">
        <w:rPr>
          <w:sz w:val="24"/>
          <w:szCs w:val="24"/>
          <w:lang w:val="nl-NL"/>
        </w:rPr>
        <w:t> </w:t>
      </w:r>
      <w:r w:rsidRPr="00875F19">
        <w:rPr>
          <w:sz w:val="24"/>
          <w:szCs w:val="24"/>
          <w:lang w:val="nl-NL"/>
        </w:rPr>
        <w:t>%).</w:t>
      </w:r>
    </w:p>
    <w:p w14:paraId="3610B463" w14:textId="77777777" w:rsidR="00C806DE" w:rsidRPr="00875F19" w:rsidRDefault="00C806DE" w:rsidP="00507609">
      <w:pPr>
        <w:ind w:left="851"/>
        <w:rPr>
          <w:sz w:val="24"/>
          <w:szCs w:val="24"/>
          <w:lang w:val="nl-NL"/>
        </w:rPr>
      </w:pPr>
    </w:p>
    <w:p w14:paraId="39E4FC34" w14:textId="77777777" w:rsidR="00C806DE" w:rsidRPr="00875F19" w:rsidRDefault="00C806DE" w:rsidP="00507609">
      <w:pPr>
        <w:ind w:left="851"/>
        <w:rPr>
          <w:sz w:val="24"/>
          <w:szCs w:val="24"/>
          <w:lang w:val="nl-NL"/>
        </w:rPr>
      </w:pPr>
      <w:r w:rsidRPr="00875F19">
        <w:rPr>
          <w:sz w:val="24"/>
          <w:szCs w:val="24"/>
          <w:lang w:val="nl-NL"/>
        </w:rPr>
        <w:t>Sikkerheden af posaconazol tabletter og koncentrat til infusionsvæske, opløsning, blev også undersøgt i et kontrolleret studie med behandling af invasiv aspergillose. Den maksimale varighed af behandlingen for invasiv aspergillose var sammenlignelig med den, der blev undersøgt for den orale suspension til salvage-behandling og var længere end varigheden for tabletter eller koncentrat til infusionsvæske, opløsning, til profylakse.</w:t>
      </w:r>
    </w:p>
    <w:p w14:paraId="20AC203F" w14:textId="3037150A" w:rsidR="00E5143B" w:rsidRDefault="00E5143B">
      <w:pPr>
        <w:rPr>
          <w:sz w:val="24"/>
          <w:szCs w:val="24"/>
          <w:lang w:val="nl-NL"/>
        </w:rPr>
      </w:pPr>
      <w:r>
        <w:rPr>
          <w:sz w:val="24"/>
          <w:szCs w:val="24"/>
          <w:lang w:val="nl-NL"/>
        </w:rPr>
        <w:br w:type="page"/>
      </w:r>
    </w:p>
    <w:p w14:paraId="4C2EFB98" w14:textId="77777777" w:rsidR="00C806DE" w:rsidRPr="00875F19" w:rsidRDefault="00C806DE" w:rsidP="00507609">
      <w:pPr>
        <w:ind w:left="851"/>
        <w:rPr>
          <w:sz w:val="24"/>
          <w:szCs w:val="24"/>
          <w:lang w:val="nl-NL"/>
        </w:rPr>
      </w:pPr>
    </w:p>
    <w:p w14:paraId="065DE410" w14:textId="77777777" w:rsidR="00C806DE" w:rsidRPr="00875F19" w:rsidRDefault="00C806DE" w:rsidP="00507609">
      <w:pPr>
        <w:ind w:left="851"/>
        <w:rPr>
          <w:i/>
          <w:iCs/>
          <w:sz w:val="24"/>
          <w:szCs w:val="24"/>
          <w:lang w:val="nl-NL"/>
        </w:rPr>
      </w:pPr>
      <w:r w:rsidRPr="00875F19">
        <w:rPr>
          <w:i/>
          <w:iCs/>
          <w:sz w:val="24"/>
          <w:szCs w:val="24"/>
          <w:lang w:val="nl-NL"/>
        </w:rPr>
        <w:t xml:space="preserve">Sikkerheden af posaconazol enteropulver og solvens til oral suspension og koncentrat til infusionsvæske, opløsning </w:t>
      </w:r>
    </w:p>
    <w:p w14:paraId="5B02DEC0" w14:textId="0909BF3E" w:rsidR="00C806DE" w:rsidRPr="00875F19" w:rsidRDefault="00C806DE" w:rsidP="00507609">
      <w:pPr>
        <w:ind w:left="851"/>
        <w:rPr>
          <w:sz w:val="24"/>
          <w:szCs w:val="24"/>
          <w:lang w:val="nl-NL"/>
        </w:rPr>
      </w:pPr>
      <w:r w:rsidRPr="00875F19">
        <w:rPr>
          <w:sz w:val="24"/>
          <w:szCs w:val="24"/>
          <w:lang w:val="nl-NL"/>
        </w:rPr>
        <w:t>Sikkerheden af posaconazol enteropulver og solvens til oral suspension og koncentrat til infusionsvæske, opløsning er vurderet hos 115 pædiatriske patienter i alderen 2 år til under 18 år til profylaktisk anvendelse. Immunkompromitterede pædiatriske patienter med kendt eller formodet neutropeni blev eksponeret for posaconazol ved doser på 3,5 mg/kg, 4,5</w:t>
      </w:r>
      <w:r w:rsidR="00E5143B">
        <w:rPr>
          <w:sz w:val="24"/>
          <w:szCs w:val="24"/>
          <w:lang w:val="nl-NL"/>
        </w:rPr>
        <w:t> </w:t>
      </w:r>
      <w:r w:rsidRPr="00875F19">
        <w:rPr>
          <w:sz w:val="24"/>
          <w:szCs w:val="24"/>
          <w:lang w:val="nl-NL"/>
        </w:rPr>
        <w:t>mg/kg eller 6 mg/kg.</w:t>
      </w:r>
    </w:p>
    <w:p w14:paraId="18285AA6" w14:textId="77777777" w:rsidR="00C806DE" w:rsidRPr="00875F19" w:rsidRDefault="00C806DE" w:rsidP="00507609">
      <w:pPr>
        <w:ind w:left="851"/>
        <w:rPr>
          <w:sz w:val="24"/>
          <w:szCs w:val="24"/>
          <w:lang w:val="nl-NL"/>
        </w:rPr>
      </w:pPr>
    </w:p>
    <w:p w14:paraId="5F2A3F2F" w14:textId="77777777" w:rsidR="00C806DE" w:rsidRPr="00875F19" w:rsidRDefault="00C806DE" w:rsidP="00507609">
      <w:pPr>
        <w:ind w:left="851"/>
        <w:rPr>
          <w:sz w:val="24"/>
          <w:szCs w:val="24"/>
          <w:lang w:val="nl-NL"/>
        </w:rPr>
      </w:pPr>
      <w:r w:rsidRPr="00875F19">
        <w:rPr>
          <w:sz w:val="24"/>
          <w:szCs w:val="24"/>
          <w:lang w:val="nl-NL"/>
        </w:rPr>
        <w:t>De rapporterede bivirkninger var generelt sammenlignelige med de bivirkninger, som forventes i en pædiatrisk onkologipopulation i behandling for en malign sygdom eller sammenlignelige med sikkerhedsprofilen for posaconazol hos voksne.</w:t>
      </w:r>
    </w:p>
    <w:p w14:paraId="72C6E6B5" w14:textId="77777777" w:rsidR="00C806DE" w:rsidRPr="00875F19" w:rsidRDefault="00C806DE" w:rsidP="00507609">
      <w:pPr>
        <w:ind w:left="851"/>
        <w:rPr>
          <w:sz w:val="24"/>
          <w:szCs w:val="24"/>
          <w:lang w:val="nl-NL"/>
        </w:rPr>
      </w:pPr>
    </w:p>
    <w:p w14:paraId="538D9887" w14:textId="474152B6" w:rsidR="00C806DE" w:rsidRPr="00875F19" w:rsidRDefault="00C806DE" w:rsidP="00507609">
      <w:pPr>
        <w:ind w:left="851"/>
        <w:rPr>
          <w:sz w:val="24"/>
          <w:szCs w:val="24"/>
          <w:lang w:val="nl-NL"/>
        </w:rPr>
      </w:pPr>
      <w:r w:rsidRPr="00875F19">
        <w:rPr>
          <w:sz w:val="24"/>
          <w:szCs w:val="24"/>
          <w:lang w:val="nl-NL"/>
        </w:rPr>
        <w:t>De hyppigst rapporterede bivirkninger (&gt;2 %) under behandlingen var forhøjet alaninaminotransferase (2,6 %), forhøjet aspartataminotransferase (3,5 %) og udslæt (2,6</w:t>
      </w:r>
      <w:r w:rsidR="006D7224">
        <w:rPr>
          <w:sz w:val="24"/>
          <w:szCs w:val="24"/>
          <w:lang w:val="nl-NL"/>
        </w:rPr>
        <w:t> </w:t>
      </w:r>
      <w:r w:rsidRPr="00875F19">
        <w:rPr>
          <w:sz w:val="24"/>
          <w:szCs w:val="24"/>
          <w:lang w:val="nl-NL"/>
        </w:rPr>
        <w:t>%).</w:t>
      </w:r>
    </w:p>
    <w:p w14:paraId="7A2146BC" w14:textId="77777777" w:rsidR="00C806DE" w:rsidRPr="00875F19" w:rsidRDefault="00C806DE" w:rsidP="00507609">
      <w:pPr>
        <w:ind w:left="851"/>
        <w:rPr>
          <w:sz w:val="24"/>
          <w:szCs w:val="24"/>
          <w:lang w:val="nl-NL"/>
        </w:rPr>
      </w:pPr>
    </w:p>
    <w:p w14:paraId="69A39660" w14:textId="77777777" w:rsidR="00C806DE" w:rsidRPr="00875F19" w:rsidRDefault="00C806DE" w:rsidP="00507609">
      <w:pPr>
        <w:ind w:left="851"/>
        <w:rPr>
          <w:sz w:val="24"/>
          <w:szCs w:val="24"/>
          <w:u w:val="single"/>
          <w:lang w:val="nl-NL"/>
        </w:rPr>
      </w:pPr>
      <w:r w:rsidRPr="00875F19">
        <w:rPr>
          <w:sz w:val="24"/>
          <w:szCs w:val="24"/>
          <w:u w:val="single"/>
          <w:lang w:val="nl-NL"/>
        </w:rPr>
        <w:t xml:space="preserve">Bivirkningstabel </w:t>
      </w:r>
    </w:p>
    <w:p w14:paraId="43CCD949" w14:textId="6A89541A" w:rsidR="00C806DE" w:rsidRPr="00875F19" w:rsidRDefault="00C806DE" w:rsidP="00507609">
      <w:pPr>
        <w:ind w:left="851"/>
        <w:rPr>
          <w:sz w:val="24"/>
          <w:szCs w:val="24"/>
          <w:lang w:val="nl-NL"/>
        </w:rPr>
      </w:pPr>
      <w:r w:rsidRPr="00875F19">
        <w:rPr>
          <w:sz w:val="24"/>
          <w:szCs w:val="24"/>
          <w:lang w:val="nl-NL"/>
        </w:rPr>
        <w:t>Inden for organsystemklasse er bivirkningerne anført under overskrifter for hyppighed ved brug af følgende kategorier: meget almindelig (≥1/10); almindelig (≥1/100 til &lt;1/10); ikke almindelig (≥1/1.000 til &lt;1/100); sjælden (≥ 1/10.000 til &lt;1/1.000); meget sjælden (&lt;1/10.000); ikke kendt (kan ikke estimeres ud fra forhåndenværende data).</w:t>
      </w:r>
    </w:p>
    <w:p w14:paraId="316C5006" w14:textId="77777777" w:rsidR="00507609" w:rsidRPr="00875F19" w:rsidRDefault="00507609" w:rsidP="00507609">
      <w:pPr>
        <w:ind w:left="851"/>
        <w:rPr>
          <w:sz w:val="24"/>
          <w:szCs w:val="24"/>
          <w:lang w:val="nl-NL"/>
        </w:rPr>
      </w:pPr>
    </w:p>
    <w:p w14:paraId="24B89B64" w14:textId="77777777" w:rsidR="00C806DE" w:rsidRPr="00875F19" w:rsidRDefault="00C806DE" w:rsidP="00C806DE">
      <w:pPr>
        <w:rPr>
          <w:sz w:val="24"/>
          <w:szCs w:val="24"/>
          <w:lang w:val="nl-NL"/>
        </w:rPr>
      </w:pPr>
      <w:r w:rsidRPr="00875F19">
        <w:rPr>
          <w:b/>
          <w:bCs/>
          <w:sz w:val="24"/>
          <w:szCs w:val="24"/>
          <w:lang w:val="nl-NL"/>
        </w:rPr>
        <w:t>Tabel 2.</w:t>
      </w:r>
      <w:r w:rsidRPr="00875F19">
        <w:rPr>
          <w:sz w:val="24"/>
          <w:szCs w:val="24"/>
          <w:lang w:val="nl-NL"/>
        </w:rPr>
        <w:t xml:space="preserve"> Bivirkninger, som er rapporteret i kliniske studier og/eller efter markedsføring, anført efter systemorganklasse og hyppighed*</w:t>
      </w:r>
    </w:p>
    <w:tbl>
      <w:tblPr>
        <w:tblStyle w:val="Tabel-Gitter"/>
        <w:tblW w:w="5000" w:type="pct"/>
        <w:tblInd w:w="0" w:type="dxa"/>
        <w:tblLook w:val="04A0" w:firstRow="1" w:lastRow="0" w:firstColumn="1" w:lastColumn="0" w:noHBand="0" w:noVBand="1"/>
      </w:tblPr>
      <w:tblGrid>
        <w:gridCol w:w="3310"/>
        <w:gridCol w:w="6318"/>
      </w:tblGrid>
      <w:tr w:rsidR="00C806DE" w:rsidRPr="00BC713B" w14:paraId="28556F67" w14:textId="77777777" w:rsidTr="006D7224">
        <w:tc>
          <w:tcPr>
            <w:tcW w:w="1719" w:type="pct"/>
            <w:tcBorders>
              <w:top w:val="single" w:sz="4" w:space="0" w:color="auto"/>
              <w:left w:val="single" w:sz="4" w:space="0" w:color="auto"/>
              <w:bottom w:val="single" w:sz="4" w:space="0" w:color="auto"/>
              <w:right w:val="single" w:sz="4" w:space="0" w:color="auto"/>
            </w:tcBorders>
          </w:tcPr>
          <w:p w14:paraId="592E04F2"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b/>
                <w:bCs/>
                <w:sz w:val="24"/>
                <w:szCs w:val="24"/>
                <w:lang w:val="nl-NL"/>
              </w:rPr>
              <w:t>Blod og lymfesystem</w:t>
            </w:r>
            <w:r w:rsidRPr="00875F19">
              <w:rPr>
                <w:rFonts w:ascii="Times New Roman" w:hAnsi="Times New Roman" w:cs="Times New Roman"/>
                <w:sz w:val="24"/>
                <w:szCs w:val="24"/>
                <w:lang w:val="nl-NL"/>
              </w:rPr>
              <w:t xml:space="preserve"> Almindelig:</w:t>
            </w:r>
          </w:p>
          <w:p w14:paraId="5580ABE7"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Ikke almindelig:</w:t>
            </w:r>
          </w:p>
          <w:p w14:paraId="444F9DA7" w14:textId="77777777" w:rsidR="00C806DE" w:rsidRPr="00875F19" w:rsidRDefault="00C806DE">
            <w:pPr>
              <w:rPr>
                <w:rFonts w:ascii="Times New Roman" w:hAnsi="Times New Roman" w:cs="Times New Roman"/>
                <w:sz w:val="24"/>
                <w:szCs w:val="24"/>
                <w:lang w:val="nl-NL"/>
              </w:rPr>
            </w:pPr>
          </w:p>
          <w:p w14:paraId="3D5FD640"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20AB3323" w14:textId="77777777" w:rsidR="00C806DE" w:rsidRPr="00875F19" w:rsidRDefault="00C806DE">
            <w:pPr>
              <w:rPr>
                <w:rFonts w:ascii="Times New Roman" w:hAnsi="Times New Roman" w:cs="Times New Roman"/>
                <w:sz w:val="24"/>
                <w:szCs w:val="24"/>
              </w:rPr>
            </w:pPr>
          </w:p>
          <w:p w14:paraId="62D5900B"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neutropeni</w:t>
            </w:r>
          </w:p>
          <w:p w14:paraId="3603D707"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trombocytopeni, leukopeni, anæmi, eosinofili, lymfadenopati, miltinfarkt</w:t>
            </w:r>
          </w:p>
          <w:p w14:paraId="4C5D0A00"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hæmolytisk uræmisk syndrom, trombotisk trombocytopenisk purpura, pancytopeni, koagulopati, blødning</w:t>
            </w:r>
          </w:p>
        </w:tc>
      </w:tr>
      <w:tr w:rsidR="00C806DE" w:rsidRPr="00875F19" w14:paraId="1BAE38F6"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709F8E3E" w14:textId="77777777" w:rsidR="00C806DE" w:rsidRPr="00875F19" w:rsidRDefault="00C806DE">
            <w:pPr>
              <w:rPr>
                <w:rFonts w:ascii="Times New Roman" w:hAnsi="Times New Roman" w:cs="Times New Roman"/>
                <w:b/>
                <w:bCs/>
                <w:sz w:val="24"/>
                <w:szCs w:val="24"/>
              </w:rPr>
            </w:pPr>
            <w:r w:rsidRPr="00875F19">
              <w:rPr>
                <w:rFonts w:ascii="Times New Roman" w:hAnsi="Times New Roman" w:cs="Times New Roman"/>
                <w:b/>
                <w:bCs/>
                <w:sz w:val="24"/>
                <w:szCs w:val="24"/>
              </w:rPr>
              <w:t xml:space="preserve">Immunsystemet </w:t>
            </w:r>
          </w:p>
          <w:p w14:paraId="3420D9D5"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 xml:space="preserve">Ikke almindelig: </w:t>
            </w:r>
          </w:p>
          <w:p w14:paraId="6B519D36"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350922D8" w14:textId="77777777" w:rsidR="00C806DE" w:rsidRPr="00875F19" w:rsidRDefault="00C806DE">
            <w:pPr>
              <w:rPr>
                <w:rFonts w:ascii="Times New Roman" w:hAnsi="Times New Roman" w:cs="Times New Roman"/>
                <w:sz w:val="24"/>
                <w:szCs w:val="24"/>
              </w:rPr>
            </w:pPr>
          </w:p>
          <w:p w14:paraId="3A8A869F"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 xml:space="preserve">allergisk reaktion </w:t>
            </w:r>
          </w:p>
          <w:p w14:paraId="6F5B468B"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overfølsomhedsreaktion</w:t>
            </w:r>
          </w:p>
        </w:tc>
      </w:tr>
      <w:tr w:rsidR="00C806DE" w:rsidRPr="00875F19" w14:paraId="020AE620"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05CBEF97" w14:textId="77777777" w:rsidR="00C806DE" w:rsidRPr="00875F19" w:rsidRDefault="00C806DE">
            <w:pPr>
              <w:rPr>
                <w:rFonts w:ascii="Times New Roman" w:hAnsi="Times New Roman" w:cs="Times New Roman"/>
                <w:b/>
                <w:bCs/>
                <w:sz w:val="24"/>
                <w:szCs w:val="24"/>
              </w:rPr>
            </w:pPr>
            <w:r w:rsidRPr="00875F19">
              <w:rPr>
                <w:rFonts w:ascii="Times New Roman" w:hAnsi="Times New Roman" w:cs="Times New Roman"/>
                <w:b/>
                <w:bCs/>
                <w:sz w:val="24"/>
                <w:szCs w:val="24"/>
              </w:rPr>
              <w:t xml:space="preserve">Det endokrine system </w:t>
            </w:r>
          </w:p>
          <w:p w14:paraId="7BB32C7F"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23BF10A1" w14:textId="77777777" w:rsidR="00C806DE" w:rsidRPr="00875F19" w:rsidRDefault="00C806DE">
            <w:pPr>
              <w:rPr>
                <w:rFonts w:ascii="Times New Roman" w:hAnsi="Times New Roman" w:cs="Times New Roman"/>
                <w:sz w:val="24"/>
                <w:szCs w:val="24"/>
                <w:lang w:val="da-DK"/>
              </w:rPr>
            </w:pPr>
          </w:p>
          <w:p w14:paraId="73EDBA24"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adrenal insufficiens, nedsat blod gonadotropin, pseudoaldosteronisme</w:t>
            </w:r>
          </w:p>
        </w:tc>
      </w:tr>
      <w:tr w:rsidR="00C806DE" w:rsidRPr="00875F19" w14:paraId="5DCC9CE1" w14:textId="77777777" w:rsidTr="006D7224">
        <w:tc>
          <w:tcPr>
            <w:tcW w:w="1719" w:type="pct"/>
            <w:tcBorders>
              <w:top w:val="single" w:sz="4" w:space="0" w:color="auto"/>
              <w:left w:val="single" w:sz="4" w:space="0" w:color="auto"/>
              <w:bottom w:val="single" w:sz="4" w:space="0" w:color="auto"/>
              <w:right w:val="single" w:sz="4" w:space="0" w:color="auto"/>
            </w:tcBorders>
          </w:tcPr>
          <w:p w14:paraId="772B1497"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b/>
                <w:bCs/>
                <w:sz w:val="24"/>
                <w:szCs w:val="24"/>
                <w:lang w:val="nl-NL"/>
              </w:rPr>
              <w:t>Metabolisme og ernæring</w:t>
            </w:r>
            <w:r w:rsidRPr="00875F19">
              <w:rPr>
                <w:rFonts w:ascii="Times New Roman" w:hAnsi="Times New Roman" w:cs="Times New Roman"/>
                <w:sz w:val="24"/>
                <w:szCs w:val="24"/>
                <w:lang w:val="nl-NL"/>
              </w:rPr>
              <w:t xml:space="preserve"> Almindelig:</w:t>
            </w:r>
          </w:p>
          <w:p w14:paraId="4AC1E330" w14:textId="77777777" w:rsidR="00C806DE" w:rsidRPr="00875F19" w:rsidRDefault="00C806DE">
            <w:pPr>
              <w:rPr>
                <w:rFonts w:ascii="Times New Roman" w:hAnsi="Times New Roman" w:cs="Times New Roman"/>
                <w:sz w:val="24"/>
                <w:szCs w:val="24"/>
                <w:lang w:val="nl-NL"/>
              </w:rPr>
            </w:pPr>
          </w:p>
          <w:p w14:paraId="0B357C70"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Ikke almindelig:</w:t>
            </w:r>
          </w:p>
        </w:tc>
        <w:tc>
          <w:tcPr>
            <w:tcW w:w="3281" w:type="pct"/>
            <w:tcBorders>
              <w:top w:val="single" w:sz="4" w:space="0" w:color="auto"/>
              <w:left w:val="single" w:sz="4" w:space="0" w:color="auto"/>
              <w:bottom w:val="single" w:sz="4" w:space="0" w:color="auto"/>
              <w:right w:val="single" w:sz="4" w:space="0" w:color="auto"/>
            </w:tcBorders>
          </w:tcPr>
          <w:p w14:paraId="1DF3798E" w14:textId="77777777" w:rsidR="00C806DE" w:rsidRPr="00875F19" w:rsidRDefault="00C806DE">
            <w:pPr>
              <w:rPr>
                <w:rFonts w:ascii="Times New Roman" w:hAnsi="Times New Roman" w:cs="Times New Roman"/>
                <w:sz w:val="24"/>
                <w:szCs w:val="24"/>
                <w:lang w:val="nl-NL"/>
              </w:rPr>
            </w:pPr>
          </w:p>
          <w:p w14:paraId="208AFE27"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elektrolytforstyrrelser, anoreksi, nedsat appetit, hypokalæmi, hypomagnesiæmi </w:t>
            </w:r>
          </w:p>
          <w:p w14:paraId="0F44CF2D"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hyperglykæmi, hypoglykæmi</w:t>
            </w:r>
          </w:p>
        </w:tc>
      </w:tr>
      <w:tr w:rsidR="00C806DE" w:rsidRPr="00875F19" w14:paraId="173B52EC"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0DAB5209" w14:textId="77777777" w:rsidR="00C806DE" w:rsidRPr="00875F19" w:rsidRDefault="00C806DE">
            <w:pPr>
              <w:rPr>
                <w:rFonts w:ascii="Times New Roman" w:hAnsi="Times New Roman" w:cs="Times New Roman"/>
                <w:b/>
                <w:bCs/>
                <w:sz w:val="24"/>
                <w:szCs w:val="24"/>
                <w:lang w:val="nl-NL"/>
              </w:rPr>
            </w:pPr>
            <w:r w:rsidRPr="00875F19">
              <w:rPr>
                <w:rFonts w:ascii="Times New Roman" w:hAnsi="Times New Roman" w:cs="Times New Roman"/>
                <w:b/>
                <w:bCs/>
                <w:sz w:val="24"/>
                <w:szCs w:val="24"/>
                <w:lang w:val="nl-NL"/>
              </w:rPr>
              <w:t xml:space="preserve">Psykiske forstyrrelser </w:t>
            </w:r>
          </w:p>
          <w:p w14:paraId="0076E523"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Ikke almindelig </w:t>
            </w:r>
          </w:p>
          <w:p w14:paraId="6C41163A"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Sjælden:</w:t>
            </w:r>
          </w:p>
        </w:tc>
        <w:tc>
          <w:tcPr>
            <w:tcW w:w="3281" w:type="pct"/>
            <w:tcBorders>
              <w:top w:val="single" w:sz="4" w:space="0" w:color="auto"/>
              <w:left w:val="single" w:sz="4" w:space="0" w:color="auto"/>
              <w:bottom w:val="single" w:sz="4" w:space="0" w:color="auto"/>
              <w:right w:val="single" w:sz="4" w:space="0" w:color="auto"/>
            </w:tcBorders>
          </w:tcPr>
          <w:p w14:paraId="17FE96DA" w14:textId="77777777" w:rsidR="00C806DE" w:rsidRPr="00875F19" w:rsidRDefault="00C806DE">
            <w:pPr>
              <w:rPr>
                <w:rFonts w:ascii="Times New Roman" w:hAnsi="Times New Roman" w:cs="Times New Roman"/>
                <w:sz w:val="24"/>
                <w:szCs w:val="24"/>
                <w:lang w:val="nl-NL"/>
              </w:rPr>
            </w:pPr>
          </w:p>
          <w:p w14:paraId="1CEDD7E1"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 xml:space="preserve">unormale drømme, konfus tilstand, søvnforstyrrelser </w:t>
            </w:r>
          </w:p>
          <w:p w14:paraId="6B7F8C6E"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psykotiske tilstande, depression</w:t>
            </w:r>
          </w:p>
        </w:tc>
      </w:tr>
      <w:tr w:rsidR="00C806DE" w:rsidRPr="00875F19" w14:paraId="7B037DE9"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59E8DE0E" w14:textId="77777777" w:rsidR="00C806DE" w:rsidRPr="00875F19" w:rsidRDefault="00C806DE">
            <w:pPr>
              <w:rPr>
                <w:rFonts w:ascii="Times New Roman" w:hAnsi="Times New Roman" w:cs="Times New Roman"/>
                <w:b/>
                <w:bCs/>
                <w:sz w:val="24"/>
                <w:szCs w:val="24"/>
                <w:lang w:val="nl-NL"/>
              </w:rPr>
            </w:pPr>
            <w:r w:rsidRPr="00875F19">
              <w:rPr>
                <w:rFonts w:ascii="Times New Roman" w:hAnsi="Times New Roman" w:cs="Times New Roman"/>
                <w:b/>
                <w:bCs/>
                <w:sz w:val="24"/>
                <w:szCs w:val="24"/>
                <w:lang w:val="nl-NL"/>
              </w:rPr>
              <w:t xml:space="preserve">Nervesystemet </w:t>
            </w:r>
          </w:p>
          <w:p w14:paraId="559BB360"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Almindelig: </w:t>
            </w:r>
          </w:p>
          <w:p w14:paraId="513D401E"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Ikke almindelig: </w:t>
            </w:r>
          </w:p>
          <w:p w14:paraId="35D19B5C"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Sjælden:</w:t>
            </w:r>
          </w:p>
        </w:tc>
        <w:tc>
          <w:tcPr>
            <w:tcW w:w="3281" w:type="pct"/>
            <w:tcBorders>
              <w:top w:val="single" w:sz="4" w:space="0" w:color="auto"/>
              <w:left w:val="single" w:sz="4" w:space="0" w:color="auto"/>
              <w:bottom w:val="single" w:sz="4" w:space="0" w:color="auto"/>
              <w:right w:val="single" w:sz="4" w:space="0" w:color="auto"/>
            </w:tcBorders>
          </w:tcPr>
          <w:p w14:paraId="4541F7CE" w14:textId="77777777" w:rsidR="00C806DE" w:rsidRPr="00875F19" w:rsidRDefault="00C806DE">
            <w:pPr>
              <w:rPr>
                <w:rFonts w:ascii="Times New Roman" w:hAnsi="Times New Roman" w:cs="Times New Roman"/>
                <w:sz w:val="24"/>
                <w:szCs w:val="24"/>
                <w:lang w:val="nl-NL"/>
              </w:rPr>
            </w:pPr>
          </w:p>
          <w:p w14:paraId="0ECC7C72"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parestesi, svimmelhed, døsighed, hovedpine, dysgeusi </w:t>
            </w:r>
          </w:p>
          <w:p w14:paraId="55CED663"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kramper, neuropati, hypoesthesi, tremor, afasi, insomni hjerneblødning, encefalopati, perifer neuropati, synkope</w:t>
            </w:r>
          </w:p>
        </w:tc>
      </w:tr>
      <w:tr w:rsidR="00C806DE" w:rsidRPr="00875F19" w14:paraId="37AB3EAE"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50024DB4" w14:textId="77777777" w:rsidR="00C806DE" w:rsidRPr="00875F19" w:rsidRDefault="00C806DE">
            <w:pPr>
              <w:rPr>
                <w:rFonts w:ascii="Times New Roman" w:hAnsi="Times New Roman" w:cs="Times New Roman"/>
                <w:b/>
                <w:bCs/>
                <w:sz w:val="24"/>
                <w:szCs w:val="24"/>
              </w:rPr>
            </w:pPr>
            <w:r w:rsidRPr="00875F19">
              <w:rPr>
                <w:rFonts w:ascii="Times New Roman" w:hAnsi="Times New Roman" w:cs="Times New Roman"/>
                <w:b/>
                <w:bCs/>
                <w:sz w:val="24"/>
                <w:szCs w:val="24"/>
              </w:rPr>
              <w:t xml:space="preserve">Øjne </w:t>
            </w:r>
          </w:p>
          <w:p w14:paraId="036BC830"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 xml:space="preserve">Ikke almindelig: </w:t>
            </w:r>
          </w:p>
          <w:p w14:paraId="58EB8C16"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5F6A201A" w14:textId="77777777" w:rsidR="00C806DE" w:rsidRPr="00875F19" w:rsidRDefault="00C806DE">
            <w:pPr>
              <w:rPr>
                <w:rFonts w:ascii="Times New Roman" w:hAnsi="Times New Roman" w:cs="Times New Roman"/>
                <w:sz w:val="24"/>
                <w:szCs w:val="24"/>
                <w:lang w:val="nl-NL"/>
              </w:rPr>
            </w:pPr>
          </w:p>
          <w:p w14:paraId="055E65CF"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sløret syn, fotofobi, nedsat synsstyrke </w:t>
            </w:r>
          </w:p>
          <w:p w14:paraId="117459F1"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dobbeltsyn, scotoma</w:t>
            </w:r>
          </w:p>
        </w:tc>
      </w:tr>
      <w:tr w:rsidR="00C806DE" w:rsidRPr="00875F19" w14:paraId="41E949B4"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3F9061AB" w14:textId="77777777" w:rsidR="00C806DE" w:rsidRPr="00875F19" w:rsidRDefault="00C806DE">
            <w:pPr>
              <w:rPr>
                <w:rFonts w:ascii="Times New Roman" w:hAnsi="Times New Roman" w:cs="Times New Roman"/>
                <w:b/>
                <w:bCs/>
                <w:sz w:val="24"/>
                <w:szCs w:val="24"/>
              </w:rPr>
            </w:pPr>
            <w:r w:rsidRPr="00875F19">
              <w:rPr>
                <w:rFonts w:ascii="Times New Roman" w:hAnsi="Times New Roman" w:cs="Times New Roman"/>
                <w:b/>
                <w:bCs/>
                <w:sz w:val="24"/>
                <w:szCs w:val="24"/>
              </w:rPr>
              <w:lastRenderedPageBreak/>
              <w:t xml:space="preserve">Øre og labyrint </w:t>
            </w:r>
          </w:p>
          <w:p w14:paraId="20FFA966"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0B128473" w14:textId="77777777" w:rsidR="00C806DE" w:rsidRPr="00875F19" w:rsidRDefault="00C806DE">
            <w:pPr>
              <w:rPr>
                <w:rFonts w:ascii="Times New Roman" w:hAnsi="Times New Roman" w:cs="Times New Roman"/>
                <w:sz w:val="24"/>
                <w:szCs w:val="24"/>
              </w:rPr>
            </w:pPr>
          </w:p>
          <w:p w14:paraId="606FF3D0"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forringet hørelse</w:t>
            </w:r>
          </w:p>
        </w:tc>
      </w:tr>
      <w:tr w:rsidR="00C806DE" w:rsidRPr="00875F19" w14:paraId="55F9687B" w14:textId="77777777" w:rsidTr="006D7224">
        <w:tc>
          <w:tcPr>
            <w:tcW w:w="1719" w:type="pct"/>
            <w:tcBorders>
              <w:top w:val="single" w:sz="4" w:space="0" w:color="auto"/>
              <w:left w:val="single" w:sz="4" w:space="0" w:color="auto"/>
              <w:bottom w:val="single" w:sz="4" w:space="0" w:color="auto"/>
              <w:right w:val="single" w:sz="4" w:space="0" w:color="auto"/>
            </w:tcBorders>
          </w:tcPr>
          <w:p w14:paraId="2DBD61BF" w14:textId="77777777" w:rsidR="00C806DE" w:rsidRPr="00875F19" w:rsidRDefault="00C806DE">
            <w:pPr>
              <w:rPr>
                <w:rFonts w:ascii="Times New Roman" w:hAnsi="Times New Roman" w:cs="Times New Roman"/>
                <w:b/>
                <w:bCs/>
                <w:sz w:val="24"/>
                <w:szCs w:val="24"/>
              </w:rPr>
            </w:pPr>
            <w:r w:rsidRPr="00875F19">
              <w:rPr>
                <w:rFonts w:ascii="Times New Roman" w:hAnsi="Times New Roman" w:cs="Times New Roman"/>
                <w:b/>
                <w:bCs/>
                <w:sz w:val="24"/>
                <w:szCs w:val="24"/>
              </w:rPr>
              <w:t xml:space="preserve">Hjerte </w:t>
            </w:r>
          </w:p>
          <w:p w14:paraId="555BB0AE"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Ikke almindelig:</w:t>
            </w:r>
          </w:p>
          <w:p w14:paraId="3995EA50" w14:textId="77777777" w:rsidR="00C806DE" w:rsidRPr="00875F19" w:rsidRDefault="00C806DE">
            <w:pPr>
              <w:rPr>
                <w:rFonts w:ascii="Times New Roman" w:hAnsi="Times New Roman" w:cs="Times New Roman"/>
                <w:sz w:val="24"/>
                <w:szCs w:val="24"/>
              </w:rPr>
            </w:pPr>
          </w:p>
          <w:p w14:paraId="46439869" w14:textId="77777777" w:rsidR="006D7224" w:rsidRDefault="006D7224">
            <w:pPr>
              <w:rPr>
                <w:rFonts w:ascii="Times New Roman" w:hAnsi="Times New Roman" w:cs="Times New Roman"/>
                <w:sz w:val="24"/>
                <w:szCs w:val="24"/>
              </w:rPr>
            </w:pPr>
          </w:p>
          <w:p w14:paraId="474AD681" w14:textId="300EE3BD"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1D13EBBB" w14:textId="77777777" w:rsidR="00C806DE" w:rsidRPr="00875F19" w:rsidRDefault="00C806DE">
            <w:pPr>
              <w:rPr>
                <w:rFonts w:ascii="Times New Roman" w:hAnsi="Times New Roman" w:cs="Times New Roman"/>
                <w:sz w:val="24"/>
                <w:szCs w:val="24"/>
                <w:lang w:val="da-DK"/>
              </w:rPr>
            </w:pPr>
          </w:p>
          <w:p w14:paraId="204728BF"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langt QT-syndrom</w:t>
            </w:r>
            <w:r w:rsidRPr="00875F19">
              <w:rPr>
                <w:rFonts w:ascii="Times New Roman" w:hAnsi="Times New Roman" w:cs="Times New Roman"/>
                <w:sz w:val="24"/>
                <w:szCs w:val="24"/>
                <w:vertAlign w:val="superscript"/>
                <w:lang w:val="da-DK"/>
              </w:rPr>
              <w:t>§</w:t>
            </w:r>
            <w:r w:rsidRPr="00875F19">
              <w:rPr>
                <w:rFonts w:ascii="Times New Roman" w:hAnsi="Times New Roman" w:cs="Times New Roman"/>
                <w:sz w:val="24"/>
                <w:szCs w:val="24"/>
                <w:lang w:val="da-DK"/>
              </w:rPr>
              <w:t>, unormalt elektrokardiogram</w:t>
            </w:r>
            <w:r w:rsidRPr="00875F19">
              <w:rPr>
                <w:rFonts w:ascii="Times New Roman" w:hAnsi="Times New Roman" w:cs="Times New Roman"/>
                <w:sz w:val="24"/>
                <w:szCs w:val="24"/>
                <w:vertAlign w:val="superscript"/>
                <w:lang w:val="da-DK"/>
              </w:rPr>
              <w:t>§</w:t>
            </w:r>
            <w:r w:rsidRPr="00875F19">
              <w:rPr>
                <w:rFonts w:ascii="Times New Roman" w:hAnsi="Times New Roman" w:cs="Times New Roman"/>
                <w:sz w:val="24"/>
                <w:szCs w:val="24"/>
                <w:lang w:val="da-DK"/>
              </w:rPr>
              <w:t>, palpitationer, bradykardi, supraventrikulære ekstrasystoler, takykardi</w:t>
            </w:r>
          </w:p>
          <w:p w14:paraId="64F2E99F"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i/>
                <w:iCs/>
                <w:sz w:val="24"/>
                <w:szCs w:val="24"/>
                <w:lang w:val="da-DK"/>
              </w:rPr>
              <w:t>torsades de pointes</w:t>
            </w:r>
            <w:r w:rsidRPr="00875F19">
              <w:rPr>
                <w:rFonts w:ascii="Times New Roman" w:hAnsi="Times New Roman" w:cs="Times New Roman"/>
                <w:sz w:val="24"/>
                <w:szCs w:val="24"/>
                <w:lang w:val="da-DK"/>
              </w:rPr>
              <w:t>, pludselig død, ventrikulær takykardi, hjertestop/respirationsstop, nedsat hjertefunktion, myokardieinfarkt</w:t>
            </w:r>
          </w:p>
        </w:tc>
      </w:tr>
      <w:tr w:rsidR="00C806DE" w:rsidRPr="00875F19" w14:paraId="0509C43F"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5C2A09DA"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b/>
                <w:bCs/>
                <w:sz w:val="24"/>
                <w:szCs w:val="24"/>
                <w:lang w:val="nl-NL"/>
              </w:rPr>
              <w:t>Vaskulære sygdomme</w:t>
            </w:r>
            <w:r w:rsidRPr="00875F19">
              <w:rPr>
                <w:rFonts w:ascii="Times New Roman" w:hAnsi="Times New Roman" w:cs="Times New Roman"/>
                <w:sz w:val="24"/>
                <w:szCs w:val="24"/>
                <w:lang w:val="nl-NL"/>
              </w:rPr>
              <w:t xml:space="preserve"> Almindelig </w:t>
            </w:r>
          </w:p>
          <w:p w14:paraId="53C8E1DC"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Ikke almindelig: </w:t>
            </w:r>
          </w:p>
          <w:p w14:paraId="5C8DA3D0"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40D25C2C" w14:textId="77777777" w:rsidR="00C806DE" w:rsidRPr="00875F19" w:rsidRDefault="00C806DE">
            <w:pPr>
              <w:rPr>
                <w:rFonts w:ascii="Times New Roman" w:hAnsi="Times New Roman" w:cs="Times New Roman"/>
                <w:sz w:val="24"/>
                <w:szCs w:val="24"/>
                <w:lang w:val="da-DK"/>
              </w:rPr>
            </w:pPr>
          </w:p>
          <w:p w14:paraId="6126D641"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 xml:space="preserve">hypertension </w:t>
            </w:r>
          </w:p>
          <w:p w14:paraId="29F66663"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 xml:space="preserve">hypotension, vaskulitis </w:t>
            </w:r>
          </w:p>
          <w:p w14:paraId="6CC2B795"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pulmonal emboli, dyb venetrombose</w:t>
            </w:r>
          </w:p>
        </w:tc>
      </w:tr>
      <w:tr w:rsidR="00C806DE" w:rsidRPr="00875F19" w14:paraId="2D0108D2" w14:textId="77777777" w:rsidTr="006D7224">
        <w:tc>
          <w:tcPr>
            <w:tcW w:w="1719" w:type="pct"/>
            <w:tcBorders>
              <w:top w:val="single" w:sz="4" w:space="0" w:color="auto"/>
              <w:left w:val="single" w:sz="4" w:space="0" w:color="auto"/>
              <w:bottom w:val="single" w:sz="4" w:space="0" w:color="auto"/>
              <w:right w:val="single" w:sz="4" w:space="0" w:color="auto"/>
            </w:tcBorders>
          </w:tcPr>
          <w:p w14:paraId="62BA54C4"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b/>
                <w:bCs/>
                <w:sz w:val="24"/>
                <w:szCs w:val="24"/>
                <w:lang w:val="nl-NL"/>
              </w:rPr>
              <w:t>Luftveje, thorax og mediastinum</w:t>
            </w:r>
            <w:r w:rsidRPr="00875F19">
              <w:rPr>
                <w:rFonts w:ascii="Times New Roman" w:hAnsi="Times New Roman" w:cs="Times New Roman"/>
                <w:sz w:val="24"/>
                <w:szCs w:val="24"/>
                <w:lang w:val="nl-NL"/>
              </w:rPr>
              <w:t xml:space="preserve"> </w:t>
            </w:r>
          </w:p>
          <w:p w14:paraId="2152BFAB"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Ikke almindelig:</w:t>
            </w:r>
          </w:p>
          <w:p w14:paraId="7E8FBC23" w14:textId="77777777" w:rsidR="00C806DE" w:rsidRPr="00875F19" w:rsidRDefault="00C806DE">
            <w:pPr>
              <w:rPr>
                <w:rFonts w:ascii="Times New Roman" w:hAnsi="Times New Roman" w:cs="Times New Roman"/>
                <w:sz w:val="24"/>
                <w:szCs w:val="24"/>
                <w:lang w:val="nl-NL"/>
              </w:rPr>
            </w:pPr>
          </w:p>
          <w:p w14:paraId="6B3193AE"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67FB7BE9" w14:textId="77777777" w:rsidR="00C806DE" w:rsidRPr="00875F19" w:rsidRDefault="00C806DE">
            <w:pPr>
              <w:rPr>
                <w:rFonts w:ascii="Times New Roman" w:hAnsi="Times New Roman" w:cs="Times New Roman"/>
                <w:sz w:val="24"/>
                <w:szCs w:val="24"/>
                <w:lang w:val="nl-NL"/>
              </w:rPr>
            </w:pPr>
          </w:p>
          <w:p w14:paraId="35CD83AB" w14:textId="77777777" w:rsidR="00C806DE" w:rsidRPr="00875F19" w:rsidRDefault="00C806DE">
            <w:pPr>
              <w:rPr>
                <w:rFonts w:ascii="Times New Roman" w:hAnsi="Times New Roman" w:cs="Times New Roman"/>
                <w:sz w:val="24"/>
                <w:szCs w:val="24"/>
                <w:lang w:val="nl-NL"/>
              </w:rPr>
            </w:pPr>
          </w:p>
          <w:p w14:paraId="284111C9"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hoste, næseblod, hikke, tilstoppet næse, pleurale smerter, hurtig vejrtrækning</w:t>
            </w:r>
          </w:p>
          <w:p w14:paraId="63541D9D"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pulmonal hypertension, interstitiel pneumoni, pneumonitis</w:t>
            </w:r>
          </w:p>
        </w:tc>
      </w:tr>
      <w:tr w:rsidR="00C806DE" w:rsidRPr="00875F19" w14:paraId="4E1DA603" w14:textId="77777777" w:rsidTr="006D7224">
        <w:tc>
          <w:tcPr>
            <w:tcW w:w="1719" w:type="pct"/>
            <w:tcBorders>
              <w:top w:val="single" w:sz="4" w:space="0" w:color="auto"/>
              <w:left w:val="single" w:sz="4" w:space="0" w:color="auto"/>
              <w:bottom w:val="single" w:sz="4" w:space="0" w:color="auto"/>
              <w:right w:val="single" w:sz="4" w:space="0" w:color="auto"/>
            </w:tcBorders>
          </w:tcPr>
          <w:p w14:paraId="1BBC32A3" w14:textId="77777777" w:rsidR="00C806DE" w:rsidRPr="00875F19" w:rsidRDefault="00C806DE">
            <w:pPr>
              <w:rPr>
                <w:rFonts w:ascii="Times New Roman" w:hAnsi="Times New Roman" w:cs="Times New Roman"/>
                <w:b/>
                <w:bCs/>
                <w:sz w:val="24"/>
                <w:szCs w:val="24"/>
                <w:lang w:val="nl-NL"/>
              </w:rPr>
            </w:pPr>
            <w:r w:rsidRPr="00875F19">
              <w:rPr>
                <w:rFonts w:ascii="Times New Roman" w:hAnsi="Times New Roman" w:cs="Times New Roman"/>
                <w:b/>
                <w:bCs/>
                <w:sz w:val="24"/>
                <w:szCs w:val="24"/>
                <w:lang w:val="nl-NL"/>
              </w:rPr>
              <w:t xml:space="preserve">Mave-tarm-kanalen </w:t>
            </w:r>
          </w:p>
          <w:p w14:paraId="1DEF6298"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Meget almindelig</w:t>
            </w:r>
          </w:p>
          <w:p w14:paraId="03A630B9"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Almindelig:</w:t>
            </w:r>
          </w:p>
          <w:p w14:paraId="19A7D1F8" w14:textId="77777777" w:rsidR="00C806DE" w:rsidRPr="00875F19" w:rsidRDefault="00C806DE">
            <w:pPr>
              <w:rPr>
                <w:rFonts w:ascii="Times New Roman" w:hAnsi="Times New Roman" w:cs="Times New Roman"/>
                <w:sz w:val="24"/>
                <w:szCs w:val="24"/>
                <w:lang w:val="nl-NL"/>
              </w:rPr>
            </w:pPr>
          </w:p>
          <w:p w14:paraId="562EE9BD"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Ikke almindelig:</w:t>
            </w:r>
          </w:p>
          <w:p w14:paraId="60C9DEE9" w14:textId="77777777" w:rsidR="00C806DE" w:rsidRPr="00875F19" w:rsidRDefault="00C806DE">
            <w:pPr>
              <w:rPr>
                <w:rFonts w:ascii="Times New Roman" w:hAnsi="Times New Roman" w:cs="Times New Roman"/>
                <w:sz w:val="24"/>
                <w:szCs w:val="24"/>
              </w:rPr>
            </w:pPr>
          </w:p>
          <w:p w14:paraId="3B797606"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3DB194CE" w14:textId="77777777" w:rsidR="00C806DE" w:rsidRPr="00875F19" w:rsidRDefault="00C806DE">
            <w:pPr>
              <w:rPr>
                <w:rFonts w:ascii="Times New Roman" w:hAnsi="Times New Roman" w:cs="Times New Roman"/>
                <w:sz w:val="24"/>
                <w:szCs w:val="24"/>
                <w:lang w:val="da-DK"/>
              </w:rPr>
            </w:pPr>
          </w:p>
          <w:p w14:paraId="60A66765"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kvalme</w:t>
            </w:r>
          </w:p>
          <w:p w14:paraId="6AD96F3F"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opkastning, abdominalsmerte, diarré, dyspepsi, mundtørhed, flatulens, obstipation, anorektale gener</w:t>
            </w:r>
          </w:p>
          <w:p w14:paraId="328DB0C2"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pankreatitis, oppustethed, enteritis, epigastriske gener, opstød, gastroøsofageal reflukssygdom, ødem i munden</w:t>
            </w:r>
          </w:p>
          <w:p w14:paraId="00C2D979"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blødning i mave/tarm, ileus</w:t>
            </w:r>
          </w:p>
        </w:tc>
      </w:tr>
      <w:tr w:rsidR="00C806DE" w:rsidRPr="00875F19" w14:paraId="2493DB5F" w14:textId="77777777" w:rsidTr="006D7224">
        <w:tc>
          <w:tcPr>
            <w:tcW w:w="1719" w:type="pct"/>
            <w:tcBorders>
              <w:top w:val="single" w:sz="4" w:space="0" w:color="auto"/>
              <w:left w:val="single" w:sz="4" w:space="0" w:color="auto"/>
              <w:bottom w:val="single" w:sz="4" w:space="0" w:color="auto"/>
              <w:right w:val="single" w:sz="4" w:space="0" w:color="auto"/>
            </w:tcBorders>
          </w:tcPr>
          <w:p w14:paraId="62769DA0" w14:textId="77777777" w:rsidR="00C806DE" w:rsidRPr="00875F19" w:rsidRDefault="00C806DE">
            <w:pPr>
              <w:rPr>
                <w:rFonts w:ascii="Times New Roman" w:hAnsi="Times New Roman" w:cs="Times New Roman"/>
                <w:b/>
                <w:bCs/>
                <w:sz w:val="24"/>
                <w:szCs w:val="24"/>
                <w:lang w:val="nl-NL"/>
              </w:rPr>
            </w:pPr>
            <w:r w:rsidRPr="00875F19">
              <w:rPr>
                <w:rFonts w:ascii="Times New Roman" w:hAnsi="Times New Roman" w:cs="Times New Roman"/>
                <w:b/>
                <w:bCs/>
                <w:sz w:val="24"/>
                <w:szCs w:val="24"/>
                <w:lang w:val="nl-NL"/>
              </w:rPr>
              <w:t xml:space="preserve">Lever og galdeveje </w:t>
            </w:r>
          </w:p>
          <w:p w14:paraId="7B89F4F0"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Almindelig: </w:t>
            </w:r>
          </w:p>
          <w:p w14:paraId="76869804" w14:textId="77777777" w:rsidR="00C806DE" w:rsidRPr="00875F19" w:rsidRDefault="00C806DE">
            <w:pPr>
              <w:rPr>
                <w:rFonts w:ascii="Times New Roman" w:hAnsi="Times New Roman" w:cs="Times New Roman"/>
                <w:sz w:val="24"/>
                <w:szCs w:val="24"/>
                <w:lang w:val="nl-NL"/>
              </w:rPr>
            </w:pPr>
          </w:p>
          <w:p w14:paraId="2482C2F9" w14:textId="77777777" w:rsidR="00C806DE" w:rsidRPr="00875F19" w:rsidRDefault="00C806DE">
            <w:pPr>
              <w:rPr>
                <w:rFonts w:ascii="Times New Roman" w:hAnsi="Times New Roman" w:cs="Times New Roman"/>
                <w:sz w:val="24"/>
                <w:szCs w:val="24"/>
                <w:lang w:val="nl-NL"/>
              </w:rPr>
            </w:pPr>
          </w:p>
          <w:p w14:paraId="477E8520" w14:textId="77777777" w:rsidR="00C806DE" w:rsidRPr="00875F19" w:rsidRDefault="00C806DE">
            <w:pPr>
              <w:rPr>
                <w:rFonts w:ascii="Times New Roman" w:hAnsi="Times New Roman" w:cs="Times New Roman"/>
                <w:sz w:val="24"/>
                <w:szCs w:val="24"/>
                <w:lang w:val="nl-NL"/>
              </w:rPr>
            </w:pPr>
          </w:p>
          <w:p w14:paraId="5BC5FF14"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Ikke almindelig: </w:t>
            </w:r>
          </w:p>
          <w:p w14:paraId="4AA37CBC"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7CF50B3D" w14:textId="77777777" w:rsidR="00C806DE" w:rsidRPr="00875F19" w:rsidRDefault="00C806DE">
            <w:pPr>
              <w:rPr>
                <w:rFonts w:ascii="Times New Roman" w:hAnsi="Times New Roman" w:cs="Times New Roman"/>
                <w:sz w:val="24"/>
                <w:szCs w:val="24"/>
                <w:lang w:val="da-DK"/>
              </w:rPr>
            </w:pPr>
          </w:p>
          <w:p w14:paraId="5FBD2648"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 xml:space="preserve">forhøjede leverfunktionstest (forhøjet ALAT, forhøjet ASAT, forhøjet bilirubin, forhøjet alkalisk fosfatase, forhøjet GGT) hepatocellulær ødelæggelse, hepatitis, gulsot, hepatomegali, kolestase, levertoksicitet, unormal leverfunktion nedsat leverfunktion, kolestatisk hepatitis, </w:t>
            </w:r>
          </w:p>
          <w:p w14:paraId="7672938F"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hepatosplenomegali, leverømhed, asterixis</w:t>
            </w:r>
          </w:p>
        </w:tc>
      </w:tr>
      <w:tr w:rsidR="00C806DE" w:rsidRPr="00875F19" w14:paraId="56C6A7C6"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5753A041"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b/>
                <w:bCs/>
                <w:sz w:val="24"/>
                <w:szCs w:val="24"/>
                <w:lang w:val="nl-NL"/>
              </w:rPr>
              <w:t>Hud og subkutane væv</w:t>
            </w:r>
            <w:r w:rsidRPr="00875F19">
              <w:rPr>
                <w:rFonts w:ascii="Times New Roman" w:hAnsi="Times New Roman" w:cs="Times New Roman"/>
                <w:sz w:val="24"/>
                <w:szCs w:val="24"/>
                <w:lang w:val="nl-NL"/>
              </w:rPr>
              <w:t xml:space="preserve"> Almindelig: </w:t>
            </w:r>
          </w:p>
          <w:p w14:paraId="3E37C829"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Ikke almindelig: </w:t>
            </w:r>
          </w:p>
          <w:p w14:paraId="7D06B1F8"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Sjælden: </w:t>
            </w:r>
          </w:p>
          <w:p w14:paraId="04E67893"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Ikke kendt:</w:t>
            </w:r>
          </w:p>
        </w:tc>
        <w:tc>
          <w:tcPr>
            <w:tcW w:w="3281" w:type="pct"/>
            <w:tcBorders>
              <w:top w:val="single" w:sz="4" w:space="0" w:color="auto"/>
              <w:left w:val="single" w:sz="4" w:space="0" w:color="auto"/>
              <w:bottom w:val="single" w:sz="4" w:space="0" w:color="auto"/>
              <w:right w:val="single" w:sz="4" w:space="0" w:color="auto"/>
            </w:tcBorders>
          </w:tcPr>
          <w:p w14:paraId="18AC4E16" w14:textId="77777777" w:rsidR="00C806DE" w:rsidRPr="00875F19" w:rsidRDefault="00C806DE">
            <w:pPr>
              <w:rPr>
                <w:rFonts w:ascii="Times New Roman" w:hAnsi="Times New Roman" w:cs="Times New Roman"/>
                <w:sz w:val="24"/>
                <w:szCs w:val="24"/>
                <w:lang w:val="nl-NL"/>
              </w:rPr>
            </w:pPr>
          </w:p>
          <w:p w14:paraId="253C5BB0"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udslæt, pruritis </w:t>
            </w:r>
          </w:p>
          <w:p w14:paraId="17964389"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mundsår, alopeci, dermatitis, erytem, petekkier </w:t>
            </w:r>
          </w:p>
          <w:p w14:paraId="7AA99504"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Stevens Johnsons-syndrom, vesikulært udslæt lysfølsomhedsreaktion</w:t>
            </w:r>
            <w:r w:rsidRPr="00875F19">
              <w:rPr>
                <w:rFonts w:ascii="Times New Roman" w:hAnsi="Times New Roman" w:cs="Times New Roman"/>
                <w:sz w:val="24"/>
                <w:szCs w:val="24"/>
                <w:vertAlign w:val="superscript"/>
                <w:lang w:val="nl-NL"/>
              </w:rPr>
              <w:t>§</w:t>
            </w:r>
          </w:p>
        </w:tc>
      </w:tr>
      <w:tr w:rsidR="00C806DE" w:rsidRPr="00875F19" w14:paraId="1624DEA3"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1E1F315F" w14:textId="77777777" w:rsidR="00C806DE" w:rsidRPr="00875F19" w:rsidRDefault="00C806DE">
            <w:pPr>
              <w:rPr>
                <w:rFonts w:ascii="Times New Roman" w:hAnsi="Times New Roman" w:cs="Times New Roman"/>
                <w:b/>
                <w:bCs/>
                <w:sz w:val="24"/>
                <w:szCs w:val="24"/>
                <w:lang w:val="nl-NL"/>
              </w:rPr>
            </w:pPr>
            <w:r w:rsidRPr="00875F19">
              <w:rPr>
                <w:rFonts w:ascii="Times New Roman" w:hAnsi="Times New Roman" w:cs="Times New Roman"/>
                <w:b/>
                <w:bCs/>
                <w:sz w:val="24"/>
                <w:szCs w:val="24"/>
                <w:lang w:val="nl-NL"/>
              </w:rPr>
              <w:t xml:space="preserve">Knogler, led, muskler og bindevæv </w:t>
            </w:r>
          </w:p>
          <w:p w14:paraId="2DB5C635"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Ikke almindelig:</w:t>
            </w:r>
          </w:p>
        </w:tc>
        <w:tc>
          <w:tcPr>
            <w:tcW w:w="3281" w:type="pct"/>
            <w:tcBorders>
              <w:top w:val="single" w:sz="4" w:space="0" w:color="auto"/>
              <w:left w:val="single" w:sz="4" w:space="0" w:color="auto"/>
              <w:bottom w:val="single" w:sz="4" w:space="0" w:color="auto"/>
              <w:right w:val="single" w:sz="4" w:space="0" w:color="auto"/>
            </w:tcBorders>
          </w:tcPr>
          <w:p w14:paraId="318197AD" w14:textId="77777777" w:rsidR="00C806DE" w:rsidRPr="00875F19" w:rsidRDefault="00C806DE">
            <w:pPr>
              <w:rPr>
                <w:rFonts w:ascii="Times New Roman" w:hAnsi="Times New Roman" w:cs="Times New Roman"/>
                <w:sz w:val="24"/>
                <w:szCs w:val="24"/>
                <w:lang w:val="nl-NL"/>
              </w:rPr>
            </w:pPr>
          </w:p>
          <w:p w14:paraId="53A49912" w14:textId="77777777" w:rsidR="00C806DE" w:rsidRPr="00875F19" w:rsidRDefault="00C806DE">
            <w:pPr>
              <w:rPr>
                <w:rFonts w:ascii="Times New Roman" w:hAnsi="Times New Roman" w:cs="Times New Roman"/>
                <w:sz w:val="24"/>
                <w:szCs w:val="24"/>
                <w:lang w:val="nl-NL"/>
              </w:rPr>
            </w:pPr>
          </w:p>
          <w:p w14:paraId="6C911D7B"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rygsmerter, nakkesmerter, muskuloskeletale smerter, ekstremitetssmerter</w:t>
            </w:r>
          </w:p>
        </w:tc>
      </w:tr>
      <w:tr w:rsidR="00C806DE" w:rsidRPr="00875F19" w14:paraId="09BCC5E7" w14:textId="77777777" w:rsidTr="006D7224">
        <w:tc>
          <w:tcPr>
            <w:tcW w:w="1719" w:type="pct"/>
            <w:tcBorders>
              <w:top w:val="single" w:sz="4" w:space="0" w:color="auto"/>
              <w:left w:val="single" w:sz="4" w:space="0" w:color="auto"/>
              <w:bottom w:val="single" w:sz="4" w:space="0" w:color="auto"/>
              <w:right w:val="single" w:sz="4" w:space="0" w:color="auto"/>
            </w:tcBorders>
          </w:tcPr>
          <w:p w14:paraId="1F7DDCDF" w14:textId="77777777" w:rsidR="00C806DE" w:rsidRPr="00875F19" w:rsidRDefault="00C806DE">
            <w:pPr>
              <w:rPr>
                <w:rFonts w:ascii="Times New Roman" w:hAnsi="Times New Roman" w:cs="Times New Roman"/>
                <w:b/>
                <w:bCs/>
                <w:sz w:val="24"/>
                <w:szCs w:val="24"/>
                <w:lang w:val="nl-NL"/>
              </w:rPr>
            </w:pPr>
            <w:r w:rsidRPr="00875F19">
              <w:rPr>
                <w:rFonts w:ascii="Times New Roman" w:hAnsi="Times New Roman" w:cs="Times New Roman"/>
                <w:b/>
                <w:bCs/>
                <w:sz w:val="24"/>
                <w:szCs w:val="24"/>
                <w:lang w:val="nl-NL"/>
              </w:rPr>
              <w:t xml:space="preserve">Nyrer og urinveje </w:t>
            </w:r>
          </w:p>
          <w:p w14:paraId="3A8F1FB1"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Ikke almindelig: </w:t>
            </w:r>
          </w:p>
          <w:p w14:paraId="1FBFAA7C" w14:textId="77777777" w:rsidR="00C806DE" w:rsidRPr="00875F19" w:rsidRDefault="00C806DE">
            <w:pPr>
              <w:rPr>
                <w:rFonts w:ascii="Times New Roman" w:hAnsi="Times New Roman" w:cs="Times New Roman"/>
                <w:sz w:val="24"/>
                <w:szCs w:val="24"/>
                <w:lang w:val="nl-NL"/>
              </w:rPr>
            </w:pPr>
          </w:p>
          <w:p w14:paraId="16FC2114"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618DC16C" w14:textId="77777777" w:rsidR="00C806DE" w:rsidRPr="00875F19" w:rsidRDefault="00C806DE">
            <w:pPr>
              <w:rPr>
                <w:rFonts w:ascii="Times New Roman" w:hAnsi="Times New Roman" w:cs="Times New Roman"/>
                <w:sz w:val="24"/>
                <w:szCs w:val="24"/>
                <w:lang w:val="nl-NL"/>
              </w:rPr>
            </w:pPr>
          </w:p>
          <w:p w14:paraId="16423F2D"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akut nyresvigt, nyresvigt, forhøjet blod-kreatinin</w:t>
            </w:r>
          </w:p>
          <w:p w14:paraId="067E6D41" w14:textId="77777777" w:rsidR="00C806DE" w:rsidRPr="00875F19" w:rsidRDefault="00C806DE">
            <w:pPr>
              <w:rPr>
                <w:rFonts w:ascii="Times New Roman" w:hAnsi="Times New Roman" w:cs="Times New Roman"/>
                <w:sz w:val="24"/>
                <w:szCs w:val="24"/>
                <w:lang w:val="nl-NL"/>
              </w:rPr>
            </w:pPr>
          </w:p>
          <w:p w14:paraId="3B320A2A"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renal tubulær acidose, interstitiel nefritis</w:t>
            </w:r>
          </w:p>
        </w:tc>
      </w:tr>
      <w:tr w:rsidR="00C806DE" w:rsidRPr="00875F19" w14:paraId="0EA3B663"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2A00DDD3" w14:textId="77777777" w:rsidR="00C806DE" w:rsidRPr="00875F19" w:rsidRDefault="00C806DE">
            <w:pPr>
              <w:rPr>
                <w:rFonts w:ascii="Times New Roman" w:hAnsi="Times New Roman" w:cs="Times New Roman"/>
                <w:b/>
                <w:bCs/>
                <w:sz w:val="24"/>
                <w:szCs w:val="24"/>
                <w:lang w:val="nl-NL"/>
              </w:rPr>
            </w:pPr>
            <w:r w:rsidRPr="00875F19">
              <w:rPr>
                <w:rFonts w:ascii="Times New Roman" w:hAnsi="Times New Roman" w:cs="Times New Roman"/>
                <w:b/>
                <w:bCs/>
                <w:sz w:val="24"/>
                <w:szCs w:val="24"/>
                <w:lang w:val="nl-NL"/>
              </w:rPr>
              <w:t xml:space="preserve">Det reproduktive system og mammae </w:t>
            </w:r>
          </w:p>
          <w:p w14:paraId="7E4AB640"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 xml:space="preserve">Ikke almindelig: </w:t>
            </w:r>
          </w:p>
          <w:p w14:paraId="133EA3D9"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Sjælden:</w:t>
            </w:r>
          </w:p>
        </w:tc>
        <w:tc>
          <w:tcPr>
            <w:tcW w:w="3281" w:type="pct"/>
            <w:tcBorders>
              <w:top w:val="single" w:sz="4" w:space="0" w:color="auto"/>
              <w:left w:val="single" w:sz="4" w:space="0" w:color="auto"/>
              <w:bottom w:val="single" w:sz="4" w:space="0" w:color="auto"/>
              <w:right w:val="single" w:sz="4" w:space="0" w:color="auto"/>
            </w:tcBorders>
          </w:tcPr>
          <w:p w14:paraId="65207334" w14:textId="77777777" w:rsidR="00C806DE" w:rsidRPr="00875F19" w:rsidRDefault="00C806DE">
            <w:pPr>
              <w:rPr>
                <w:rFonts w:ascii="Times New Roman" w:hAnsi="Times New Roman" w:cs="Times New Roman"/>
                <w:sz w:val="24"/>
                <w:szCs w:val="24"/>
              </w:rPr>
            </w:pPr>
          </w:p>
          <w:p w14:paraId="28F074A6" w14:textId="77777777" w:rsidR="00C806DE" w:rsidRPr="00875F19" w:rsidRDefault="00C806DE">
            <w:pPr>
              <w:rPr>
                <w:rFonts w:ascii="Times New Roman" w:hAnsi="Times New Roman" w:cs="Times New Roman"/>
                <w:sz w:val="24"/>
                <w:szCs w:val="24"/>
              </w:rPr>
            </w:pPr>
          </w:p>
          <w:p w14:paraId="2BB7C738"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 xml:space="preserve">menstruationsforstyrrelser </w:t>
            </w:r>
          </w:p>
          <w:p w14:paraId="44626AB0"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brystsmerter</w:t>
            </w:r>
          </w:p>
        </w:tc>
      </w:tr>
      <w:tr w:rsidR="00C806DE" w:rsidRPr="00875F19" w14:paraId="433186C3" w14:textId="77777777" w:rsidTr="006D7224">
        <w:tc>
          <w:tcPr>
            <w:tcW w:w="1719" w:type="pct"/>
            <w:tcBorders>
              <w:top w:val="single" w:sz="4" w:space="0" w:color="auto"/>
              <w:left w:val="single" w:sz="4" w:space="0" w:color="auto"/>
              <w:bottom w:val="single" w:sz="4" w:space="0" w:color="auto"/>
              <w:right w:val="single" w:sz="4" w:space="0" w:color="auto"/>
            </w:tcBorders>
          </w:tcPr>
          <w:p w14:paraId="39989C47"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b/>
                <w:bCs/>
                <w:sz w:val="24"/>
                <w:szCs w:val="24"/>
                <w:lang w:val="nl-NL"/>
              </w:rPr>
              <w:t xml:space="preserve">Almene symptomer og reaktioner på </w:t>
            </w:r>
            <w:r w:rsidRPr="00875F19">
              <w:rPr>
                <w:rFonts w:ascii="Times New Roman" w:hAnsi="Times New Roman" w:cs="Times New Roman"/>
                <w:b/>
                <w:bCs/>
                <w:sz w:val="24"/>
                <w:szCs w:val="24"/>
                <w:lang w:val="nl-NL"/>
              </w:rPr>
              <w:lastRenderedPageBreak/>
              <w:t>administrationsstedet</w:t>
            </w:r>
            <w:r w:rsidRPr="00875F19">
              <w:rPr>
                <w:rFonts w:ascii="Times New Roman" w:hAnsi="Times New Roman" w:cs="Times New Roman"/>
                <w:sz w:val="24"/>
                <w:szCs w:val="24"/>
                <w:lang w:val="nl-NL"/>
              </w:rPr>
              <w:t xml:space="preserve"> Almindelig:</w:t>
            </w:r>
          </w:p>
          <w:p w14:paraId="2EB01EFE"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Ikke almindelig:</w:t>
            </w:r>
          </w:p>
          <w:p w14:paraId="35A1CFE3" w14:textId="77777777" w:rsidR="00C806DE" w:rsidRPr="00875F19" w:rsidRDefault="00C806DE">
            <w:pPr>
              <w:rPr>
                <w:rFonts w:ascii="Times New Roman" w:hAnsi="Times New Roman" w:cs="Times New Roman"/>
                <w:sz w:val="24"/>
                <w:szCs w:val="24"/>
                <w:lang w:val="nl-NL"/>
              </w:rPr>
            </w:pPr>
          </w:p>
          <w:p w14:paraId="1BB11A99" w14:textId="77777777" w:rsidR="00C806DE" w:rsidRPr="00875F19" w:rsidRDefault="00C806DE">
            <w:pPr>
              <w:rPr>
                <w:rFonts w:ascii="Times New Roman" w:hAnsi="Times New Roman" w:cs="Times New Roman"/>
                <w:sz w:val="24"/>
                <w:szCs w:val="24"/>
                <w:lang w:val="nl-NL"/>
              </w:rPr>
            </w:pPr>
          </w:p>
          <w:p w14:paraId="74561EF8" w14:textId="77777777" w:rsidR="00C806DE" w:rsidRPr="00875F19" w:rsidRDefault="00C806DE">
            <w:pPr>
              <w:rPr>
                <w:rFonts w:ascii="Times New Roman" w:hAnsi="Times New Roman" w:cs="Times New Roman"/>
                <w:sz w:val="24"/>
                <w:szCs w:val="24"/>
                <w:lang w:val="nl-NL"/>
              </w:rPr>
            </w:pPr>
          </w:p>
          <w:p w14:paraId="26EF038F"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Sjælden:</w:t>
            </w:r>
          </w:p>
        </w:tc>
        <w:tc>
          <w:tcPr>
            <w:tcW w:w="3281" w:type="pct"/>
            <w:tcBorders>
              <w:top w:val="single" w:sz="4" w:space="0" w:color="auto"/>
              <w:left w:val="single" w:sz="4" w:space="0" w:color="auto"/>
              <w:bottom w:val="single" w:sz="4" w:space="0" w:color="auto"/>
              <w:right w:val="single" w:sz="4" w:space="0" w:color="auto"/>
            </w:tcBorders>
          </w:tcPr>
          <w:p w14:paraId="3A685B58" w14:textId="77777777" w:rsidR="00C806DE" w:rsidRPr="00875F19" w:rsidRDefault="00C806DE">
            <w:pPr>
              <w:rPr>
                <w:rFonts w:ascii="Times New Roman" w:hAnsi="Times New Roman" w:cs="Times New Roman"/>
                <w:sz w:val="24"/>
                <w:szCs w:val="24"/>
                <w:lang w:val="nl-NL"/>
              </w:rPr>
            </w:pPr>
          </w:p>
          <w:p w14:paraId="50850301" w14:textId="77777777" w:rsidR="00C806DE" w:rsidRPr="00875F19" w:rsidRDefault="00C806DE">
            <w:pPr>
              <w:rPr>
                <w:rFonts w:ascii="Times New Roman" w:hAnsi="Times New Roman" w:cs="Times New Roman"/>
                <w:sz w:val="24"/>
                <w:szCs w:val="24"/>
                <w:lang w:val="nl-NL"/>
              </w:rPr>
            </w:pPr>
          </w:p>
          <w:p w14:paraId="19D11482" w14:textId="77777777" w:rsidR="00C806DE" w:rsidRPr="00875F19" w:rsidRDefault="00C806DE">
            <w:pPr>
              <w:rPr>
                <w:rFonts w:ascii="Times New Roman" w:hAnsi="Times New Roman" w:cs="Times New Roman"/>
                <w:sz w:val="24"/>
                <w:szCs w:val="24"/>
                <w:lang w:val="nl-NL"/>
              </w:rPr>
            </w:pPr>
          </w:p>
          <w:p w14:paraId="050C7C39"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pyreksi (feber), asteni, træthed</w:t>
            </w:r>
          </w:p>
          <w:p w14:paraId="4B0644A3" w14:textId="77777777" w:rsidR="00C806DE" w:rsidRPr="00875F19" w:rsidRDefault="00C806DE">
            <w:pPr>
              <w:rPr>
                <w:rFonts w:ascii="Times New Roman" w:hAnsi="Times New Roman" w:cs="Times New Roman"/>
                <w:sz w:val="24"/>
                <w:szCs w:val="24"/>
                <w:lang w:val="nl-NL"/>
              </w:rPr>
            </w:pPr>
            <w:r w:rsidRPr="00875F19">
              <w:rPr>
                <w:rFonts w:ascii="Times New Roman" w:hAnsi="Times New Roman" w:cs="Times New Roman"/>
                <w:sz w:val="24"/>
                <w:szCs w:val="24"/>
                <w:lang w:val="nl-NL"/>
              </w:rPr>
              <w:t>ødem, smerte, kuldegysninger, utilpashed, ubehag i brystet, lægemiddeloverfølsomhed, rastløshed, smerter på</w:t>
            </w:r>
          </w:p>
          <w:p w14:paraId="4A840851"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infusionsstedet, flebitis på infusionsstedet, trombose på</w:t>
            </w:r>
          </w:p>
          <w:p w14:paraId="463FE2DE"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infusionsstedet, slimhindebetændelse</w:t>
            </w:r>
          </w:p>
          <w:p w14:paraId="1BEF3784"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tungeødem, ansigtsødem</w:t>
            </w:r>
          </w:p>
        </w:tc>
      </w:tr>
      <w:tr w:rsidR="00C806DE" w:rsidRPr="00875F19" w14:paraId="78F85A71" w14:textId="77777777" w:rsidTr="006D7224">
        <w:tc>
          <w:tcPr>
            <w:tcW w:w="1719" w:type="pct"/>
            <w:tcBorders>
              <w:top w:val="single" w:sz="4" w:space="0" w:color="auto"/>
              <w:left w:val="single" w:sz="4" w:space="0" w:color="auto"/>
              <w:bottom w:val="single" w:sz="4" w:space="0" w:color="auto"/>
              <w:right w:val="single" w:sz="4" w:space="0" w:color="auto"/>
            </w:tcBorders>
            <w:hideMark/>
          </w:tcPr>
          <w:p w14:paraId="5E0BCF70" w14:textId="77777777" w:rsidR="00C806DE" w:rsidRPr="00875F19" w:rsidRDefault="00C806DE">
            <w:pPr>
              <w:rPr>
                <w:rFonts w:ascii="Times New Roman" w:hAnsi="Times New Roman" w:cs="Times New Roman"/>
                <w:b/>
                <w:bCs/>
                <w:sz w:val="24"/>
                <w:szCs w:val="24"/>
              </w:rPr>
            </w:pPr>
            <w:r w:rsidRPr="00875F19">
              <w:rPr>
                <w:rFonts w:ascii="Times New Roman" w:hAnsi="Times New Roman" w:cs="Times New Roman"/>
                <w:b/>
                <w:bCs/>
                <w:sz w:val="24"/>
                <w:szCs w:val="24"/>
              </w:rPr>
              <w:lastRenderedPageBreak/>
              <w:t xml:space="preserve">Undersøgelser </w:t>
            </w:r>
          </w:p>
          <w:p w14:paraId="0621EB69"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Ikke almindelig:</w:t>
            </w:r>
          </w:p>
        </w:tc>
        <w:tc>
          <w:tcPr>
            <w:tcW w:w="3281" w:type="pct"/>
            <w:tcBorders>
              <w:top w:val="single" w:sz="4" w:space="0" w:color="auto"/>
              <w:left w:val="single" w:sz="4" w:space="0" w:color="auto"/>
              <w:bottom w:val="single" w:sz="4" w:space="0" w:color="auto"/>
              <w:right w:val="single" w:sz="4" w:space="0" w:color="auto"/>
            </w:tcBorders>
          </w:tcPr>
          <w:p w14:paraId="5E50C7F3" w14:textId="77777777" w:rsidR="00C806DE" w:rsidRPr="00875F19" w:rsidRDefault="00C806DE">
            <w:pPr>
              <w:rPr>
                <w:rFonts w:ascii="Times New Roman" w:hAnsi="Times New Roman" w:cs="Times New Roman"/>
                <w:sz w:val="24"/>
                <w:szCs w:val="24"/>
                <w:lang w:val="da-DK"/>
              </w:rPr>
            </w:pPr>
          </w:p>
          <w:p w14:paraId="5C13A6F1"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ændret lægemiddelkoncentration, nedsat fosforkoncentration i blodet, unormal røntgen af thorax</w:t>
            </w:r>
          </w:p>
        </w:tc>
      </w:tr>
    </w:tbl>
    <w:p w14:paraId="6AB29AA8" w14:textId="5BEDA45A" w:rsidR="00C806DE" w:rsidRPr="00875F19" w:rsidRDefault="00C806DE" w:rsidP="009C0F58">
      <w:pPr>
        <w:tabs>
          <w:tab w:val="left" w:pos="284"/>
        </w:tabs>
        <w:ind w:left="284" w:hanging="284"/>
        <w:rPr>
          <w:kern w:val="2"/>
          <w:sz w:val="24"/>
          <w:szCs w:val="24"/>
          <w14:ligatures w14:val="standardContextual"/>
        </w:rPr>
      </w:pPr>
      <w:r w:rsidRPr="00875F19">
        <w:rPr>
          <w:sz w:val="24"/>
          <w:szCs w:val="24"/>
        </w:rPr>
        <w:t xml:space="preserve">* </w:t>
      </w:r>
      <w:r w:rsidR="009C0F58">
        <w:rPr>
          <w:sz w:val="24"/>
          <w:szCs w:val="24"/>
        </w:rPr>
        <w:tab/>
      </w:r>
      <w:r w:rsidRPr="00875F19">
        <w:rPr>
          <w:sz w:val="24"/>
          <w:szCs w:val="24"/>
        </w:rPr>
        <w:t xml:space="preserve">Baseret på bivirkninger, som blev observeret med den orale suspension, gastroresistente tabletter, koncentratet til infusionsvæske, opløsning, og enteropulver og solvens til oral suspension. </w:t>
      </w:r>
    </w:p>
    <w:p w14:paraId="60E417BD" w14:textId="46C6E8E3" w:rsidR="00C806DE" w:rsidRPr="00875F19" w:rsidRDefault="00C806DE" w:rsidP="009C0F58">
      <w:pPr>
        <w:tabs>
          <w:tab w:val="left" w:pos="284"/>
        </w:tabs>
        <w:rPr>
          <w:sz w:val="24"/>
          <w:szCs w:val="24"/>
          <w:lang w:val="nl-NL"/>
        </w:rPr>
      </w:pPr>
      <w:r w:rsidRPr="00875F19">
        <w:rPr>
          <w:sz w:val="24"/>
          <w:szCs w:val="24"/>
          <w:lang w:val="nl-NL"/>
        </w:rPr>
        <w:t xml:space="preserve">§ </w:t>
      </w:r>
      <w:r w:rsidR="009C0F58">
        <w:rPr>
          <w:sz w:val="24"/>
          <w:szCs w:val="24"/>
          <w:lang w:val="nl-NL"/>
        </w:rPr>
        <w:tab/>
      </w:r>
      <w:r w:rsidRPr="00875F19">
        <w:rPr>
          <w:sz w:val="24"/>
          <w:szCs w:val="24"/>
          <w:lang w:val="nl-NL"/>
        </w:rPr>
        <w:t>Se pkt. 4.4.</w:t>
      </w:r>
    </w:p>
    <w:p w14:paraId="296F9F67" w14:textId="77777777" w:rsidR="00C806DE" w:rsidRPr="00875F19" w:rsidRDefault="00C806DE" w:rsidP="00C806DE">
      <w:pPr>
        <w:rPr>
          <w:sz w:val="24"/>
          <w:szCs w:val="24"/>
          <w:lang w:val="nl-NL"/>
        </w:rPr>
      </w:pPr>
    </w:p>
    <w:p w14:paraId="3A4301EB" w14:textId="77777777" w:rsidR="00C806DE" w:rsidRPr="009C0F58" w:rsidRDefault="00C806DE" w:rsidP="00507609">
      <w:pPr>
        <w:ind w:left="851"/>
        <w:rPr>
          <w:sz w:val="24"/>
          <w:szCs w:val="24"/>
          <w:u w:val="single"/>
          <w:lang w:val="nl-NL"/>
        </w:rPr>
      </w:pPr>
      <w:r w:rsidRPr="009C0F58">
        <w:rPr>
          <w:sz w:val="24"/>
          <w:szCs w:val="24"/>
          <w:u w:val="single"/>
          <w:lang w:val="nl-NL"/>
        </w:rPr>
        <w:t xml:space="preserve">Beskrivelse af udvalgte bivirkninger </w:t>
      </w:r>
    </w:p>
    <w:p w14:paraId="37AD637F" w14:textId="77777777" w:rsidR="00C806DE" w:rsidRPr="00875F19" w:rsidRDefault="00C806DE" w:rsidP="00507609">
      <w:pPr>
        <w:ind w:left="851"/>
        <w:rPr>
          <w:i/>
          <w:iCs/>
          <w:sz w:val="24"/>
          <w:szCs w:val="24"/>
          <w:lang w:val="nl-NL"/>
        </w:rPr>
      </w:pPr>
      <w:r w:rsidRPr="00875F19">
        <w:rPr>
          <w:i/>
          <w:iCs/>
          <w:sz w:val="24"/>
          <w:szCs w:val="24"/>
          <w:lang w:val="nl-NL"/>
        </w:rPr>
        <w:t xml:space="preserve">Lever og galdeveje </w:t>
      </w:r>
    </w:p>
    <w:p w14:paraId="11CED1C9" w14:textId="77777777" w:rsidR="00C806DE" w:rsidRPr="00875F19" w:rsidRDefault="00C806DE" w:rsidP="00507609">
      <w:pPr>
        <w:ind w:left="851"/>
        <w:rPr>
          <w:sz w:val="24"/>
          <w:szCs w:val="24"/>
          <w:lang w:val="nl-NL"/>
        </w:rPr>
      </w:pPr>
      <w:r w:rsidRPr="00875F19">
        <w:rPr>
          <w:sz w:val="24"/>
          <w:szCs w:val="24"/>
          <w:lang w:val="nl-NL"/>
        </w:rPr>
        <w:t>Efter markedsføring er der set alvorlige hepatiske skader med letalt udfald (se pkt. 4.4).</w:t>
      </w:r>
    </w:p>
    <w:p w14:paraId="4652CCE8" w14:textId="77777777" w:rsidR="00C806DE" w:rsidRPr="00875F19" w:rsidRDefault="00C806DE" w:rsidP="00507609">
      <w:pPr>
        <w:ind w:left="851"/>
        <w:rPr>
          <w:sz w:val="24"/>
          <w:szCs w:val="24"/>
          <w:lang w:val="nl-NL"/>
        </w:rPr>
      </w:pPr>
    </w:p>
    <w:p w14:paraId="10564C16" w14:textId="77777777" w:rsidR="00507609" w:rsidRPr="00875F19" w:rsidRDefault="00507609" w:rsidP="00507609">
      <w:pPr>
        <w:autoSpaceDE w:val="0"/>
        <w:autoSpaceDN w:val="0"/>
        <w:ind w:left="851"/>
        <w:rPr>
          <w:sz w:val="24"/>
          <w:szCs w:val="24"/>
          <w:u w:val="single"/>
        </w:rPr>
      </w:pPr>
      <w:r w:rsidRPr="00875F19">
        <w:rPr>
          <w:sz w:val="24"/>
          <w:szCs w:val="24"/>
          <w:u w:val="single"/>
        </w:rPr>
        <w:t>Indberetning af formodede bivirkninger</w:t>
      </w:r>
    </w:p>
    <w:p w14:paraId="59B19339" w14:textId="77777777" w:rsidR="00507609" w:rsidRPr="00875F19" w:rsidRDefault="00507609" w:rsidP="00507609">
      <w:pPr>
        <w:ind w:left="851"/>
        <w:rPr>
          <w:sz w:val="24"/>
          <w:szCs w:val="24"/>
        </w:rPr>
      </w:pPr>
      <w:r w:rsidRPr="00875F19">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0C69EA7F" w14:textId="77777777" w:rsidR="00507609" w:rsidRPr="00875F19" w:rsidRDefault="00507609" w:rsidP="00507609">
      <w:pPr>
        <w:tabs>
          <w:tab w:val="left" w:pos="2440"/>
        </w:tabs>
        <w:ind w:left="851"/>
        <w:rPr>
          <w:sz w:val="24"/>
          <w:szCs w:val="24"/>
        </w:rPr>
      </w:pPr>
    </w:p>
    <w:p w14:paraId="5655B61E" w14:textId="77777777" w:rsidR="00507609" w:rsidRPr="00875F19" w:rsidRDefault="00507609" w:rsidP="00507609">
      <w:pPr>
        <w:ind w:left="851"/>
        <w:rPr>
          <w:sz w:val="24"/>
          <w:szCs w:val="24"/>
        </w:rPr>
      </w:pPr>
      <w:r w:rsidRPr="00875F19">
        <w:rPr>
          <w:sz w:val="24"/>
          <w:szCs w:val="24"/>
        </w:rPr>
        <w:t>Lægemiddelstyrelsen</w:t>
      </w:r>
    </w:p>
    <w:p w14:paraId="31388EA4" w14:textId="77777777" w:rsidR="00507609" w:rsidRPr="00875F19" w:rsidRDefault="00507609" w:rsidP="00507609">
      <w:pPr>
        <w:ind w:left="851"/>
        <w:rPr>
          <w:sz w:val="24"/>
          <w:szCs w:val="24"/>
        </w:rPr>
      </w:pPr>
      <w:r w:rsidRPr="00875F19">
        <w:rPr>
          <w:sz w:val="24"/>
          <w:szCs w:val="24"/>
        </w:rPr>
        <w:t>Axel Heides Gade 1</w:t>
      </w:r>
    </w:p>
    <w:p w14:paraId="61C4F913" w14:textId="77777777" w:rsidR="00507609" w:rsidRPr="00875F19" w:rsidRDefault="00507609" w:rsidP="00507609">
      <w:pPr>
        <w:ind w:left="851"/>
        <w:rPr>
          <w:sz w:val="24"/>
          <w:szCs w:val="24"/>
        </w:rPr>
      </w:pPr>
      <w:r w:rsidRPr="00875F19">
        <w:rPr>
          <w:sz w:val="24"/>
          <w:szCs w:val="24"/>
        </w:rPr>
        <w:t>DK-2300 København S</w:t>
      </w:r>
    </w:p>
    <w:p w14:paraId="5C944363" w14:textId="77777777" w:rsidR="00507609" w:rsidRPr="00875F19" w:rsidRDefault="00507609" w:rsidP="00507609">
      <w:pPr>
        <w:ind w:left="851"/>
        <w:rPr>
          <w:sz w:val="24"/>
          <w:szCs w:val="24"/>
        </w:rPr>
      </w:pPr>
      <w:r w:rsidRPr="00875F19">
        <w:rPr>
          <w:sz w:val="24"/>
          <w:szCs w:val="24"/>
        </w:rPr>
        <w:t xml:space="preserve">Websted: </w:t>
      </w:r>
      <w:hyperlink r:id="rId8" w:history="1">
        <w:r w:rsidRPr="00875F19">
          <w:rPr>
            <w:rStyle w:val="Hyperlink"/>
            <w:sz w:val="24"/>
            <w:szCs w:val="24"/>
          </w:rPr>
          <w:t>www.meldenbivirkning.dk</w:t>
        </w:r>
      </w:hyperlink>
    </w:p>
    <w:p w14:paraId="26A455A7" w14:textId="77777777" w:rsidR="009260DE" w:rsidRPr="00875F19" w:rsidRDefault="009260DE" w:rsidP="00A10294">
      <w:pPr>
        <w:tabs>
          <w:tab w:val="left" w:pos="851"/>
        </w:tabs>
        <w:ind w:left="851"/>
        <w:rPr>
          <w:sz w:val="24"/>
          <w:szCs w:val="24"/>
        </w:rPr>
      </w:pPr>
    </w:p>
    <w:p w14:paraId="0976A8B6" w14:textId="77777777" w:rsidR="009260DE" w:rsidRPr="00875F19" w:rsidRDefault="009260DE" w:rsidP="009260DE">
      <w:pPr>
        <w:tabs>
          <w:tab w:val="left" w:pos="851"/>
        </w:tabs>
        <w:ind w:left="851" w:hanging="851"/>
        <w:rPr>
          <w:b/>
          <w:sz w:val="24"/>
          <w:szCs w:val="24"/>
        </w:rPr>
      </w:pPr>
      <w:r w:rsidRPr="00875F19">
        <w:rPr>
          <w:b/>
          <w:sz w:val="24"/>
          <w:szCs w:val="24"/>
        </w:rPr>
        <w:t>4.9</w:t>
      </w:r>
      <w:r w:rsidRPr="00875F19">
        <w:rPr>
          <w:b/>
          <w:sz w:val="24"/>
          <w:szCs w:val="24"/>
        </w:rPr>
        <w:tab/>
        <w:t>Overdosering</w:t>
      </w:r>
    </w:p>
    <w:p w14:paraId="5918A065" w14:textId="77777777" w:rsidR="00C806DE" w:rsidRPr="00875F19" w:rsidRDefault="00C806DE" w:rsidP="00507609">
      <w:pPr>
        <w:ind w:left="851"/>
        <w:rPr>
          <w:sz w:val="24"/>
          <w:szCs w:val="24"/>
          <w:lang w:val="nl-NL"/>
        </w:rPr>
      </w:pPr>
      <w:r w:rsidRPr="00875F19">
        <w:rPr>
          <w:sz w:val="24"/>
          <w:szCs w:val="24"/>
          <w:lang w:val="nl-NL"/>
        </w:rPr>
        <w:t>Der er ingen erfaring med overdosering af posaconazol koncentrat til infusionsvæske, opløsning.</w:t>
      </w:r>
    </w:p>
    <w:p w14:paraId="20CE375B" w14:textId="77777777" w:rsidR="00C806DE" w:rsidRPr="00875F19" w:rsidRDefault="00C806DE" w:rsidP="00507609">
      <w:pPr>
        <w:ind w:left="851"/>
        <w:rPr>
          <w:kern w:val="2"/>
          <w:sz w:val="24"/>
          <w:szCs w:val="24"/>
          <w:lang w:val="nl-NL"/>
        </w:rPr>
      </w:pPr>
    </w:p>
    <w:p w14:paraId="222E70C8" w14:textId="7253BDD8" w:rsidR="00C806DE" w:rsidRPr="00875F19" w:rsidRDefault="00C806DE" w:rsidP="00507609">
      <w:pPr>
        <w:ind w:left="851"/>
        <w:rPr>
          <w:sz w:val="24"/>
          <w:szCs w:val="24"/>
          <w:lang w:val="nl-NL"/>
        </w:rPr>
      </w:pPr>
      <w:r w:rsidRPr="00875F19">
        <w:rPr>
          <w:sz w:val="24"/>
          <w:szCs w:val="24"/>
          <w:lang w:val="nl-NL"/>
        </w:rPr>
        <w:t>I kliniske studier havde patienter, som fik posaconazol oral suspension i doser op til 1.600</w:t>
      </w:r>
      <w:r w:rsidR="009C0F58">
        <w:rPr>
          <w:sz w:val="24"/>
          <w:szCs w:val="24"/>
          <w:lang w:val="nl-NL"/>
        </w:rPr>
        <w:t> </w:t>
      </w:r>
      <w:r w:rsidRPr="00875F19">
        <w:rPr>
          <w:sz w:val="24"/>
          <w:szCs w:val="24"/>
          <w:lang w:val="nl-NL"/>
        </w:rPr>
        <w:t>mg/dag, ikke oplevet andre bivirkninger end dem, der blev observeret hos patienter på lavere doser. Uforsætlig overdosering sås hos en patient, som tog posaconazol oral suspension 1.200 mg to gange dagligt i 3 dage. Der blev ikke observeret nogen bivirkninger af investigator.</w:t>
      </w:r>
    </w:p>
    <w:p w14:paraId="6AA97083" w14:textId="77777777" w:rsidR="00C806DE" w:rsidRPr="00875F19" w:rsidRDefault="00C806DE" w:rsidP="00507609">
      <w:pPr>
        <w:ind w:left="851"/>
        <w:rPr>
          <w:kern w:val="2"/>
          <w:sz w:val="24"/>
          <w:szCs w:val="24"/>
          <w:lang w:val="nl-NL"/>
        </w:rPr>
      </w:pPr>
    </w:p>
    <w:p w14:paraId="014E32DA" w14:textId="77777777" w:rsidR="00C806DE" w:rsidRPr="00BC713B" w:rsidRDefault="00C806DE" w:rsidP="00507609">
      <w:pPr>
        <w:ind w:left="851"/>
        <w:rPr>
          <w:sz w:val="24"/>
          <w:szCs w:val="24"/>
        </w:rPr>
      </w:pPr>
      <w:r w:rsidRPr="00875F19">
        <w:rPr>
          <w:sz w:val="24"/>
          <w:szCs w:val="24"/>
          <w:lang w:val="nl-NL"/>
        </w:rPr>
        <w:t xml:space="preserve">Posaconazol fjernes ikke ved hæmodialyse. Der er ingen særlig behandling tilgængelig i tilfælde af overdosering med posaconazol. </w:t>
      </w:r>
      <w:r w:rsidRPr="00875F19">
        <w:rPr>
          <w:sz w:val="24"/>
          <w:szCs w:val="24"/>
        </w:rPr>
        <w:t>Understøttende behandling bør overvejes.</w:t>
      </w:r>
    </w:p>
    <w:p w14:paraId="45E28C22" w14:textId="77777777" w:rsidR="009260DE" w:rsidRPr="00875F19" w:rsidRDefault="009260DE" w:rsidP="009260DE">
      <w:pPr>
        <w:tabs>
          <w:tab w:val="left" w:pos="851"/>
        </w:tabs>
        <w:ind w:left="851"/>
        <w:rPr>
          <w:sz w:val="24"/>
          <w:szCs w:val="24"/>
        </w:rPr>
      </w:pPr>
    </w:p>
    <w:p w14:paraId="1F26E007" w14:textId="77777777" w:rsidR="009260DE" w:rsidRPr="00875F19" w:rsidRDefault="009260DE" w:rsidP="009260DE">
      <w:pPr>
        <w:tabs>
          <w:tab w:val="left" w:pos="851"/>
        </w:tabs>
        <w:ind w:left="851" w:hanging="851"/>
        <w:rPr>
          <w:b/>
          <w:sz w:val="24"/>
          <w:szCs w:val="24"/>
        </w:rPr>
      </w:pPr>
      <w:r w:rsidRPr="00875F19">
        <w:rPr>
          <w:b/>
          <w:sz w:val="24"/>
          <w:szCs w:val="24"/>
        </w:rPr>
        <w:t>4.10</w:t>
      </w:r>
      <w:r w:rsidRPr="00875F19">
        <w:rPr>
          <w:b/>
          <w:sz w:val="24"/>
          <w:szCs w:val="24"/>
        </w:rPr>
        <w:tab/>
        <w:t>Udlevering</w:t>
      </w:r>
    </w:p>
    <w:p w14:paraId="316D20B2" w14:textId="187A4789" w:rsidR="009260DE" w:rsidRPr="00875F19" w:rsidRDefault="00507609" w:rsidP="009260DE">
      <w:pPr>
        <w:tabs>
          <w:tab w:val="left" w:pos="851"/>
        </w:tabs>
        <w:ind w:left="851"/>
        <w:rPr>
          <w:sz w:val="24"/>
          <w:szCs w:val="24"/>
        </w:rPr>
      </w:pPr>
      <w:r w:rsidRPr="00875F19">
        <w:rPr>
          <w:sz w:val="24"/>
          <w:szCs w:val="24"/>
        </w:rPr>
        <w:t>BEGR (kun til sygehuse)</w:t>
      </w:r>
    </w:p>
    <w:p w14:paraId="428C1053" w14:textId="77777777" w:rsidR="009260DE" w:rsidRPr="00875F19" w:rsidRDefault="009260DE" w:rsidP="009260DE">
      <w:pPr>
        <w:tabs>
          <w:tab w:val="left" w:pos="851"/>
        </w:tabs>
        <w:ind w:left="851"/>
        <w:rPr>
          <w:sz w:val="24"/>
          <w:szCs w:val="24"/>
        </w:rPr>
      </w:pPr>
    </w:p>
    <w:p w14:paraId="125B1AD2" w14:textId="77777777" w:rsidR="009260DE" w:rsidRPr="00875F19" w:rsidRDefault="009260DE" w:rsidP="009260DE">
      <w:pPr>
        <w:tabs>
          <w:tab w:val="left" w:pos="851"/>
        </w:tabs>
        <w:ind w:left="851"/>
        <w:rPr>
          <w:sz w:val="24"/>
          <w:szCs w:val="24"/>
        </w:rPr>
      </w:pPr>
    </w:p>
    <w:p w14:paraId="4C209586" w14:textId="77777777" w:rsidR="009260DE" w:rsidRPr="00875F19" w:rsidRDefault="009260DE" w:rsidP="009260DE">
      <w:pPr>
        <w:tabs>
          <w:tab w:val="left" w:pos="851"/>
        </w:tabs>
        <w:ind w:left="851" w:hanging="851"/>
        <w:rPr>
          <w:b/>
          <w:sz w:val="24"/>
          <w:szCs w:val="24"/>
        </w:rPr>
      </w:pPr>
      <w:r w:rsidRPr="00875F19">
        <w:rPr>
          <w:b/>
          <w:sz w:val="24"/>
          <w:szCs w:val="24"/>
        </w:rPr>
        <w:t>5.</w:t>
      </w:r>
      <w:r w:rsidRPr="00875F19">
        <w:rPr>
          <w:b/>
          <w:sz w:val="24"/>
          <w:szCs w:val="24"/>
        </w:rPr>
        <w:tab/>
        <w:t>FARMAKOLOGISKE EGENSKABER</w:t>
      </w:r>
    </w:p>
    <w:p w14:paraId="1915081A" w14:textId="77777777" w:rsidR="009260DE" w:rsidRPr="00875F19" w:rsidRDefault="009260DE" w:rsidP="009260DE">
      <w:pPr>
        <w:tabs>
          <w:tab w:val="left" w:pos="851"/>
        </w:tabs>
        <w:ind w:left="851"/>
        <w:rPr>
          <w:sz w:val="24"/>
          <w:szCs w:val="24"/>
        </w:rPr>
      </w:pPr>
    </w:p>
    <w:p w14:paraId="56E49FCA" w14:textId="77777777" w:rsidR="009260DE" w:rsidRPr="00875F19" w:rsidRDefault="009260DE" w:rsidP="009260DE">
      <w:pPr>
        <w:tabs>
          <w:tab w:val="num" w:pos="851"/>
        </w:tabs>
        <w:ind w:left="851" w:hanging="851"/>
        <w:rPr>
          <w:b/>
          <w:sz w:val="24"/>
          <w:szCs w:val="24"/>
        </w:rPr>
      </w:pPr>
      <w:r w:rsidRPr="00875F19">
        <w:rPr>
          <w:b/>
          <w:sz w:val="24"/>
          <w:szCs w:val="24"/>
        </w:rPr>
        <w:t>5.1</w:t>
      </w:r>
      <w:r w:rsidRPr="00875F19">
        <w:rPr>
          <w:b/>
          <w:sz w:val="24"/>
          <w:szCs w:val="24"/>
        </w:rPr>
        <w:tab/>
        <w:t>Farmakodynamiske egenskaber</w:t>
      </w:r>
    </w:p>
    <w:p w14:paraId="282F20A4" w14:textId="00821906" w:rsidR="00C806DE" w:rsidRPr="00875F19" w:rsidRDefault="00C806DE" w:rsidP="00507609">
      <w:pPr>
        <w:ind w:left="851"/>
        <w:rPr>
          <w:sz w:val="24"/>
          <w:szCs w:val="24"/>
        </w:rPr>
      </w:pPr>
      <w:r w:rsidRPr="00875F19">
        <w:rPr>
          <w:sz w:val="24"/>
          <w:szCs w:val="24"/>
        </w:rPr>
        <w:t>Farmakoterapeutisk klassifikation: Antimykotika til systemisk anvendelse, triazolderivater, ATC</w:t>
      </w:r>
      <w:r w:rsidR="00E5143B">
        <w:rPr>
          <w:sz w:val="24"/>
          <w:szCs w:val="24"/>
        </w:rPr>
        <w:t>-</w:t>
      </w:r>
      <w:r w:rsidRPr="00875F19">
        <w:rPr>
          <w:sz w:val="24"/>
          <w:szCs w:val="24"/>
        </w:rPr>
        <w:t>kode: J02AC04.</w:t>
      </w:r>
    </w:p>
    <w:p w14:paraId="3303F285" w14:textId="77777777" w:rsidR="00C806DE" w:rsidRPr="00875F19" w:rsidRDefault="00C806DE" w:rsidP="00507609">
      <w:pPr>
        <w:ind w:left="851"/>
        <w:rPr>
          <w:sz w:val="24"/>
          <w:szCs w:val="24"/>
        </w:rPr>
      </w:pPr>
    </w:p>
    <w:p w14:paraId="397BB8FA" w14:textId="77777777" w:rsidR="00C806DE" w:rsidRPr="00875F19" w:rsidRDefault="00C806DE" w:rsidP="00507609">
      <w:pPr>
        <w:ind w:left="851"/>
        <w:rPr>
          <w:sz w:val="24"/>
          <w:szCs w:val="24"/>
          <w:u w:val="single"/>
        </w:rPr>
      </w:pPr>
      <w:r w:rsidRPr="00875F19">
        <w:rPr>
          <w:sz w:val="24"/>
          <w:szCs w:val="24"/>
          <w:u w:val="single"/>
        </w:rPr>
        <w:t xml:space="preserve">Virkningsmekanisme </w:t>
      </w:r>
    </w:p>
    <w:p w14:paraId="5A740E6F" w14:textId="77777777" w:rsidR="00C806DE" w:rsidRPr="00875F19" w:rsidRDefault="00C806DE" w:rsidP="00507609">
      <w:pPr>
        <w:ind w:left="851"/>
        <w:rPr>
          <w:sz w:val="24"/>
          <w:szCs w:val="24"/>
        </w:rPr>
      </w:pPr>
      <w:r w:rsidRPr="00875F19">
        <w:rPr>
          <w:sz w:val="24"/>
          <w:szCs w:val="24"/>
        </w:rPr>
        <w:t>Posaconazol hæmmer enzymet lanosterol 14α-demetylase (CYP51), som katalyserer et essentielt trin i ergosterolbiosyntesen.</w:t>
      </w:r>
    </w:p>
    <w:p w14:paraId="315A9A55" w14:textId="77777777" w:rsidR="00C806DE" w:rsidRPr="00875F19" w:rsidRDefault="00C806DE" w:rsidP="00507609">
      <w:pPr>
        <w:ind w:left="851"/>
        <w:rPr>
          <w:sz w:val="24"/>
          <w:szCs w:val="24"/>
        </w:rPr>
      </w:pPr>
    </w:p>
    <w:p w14:paraId="7BDF78D4" w14:textId="77777777" w:rsidR="00C806DE" w:rsidRPr="00875F19" w:rsidRDefault="00C806DE" w:rsidP="00507609">
      <w:pPr>
        <w:ind w:left="851"/>
        <w:rPr>
          <w:sz w:val="24"/>
          <w:szCs w:val="24"/>
          <w:u w:val="single"/>
        </w:rPr>
      </w:pPr>
      <w:r w:rsidRPr="00875F19">
        <w:rPr>
          <w:sz w:val="24"/>
          <w:szCs w:val="24"/>
          <w:u w:val="single"/>
        </w:rPr>
        <w:t>Mikrobiologi</w:t>
      </w:r>
    </w:p>
    <w:p w14:paraId="472B67EF" w14:textId="77777777" w:rsidR="00C806DE" w:rsidRPr="00875F19" w:rsidRDefault="00C806DE" w:rsidP="00507609">
      <w:pPr>
        <w:ind w:left="851"/>
        <w:rPr>
          <w:sz w:val="24"/>
          <w:szCs w:val="24"/>
        </w:rPr>
      </w:pPr>
      <w:r w:rsidRPr="00875F19">
        <w:rPr>
          <w:sz w:val="24"/>
          <w:szCs w:val="24"/>
        </w:rPr>
        <w:t xml:space="preserve">Det er blevet påvist </w:t>
      </w:r>
      <w:r w:rsidRPr="00875F19">
        <w:rPr>
          <w:i/>
          <w:iCs/>
          <w:sz w:val="24"/>
          <w:szCs w:val="24"/>
        </w:rPr>
        <w:t>in vitro</w:t>
      </w:r>
      <w:r w:rsidRPr="00875F19">
        <w:rPr>
          <w:sz w:val="24"/>
          <w:szCs w:val="24"/>
        </w:rPr>
        <w:t xml:space="preserve">, at posaconazol har virkning på følgende mikroorganismer: </w:t>
      </w:r>
      <w:r w:rsidRPr="00875F19">
        <w:rPr>
          <w:i/>
          <w:iCs/>
          <w:sz w:val="24"/>
          <w:szCs w:val="24"/>
        </w:rPr>
        <w:t>Aspergillus-</w:t>
      </w:r>
      <w:r w:rsidRPr="00875F19">
        <w:rPr>
          <w:sz w:val="24"/>
          <w:szCs w:val="24"/>
        </w:rPr>
        <w:t>arter (</w:t>
      </w:r>
      <w:r w:rsidRPr="00875F19">
        <w:rPr>
          <w:i/>
          <w:iCs/>
          <w:sz w:val="24"/>
          <w:szCs w:val="24"/>
        </w:rPr>
        <w:t>Aspergillus fumigatus</w:t>
      </w:r>
      <w:r w:rsidRPr="00875F19">
        <w:rPr>
          <w:sz w:val="24"/>
          <w:szCs w:val="24"/>
        </w:rPr>
        <w:t xml:space="preserve">, </w:t>
      </w:r>
      <w:r w:rsidRPr="00875F19">
        <w:rPr>
          <w:i/>
          <w:iCs/>
          <w:sz w:val="24"/>
          <w:szCs w:val="24"/>
        </w:rPr>
        <w:t>A. flavus</w:t>
      </w:r>
      <w:r w:rsidRPr="00875F19">
        <w:rPr>
          <w:sz w:val="24"/>
          <w:szCs w:val="24"/>
        </w:rPr>
        <w:t xml:space="preserve">, </w:t>
      </w:r>
      <w:r w:rsidRPr="00875F19">
        <w:rPr>
          <w:i/>
          <w:iCs/>
          <w:sz w:val="24"/>
          <w:szCs w:val="24"/>
        </w:rPr>
        <w:t>A. terreus</w:t>
      </w:r>
      <w:r w:rsidRPr="00875F19">
        <w:rPr>
          <w:sz w:val="24"/>
          <w:szCs w:val="24"/>
        </w:rPr>
        <w:t xml:space="preserve">, </w:t>
      </w:r>
      <w:r w:rsidRPr="00875F19">
        <w:rPr>
          <w:i/>
          <w:iCs/>
          <w:sz w:val="24"/>
          <w:szCs w:val="24"/>
        </w:rPr>
        <w:t>A. nidulans</w:t>
      </w:r>
      <w:r w:rsidRPr="00875F19">
        <w:rPr>
          <w:sz w:val="24"/>
          <w:szCs w:val="24"/>
        </w:rPr>
        <w:t xml:space="preserve">, </w:t>
      </w:r>
      <w:r w:rsidRPr="00875F19">
        <w:rPr>
          <w:i/>
          <w:iCs/>
          <w:sz w:val="24"/>
          <w:szCs w:val="24"/>
        </w:rPr>
        <w:t>A. niger</w:t>
      </w:r>
      <w:r w:rsidRPr="00875F19">
        <w:rPr>
          <w:sz w:val="24"/>
          <w:szCs w:val="24"/>
        </w:rPr>
        <w:t xml:space="preserve">, </w:t>
      </w:r>
      <w:r w:rsidRPr="00875F19">
        <w:rPr>
          <w:i/>
          <w:iCs/>
          <w:sz w:val="24"/>
          <w:szCs w:val="24"/>
        </w:rPr>
        <w:t>A. ustus</w:t>
      </w:r>
      <w:r w:rsidRPr="00875F19">
        <w:rPr>
          <w:sz w:val="24"/>
          <w:szCs w:val="24"/>
        </w:rPr>
        <w:t xml:space="preserve">), </w:t>
      </w:r>
      <w:r w:rsidRPr="00875F19">
        <w:rPr>
          <w:i/>
          <w:iCs/>
          <w:sz w:val="24"/>
          <w:szCs w:val="24"/>
        </w:rPr>
        <w:t>Candida-</w:t>
      </w:r>
      <w:r w:rsidRPr="00875F19">
        <w:rPr>
          <w:sz w:val="24"/>
          <w:szCs w:val="24"/>
        </w:rPr>
        <w:t xml:space="preserve">arter </w:t>
      </w:r>
      <w:r w:rsidRPr="00875F19">
        <w:rPr>
          <w:i/>
          <w:iCs/>
          <w:sz w:val="24"/>
          <w:szCs w:val="24"/>
        </w:rPr>
        <w:t>(Candida albicans, C. glabrata, C. krusei, C. parapsilosis, C. tropicalis, C. dubliniensis, C. famata, C. inconspicua, C. lipolytica, C. norvegensis, C. pseudotropicalis), Coccidioides immitis</w:t>
      </w:r>
      <w:r w:rsidRPr="00875F19">
        <w:rPr>
          <w:sz w:val="24"/>
          <w:szCs w:val="24"/>
        </w:rPr>
        <w:t xml:space="preserve">, </w:t>
      </w:r>
      <w:r w:rsidRPr="00875F19">
        <w:rPr>
          <w:i/>
          <w:iCs/>
          <w:sz w:val="24"/>
          <w:szCs w:val="24"/>
        </w:rPr>
        <w:t xml:space="preserve">Fonsecaea pedrosoi </w:t>
      </w:r>
      <w:r w:rsidRPr="00875F19">
        <w:rPr>
          <w:sz w:val="24"/>
          <w:szCs w:val="24"/>
        </w:rPr>
        <w:t xml:space="preserve">og arter af </w:t>
      </w:r>
      <w:r w:rsidRPr="00875F19">
        <w:rPr>
          <w:i/>
          <w:iCs/>
          <w:sz w:val="24"/>
          <w:szCs w:val="24"/>
        </w:rPr>
        <w:t xml:space="preserve">Fusarium, Rhizomucor, Mucor og Rhizopus. </w:t>
      </w:r>
      <w:r w:rsidRPr="00875F19">
        <w:rPr>
          <w:sz w:val="24"/>
          <w:szCs w:val="24"/>
        </w:rPr>
        <w:t xml:space="preserve">De mikrobiologiske data antyder, at posaconazol er aktiv mod </w:t>
      </w:r>
      <w:r w:rsidRPr="00875F19">
        <w:rPr>
          <w:i/>
          <w:iCs/>
          <w:sz w:val="24"/>
          <w:szCs w:val="24"/>
        </w:rPr>
        <w:t xml:space="preserve">Rhizomucor, Mucor </w:t>
      </w:r>
      <w:r w:rsidRPr="00875F19">
        <w:rPr>
          <w:sz w:val="24"/>
          <w:szCs w:val="24"/>
        </w:rPr>
        <w:t xml:space="preserve">og </w:t>
      </w:r>
      <w:r w:rsidRPr="00875F19">
        <w:rPr>
          <w:i/>
          <w:iCs/>
          <w:sz w:val="24"/>
          <w:szCs w:val="24"/>
        </w:rPr>
        <w:t xml:space="preserve">Rhizopus; </w:t>
      </w:r>
      <w:r w:rsidRPr="00875F19">
        <w:rPr>
          <w:sz w:val="24"/>
          <w:szCs w:val="24"/>
        </w:rPr>
        <w:t>de aktuelle kliniske data er imidlertid for begrænsede til at vurdere virkningen af posaconazol over for disse sygdomsfremkaldende arter.</w:t>
      </w:r>
    </w:p>
    <w:p w14:paraId="673F0CAB" w14:textId="77777777" w:rsidR="00C806DE" w:rsidRPr="00875F19" w:rsidRDefault="00C806DE" w:rsidP="00507609">
      <w:pPr>
        <w:ind w:left="851"/>
        <w:rPr>
          <w:kern w:val="2"/>
          <w:sz w:val="24"/>
          <w:szCs w:val="24"/>
        </w:rPr>
      </w:pPr>
    </w:p>
    <w:p w14:paraId="78D5FBF2" w14:textId="77777777" w:rsidR="00C806DE" w:rsidRPr="00875F19" w:rsidRDefault="00C806DE" w:rsidP="00507609">
      <w:pPr>
        <w:ind w:left="851"/>
        <w:rPr>
          <w:sz w:val="24"/>
          <w:szCs w:val="24"/>
          <w:lang w:val="nl-NL"/>
        </w:rPr>
      </w:pPr>
      <w:r w:rsidRPr="00875F19">
        <w:rPr>
          <w:sz w:val="24"/>
          <w:szCs w:val="24"/>
          <w:lang w:val="nl-NL"/>
        </w:rPr>
        <w:t xml:space="preserve">Følgende </w:t>
      </w:r>
      <w:r w:rsidRPr="00875F19">
        <w:rPr>
          <w:i/>
          <w:iCs/>
          <w:sz w:val="24"/>
          <w:szCs w:val="24"/>
          <w:lang w:val="nl-NL"/>
        </w:rPr>
        <w:t>in vitro</w:t>
      </w:r>
      <w:r w:rsidRPr="00875F19">
        <w:rPr>
          <w:sz w:val="24"/>
          <w:szCs w:val="24"/>
          <w:lang w:val="nl-NL"/>
        </w:rPr>
        <w:t xml:space="preserve">-data er tilgængelige, men deres kliniske betydning er ikke kendt. I et overvågningsstudie af &gt; 3.000 kliniske skimmelisolater fra 2010-2018 udviste 90 % af non- </w:t>
      </w:r>
      <w:r w:rsidRPr="00875F19">
        <w:rPr>
          <w:i/>
          <w:iCs/>
          <w:sz w:val="24"/>
          <w:szCs w:val="24"/>
          <w:lang w:val="nl-NL"/>
        </w:rPr>
        <w:t xml:space="preserve">Aspergillus </w:t>
      </w:r>
      <w:r w:rsidRPr="00875F19">
        <w:rPr>
          <w:sz w:val="24"/>
          <w:szCs w:val="24"/>
          <w:lang w:val="nl-NL"/>
        </w:rPr>
        <w:t>svampene følgende mindste hæmmende koncentration (MIC</w:t>
      </w:r>
      <w:r w:rsidRPr="00875F19">
        <w:rPr>
          <w:i/>
          <w:iCs/>
          <w:sz w:val="24"/>
          <w:szCs w:val="24"/>
          <w:lang w:val="nl-NL"/>
        </w:rPr>
        <w:t>) in vitro</w:t>
      </w:r>
      <w:r w:rsidRPr="00875F19">
        <w:rPr>
          <w:sz w:val="24"/>
          <w:szCs w:val="24"/>
          <w:lang w:val="nl-NL"/>
        </w:rPr>
        <w:t xml:space="preserve">: </w:t>
      </w:r>
      <w:r w:rsidRPr="00875F19">
        <w:rPr>
          <w:i/>
          <w:iCs/>
          <w:sz w:val="24"/>
          <w:szCs w:val="24"/>
          <w:lang w:val="nl-NL"/>
        </w:rPr>
        <w:t xml:space="preserve">Mucorales </w:t>
      </w:r>
      <w:r w:rsidRPr="00875F19">
        <w:rPr>
          <w:sz w:val="24"/>
          <w:szCs w:val="24"/>
          <w:lang w:val="nl-NL"/>
        </w:rPr>
        <w:t xml:space="preserve">spp (n=81) 2 mg/l; </w:t>
      </w:r>
      <w:r w:rsidRPr="00875F19">
        <w:rPr>
          <w:i/>
          <w:iCs/>
          <w:sz w:val="24"/>
          <w:szCs w:val="24"/>
          <w:lang w:val="nl-NL"/>
        </w:rPr>
        <w:t xml:space="preserve">Scedosporium apiospermum/S. boydii </w:t>
      </w:r>
      <w:r w:rsidRPr="00875F19">
        <w:rPr>
          <w:sz w:val="24"/>
          <w:szCs w:val="24"/>
          <w:lang w:val="nl-NL"/>
        </w:rPr>
        <w:t xml:space="preserve">(n=65) 2 mg/l; </w:t>
      </w:r>
      <w:r w:rsidRPr="00875F19">
        <w:rPr>
          <w:i/>
          <w:iCs/>
          <w:sz w:val="24"/>
          <w:szCs w:val="24"/>
          <w:lang w:val="nl-NL"/>
        </w:rPr>
        <w:t xml:space="preserve">Exophiala dermatiditis </w:t>
      </w:r>
      <w:r w:rsidRPr="00875F19">
        <w:rPr>
          <w:sz w:val="24"/>
          <w:szCs w:val="24"/>
          <w:lang w:val="nl-NL"/>
        </w:rPr>
        <w:t xml:space="preserve">(n=15) 0,5 mg/l og </w:t>
      </w:r>
      <w:r w:rsidRPr="00875F19">
        <w:rPr>
          <w:i/>
          <w:iCs/>
          <w:sz w:val="24"/>
          <w:szCs w:val="24"/>
          <w:lang w:val="nl-NL"/>
        </w:rPr>
        <w:t xml:space="preserve">Purpureocillium lilacinum </w:t>
      </w:r>
      <w:r w:rsidRPr="00875F19">
        <w:rPr>
          <w:sz w:val="24"/>
          <w:szCs w:val="24"/>
          <w:lang w:val="nl-NL"/>
        </w:rPr>
        <w:t>(n=21) på 1 mg/l.</w:t>
      </w:r>
    </w:p>
    <w:p w14:paraId="442F6E79" w14:textId="77777777" w:rsidR="00C806DE" w:rsidRPr="00875F19" w:rsidRDefault="00C806DE" w:rsidP="00507609">
      <w:pPr>
        <w:ind w:left="851"/>
        <w:rPr>
          <w:kern w:val="2"/>
          <w:sz w:val="24"/>
          <w:szCs w:val="24"/>
          <w:lang w:val="nl-NL"/>
        </w:rPr>
      </w:pPr>
    </w:p>
    <w:p w14:paraId="6AADDFA9" w14:textId="77777777" w:rsidR="00C806DE" w:rsidRPr="00875F19" w:rsidRDefault="00C806DE" w:rsidP="00507609">
      <w:pPr>
        <w:ind w:left="851"/>
        <w:rPr>
          <w:sz w:val="24"/>
          <w:szCs w:val="24"/>
          <w:u w:val="single"/>
          <w:lang w:val="nl-NL"/>
        </w:rPr>
      </w:pPr>
      <w:r w:rsidRPr="00875F19">
        <w:rPr>
          <w:sz w:val="24"/>
          <w:szCs w:val="24"/>
          <w:u w:val="single"/>
          <w:lang w:val="nl-NL"/>
        </w:rPr>
        <w:t xml:space="preserve">Resistens </w:t>
      </w:r>
    </w:p>
    <w:p w14:paraId="2B6A5014" w14:textId="77777777" w:rsidR="00C806DE" w:rsidRPr="00875F19" w:rsidRDefault="00C806DE" w:rsidP="00507609">
      <w:pPr>
        <w:ind w:left="851"/>
        <w:rPr>
          <w:sz w:val="24"/>
          <w:szCs w:val="24"/>
          <w:lang w:val="nl-NL"/>
        </w:rPr>
      </w:pPr>
      <w:r w:rsidRPr="00875F19">
        <w:rPr>
          <w:sz w:val="24"/>
          <w:szCs w:val="24"/>
          <w:lang w:val="nl-NL"/>
        </w:rPr>
        <w:t>Kliniske isolater med nedsat følsomhed for posaconazol er set. Hovedvirkningsmekanismen ved resistensudvikling er substitutioner i target-proteinet CYP51.</w:t>
      </w:r>
    </w:p>
    <w:p w14:paraId="288EE882" w14:textId="77777777" w:rsidR="00C806DE" w:rsidRPr="00875F19" w:rsidRDefault="00C806DE" w:rsidP="00507609">
      <w:pPr>
        <w:ind w:left="851"/>
        <w:rPr>
          <w:kern w:val="2"/>
          <w:sz w:val="24"/>
          <w:szCs w:val="24"/>
          <w:lang w:val="nl-NL"/>
        </w:rPr>
      </w:pPr>
    </w:p>
    <w:p w14:paraId="0D7A8385" w14:textId="77777777" w:rsidR="00C806DE" w:rsidRPr="00875F19" w:rsidRDefault="00C806DE" w:rsidP="00507609">
      <w:pPr>
        <w:ind w:left="851"/>
        <w:rPr>
          <w:sz w:val="24"/>
          <w:szCs w:val="24"/>
          <w:u w:val="single"/>
        </w:rPr>
      </w:pPr>
      <w:r w:rsidRPr="00875F19">
        <w:rPr>
          <w:sz w:val="24"/>
          <w:szCs w:val="24"/>
          <w:u w:val="single"/>
        </w:rPr>
        <w:t xml:space="preserve">Grænseværdier ved følsomhedstestning </w:t>
      </w:r>
    </w:p>
    <w:p w14:paraId="301432F3" w14:textId="77777777" w:rsidR="00C806DE" w:rsidRPr="00875F19" w:rsidRDefault="00C806DE" w:rsidP="00507609">
      <w:pPr>
        <w:ind w:left="851"/>
        <w:rPr>
          <w:sz w:val="24"/>
          <w:szCs w:val="24"/>
        </w:rPr>
      </w:pPr>
      <w:r w:rsidRPr="00875F19">
        <w:rPr>
          <w:sz w:val="24"/>
          <w:szCs w:val="24"/>
        </w:rPr>
        <w:t xml:space="preserve">MIC (mindste inhiberende koncentration)-fortolkningskriterierne for følsomhedstestning er fastlagt af European Committee on Antimicrobial Susceptibility Testing (EUCAST) for posaconazol og er anført her: </w:t>
      </w:r>
      <w:hyperlink r:id="rId9" w:history="1">
        <w:r w:rsidRPr="00875F19">
          <w:rPr>
            <w:rStyle w:val="Hyperlink"/>
            <w:sz w:val="24"/>
            <w:szCs w:val="24"/>
          </w:rPr>
          <w:t>https://www.ema.europa.eu/documents/other/minimum-inhibitory-concentration-micbreakpoints_en.xlsx</w:t>
        </w:r>
      </w:hyperlink>
    </w:p>
    <w:p w14:paraId="11F35F82" w14:textId="77777777" w:rsidR="00C806DE" w:rsidRPr="00875F19" w:rsidRDefault="00C806DE" w:rsidP="00507609">
      <w:pPr>
        <w:ind w:left="851"/>
        <w:rPr>
          <w:sz w:val="24"/>
          <w:szCs w:val="24"/>
        </w:rPr>
      </w:pPr>
    </w:p>
    <w:p w14:paraId="40A3BFCA" w14:textId="77777777" w:rsidR="00C806DE" w:rsidRPr="00875F19" w:rsidRDefault="00C806DE" w:rsidP="00507609">
      <w:pPr>
        <w:ind w:left="851"/>
        <w:rPr>
          <w:sz w:val="24"/>
          <w:szCs w:val="24"/>
          <w:u w:val="single"/>
        </w:rPr>
      </w:pPr>
      <w:r w:rsidRPr="00875F19">
        <w:rPr>
          <w:sz w:val="24"/>
          <w:szCs w:val="24"/>
          <w:u w:val="single"/>
        </w:rPr>
        <w:t xml:space="preserve">Kombination med andre antimykotika </w:t>
      </w:r>
    </w:p>
    <w:p w14:paraId="65017FBF" w14:textId="77777777" w:rsidR="00C806DE" w:rsidRPr="00875F19" w:rsidRDefault="00C806DE" w:rsidP="00507609">
      <w:pPr>
        <w:ind w:left="851"/>
        <w:rPr>
          <w:sz w:val="24"/>
          <w:szCs w:val="24"/>
          <w:lang w:val="nl-NL"/>
        </w:rPr>
      </w:pPr>
      <w:r w:rsidRPr="00875F19">
        <w:rPr>
          <w:sz w:val="24"/>
          <w:szCs w:val="24"/>
          <w:lang w:val="nl-NL"/>
        </w:rPr>
        <w:t>Kombinationsbehandling med antimykotika bør ikke nedsætte virkningen af hverken posaconazol eller de andre lægemidler. Der foreligger imidlertid endnu ikke klinisk evidens for, at kombinationsbehandling vil føre til øget virkning.</w:t>
      </w:r>
    </w:p>
    <w:p w14:paraId="058EBAA7" w14:textId="77777777" w:rsidR="00C806DE" w:rsidRPr="00875F19" w:rsidRDefault="00C806DE" w:rsidP="00507609">
      <w:pPr>
        <w:ind w:left="851"/>
        <w:rPr>
          <w:kern w:val="2"/>
          <w:sz w:val="24"/>
          <w:szCs w:val="24"/>
          <w:lang w:val="nl-NL"/>
        </w:rPr>
      </w:pPr>
    </w:p>
    <w:p w14:paraId="4F9B3A3C" w14:textId="77777777" w:rsidR="00C806DE" w:rsidRPr="00875F19" w:rsidRDefault="00C806DE" w:rsidP="00507609">
      <w:pPr>
        <w:ind w:left="851"/>
        <w:rPr>
          <w:sz w:val="24"/>
          <w:szCs w:val="24"/>
          <w:u w:val="single"/>
          <w:lang w:val="nl-NL"/>
        </w:rPr>
      </w:pPr>
      <w:r w:rsidRPr="00875F19">
        <w:rPr>
          <w:sz w:val="24"/>
          <w:szCs w:val="24"/>
          <w:u w:val="single"/>
          <w:lang w:val="nl-NL"/>
        </w:rPr>
        <w:t>Klinisk erfaring</w:t>
      </w:r>
    </w:p>
    <w:p w14:paraId="1115F806" w14:textId="77777777" w:rsidR="00C806DE" w:rsidRPr="00875F19" w:rsidRDefault="00C806DE" w:rsidP="00507609">
      <w:pPr>
        <w:ind w:left="851"/>
        <w:rPr>
          <w:sz w:val="24"/>
          <w:szCs w:val="24"/>
          <w:lang w:val="nl-NL"/>
        </w:rPr>
      </w:pPr>
    </w:p>
    <w:p w14:paraId="12D8CB0F" w14:textId="77777777" w:rsidR="00C806DE" w:rsidRPr="00875F19" w:rsidRDefault="00C806DE" w:rsidP="00507609">
      <w:pPr>
        <w:ind w:left="851"/>
        <w:rPr>
          <w:i/>
          <w:iCs/>
          <w:sz w:val="24"/>
          <w:szCs w:val="24"/>
          <w:u w:val="single"/>
          <w:lang w:val="nl-NL"/>
        </w:rPr>
      </w:pPr>
      <w:r w:rsidRPr="00875F19">
        <w:rPr>
          <w:i/>
          <w:iCs/>
          <w:sz w:val="24"/>
          <w:szCs w:val="24"/>
          <w:u w:val="single"/>
          <w:lang w:val="nl-NL"/>
        </w:rPr>
        <w:t xml:space="preserve">Sammendrag af bridging-studiet med </w:t>
      </w:r>
      <w:r w:rsidRPr="00875F19">
        <w:rPr>
          <w:sz w:val="24"/>
          <w:szCs w:val="24"/>
          <w:u w:val="single"/>
          <w:lang w:val="nl-NL"/>
        </w:rPr>
        <w:t>posaconazol</w:t>
      </w:r>
      <w:r w:rsidRPr="00875F19">
        <w:rPr>
          <w:i/>
          <w:iCs/>
          <w:sz w:val="24"/>
          <w:szCs w:val="24"/>
          <w:u w:val="single"/>
          <w:lang w:val="nl-NL"/>
        </w:rPr>
        <w:t xml:space="preserve"> koncentrat til infusionsvæske, opløsning </w:t>
      </w:r>
    </w:p>
    <w:p w14:paraId="21F2BFDD" w14:textId="77777777" w:rsidR="00C806DE" w:rsidRPr="00875F19" w:rsidRDefault="00C806DE" w:rsidP="00507609">
      <w:pPr>
        <w:ind w:left="851"/>
        <w:rPr>
          <w:sz w:val="24"/>
          <w:szCs w:val="24"/>
          <w:lang w:val="nl-NL"/>
        </w:rPr>
      </w:pPr>
      <w:r w:rsidRPr="00875F19">
        <w:rPr>
          <w:sz w:val="24"/>
          <w:szCs w:val="24"/>
          <w:lang w:val="nl-NL"/>
        </w:rPr>
        <w:t>Studie 5520 var et ikke-sammenlignende multicenterstudie, som blev udført for at vurdere de farmakokinetiske egenskaber, sikkerheden og tolerabiliteten af posaconazol koncentrat til infusionsvæske, opløsning.</w:t>
      </w:r>
    </w:p>
    <w:p w14:paraId="78B74AB6" w14:textId="77777777" w:rsidR="00C806DE" w:rsidRPr="00875F19" w:rsidRDefault="00C806DE" w:rsidP="00507609">
      <w:pPr>
        <w:ind w:left="851"/>
        <w:rPr>
          <w:kern w:val="2"/>
          <w:sz w:val="24"/>
          <w:szCs w:val="24"/>
          <w:lang w:val="nl-NL"/>
        </w:rPr>
      </w:pPr>
    </w:p>
    <w:p w14:paraId="2ABA289F" w14:textId="77777777" w:rsidR="00C806DE" w:rsidRPr="00875F19" w:rsidRDefault="00C806DE" w:rsidP="00507609">
      <w:pPr>
        <w:ind w:left="851"/>
        <w:rPr>
          <w:sz w:val="24"/>
          <w:szCs w:val="24"/>
          <w:lang w:val="nl-NL"/>
        </w:rPr>
      </w:pPr>
      <w:r w:rsidRPr="00875F19">
        <w:rPr>
          <w:sz w:val="24"/>
          <w:szCs w:val="24"/>
          <w:lang w:val="nl-NL"/>
        </w:rPr>
        <w:t>I studie 5520 blev der inkluderet i alt 279 forsøgspersoner, herunder 268 forsøgspersoner, som fik mindst en dosis posaconazol koncentrat til infusionsvæske, opløsning. Kohorte 0 blev designet til at vurdere tolerabiliteten af en enkelt dosis posaconazol koncentrat til infusionsvæske, opløsning ved administration via et centralt venekateter.</w:t>
      </w:r>
    </w:p>
    <w:p w14:paraId="42B52305" w14:textId="77777777" w:rsidR="00C806DE" w:rsidRPr="00875F19" w:rsidRDefault="00C806DE" w:rsidP="00507609">
      <w:pPr>
        <w:ind w:left="851"/>
        <w:rPr>
          <w:sz w:val="24"/>
          <w:szCs w:val="24"/>
          <w:lang w:val="nl-NL"/>
        </w:rPr>
      </w:pPr>
      <w:r w:rsidRPr="00875F19">
        <w:rPr>
          <w:sz w:val="24"/>
          <w:szCs w:val="24"/>
          <w:lang w:val="nl-NL"/>
        </w:rPr>
        <w:t xml:space="preserve">Populationen af forsøgspersoner i kohorte 1 og 2 omfattede forsøgspersoner med AML eller MDS, som fornyligt havde fået kemoterapi, og som havde udviklet eller forventedes </w:t>
      </w:r>
      <w:r w:rsidRPr="00875F19">
        <w:rPr>
          <w:sz w:val="24"/>
          <w:szCs w:val="24"/>
          <w:lang w:val="nl-NL"/>
        </w:rPr>
        <w:lastRenderedPageBreak/>
        <w:t>at udvikle signifikant neutropeni. To forskellige doseringsgrupper blev vurderet i kohorte 1 og 2: 200 mg to gange dagligt på dag 1, efterfulgt af 200 mg en gang dagligt (kohorte 1) og 300 mg to gange dagligt på dag 1, efterfulgt af 300 mg en gang dagligt (kohorte 2).</w:t>
      </w:r>
    </w:p>
    <w:p w14:paraId="3A0D46B1" w14:textId="186304D3" w:rsidR="00C806DE" w:rsidRPr="00875F19" w:rsidRDefault="00C806DE" w:rsidP="00507609">
      <w:pPr>
        <w:ind w:left="851"/>
        <w:rPr>
          <w:kern w:val="2"/>
          <w:sz w:val="24"/>
          <w:szCs w:val="24"/>
          <w:lang w:val="nl-NL"/>
        </w:rPr>
      </w:pPr>
    </w:p>
    <w:p w14:paraId="2A5DBFE8" w14:textId="77777777" w:rsidR="00C806DE" w:rsidRPr="00875F19" w:rsidRDefault="00C806DE" w:rsidP="00507609">
      <w:pPr>
        <w:ind w:left="851"/>
        <w:rPr>
          <w:sz w:val="24"/>
          <w:szCs w:val="24"/>
          <w:lang w:val="nl-NL"/>
        </w:rPr>
      </w:pPr>
      <w:r w:rsidRPr="00875F19">
        <w:rPr>
          <w:sz w:val="24"/>
          <w:szCs w:val="24"/>
          <w:lang w:val="nl-NL"/>
        </w:rPr>
        <w:t>Populationen af forsøgspersoner i kohorte 3 omfattede: 1) patienter med AML eller MDS, som fornyligt havde fået kemoterapi, og som havde udviklet eller forventedes at udvikle signifikant neutropeni, eller 2) patienter, som havde gennemført en HSCT, og som fik immunsuppressiv behandling til forebyggelse eller behandling af GVHD. Disse typer patienter blev tidligere undersøgt i et pivotalt kontrolleret studie af posaconazol oral suspension. På basis af de farmakokinetiske resultater og sikkerhedsresultaterne fra kohorte 1 og 2 fik alle forsøgspersonerne i kohorte 3 300 mg to gange dagligt på dag 1, efterfulgt af 300 mg en gang dagligt.</w:t>
      </w:r>
    </w:p>
    <w:p w14:paraId="6997E552" w14:textId="4A153124" w:rsidR="00C806DE" w:rsidRPr="00875F19" w:rsidRDefault="00C806DE" w:rsidP="00507609">
      <w:pPr>
        <w:ind w:left="851"/>
        <w:rPr>
          <w:kern w:val="2"/>
          <w:sz w:val="24"/>
          <w:szCs w:val="24"/>
          <w:lang w:val="nl-NL"/>
        </w:rPr>
      </w:pPr>
    </w:p>
    <w:p w14:paraId="034563EB" w14:textId="77777777" w:rsidR="00C806DE" w:rsidRPr="00875F19" w:rsidRDefault="00C806DE" w:rsidP="00507609">
      <w:pPr>
        <w:ind w:left="851"/>
        <w:rPr>
          <w:sz w:val="24"/>
          <w:szCs w:val="24"/>
          <w:lang w:val="nl-NL"/>
        </w:rPr>
      </w:pPr>
      <w:r w:rsidRPr="00875F19">
        <w:rPr>
          <w:sz w:val="24"/>
          <w:szCs w:val="24"/>
          <w:lang w:val="nl-NL"/>
        </w:rPr>
        <w:t>Den samlede population af forsøgspersoner havde en gennemsnitsalder på 51 år (interval = 18-82 år), 95 % var hvide, den største etniske gruppe var ikke af latinamerikansk oprindelse (92 %) og 55 % var mænd. Studiet behandlede 155 (65 %) forsøgspersoner med AML eller MDS og 82 (35 %) forsøgspersoner med HSCT som de primære sygdomme ved inklusion i studiet.</w:t>
      </w:r>
    </w:p>
    <w:p w14:paraId="1816DBC8" w14:textId="77777777" w:rsidR="00C806DE" w:rsidRPr="00875F19" w:rsidRDefault="00C806DE" w:rsidP="00507609">
      <w:pPr>
        <w:ind w:left="851"/>
        <w:rPr>
          <w:sz w:val="24"/>
          <w:szCs w:val="24"/>
          <w:lang w:val="nl-NL"/>
        </w:rPr>
      </w:pPr>
      <w:r w:rsidRPr="00875F19">
        <w:rPr>
          <w:sz w:val="24"/>
          <w:szCs w:val="24"/>
          <w:lang w:val="nl-NL"/>
        </w:rPr>
        <w:t xml:space="preserve">Serielle farmakokinetiske prøver blev udtaget på dag 1 og ved </w:t>
      </w:r>
      <w:r w:rsidRPr="00875F19">
        <w:rPr>
          <w:i/>
          <w:iCs/>
          <w:sz w:val="24"/>
          <w:szCs w:val="24"/>
          <w:lang w:val="nl-NL"/>
        </w:rPr>
        <w:t xml:space="preserve">steady-state </w:t>
      </w:r>
      <w:r w:rsidRPr="00875F19">
        <w:rPr>
          <w:sz w:val="24"/>
          <w:szCs w:val="24"/>
          <w:lang w:val="nl-NL"/>
        </w:rPr>
        <w:t>på dag 14 for alle forsøgspersoner i kohorte 1 og 2 og på dag 10 for en delgruppe af forsøgspersonerne i kohorte 3.</w:t>
      </w:r>
    </w:p>
    <w:p w14:paraId="3FFA3DFB" w14:textId="77777777" w:rsidR="00C806DE" w:rsidRPr="00875F19" w:rsidRDefault="00C806DE" w:rsidP="00507609">
      <w:pPr>
        <w:ind w:left="851"/>
        <w:rPr>
          <w:sz w:val="24"/>
          <w:szCs w:val="24"/>
          <w:lang w:val="nl-NL"/>
        </w:rPr>
      </w:pPr>
      <w:r w:rsidRPr="00875F19">
        <w:rPr>
          <w:sz w:val="24"/>
          <w:szCs w:val="24"/>
          <w:lang w:val="nl-NL"/>
        </w:rPr>
        <w:t xml:space="preserve">Denne serielle farmakokinetiske analyse påviste, at 94 % af forsøgspersonerne, som blev behandlet med en dosis på 300 mg en gang dagligt opnåede Cav ved </w:t>
      </w:r>
      <w:r w:rsidRPr="00875F19">
        <w:rPr>
          <w:i/>
          <w:iCs/>
          <w:sz w:val="24"/>
          <w:szCs w:val="24"/>
          <w:lang w:val="nl-NL"/>
        </w:rPr>
        <w:t xml:space="preserve">steady-state </w:t>
      </w:r>
      <w:r w:rsidRPr="00875F19">
        <w:rPr>
          <w:sz w:val="24"/>
          <w:szCs w:val="24"/>
          <w:lang w:val="nl-NL"/>
        </w:rPr>
        <w:t xml:space="preserve">på mellem 500-2.500 ng/ml [Cav var den gennemsnitlige koncentration af posaconazol ved </w:t>
      </w:r>
      <w:r w:rsidRPr="00875F19">
        <w:rPr>
          <w:i/>
          <w:iCs/>
          <w:sz w:val="24"/>
          <w:szCs w:val="24"/>
          <w:lang w:val="nl-NL"/>
        </w:rPr>
        <w:t>steady-state</w:t>
      </w:r>
      <w:r w:rsidRPr="00875F19">
        <w:rPr>
          <w:sz w:val="24"/>
          <w:szCs w:val="24"/>
          <w:lang w:val="nl-NL"/>
        </w:rPr>
        <w:t xml:space="preserve">, beregnet som AUC/doseringsintervallet (24 timer)]. Denne eksponering blev valgt på basis af farmakokinetiske/farmakodynamiske overvejelser med posaconazol oral suspension. Forsøgspersoner, som fik 300 mg en gang dagligt, opnåede en gennemsnitlig Cav ved </w:t>
      </w:r>
      <w:r w:rsidRPr="00875F19">
        <w:rPr>
          <w:i/>
          <w:iCs/>
          <w:sz w:val="24"/>
          <w:szCs w:val="24"/>
          <w:lang w:val="nl-NL"/>
        </w:rPr>
        <w:t xml:space="preserve">steady-state </w:t>
      </w:r>
      <w:r w:rsidRPr="00875F19">
        <w:rPr>
          <w:sz w:val="24"/>
          <w:szCs w:val="24"/>
          <w:lang w:val="nl-NL"/>
        </w:rPr>
        <w:t>på 1.500 ng/ml.</w:t>
      </w:r>
    </w:p>
    <w:p w14:paraId="7E28AB1C" w14:textId="77777777" w:rsidR="00C806DE" w:rsidRPr="00875F19" w:rsidRDefault="00C806DE" w:rsidP="00507609">
      <w:pPr>
        <w:ind w:left="851"/>
        <w:rPr>
          <w:kern w:val="2"/>
          <w:sz w:val="24"/>
          <w:szCs w:val="24"/>
          <w:lang w:val="nl-NL"/>
        </w:rPr>
      </w:pPr>
      <w:r w:rsidRPr="00875F19">
        <w:rPr>
          <w:sz w:val="24"/>
          <w:szCs w:val="24"/>
          <w:lang w:val="nl-NL"/>
        </w:rPr>
        <w:t xml:space="preserve"> </w:t>
      </w:r>
    </w:p>
    <w:p w14:paraId="793944B5" w14:textId="77777777" w:rsidR="00C806DE" w:rsidRPr="00875F19" w:rsidRDefault="00C806DE" w:rsidP="00507609">
      <w:pPr>
        <w:ind w:left="851"/>
        <w:rPr>
          <w:i/>
          <w:iCs/>
          <w:sz w:val="24"/>
          <w:szCs w:val="24"/>
          <w:u w:val="single"/>
          <w:lang w:val="nl-NL"/>
        </w:rPr>
      </w:pPr>
      <w:r w:rsidRPr="00875F19">
        <w:rPr>
          <w:i/>
          <w:iCs/>
          <w:sz w:val="24"/>
          <w:szCs w:val="24"/>
          <w:u w:val="single"/>
          <w:lang w:val="nl-NL"/>
        </w:rPr>
        <w:t xml:space="preserve">Sammendrag af studiet for </w:t>
      </w:r>
      <w:r w:rsidRPr="00875F19">
        <w:rPr>
          <w:sz w:val="24"/>
          <w:szCs w:val="24"/>
          <w:u w:val="single"/>
          <w:lang w:val="nl-NL"/>
        </w:rPr>
        <w:t>posaconazol</w:t>
      </w:r>
      <w:r w:rsidRPr="00875F19">
        <w:rPr>
          <w:i/>
          <w:iCs/>
          <w:sz w:val="24"/>
          <w:szCs w:val="24"/>
          <w:u w:val="single"/>
          <w:lang w:val="nl-NL"/>
        </w:rPr>
        <w:t xml:space="preserve"> koncentrat til infusionsvæske, opløsning, og tabletter, </w:t>
      </w:r>
      <w:r w:rsidRPr="00875F19">
        <w:rPr>
          <w:sz w:val="24"/>
          <w:szCs w:val="24"/>
          <w:u w:val="single"/>
          <w:lang w:val="nl-NL"/>
        </w:rPr>
        <w:t>invasiv</w:t>
      </w:r>
      <w:r w:rsidRPr="00875F19">
        <w:rPr>
          <w:i/>
          <w:iCs/>
          <w:sz w:val="24"/>
          <w:szCs w:val="24"/>
          <w:u w:val="single"/>
          <w:lang w:val="nl-NL"/>
        </w:rPr>
        <w:t xml:space="preserve"> aspergillose</w:t>
      </w:r>
    </w:p>
    <w:p w14:paraId="250DD78E" w14:textId="77777777" w:rsidR="00C806DE" w:rsidRPr="00875F19" w:rsidRDefault="00C806DE" w:rsidP="00507609">
      <w:pPr>
        <w:ind w:left="851"/>
        <w:rPr>
          <w:sz w:val="24"/>
          <w:szCs w:val="24"/>
          <w:lang w:val="nl-NL"/>
        </w:rPr>
      </w:pPr>
      <w:r w:rsidRPr="00875F19">
        <w:rPr>
          <w:sz w:val="24"/>
          <w:szCs w:val="24"/>
          <w:lang w:val="nl-NL"/>
        </w:rPr>
        <w:t xml:space="preserve">Posaconazols sikkerhed og virkning til behandling af patienter med invasiv </w:t>
      </w:r>
      <w:r w:rsidRPr="00875F19">
        <w:rPr>
          <w:i/>
          <w:iCs/>
          <w:sz w:val="24"/>
          <w:szCs w:val="24"/>
          <w:lang w:val="nl-NL"/>
        </w:rPr>
        <w:t>aspergillose</w:t>
      </w:r>
      <w:r w:rsidRPr="00875F19">
        <w:rPr>
          <w:sz w:val="24"/>
          <w:szCs w:val="24"/>
          <w:lang w:val="nl-NL"/>
        </w:rPr>
        <w:t xml:space="preserve"> er vurderet i et dobbeltblindet kontrolleret studie (studie-69) med 575 patienter med påviste, sandsynlige eller mulige invasive svampeinfektioner i henhold til EORTC/MSG-kriterierne.</w:t>
      </w:r>
    </w:p>
    <w:p w14:paraId="1F13298C" w14:textId="77777777" w:rsidR="00C806DE" w:rsidRPr="00875F19" w:rsidRDefault="00C806DE" w:rsidP="00507609">
      <w:pPr>
        <w:ind w:left="851"/>
        <w:rPr>
          <w:kern w:val="2"/>
          <w:sz w:val="24"/>
          <w:szCs w:val="24"/>
          <w:lang w:val="nl-NL"/>
        </w:rPr>
      </w:pPr>
    </w:p>
    <w:p w14:paraId="3D2D93DC" w14:textId="77777777" w:rsidR="00C806DE" w:rsidRPr="00875F19" w:rsidRDefault="00C806DE" w:rsidP="00507609">
      <w:pPr>
        <w:ind w:left="851"/>
        <w:rPr>
          <w:sz w:val="24"/>
          <w:szCs w:val="24"/>
          <w:lang w:val="nl-NL"/>
        </w:rPr>
      </w:pPr>
      <w:r w:rsidRPr="00875F19">
        <w:rPr>
          <w:sz w:val="24"/>
          <w:szCs w:val="24"/>
          <w:lang w:val="nl-NL"/>
        </w:rPr>
        <w:t>Patienterne blev behandlet med posaconazol (n=288) koncentrat til infusionsvæske, opløsning, eller tabletter i doser på 300 mg en gang dagligt (to gange dagligt på dag 1). Patienterne i komparatorgruppen blev behandlet med voriconazol (n=287) givet intravenøst i doser på 6 mg/kg to gange dagligt på dag 1 efterfulgt af voriconazol 4 mg/kg to gange dagligt (intravenøst), eller oralt i doser på 300 mg to gange dagligt på dag 1 efterfulgt af 200 mg to gange dagligt. Medianvarigheden af behandlingen var 67 dage (posaconazol) og 64 dage (voriconazol).</w:t>
      </w:r>
    </w:p>
    <w:p w14:paraId="188E3B03" w14:textId="02874566" w:rsidR="00C806DE" w:rsidRPr="00875F19" w:rsidRDefault="00C806DE" w:rsidP="00507609">
      <w:pPr>
        <w:ind w:left="851"/>
        <w:rPr>
          <w:kern w:val="2"/>
          <w:sz w:val="24"/>
          <w:szCs w:val="24"/>
          <w:lang w:val="nl-NL"/>
        </w:rPr>
      </w:pPr>
    </w:p>
    <w:p w14:paraId="237A9EA2" w14:textId="77777777" w:rsidR="00C806DE" w:rsidRPr="00875F19" w:rsidRDefault="00C806DE" w:rsidP="00507609">
      <w:pPr>
        <w:ind w:left="851"/>
        <w:rPr>
          <w:sz w:val="24"/>
          <w:szCs w:val="24"/>
          <w:lang w:val="nl-NL"/>
        </w:rPr>
      </w:pPr>
      <w:r w:rsidRPr="00875F19">
        <w:rPr>
          <w:sz w:val="24"/>
          <w:szCs w:val="24"/>
          <w:lang w:val="nl-NL"/>
        </w:rPr>
        <w:t xml:space="preserve">I </w:t>
      </w:r>
      <w:r w:rsidRPr="00875F19">
        <w:rPr>
          <w:i/>
          <w:iCs/>
          <w:sz w:val="24"/>
          <w:szCs w:val="24"/>
          <w:lang w:val="nl-NL"/>
        </w:rPr>
        <w:t>intent-to-treat</w:t>
      </w:r>
      <w:r w:rsidRPr="00875F19">
        <w:rPr>
          <w:sz w:val="24"/>
          <w:szCs w:val="24"/>
          <w:lang w:val="nl-NL"/>
        </w:rPr>
        <w:t xml:space="preserve"> (ITT)-populationen (alle forsøgspersoner, der fik mindst dosis studiemedicin) fik 288 patienter posaconazol, og 287 patienter fik voriconazol. Populationen med fuldt analysesæt (FAS) er en delgruppe af alle forsøgspersoner i ITT-populationen, som ved uafhængig bedømmelse blev klassificeret som havende påvist eller sandsynlig invasiv aspergillose: 163 forsøgspersoner for posaconazol og 171 forsøgspersoner for voriconazol. Død afalle årsager og globalt klinisk respons i disse 2 populationer er vist i henholdsvis tabel 3 og 4.</w:t>
      </w:r>
    </w:p>
    <w:p w14:paraId="32247DB3" w14:textId="77777777" w:rsidR="00C806DE" w:rsidRPr="00875F19" w:rsidRDefault="00C806DE" w:rsidP="00C806DE">
      <w:pPr>
        <w:rPr>
          <w:kern w:val="2"/>
          <w:sz w:val="24"/>
          <w:szCs w:val="24"/>
          <w:lang w:val="nl-NL"/>
        </w:rPr>
      </w:pPr>
    </w:p>
    <w:p w14:paraId="3CF7157E" w14:textId="77777777" w:rsidR="00C806DE" w:rsidRPr="00875F19" w:rsidRDefault="00C806DE" w:rsidP="00C806DE">
      <w:pPr>
        <w:rPr>
          <w:sz w:val="24"/>
          <w:szCs w:val="24"/>
          <w:lang w:val="nl-NL"/>
        </w:rPr>
      </w:pPr>
      <w:r w:rsidRPr="00875F19">
        <w:rPr>
          <w:b/>
          <w:bCs/>
          <w:sz w:val="24"/>
          <w:szCs w:val="24"/>
          <w:lang w:val="nl-NL"/>
        </w:rPr>
        <w:t>Tabel 3.</w:t>
      </w:r>
      <w:r w:rsidRPr="00875F19">
        <w:rPr>
          <w:sz w:val="24"/>
          <w:szCs w:val="24"/>
          <w:lang w:val="nl-NL"/>
        </w:rPr>
        <w:t xml:space="preserve"> Studie 1: Posaconazolbehandling af invasiv aspergillose: død af alle årsager ved dag 42 og dag 84, i ITT-populationen og FAS-populationen</w:t>
      </w:r>
    </w:p>
    <w:p w14:paraId="6E0057F7" w14:textId="77777777" w:rsidR="00C806DE" w:rsidRPr="00875F19" w:rsidRDefault="00C806DE" w:rsidP="00C806DE">
      <w:pPr>
        <w:rPr>
          <w:kern w:val="2"/>
          <w:sz w:val="24"/>
          <w:szCs w:val="24"/>
          <w:lang w:val="nl-NL"/>
        </w:rPr>
      </w:pPr>
    </w:p>
    <w:tbl>
      <w:tblPr>
        <w:tblStyle w:val="Tabel-Gitter"/>
        <w:tblW w:w="5000" w:type="pct"/>
        <w:tblInd w:w="0" w:type="dxa"/>
        <w:tblLook w:val="04A0" w:firstRow="1" w:lastRow="0" w:firstColumn="1" w:lastColumn="0" w:noHBand="0" w:noVBand="1"/>
      </w:tblPr>
      <w:tblGrid>
        <w:gridCol w:w="2405"/>
        <w:gridCol w:w="1055"/>
        <w:gridCol w:w="1354"/>
        <w:gridCol w:w="1057"/>
        <w:gridCol w:w="1506"/>
        <w:gridCol w:w="2251"/>
      </w:tblGrid>
      <w:tr w:rsidR="00C806DE" w:rsidRPr="009C0F58" w14:paraId="3EAC89E5" w14:textId="77777777" w:rsidTr="00507609">
        <w:tc>
          <w:tcPr>
            <w:tcW w:w="1249" w:type="pct"/>
            <w:tcBorders>
              <w:top w:val="single" w:sz="4" w:space="0" w:color="auto"/>
              <w:left w:val="single" w:sz="4" w:space="0" w:color="auto"/>
              <w:bottom w:val="single" w:sz="4" w:space="0" w:color="auto"/>
              <w:right w:val="single" w:sz="4" w:space="0" w:color="auto"/>
            </w:tcBorders>
          </w:tcPr>
          <w:p w14:paraId="1E3B8CBA" w14:textId="77777777" w:rsidR="00C806DE" w:rsidRPr="009C0F58" w:rsidRDefault="00C806DE">
            <w:pPr>
              <w:rPr>
                <w:rFonts w:ascii="Times New Roman" w:hAnsi="Times New Roman" w:cs="Times New Roman"/>
                <w:sz w:val="22"/>
                <w:lang w:val="nl-NL"/>
              </w:rPr>
            </w:pPr>
          </w:p>
        </w:tc>
        <w:tc>
          <w:tcPr>
            <w:tcW w:w="1251" w:type="pct"/>
            <w:gridSpan w:val="2"/>
            <w:tcBorders>
              <w:top w:val="single" w:sz="4" w:space="0" w:color="auto"/>
              <w:left w:val="single" w:sz="4" w:space="0" w:color="auto"/>
              <w:bottom w:val="single" w:sz="4" w:space="0" w:color="auto"/>
              <w:right w:val="single" w:sz="4" w:space="0" w:color="auto"/>
            </w:tcBorders>
            <w:hideMark/>
          </w:tcPr>
          <w:p w14:paraId="6D9287EB" w14:textId="77777777" w:rsidR="00C806DE" w:rsidRPr="009C0F58" w:rsidRDefault="00C806DE">
            <w:pPr>
              <w:jc w:val="center"/>
              <w:rPr>
                <w:rFonts w:ascii="Times New Roman" w:hAnsi="Times New Roman" w:cs="Times New Roman"/>
                <w:b/>
                <w:bCs/>
                <w:sz w:val="22"/>
              </w:rPr>
            </w:pPr>
            <w:r w:rsidRPr="009C0F58">
              <w:rPr>
                <w:rFonts w:ascii="Times New Roman" w:hAnsi="Times New Roman" w:cs="Times New Roman"/>
                <w:b/>
                <w:bCs/>
                <w:sz w:val="22"/>
              </w:rPr>
              <w:t>Posaconazol</w:t>
            </w:r>
          </w:p>
        </w:tc>
        <w:tc>
          <w:tcPr>
            <w:tcW w:w="1331" w:type="pct"/>
            <w:gridSpan w:val="2"/>
            <w:tcBorders>
              <w:top w:val="single" w:sz="4" w:space="0" w:color="auto"/>
              <w:left w:val="single" w:sz="4" w:space="0" w:color="auto"/>
              <w:bottom w:val="single" w:sz="4" w:space="0" w:color="auto"/>
              <w:right w:val="single" w:sz="4" w:space="0" w:color="auto"/>
            </w:tcBorders>
            <w:hideMark/>
          </w:tcPr>
          <w:p w14:paraId="29754619" w14:textId="77777777" w:rsidR="00C806DE" w:rsidRPr="009C0F58" w:rsidRDefault="00C806DE">
            <w:pPr>
              <w:jc w:val="center"/>
              <w:rPr>
                <w:rFonts w:ascii="Times New Roman" w:hAnsi="Times New Roman" w:cs="Times New Roman"/>
                <w:b/>
                <w:bCs/>
                <w:sz w:val="22"/>
              </w:rPr>
            </w:pPr>
            <w:r w:rsidRPr="009C0F58">
              <w:rPr>
                <w:rFonts w:ascii="Times New Roman" w:hAnsi="Times New Roman" w:cs="Times New Roman"/>
                <w:b/>
                <w:bCs/>
                <w:sz w:val="22"/>
              </w:rPr>
              <w:t>Voriconazol</w:t>
            </w:r>
          </w:p>
        </w:tc>
        <w:tc>
          <w:tcPr>
            <w:tcW w:w="1169" w:type="pct"/>
            <w:tcBorders>
              <w:top w:val="single" w:sz="4" w:space="0" w:color="auto"/>
              <w:left w:val="single" w:sz="4" w:space="0" w:color="auto"/>
              <w:bottom w:val="single" w:sz="4" w:space="0" w:color="auto"/>
              <w:right w:val="single" w:sz="4" w:space="0" w:color="auto"/>
            </w:tcBorders>
          </w:tcPr>
          <w:p w14:paraId="130EED26" w14:textId="77777777" w:rsidR="00C806DE" w:rsidRPr="009C0F58" w:rsidRDefault="00C806DE">
            <w:pPr>
              <w:jc w:val="center"/>
              <w:rPr>
                <w:rFonts w:ascii="Times New Roman" w:hAnsi="Times New Roman" w:cs="Times New Roman"/>
                <w:b/>
                <w:bCs/>
                <w:sz w:val="22"/>
              </w:rPr>
            </w:pPr>
          </w:p>
        </w:tc>
      </w:tr>
      <w:tr w:rsidR="00C806DE" w:rsidRPr="009C0F58" w14:paraId="578C7465" w14:textId="77777777" w:rsidTr="00507609">
        <w:tc>
          <w:tcPr>
            <w:tcW w:w="1249" w:type="pct"/>
            <w:tcBorders>
              <w:top w:val="single" w:sz="4" w:space="0" w:color="auto"/>
              <w:left w:val="single" w:sz="4" w:space="0" w:color="auto"/>
              <w:bottom w:val="single" w:sz="4" w:space="0" w:color="auto"/>
              <w:right w:val="single" w:sz="4" w:space="0" w:color="auto"/>
            </w:tcBorders>
            <w:hideMark/>
          </w:tcPr>
          <w:p w14:paraId="7C32EDC7" w14:textId="77777777" w:rsidR="00C806DE" w:rsidRPr="009C0F58" w:rsidRDefault="00C806DE">
            <w:pPr>
              <w:rPr>
                <w:rFonts w:ascii="Times New Roman" w:hAnsi="Times New Roman" w:cs="Times New Roman"/>
                <w:sz w:val="22"/>
              </w:rPr>
            </w:pPr>
            <w:r w:rsidRPr="009C0F58">
              <w:rPr>
                <w:rFonts w:ascii="Times New Roman" w:hAnsi="Times New Roman" w:cs="Times New Roman"/>
                <w:sz w:val="22"/>
              </w:rPr>
              <w:t>Population</w:t>
            </w:r>
          </w:p>
        </w:tc>
        <w:tc>
          <w:tcPr>
            <w:tcW w:w="548" w:type="pct"/>
            <w:tcBorders>
              <w:top w:val="single" w:sz="4" w:space="0" w:color="auto"/>
              <w:left w:val="single" w:sz="4" w:space="0" w:color="auto"/>
              <w:bottom w:val="single" w:sz="4" w:space="0" w:color="auto"/>
              <w:right w:val="single" w:sz="4" w:space="0" w:color="auto"/>
            </w:tcBorders>
            <w:hideMark/>
          </w:tcPr>
          <w:p w14:paraId="48D8F875" w14:textId="77777777" w:rsidR="00C806DE" w:rsidRPr="009C0F58" w:rsidRDefault="00C806DE">
            <w:pPr>
              <w:rPr>
                <w:rFonts w:ascii="Times New Roman" w:hAnsi="Times New Roman" w:cs="Times New Roman"/>
                <w:sz w:val="22"/>
              </w:rPr>
            </w:pPr>
            <w:r w:rsidRPr="009C0F58">
              <w:rPr>
                <w:rFonts w:ascii="Times New Roman" w:hAnsi="Times New Roman" w:cs="Times New Roman"/>
                <w:sz w:val="22"/>
              </w:rPr>
              <w:t>N</w:t>
            </w:r>
          </w:p>
        </w:tc>
        <w:tc>
          <w:tcPr>
            <w:tcW w:w="703" w:type="pct"/>
            <w:tcBorders>
              <w:top w:val="single" w:sz="4" w:space="0" w:color="auto"/>
              <w:left w:val="single" w:sz="4" w:space="0" w:color="auto"/>
              <w:bottom w:val="single" w:sz="4" w:space="0" w:color="auto"/>
              <w:right w:val="single" w:sz="4" w:space="0" w:color="auto"/>
            </w:tcBorders>
            <w:hideMark/>
          </w:tcPr>
          <w:p w14:paraId="46C0826F" w14:textId="77777777" w:rsidR="00C806DE" w:rsidRPr="009C0F58" w:rsidRDefault="00C806DE">
            <w:pPr>
              <w:rPr>
                <w:rFonts w:ascii="Times New Roman" w:hAnsi="Times New Roman" w:cs="Times New Roman"/>
                <w:sz w:val="22"/>
              </w:rPr>
            </w:pPr>
            <w:r w:rsidRPr="009C0F58">
              <w:rPr>
                <w:rFonts w:ascii="Times New Roman" w:hAnsi="Times New Roman" w:cs="Times New Roman"/>
                <w:sz w:val="22"/>
              </w:rPr>
              <w:t>n (%)</w:t>
            </w:r>
          </w:p>
        </w:tc>
        <w:tc>
          <w:tcPr>
            <w:tcW w:w="549" w:type="pct"/>
            <w:tcBorders>
              <w:top w:val="single" w:sz="4" w:space="0" w:color="auto"/>
              <w:left w:val="single" w:sz="4" w:space="0" w:color="auto"/>
              <w:bottom w:val="single" w:sz="4" w:space="0" w:color="auto"/>
              <w:right w:val="single" w:sz="4" w:space="0" w:color="auto"/>
            </w:tcBorders>
            <w:hideMark/>
          </w:tcPr>
          <w:p w14:paraId="6258C5AC" w14:textId="77777777" w:rsidR="00C806DE" w:rsidRPr="009C0F58" w:rsidRDefault="00C806DE">
            <w:pPr>
              <w:rPr>
                <w:rFonts w:ascii="Times New Roman" w:hAnsi="Times New Roman" w:cs="Times New Roman"/>
                <w:sz w:val="22"/>
              </w:rPr>
            </w:pPr>
            <w:r w:rsidRPr="009C0F58">
              <w:rPr>
                <w:rFonts w:ascii="Times New Roman" w:hAnsi="Times New Roman" w:cs="Times New Roman"/>
                <w:sz w:val="22"/>
              </w:rPr>
              <w:t>N</w:t>
            </w:r>
          </w:p>
        </w:tc>
        <w:tc>
          <w:tcPr>
            <w:tcW w:w="782" w:type="pct"/>
            <w:tcBorders>
              <w:top w:val="single" w:sz="4" w:space="0" w:color="auto"/>
              <w:left w:val="single" w:sz="4" w:space="0" w:color="auto"/>
              <w:bottom w:val="single" w:sz="4" w:space="0" w:color="auto"/>
              <w:right w:val="single" w:sz="4" w:space="0" w:color="auto"/>
            </w:tcBorders>
            <w:hideMark/>
          </w:tcPr>
          <w:p w14:paraId="02A4402A" w14:textId="77777777" w:rsidR="00C806DE" w:rsidRPr="009C0F58" w:rsidRDefault="00C806DE">
            <w:pPr>
              <w:rPr>
                <w:rFonts w:ascii="Times New Roman" w:hAnsi="Times New Roman" w:cs="Times New Roman"/>
                <w:sz w:val="22"/>
              </w:rPr>
            </w:pPr>
            <w:r w:rsidRPr="009C0F58">
              <w:rPr>
                <w:rFonts w:ascii="Times New Roman" w:hAnsi="Times New Roman" w:cs="Times New Roman"/>
                <w:sz w:val="22"/>
              </w:rPr>
              <w:t>n (%)</w:t>
            </w:r>
          </w:p>
        </w:tc>
        <w:tc>
          <w:tcPr>
            <w:tcW w:w="1169" w:type="pct"/>
            <w:tcBorders>
              <w:top w:val="single" w:sz="4" w:space="0" w:color="auto"/>
              <w:left w:val="single" w:sz="4" w:space="0" w:color="auto"/>
              <w:bottom w:val="single" w:sz="4" w:space="0" w:color="auto"/>
              <w:right w:val="single" w:sz="4" w:space="0" w:color="auto"/>
            </w:tcBorders>
            <w:hideMark/>
          </w:tcPr>
          <w:p w14:paraId="723E3537" w14:textId="77777777" w:rsidR="00C806DE" w:rsidRPr="009C0F58" w:rsidRDefault="00C806DE">
            <w:pPr>
              <w:rPr>
                <w:rFonts w:ascii="Times New Roman" w:hAnsi="Times New Roman" w:cs="Times New Roman"/>
                <w:sz w:val="22"/>
              </w:rPr>
            </w:pPr>
            <w:r w:rsidRPr="009C0F58">
              <w:rPr>
                <w:rFonts w:ascii="Times New Roman" w:hAnsi="Times New Roman" w:cs="Times New Roman"/>
                <w:b/>
                <w:bCs/>
                <w:sz w:val="22"/>
              </w:rPr>
              <w:t>Difference* (95 % CI)</w:t>
            </w:r>
          </w:p>
        </w:tc>
      </w:tr>
      <w:tr w:rsidR="00C806DE" w:rsidRPr="009C0F58" w14:paraId="634747C0" w14:textId="77777777" w:rsidTr="00507609">
        <w:tc>
          <w:tcPr>
            <w:tcW w:w="1249" w:type="pct"/>
            <w:tcBorders>
              <w:top w:val="single" w:sz="4" w:space="0" w:color="auto"/>
              <w:left w:val="single" w:sz="4" w:space="0" w:color="auto"/>
              <w:bottom w:val="single" w:sz="4" w:space="0" w:color="auto"/>
              <w:right w:val="single" w:sz="4" w:space="0" w:color="auto"/>
            </w:tcBorders>
            <w:hideMark/>
          </w:tcPr>
          <w:p w14:paraId="425A295F" w14:textId="77777777" w:rsidR="00C806DE" w:rsidRPr="009C0F58" w:rsidRDefault="00C806DE">
            <w:pPr>
              <w:rPr>
                <w:rFonts w:ascii="Times New Roman" w:hAnsi="Times New Roman" w:cs="Times New Roman"/>
                <w:sz w:val="22"/>
                <w:lang w:val="da-DK"/>
              </w:rPr>
            </w:pPr>
            <w:r w:rsidRPr="009C0F58">
              <w:rPr>
                <w:rFonts w:ascii="Times New Roman" w:hAnsi="Times New Roman" w:cs="Times New Roman"/>
                <w:sz w:val="22"/>
                <w:lang w:val="da-DK"/>
              </w:rPr>
              <w:t>Dødelighed i ITT ved dag 42</w:t>
            </w:r>
          </w:p>
        </w:tc>
        <w:tc>
          <w:tcPr>
            <w:tcW w:w="548" w:type="pct"/>
            <w:tcBorders>
              <w:top w:val="single" w:sz="4" w:space="0" w:color="auto"/>
              <w:left w:val="single" w:sz="4" w:space="0" w:color="auto"/>
              <w:bottom w:val="single" w:sz="4" w:space="0" w:color="auto"/>
              <w:right w:val="single" w:sz="4" w:space="0" w:color="auto"/>
            </w:tcBorders>
            <w:hideMark/>
          </w:tcPr>
          <w:p w14:paraId="17F203D2"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288</w:t>
            </w:r>
          </w:p>
        </w:tc>
        <w:tc>
          <w:tcPr>
            <w:tcW w:w="703" w:type="pct"/>
            <w:tcBorders>
              <w:top w:val="single" w:sz="4" w:space="0" w:color="auto"/>
              <w:left w:val="single" w:sz="4" w:space="0" w:color="auto"/>
              <w:bottom w:val="single" w:sz="4" w:space="0" w:color="auto"/>
              <w:right w:val="single" w:sz="4" w:space="0" w:color="auto"/>
            </w:tcBorders>
            <w:hideMark/>
          </w:tcPr>
          <w:p w14:paraId="3A894EC1"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44 (15,3)</w:t>
            </w:r>
          </w:p>
        </w:tc>
        <w:tc>
          <w:tcPr>
            <w:tcW w:w="549" w:type="pct"/>
            <w:tcBorders>
              <w:top w:val="single" w:sz="4" w:space="0" w:color="auto"/>
              <w:left w:val="single" w:sz="4" w:space="0" w:color="auto"/>
              <w:bottom w:val="single" w:sz="4" w:space="0" w:color="auto"/>
              <w:right w:val="single" w:sz="4" w:space="0" w:color="auto"/>
            </w:tcBorders>
            <w:hideMark/>
          </w:tcPr>
          <w:p w14:paraId="409F162F"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287</w:t>
            </w:r>
          </w:p>
        </w:tc>
        <w:tc>
          <w:tcPr>
            <w:tcW w:w="782" w:type="pct"/>
            <w:tcBorders>
              <w:top w:val="single" w:sz="4" w:space="0" w:color="auto"/>
              <w:left w:val="single" w:sz="4" w:space="0" w:color="auto"/>
              <w:bottom w:val="single" w:sz="4" w:space="0" w:color="auto"/>
              <w:right w:val="single" w:sz="4" w:space="0" w:color="auto"/>
            </w:tcBorders>
            <w:hideMark/>
          </w:tcPr>
          <w:p w14:paraId="3222DB46"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59 (20,6)</w:t>
            </w:r>
          </w:p>
        </w:tc>
        <w:tc>
          <w:tcPr>
            <w:tcW w:w="1169" w:type="pct"/>
            <w:tcBorders>
              <w:top w:val="single" w:sz="4" w:space="0" w:color="auto"/>
              <w:left w:val="single" w:sz="4" w:space="0" w:color="auto"/>
              <w:bottom w:val="single" w:sz="4" w:space="0" w:color="auto"/>
              <w:right w:val="single" w:sz="4" w:space="0" w:color="auto"/>
            </w:tcBorders>
            <w:hideMark/>
          </w:tcPr>
          <w:p w14:paraId="7E42C9DE"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-5,3 % (-11,6; 1,0)</w:t>
            </w:r>
          </w:p>
        </w:tc>
      </w:tr>
      <w:tr w:rsidR="00C806DE" w:rsidRPr="009C0F58" w14:paraId="1AF15899" w14:textId="77777777" w:rsidTr="00507609">
        <w:tc>
          <w:tcPr>
            <w:tcW w:w="1249" w:type="pct"/>
            <w:tcBorders>
              <w:top w:val="single" w:sz="4" w:space="0" w:color="auto"/>
              <w:left w:val="single" w:sz="4" w:space="0" w:color="auto"/>
              <w:bottom w:val="single" w:sz="4" w:space="0" w:color="auto"/>
              <w:right w:val="single" w:sz="4" w:space="0" w:color="auto"/>
            </w:tcBorders>
            <w:hideMark/>
          </w:tcPr>
          <w:p w14:paraId="40988590" w14:textId="77777777" w:rsidR="00C806DE" w:rsidRPr="009C0F58" w:rsidRDefault="00C806DE">
            <w:pPr>
              <w:rPr>
                <w:rFonts w:ascii="Times New Roman" w:hAnsi="Times New Roman" w:cs="Times New Roman"/>
                <w:sz w:val="22"/>
                <w:lang w:val="da-DK"/>
              </w:rPr>
            </w:pPr>
            <w:r w:rsidRPr="009C0F58">
              <w:rPr>
                <w:rFonts w:ascii="Times New Roman" w:hAnsi="Times New Roman" w:cs="Times New Roman"/>
                <w:sz w:val="22"/>
                <w:lang w:val="da-DK"/>
              </w:rPr>
              <w:t>Dødelighed i ITT ved dag 84</w:t>
            </w:r>
          </w:p>
        </w:tc>
        <w:tc>
          <w:tcPr>
            <w:tcW w:w="548" w:type="pct"/>
            <w:tcBorders>
              <w:top w:val="single" w:sz="4" w:space="0" w:color="auto"/>
              <w:left w:val="single" w:sz="4" w:space="0" w:color="auto"/>
              <w:bottom w:val="single" w:sz="4" w:space="0" w:color="auto"/>
              <w:right w:val="single" w:sz="4" w:space="0" w:color="auto"/>
            </w:tcBorders>
            <w:hideMark/>
          </w:tcPr>
          <w:p w14:paraId="3648C5F9"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288</w:t>
            </w:r>
          </w:p>
        </w:tc>
        <w:tc>
          <w:tcPr>
            <w:tcW w:w="703" w:type="pct"/>
            <w:tcBorders>
              <w:top w:val="single" w:sz="4" w:space="0" w:color="auto"/>
              <w:left w:val="single" w:sz="4" w:space="0" w:color="auto"/>
              <w:bottom w:val="single" w:sz="4" w:space="0" w:color="auto"/>
              <w:right w:val="single" w:sz="4" w:space="0" w:color="auto"/>
            </w:tcBorders>
            <w:hideMark/>
          </w:tcPr>
          <w:p w14:paraId="20DFA113"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81 (28,1)</w:t>
            </w:r>
          </w:p>
        </w:tc>
        <w:tc>
          <w:tcPr>
            <w:tcW w:w="549" w:type="pct"/>
            <w:tcBorders>
              <w:top w:val="single" w:sz="4" w:space="0" w:color="auto"/>
              <w:left w:val="single" w:sz="4" w:space="0" w:color="auto"/>
              <w:bottom w:val="single" w:sz="4" w:space="0" w:color="auto"/>
              <w:right w:val="single" w:sz="4" w:space="0" w:color="auto"/>
            </w:tcBorders>
            <w:hideMark/>
          </w:tcPr>
          <w:p w14:paraId="3E33118C"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287</w:t>
            </w:r>
          </w:p>
        </w:tc>
        <w:tc>
          <w:tcPr>
            <w:tcW w:w="782" w:type="pct"/>
            <w:tcBorders>
              <w:top w:val="single" w:sz="4" w:space="0" w:color="auto"/>
              <w:left w:val="single" w:sz="4" w:space="0" w:color="auto"/>
              <w:bottom w:val="single" w:sz="4" w:space="0" w:color="auto"/>
              <w:right w:val="single" w:sz="4" w:space="0" w:color="auto"/>
            </w:tcBorders>
            <w:hideMark/>
          </w:tcPr>
          <w:p w14:paraId="4834F1D0"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88 (30,7)</w:t>
            </w:r>
          </w:p>
        </w:tc>
        <w:tc>
          <w:tcPr>
            <w:tcW w:w="1169" w:type="pct"/>
            <w:tcBorders>
              <w:top w:val="single" w:sz="4" w:space="0" w:color="auto"/>
              <w:left w:val="single" w:sz="4" w:space="0" w:color="auto"/>
              <w:bottom w:val="single" w:sz="4" w:space="0" w:color="auto"/>
              <w:right w:val="single" w:sz="4" w:space="0" w:color="auto"/>
            </w:tcBorders>
            <w:hideMark/>
          </w:tcPr>
          <w:p w14:paraId="322D9D1E"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-2,5 % (-9,9; 4,9)</w:t>
            </w:r>
          </w:p>
        </w:tc>
      </w:tr>
      <w:tr w:rsidR="00C806DE" w:rsidRPr="009C0F58" w14:paraId="6AEE1C5D" w14:textId="77777777" w:rsidTr="00507609">
        <w:tc>
          <w:tcPr>
            <w:tcW w:w="1249" w:type="pct"/>
            <w:tcBorders>
              <w:top w:val="single" w:sz="4" w:space="0" w:color="auto"/>
              <w:left w:val="single" w:sz="4" w:space="0" w:color="auto"/>
              <w:bottom w:val="single" w:sz="4" w:space="0" w:color="auto"/>
              <w:right w:val="single" w:sz="4" w:space="0" w:color="auto"/>
            </w:tcBorders>
            <w:hideMark/>
          </w:tcPr>
          <w:p w14:paraId="37E0B11C" w14:textId="77777777" w:rsidR="00C806DE" w:rsidRPr="009C0F58" w:rsidRDefault="00C806DE">
            <w:pPr>
              <w:rPr>
                <w:rFonts w:ascii="Times New Roman" w:hAnsi="Times New Roman" w:cs="Times New Roman"/>
                <w:sz w:val="22"/>
                <w:lang w:val="da-DK"/>
              </w:rPr>
            </w:pPr>
            <w:r w:rsidRPr="009C0F58">
              <w:rPr>
                <w:rFonts w:ascii="Times New Roman" w:hAnsi="Times New Roman" w:cs="Times New Roman"/>
                <w:sz w:val="22"/>
                <w:lang w:val="da-DK"/>
              </w:rPr>
              <w:t>Dødelighed i FAS ved dag 42</w:t>
            </w:r>
          </w:p>
        </w:tc>
        <w:tc>
          <w:tcPr>
            <w:tcW w:w="548" w:type="pct"/>
            <w:tcBorders>
              <w:top w:val="single" w:sz="4" w:space="0" w:color="auto"/>
              <w:left w:val="single" w:sz="4" w:space="0" w:color="auto"/>
              <w:bottom w:val="single" w:sz="4" w:space="0" w:color="auto"/>
              <w:right w:val="single" w:sz="4" w:space="0" w:color="auto"/>
            </w:tcBorders>
            <w:hideMark/>
          </w:tcPr>
          <w:p w14:paraId="41F75C9C"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163</w:t>
            </w:r>
          </w:p>
        </w:tc>
        <w:tc>
          <w:tcPr>
            <w:tcW w:w="703" w:type="pct"/>
            <w:tcBorders>
              <w:top w:val="single" w:sz="4" w:space="0" w:color="auto"/>
              <w:left w:val="single" w:sz="4" w:space="0" w:color="auto"/>
              <w:bottom w:val="single" w:sz="4" w:space="0" w:color="auto"/>
              <w:right w:val="single" w:sz="4" w:space="0" w:color="auto"/>
            </w:tcBorders>
            <w:hideMark/>
          </w:tcPr>
          <w:p w14:paraId="49A8938E"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31 (19,0)</w:t>
            </w:r>
          </w:p>
        </w:tc>
        <w:tc>
          <w:tcPr>
            <w:tcW w:w="549" w:type="pct"/>
            <w:tcBorders>
              <w:top w:val="single" w:sz="4" w:space="0" w:color="auto"/>
              <w:left w:val="single" w:sz="4" w:space="0" w:color="auto"/>
              <w:bottom w:val="single" w:sz="4" w:space="0" w:color="auto"/>
              <w:right w:val="single" w:sz="4" w:space="0" w:color="auto"/>
            </w:tcBorders>
            <w:hideMark/>
          </w:tcPr>
          <w:p w14:paraId="633181FB"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171</w:t>
            </w:r>
          </w:p>
        </w:tc>
        <w:tc>
          <w:tcPr>
            <w:tcW w:w="782" w:type="pct"/>
            <w:tcBorders>
              <w:top w:val="single" w:sz="4" w:space="0" w:color="auto"/>
              <w:left w:val="single" w:sz="4" w:space="0" w:color="auto"/>
              <w:bottom w:val="single" w:sz="4" w:space="0" w:color="auto"/>
              <w:right w:val="single" w:sz="4" w:space="0" w:color="auto"/>
            </w:tcBorders>
            <w:hideMark/>
          </w:tcPr>
          <w:p w14:paraId="7D545A63"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32 (18,7)</w:t>
            </w:r>
          </w:p>
        </w:tc>
        <w:tc>
          <w:tcPr>
            <w:tcW w:w="1169" w:type="pct"/>
            <w:tcBorders>
              <w:top w:val="single" w:sz="4" w:space="0" w:color="auto"/>
              <w:left w:val="single" w:sz="4" w:space="0" w:color="auto"/>
              <w:bottom w:val="single" w:sz="4" w:space="0" w:color="auto"/>
              <w:right w:val="single" w:sz="4" w:space="0" w:color="auto"/>
            </w:tcBorders>
            <w:hideMark/>
          </w:tcPr>
          <w:p w14:paraId="281C90DC"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0,3 % (-8,2; 8,8)</w:t>
            </w:r>
          </w:p>
        </w:tc>
      </w:tr>
      <w:tr w:rsidR="00C806DE" w:rsidRPr="009C0F58" w14:paraId="2E813EF0" w14:textId="77777777" w:rsidTr="00507609">
        <w:tc>
          <w:tcPr>
            <w:tcW w:w="1249" w:type="pct"/>
            <w:tcBorders>
              <w:top w:val="single" w:sz="4" w:space="0" w:color="auto"/>
              <w:left w:val="single" w:sz="4" w:space="0" w:color="auto"/>
              <w:bottom w:val="single" w:sz="4" w:space="0" w:color="auto"/>
              <w:right w:val="single" w:sz="4" w:space="0" w:color="auto"/>
            </w:tcBorders>
            <w:hideMark/>
          </w:tcPr>
          <w:p w14:paraId="4BC310D3" w14:textId="77777777" w:rsidR="00C806DE" w:rsidRPr="009C0F58" w:rsidRDefault="00C806DE">
            <w:pPr>
              <w:rPr>
                <w:rFonts w:ascii="Times New Roman" w:hAnsi="Times New Roman" w:cs="Times New Roman"/>
                <w:sz w:val="22"/>
                <w:lang w:val="da-DK"/>
              </w:rPr>
            </w:pPr>
            <w:r w:rsidRPr="009C0F58">
              <w:rPr>
                <w:rFonts w:ascii="Times New Roman" w:hAnsi="Times New Roman" w:cs="Times New Roman"/>
                <w:sz w:val="22"/>
                <w:lang w:val="da-DK"/>
              </w:rPr>
              <w:t>Dødelighed i FAS ved dag 84</w:t>
            </w:r>
          </w:p>
        </w:tc>
        <w:tc>
          <w:tcPr>
            <w:tcW w:w="548" w:type="pct"/>
            <w:tcBorders>
              <w:top w:val="single" w:sz="4" w:space="0" w:color="auto"/>
              <w:left w:val="single" w:sz="4" w:space="0" w:color="auto"/>
              <w:bottom w:val="single" w:sz="4" w:space="0" w:color="auto"/>
              <w:right w:val="single" w:sz="4" w:space="0" w:color="auto"/>
            </w:tcBorders>
            <w:hideMark/>
          </w:tcPr>
          <w:p w14:paraId="15693E01"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163</w:t>
            </w:r>
          </w:p>
        </w:tc>
        <w:tc>
          <w:tcPr>
            <w:tcW w:w="703" w:type="pct"/>
            <w:tcBorders>
              <w:top w:val="single" w:sz="4" w:space="0" w:color="auto"/>
              <w:left w:val="single" w:sz="4" w:space="0" w:color="auto"/>
              <w:bottom w:val="single" w:sz="4" w:space="0" w:color="auto"/>
              <w:right w:val="single" w:sz="4" w:space="0" w:color="auto"/>
            </w:tcBorders>
            <w:hideMark/>
          </w:tcPr>
          <w:p w14:paraId="017C6D8E"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56 (34,4)</w:t>
            </w:r>
          </w:p>
        </w:tc>
        <w:tc>
          <w:tcPr>
            <w:tcW w:w="549" w:type="pct"/>
            <w:tcBorders>
              <w:top w:val="single" w:sz="4" w:space="0" w:color="auto"/>
              <w:left w:val="single" w:sz="4" w:space="0" w:color="auto"/>
              <w:bottom w:val="single" w:sz="4" w:space="0" w:color="auto"/>
              <w:right w:val="single" w:sz="4" w:space="0" w:color="auto"/>
            </w:tcBorders>
            <w:hideMark/>
          </w:tcPr>
          <w:p w14:paraId="1D83951D"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171</w:t>
            </w:r>
          </w:p>
        </w:tc>
        <w:tc>
          <w:tcPr>
            <w:tcW w:w="782" w:type="pct"/>
            <w:tcBorders>
              <w:top w:val="single" w:sz="4" w:space="0" w:color="auto"/>
              <w:left w:val="single" w:sz="4" w:space="0" w:color="auto"/>
              <w:bottom w:val="single" w:sz="4" w:space="0" w:color="auto"/>
              <w:right w:val="single" w:sz="4" w:space="0" w:color="auto"/>
            </w:tcBorders>
            <w:hideMark/>
          </w:tcPr>
          <w:p w14:paraId="5BFC39AC"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53 (31,0)</w:t>
            </w:r>
          </w:p>
        </w:tc>
        <w:tc>
          <w:tcPr>
            <w:tcW w:w="1169" w:type="pct"/>
            <w:tcBorders>
              <w:top w:val="single" w:sz="4" w:space="0" w:color="auto"/>
              <w:left w:val="single" w:sz="4" w:space="0" w:color="auto"/>
              <w:bottom w:val="single" w:sz="4" w:space="0" w:color="auto"/>
              <w:right w:val="single" w:sz="4" w:space="0" w:color="auto"/>
            </w:tcBorders>
            <w:hideMark/>
          </w:tcPr>
          <w:p w14:paraId="763D7367"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3,1 % (-6,9; 13,1)</w:t>
            </w:r>
          </w:p>
        </w:tc>
      </w:tr>
      <w:tr w:rsidR="00C806DE" w:rsidRPr="009C0F58" w14:paraId="6ACA7C51" w14:textId="77777777" w:rsidTr="00507609">
        <w:trPr>
          <w:trHeight w:val="516"/>
        </w:trPr>
        <w:tc>
          <w:tcPr>
            <w:tcW w:w="5000" w:type="pct"/>
            <w:gridSpan w:val="6"/>
            <w:tcBorders>
              <w:top w:val="single" w:sz="4" w:space="0" w:color="auto"/>
              <w:left w:val="single" w:sz="4" w:space="0" w:color="auto"/>
              <w:bottom w:val="single" w:sz="4" w:space="0" w:color="auto"/>
              <w:right w:val="single" w:sz="4" w:space="0" w:color="auto"/>
            </w:tcBorders>
            <w:hideMark/>
          </w:tcPr>
          <w:p w14:paraId="2F58553B" w14:textId="77777777" w:rsidR="00C806DE" w:rsidRPr="009C0F58" w:rsidRDefault="00C806DE">
            <w:pPr>
              <w:rPr>
                <w:rFonts w:ascii="Times New Roman" w:hAnsi="Times New Roman" w:cs="Times New Roman"/>
                <w:sz w:val="22"/>
                <w:lang w:val="da-DK"/>
              </w:rPr>
            </w:pPr>
            <w:r w:rsidRPr="009C0F58">
              <w:rPr>
                <w:rFonts w:ascii="Times New Roman" w:hAnsi="Times New Roman" w:cs="Times New Roman"/>
                <w:sz w:val="22"/>
                <w:lang w:val="da-DK"/>
              </w:rPr>
              <w:t>* Justeret behandlingsdifference på baggrund af Miettinen og Nurminens metode stratificeret ved randomiseringsfaktor (risiko for dødelighed/dårligt resultat), ved brug af Cochran-Mantel-Haenszels vægtningsmetode.</w:t>
            </w:r>
          </w:p>
        </w:tc>
      </w:tr>
    </w:tbl>
    <w:p w14:paraId="75101EFE" w14:textId="77777777" w:rsidR="00C806DE" w:rsidRPr="00875F19" w:rsidRDefault="00C806DE" w:rsidP="00C806DE">
      <w:pPr>
        <w:rPr>
          <w:kern w:val="2"/>
          <w:sz w:val="24"/>
          <w:szCs w:val="24"/>
          <w14:ligatures w14:val="standardContextual"/>
        </w:rPr>
      </w:pPr>
    </w:p>
    <w:p w14:paraId="0681E1F3" w14:textId="77777777" w:rsidR="00C806DE" w:rsidRPr="00875F19" w:rsidRDefault="00C806DE" w:rsidP="00C806DE">
      <w:pPr>
        <w:rPr>
          <w:sz w:val="24"/>
          <w:szCs w:val="24"/>
        </w:rPr>
      </w:pPr>
      <w:r w:rsidRPr="00875F19">
        <w:rPr>
          <w:b/>
          <w:bCs/>
          <w:sz w:val="24"/>
          <w:szCs w:val="24"/>
        </w:rPr>
        <w:t>Tabel 4.</w:t>
      </w:r>
      <w:r w:rsidRPr="00875F19">
        <w:rPr>
          <w:sz w:val="24"/>
          <w:szCs w:val="24"/>
        </w:rPr>
        <w:t xml:space="preserve"> Studie 1: Posaconazolbehandling af invasiv aspergillose: globalt klinisk respons ved uge 6 og uge 12 i FAS-populationen</w:t>
      </w:r>
    </w:p>
    <w:p w14:paraId="3FC5DB81" w14:textId="77777777" w:rsidR="00C806DE" w:rsidRPr="00875F19" w:rsidRDefault="00C806DE" w:rsidP="00C806DE">
      <w:pPr>
        <w:rPr>
          <w:kern w:val="2"/>
          <w:sz w:val="24"/>
          <w:szCs w:val="24"/>
        </w:rPr>
      </w:pPr>
    </w:p>
    <w:tbl>
      <w:tblPr>
        <w:tblStyle w:val="Tabel-Gitter"/>
        <w:tblW w:w="5000" w:type="pct"/>
        <w:tblInd w:w="0" w:type="dxa"/>
        <w:tblLook w:val="04A0" w:firstRow="1" w:lastRow="0" w:firstColumn="1" w:lastColumn="0" w:noHBand="0" w:noVBand="1"/>
      </w:tblPr>
      <w:tblGrid>
        <w:gridCol w:w="2255"/>
        <w:gridCol w:w="1053"/>
        <w:gridCol w:w="1506"/>
        <w:gridCol w:w="755"/>
        <w:gridCol w:w="1656"/>
        <w:gridCol w:w="2403"/>
      </w:tblGrid>
      <w:tr w:rsidR="00C806DE" w:rsidRPr="009C0F58" w14:paraId="3859D2BF" w14:textId="77777777" w:rsidTr="00507609">
        <w:tc>
          <w:tcPr>
            <w:tcW w:w="1171" w:type="pct"/>
            <w:tcBorders>
              <w:top w:val="single" w:sz="4" w:space="0" w:color="auto"/>
              <w:left w:val="single" w:sz="4" w:space="0" w:color="auto"/>
              <w:bottom w:val="single" w:sz="4" w:space="0" w:color="auto"/>
              <w:right w:val="single" w:sz="4" w:space="0" w:color="auto"/>
            </w:tcBorders>
          </w:tcPr>
          <w:p w14:paraId="2482AE7E" w14:textId="77777777" w:rsidR="00C806DE" w:rsidRPr="009C0F58" w:rsidRDefault="00C806DE">
            <w:pPr>
              <w:rPr>
                <w:rFonts w:ascii="Times New Roman" w:hAnsi="Times New Roman" w:cs="Times New Roman"/>
                <w:sz w:val="22"/>
                <w:lang w:val="da-DK"/>
              </w:rPr>
            </w:pPr>
          </w:p>
        </w:tc>
        <w:tc>
          <w:tcPr>
            <w:tcW w:w="1329" w:type="pct"/>
            <w:gridSpan w:val="2"/>
            <w:tcBorders>
              <w:top w:val="single" w:sz="4" w:space="0" w:color="auto"/>
              <w:left w:val="single" w:sz="4" w:space="0" w:color="auto"/>
              <w:bottom w:val="single" w:sz="4" w:space="0" w:color="auto"/>
              <w:right w:val="single" w:sz="4" w:space="0" w:color="auto"/>
            </w:tcBorders>
            <w:hideMark/>
          </w:tcPr>
          <w:p w14:paraId="446CEE51" w14:textId="77777777" w:rsidR="00C806DE" w:rsidRPr="009C0F58" w:rsidRDefault="00C806DE">
            <w:pPr>
              <w:jc w:val="center"/>
              <w:rPr>
                <w:rFonts w:ascii="Times New Roman" w:hAnsi="Times New Roman" w:cs="Times New Roman"/>
                <w:b/>
                <w:bCs/>
                <w:sz w:val="22"/>
              </w:rPr>
            </w:pPr>
            <w:r w:rsidRPr="009C0F58">
              <w:rPr>
                <w:rFonts w:ascii="Times New Roman" w:hAnsi="Times New Roman" w:cs="Times New Roman"/>
                <w:b/>
                <w:bCs/>
                <w:sz w:val="22"/>
              </w:rPr>
              <w:t>Posaconazol</w:t>
            </w:r>
          </w:p>
        </w:tc>
        <w:tc>
          <w:tcPr>
            <w:tcW w:w="1252" w:type="pct"/>
            <w:gridSpan w:val="2"/>
            <w:tcBorders>
              <w:top w:val="single" w:sz="4" w:space="0" w:color="auto"/>
              <w:left w:val="single" w:sz="4" w:space="0" w:color="auto"/>
              <w:bottom w:val="single" w:sz="4" w:space="0" w:color="auto"/>
              <w:right w:val="single" w:sz="4" w:space="0" w:color="auto"/>
            </w:tcBorders>
            <w:hideMark/>
          </w:tcPr>
          <w:p w14:paraId="21FF6B66" w14:textId="77777777" w:rsidR="00C806DE" w:rsidRPr="009C0F58" w:rsidRDefault="00C806DE">
            <w:pPr>
              <w:jc w:val="center"/>
              <w:rPr>
                <w:rFonts w:ascii="Times New Roman" w:hAnsi="Times New Roman" w:cs="Times New Roman"/>
                <w:b/>
                <w:bCs/>
                <w:sz w:val="22"/>
              </w:rPr>
            </w:pPr>
            <w:r w:rsidRPr="009C0F58">
              <w:rPr>
                <w:rFonts w:ascii="Times New Roman" w:hAnsi="Times New Roman" w:cs="Times New Roman"/>
                <w:b/>
                <w:bCs/>
                <w:sz w:val="22"/>
              </w:rPr>
              <w:t>Voriconazol</w:t>
            </w:r>
          </w:p>
        </w:tc>
        <w:tc>
          <w:tcPr>
            <w:tcW w:w="1248" w:type="pct"/>
            <w:tcBorders>
              <w:top w:val="single" w:sz="4" w:space="0" w:color="auto"/>
              <w:left w:val="single" w:sz="4" w:space="0" w:color="auto"/>
              <w:bottom w:val="single" w:sz="4" w:space="0" w:color="auto"/>
              <w:right w:val="single" w:sz="4" w:space="0" w:color="auto"/>
            </w:tcBorders>
          </w:tcPr>
          <w:p w14:paraId="5EC7F6F4" w14:textId="77777777" w:rsidR="00C806DE" w:rsidRPr="009C0F58" w:rsidRDefault="00C806DE">
            <w:pPr>
              <w:rPr>
                <w:rFonts w:ascii="Times New Roman" w:hAnsi="Times New Roman" w:cs="Times New Roman"/>
                <w:sz w:val="22"/>
              </w:rPr>
            </w:pPr>
          </w:p>
        </w:tc>
      </w:tr>
      <w:tr w:rsidR="00C806DE" w:rsidRPr="009C0F58" w14:paraId="4A0F1EF6" w14:textId="77777777" w:rsidTr="00507609">
        <w:tc>
          <w:tcPr>
            <w:tcW w:w="1171" w:type="pct"/>
            <w:tcBorders>
              <w:top w:val="single" w:sz="4" w:space="0" w:color="auto"/>
              <w:left w:val="single" w:sz="4" w:space="0" w:color="auto"/>
              <w:bottom w:val="single" w:sz="4" w:space="0" w:color="auto"/>
              <w:right w:val="single" w:sz="4" w:space="0" w:color="auto"/>
            </w:tcBorders>
            <w:hideMark/>
          </w:tcPr>
          <w:p w14:paraId="68F6B6A3" w14:textId="77777777" w:rsidR="00C806DE" w:rsidRPr="009C0F58" w:rsidRDefault="00C806DE">
            <w:pPr>
              <w:rPr>
                <w:rFonts w:ascii="Times New Roman" w:hAnsi="Times New Roman" w:cs="Times New Roman"/>
                <w:sz w:val="22"/>
              </w:rPr>
            </w:pPr>
            <w:r w:rsidRPr="009C0F58">
              <w:rPr>
                <w:rFonts w:ascii="Times New Roman" w:hAnsi="Times New Roman" w:cs="Times New Roman"/>
                <w:sz w:val="22"/>
              </w:rPr>
              <w:t>Population</w:t>
            </w:r>
          </w:p>
        </w:tc>
        <w:tc>
          <w:tcPr>
            <w:tcW w:w="547" w:type="pct"/>
            <w:tcBorders>
              <w:top w:val="single" w:sz="4" w:space="0" w:color="auto"/>
              <w:left w:val="single" w:sz="4" w:space="0" w:color="auto"/>
              <w:bottom w:val="single" w:sz="4" w:space="0" w:color="auto"/>
              <w:right w:val="single" w:sz="4" w:space="0" w:color="auto"/>
            </w:tcBorders>
            <w:hideMark/>
          </w:tcPr>
          <w:p w14:paraId="5BC96F78"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N</w:t>
            </w:r>
          </w:p>
        </w:tc>
        <w:tc>
          <w:tcPr>
            <w:tcW w:w="781" w:type="pct"/>
            <w:tcBorders>
              <w:top w:val="single" w:sz="4" w:space="0" w:color="auto"/>
              <w:left w:val="single" w:sz="4" w:space="0" w:color="auto"/>
              <w:bottom w:val="single" w:sz="4" w:space="0" w:color="auto"/>
              <w:right w:val="single" w:sz="4" w:space="0" w:color="auto"/>
            </w:tcBorders>
            <w:hideMark/>
          </w:tcPr>
          <w:p w14:paraId="59C629C8"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Succes (%)</w:t>
            </w:r>
          </w:p>
        </w:tc>
        <w:tc>
          <w:tcPr>
            <w:tcW w:w="392" w:type="pct"/>
            <w:tcBorders>
              <w:top w:val="single" w:sz="4" w:space="0" w:color="auto"/>
              <w:left w:val="single" w:sz="4" w:space="0" w:color="auto"/>
              <w:bottom w:val="single" w:sz="4" w:space="0" w:color="auto"/>
              <w:right w:val="single" w:sz="4" w:space="0" w:color="auto"/>
            </w:tcBorders>
            <w:hideMark/>
          </w:tcPr>
          <w:p w14:paraId="223DB9AC"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N</w:t>
            </w:r>
          </w:p>
        </w:tc>
        <w:tc>
          <w:tcPr>
            <w:tcW w:w="860" w:type="pct"/>
            <w:tcBorders>
              <w:top w:val="single" w:sz="4" w:space="0" w:color="auto"/>
              <w:left w:val="single" w:sz="4" w:space="0" w:color="auto"/>
              <w:bottom w:val="single" w:sz="4" w:space="0" w:color="auto"/>
              <w:right w:val="single" w:sz="4" w:space="0" w:color="auto"/>
            </w:tcBorders>
            <w:hideMark/>
          </w:tcPr>
          <w:p w14:paraId="3508B10F"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Succes (%)</w:t>
            </w:r>
          </w:p>
        </w:tc>
        <w:tc>
          <w:tcPr>
            <w:tcW w:w="1248" w:type="pct"/>
            <w:tcBorders>
              <w:top w:val="single" w:sz="4" w:space="0" w:color="auto"/>
              <w:left w:val="single" w:sz="4" w:space="0" w:color="auto"/>
              <w:bottom w:val="single" w:sz="4" w:space="0" w:color="auto"/>
              <w:right w:val="single" w:sz="4" w:space="0" w:color="auto"/>
            </w:tcBorders>
            <w:hideMark/>
          </w:tcPr>
          <w:p w14:paraId="297D616B" w14:textId="77777777" w:rsidR="00C806DE" w:rsidRPr="009C0F58" w:rsidRDefault="00C806DE">
            <w:pPr>
              <w:rPr>
                <w:rFonts w:ascii="Times New Roman" w:hAnsi="Times New Roman" w:cs="Times New Roman"/>
                <w:sz w:val="22"/>
              </w:rPr>
            </w:pPr>
            <w:r w:rsidRPr="009C0F58">
              <w:rPr>
                <w:rFonts w:ascii="Times New Roman" w:hAnsi="Times New Roman" w:cs="Times New Roman"/>
                <w:sz w:val="22"/>
              </w:rPr>
              <w:t>Difference* (95 % CI)</w:t>
            </w:r>
          </w:p>
        </w:tc>
      </w:tr>
      <w:tr w:rsidR="00C806DE" w:rsidRPr="009C0F58" w14:paraId="2A5A302E" w14:textId="77777777" w:rsidTr="00507609">
        <w:tc>
          <w:tcPr>
            <w:tcW w:w="1171" w:type="pct"/>
            <w:tcBorders>
              <w:top w:val="single" w:sz="4" w:space="0" w:color="auto"/>
              <w:left w:val="single" w:sz="4" w:space="0" w:color="auto"/>
              <w:bottom w:val="single" w:sz="4" w:space="0" w:color="auto"/>
              <w:right w:val="single" w:sz="4" w:space="0" w:color="auto"/>
            </w:tcBorders>
            <w:hideMark/>
          </w:tcPr>
          <w:p w14:paraId="41239C15" w14:textId="77777777" w:rsidR="00C806DE" w:rsidRPr="009C0F58" w:rsidRDefault="00C806DE">
            <w:pPr>
              <w:rPr>
                <w:rFonts w:ascii="Times New Roman" w:hAnsi="Times New Roman" w:cs="Times New Roman"/>
                <w:sz w:val="22"/>
                <w:lang w:val="da-DK"/>
              </w:rPr>
            </w:pPr>
            <w:r w:rsidRPr="009C0F58">
              <w:rPr>
                <w:rFonts w:ascii="Times New Roman" w:hAnsi="Times New Roman" w:cs="Times New Roman"/>
                <w:sz w:val="22"/>
                <w:lang w:val="da-DK"/>
              </w:rPr>
              <w:t>Globalt klinisk respons i FAS efter 6 uger</w:t>
            </w:r>
          </w:p>
        </w:tc>
        <w:tc>
          <w:tcPr>
            <w:tcW w:w="547" w:type="pct"/>
            <w:tcBorders>
              <w:top w:val="single" w:sz="4" w:space="0" w:color="auto"/>
              <w:left w:val="single" w:sz="4" w:space="0" w:color="auto"/>
              <w:bottom w:val="single" w:sz="4" w:space="0" w:color="auto"/>
              <w:right w:val="single" w:sz="4" w:space="0" w:color="auto"/>
            </w:tcBorders>
            <w:hideMark/>
          </w:tcPr>
          <w:p w14:paraId="0E27ADDE"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163</w:t>
            </w:r>
          </w:p>
        </w:tc>
        <w:tc>
          <w:tcPr>
            <w:tcW w:w="781" w:type="pct"/>
            <w:tcBorders>
              <w:top w:val="single" w:sz="4" w:space="0" w:color="auto"/>
              <w:left w:val="single" w:sz="4" w:space="0" w:color="auto"/>
              <w:bottom w:val="single" w:sz="4" w:space="0" w:color="auto"/>
              <w:right w:val="single" w:sz="4" w:space="0" w:color="auto"/>
            </w:tcBorders>
            <w:hideMark/>
          </w:tcPr>
          <w:p w14:paraId="2345E821"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73 (44,8)</w:t>
            </w:r>
          </w:p>
        </w:tc>
        <w:tc>
          <w:tcPr>
            <w:tcW w:w="392" w:type="pct"/>
            <w:tcBorders>
              <w:top w:val="single" w:sz="4" w:space="0" w:color="auto"/>
              <w:left w:val="single" w:sz="4" w:space="0" w:color="auto"/>
              <w:bottom w:val="single" w:sz="4" w:space="0" w:color="auto"/>
              <w:right w:val="single" w:sz="4" w:space="0" w:color="auto"/>
            </w:tcBorders>
            <w:hideMark/>
          </w:tcPr>
          <w:p w14:paraId="4BE70298"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171</w:t>
            </w:r>
          </w:p>
        </w:tc>
        <w:tc>
          <w:tcPr>
            <w:tcW w:w="860" w:type="pct"/>
            <w:tcBorders>
              <w:top w:val="single" w:sz="4" w:space="0" w:color="auto"/>
              <w:left w:val="single" w:sz="4" w:space="0" w:color="auto"/>
              <w:bottom w:val="single" w:sz="4" w:space="0" w:color="auto"/>
              <w:right w:val="single" w:sz="4" w:space="0" w:color="auto"/>
            </w:tcBorders>
            <w:hideMark/>
          </w:tcPr>
          <w:p w14:paraId="785B5B6E"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78 (45,6)</w:t>
            </w:r>
          </w:p>
        </w:tc>
        <w:tc>
          <w:tcPr>
            <w:tcW w:w="1248" w:type="pct"/>
            <w:tcBorders>
              <w:top w:val="single" w:sz="4" w:space="0" w:color="auto"/>
              <w:left w:val="single" w:sz="4" w:space="0" w:color="auto"/>
              <w:bottom w:val="single" w:sz="4" w:space="0" w:color="auto"/>
              <w:right w:val="single" w:sz="4" w:space="0" w:color="auto"/>
            </w:tcBorders>
            <w:hideMark/>
          </w:tcPr>
          <w:p w14:paraId="63CF7F79"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-0,6 % (-11,2; 10,1)</w:t>
            </w:r>
          </w:p>
        </w:tc>
      </w:tr>
      <w:tr w:rsidR="00C806DE" w:rsidRPr="009C0F58" w14:paraId="3CC22A84" w14:textId="77777777" w:rsidTr="00507609">
        <w:tc>
          <w:tcPr>
            <w:tcW w:w="1171" w:type="pct"/>
            <w:tcBorders>
              <w:top w:val="single" w:sz="4" w:space="0" w:color="auto"/>
              <w:left w:val="single" w:sz="4" w:space="0" w:color="auto"/>
              <w:bottom w:val="single" w:sz="4" w:space="0" w:color="auto"/>
              <w:right w:val="single" w:sz="4" w:space="0" w:color="auto"/>
            </w:tcBorders>
            <w:hideMark/>
          </w:tcPr>
          <w:p w14:paraId="60F72BC7" w14:textId="77777777" w:rsidR="00C806DE" w:rsidRPr="009C0F58" w:rsidRDefault="00C806DE">
            <w:pPr>
              <w:rPr>
                <w:rFonts w:ascii="Times New Roman" w:hAnsi="Times New Roman" w:cs="Times New Roman"/>
                <w:sz w:val="22"/>
                <w:lang w:val="da-DK"/>
              </w:rPr>
            </w:pPr>
            <w:r w:rsidRPr="009C0F58">
              <w:rPr>
                <w:rFonts w:ascii="Times New Roman" w:hAnsi="Times New Roman" w:cs="Times New Roman"/>
                <w:sz w:val="22"/>
                <w:lang w:val="da-DK"/>
              </w:rPr>
              <w:t>Globalt klinisk respons i FAS efter 12 uger</w:t>
            </w:r>
          </w:p>
        </w:tc>
        <w:tc>
          <w:tcPr>
            <w:tcW w:w="547" w:type="pct"/>
            <w:tcBorders>
              <w:top w:val="single" w:sz="4" w:space="0" w:color="auto"/>
              <w:left w:val="single" w:sz="4" w:space="0" w:color="auto"/>
              <w:bottom w:val="single" w:sz="4" w:space="0" w:color="auto"/>
              <w:right w:val="single" w:sz="4" w:space="0" w:color="auto"/>
            </w:tcBorders>
            <w:hideMark/>
          </w:tcPr>
          <w:p w14:paraId="05574DAF"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163</w:t>
            </w:r>
          </w:p>
        </w:tc>
        <w:tc>
          <w:tcPr>
            <w:tcW w:w="781" w:type="pct"/>
            <w:tcBorders>
              <w:top w:val="single" w:sz="4" w:space="0" w:color="auto"/>
              <w:left w:val="single" w:sz="4" w:space="0" w:color="auto"/>
              <w:bottom w:val="single" w:sz="4" w:space="0" w:color="auto"/>
              <w:right w:val="single" w:sz="4" w:space="0" w:color="auto"/>
            </w:tcBorders>
            <w:hideMark/>
          </w:tcPr>
          <w:p w14:paraId="014BE4A1"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69 (42,3)</w:t>
            </w:r>
          </w:p>
        </w:tc>
        <w:tc>
          <w:tcPr>
            <w:tcW w:w="392" w:type="pct"/>
            <w:tcBorders>
              <w:top w:val="single" w:sz="4" w:space="0" w:color="auto"/>
              <w:left w:val="single" w:sz="4" w:space="0" w:color="auto"/>
              <w:bottom w:val="single" w:sz="4" w:space="0" w:color="auto"/>
              <w:right w:val="single" w:sz="4" w:space="0" w:color="auto"/>
            </w:tcBorders>
            <w:hideMark/>
          </w:tcPr>
          <w:p w14:paraId="578EB4DA"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171</w:t>
            </w:r>
          </w:p>
        </w:tc>
        <w:tc>
          <w:tcPr>
            <w:tcW w:w="860" w:type="pct"/>
            <w:tcBorders>
              <w:top w:val="single" w:sz="4" w:space="0" w:color="auto"/>
              <w:left w:val="single" w:sz="4" w:space="0" w:color="auto"/>
              <w:bottom w:val="single" w:sz="4" w:space="0" w:color="auto"/>
              <w:right w:val="single" w:sz="4" w:space="0" w:color="auto"/>
            </w:tcBorders>
            <w:hideMark/>
          </w:tcPr>
          <w:p w14:paraId="18BCEA2A"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79 (46,2)</w:t>
            </w:r>
          </w:p>
        </w:tc>
        <w:tc>
          <w:tcPr>
            <w:tcW w:w="1248" w:type="pct"/>
            <w:tcBorders>
              <w:top w:val="single" w:sz="4" w:space="0" w:color="auto"/>
              <w:left w:val="single" w:sz="4" w:space="0" w:color="auto"/>
              <w:bottom w:val="single" w:sz="4" w:space="0" w:color="auto"/>
              <w:right w:val="single" w:sz="4" w:space="0" w:color="auto"/>
            </w:tcBorders>
            <w:hideMark/>
          </w:tcPr>
          <w:p w14:paraId="226FF978" w14:textId="77777777" w:rsidR="00C806DE" w:rsidRPr="009C0F58" w:rsidRDefault="00C806DE">
            <w:pPr>
              <w:jc w:val="center"/>
              <w:rPr>
                <w:rFonts w:ascii="Times New Roman" w:hAnsi="Times New Roman" w:cs="Times New Roman"/>
                <w:sz w:val="22"/>
              </w:rPr>
            </w:pPr>
            <w:r w:rsidRPr="009C0F58">
              <w:rPr>
                <w:rFonts w:ascii="Times New Roman" w:hAnsi="Times New Roman" w:cs="Times New Roman"/>
                <w:sz w:val="22"/>
              </w:rPr>
              <w:t>-3,4 % (-13,9; 7,1)</w:t>
            </w:r>
          </w:p>
        </w:tc>
      </w:tr>
      <w:tr w:rsidR="00C806DE" w:rsidRPr="009C0F58" w14:paraId="2DF9BB9B" w14:textId="77777777" w:rsidTr="00507609">
        <w:tc>
          <w:tcPr>
            <w:tcW w:w="5000" w:type="pct"/>
            <w:gridSpan w:val="6"/>
            <w:tcBorders>
              <w:top w:val="single" w:sz="4" w:space="0" w:color="auto"/>
              <w:left w:val="single" w:sz="4" w:space="0" w:color="auto"/>
              <w:bottom w:val="single" w:sz="4" w:space="0" w:color="auto"/>
              <w:right w:val="single" w:sz="4" w:space="0" w:color="auto"/>
            </w:tcBorders>
            <w:hideMark/>
          </w:tcPr>
          <w:p w14:paraId="7FE5CD16" w14:textId="77777777" w:rsidR="00C806DE" w:rsidRPr="009C0F58" w:rsidRDefault="00C806DE">
            <w:pPr>
              <w:rPr>
                <w:rFonts w:ascii="Times New Roman" w:hAnsi="Times New Roman" w:cs="Times New Roman"/>
                <w:sz w:val="22"/>
                <w:lang w:val="da-DK"/>
              </w:rPr>
            </w:pPr>
            <w:r w:rsidRPr="009C0F58">
              <w:rPr>
                <w:rFonts w:ascii="Times New Roman" w:hAnsi="Times New Roman" w:cs="Times New Roman"/>
                <w:sz w:val="22"/>
                <w:lang w:val="da-DK"/>
              </w:rPr>
              <w:t>* Tilfredsstillende globalt klinisk respons blev defineret som overlevelse med partielt eller komplet respons Justeret behandlingsdifference på baggrund afMiettinen og Nurminens metode stratificeret ved randomiseringsfaktor (risiko for dødelighed/dårligt resultat), ved brug af Cochran-Mantel-Haenszels vægtningsmetode.</w:t>
            </w:r>
          </w:p>
        </w:tc>
      </w:tr>
    </w:tbl>
    <w:p w14:paraId="609EF176" w14:textId="77777777" w:rsidR="00C806DE" w:rsidRPr="00875F19" w:rsidRDefault="00C806DE" w:rsidP="00C806DE">
      <w:pPr>
        <w:rPr>
          <w:kern w:val="2"/>
          <w:sz w:val="24"/>
          <w:szCs w:val="24"/>
          <w14:ligatures w14:val="standardContextual"/>
        </w:rPr>
      </w:pPr>
    </w:p>
    <w:p w14:paraId="4CA238FF" w14:textId="77777777" w:rsidR="00C806DE" w:rsidRPr="009C0F58" w:rsidRDefault="00C806DE" w:rsidP="00507609">
      <w:pPr>
        <w:ind w:left="851"/>
        <w:rPr>
          <w:i/>
          <w:sz w:val="24"/>
          <w:szCs w:val="24"/>
          <w:u w:val="single"/>
        </w:rPr>
      </w:pPr>
      <w:r w:rsidRPr="009C0F58">
        <w:rPr>
          <w:i/>
          <w:sz w:val="24"/>
          <w:szCs w:val="24"/>
          <w:u w:val="single"/>
        </w:rPr>
        <w:t xml:space="preserve">Sammendrag af bridging-studiet med enteropulver og solvens til oral suspension og koncentrat til infusionsvæske, opløsning </w:t>
      </w:r>
    </w:p>
    <w:p w14:paraId="06717584" w14:textId="77777777" w:rsidR="00C806DE" w:rsidRPr="00875F19" w:rsidRDefault="00C806DE" w:rsidP="00507609">
      <w:pPr>
        <w:ind w:left="851"/>
        <w:rPr>
          <w:sz w:val="24"/>
          <w:szCs w:val="24"/>
        </w:rPr>
      </w:pPr>
    </w:p>
    <w:p w14:paraId="49B60B7D" w14:textId="77777777" w:rsidR="00C806DE" w:rsidRPr="00875F19" w:rsidRDefault="00C806DE" w:rsidP="00507609">
      <w:pPr>
        <w:ind w:left="851"/>
        <w:rPr>
          <w:sz w:val="24"/>
          <w:szCs w:val="24"/>
        </w:rPr>
      </w:pPr>
      <w:r w:rsidRPr="00875F19">
        <w:rPr>
          <w:sz w:val="24"/>
          <w:szCs w:val="24"/>
        </w:rPr>
        <w:t>Farmakokinetikken og sikkerheden af posaconazol koncentrat til infusionsvæske, opløsning, og enteropulver og solvens til oral suspension er blevet vurderet hos 115 pædiatriske patienter i alderen 2 år til under 18 år i et ikke-randomiseret, åbent, sekventielt multicenterstudie med dosiseskalering (studie 097). Immunkompromitterede pædiatriske forsøgspersoner med kendt eller formodet neutropeni blev eksponeret for posaconazol ved doser på 3,5 mg/kg, 4,5 mg/kg eller 6,0 mg/kg dagligt (to gange dagligt på dag 1). Alle 115 forsøgspersoner fik indledningsvist posaconazol koncentrat til infusionsvæske, opløsning i mindst 7 dage, og 63 forsøgspersoner blev overført til enteropulver og solvens til oral suspension. Den gennemsnitlige samlede behandlingsvarighed (posaconazol koncentrat til infusionsvæske, opløsning, og enteropulver og solvens til oral suspension) for alle behandlede forsøgspersoner var 20,6 dage (se pkt. 5.2).</w:t>
      </w:r>
    </w:p>
    <w:p w14:paraId="67E39FA3" w14:textId="1A069EA0" w:rsidR="00E5143B" w:rsidRDefault="00E5143B">
      <w:pPr>
        <w:rPr>
          <w:kern w:val="2"/>
          <w:sz w:val="24"/>
          <w:szCs w:val="24"/>
        </w:rPr>
      </w:pPr>
      <w:r>
        <w:rPr>
          <w:kern w:val="2"/>
          <w:sz w:val="24"/>
          <w:szCs w:val="24"/>
        </w:rPr>
        <w:br w:type="page"/>
      </w:r>
    </w:p>
    <w:p w14:paraId="0B001062" w14:textId="77777777" w:rsidR="00C806DE" w:rsidRPr="00875F19" w:rsidRDefault="00C806DE" w:rsidP="00507609">
      <w:pPr>
        <w:ind w:left="851"/>
        <w:rPr>
          <w:kern w:val="2"/>
          <w:sz w:val="24"/>
          <w:szCs w:val="24"/>
        </w:rPr>
      </w:pPr>
    </w:p>
    <w:p w14:paraId="22701944" w14:textId="77777777" w:rsidR="00C806DE" w:rsidRPr="009C0F58" w:rsidRDefault="00C806DE" w:rsidP="00507609">
      <w:pPr>
        <w:ind w:left="851"/>
        <w:rPr>
          <w:i/>
          <w:sz w:val="24"/>
          <w:szCs w:val="24"/>
          <w:u w:val="single"/>
        </w:rPr>
      </w:pPr>
      <w:r w:rsidRPr="009C0F58">
        <w:rPr>
          <w:i/>
          <w:sz w:val="24"/>
          <w:szCs w:val="24"/>
          <w:u w:val="single"/>
        </w:rPr>
        <w:t>Sammendrag af studier med posaconazol oral suspension</w:t>
      </w:r>
    </w:p>
    <w:p w14:paraId="41861281" w14:textId="77777777" w:rsidR="00C806DE" w:rsidRPr="009C0F58" w:rsidRDefault="00C806DE" w:rsidP="00507609">
      <w:pPr>
        <w:ind w:left="851"/>
        <w:rPr>
          <w:i/>
          <w:kern w:val="2"/>
          <w:sz w:val="24"/>
          <w:szCs w:val="24"/>
        </w:rPr>
      </w:pPr>
      <w:r w:rsidRPr="009C0F58">
        <w:rPr>
          <w:i/>
          <w:sz w:val="24"/>
          <w:szCs w:val="24"/>
        </w:rPr>
        <w:t xml:space="preserve">Invasiv aspergillose </w:t>
      </w:r>
    </w:p>
    <w:p w14:paraId="4F80BFAC" w14:textId="77777777" w:rsidR="00C806DE" w:rsidRPr="00875F19" w:rsidRDefault="00C806DE" w:rsidP="00507609">
      <w:pPr>
        <w:ind w:left="851"/>
        <w:rPr>
          <w:sz w:val="24"/>
          <w:szCs w:val="24"/>
          <w:lang w:val="nl-NL"/>
        </w:rPr>
      </w:pPr>
      <w:r w:rsidRPr="00875F19">
        <w:rPr>
          <w:sz w:val="24"/>
          <w:szCs w:val="24"/>
        </w:rPr>
        <w:t xml:space="preserve">I et ikke-sammenlignende studie med salvage-behandling blev posaconazol oral suspension 800 mg dagligt fordelt på flere doser vurderet som behandling af invasiv aspergillose hos patienter, som var sygdomsrefraktære over for behandling med amphotericin B (inklusive liposomformuleringer) eller itraconazol eller hos patienter, der havde intolerans over for disse lægemidler. </w:t>
      </w:r>
      <w:r w:rsidRPr="00875F19">
        <w:rPr>
          <w:sz w:val="24"/>
          <w:szCs w:val="24"/>
          <w:lang w:val="nl-NL"/>
        </w:rPr>
        <w:t xml:space="preserve">De kliniske resultater blev sammenlignet med resultater fra en ekstern kontrolgruppe udledt fra en retrospektiv gennemgang af medicinske journaler. Den eksterne kontrolgruppe bestod af 86 patienter behandlet med tilgængelig terapi (som ovennævnt) på omtrent samme tidspunkt og på de samme afdelinger, som patienterne behandlet med posaconazol. De fleste tilfælde af aspergillose blev vurderet som værende refraktære over for tidligere terapi både i posaconazolgruppen (88 %) og i den eksterne kontrolgruppe (79 %). </w:t>
      </w:r>
    </w:p>
    <w:p w14:paraId="1945F70A" w14:textId="7B9B8698" w:rsidR="00C806DE" w:rsidRPr="00875F19" w:rsidRDefault="00C806DE" w:rsidP="00507609">
      <w:pPr>
        <w:ind w:left="851"/>
        <w:rPr>
          <w:kern w:val="2"/>
          <w:sz w:val="24"/>
          <w:szCs w:val="24"/>
          <w:lang w:val="nl-NL"/>
        </w:rPr>
      </w:pPr>
    </w:p>
    <w:p w14:paraId="2C22EE09" w14:textId="77777777" w:rsidR="00C806DE" w:rsidRPr="00875F19" w:rsidRDefault="00C806DE" w:rsidP="00507609">
      <w:pPr>
        <w:ind w:left="851"/>
        <w:rPr>
          <w:sz w:val="24"/>
          <w:szCs w:val="24"/>
          <w:lang w:val="nl-NL"/>
        </w:rPr>
      </w:pPr>
      <w:r w:rsidRPr="00875F19">
        <w:rPr>
          <w:sz w:val="24"/>
          <w:szCs w:val="24"/>
          <w:lang w:val="nl-NL"/>
        </w:rPr>
        <w:t>Som vist i tabel 5 sås et tilfredsstillende respons (fuldstændig eller delvis bedring) efter endt behandling hos 42 % af de patienter, som blev behandlet med posaconazol, sammenlignet med 26 % i den eksterne gruppe. Dette var imidlertid ikke et prospektivt randomiseret kontrolleret studie, og derfor skal alle sammenligninger med den eksterne kontrolgruppe vurderes med forsigtighed.</w:t>
      </w:r>
    </w:p>
    <w:p w14:paraId="531299F9" w14:textId="77777777" w:rsidR="00C806DE" w:rsidRPr="00875F19" w:rsidRDefault="00C806DE" w:rsidP="00507609">
      <w:pPr>
        <w:ind w:left="851"/>
        <w:rPr>
          <w:kern w:val="2"/>
          <w:sz w:val="24"/>
          <w:szCs w:val="24"/>
          <w:lang w:val="nl-NL"/>
        </w:rPr>
      </w:pPr>
    </w:p>
    <w:p w14:paraId="0BA9C2F9" w14:textId="77777777" w:rsidR="00C806DE" w:rsidRPr="00875F19" w:rsidRDefault="00C806DE" w:rsidP="00C806DE">
      <w:pPr>
        <w:rPr>
          <w:sz w:val="24"/>
          <w:szCs w:val="24"/>
        </w:rPr>
      </w:pPr>
      <w:r w:rsidRPr="00875F19">
        <w:rPr>
          <w:b/>
          <w:bCs/>
          <w:sz w:val="24"/>
          <w:szCs w:val="24"/>
        </w:rPr>
        <w:t>Tabel 5.</w:t>
      </w:r>
      <w:r w:rsidRPr="00875F19">
        <w:rPr>
          <w:sz w:val="24"/>
          <w:szCs w:val="24"/>
        </w:rPr>
        <w:t xml:space="preserve"> Samlet virkning af posaconazol oral suspension efter endt behandling af invasiv aspergillose sammenlignet med en ekstern kontrolgruppe</w:t>
      </w:r>
    </w:p>
    <w:p w14:paraId="0AA971F3" w14:textId="77777777" w:rsidR="00C806DE" w:rsidRPr="00875F19" w:rsidRDefault="00C806DE" w:rsidP="00C806DE">
      <w:pPr>
        <w:rPr>
          <w:kern w:val="2"/>
          <w:sz w:val="24"/>
          <w:szCs w:val="24"/>
        </w:rPr>
      </w:pPr>
    </w:p>
    <w:tbl>
      <w:tblPr>
        <w:tblStyle w:val="Tabel-Gitter"/>
        <w:tblW w:w="5000" w:type="pct"/>
        <w:tblInd w:w="0" w:type="dxa"/>
        <w:tblLook w:val="04A0" w:firstRow="1" w:lastRow="0" w:firstColumn="1" w:lastColumn="0" w:noHBand="0" w:noVBand="1"/>
      </w:tblPr>
      <w:tblGrid>
        <w:gridCol w:w="3210"/>
        <w:gridCol w:w="3210"/>
        <w:gridCol w:w="3208"/>
      </w:tblGrid>
      <w:tr w:rsidR="00C806DE" w:rsidRPr="00875F19" w14:paraId="7F38ACC7" w14:textId="77777777" w:rsidTr="00507609">
        <w:tc>
          <w:tcPr>
            <w:tcW w:w="1667" w:type="pct"/>
            <w:tcBorders>
              <w:top w:val="single" w:sz="4" w:space="0" w:color="auto"/>
              <w:left w:val="single" w:sz="4" w:space="0" w:color="auto"/>
              <w:bottom w:val="single" w:sz="4" w:space="0" w:color="auto"/>
              <w:right w:val="single" w:sz="4" w:space="0" w:color="auto"/>
            </w:tcBorders>
          </w:tcPr>
          <w:p w14:paraId="21852031" w14:textId="77777777" w:rsidR="00C806DE" w:rsidRPr="00875F19" w:rsidRDefault="00C806DE">
            <w:pPr>
              <w:rPr>
                <w:rFonts w:ascii="Times New Roman" w:hAnsi="Times New Roman" w:cs="Times New Roman"/>
                <w:sz w:val="24"/>
                <w:szCs w:val="24"/>
                <w:lang w:val="da-DK"/>
              </w:rPr>
            </w:pPr>
          </w:p>
        </w:tc>
        <w:tc>
          <w:tcPr>
            <w:tcW w:w="1667" w:type="pct"/>
            <w:tcBorders>
              <w:top w:val="single" w:sz="4" w:space="0" w:color="auto"/>
              <w:left w:val="single" w:sz="4" w:space="0" w:color="auto"/>
              <w:bottom w:val="single" w:sz="4" w:space="0" w:color="auto"/>
              <w:right w:val="single" w:sz="4" w:space="0" w:color="auto"/>
            </w:tcBorders>
            <w:hideMark/>
          </w:tcPr>
          <w:p w14:paraId="0B30B206" w14:textId="77777777" w:rsidR="00C806DE" w:rsidRPr="00875F19" w:rsidRDefault="00C806DE" w:rsidP="009C0F58">
            <w:pPr>
              <w:tabs>
                <w:tab w:val="right" w:pos="2634"/>
              </w:tabs>
              <w:rPr>
                <w:rFonts w:ascii="Times New Roman" w:hAnsi="Times New Roman" w:cs="Times New Roman"/>
                <w:b/>
                <w:bCs/>
                <w:sz w:val="24"/>
                <w:szCs w:val="24"/>
              </w:rPr>
            </w:pPr>
            <w:r w:rsidRPr="00875F19">
              <w:rPr>
                <w:rFonts w:ascii="Times New Roman" w:hAnsi="Times New Roman" w:cs="Times New Roman"/>
                <w:b/>
                <w:bCs/>
                <w:sz w:val="24"/>
                <w:szCs w:val="24"/>
              </w:rPr>
              <w:t>Posaconazol oral suspension</w:t>
            </w:r>
          </w:p>
        </w:tc>
        <w:tc>
          <w:tcPr>
            <w:tcW w:w="1667" w:type="pct"/>
            <w:tcBorders>
              <w:top w:val="single" w:sz="4" w:space="0" w:color="auto"/>
              <w:left w:val="single" w:sz="4" w:space="0" w:color="auto"/>
              <w:bottom w:val="single" w:sz="4" w:space="0" w:color="auto"/>
              <w:right w:val="single" w:sz="4" w:space="0" w:color="auto"/>
            </w:tcBorders>
            <w:hideMark/>
          </w:tcPr>
          <w:p w14:paraId="662A48D3" w14:textId="77777777" w:rsidR="00C806DE" w:rsidRPr="00875F19" w:rsidRDefault="00C806DE">
            <w:pPr>
              <w:rPr>
                <w:rFonts w:ascii="Times New Roman" w:hAnsi="Times New Roman" w:cs="Times New Roman"/>
                <w:b/>
                <w:bCs/>
                <w:sz w:val="24"/>
                <w:szCs w:val="24"/>
              </w:rPr>
            </w:pPr>
            <w:r w:rsidRPr="00875F19">
              <w:rPr>
                <w:rFonts w:ascii="Times New Roman" w:hAnsi="Times New Roman" w:cs="Times New Roman"/>
                <w:b/>
                <w:bCs/>
                <w:sz w:val="24"/>
                <w:szCs w:val="24"/>
              </w:rPr>
              <w:t>Ekstern kontrolgruppe</w:t>
            </w:r>
          </w:p>
        </w:tc>
      </w:tr>
      <w:tr w:rsidR="00C806DE" w:rsidRPr="00875F19" w14:paraId="0078D3DE"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3C493E3D"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Samlet respons</w:t>
            </w:r>
          </w:p>
        </w:tc>
        <w:tc>
          <w:tcPr>
            <w:tcW w:w="1667" w:type="pct"/>
            <w:tcBorders>
              <w:top w:val="single" w:sz="4" w:space="0" w:color="auto"/>
              <w:left w:val="single" w:sz="4" w:space="0" w:color="auto"/>
              <w:bottom w:val="single" w:sz="4" w:space="0" w:color="auto"/>
              <w:right w:val="single" w:sz="4" w:space="0" w:color="auto"/>
            </w:tcBorders>
            <w:hideMark/>
          </w:tcPr>
          <w:p w14:paraId="60E56C05" w14:textId="1A79AA38" w:rsidR="00C806DE" w:rsidRPr="00875F19" w:rsidRDefault="00C806DE" w:rsidP="009C0F58">
            <w:pPr>
              <w:tabs>
                <w:tab w:val="right" w:pos="2634"/>
              </w:tabs>
              <w:rPr>
                <w:rFonts w:ascii="Times New Roman" w:hAnsi="Times New Roman" w:cs="Times New Roman"/>
                <w:sz w:val="24"/>
                <w:szCs w:val="24"/>
              </w:rPr>
            </w:pPr>
            <w:r w:rsidRPr="00875F19">
              <w:rPr>
                <w:rFonts w:ascii="Times New Roman" w:hAnsi="Times New Roman" w:cs="Times New Roman"/>
                <w:sz w:val="24"/>
                <w:szCs w:val="24"/>
              </w:rPr>
              <w:t>45/107</w:t>
            </w:r>
            <w:r w:rsidR="009C0F58">
              <w:rPr>
                <w:rFonts w:ascii="Times New Roman" w:hAnsi="Times New Roman" w:cs="Times New Roman"/>
                <w:sz w:val="24"/>
                <w:szCs w:val="24"/>
              </w:rPr>
              <w:tab/>
            </w:r>
            <w:r w:rsidRPr="00875F19">
              <w:rPr>
                <w:rFonts w:ascii="Times New Roman" w:hAnsi="Times New Roman" w:cs="Times New Roman"/>
                <w:sz w:val="24"/>
                <w:szCs w:val="24"/>
              </w:rPr>
              <w:t>(42 %)</w:t>
            </w:r>
          </w:p>
        </w:tc>
        <w:tc>
          <w:tcPr>
            <w:tcW w:w="1667" w:type="pct"/>
            <w:tcBorders>
              <w:top w:val="single" w:sz="4" w:space="0" w:color="auto"/>
              <w:left w:val="single" w:sz="4" w:space="0" w:color="auto"/>
              <w:bottom w:val="single" w:sz="4" w:space="0" w:color="auto"/>
              <w:right w:val="single" w:sz="4" w:space="0" w:color="auto"/>
            </w:tcBorders>
            <w:hideMark/>
          </w:tcPr>
          <w:p w14:paraId="5C6DEF0E" w14:textId="12A1A7B3" w:rsidR="00C806DE" w:rsidRPr="00875F19" w:rsidRDefault="00C806DE" w:rsidP="009C0F58">
            <w:pPr>
              <w:tabs>
                <w:tab w:val="right" w:pos="2826"/>
              </w:tabs>
              <w:rPr>
                <w:rFonts w:ascii="Times New Roman" w:hAnsi="Times New Roman" w:cs="Times New Roman"/>
                <w:sz w:val="24"/>
                <w:szCs w:val="24"/>
              </w:rPr>
            </w:pPr>
            <w:r w:rsidRPr="00875F19">
              <w:rPr>
                <w:rFonts w:ascii="Times New Roman" w:hAnsi="Times New Roman" w:cs="Times New Roman"/>
                <w:sz w:val="24"/>
                <w:szCs w:val="24"/>
              </w:rPr>
              <w:t>22/86</w:t>
            </w:r>
            <w:r w:rsidR="009C0F58">
              <w:rPr>
                <w:rFonts w:ascii="Times New Roman" w:hAnsi="Times New Roman" w:cs="Times New Roman"/>
                <w:sz w:val="24"/>
                <w:szCs w:val="24"/>
              </w:rPr>
              <w:tab/>
            </w:r>
            <w:r w:rsidRPr="00875F19">
              <w:rPr>
                <w:rFonts w:ascii="Times New Roman" w:hAnsi="Times New Roman" w:cs="Times New Roman"/>
                <w:sz w:val="24"/>
                <w:szCs w:val="24"/>
              </w:rPr>
              <w:t>(26 %)</w:t>
            </w:r>
          </w:p>
        </w:tc>
      </w:tr>
      <w:tr w:rsidR="00C806DE" w:rsidRPr="00875F19" w14:paraId="67B7DE4F"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36648EB7" w14:textId="77777777" w:rsidR="00C806DE" w:rsidRPr="00875F19" w:rsidRDefault="00C806DE" w:rsidP="00F1252E">
            <w:pPr>
              <w:tabs>
                <w:tab w:val="left" w:pos="599"/>
              </w:tabs>
              <w:rPr>
                <w:rFonts w:ascii="Times New Roman" w:hAnsi="Times New Roman" w:cs="Times New Roman"/>
                <w:b/>
                <w:bCs/>
                <w:sz w:val="24"/>
                <w:szCs w:val="24"/>
                <w:lang w:val="da-DK"/>
              </w:rPr>
            </w:pPr>
            <w:r w:rsidRPr="00875F19">
              <w:rPr>
                <w:rFonts w:ascii="Times New Roman" w:hAnsi="Times New Roman" w:cs="Times New Roman"/>
                <w:b/>
                <w:bCs/>
                <w:sz w:val="24"/>
                <w:szCs w:val="24"/>
                <w:lang w:val="da-DK"/>
              </w:rPr>
              <w:t xml:space="preserve">Virkning per art </w:t>
            </w:r>
          </w:p>
          <w:p w14:paraId="4AC3DC9F" w14:textId="77777777" w:rsidR="00C806DE" w:rsidRPr="00875F19" w:rsidRDefault="00C806DE" w:rsidP="00F1252E">
            <w:pPr>
              <w:jc w:val="center"/>
              <w:rPr>
                <w:rFonts w:ascii="Times New Roman" w:hAnsi="Times New Roman" w:cs="Times New Roman"/>
                <w:sz w:val="24"/>
                <w:szCs w:val="24"/>
                <w:lang w:val="da-DK"/>
              </w:rPr>
            </w:pPr>
            <w:r w:rsidRPr="00875F19">
              <w:rPr>
                <w:rFonts w:ascii="Times New Roman" w:hAnsi="Times New Roman" w:cs="Times New Roman"/>
                <w:sz w:val="24"/>
                <w:szCs w:val="24"/>
                <w:lang w:val="da-DK"/>
              </w:rPr>
              <w:t>Alle mykotisk bekræftet</w:t>
            </w:r>
          </w:p>
          <w:p w14:paraId="56F39268" w14:textId="2ADFBFCF" w:rsidR="00C806DE" w:rsidRPr="00875F19" w:rsidRDefault="00F1252E" w:rsidP="00F1252E">
            <w:pPr>
              <w:tabs>
                <w:tab w:val="left" w:pos="599"/>
              </w:tabs>
              <w:rPr>
                <w:rFonts w:ascii="Times New Roman" w:hAnsi="Times New Roman" w:cs="Times New Roman"/>
                <w:sz w:val="24"/>
                <w:szCs w:val="24"/>
              </w:rPr>
            </w:pPr>
            <w:r w:rsidRPr="00BC713B">
              <w:rPr>
                <w:rFonts w:ascii="Times New Roman" w:hAnsi="Times New Roman" w:cs="Times New Roman"/>
                <w:i/>
                <w:iCs/>
                <w:sz w:val="24"/>
                <w:szCs w:val="24"/>
                <w:lang w:val="da-DK"/>
              </w:rPr>
              <w:tab/>
            </w:r>
            <w:r w:rsidR="00C806DE" w:rsidRPr="00875F19">
              <w:rPr>
                <w:rFonts w:ascii="Times New Roman" w:hAnsi="Times New Roman" w:cs="Times New Roman"/>
                <w:i/>
                <w:iCs/>
                <w:sz w:val="24"/>
                <w:szCs w:val="24"/>
              </w:rPr>
              <w:t>Aspergillus-</w:t>
            </w:r>
            <w:r w:rsidR="00C806DE" w:rsidRPr="00875F19">
              <w:rPr>
                <w:rFonts w:ascii="Times New Roman" w:hAnsi="Times New Roman" w:cs="Times New Roman"/>
                <w:sz w:val="24"/>
                <w:szCs w:val="24"/>
              </w:rPr>
              <w:t>arter</w:t>
            </w:r>
            <w:r w:rsidR="00C806DE" w:rsidRPr="00875F19">
              <w:rPr>
                <w:rFonts w:ascii="Times New Roman" w:hAnsi="Times New Roman" w:cs="Times New Roman"/>
                <w:sz w:val="24"/>
                <w:szCs w:val="24"/>
                <w:vertAlign w:val="superscript"/>
              </w:rPr>
              <w:t>3</w:t>
            </w:r>
          </w:p>
        </w:tc>
        <w:tc>
          <w:tcPr>
            <w:tcW w:w="1667" w:type="pct"/>
            <w:tcBorders>
              <w:top w:val="single" w:sz="4" w:space="0" w:color="auto"/>
              <w:left w:val="single" w:sz="4" w:space="0" w:color="auto"/>
              <w:bottom w:val="single" w:sz="4" w:space="0" w:color="auto"/>
              <w:right w:val="single" w:sz="4" w:space="0" w:color="auto"/>
            </w:tcBorders>
          </w:tcPr>
          <w:p w14:paraId="59448708" w14:textId="77777777" w:rsidR="00C806DE" w:rsidRPr="00875F19" w:rsidRDefault="00C806DE" w:rsidP="009C0F58">
            <w:pPr>
              <w:tabs>
                <w:tab w:val="right" w:pos="2634"/>
              </w:tabs>
              <w:rPr>
                <w:rFonts w:ascii="Times New Roman" w:hAnsi="Times New Roman" w:cs="Times New Roman"/>
                <w:sz w:val="24"/>
                <w:szCs w:val="24"/>
              </w:rPr>
            </w:pPr>
          </w:p>
          <w:p w14:paraId="34FD2349" w14:textId="77777777" w:rsidR="00C806DE" w:rsidRPr="00875F19" w:rsidRDefault="00C806DE" w:rsidP="009C0F58">
            <w:pPr>
              <w:tabs>
                <w:tab w:val="right" w:pos="2634"/>
              </w:tabs>
              <w:rPr>
                <w:rFonts w:ascii="Times New Roman" w:hAnsi="Times New Roman" w:cs="Times New Roman"/>
                <w:sz w:val="24"/>
                <w:szCs w:val="24"/>
              </w:rPr>
            </w:pPr>
          </w:p>
          <w:p w14:paraId="6E3F7824" w14:textId="4C15BE70" w:rsidR="00C806DE" w:rsidRPr="00875F19" w:rsidRDefault="00C806DE" w:rsidP="009C0F58">
            <w:pPr>
              <w:tabs>
                <w:tab w:val="right" w:pos="2634"/>
              </w:tabs>
              <w:rPr>
                <w:rFonts w:ascii="Times New Roman" w:hAnsi="Times New Roman" w:cs="Times New Roman"/>
                <w:sz w:val="24"/>
                <w:szCs w:val="24"/>
              </w:rPr>
            </w:pPr>
            <w:r w:rsidRPr="00875F19">
              <w:rPr>
                <w:rFonts w:ascii="Times New Roman" w:hAnsi="Times New Roman" w:cs="Times New Roman"/>
                <w:sz w:val="24"/>
                <w:szCs w:val="24"/>
              </w:rPr>
              <w:t>34/76</w:t>
            </w:r>
            <w:r w:rsidR="009C0F58">
              <w:rPr>
                <w:rFonts w:ascii="Times New Roman" w:hAnsi="Times New Roman" w:cs="Times New Roman"/>
                <w:sz w:val="24"/>
                <w:szCs w:val="24"/>
              </w:rPr>
              <w:tab/>
            </w:r>
            <w:r w:rsidRPr="00875F19">
              <w:rPr>
                <w:rFonts w:ascii="Times New Roman" w:hAnsi="Times New Roman" w:cs="Times New Roman"/>
                <w:sz w:val="24"/>
                <w:szCs w:val="24"/>
              </w:rPr>
              <w:t>(45 %)</w:t>
            </w:r>
          </w:p>
        </w:tc>
        <w:tc>
          <w:tcPr>
            <w:tcW w:w="1667" w:type="pct"/>
            <w:tcBorders>
              <w:top w:val="single" w:sz="4" w:space="0" w:color="auto"/>
              <w:left w:val="single" w:sz="4" w:space="0" w:color="auto"/>
              <w:bottom w:val="single" w:sz="4" w:space="0" w:color="auto"/>
              <w:right w:val="single" w:sz="4" w:space="0" w:color="auto"/>
            </w:tcBorders>
          </w:tcPr>
          <w:p w14:paraId="13F0E801" w14:textId="77777777" w:rsidR="00C806DE" w:rsidRPr="00875F19" w:rsidRDefault="00C806DE" w:rsidP="009C0F58">
            <w:pPr>
              <w:tabs>
                <w:tab w:val="right" w:pos="2826"/>
              </w:tabs>
              <w:rPr>
                <w:rFonts w:ascii="Times New Roman" w:hAnsi="Times New Roman" w:cs="Times New Roman"/>
                <w:sz w:val="24"/>
                <w:szCs w:val="24"/>
              </w:rPr>
            </w:pPr>
          </w:p>
          <w:p w14:paraId="1C0129A2" w14:textId="77777777" w:rsidR="00C806DE" w:rsidRPr="00875F19" w:rsidRDefault="00C806DE" w:rsidP="009C0F58">
            <w:pPr>
              <w:tabs>
                <w:tab w:val="right" w:pos="2826"/>
              </w:tabs>
              <w:rPr>
                <w:rFonts w:ascii="Times New Roman" w:hAnsi="Times New Roman" w:cs="Times New Roman"/>
                <w:sz w:val="24"/>
                <w:szCs w:val="24"/>
              </w:rPr>
            </w:pPr>
          </w:p>
          <w:p w14:paraId="73A6F953" w14:textId="41798813" w:rsidR="00C806DE" w:rsidRPr="00875F19" w:rsidRDefault="00C806DE" w:rsidP="009C0F58">
            <w:pPr>
              <w:tabs>
                <w:tab w:val="right" w:pos="2826"/>
              </w:tabs>
              <w:rPr>
                <w:rFonts w:ascii="Times New Roman" w:hAnsi="Times New Roman" w:cs="Times New Roman"/>
                <w:sz w:val="24"/>
                <w:szCs w:val="24"/>
              </w:rPr>
            </w:pPr>
            <w:r w:rsidRPr="00875F19">
              <w:rPr>
                <w:rFonts w:ascii="Times New Roman" w:hAnsi="Times New Roman" w:cs="Times New Roman"/>
                <w:sz w:val="24"/>
                <w:szCs w:val="24"/>
              </w:rPr>
              <w:t>19/74</w:t>
            </w:r>
            <w:r w:rsidR="009C0F58">
              <w:rPr>
                <w:rFonts w:ascii="Times New Roman" w:hAnsi="Times New Roman" w:cs="Times New Roman"/>
                <w:sz w:val="24"/>
                <w:szCs w:val="24"/>
              </w:rPr>
              <w:tab/>
            </w:r>
            <w:r w:rsidRPr="00875F19">
              <w:rPr>
                <w:rFonts w:ascii="Times New Roman" w:hAnsi="Times New Roman" w:cs="Times New Roman"/>
                <w:sz w:val="24"/>
                <w:szCs w:val="24"/>
              </w:rPr>
              <w:t>(26 %)</w:t>
            </w:r>
          </w:p>
        </w:tc>
      </w:tr>
      <w:tr w:rsidR="00C806DE" w:rsidRPr="00875F19" w14:paraId="3FDB6695"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13D871F7" w14:textId="67E72E15" w:rsidR="00C806DE" w:rsidRPr="00875F19" w:rsidRDefault="00F1252E" w:rsidP="00F1252E">
            <w:pPr>
              <w:tabs>
                <w:tab w:val="left" w:pos="599"/>
              </w:tabs>
              <w:rPr>
                <w:rFonts w:ascii="Times New Roman" w:hAnsi="Times New Roman" w:cs="Times New Roman"/>
                <w:i/>
                <w:iCs/>
                <w:sz w:val="24"/>
                <w:szCs w:val="24"/>
              </w:rPr>
            </w:pPr>
            <w:r>
              <w:rPr>
                <w:rFonts w:ascii="Times New Roman" w:hAnsi="Times New Roman" w:cs="Times New Roman"/>
                <w:i/>
                <w:iCs/>
                <w:sz w:val="24"/>
                <w:szCs w:val="24"/>
              </w:rPr>
              <w:tab/>
            </w:r>
            <w:r w:rsidR="00C806DE" w:rsidRPr="00875F19">
              <w:rPr>
                <w:rFonts w:ascii="Times New Roman" w:hAnsi="Times New Roman" w:cs="Times New Roman"/>
                <w:i/>
                <w:iCs/>
                <w:sz w:val="24"/>
                <w:szCs w:val="24"/>
              </w:rPr>
              <w:t>A. fumigatus</w:t>
            </w:r>
          </w:p>
        </w:tc>
        <w:tc>
          <w:tcPr>
            <w:tcW w:w="1667" w:type="pct"/>
            <w:tcBorders>
              <w:top w:val="single" w:sz="4" w:space="0" w:color="auto"/>
              <w:left w:val="single" w:sz="4" w:space="0" w:color="auto"/>
              <w:bottom w:val="single" w:sz="4" w:space="0" w:color="auto"/>
              <w:right w:val="single" w:sz="4" w:space="0" w:color="auto"/>
            </w:tcBorders>
            <w:hideMark/>
          </w:tcPr>
          <w:p w14:paraId="7198CE78" w14:textId="64A16DE6" w:rsidR="00C806DE" w:rsidRPr="00875F19" w:rsidRDefault="00C806DE" w:rsidP="009C0F58">
            <w:pPr>
              <w:tabs>
                <w:tab w:val="right" w:pos="2634"/>
              </w:tabs>
              <w:rPr>
                <w:rFonts w:ascii="Times New Roman" w:hAnsi="Times New Roman" w:cs="Times New Roman"/>
                <w:sz w:val="24"/>
                <w:szCs w:val="24"/>
              </w:rPr>
            </w:pPr>
            <w:r w:rsidRPr="00875F19">
              <w:rPr>
                <w:rFonts w:ascii="Times New Roman" w:hAnsi="Times New Roman" w:cs="Times New Roman"/>
                <w:sz w:val="24"/>
                <w:szCs w:val="24"/>
              </w:rPr>
              <w:t>12/29</w:t>
            </w:r>
            <w:r w:rsidR="009C0F58">
              <w:rPr>
                <w:rFonts w:ascii="Times New Roman" w:hAnsi="Times New Roman" w:cs="Times New Roman"/>
                <w:sz w:val="24"/>
                <w:szCs w:val="24"/>
              </w:rPr>
              <w:tab/>
            </w:r>
            <w:r w:rsidRPr="00875F19">
              <w:rPr>
                <w:rFonts w:ascii="Times New Roman" w:hAnsi="Times New Roman" w:cs="Times New Roman"/>
                <w:sz w:val="24"/>
                <w:szCs w:val="24"/>
              </w:rPr>
              <w:t>(41 %)</w:t>
            </w:r>
          </w:p>
        </w:tc>
        <w:tc>
          <w:tcPr>
            <w:tcW w:w="1667" w:type="pct"/>
            <w:tcBorders>
              <w:top w:val="single" w:sz="4" w:space="0" w:color="auto"/>
              <w:left w:val="single" w:sz="4" w:space="0" w:color="auto"/>
              <w:bottom w:val="single" w:sz="4" w:space="0" w:color="auto"/>
              <w:right w:val="single" w:sz="4" w:space="0" w:color="auto"/>
            </w:tcBorders>
            <w:hideMark/>
          </w:tcPr>
          <w:p w14:paraId="0E35C536" w14:textId="13B8A11A" w:rsidR="00C806DE" w:rsidRPr="00875F19" w:rsidRDefault="00C806DE" w:rsidP="009C0F58">
            <w:pPr>
              <w:tabs>
                <w:tab w:val="right" w:pos="2826"/>
              </w:tabs>
              <w:rPr>
                <w:rFonts w:ascii="Times New Roman" w:hAnsi="Times New Roman" w:cs="Times New Roman"/>
                <w:sz w:val="24"/>
                <w:szCs w:val="24"/>
              </w:rPr>
            </w:pPr>
            <w:r w:rsidRPr="00875F19">
              <w:rPr>
                <w:rFonts w:ascii="Times New Roman" w:hAnsi="Times New Roman" w:cs="Times New Roman"/>
                <w:sz w:val="24"/>
                <w:szCs w:val="24"/>
              </w:rPr>
              <w:t>12/34</w:t>
            </w:r>
            <w:r w:rsidR="00F1252E">
              <w:rPr>
                <w:rFonts w:ascii="Times New Roman" w:hAnsi="Times New Roman" w:cs="Times New Roman"/>
                <w:sz w:val="24"/>
                <w:szCs w:val="24"/>
              </w:rPr>
              <w:tab/>
            </w:r>
            <w:r w:rsidRPr="00875F19">
              <w:rPr>
                <w:rFonts w:ascii="Times New Roman" w:hAnsi="Times New Roman" w:cs="Times New Roman"/>
                <w:sz w:val="24"/>
                <w:szCs w:val="24"/>
              </w:rPr>
              <w:t>(35 %)</w:t>
            </w:r>
          </w:p>
        </w:tc>
      </w:tr>
      <w:tr w:rsidR="00C806DE" w:rsidRPr="00875F19" w14:paraId="736DEDF3"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5EFB4449" w14:textId="64CE3C6B" w:rsidR="00C806DE" w:rsidRPr="00875F19" w:rsidRDefault="00F1252E" w:rsidP="00F1252E">
            <w:pPr>
              <w:tabs>
                <w:tab w:val="left" w:pos="599"/>
              </w:tabs>
              <w:rPr>
                <w:rFonts w:ascii="Times New Roman" w:hAnsi="Times New Roman" w:cs="Times New Roman"/>
                <w:i/>
                <w:iCs/>
                <w:sz w:val="24"/>
                <w:szCs w:val="24"/>
              </w:rPr>
            </w:pPr>
            <w:r>
              <w:rPr>
                <w:rFonts w:ascii="Times New Roman" w:hAnsi="Times New Roman" w:cs="Times New Roman"/>
                <w:i/>
                <w:iCs/>
                <w:sz w:val="24"/>
                <w:szCs w:val="24"/>
              </w:rPr>
              <w:tab/>
            </w:r>
            <w:r w:rsidR="00C806DE" w:rsidRPr="00875F19">
              <w:rPr>
                <w:rFonts w:ascii="Times New Roman" w:hAnsi="Times New Roman" w:cs="Times New Roman"/>
                <w:i/>
                <w:iCs/>
                <w:sz w:val="24"/>
                <w:szCs w:val="24"/>
              </w:rPr>
              <w:t>A. flavus</w:t>
            </w:r>
          </w:p>
        </w:tc>
        <w:tc>
          <w:tcPr>
            <w:tcW w:w="1667" w:type="pct"/>
            <w:tcBorders>
              <w:top w:val="single" w:sz="4" w:space="0" w:color="auto"/>
              <w:left w:val="single" w:sz="4" w:space="0" w:color="auto"/>
              <w:bottom w:val="single" w:sz="4" w:space="0" w:color="auto"/>
              <w:right w:val="single" w:sz="4" w:space="0" w:color="auto"/>
            </w:tcBorders>
            <w:hideMark/>
          </w:tcPr>
          <w:p w14:paraId="68777C69" w14:textId="2C221108" w:rsidR="00C806DE" w:rsidRPr="00875F19" w:rsidRDefault="00C806DE" w:rsidP="009C0F58">
            <w:pPr>
              <w:tabs>
                <w:tab w:val="right" w:pos="2634"/>
              </w:tabs>
              <w:rPr>
                <w:rFonts w:ascii="Times New Roman" w:hAnsi="Times New Roman" w:cs="Times New Roman"/>
                <w:sz w:val="24"/>
                <w:szCs w:val="24"/>
              </w:rPr>
            </w:pPr>
            <w:r w:rsidRPr="00875F19">
              <w:rPr>
                <w:rFonts w:ascii="Times New Roman" w:hAnsi="Times New Roman" w:cs="Times New Roman"/>
                <w:sz w:val="24"/>
                <w:szCs w:val="24"/>
              </w:rPr>
              <w:t>10/19</w:t>
            </w:r>
            <w:r w:rsidR="009C0F58">
              <w:rPr>
                <w:rFonts w:ascii="Times New Roman" w:hAnsi="Times New Roman" w:cs="Times New Roman"/>
                <w:sz w:val="24"/>
                <w:szCs w:val="24"/>
              </w:rPr>
              <w:tab/>
            </w:r>
            <w:r w:rsidRPr="00875F19">
              <w:rPr>
                <w:rFonts w:ascii="Times New Roman" w:hAnsi="Times New Roman" w:cs="Times New Roman"/>
                <w:sz w:val="24"/>
                <w:szCs w:val="24"/>
              </w:rPr>
              <w:t>(53 %)</w:t>
            </w:r>
          </w:p>
        </w:tc>
        <w:tc>
          <w:tcPr>
            <w:tcW w:w="1667" w:type="pct"/>
            <w:tcBorders>
              <w:top w:val="single" w:sz="4" w:space="0" w:color="auto"/>
              <w:left w:val="single" w:sz="4" w:space="0" w:color="auto"/>
              <w:bottom w:val="single" w:sz="4" w:space="0" w:color="auto"/>
              <w:right w:val="single" w:sz="4" w:space="0" w:color="auto"/>
            </w:tcBorders>
            <w:hideMark/>
          </w:tcPr>
          <w:p w14:paraId="4AECA475" w14:textId="5964E21A" w:rsidR="00C806DE" w:rsidRPr="00875F19" w:rsidRDefault="00C806DE" w:rsidP="009C0F58">
            <w:pPr>
              <w:tabs>
                <w:tab w:val="right" w:pos="2826"/>
              </w:tabs>
              <w:rPr>
                <w:rFonts w:ascii="Times New Roman" w:hAnsi="Times New Roman" w:cs="Times New Roman"/>
                <w:sz w:val="24"/>
                <w:szCs w:val="24"/>
              </w:rPr>
            </w:pPr>
            <w:r w:rsidRPr="00875F19">
              <w:rPr>
                <w:rFonts w:ascii="Times New Roman" w:hAnsi="Times New Roman" w:cs="Times New Roman"/>
                <w:sz w:val="24"/>
                <w:szCs w:val="24"/>
              </w:rPr>
              <w:t>3/16</w:t>
            </w:r>
            <w:r w:rsidR="00F1252E">
              <w:rPr>
                <w:rFonts w:ascii="Times New Roman" w:hAnsi="Times New Roman" w:cs="Times New Roman"/>
                <w:sz w:val="24"/>
                <w:szCs w:val="24"/>
              </w:rPr>
              <w:tab/>
            </w:r>
            <w:r w:rsidRPr="00875F19">
              <w:rPr>
                <w:rFonts w:ascii="Times New Roman" w:hAnsi="Times New Roman" w:cs="Times New Roman"/>
                <w:sz w:val="24"/>
                <w:szCs w:val="24"/>
              </w:rPr>
              <w:t>(19 %)</w:t>
            </w:r>
          </w:p>
        </w:tc>
      </w:tr>
      <w:tr w:rsidR="00C806DE" w:rsidRPr="00875F19" w14:paraId="48666F25"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5B4E6E20" w14:textId="56F0B501" w:rsidR="00C806DE" w:rsidRPr="00875F19" w:rsidRDefault="00F1252E" w:rsidP="00F1252E">
            <w:pPr>
              <w:tabs>
                <w:tab w:val="left" w:pos="599"/>
              </w:tabs>
              <w:rPr>
                <w:rFonts w:ascii="Times New Roman" w:hAnsi="Times New Roman" w:cs="Times New Roman"/>
                <w:i/>
                <w:iCs/>
                <w:sz w:val="24"/>
                <w:szCs w:val="24"/>
              </w:rPr>
            </w:pPr>
            <w:r>
              <w:rPr>
                <w:rFonts w:ascii="Times New Roman" w:hAnsi="Times New Roman" w:cs="Times New Roman"/>
                <w:i/>
                <w:iCs/>
                <w:sz w:val="24"/>
                <w:szCs w:val="24"/>
              </w:rPr>
              <w:tab/>
            </w:r>
            <w:r w:rsidR="00C806DE" w:rsidRPr="00875F19">
              <w:rPr>
                <w:rFonts w:ascii="Times New Roman" w:hAnsi="Times New Roman" w:cs="Times New Roman"/>
                <w:i/>
                <w:iCs/>
                <w:sz w:val="24"/>
                <w:szCs w:val="24"/>
              </w:rPr>
              <w:t>A. terreus</w:t>
            </w:r>
          </w:p>
        </w:tc>
        <w:tc>
          <w:tcPr>
            <w:tcW w:w="1667" w:type="pct"/>
            <w:tcBorders>
              <w:top w:val="single" w:sz="4" w:space="0" w:color="auto"/>
              <w:left w:val="single" w:sz="4" w:space="0" w:color="auto"/>
              <w:bottom w:val="single" w:sz="4" w:space="0" w:color="auto"/>
              <w:right w:val="single" w:sz="4" w:space="0" w:color="auto"/>
            </w:tcBorders>
            <w:hideMark/>
          </w:tcPr>
          <w:p w14:paraId="6AE39C5C" w14:textId="31340160" w:rsidR="00C806DE" w:rsidRPr="00875F19" w:rsidRDefault="00C806DE" w:rsidP="009C0F58">
            <w:pPr>
              <w:tabs>
                <w:tab w:val="right" w:pos="2634"/>
              </w:tabs>
              <w:rPr>
                <w:rFonts w:ascii="Times New Roman" w:hAnsi="Times New Roman" w:cs="Times New Roman"/>
                <w:sz w:val="24"/>
                <w:szCs w:val="24"/>
              </w:rPr>
            </w:pPr>
            <w:r w:rsidRPr="00875F19">
              <w:rPr>
                <w:rFonts w:ascii="Times New Roman" w:hAnsi="Times New Roman" w:cs="Times New Roman"/>
                <w:sz w:val="24"/>
                <w:szCs w:val="24"/>
              </w:rPr>
              <w:t>4/14</w:t>
            </w:r>
            <w:r w:rsidR="009C0F58">
              <w:rPr>
                <w:rFonts w:ascii="Times New Roman" w:hAnsi="Times New Roman" w:cs="Times New Roman"/>
                <w:sz w:val="24"/>
                <w:szCs w:val="24"/>
              </w:rPr>
              <w:tab/>
            </w:r>
            <w:r w:rsidRPr="00875F19">
              <w:rPr>
                <w:rFonts w:ascii="Times New Roman" w:hAnsi="Times New Roman" w:cs="Times New Roman"/>
                <w:sz w:val="24"/>
                <w:szCs w:val="24"/>
              </w:rPr>
              <w:t>(29 %)</w:t>
            </w:r>
          </w:p>
        </w:tc>
        <w:tc>
          <w:tcPr>
            <w:tcW w:w="1667" w:type="pct"/>
            <w:tcBorders>
              <w:top w:val="single" w:sz="4" w:space="0" w:color="auto"/>
              <w:left w:val="single" w:sz="4" w:space="0" w:color="auto"/>
              <w:bottom w:val="single" w:sz="4" w:space="0" w:color="auto"/>
              <w:right w:val="single" w:sz="4" w:space="0" w:color="auto"/>
            </w:tcBorders>
            <w:hideMark/>
          </w:tcPr>
          <w:p w14:paraId="38F2745A" w14:textId="414DD6F9" w:rsidR="00C806DE" w:rsidRPr="00875F19" w:rsidRDefault="00C806DE" w:rsidP="009C0F58">
            <w:pPr>
              <w:tabs>
                <w:tab w:val="right" w:pos="2826"/>
              </w:tabs>
              <w:rPr>
                <w:rFonts w:ascii="Times New Roman" w:hAnsi="Times New Roman" w:cs="Times New Roman"/>
                <w:sz w:val="24"/>
                <w:szCs w:val="24"/>
              </w:rPr>
            </w:pPr>
            <w:r w:rsidRPr="00875F19">
              <w:rPr>
                <w:rFonts w:ascii="Times New Roman" w:hAnsi="Times New Roman" w:cs="Times New Roman"/>
                <w:sz w:val="24"/>
                <w:szCs w:val="24"/>
              </w:rPr>
              <w:t>2/13</w:t>
            </w:r>
            <w:r w:rsidR="00F1252E">
              <w:rPr>
                <w:rFonts w:ascii="Times New Roman" w:hAnsi="Times New Roman" w:cs="Times New Roman"/>
                <w:sz w:val="24"/>
                <w:szCs w:val="24"/>
              </w:rPr>
              <w:tab/>
            </w:r>
            <w:r w:rsidRPr="00875F19">
              <w:rPr>
                <w:rFonts w:ascii="Times New Roman" w:hAnsi="Times New Roman" w:cs="Times New Roman"/>
                <w:sz w:val="24"/>
                <w:szCs w:val="24"/>
              </w:rPr>
              <w:t>(15 %)</w:t>
            </w:r>
          </w:p>
        </w:tc>
      </w:tr>
      <w:tr w:rsidR="00C806DE" w:rsidRPr="00875F19" w14:paraId="756B9775"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1CC2BF1A" w14:textId="6B5CC2EC" w:rsidR="00C806DE" w:rsidRPr="00875F19" w:rsidRDefault="00F1252E" w:rsidP="00F1252E">
            <w:pPr>
              <w:tabs>
                <w:tab w:val="left" w:pos="599"/>
              </w:tabs>
              <w:rPr>
                <w:rFonts w:ascii="Times New Roman" w:hAnsi="Times New Roman" w:cs="Times New Roman"/>
                <w:i/>
                <w:iCs/>
                <w:sz w:val="24"/>
                <w:szCs w:val="24"/>
              </w:rPr>
            </w:pPr>
            <w:r>
              <w:rPr>
                <w:rFonts w:ascii="Times New Roman" w:hAnsi="Times New Roman" w:cs="Times New Roman"/>
                <w:i/>
                <w:iCs/>
                <w:sz w:val="24"/>
                <w:szCs w:val="24"/>
              </w:rPr>
              <w:tab/>
            </w:r>
            <w:r w:rsidR="00C806DE" w:rsidRPr="00875F19">
              <w:rPr>
                <w:rFonts w:ascii="Times New Roman" w:hAnsi="Times New Roman" w:cs="Times New Roman"/>
                <w:i/>
                <w:iCs/>
                <w:sz w:val="24"/>
                <w:szCs w:val="24"/>
              </w:rPr>
              <w:t>A. niger</w:t>
            </w:r>
          </w:p>
        </w:tc>
        <w:tc>
          <w:tcPr>
            <w:tcW w:w="1667" w:type="pct"/>
            <w:tcBorders>
              <w:top w:val="single" w:sz="4" w:space="0" w:color="auto"/>
              <w:left w:val="single" w:sz="4" w:space="0" w:color="auto"/>
              <w:bottom w:val="single" w:sz="4" w:space="0" w:color="auto"/>
              <w:right w:val="single" w:sz="4" w:space="0" w:color="auto"/>
            </w:tcBorders>
            <w:hideMark/>
          </w:tcPr>
          <w:p w14:paraId="762A080E" w14:textId="010E55C5" w:rsidR="00C806DE" w:rsidRPr="00875F19" w:rsidRDefault="00C806DE" w:rsidP="009C0F58">
            <w:pPr>
              <w:tabs>
                <w:tab w:val="right" w:pos="2634"/>
              </w:tabs>
              <w:rPr>
                <w:rFonts w:ascii="Times New Roman" w:hAnsi="Times New Roman" w:cs="Times New Roman"/>
                <w:sz w:val="24"/>
                <w:szCs w:val="24"/>
              </w:rPr>
            </w:pPr>
            <w:r w:rsidRPr="00875F19">
              <w:rPr>
                <w:rFonts w:ascii="Times New Roman" w:hAnsi="Times New Roman" w:cs="Times New Roman"/>
                <w:sz w:val="24"/>
                <w:szCs w:val="24"/>
              </w:rPr>
              <w:t>3/5</w:t>
            </w:r>
            <w:r w:rsidR="009C0F58">
              <w:rPr>
                <w:rFonts w:ascii="Times New Roman" w:hAnsi="Times New Roman" w:cs="Times New Roman"/>
                <w:sz w:val="24"/>
                <w:szCs w:val="24"/>
              </w:rPr>
              <w:tab/>
            </w:r>
            <w:r w:rsidRPr="00875F19">
              <w:rPr>
                <w:rFonts w:ascii="Times New Roman" w:hAnsi="Times New Roman" w:cs="Times New Roman"/>
                <w:sz w:val="24"/>
                <w:szCs w:val="24"/>
              </w:rPr>
              <w:t>(60 %)</w:t>
            </w:r>
          </w:p>
        </w:tc>
        <w:tc>
          <w:tcPr>
            <w:tcW w:w="1667" w:type="pct"/>
            <w:tcBorders>
              <w:top w:val="single" w:sz="4" w:space="0" w:color="auto"/>
              <w:left w:val="single" w:sz="4" w:space="0" w:color="auto"/>
              <w:bottom w:val="single" w:sz="4" w:space="0" w:color="auto"/>
              <w:right w:val="single" w:sz="4" w:space="0" w:color="auto"/>
            </w:tcBorders>
            <w:hideMark/>
          </w:tcPr>
          <w:p w14:paraId="45840975" w14:textId="1BAE0DF6" w:rsidR="00C806DE" w:rsidRPr="00875F19" w:rsidRDefault="00C806DE" w:rsidP="009C0F58">
            <w:pPr>
              <w:tabs>
                <w:tab w:val="right" w:pos="2826"/>
              </w:tabs>
              <w:rPr>
                <w:rFonts w:ascii="Times New Roman" w:hAnsi="Times New Roman" w:cs="Times New Roman"/>
                <w:sz w:val="24"/>
                <w:szCs w:val="24"/>
              </w:rPr>
            </w:pPr>
            <w:r w:rsidRPr="00875F19">
              <w:rPr>
                <w:rFonts w:ascii="Times New Roman" w:hAnsi="Times New Roman" w:cs="Times New Roman"/>
                <w:sz w:val="24"/>
                <w:szCs w:val="24"/>
              </w:rPr>
              <w:t>2/7</w:t>
            </w:r>
            <w:r w:rsidR="00F1252E">
              <w:rPr>
                <w:rFonts w:ascii="Times New Roman" w:hAnsi="Times New Roman" w:cs="Times New Roman"/>
                <w:sz w:val="24"/>
                <w:szCs w:val="24"/>
              </w:rPr>
              <w:tab/>
            </w:r>
            <w:r w:rsidRPr="00875F19">
              <w:rPr>
                <w:rFonts w:ascii="Times New Roman" w:hAnsi="Times New Roman" w:cs="Times New Roman"/>
                <w:sz w:val="24"/>
                <w:szCs w:val="24"/>
              </w:rPr>
              <w:t>(29 %)</w:t>
            </w:r>
          </w:p>
        </w:tc>
      </w:tr>
    </w:tbl>
    <w:p w14:paraId="3B9E480F" w14:textId="77777777" w:rsidR="00C806DE" w:rsidRPr="00875F19" w:rsidRDefault="00C806DE" w:rsidP="00C806DE">
      <w:pPr>
        <w:rPr>
          <w:kern w:val="2"/>
          <w:sz w:val="24"/>
          <w:szCs w:val="24"/>
          <w:lang w:val="en-IN"/>
          <w14:ligatures w14:val="standardContextual"/>
        </w:rPr>
      </w:pPr>
    </w:p>
    <w:p w14:paraId="423F384C" w14:textId="77777777" w:rsidR="00C806DE" w:rsidRPr="00212416" w:rsidRDefault="00C806DE" w:rsidP="00507609">
      <w:pPr>
        <w:ind w:left="851"/>
        <w:rPr>
          <w:i/>
          <w:sz w:val="24"/>
          <w:szCs w:val="24"/>
        </w:rPr>
      </w:pPr>
      <w:r w:rsidRPr="00212416">
        <w:rPr>
          <w:i/>
          <w:sz w:val="24"/>
          <w:szCs w:val="24"/>
        </w:rPr>
        <w:t xml:space="preserve">Fusarium-arter </w:t>
      </w:r>
    </w:p>
    <w:p w14:paraId="0E5F9514" w14:textId="77777777" w:rsidR="00C806DE" w:rsidRPr="00875F19" w:rsidRDefault="00C806DE" w:rsidP="00507609">
      <w:pPr>
        <w:ind w:left="851"/>
        <w:rPr>
          <w:sz w:val="24"/>
          <w:szCs w:val="24"/>
        </w:rPr>
      </w:pPr>
      <w:r w:rsidRPr="00875F19">
        <w:rPr>
          <w:sz w:val="24"/>
          <w:szCs w:val="24"/>
        </w:rPr>
        <w:t>11 ud af 24 patienter med påvist eller sandsynlig fusariose blev tilfredsstillende behandlet med posaconazol oral suspension 800 mg dagligt fordelt på flere doser i op til 212 dage med en median på 124 dage. Blandt 18 patienter, som ikke tålte eller havde infektioner, der var refraktære over for amphotericin B eller itraconazol, blev 7 patienter klassificeret som havende respons (responders).</w:t>
      </w:r>
    </w:p>
    <w:p w14:paraId="03E6CF1A" w14:textId="77777777" w:rsidR="00C806DE" w:rsidRPr="00875F19" w:rsidRDefault="00C806DE" w:rsidP="00507609">
      <w:pPr>
        <w:ind w:left="851"/>
        <w:rPr>
          <w:sz w:val="24"/>
          <w:szCs w:val="24"/>
        </w:rPr>
      </w:pPr>
    </w:p>
    <w:p w14:paraId="48A3B9B7" w14:textId="77777777" w:rsidR="00C806DE" w:rsidRPr="00212416" w:rsidRDefault="00C806DE" w:rsidP="00507609">
      <w:pPr>
        <w:ind w:left="851"/>
        <w:rPr>
          <w:i/>
          <w:sz w:val="24"/>
          <w:szCs w:val="24"/>
        </w:rPr>
      </w:pPr>
      <w:r w:rsidRPr="00212416">
        <w:rPr>
          <w:i/>
          <w:sz w:val="24"/>
          <w:szCs w:val="24"/>
        </w:rPr>
        <w:t xml:space="preserve">Chromoblastomykose/mycetoma </w:t>
      </w:r>
    </w:p>
    <w:p w14:paraId="4C186DD5" w14:textId="6C3EA93A" w:rsidR="00C806DE" w:rsidRPr="00875F19" w:rsidRDefault="00C806DE" w:rsidP="00507609">
      <w:pPr>
        <w:ind w:left="851"/>
        <w:rPr>
          <w:sz w:val="24"/>
          <w:szCs w:val="24"/>
        </w:rPr>
      </w:pPr>
      <w:r w:rsidRPr="00875F19">
        <w:rPr>
          <w:sz w:val="24"/>
          <w:szCs w:val="24"/>
        </w:rPr>
        <w:t>9 ud af 11 patienter blev tilfredsstillende behandlet med posaconazol oral suspension 800</w:t>
      </w:r>
      <w:r w:rsidR="005624FB">
        <w:rPr>
          <w:sz w:val="24"/>
          <w:szCs w:val="24"/>
        </w:rPr>
        <w:t> </w:t>
      </w:r>
      <w:r w:rsidRPr="00875F19">
        <w:rPr>
          <w:sz w:val="24"/>
          <w:szCs w:val="24"/>
        </w:rPr>
        <w:t>mg dagligt fordelt på flere doser i op til 377 dage med en median på 268 dage. 5 af disse patienter havde chromoblastomykose forårsaget af Fonsecaea pedrosoi og 4 havde mycetoma, hovedsagelig forårsaget af Madurella-arter.</w:t>
      </w:r>
    </w:p>
    <w:p w14:paraId="603A61BD" w14:textId="77777777" w:rsidR="00C806DE" w:rsidRPr="00875F19" w:rsidRDefault="00C806DE" w:rsidP="00507609">
      <w:pPr>
        <w:ind w:left="851"/>
        <w:rPr>
          <w:sz w:val="24"/>
          <w:szCs w:val="24"/>
        </w:rPr>
      </w:pPr>
    </w:p>
    <w:p w14:paraId="3AC475F0" w14:textId="77777777" w:rsidR="00C806DE" w:rsidRPr="00212416" w:rsidRDefault="00C806DE" w:rsidP="00507609">
      <w:pPr>
        <w:ind w:left="851"/>
        <w:rPr>
          <w:i/>
          <w:sz w:val="24"/>
          <w:szCs w:val="24"/>
          <w:lang w:val="nl-NL"/>
        </w:rPr>
      </w:pPr>
      <w:r w:rsidRPr="00212416">
        <w:rPr>
          <w:i/>
          <w:sz w:val="24"/>
          <w:szCs w:val="24"/>
          <w:lang w:val="nl-NL"/>
        </w:rPr>
        <w:t xml:space="preserve">Coccidioidomykose </w:t>
      </w:r>
    </w:p>
    <w:p w14:paraId="1DED4FB5" w14:textId="77777777" w:rsidR="00C806DE" w:rsidRPr="00875F19" w:rsidRDefault="00C806DE" w:rsidP="00507609">
      <w:pPr>
        <w:ind w:left="851"/>
        <w:rPr>
          <w:sz w:val="24"/>
          <w:szCs w:val="24"/>
          <w:lang w:val="nl-NL"/>
        </w:rPr>
      </w:pPr>
      <w:r w:rsidRPr="00875F19">
        <w:rPr>
          <w:sz w:val="24"/>
          <w:szCs w:val="24"/>
          <w:lang w:val="nl-NL"/>
        </w:rPr>
        <w:t xml:space="preserve">11 ud af 16 patienter blev tilfredsstillende behandlet (efter endt behandling fuldstændig eller delvis bedring af alle tegn og symptomer på infektion, der var til stede ved </w:t>
      </w:r>
      <w:r w:rsidRPr="00875F19">
        <w:rPr>
          <w:sz w:val="24"/>
          <w:szCs w:val="24"/>
          <w:lang w:val="nl-NL"/>
        </w:rPr>
        <w:lastRenderedPageBreak/>
        <w:t>behandlingsstart (baseline)) med posaconazol oral suspension 800 mg dagligt fordelt på flere doser i op til 460 dage med en median på 296 dage.</w:t>
      </w:r>
    </w:p>
    <w:p w14:paraId="34178C3A" w14:textId="77777777" w:rsidR="00C806DE" w:rsidRPr="00875F19" w:rsidRDefault="00C806DE" w:rsidP="00507609">
      <w:pPr>
        <w:ind w:left="851"/>
        <w:rPr>
          <w:sz w:val="24"/>
          <w:szCs w:val="24"/>
          <w:lang w:val="nl-NL"/>
        </w:rPr>
      </w:pPr>
    </w:p>
    <w:p w14:paraId="066B4CC3" w14:textId="77777777" w:rsidR="00C806DE" w:rsidRPr="00212416" w:rsidRDefault="00C806DE" w:rsidP="00507609">
      <w:pPr>
        <w:ind w:left="851"/>
        <w:rPr>
          <w:i/>
          <w:sz w:val="24"/>
          <w:szCs w:val="24"/>
          <w:lang w:val="nl-NL"/>
        </w:rPr>
      </w:pPr>
      <w:r w:rsidRPr="00212416">
        <w:rPr>
          <w:i/>
          <w:sz w:val="24"/>
          <w:szCs w:val="24"/>
          <w:lang w:val="nl-NL"/>
        </w:rPr>
        <w:t xml:space="preserve">Forebyggelse af invasive svampeinfektioner (IFI’er) (studie 316 og 1899) </w:t>
      </w:r>
    </w:p>
    <w:p w14:paraId="5D6C9773" w14:textId="77777777" w:rsidR="00C806DE" w:rsidRPr="00875F19" w:rsidRDefault="00C806DE" w:rsidP="00507609">
      <w:pPr>
        <w:ind w:left="851"/>
        <w:rPr>
          <w:sz w:val="24"/>
          <w:szCs w:val="24"/>
          <w:lang w:val="nl-NL"/>
        </w:rPr>
      </w:pPr>
      <w:r w:rsidRPr="00875F19">
        <w:rPr>
          <w:sz w:val="24"/>
          <w:szCs w:val="24"/>
          <w:lang w:val="nl-NL"/>
        </w:rPr>
        <w:t>To randomiserede, kontrollerede forebyggelsesstudier blev udført blandt patienter med høj risiko for at udvikle invasive svampeinfektioner.</w:t>
      </w:r>
    </w:p>
    <w:p w14:paraId="29FB02FA" w14:textId="77777777" w:rsidR="00C806DE" w:rsidRPr="00875F19" w:rsidRDefault="00C806DE" w:rsidP="00507609">
      <w:pPr>
        <w:ind w:left="851"/>
        <w:rPr>
          <w:sz w:val="24"/>
          <w:szCs w:val="24"/>
          <w:lang w:val="nl-NL"/>
        </w:rPr>
      </w:pPr>
    </w:p>
    <w:p w14:paraId="1DADEF63" w14:textId="77777777" w:rsidR="00C806DE" w:rsidRPr="00875F19" w:rsidRDefault="00C806DE" w:rsidP="00507609">
      <w:pPr>
        <w:ind w:left="851"/>
        <w:rPr>
          <w:sz w:val="24"/>
          <w:szCs w:val="24"/>
          <w:lang w:val="nl-NL"/>
        </w:rPr>
      </w:pPr>
      <w:r w:rsidRPr="00875F19">
        <w:rPr>
          <w:sz w:val="24"/>
          <w:szCs w:val="24"/>
          <w:lang w:val="nl-NL"/>
        </w:rPr>
        <w:t>Studie 316 var et randomiseret, dobbeltblindet studie af posaconazol oral suspension (200 mg tre gange dagligt) versus fluconazolkapsler (400 mg en gang dagligt) til patienter med graft versus host-sygdom (GVHD), der havde gennemgået allogen HSCT. Det primære virkningsendepunkt var forekomst af verificeret/sandsynlig IFI 16 uger efter randomisering bestemt af et uafhængigt, blindet eksternt ekspertpanel. Et centralt sekundært endepunkt var forekomst af verificeret/sandsynlig IFI i on-treatment perioden (fra første til sidste dosis studiemedicin + 7 dage). Størstedelen (377/600, [63 %]) af de inkluderede patienter havde akut GVHD af grad 2 eller 3 eller kronisk ekstensiv GVHD (195/600, [32,5 %]) ved studiestart. Den gennemsnitlige behandlingsvarighedvar 80 dage for posaconazol og 77 dage for fluconazol.</w:t>
      </w:r>
    </w:p>
    <w:p w14:paraId="34C57624" w14:textId="77777777" w:rsidR="00C806DE" w:rsidRPr="00875F19" w:rsidRDefault="00C806DE" w:rsidP="00507609">
      <w:pPr>
        <w:ind w:left="851"/>
        <w:rPr>
          <w:sz w:val="24"/>
          <w:szCs w:val="24"/>
          <w:lang w:val="nl-NL"/>
        </w:rPr>
      </w:pPr>
    </w:p>
    <w:p w14:paraId="1652205E" w14:textId="77777777" w:rsidR="00C806DE" w:rsidRPr="00875F19" w:rsidRDefault="00C806DE" w:rsidP="00507609">
      <w:pPr>
        <w:ind w:left="851"/>
        <w:rPr>
          <w:sz w:val="24"/>
          <w:szCs w:val="24"/>
          <w:lang w:val="nl-NL"/>
        </w:rPr>
      </w:pPr>
      <w:r w:rsidRPr="00875F19">
        <w:rPr>
          <w:sz w:val="24"/>
          <w:szCs w:val="24"/>
          <w:lang w:val="nl-NL"/>
        </w:rPr>
        <w:t>Studie 1899 var et randomiseret, evaluator-blindet studie af posaconazol oral suspension (200 mg tre gange dagligt) versus fluconazol suspension (400 mg en gang dagligt) eller itraconazol oral opløsning (200 mg to gange dagligt) hos patienter med neutropeni, der fik cytotoksisk kemoterapi for akut myeloid leukemi eller myelodysplastisk syndrom. Det primære virkningsendepunkt var forekomst af verificeret/sandsynlig IFI bestemt af et uafhængigt, blindet eksternt ekspertpanel i on-treatment perioden. Et centralt sekundært endepunkt var forekomst af verificeret/sandsynlig IFI 100 dage efter randomisering. Nydiagnosticeret AML var den hyppigste underliggende sygdom (435/602, [72 %]). Den gennemsnitlige behandlingsvarighed var 29 dage for posaconazol og 25 dage for fluconazol/itraconazol.</w:t>
      </w:r>
    </w:p>
    <w:p w14:paraId="67B06F18" w14:textId="77777777" w:rsidR="00C806DE" w:rsidRPr="00875F19" w:rsidRDefault="00C806DE" w:rsidP="00507609">
      <w:pPr>
        <w:ind w:left="851"/>
        <w:rPr>
          <w:sz w:val="24"/>
          <w:szCs w:val="24"/>
          <w:lang w:val="nl-NL"/>
        </w:rPr>
      </w:pPr>
    </w:p>
    <w:p w14:paraId="76A2C75A" w14:textId="77777777" w:rsidR="00C806DE" w:rsidRPr="00875F19" w:rsidRDefault="00C806DE" w:rsidP="00507609">
      <w:pPr>
        <w:ind w:left="851"/>
        <w:rPr>
          <w:sz w:val="24"/>
          <w:szCs w:val="24"/>
          <w:lang w:val="nl-NL"/>
        </w:rPr>
      </w:pPr>
      <w:r w:rsidRPr="00875F19">
        <w:rPr>
          <w:sz w:val="24"/>
          <w:szCs w:val="24"/>
          <w:lang w:val="nl-NL"/>
        </w:rPr>
        <w:t>I begge de profylaktiske studier var udbrud af aspergillose den hyppigste infektion. Se tabel 6 og 7 for resultater fra begge studier. Der var færre udbrud af Aspergillus-infektion hos patienter, der fik posaconazol forebyggende, sammenlignet med patienter i kontrolgruppen.</w:t>
      </w:r>
    </w:p>
    <w:p w14:paraId="5DC6CD84" w14:textId="77777777" w:rsidR="00C806DE" w:rsidRPr="00875F19" w:rsidRDefault="00C806DE" w:rsidP="00507609">
      <w:pPr>
        <w:ind w:left="851"/>
        <w:rPr>
          <w:sz w:val="24"/>
          <w:szCs w:val="24"/>
          <w:lang w:val="nl-NL"/>
        </w:rPr>
      </w:pPr>
    </w:p>
    <w:p w14:paraId="2EC72AAE" w14:textId="77777777" w:rsidR="00C806DE" w:rsidRPr="00875F19" w:rsidRDefault="00C806DE" w:rsidP="00C806DE">
      <w:pPr>
        <w:rPr>
          <w:sz w:val="24"/>
          <w:szCs w:val="24"/>
        </w:rPr>
      </w:pPr>
      <w:r w:rsidRPr="00875F19">
        <w:rPr>
          <w:b/>
          <w:bCs/>
          <w:sz w:val="24"/>
          <w:szCs w:val="24"/>
        </w:rPr>
        <w:t>Tabel 6.</w:t>
      </w:r>
      <w:r w:rsidRPr="00875F19">
        <w:rPr>
          <w:sz w:val="24"/>
          <w:szCs w:val="24"/>
        </w:rPr>
        <w:t xml:space="preserve"> Resultater fra kliniske studier til forebyggelse af invasive svampeinfektioner</w:t>
      </w:r>
    </w:p>
    <w:p w14:paraId="29BD1401" w14:textId="77777777" w:rsidR="00C806DE" w:rsidRPr="00875F19" w:rsidRDefault="00C806DE" w:rsidP="00C806DE">
      <w:pPr>
        <w:rPr>
          <w:sz w:val="24"/>
          <w:szCs w:val="24"/>
        </w:rPr>
      </w:pPr>
    </w:p>
    <w:tbl>
      <w:tblPr>
        <w:tblStyle w:val="Tabel-Gitter"/>
        <w:tblW w:w="5000" w:type="pct"/>
        <w:tblInd w:w="0" w:type="dxa"/>
        <w:tblLook w:val="04A0" w:firstRow="1" w:lastRow="0" w:firstColumn="1" w:lastColumn="0" w:noHBand="0" w:noVBand="1"/>
      </w:tblPr>
      <w:tblGrid>
        <w:gridCol w:w="2407"/>
        <w:gridCol w:w="2407"/>
        <w:gridCol w:w="2407"/>
        <w:gridCol w:w="2407"/>
      </w:tblGrid>
      <w:tr w:rsidR="00C806DE" w:rsidRPr="00212416" w14:paraId="1FAFB6D1" w14:textId="77777777" w:rsidTr="00507609">
        <w:tc>
          <w:tcPr>
            <w:tcW w:w="1250" w:type="pct"/>
            <w:tcBorders>
              <w:top w:val="single" w:sz="4" w:space="0" w:color="auto"/>
              <w:left w:val="single" w:sz="4" w:space="0" w:color="auto"/>
              <w:bottom w:val="single" w:sz="4" w:space="0" w:color="auto"/>
              <w:right w:val="single" w:sz="4" w:space="0" w:color="auto"/>
            </w:tcBorders>
            <w:hideMark/>
          </w:tcPr>
          <w:p w14:paraId="55B52615" w14:textId="77777777" w:rsidR="00C806DE" w:rsidRPr="00212416" w:rsidRDefault="00C806DE">
            <w:pPr>
              <w:rPr>
                <w:rFonts w:ascii="Times New Roman" w:hAnsi="Times New Roman" w:cs="Times New Roman"/>
                <w:b/>
                <w:bCs/>
                <w:sz w:val="22"/>
              </w:rPr>
            </w:pPr>
            <w:r w:rsidRPr="00212416">
              <w:rPr>
                <w:rFonts w:ascii="Times New Roman" w:hAnsi="Times New Roman" w:cs="Times New Roman"/>
                <w:b/>
                <w:bCs/>
                <w:sz w:val="22"/>
              </w:rPr>
              <w:t>Studie</w:t>
            </w:r>
          </w:p>
        </w:tc>
        <w:tc>
          <w:tcPr>
            <w:tcW w:w="1250" w:type="pct"/>
            <w:tcBorders>
              <w:top w:val="single" w:sz="4" w:space="0" w:color="auto"/>
              <w:left w:val="single" w:sz="4" w:space="0" w:color="auto"/>
              <w:bottom w:val="single" w:sz="4" w:space="0" w:color="auto"/>
              <w:right w:val="single" w:sz="4" w:space="0" w:color="auto"/>
            </w:tcBorders>
            <w:hideMark/>
          </w:tcPr>
          <w:p w14:paraId="2182C48E" w14:textId="77777777" w:rsidR="00C806DE" w:rsidRPr="00212416" w:rsidRDefault="00C806DE">
            <w:pPr>
              <w:rPr>
                <w:rFonts w:ascii="Times New Roman" w:hAnsi="Times New Roman" w:cs="Times New Roman"/>
                <w:b/>
                <w:bCs/>
                <w:sz w:val="22"/>
              </w:rPr>
            </w:pPr>
            <w:r w:rsidRPr="00212416">
              <w:rPr>
                <w:rFonts w:ascii="Times New Roman" w:hAnsi="Times New Roman" w:cs="Times New Roman"/>
                <w:b/>
                <w:bCs/>
                <w:sz w:val="22"/>
              </w:rPr>
              <w:t>Posaconazol oral suspension</w:t>
            </w:r>
          </w:p>
        </w:tc>
        <w:tc>
          <w:tcPr>
            <w:tcW w:w="1250" w:type="pct"/>
            <w:tcBorders>
              <w:top w:val="single" w:sz="4" w:space="0" w:color="auto"/>
              <w:left w:val="single" w:sz="4" w:space="0" w:color="auto"/>
              <w:bottom w:val="single" w:sz="4" w:space="0" w:color="auto"/>
              <w:right w:val="single" w:sz="4" w:space="0" w:color="auto"/>
            </w:tcBorders>
            <w:hideMark/>
          </w:tcPr>
          <w:p w14:paraId="30BB35A8" w14:textId="77777777" w:rsidR="00C806DE" w:rsidRPr="00212416" w:rsidRDefault="00C806DE">
            <w:pPr>
              <w:rPr>
                <w:rFonts w:ascii="Times New Roman" w:hAnsi="Times New Roman" w:cs="Times New Roman"/>
                <w:b/>
                <w:bCs/>
                <w:sz w:val="22"/>
              </w:rPr>
            </w:pPr>
            <w:r w:rsidRPr="00212416">
              <w:rPr>
                <w:rFonts w:ascii="Times New Roman" w:hAnsi="Times New Roman" w:cs="Times New Roman"/>
                <w:b/>
                <w:bCs/>
                <w:sz w:val="22"/>
              </w:rPr>
              <w:t>Kontrol</w:t>
            </w:r>
            <w:r w:rsidRPr="00212416">
              <w:rPr>
                <w:rFonts w:ascii="Times New Roman" w:hAnsi="Times New Roman" w:cs="Times New Roman"/>
                <w:b/>
                <w:bCs/>
                <w:sz w:val="22"/>
                <w:vertAlign w:val="superscript"/>
              </w:rPr>
              <w:t>a</w:t>
            </w:r>
          </w:p>
        </w:tc>
        <w:tc>
          <w:tcPr>
            <w:tcW w:w="1250" w:type="pct"/>
            <w:tcBorders>
              <w:top w:val="single" w:sz="4" w:space="0" w:color="auto"/>
              <w:left w:val="single" w:sz="4" w:space="0" w:color="auto"/>
              <w:bottom w:val="single" w:sz="4" w:space="0" w:color="auto"/>
              <w:right w:val="single" w:sz="4" w:space="0" w:color="auto"/>
            </w:tcBorders>
            <w:hideMark/>
          </w:tcPr>
          <w:p w14:paraId="19063F1B" w14:textId="77777777" w:rsidR="00C806DE" w:rsidRPr="00212416" w:rsidRDefault="00C806DE">
            <w:pPr>
              <w:rPr>
                <w:rFonts w:ascii="Times New Roman" w:hAnsi="Times New Roman" w:cs="Times New Roman"/>
                <w:b/>
                <w:bCs/>
                <w:sz w:val="22"/>
              </w:rPr>
            </w:pPr>
            <w:r w:rsidRPr="00212416">
              <w:rPr>
                <w:rFonts w:ascii="Times New Roman" w:hAnsi="Times New Roman" w:cs="Times New Roman"/>
                <w:b/>
                <w:bCs/>
                <w:sz w:val="22"/>
              </w:rPr>
              <w:t>P-værdi</w:t>
            </w:r>
          </w:p>
        </w:tc>
      </w:tr>
      <w:tr w:rsidR="00C806DE" w:rsidRPr="00212416" w14:paraId="6A5F333B" w14:textId="77777777" w:rsidTr="00507609">
        <w:tc>
          <w:tcPr>
            <w:tcW w:w="5000" w:type="pct"/>
            <w:gridSpan w:val="4"/>
            <w:tcBorders>
              <w:top w:val="single" w:sz="4" w:space="0" w:color="auto"/>
              <w:left w:val="single" w:sz="4" w:space="0" w:color="auto"/>
              <w:bottom w:val="single" w:sz="4" w:space="0" w:color="auto"/>
              <w:right w:val="single" w:sz="4" w:space="0" w:color="auto"/>
            </w:tcBorders>
            <w:hideMark/>
          </w:tcPr>
          <w:p w14:paraId="330538C2" w14:textId="77777777" w:rsidR="00C806DE" w:rsidRPr="00212416" w:rsidRDefault="00C806DE">
            <w:pPr>
              <w:jc w:val="center"/>
              <w:rPr>
                <w:rFonts w:ascii="Times New Roman" w:hAnsi="Times New Roman" w:cs="Times New Roman"/>
                <w:b/>
                <w:bCs/>
                <w:sz w:val="22"/>
                <w:lang w:val="da-DK"/>
              </w:rPr>
            </w:pPr>
            <w:r w:rsidRPr="00212416">
              <w:rPr>
                <w:rFonts w:ascii="Times New Roman" w:hAnsi="Times New Roman" w:cs="Times New Roman"/>
                <w:b/>
                <w:bCs/>
                <w:sz w:val="22"/>
                <w:lang w:val="da-DK"/>
              </w:rPr>
              <w:t>Andel af patienter (%) med verificeret/sandsynlig IFI</w:t>
            </w:r>
          </w:p>
        </w:tc>
      </w:tr>
      <w:tr w:rsidR="00C806DE" w:rsidRPr="00212416" w14:paraId="06C9AE67" w14:textId="77777777" w:rsidTr="00507609">
        <w:tc>
          <w:tcPr>
            <w:tcW w:w="5000" w:type="pct"/>
            <w:gridSpan w:val="4"/>
            <w:tcBorders>
              <w:top w:val="single" w:sz="4" w:space="0" w:color="auto"/>
              <w:left w:val="single" w:sz="4" w:space="0" w:color="auto"/>
              <w:bottom w:val="single" w:sz="4" w:space="0" w:color="auto"/>
              <w:right w:val="single" w:sz="4" w:space="0" w:color="auto"/>
            </w:tcBorders>
            <w:hideMark/>
          </w:tcPr>
          <w:p w14:paraId="613D4695" w14:textId="77777777" w:rsidR="00C806DE" w:rsidRPr="00212416" w:rsidRDefault="00C806DE">
            <w:pPr>
              <w:jc w:val="center"/>
              <w:rPr>
                <w:rFonts w:ascii="Times New Roman" w:hAnsi="Times New Roman" w:cs="Times New Roman"/>
                <w:b/>
                <w:bCs/>
                <w:sz w:val="22"/>
              </w:rPr>
            </w:pPr>
            <w:r w:rsidRPr="00212416">
              <w:rPr>
                <w:rFonts w:ascii="Times New Roman" w:hAnsi="Times New Roman" w:cs="Times New Roman"/>
                <w:b/>
                <w:bCs/>
                <w:sz w:val="22"/>
              </w:rPr>
              <w:t>On-treatment periode</w:t>
            </w:r>
            <w:r w:rsidRPr="00212416">
              <w:rPr>
                <w:rFonts w:ascii="Times New Roman" w:hAnsi="Times New Roman" w:cs="Times New Roman"/>
                <w:b/>
                <w:bCs/>
                <w:sz w:val="22"/>
                <w:vertAlign w:val="superscript"/>
              </w:rPr>
              <w:t>b</w:t>
            </w:r>
          </w:p>
        </w:tc>
      </w:tr>
      <w:tr w:rsidR="00C806DE" w:rsidRPr="00212416" w14:paraId="44D23CE1" w14:textId="77777777" w:rsidTr="00507609">
        <w:tc>
          <w:tcPr>
            <w:tcW w:w="1250" w:type="pct"/>
            <w:tcBorders>
              <w:top w:val="single" w:sz="4" w:space="0" w:color="auto"/>
              <w:left w:val="single" w:sz="4" w:space="0" w:color="auto"/>
              <w:bottom w:val="single" w:sz="4" w:space="0" w:color="auto"/>
              <w:right w:val="single" w:sz="4" w:space="0" w:color="auto"/>
            </w:tcBorders>
            <w:hideMark/>
          </w:tcPr>
          <w:p w14:paraId="02346AF5"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1899</w:t>
            </w:r>
            <w:r w:rsidRPr="00212416">
              <w:rPr>
                <w:rFonts w:ascii="Times New Roman" w:hAnsi="Times New Roman" w:cs="Times New Roman"/>
                <w:sz w:val="22"/>
                <w:vertAlign w:val="superscript"/>
              </w:rPr>
              <w:t>d</w:t>
            </w:r>
          </w:p>
        </w:tc>
        <w:tc>
          <w:tcPr>
            <w:tcW w:w="1250" w:type="pct"/>
            <w:tcBorders>
              <w:top w:val="single" w:sz="4" w:space="0" w:color="auto"/>
              <w:left w:val="single" w:sz="4" w:space="0" w:color="auto"/>
              <w:bottom w:val="single" w:sz="4" w:space="0" w:color="auto"/>
              <w:right w:val="single" w:sz="4" w:space="0" w:color="auto"/>
            </w:tcBorders>
            <w:hideMark/>
          </w:tcPr>
          <w:p w14:paraId="2FF7DBB2"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7/304 (2)</w:t>
            </w:r>
          </w:p>
        </w:tc>
        <w:tc>
          <w:tcPr>
            <w:tcW w:w="1250" w:type="pct"/>
            <w:tcBorders>
              <w:top w:val="single" w:sz="4" w:space="0" w:color="auto"/>
              <w:left w:val="single" w:sz="4" w:space="0" w:color="auto"/>
              <w:bottom w:val="single" w:sz="4" w:space="0" w:color="auto"/>
              <w:right w:val="single" w:sz="4" w:space="0" w:color="auto"/>
            </w:tcBorders>
            <w:hideMark/>
          </w:tcPr>
          <w:p w14:paraId="52B41953"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25/298 (8)</w:t>
            </w:r>
          </w:p>
        </w:tc>
        <w:tc>
          <w:tcPr>
            <w:tcW w:w="1250" w:type="pct"/>
            <w:tcBorders>
              <w:top w:val="single" w:sz="4" w:space="0" w:color="auto"/>
              <w:left w:val="single" w:sz="4" w:space="0" w:color="auto"/>
              <w:bottom w:val="single" w:sz="4" w:space="0" w:color="auto"/>
              <w:right w:val="single" w:sz="4" w:space="0" w:color="auto"/>
            </w:tcBorders>
            <w:hideMark/>
          </w:tcPr>
          <w:p w14:paraId="623C77F1"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0,0009</w:t>
            </w:r>
          </w:p>
        </w:tc>
      </w:tr>
      <w:tr w:rsidR="00C806DE" w:rsidRPr="00212416" w14:paraId="2CDAA290" w14:textId="77777777" w:rsidTr="00507609">
        <w:tc>
          <w:tcPr>
            <w:tcW w:w="1250" w:type="pct"/>
            <w:tcBorders>
              <w:top w:val="single" w:sz="4" w:space="0" w:color="auto"/>
              <w:left w:val="single" w:sz="4" w:space="0" w:color="auto"/>
              <w:bottom w:val="single" w:sz="4" w:space="0" w:color="auto"/>
              <w:right w:val="single" w:sz="4" w:space="0" w:color="auto"/>
            </w:tcBorders>
            <w:hideMark/>
          </w:tcPr>
          <w:p w14:paraId="507665E5"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316</w:t>
            </w:r>
            <w:r w:rsidRPr="00212416">
              <w:rPr>
                <w:rFonts w:ascii="Times New Roman" w:hAnsi="Times New Roman" w:cs="Times New Roman"/>
                <w:sz w:val="22"/>
                <w:vertAlign w:val="superscript"/>
              </w:rPr>
              <w:t>e</w:t>
            </w:r>
          </w:p>
        </w:tc>
        <w:tc>
          <w:tcPr>
            <w:tcW w:w="1250" w:type="pct"/>
            <w:tcBorders>
              <w:top w:val="single" w:sz="4" w:space="0" w:color="auto"/>
              <w:left w:val="single" w:sz="4" w:space="0" w:color="auto"/>
              <w:bottom w:val="single" w:sz="4" w:space="0" w:color="auto"/>
              <w:right w:val="single" w:sz="4" w:space="0" w:color="auto"/>
            </w:tcBorders>
            <w:hideMark/>
          </w:tcPr>
          <w:p w14:paraId="692FDA15"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7/291 (2)</w:t>
            </w:r>
          </w:p>
        </w:tc>
        <w:tc>
          <w:tcPr>
            <w:tcW w:w="1250" w:type="pct"/>
            <w:tcBorders>
              <w:top w:val="single" w:sz="4" w:space="0" w:color="auto"/>
              <w:left w:val="single" w:sz="4" w:space="0" w:color="auto"/>
              <w:bottom w:val="single" w:sz="4" w:space="0" w:color="auto"/>
              <w:right w:val="single" w:sz="4" w:space="0" w:color="auto"/>
            </w:tcBorders>
            <w:hideMark/>
          </w:tcPr>
          <w:p w14:paraId="6BCE33F0"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22/288 (8)</w:t>
            </w:r>
          </w:p>
        </w:tc>
        <w:tc>
          <w:tcPr>
            <w:tcW w:w="1250" w:type="pct"/>
            <w:tcBorders>
              <w:top w:val="single" w:sz="4" w:space="0" w:color="auto"/>
              <w:left w:val="single" w:sz="4" w:space="0" w:color="auto"/>
              <w:bottom w:val="single" w:sz="4" w:space="0" w:color="auto"/>
              <w:right w:val="single" w:sz="4" w:space="0" w:color="auto"/>
            </w:tcBorders>
            <w:hideMark/>
          </w:tcPr>
          <w:p w14:paraId="60AB75FF"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0,0038</w:t>
            </w:r>
          </w:p>
        </w:tc>
      </w:tr>
      <w:tr w:rsidR="00C806DE" w:rsidRPr="00212416" w14:paraId="0D9426BD" w14:textId="77777777" w:rsidTr="00507609">
        <w:tc>
          <w:tcPr>
            <w:tcW w:w="5000" w:type="pct"/>
            <w:gridSpan w:val="4"/>
            <w:tcBorders>
              <w:top w:val="single" w:sz="4" w:space="0" w:color="auto"/>
              <w:left w:val="single" w:sz="4" w:space="0" w:color="auto"/>
              <w:bottom w:val="single" w:sz="4" w:space="0" w:color="auto"/>
              <w:right w:val="single" w:sz="4" w:space="0" w:color="auto"/>
            </w:tcBorders>
            <w:hideMark/>
          </w:tcPr>
          <w:p w14:paraId="5A9B2981" w14:textId="77777777" w:rsidR="00C806DE" w:rsidRPr="00212416" w:rsidRDefault="00C806DE">
            <w:pPr>
              <w:jc w:val="center"/>
              <w:rPr>
                <w:rFonts w:ascii="Times New Roman" w:hAnsi="Times New Roman" w:cs="Times New Roman"/>
                <w:b/>
                <w:bCs/>
                <w:sz w:val="22"/>
              </w:rPr>
            </w:pPr>
            <w:r w:rsidRPr="00212416">
              <w:rPr>
                <w:rFonts w:ascii="Times New Roman" w:hAnsi="Times New Roman" w:cs="Times New Roman"/>
                <w:b/>
                <w:bCs/>
                <w:sz w:val="22"/>
              </w:rPr>
              <w:t>Fixed-time periode</w:t>
            </w:r>
            <w:r w:rsidRPr="00212416">
              <w:rPr>
                <w:rFonts w:ascii="Times New Roman" w:hAnsi="Times New Roman" w:cs="Times New Roman"/>
                <w:b/>
                <w:bCs/>
                <w:sz w:val="22"/>
                <w:vertAlign w:val="superscript"/>
              </w:rPr>
              <w:t>c</w:t>
            </w:r>
          </w:p>
        </w:tc>
      </w:tr>
      <w:tr w:rsidR="00C806DE" w:rsidRPr="00212416" w14:paraId="1BBE84A0" w14:textId="77777777" w:rsidTr="00507609">
        <w:tc>
          <w:tcPr>
            <w:tcW w:w="1250" w:type="pct"/>
            <w:tcBorders>
              <w:top w:val="single" w:sz="4" w:space="0" w:color="auto"/>
              <w:left w:val="single" w:sz="4" w:space="0" w:color="auto"/>
              <w:bottom w:val="single" w:sz="4" w:space="0" w:color="auto"/>
              <w:right w:val="single" w:sz="4" w:space="0" w:color="auto"/>
            </w:tcBorders>
            <w:hideMark/>
          </w:tcPr>
          <w:p w14:paraId="079ED138"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1899</w:t>
            </w:r>
            <w:r w:rsidRPr="00212416">
              <w:rPr>
                <w:rFonts w:ascii="Times New Roman" w:hAnsi="Times New Roman" w:cs="Times New Roman"/>
                <w:sz w:val="22"/>
                <w:vertAlign w:val="superscript"/>
              </w:rPr>
              <w:t>d</w:t>
            </w:r>
          </w:p>
        </w:tc>
        <w:tc>
          <w:tcPr>
            <w:tcW w:w="1250" w:type="pct"/>
            <w:tcBorders>
              <w:top w:val="single" w:sz="4" w:space="0" w:color="auto"/>
              <w:left w:val="single" w:sz="4" w:space="0" w:color="auto"/>
              <w:bottom w:val="single" w:sz="4" w:space="0" w:color="auto"/>
              <w:right w:val="single" w:sz="4" w:space="0" w:color="auto"/>
            </w:tcBorders>
            <w:hideMark/>
          </w:tcPr>
          <w:p w14:paraId="72CCF96D"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14/304 (5)</w:t>
            </w:r>
          </w:p>
        </w:tc>
        <w:tc>
          <w:tcPr>
            <w:tcW w:w="1250" w:type="pct"/>
            <w:tcBorders>
              <w:top w:val="single" w:sz="4" w:space="0" w:color="auto"/>
              <w:left w:val="single" w:sz="4" w:space="0" w:color="auto"/>
              <w:bottom w:val="single" w:sz="4" w:space="0" w:color="auto"/>
              <w:right w:val="single" w:sz="4" w:space="0" w:color="auto"/>
            </w:tcBorders>
            <w:hideMark/>
          </w:tcPr>
          <w:p w14:paraId="3C89D19E"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33/298 (11)</w:t>
            </w:r>
          </w:p>
        </w:tc>
        <w:tc>
          <w:tcPr>
            <w:tcW w:w="1250" w:type="pct"/>
            <w:tcBorders>
              <w:top w:val="single" w:sz="4" w:space="0" w:color="auto"/>
              <w:left w:val="single" w:sz="4" w:space="0" w:color="auto"/>
              <w:bottom w:val="single" w:sz="4" w:space="0" w:color="auto"/>
              <w:right w:val="single" w:sz="4" w:space="0" w:color="auto"/>
            </w:tcBorders>
            <w:hideMark/>
          </w:tcPr>
          <w:p w14:paraId="0E3B8087"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0,0031</w:t>
            </w:r>
          </w:p>
        </w:tc>
      </w:tr>
      <w:tr w:rsidR="00C806DE" w:rsidRPr="00212416" w14:paraId="370F0B89" w14:textId="77777777" w:rsidTr="00507609">
        <w:tc>
          <w:tcPr>
            <w:tcW w:w="1250" w:type="pct"/>
            <w:tcBorders>
              <w:top w:val="single" w:sz="4" w:space="0" w:color="auto"/>
              <w:left w:val="single" w:sz="4" w:space="0" w:color="auto"/>
              <w:bottom w:val="single" w:sz="4" w:space="0" w:color="auto"/>
              <w:right w:val="single" w:sz="4" w:space="0" w:color="auto"/>
            </w:tcBorders>
            <w:hideMark/>
          </w:tcPr>
          <w:p w14:paraId="76F2AFD6"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 xml:space="preserve">316 </w:t>
            </w:r>
            <w:r w:rsidRPr="00212416">
              <w:rPr>
                <w:rFonts w:ascii="Times New Roman" w:hAnsi="Times New Roman" w:cs="Times New Roman"/>
                <w:sz w:val="22"/>
                <w:vertAlign w:val="superscript"/>
              </w:rPr>
              <w:t>d</w:t>
            </w:r>
          </w:p>
        </w:tc>
        <w:tc>
          <w:tcPr>
            <w:tcW w:w="1250" w:type="pct"/>
            <w:tcBorders>
              <w:top w:val="single" w:sz="4" w:space="0" w:color="auto"/>
              <w:left w:val="single" w:sz="4" w:space="0" w:color="auto"/>
              <w:bottom w:val="single" w:sz="4" w:space="0" w:color="auto"/>
              <w:right w:val="single" w:sz="4" w:space="0" w:color="auto"/>
            </w:tcBorders>
            <w:hideMark/>
          </w:tcPr>
          <w:p w14:paraId="57508A0B"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16/301 (5)</w:t>
            </w:r>
          </w:p>
        </w:tc>
        <w:tc>
          <w:tcPr>
            <w:tcW w:w="1250" w:type="pct"/>
            <w:tcBorders>
              <w:top w:val="single" w:sz="4" w:space="0" w:color="auto"/>
              <w:left w:val="single" w:sz="4" w:space="0" w:color="auto"/>
              <w:bottom w:val="single" w:sz="4" w:space="0" w:color="auto"/>
              <w:right w:val="single" w:sz="4" w:space="0" w:color="auto"/>
            </w:tcBorders>
            <w:hideMark/>
          </w:tcPr>
          <w:p w14:paraId="47CCB804"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27/299 (9)</w:t>
            </w:r>
          </w:p>
        </w:tc>
        <w:tc>
          <w:tcPr>
            <w:tcW w:w="1250" w:type="pct"/>
            <w:tcBorders>
              <w:top w:val="single" w:sz="4" w:space="0" w:color="auto"/>
              <w:left w:val="single" w:sz="4" w:space="0" w:color="auto"/>
              <w:bottom w:val="single" w:sz="4" w:space="0" w:color="auto"/>
              <w:right w:val="single" w:sz="4" w:space="0" w:color="auto"/>
            </w:tcBorders>
            <w:hideMark/>
          </w:tcPr>
          <w:p w14:paraId="13BC3A23"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0,0740</w:t>
            </w:r>
          </w:p>
        </w:tc>
      </w:tr>
    </w:tbl>
    <w:p w14:paraId="573A50CC" w14:textId="77777777" w:rsidR="00C806DE" w:rsidRPr="00875F19" w:rsidRDefault="00C806DE" w:rsidP="00C806DE">
      <w:pPr>
        <w:rPr>
          <w:kern w:val="2"/>
          <w:sz w:val="24"/>
          <w:szCs w:val="24"/>
          <w:lang w:val="en-IN"/>
          <w14:ligatures w14:val="standardContextual"/>
        </w:rPr>
      </w:pPr>
      <w:r w:rsidRPr="00875F19">
        <w:rPr>
          <w:sz w:val="24"/>
          <w:szCs w:val="24"/>
          <w:lang w:val="en-US"/>
        </w:rPr>
        <w:t xml:space="preserve">FLU = fluconazol; ITZ = itraconazol; POS = posaconazol. </w:t>
      </w:r>
    </w:p>
    <w:p w14:paraId="733A8DA1" w14:textId="3A5C42D2" w:rsidR="00C806DE" w:rsidRPr="00212416" w:rsidRDefault="00C806DE" w:rsidP="00212416">
      <w:pPr>
        <w:pStyle w:val="Listeafsnit"/>
        <w:numPr>
          <w:ilvl w:val="0"/>
          <w:numId w:val="16"/>
        </w:numPr>
        <w:spacing w:after="0" w:line="240" w:lineRule="auto"/>
        <w:ind w:left="284" w:hanging="284"/>
        <w:rPr>
          <w:rFonts w:ascii="Times New Roman" w:hAnsi="Times New Roman" w:cs="Times New Roman"/>
          <w:sz w:val="24"/>
          <w:szCs w:val="24"/>
        </w:rPr>
      </w:pPr>
      <w:r w:rsidRPr="00212416">
        <w:rPr>
          <w:rFonts w:ascii="Times New Roman" w:hAnsi="Times New Roman" w:cs="Times New Roman"/>
          <w:sz w:val="24"/>
          <w:szCs w:val="24"/>
        </w:rPr>
        <w:t xml:space="preserve">FLU/ITZ (1899); FLU (316). </w:t>
      </w:r>
    </w:p>
    <w:p w14:paraId="28584C6E" w14:textId="678B0397" w:rsidR="00C806DE" w:rsidRPr="00212416" w:rsidRDefault="00C806DE" w:rsidP="00212416">
      <w:pPr>
        <w:pStyle w:val="Listeafsnit"/>
        <w:numPr>
          <w:ilvl w:val="0"/>
          <w:numId w:val="16"/>
        </w:numPr>
        <w:spacing w:after="0" w:line="240" w:lineRule="auto"/>
        <w:ind w:left="284" w:hanging="284"/>
        <w:rPr>
          <w:rFonts w:ascii="Times New Roman" w:hAnsi="Times New Roman" w:cs="Times New Roman"/>
          <w:sz w:val="24"/>
          <w:szCs w:val="24"/>
          <w:lang w:val="da-DK"/>
        </w:rPr>
      </w:pPr>
      <w:r w:rsidRPr="00212416">
        <w:rPr>
          <w:rFonts w:ascii="Times New Roman" w:hAnsi="Times New Roman" w:cs="Times New Roman"/>
          <w:sz w:val="24"/>
          <w:szCs w:val="24"/>
          <w:lang w:val="da-DK"/>
        </w:rPr>
        <w:t xml:space="preserve">I 1899 var det perioden fra randomisering til sidste dosis studiemedicin plus 7 dage; i 316 var det perioden fra første dosis til sidste dosis studiemedicin plus 7 dage. </w:t>
      </w:r>
    </w:p>
    <w:p w14:paraId="5E78E403" w14:textId="14B5BAEF" w:rsidR="00C806DE" w:rsidRPr="00212416" w:rsidRDefault="00C806DE" w:rsidP="00212416">
      <w:pPr>
        <w:pStyle w:val="Listeafsnit"/>
        <w:numPr>
          <w:ilvl w:val="0"/>
          <w:numId w:val="16"/>
        </w:numPr>
        <w:spacing w:after="0" w:line="240" w:lineRule="auto"/>
        <w:ind w:left="284" w:hanging="284"/>
        <w:rPr>
          <w:rFonts w:ascii="Times New Roman" w:hAnsi="Times New Roman" w:cs="Times New Roman"/>
          <w:sz w:val="24"/>
          <w:szCs w:val="24"/>
          <w:lang w:val="da-DK"/>
        </w:rPr>
      </w:pPr>
      <w:r w:rsidRPr="00212416">
        <w:rPr>
          <w:rFonts w:ascii="Times New Roman" w:hAnsi="Times New Roman" w:cs="Times New Roman"/>
          <w:sz w:val="24"/>
          <w:szCs w:val="24"/>
          <w:lang w:val="da-DK"/>
        </w:rPr>
        <w:t xml:space="preserve">I 1899 var det perioden fra randomisering til 100 dage efter randomisering; i 316 var det perioden fra baseline-dagen til 111 dage efter </w:t>
      </w:r>
      <w:r w:rsidRPr="00212416">
        <w:rPr>
          <w:rFonts w:ascii="Times New Roman" w:hAnsi="Times New Roman" w:cs="Times New Roman"/>
          <w:i/>
          <w:iCs/>
          <w:sz w:val="24"/>
          <w:szCs w:val="24"/>
          <w:lang w:val="da-DK"/>
        </w:rPr>
        <w:t>baseline</w:t>
      </w:r>
      <w:r w:rsidRPr="00212416">
        <w:rPr>
          <w:rFonts w:ascii="Times New Roman" w:hAnsi="Times New Roman" w:cs="Times New Roman"/>
          <w:sz w:val="24"/>
          <w:szCs w:val="24"/>
          <w:lang w:val="da-DK"/>
        </w:rPr>
        <w:t xml:space="preserve">. </w:t>
      </w:r>
    </w:p>
    <w:p w14:paraId="5ED02EF0" w14:textId="7F1EF196" w:rsidR="00C806DE" w:rsidRPr="00212416" w:rsidRDefault="00C806DE" w:rsidP="00212416">
      <w:pPr>
        <w:pStyle w:val="Listeafsnit"/>
        <w:numPr>
          <w:ilvl w:val="0"/>
          <w:numId w:val="16"/>
        </w:numPr>
        <w:spacing w:after="0" w:line="240" w:lineRule="auto"/>
        <w:ind w:left="284" w:hanging="284"/>
        <w:rPr>
          <w:rFonts w:ascii="Times New Roman" w:hAnsi="Times New Roman" w:cs="Times New Roman"/>
          <w:sz w:val="24"/>
          <w:szCs w:val="24"/>
          <w:lang w:val="nl-NL"/>
        </w:rPr>
      </w:pPr>
      <w:r w:rsidRPr="00212416">
        <w:rPr>
          <w:rFonts w:ascii="Times New Roman" w:hAnsi="Times New Roman" w:cs="Times New Roman"/>
          <w:sz w:val="24"/>
          <w:szCs w:val="24"/>
          <w:lang w:val="nl-NL"/>
        </w:rPr>
        <w:t xml:space="preserve">Alle randomiserede patienter </w:t>
      </w:r>
    </w:p>
    <w:p w14:paraId="73A5A3F2" w14:textId="45BA82D4" w:rsidR="00C806DE" w:rsidRPr="00212416" w:rsidRDefault="00C806DE" w:rsidP="00212416">
      <w:pPr>
        <w:pStyle w:val="Listeafsnit"/>
        <w:numPr>
          <w:ilvl w:val="0"/>
          <w:numId w:val="16"/>
        </w:numPr>
        <w:spacing w:after="0" w:line="240" w:lineRule="auto"/>
        <w:ind w:left="284" w:hanging="284"/>
        <w:rPr>
          <w:rFonts w:ascii="Times New Roman" w:hAnsi="Times New Roman" w:cs="Times New Roman"/>
          <w:sz w:val="24"/>
          <w:szCs w:val="24"/>
          <w:lang w:val="nl-NL"/>
        </w:rPr>
      </w:pPr>
      <w:r w:rsidRPr="00212416">
        <w:rPr>
          <w:rFonts w:ascii="Times New Roman" w:hAnsi="Times New Roman" w:cs="Times New Roman"/>
          <w:sz w:val="24"/>
          <w:szCs w:val="24"/>
          <w:lang w:val="nl-NL"/>
        </w:rPr>
        <w:lastRenderedPageBreak/>
        <w:t>Alle behandlede patienter</w:t>
      </w:r>
    </w:p>
    <w:p w14:paraId="348F774C" w14:textId="77777777" w:rsidR="00C806DE" w:rsidRPr="00875F19" w:rsidRDefault="00C806DE" w:rsidP="00C806DE">
      <w:pPr>
        <w:rPr>
          <w:sz w:val="24"/>
          <w:szCs w:val="24"/>
          <w:lang w:val="nl-NL"/>
        </w:rPr>
      </w:pPr>
    </w:p>
    <w:p w14:paraId="7EE0662A" w14:textId="77777777" w:rsidR="00C806DE" w:rsidRPr="00875F19" w:rsidRDefault="00C806DE" w:rsidP="00C806DE">
      <w:pPr>
        <w:rPr>
          <w:sz w:val="24"/>
          <w:szCs w:val="24"/>
        </w:rPr>
      </w:pPr>
      <w:r w:rsidRPr="00875F19">
        <w:rPr>
          <w:b/>
          <w:bCs/>
          <w:sz w:val="24"/>
          <w:szCs w:val="24"/>
        </w:rPr>
        <w:t>Tabel 7.</w:t>
      </w:r>
      <w:r w:rsidRPr="00875F19">
        <w:rPr>
          <w:sz w:val="24"/>
          <w:szCs w:val="24"/>
        </w:rPr>
        <w:t xml:space="preserve"> Resultater fra kliniske studier til forebyggelse af invasive svampeinfektioner</w:t>
      </w:r>
    </w:p>
    <w:p w14:paraId="01BC4502" w14:textId="77777777" w:rsidR="00C806DE" w:rsidRPr="00875F19" w:rsidRDefault="00C806DE" w:rsidP="00C806DE">
      <w:pPr>
        <w:rPr>
          <w:sz w:val="24"/>
          <w:szCs w:val="24"/>
        </w:rPr>
      </w:pPr>
    </w:p>
    <w:tbl>
      <w:tblPr>
        <w:tblStyle w:val="Tabel-Gitter"/>
        <w:tblW w:w="5000" w:type="pct"/>
        <w:tblInd w:w="0" w:type="dxa"/>
        <w:tblLook w:val="04A0" w:firstRow="1" w:lastRow="0" w:firstColumn="1" w:lastColumn="0" w:noHBand="0" w:noVBand="1"/>
      </w:tblPr>
      <w:tblGrid>
        <w:gridCol w:w="3210"/>
        <w:gridCol w:w="3210"/>
        <w:gridCol w:w="3208"/>
      </w:tblGrid>
      <w:tr w:rsidR="00C806DE" w:rsidRPr="00212416" w14:paraId="455D3F00"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2EB018FF" w14:textId="77777777" w:rsidR="00C806DE" w:rsidRPr="00212416" w:rsidRDefault="00C806DE">
            <w:pPr>
              <w:jc w:val="center"/>
              <w:rPr>
                <w:rFonts w:ascii="Times New Roman" w:hAnsi="Times New Roman" w:cs="Times New Roman"/>
                <w:b/>
                <w:bCs/>
                <w:sz w:val="22"/>
              </w:rPr>
            </w:pPr>
            <w:r w:rsidRPr="00212416">
              <w:rPr>
                <w:rFonts w:ascii="Times New Roman" w:hAnsi="Times New Roman" w:cs="Times New Roman"/>
                <w:b/>
                <w:bCs/>
                <w:sz w:val="22"/>
              </w:rPr>
              <w:t>Studie</w:t>
            </w:r>
          </w:p>
        </w:tc>
        <w:tc>
          <w:tcPr>
            <w:tcW w:w="1667" w:type="pct"/>
            <w:tcBorders>
              <w:top w:val="single" w:sz="4" w:space="0" w:color="auto"/>
              <w:left w:val="single" w:sz="4" w:space="0" w:color="auto"/>
              <w:bottom w:val="single" w:sz="4" w:space="0" w:color="auto"/>
              <w:right w:val="single" w:sz="4" w:space="0" w:color="auto"/>
            </w:tcBorders>
            <w:hideMark/>
          </w:tcPr>
          <w:p w14:paraId="34BBBC1E" w14:textId="77777777" w:rsidR="00C806DE" w:rsidRPr="00212416" w:rsidRDefault="00C806DE">
            <w:pPr>
              <w:jc w:val="center"/>
              <w:rPr>
                <w:rFonts w:ascii="Times New Roman" w:hAnsi="Times New Roman" w:cs="Times New Roman"/>
                <w:b/>
                <w:bCs/>
                <w:sz w:val="22"/>
              </w:rPr>
            </w:pPr>
            <w:r w:rsidRPr="00212416">
              <w:rPr>
                <w:rFonts w:ascii="Times New Roman" w:hAnsi="Times New Roman" w:cs="Times New Roman"/>
                <w:b/>
                <w:bCs/>
                <w:sz w:val="22"/>
              </w:rPr>
              <w:t>Posaconazol oral suspension</w:t>
            </w:r>
          </w:p>
        </w:tc>
        <w:tc>
          <w:tcPr>
            <w:tcW w:w="1667" w:type="pct"/>
            <w:tcBorders>
              <w:top w:val="single" w:sz="4" w:space="0" w:color="auto"/>
              <w:left w:val="single" w:sz="4" w:space="0" w:color="auto"/>
              <w:bottom w:val="single" w:sz="4" w:space="0" w:color="auto"/>
              <w:right w:val="single" w:sz="4" w:space="0" w:color="auto"/>
            </w:tcBorders>
            <w:hideMark/>
          </w:tcPr>
          <w:p w14:paraId="212C8E56" w14:textId="77777777" w:rsidR="00C806DE" w:rsidRPr="00212416" w:rsidRDefault="00C806DE">
            <w:pPr>
              <w:jc w:val="center"/>
              <w:rPr>
                <w:rFonts w:ascii="Times New Roman" w:hAnsi="Times New Roman" w:cs="Times New Roman"/>
                <w:b/>
                <w:bCs/>
                <w:sz w:val="22"/>
              </w:rPr>
            </w:pPr>
            <w:r w:rsidRPr="00212416">
              <w:rPr>
                <w:rFonts w:ascii="Times New Roman" w:hAnsi="Times New Roman" w:cs="Times New Roman"/>
                <w:b/>
                <w:bCs/>
                <w:sz w:val="22"/>
              </w:rPr>
              <w:t>Kontrol</w:t>
            </w:r>
            <w:r w:rsidRPr="00212416">
              <w:rPr>
                <w:rFonts w:ascii="Times New Roman" w:hAnsi="Times New Roman" w:cs="Times New Roman"/>
                <w:b/>
                <w:bCs/>
                <w:sz w:val="22"/>
                <w:vertAlign w:val="superscript"/>
              </w:rPr>
              <w:t>a</w:t>
            </w:r>
          </w:p>
        </w:tc>
      </w:tr>
      <w:tr w:rsidR="00C806DE" w:rsidRPr="00212416" w14:paraId="26656EAB" w14:textId="77777777" w:rsidTr="00507609">
        <w:tc>
          <w:tcPr>
            <w:tcW w:w="5000" w:type="pct"/>
            <w:gridSpan w:val="3"/>
            <w:tcBorders>
              <w:top w:val="single" w:sz="4" w:space="0" w:color="auto"/>
              <w:left w:val="single" w:sz="4" w:space="0" w:color="auto"/>
              <w:bottom w:val="single" w:sz="4" w:space="0" w:color="auto"/>
              <w:right w:val="single" w:sz="4" w:space="0" w:color="auto"/>
            </w:tcBorders>
            <w:hideMark/>
          </w:tcPr>
          <w:p w14:paraId="2546C0F6" w14:textId="77777777" w:rsidR="00C806DE" w:rsidRPr="00212416" w:rsidRDefault="00C806DE">
            <w:pPr>
              <w:jc w:val="center"/>
              <w:rPr>
                <w:rFonts w:ascii="Times New Roman" w:hAnsi="Times New Roman" w:cs="Times New Roman"/>
                <w:b/>
                <w:bCs/>
                <w:sz w:val="22"/>
                <w:lang w:val="da-DK"/>
              </w:rPr>
            </w:pPr>
            <w:r w:rsidRPr="00212416">
              <w:rPr>
                <w:rFonts w:ascii="Times New Roman" w:hAnsi="Times New Roman" w:cs="Times New Roman"/>
                <w:b/>
                <w:bCs/>
                <w:sz w:val="22"/>
                <w:lang w:val="da-DK"/>
              </w:rPr>
              <w:t>Andel af patienter (%) med verificeret/sandsynlig Aspergillosis</w:t>
            </w:r>
          </w:p>
        </w:tc>
      </w:tr>
      <w:tr w:rsidR="00C806DE" w:rsidRPr="00212416" w14:paraId="42B11EF4" w14:textId="77777777" w:rsidTr="00507609">
        <w:tc>
          <w:tcPr>
            <w:tcW w:w="5000" w:type="pct"/>
            <w:gridSpan w:val="3"/>
            <w:tcBorders>
              <w:top w:val="single" w:sz="4" w:space="0" w:color="auto"/>
              <w:left w:val="single" w:sz="4" w:space="0" w:color="auto"/>
              <w:bottom w:val="single" w:sz="4" w:space="0" w:color="auto"/>
              <w:right w:val="single" w:sz="4" w:space="0" w:color="auto"/>
            </w:tcBorders>
            <w:hideMark/>
          </w:tcPr>
          <w:p w14:paraId="1C534CAC" w14:textId="77777777" w:rsidR="00C806DE" w:rsidRPr="00212416" w:rsidRDefault="00C806DE">
            <w:pPr>
              <w:jc w:val="center"/>
              <w:rPr>
                <w:rFonts w:ascii="Times New Roman" w:hAnsi="Times New Roman" w:cs="Times New Roman"/>
                <w:b/>
                <w:bCs/>
                <w:sz w:val="22"/>
              </w:rPr>
            </w:pPr>
            <w:r w:rsidRPr="00212416">
              <w:rPr>
                <w:rFonts w:ascii="Times New Roman" w:hAnsi="Times New Roman" w:cs="Times New Roman"/>
                <w:b/>
                <w:bCs/>
                <w:sz w:val="22"/>
              </w:rPr>
              <w:t>On-treatment periode</w:t>
            </w:r>
            <w:r w:rsidRPr="00212416">
              <w:rPr>
                <w:rFonts w:ascii="Times New Roman" w:hAnsi="Times New Roman" w:cs="Times New Roman"/>
                <w:b/>
                <w:bCs/>
                <w:sz w:val="22"/>
                <w:vertAlign w:val="superscript"/>
              </w:rPr>
              <w:t>b</w:t>
            </w:r>
          </w:p>
        </w:tc>
      </w:tr>
      <w:tr w:rsidR="00C806DE" w:rsidRPr="00212416" w14:paraId="37E22AD0"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1FFD4086"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1899</w:t>
            </w:r>
            <w:r w:rsidRPr="00212416">
              <w:rPr>
                <w:rFonts w:ascii="Times New Roman" w:hAnsi="Times New Roman" w:cs="Times New Roman"/>
                <w:sz w:val="22"/>
                <w:vertAlign w:val="superscript"/>
              </w:rPr>
              <w:t>d</w:t>
            </w:r>
          </w:p>
        </w:tc>
        <w:tc>
          <w:tcPr>
            <w:tcW w:w="1667" w:type="pct"/>
            <w:tcBorders>
              <w:top w:val="single" w:sz="4" w:space="0" w:color="auto"/>
              <w:left w:val="single" w:sz="4" w:space="0" w:color="auto"/>
              <w:bottom w:val="single" w:sz="4" w:space="0" w:color="auto"/>
              <w:right w:val="single" w:sz="4" w:space="0" w:color="auto"/>
            </w:tcBorders>
            <w:hideMark/>
          </w:tcPr>
          <w:p w14:paraId="51A10BE7"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2/304 (1)</w:t>
            </w:r>
          </w:p>
        </w:tc>
        <w:tc>
          <w:tcPr>
            <w:tcW w:w="1667" w:type="pct"/>
            <w:tcBorders>
              <w:top w:val="single" w:sz="4" w:space="0" w:color="auto"/>
              <w:left w:val="single" w:sz="4" w:space="0" w:color="auto"/>
              <w:bottom w:val="single" w:sz="4" w:space="0" w:color="auto"/>
              <w:right w:val="single" w:sz="4" w:space="0" w:color="auto"/>
            </w:tcBorders>
            <w:hideMark/>
          </w:tcPr>
          <w:p w14:paraId="2A5271BD"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20/298 (7)</w:t>
            </w:r>
          </w:p>
        </w:tc>
      </w:tr>
      <w:tr w:rsidR="00C806DE" w:rsidRPr="00212416" w14:paraId="2205BBBF"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7A914E84"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 xml:space="preserve">316 </w:t>
            </w:r>
            <w:r w:rsidRPr="00212416">
              <w:rPr>
                <w:rFonts w:ascii="Times New Roman" w:hAnsi="Times New Roman" w:cs="Times New Roman"/>
                <w:sz w:val="22"/>
                <w:vertAlign w:val="superscript"/>
              </w:rPr>
              <w:t>e</w:t>
            </w:r>
          </w:p>
        </w:tc>
        <w:tc>
          <w:tcPr>
            <w:tcW w:w="1667" w:type="pct"/>
            <w:tcBorders>
              <w:top w:val="single" w:sz="4" w:space="0" w:color="auto"/>
              <w:left w:val="single" w:sz="4" w:space="0" w:color="auto"/>
              <w:bottom w:val="single" w:sz="4" w:space="0" w:color="auto"/>
              <w:right w:val="single" w:sz="4" w:space="0" w:color="auto"/>
            </w:tcBorders>
            <w:hideMark/>
          </w:tcPr>
          <w:p w14:paraId="337E1FCE"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3/291 (1)</w:t>
            </w:r>
          </w:p>
        </w:tc>
        <w:tc>
          <w:tcPr>
            <w:tcW w:w="1667" w:type="pct"/>
            <w:tcBorders>
              <w:top w:val="single" w:sz="4" w:space="0" w:color="auto"/>
              <w:left w:val="single" w:sz="4" w:space="0" w:color="auto"/>
              <w:bottom w:val="single" w:sz="4" w:space="0" w:color="auto"/>
              <w:right w:val="single" w:sz="4" w:space="0" w:color="auto"/>
            </w:tcBorders>
            <w:hideMark/>
          </w:tcPr>
          <w:p w14:paraId="0896F370"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17/288 (6)</w:t>
            </w:r>
          </w:p>
        </w:tc>
      </w:tr>
      <w:tr w:rsidR="00C806DE" w:rsidRPr="00212416" w14:paraId="168BD7AD" w14:textId="77777777" w:rsidTr="00507609">
        <w:tc>
          <w:tcPr>
            <w:tcW w:w="5000" w:type="pct"/>
            <w:gridSpan w:val="3"/>
            <w:tcBorders>
              <w:top w:val="single" w:sz="4" w:space="0" w:color="auto"/>
              <w:left w:val="single" w:sz="4" w:space="0" w:color="auto"/>
              <w:bottom w:val="single" w:sz="4" w:space="0" w:color="auto"/>
              <w:right w:val="single" w:sz="4" w:space="0" w:color="auto"/>
            </w:tcBorders>
            <w:hideMark/>
          </w:tcPr>
          <w:p w14:paraId="510060BB" w14:textId="77777777" w:rsidR="00C806DE" w:rsidRPr="00212416" w:rsidRDefault="00C806DE">
            <w:pPr>
              <w:jc w:val="center"/>
              <w:rPr>
                <w:rFonts w:ascii="Times New Roman" w:hAnsi="Times New Roman" w:cs="Times New Roman"/>
                <w:b/>
                <w:bCs/>
                <w:sz w:val="22"/>
              </w:rPr>
            </w:pPr>
            <w:r w:rsidRPr="00212416">
              <w:rPr>
                <w:rFonts w:ascii="Times New Roman" w:hAnsi="Times New Roman" w:cs="Times New Roman"/>
                <w:b/>
                <w:bCs/>
                <w:sz w:val="22"/>
              </w:rPr>
              <w:t>Fixed-time periode</w:t>
            </w:r>
            <w:r w:rsidRPr="00212416">
              <w:rPr>
                <w:rFonts w:ascii="Times New Roman" w:hAnsi="Times New Roman" w:cs="Times New Roman"/>
                <w:b/>
                <w:bCs/>
                <w:sz w:val="22"/>
                <w:vertAlign w:val="superscript"/>
              </w:rPr>
              <w:t>c</w:t>
            </w:r>
          </w:p>
        </w:tc>
      </w:tr>
      <w:tr w:rsidR="00C806DE" w:rsidRPr="00212416" w14:paraId="70C0E80E"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0DDDD75A"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1899</w:t>
            </w:r>
            <w:r w:rsidRPr="00212416">
              <w:rPr>
                <w:rFonts w:ascii="Times New Roman" w:hAnsi="Times New Roman" w:cs="Times New Roman"/>
                <w:sz w:val="22"/>
                <w:vertAlign w:val="superscript"/>
              </w:rPr>
              <w:t>d</w:t>
            </w:r>
          </w:p>
        </w:tc>
        <w:tc>
          <w:tcPr>
            <w:tcW w:w="1667" w:type="pct"/>
            <w:tcBorders>
              <w:top w:val="single" w:sz="4" w:space="0" w:color="auto"/>
              <w:left w:val="single" w:sz="4" w:space="0" w:color="auto"/>
              <w:bottom w:val="single" w:sz="4" w:space="0" w:color="auto"/>
              <w:right w:val="single" w:sz="4" w:space="0" w:color="auto"/>
            </w:tcBorders>
            <w:hideMark/>
          </w:tcPr>
          <w:p w14:paraId="129B4076"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4/304 (1)</w:t>
            </w:r>
          </w:p>
        </w:tc>
        <w:tc>
          <w:tcPr>
            <w:tcW w:w="1667" w:type="pct"/>
            <w:tcBorders>
              <w:top w:val="single" w:sz="4" w:space="0" w:color="auto"/>
              <w:left w:val="single" w:sz="4" w:space="0" w:color="auto"/>
              <w:bottom w:val="single" w:sz="4" w:space="0" w:color="auto"/>
              <w:right w:val="single" w:sz="4" w:space="0" w:color="auto"/>
            </w:tcBorders>
            <w:hideMark/>
          </w:tcPr>
          <w:p w14:paraId="69049B26"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26/298 (9)</w:t>
            </w:r>
          </w:p>
        </w:tc>
      </w:tr>
      <w:tr w:rsidR="00C806DE" w:rsidRPr="00212416" w14:paraId="759C3358" w14:textId="77777777" w:rsidTr="00507609">
        <w:tc>
          <w:tcPr>
            <w:tcW w:w="1667" w:type="pct"/>
            <w:tcBorders>
              <w:top w:val="single" w:sz="4" w:space="0" w:color="auto"/>
              <w:left w:val="single" w:sz="4" w:space="0" w:color="auto"/>
              <w:bottom w:val="single" w:sz="4" w:space="0" w:color="auto"/>
              <w:right w:val="single" w:sz="4" w:space="0" w:color="auto"/>
            </w:tcBorders>
            <w:hideMark/>
          </w:tcPr>
          <w:p w14:paraId="33934677"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 xml:space="preserve">316 </w:t>
            </w:r>
            <w:r w:rsidRPr="00212416">
              <w:rPr>
                <w:rFonts w:ascii="Times New Roman" w:hAnsi="Times New Roman" w:cs="Times New Roman"/>
                <w:sz w:val="22"/>
                <w:vertAlign w:val="superscript"/>
              </w:rPr>
              <w:t>d</w:t>
            </w:r>
          </w:p>
        </w:tc>
        <w:tc>
          <w:tcPr>
            <w:tcW w:w="1667" w:type="pct"/>
            <w:tcBorders>
              <w:top w:val="single" w:sz="4" w:space="0" w:color="auto"/>
              <w:left w:val="single" w:sz="4" w:space="0" w:color="auto"/>
              <w:bottom w:val="single" w:sz="4" w:space="0" w:color="auto"/>
              <w:right w:val="single" w:sz="4" w:space="0" w:color="auto"/>
            </w:tcBorders>
            <w:hideMark/>
          </w:tcPr>
          <w:p w14:paraId="340313EE"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7/301 (2)</w:t>
            </w:r>
          </w:p>
        </w:tc>
        <w:tc>
          <w:tcPr>
            <w:tcW w:w="1667" w:type="pct"/>
            <w:tcBorders>
              <w:top w:val="single" w:sz="4" w:space="0" w:color="auto"/>
              <w:left w:val="single" w:sz="4" w:space="0" w:color="auto"/>
              <w:bottom w:val="single" w:sz="4" w:space="0" w:color="auto"/>
              <w:right w:val="single" w:sz="4" w:space="0" w:color="auto"/>
            </w:tcBorders>
            <w:hideMark/>
          </w:tcPr>
          <w:p w14:paraId="75205CFC" w14:textId="77777777" w:rsidR="00C806DE" w:rsidRPr="00212416" w:rsidRDefault="00C806DE">
            <w:pPr>
              <w:rPr>
                <w:rFonts w:ascii="Times New Roman" w:hAnsi="Times New Roman" w:cs="Times New Roman"/>
                <w:sz w:val="22"/>
              </w:rPr>
            </w:pPr>
            <w:r w:rsidRPr="00212416">
              <w:rPr>
                <w:rFonts w:ascii="Times New Roman" w:hAnsi="Times New Roman" w:cs="Times New Roman"/>
                <w:sz w:val="22"/>
              </w:rPr>
              <w:t>21/299 (7)</w:t>
            </w:r>
          </w:p>
        </w:tc>
      </w:tr>
    </w:tbl>
    <w:p w14:paraId="046AA44B" w14:textId="77777777" w:rsidR="00C806DE" w:rsidRPr="00875F19" w:rsidRDefault="00C806DE" w:rsidP="00C806DE">
      <w:pPr>
        <w:rPr>
          <w:kern w:val="2"/>
          <w:sz w:val="24"/>
          <w:szCs w:val="24"/>
          <w:lang w:val="en-IN"/>
          <w14:ligatures w14:val="standardContextual"/>
        </w:rPr>
      </w:pPr>
      <w:r w:rsidRPr="00875F19">
        <w:rPr>
          <w:sz w:val="24"/>
          <w:szCs w:val="24"/>
          <w:lang w:val="en-US"/>
        </w:rPr>
        <w:t xml:space="preserve">FLU = fluconazol; ITZ = itraconazol; POS = posaconazol. </w:t>
      </w:r>
    </w:p>
    <w:p w14:paraId="0A2D8553" w14:textId="56E82F00" w:rsidR="00C806DE" w:rsidRPr="009A6218" w:rsidRDefault="00C806DE" w:rsidP="009A6218">
      <w:pPr>
        <w:pStyle w:val="Listeafsnit"/>
        <w:numPr>
          <w:ilvl w:val="0"/>
          <w:numId w:val="17"/>
        </w:numPr>
        <w:spacing w:after="0" w:line="240" w:lineRule="auto"/>
        <w:ind w:left="284" w:hanging="284"/>
        <w:rPr>
          <w:rFonts w:ascii="Times New Roman" w:hAnsi="Times New Roman" w:cs="Times New Roman"/>
          <w:sz w:val="24"/>
          <w:szCs w:val="24"/>
        </w:rPr>
      </w:pPr>
      <w:r w:rsidRPr="009A6218">
        <w:rPr>
          <w:rFonts w:ascii="Times New Roman" w:hAnsi="Times New Roman" w:cs="Times New Roman"/>
          <w:sz w:val="24"/>
          <w:szCs w:val="24"/>
        </w:rPr>
        <w:t xml:space="preserve">FLU/ITZ (1899); FLU (316). </w:t>
      </w:r>
    </w:p>
    <w:p w14:paraId="0F607DD9" w14:textId="5782E43E" w:rsidR="00C806DE" w:rsidRPr="009A6218" w:rsidRDefault="00C806DE" w:rsidP="009A6218">
      <w:pPr>
        <w:pStyle w:val="Listeafsnit"/>
        <w:numPr>
          <w:ilvl w:val="0"/>
          <w:numId w:val="17"/>
        </w:numPr>
        <w:spacing w:after="0" w:line="240" w:lineRule="auto"/>
        <w:ind w:left="284" w:hanging="284"/>
        <w:rPr>
          <w:rFonts w:ascii="Times New Roman" w:hAnsi="Times New Roman" w:cs="Times New Roman"/>
          <w:sz w:val="24"/>
          <w:szCs w:val="24"/>
          <w:lang w:val="da-DK"/>
        </w:rPr>
      </w:pPr>
      <w:r w:rsidRPr="009A6218">
        <w:rPr>
          <w:rFonts w:ascii="Times New Roman" w:hAnsi="Times New Roman" w:cs="Times New Roman"/>
          <w:sz w:val="24"/>
          <w:szCs w:val="24"/>
          <w:lang w:val="da-DK"/>
        </w:rPr>
        <w:t xml:space="preserve">I 1899 var det perioden fra randomisering til sidste dosis studiemedicin plus 7 dage; i 316 var det perioden fra første dosis til sidste dosis studiemedicin plus 7 dage. </w:t>
      </w:r>
    </w:p>
    <w:p w14:paraId="03C8A642" w14:textId="2ED327AD" w:rsidR="00C806DE" w:rsidRPr="009A6218" w:rsidRDefault="00C806DE" w:rsidP="009A6218">
      <w:pPr>
        <w:pStyle w:val="Listeafsnit"/>
        <w:numPr>
          <w:ilvl w:val="0"/>
          <w:numId w:val="17"/>
        </w:numPr>
        <w:spacing w:after="0" w:line="240" w:lineRule="auto"/>
        <w:ind w:left="284" w:hanging="284"/>
        <w:rPr>
          <w:rFonts w:ascii="Times New Roman" w:hAnsi="Times New Roman" w:cs="Times New Roman"/>
          <w:sz w:val="24"/>
          <w:szCs w:val="24"/>
          <w:lang w:val="da-DK"/>
        </w:rPr>
      </w:pPr>
      <w:r w:rsidRPr="009A6218">
        <w:rPr>
          <w:rFonts w:ascii="Times New Roman" w:hAnsi="Times New Roman" w:cs="Times New Roman"/>
          <w:sz w:val="24"/>
          <w:szCs w:val="24"/>
          <w:lang w:val="da-DK"/>
        </w:rPr>
        <w:t xml:space="preserve">I 1899 var det perioden fra randomisering til 100 dage efter randomisering; i 316 var det perioden fra baseline-dagen til 111 dage efter </w:t>
      </w:r>
      <w:r w:rsidRPr="009A6218">
        <w:rPr>
          <w:rFonts w:ascii="Times New Roman" w:hAnsi="Times New Roman" w:cs="Times New Roman"/>
          <w:i/>
          <w:iCs/>
          <w:sz w:val="24"/>
          <w:szCs w:val="24"/>
          <w:lang w:val="da-DK"/>
        </w:rPr>
        <w:t>baseline</w:t>
      </w:r>
      <w:r w:rsidRPr="009A6218">
        <w:rPr>
          <w:rFonts w:ascii="Times New Roman" w:hAnsi="Times New Roman" w:cs="Times New Roman"/>
          <w:sz w:val="24"/>
          <w:szCs w:val="24"/>
          <w:lang w:val="da-DK"/>
        </w:rPr>
        <w:t xml:space="preserve">. </w:t>
      </w:r>
    </w:p>
    <w:p w14:paraId="439EDCD6" w14:textId="7F66B6D4" w:rsidR="00C806DE" w:rsidRPr="009A6218" w:rsidRDefault="00C806DE" w:rsidP="009A6218">
      <w:pPr>
        <w:pStyle w:val="Listeafsnit"/>
        <w:numPr>
          <w:ilvl w:val="0"/>
          <w:numId w:val="17"/>
        </w:numPr>
        <w:spacing w:after="0" w:line="240" w:lineRule="auto"/>
        <w:ind w:left="284" w:hanging="284"/>
        <w:rPr>
          <w:rFonts w:ascii="Times New Roman" w:hAnsi="Times New Roman" w:cs="Times New Roman"/>
          <w:sz w:val="24"/>
          <w:szCs w:val="24"/>
          <w:lang w:val="nl-NL"/>
        </w:rPr>
      </w:pPr>
      <w:r w:rsidRPr="009A6218">
        <w:rPr>
          <w:rFonts w:ascii="Times New Roman" w:hAnsi="Times New Roman" w:cs="Times New Roman"/>
          <w:sz w:val="24"/>
          <w:szCs w:val="24"/>
          <w:lang w:val="nl-NL"/>
        </w:rPr>
        <w:t xml:space="preserve">Alle randomiserede patienter </w:t>
      </w:r>
    </w:p>
    <w:p w14:paraId="408AD3AF" w14:textId="1A5C2275" w:rsidR="00C806DE" w:rsidRPr="009A6218" w:rsidRDefault="00C806DE" w:rsidP="009A6218">
      <w:pPr>
        <w:pStyle w:val="Listeafsnit"/>
        <w:numPr>
          <w:ilvl w:val="0"/>
          <w:numId w:val="17"/>
        </w:numPr>
        <w:spacing w:after="0" w:line="240" w:lineRule="auto"/>
        <w:ind w:left="284" w:hanging="284"/>
        <w:rPr>
          <w:rFonts w:ascii="Times New Roman" w:hAnsi="Times New Roman" w:cs="Times New Roman"/>
          <w:sz w:val="24"/>
          <w:szCs w:val="24"/>
          <w:lang w:val="nl-NL"/>
        </w:rPr>
      </w:pPr>
      <w:r w:rsidRPr="009A6218">
        <w:rPr>
          <w:rFonts w:ascii="Times New Roman" w:hAnsi="Times New Roman" w:cs="Times New Roman"/>
          <w:sz w:val="24"/>
          <w:szCs w:val="24"/>
          <w:lang w:val="nl-NL"/>
        </w:rPr>
        <w:t>Alle behandlede patienter</w:t>
      </w:r>
    </w:p>
    <w:p w14:paraId="28E7C787" w14:textId="77777777" w:rsidR="00C806DE" w:rsidRPr="00875F19" w:rsidRDefault="00C806DE" w:rsidP="00C806DE">
      <w:pPr>
        <w:rPr>
          <w:sz w:val="24"/>
          <w:szCs w:val="24"/>
          <w:lang w:val="nl-NL"/>
        </w:rPr>
      </w:pPr>
    </w:p>
    <w:p w14:paraId="5EDE4F8C" w14:textId="77777777" w:rsidR="00C806DE" w:rsidRPr="00875F19" w:rsidRDefault="00C806DE" w:rsidP="00507609">
      <w:pPr>
        <w:ind w:left="851"/>
        <w:rPr>
          <w:sz w:val="24"/>
          <w:szCs w:val="24"/>
        </w:rPr>
      </w:pPr>
      <w:r w:rsidRPr="00875F19">
        <w:rPr>
          <w:sz w:val="24"/>
          <w:szCs w:val="24"/>
        </w:rPr>
        <w:t>I studie 1899 blev der observeret et signifikant fald i død af alle årsager (all-cause mortality) til fordel for posaconazol [POS 49/304 (16 %) versus FLU/ITZ 67/298 (22 %) p=0,048]. Baseret på KaplanMeier-estimater var sandsynligheden for at overleve frem til dag 100 efter randomisering signifikant højere for modtagere af posaconazol; denne overlevelsesfordel blev påvist, da analysen betragtede død af alle årsager (P=0,0354) såvel som dødsfald med relation til IFI (P=0,0209).</w:t>
      </w:r>
    </w:p>
    <w:p w14:paraId="119E8EF8" w14:textId="77777777" w:rsidR="00C806DE" w:rsidRPr="00875F19" w:rsidRDefault="00C806DE" w:rsidP="00507609">
      <w:pPr>
        <w:ind w:left="851"/>
        <w:rPr>
          <w:sz w:val="24"/>
          <w:szCs w:val="24"/>
        </w:rPr>
      </w:pPr>
    </w:p>
    <w:p w14:paraId="0ADF8328" w14:textId="77777777" w:rsidR="00C806DE" w:rsidRPr="00875F19" w:rsidRDefault="00C806DE" w:rsidP="00507609">
      <w:pPr>
        <w:ind w:left="851"/>
        <w:rPr>
          <w:sz w:val="24"/>
          <w:szCs w:val="24"/>
        </w:rPr>
      </w:pPr>
      <w:r w:rsidRPr="00875F19">
        <w:rPr>
          <w:sz w:val="24"/>
          <w:szCs w:val="24"/>
        </w:rPr>
        <w:t>I studie 316 var den overordnede dødelighed tilsvarende (POS, 25 %; FLU, 28 %); andelen af dødsfald med relation til IFI var derimod signifikant lavere i POS-gruppen (4/301) sammenlignet med FLU-gruppen (12/299; P=0,0413).</w:t>
      </w:r>
    </w:p>
    <w:p w14:paraId="3BB75ED0" w14:textId="77777777" w:rsidR="00C806DE" w:rsidRPr="00875F19" w:rsidRDefault="00C806DE" w:rsidP="00507609">
      <w:pPr>
        <w:ind w:left="851"/>
        <w:rPr>
          <w:sz w:val="24"/>
          <w:szCs w:val="24"/>
        </w:rPr>
      </w:pPr>
    </w:p>
    <w:p w14:paraId="04BD1DC5" w14:textId="77777777" w:rsidR="00C806DE" w:rsidRPr="00875F19" w:rsidRDefault="00C806DE" w:rsidP="00507609">
      <w:pPr>
        <w:ind w:left="851"/>
        <w:rPr>
          <w:sz w:val="24"/>
          <w:szCs w:val="24"/>
          <w:u w:val="single"/>
        </w:rPr>
      </w:pPr>
      <w:r w:rsidRPr="00875F19">
        <w:rPr>
          <w:sz w:val="24"/>
          <w:szCs w:val="24"/>
          <w:u w:val="single"/>
        </w:rPr>
        <w:t xml:space="preserve">Pædiatrisk population </w:t>
      </w:r>
    </w:p>
    <w:p w14:paraId="662BB7A0" w14:textId="77777777" w:rsidR="00C806DE" w:rsidRPr="00875F19" w:rsidRDefault="00C806DE" w:rsidP="00507609">
      <w:pPr>
        <w:ind w:left="851"/>
        <w:rPr>
          <w:sz w:val="24"/>
          <w:szCs w:val="24"/>
        </w:rPr>
      </w:pPr>
      <w:r w:rsidRPr="00875F19">
        <w:rPr>
          <w:sz w:val="24"/>
          <w:szCs w:val="24"/>
        </w:rPr>
        <w:t>Der foreligger kun begrænset erfaring med posaconazol koncentrat til infusionsvæske, opløsning til børn.</w:t>
      </w:r>
    </w:p>
    <w:p w14:paraId="363063A5" w14:textId="77777777" w:rsidR="00C806DE" w:rsidRPr="00875F19" w:rsidRDefault="00C806DE" w:rsidP="00507609">
      <w:pPr>
        <w:ind w:left="851"/>
        <w:rPr>
          <w:sz w:val="24"/>
          <w:szCs w:val="24"/>
        </w:rPr>
      </w:pPr>
    </w:p>
    <w:p w14:paraId="796B87B5" w14:textId="77777777" w:rsidR="00C806DE" w:rsidRPr="00875F19" w:rsidRDefault="00C806DE" w:rsidP="00507609">
      <w:pPr>
        <w:ind w:left="851"/>
        <w:rPr>
          <w:sz w:val="24"/>
          <w:szCs w:val="24"/>
        </w:rPr>
      </w:pPr>
      <w:r w:rsidRPr="00875F19">
        <w:rPr>
          <w:sz w:val="24"/>
          <w:szCs w:val="24"/>
        </w:rPr>
        <w:t>Tre patienter i alderen 14-17 år blev behandlet med posaconazol koncentrat til infusionsvæske, opløsning, og tabletter 300 mg/dag (to gange dagligt på dag 1 og derefter 1 gang dagligt) i studiet med behandling af invasiv aspergillose.</w:t>
      </w:r>
    </w:p>
    <w:p w14:paraId="2D4211A2" w14:textId="77777777" w:rsidR="00C806DE" w:rsidRPr="00875F19" w:rsidRDefault="00C806DE" w:rsidP="00507609">
      <w:pPr>
        <w:ind w:left="851"/>
        <w:rPr>
          <w:sz w:val="24"/>
          <w:szCs w:val="24"/>
        </w:rPr>
      </w:pPr>
    </w:p>
    <w:p w14:paraId="5AAB3676" w14:textId="7C9BC232" w:rsidR="00C806DE" w:rsidRPr="00875F19" w:rsidRDefault="00C806DE" w:rsidP="00507609">
      <w:pPr>
        <w:ind w:left="851"/>
        <w:rPr>
          <w:sz w:val="24"/>
          <w:szCs w:val="24"/>
        </w:rPr>
      </w:pPr>
      <w:r w:rsidRPr="00875F19">
        <w:rPr>
          <w:sz w:val="24"/>
          <w:szCs w:val="24"/>
        </w:rPr>
        <w:t>Posaconazols sikkerhed og virkning (</w:t>
      </w:r>
      <w:r w:rsidR="005624FB">
        <w:rPr>
          <w:sz w:val="24"/>
          <w:szCs w:val="24"/>
        </w:rPr>
        <w:t>p</w:t>
      </w:r>
      <w:r w:rsidRPr="00875F19">
        <w:rPr>
          <w:sz w:val="24"/>
          <w:szCs w:val="24"/>
        </w:rPr>
        <w:t>osaconazol enteropulver og solvens til oral suspension; posaconazol koncentrat til infusionsvæske, opløsning) er klarlagt hos pædiatriske patienter i alderen 2 år til under 18 år. Brug afposaconazol i disse aldersgrupper understøttes af evidens fra tilstrækkelige og velkontrollerede studier af posaconazol hos voksne samt farmakokinetiske data og sikkerhedsdata fra pædiatriske studier (se pkt. 5.2). Ingen nye sikkerhedssignaler blev identificeret i pædiatriske studier i forbindelse med brugen af posaconazol hos pædiatriske patienter (se pkt. 4.8).</w:t>
      </w:r>
    </w:p>
    <w:p w14:paraId="75553910" w14:textId="77777777" w:rsidR="00C806DE" w:rsidRPr="00875F19" w:rsidRDefault="00C806DE" w:rsidP="00507609">
      <w:pPr>
        <w:ind w:left="851"/>
        <w:rPr>
          <w:sz w:val="24"/>
          <w:szCs w:val="24"/>
        </w:rPr>
      </w:pPr>
    </w:p>
    <w:p w14:paraId="617AFFBD" w14:textId="77777777" w:rsidR="00C806DE" w:rsidRPr="00875F19" w:rsidRDefault="00C806DE" w:rsidP="00507609">
      <w:pPr>
        <w:ind w:left="851"/>
        <w:rPr>
          <w:sz w:val="24"/>
          <w:szCs w:val="24"/>
        </w:rPr>
      </w:pPr>
      <w:r w:rsidRPr="00875F19">
        <w:rPr>
          <w:sz w:val="24"/>
          <w:szCs w:val="24"/>
        </w:rPr>
        <w:t>Posaconazols sikkerhed og virkning hos børn under 2 år er ikke klarlagt.</w:t>
      </w:r>
    </w:p>
    <w:p w14:paraId="46B1E946" w14:textId="77777777" w:rsidR="00C806DE" w:rsidRPr="00875F19" w:rsidRDefault="00C806DE" w:rsidP="00507609">
      <w:pPr>
        <w:ind w:left="851"/>
        <w:rPr>
          <w:sz w:val="24"/>
          <w:szCs w:val="24"/>
        </w:rPr>
      </w:pPr>
    </w:p>
    <w:p w14:paraId="324F06AF" w14:textId="77777777" w:rsidR="00C806DE" w:rsidRPr="00875F19" w:rsidRDefault="00C806DE" w:rsidP="00507609">
      <w:pPr>
        <w:ind w:left="851"/>
        <w:rPr>
          <w:sz w:val="24"/>
          <w:szCs w:val="24"/>
        </w:rPr>
      </w:pPr>
      <w:r w:rsidRPr="00875F19">
        <w:rPr>
          <w:sz w:val="24"/>
          <w:szCs w:val="24"/>
        </w:rPr>
        <w:t>Der foreligger ingen data.</w:t>
      </w:r>
    </w:p>
    <w:p w14:paraId="1CC042C4" w14:textId="77777777" w:rsidR="00C806DE" w:rsidRPr="00875F19" w:rsidRDefault="00C806DE" w:rsidP="00507609">
      <w:pPr>
        <w:ind w:left="851"/>
        <w:rPr>
          <w:sz w:val="24"/>
          <w:szCs w:val="24"/>
        </w:rPr>
      </w:pPr>
    </w:p>
    <w:p w14:paraId="16CE0EDB" w14:textId="77777777" w:rsidR="00C806DE" w:rsidRPr="00875F19" w:rsidRDefault="00C806DE" w:rsidP="00507609">
      <w:pPr>
        <w:ind w:left="851"/>
        <w:rPr>
          <w:sz w:val="24"/>
          <w:szCs w:val="24"/>
          <w:u w:val="single"/>
        </w:rPr>
      </w:pPr>
      <w:r w:rsidRPr="00875F19">
        <w:rPr>
          <w:sz w:val="24"/>
          <w:szCs w:val="24"/>
          <w:u w:val="single"/>
        </w:rPr>
        <w:lastRenderedPageBreak/>
        <w:t xml:space="preserve">Elektrokardiogramundersøgelser </w:t>
      </w:r>
    </w:p>
    <w:p w14:paraId="7A1C9D21" w14:textId="77777777" w:rsidR="00C806DE" w:rsidRPr="00875F19" w:rsidRDefault="00C806DE" w:rsidP="00507609">
      <w:pPr>
        <w:ind w:left="851"/>
        <w:rPr>
          <w:sz w:val="24"/>
          <w:szCs w:val="24"/>
        </w:rPr>
      </w:pPr>
      <w:r w:rsidRPr="00875F19">
        <w:rPr>
          <w:sz w:val="24"/>
          <w:szCs w:val="24"/>
        </w:rPr>
        <w:t xml:space="preserve">Fra 173 raske mandlige og kvindelige forsøgspersoner i alderen 18 til 85 år blev der før og under administration af posaconazol oral suspension (400 mg to gange dagligt med et fedtrigt måltid) indsamlet flere tidsmæssigt sammenlignelige ekg’er over en periode på 12 timer. Der blev ikke observeret klinisk relevante forandringer i det gennemsnitlige QTc (Fridericia)-interval i forhold til </w:t>
      </w:r>
      <w:r w:rsidRPr="00875F19">
        <w:rPr>
          <w:i/>
          <w:iCs/>
          <w:sz w:val="24"/>
          <w:szCs w:val="24"/>
        </w:rPr>
        <w:t>baseline</w:t>
      </w:r>
      <w:r w:rsidRPr="00875F19">
        <w:rPr>
          <w:sz w:val="24"/>
          <w:szCs w:val="24"/>
        </w:rPr>
        <w:t>.</w:t>
      </w:r>
    </w:p>
    <w:p w14:paraId="07D26D21" w14:textId="77777777" w:rsidR="009260DE" w:rsidRPr="00875F19" w:rsidRDefault="009260DE" w:rsidP="009260DE">
      <w:pPr>
        <w:tabs>
          <w:tab w:val="left" w:pos="851"/>
        </w:tabs>
        <w:ind w:left="851"/>
        <w:rPr>
          <w:sz w:val="24"/>
          <w:szCs w:val="24"/>
        </w:rPr>
      </w:pPr>
    </w:p>
    <w:p w14:paraId="2EB133C0" w14:textId="77777777" w:rsidR="009260DE" w:rsidRPr="00875F19" w:rsidRDefault="009260DE" w:rsidP="009260DE">
      <w:pPr>
        <w:tabs>
          <w:tab w:val="left" w:pos="851"/>
        </w:tabs>
        <w:ind w:left="851" w:hanging="851"/>
        <w:rPr>
          <w:b/>
          <w:sz w:val="24"/>
          <w:szCs w:val="24"/>
        </w:rPr>
      </w:pPr>
      <w:r w:rsidRPr="00875F19">
        <w:rPr>
          <w:b/>
          <w:sz w:val="24"/>
          <w:szCs w:val="24"/>
        </w:rPr>
        <w:t>5.2</w:t>
      </w:r>
      <w:r w:rsidRPr="00875F19">
        <w:rPr>
          <w:b/>
          <w:sz w:val="24"/>
          <w:szCs w:val="24"/>
        </w:rPr>
        <w:tab/>
        <w:t>Farmakokinetiske egenskaber</w:t>
      </w:r>
    </w:p>
    <w:p w14:paraId="0A96AADF" w14:textId="77777777" w:rsidR="009A6218" w:rsidRDefault="009A6218" w:rsidP="00507609">
      <w:pPr>
        <w:ind w:left="851"/>
        <w:rPr>
          <w:sz w:val="24"/>
          <w:szCs w:val="24"/>
          <w:u w:val="single"/>
        </w:rPr>
      </w:pPr>
    </w:p>
    <w:p w14:paraId="5CC30B24" w14:textId="5BA2AB68" w:rsidR="00C806DE" w:rsidRPr="00875F19" w:rsidRDefault="00C806DE" w:rsidP="00507609">
      <w:pPr>
        <w:ind w:left="851"/>
        <w:rPr>
          <w:sz w:val="24"/>
          <w:szCs w:val="24"/>
          <w:u w:val="single"/>
        </w:rPr>
      </w:pPr>
      <w:r w:rsidRPr="00875F19">
        <w:rPr>
          <w:sz w:val="24"/>
          <w:szCs w:val="24"/>
          <w:u w:val="single"/>
        </w:rPr>
        <w:t xml:space="preserve">Farmakokinetiske/farmakodynamiske forhold </w:t>
      </w:r>
    </w:p>
    <w:p w14:paraId="418F493B" w14:textId="77777777" w:rsidR="00C806DE" w:rsidRPr="00875F19" w:rsidRDefault="00C806DE" w:rsidP="00507609">
      <w:pPr>
        <w:ind w:left="851"/>
        <w:rPr>
          <w:sz w:val="24"/>
          <w:szCs w:val="24"/>
          <w:lang w:val="nl-NL"/>
        </w:rPr>
      </w:pPr>
      <w:r w:rsidRPr="00875F19">
        <w:rPr>
          <w:sz w:val="24"/>
          <w:szCs w:val="24"/>
          <w:lang w:val="nl-NL"/>
        </w:rPr>
        <w:t xml:space="preserve">Der blev observeret en sammenhæng mellem den samlede lægemiddeleksponering divideret med MIC (AUC/MIC) og det kliniske resultat. Det kritiske forhold for forsøgspersoner med </w:t>
      </w:r>
      <w:r w:rsidRPr="00875F19">
        <w:rPr>
          <w:i/>
          <w:iCs/>
          <w:sz w:val="24"/>
          <w:szCs w:val="24"/>
          <w:lang w:val="nl-NL"/>
        </w:rPr>
        <w:t>Aspergillus-</w:t>
      </w:r>
      <w:r w:rsidRPr="00875F19">
        <w:rPr>
          <w:sz w:val="24"/>
          <w:szCs w:val="24"/>
          <w:lang w:val="nl-NL"/>
        </w:rPr>
        <w:t xml:space="preserve">infektioner var ~200. Det er især vigtigt at forsøge at sikre, at de maksimale plasmaniveauer opnås hos patienter, der er inficeret med </w:t>
      </w:r>
      <w:r w:rsidRPr="00875F19">
        <w:rPr>
          <w:i/>
          <w:iCs/>
          <w:sz w:val="24"/>
          <w:szCs w:val="24"/>
          <w:lang w:val="nl-NL"/>
        </w:rPr>
        <w:t>Aspergillus</w:t>
      </w:r>
      <w:r w:rsidRPr="00875F19">
        <w:rPr>
          <w:sz w:val="24"/>
          <w:szCs w:val="24"/>
          <w:lang w:val="nl-NL"/>
        </w:rPr>
        <w:t xml:space="preserve"> (se pkt. 4.2 og 5.2 for oplysninger om anbefalede dosisregimener).</w:t>
      </w:r>
    </w:p>
    <w:p w14:paraId="30F93E84" w14:textId="77777777" w:rsidR="00C806DE" w:rsidRPr="00875F19" w:rsidRDefault="00C806DE" w:rsidP="00507609">
      <w:pPr>
        <w:ind w:left="851"/>
        <w:rPr>
          <w:sz w:val="24"/>
          <w:szCs w:val="24"/>
          <w:lang w:val="nl-NL"/>
        </w:rPr>
      </w:pPr>
    </w:p>
    <w:p w14:paraId="64E01EE0" w14:textId="77777777" w:rsidR="00C806DE" w:rsidRPr="00875F19" w:rsidRDefault="00C806DE" w:rsidP="00507609">
      <w:pPr>
        <w:ind w:left="851"/>
        <w:rPr>
          <w:sz w:val="24"/>
          <w:szCs w:val="24"/>
          <w:u w:val="single"/>
          <w:lang w:val="nl-NL"/>
        </w:rPr>
      </w:pPr>
      <w:r w:rsidRPr="00875F19">
        <w:rPr>
          <w:sz w:val="24"/>
          <w:szCs w:val="24"/>
          <w:u w:val="single"/>
          <w:lang w:val="nl-NL"/>
        </w:rPr>
        <w:t xml:space="preserve">Fordeling </w:t>
      </w:r>
    </w:p>
    <w:p w14:paraId="050D57D0" w14:textId="252815A4" w:rsidR="00C806DE" w:rsidRPr="00875F19" w:rsidRDefault="00C806DE" w:rsidP="00507609">
      <w:pPr>
        <w:ind w:left="851"/>
        <w:rPr>
          <w:sz w:val="24"/>
          <w:szCs w:val="24"/>
          <w:lang w:val="nl-NL"/>
        </w:rPr>
      </w:pPr>
      <w:r w:rsidRPr="00875F19">
        <w:rPr>
          <w:sz w:val="24"/>
          <w:szCs w:val="24"/>
          <w:lang w:val="nl-NL"/>
        </w:rPr>
        <w:t>Efter administration af 300 mg posaconazol koncentrat til infusionsvæske, opløsning over 90 minutter var den gennemsnitlige peak-plasmakoncentration ved afslutningen af infusionen 3.280 ng/ml (74 % CV (varianskoefficient)). Posaconazol udviser dosisproportional farmakokinetik efter administration af enkeltdosis og flergangsdosering i det terapeutiske dosisinterval (200-300 mg). Posaconazol har en fordelingsvolumen på 261</w:t>
      </w:r>
      <w:r w:rsidR="00E5143B">
        <w:rPr>
          <w:sz w:val="24"/>
          <w:szCs w:val="24"/>
          <w:lang w:val="nl-NL"/>
        </w:rPr>
        <w:t> </w:t>
      </w:r>
      <w:r w:rsidRPr="00875F19">
        <w:rPr>
          <w:sz w:val="24"/>
          <w:szCs w:val="24"/>
          <w:lang w:val="nl-NL"/>
        </w:rPr>
        <w:t>l, hvilket indikerer ekstravaskulær fordeling.</w:t>
      </w:r>
    </w:p>
    <w:p w14:paraId="6BEE7145" w14:textId="77777777" w:rsidR="00C806DE" w:rsidRPr="00875F19" w:rsidRDefault="00C806DE" w:rsidP="00507609">
      <w:pPr>
        <w:ind w:left="851"/>
        <w:rPr>
          <w:sz w:val="24"/>
          <w:szCs w:val="24"/>
          <w:lang w:val="nl-NL"/>
        </w:rPr>
      </w:pPr>
    </w:p>
    <w:p w14:paraId="357C5270" w14:textId="77777777" w:rsidR="00C806DE" w:rsidRPr="00875F19" w:rsidRDefault="00C806DE" w:rsidP="00507609">
      <w:pPr>
        <w:ind w:left="851"/>
        <w:rPr>
          <w:sz w:val="24"/>
          <w:szCs w:val="24"/>
          <w:lang w:val="nl-NL"/>
        </w:rPr>
      </w:pPr>
      <w:r w:rsidRPr="00875F19">
        <w:rPr>
          <w:sz w:val="24"/>
          <w:szCs w:val="24"/>
          <w:lang w:val="nl-NL"/>
        </w:rPr>
        <w:t>Posaconazol har en høj proteinbinding (&gt; 98 %) hovedsagelig til serumalbumin.</w:t>
      </w:r>
    </w:p>
    <w:p w14:paraId="7D735B97" w14:textId="77777777" w:rsidR="00C806DE" w:rsidRPr="00875F19" w:rsidRDefault="00C806DE" w:rsidP="00507609">
      <w:pPr>
        <w:ind w:left="851"/>
        <w:rPr>
          <w:sz w:val="24"/>
          <w:szCs w:val="24"/>
          <w:lang w:val="nl-NL"/>
        </w:rPr>
      </w:pPr>
    </w:p>
    <w:p w14:paraId="4D8DA5F1" w14:textId="77777777" w:rsidR="00C806DE" w:rsidRPr="00875F19" w:rsidRDefault="00C806DE" w:rsidP="00507609">
      <w:pPr>
        <w:ind w:left="851"/>
        <w:rPr>
          <w:sz w:val="24"/>
          <w:szCs w:val="24"/>
          <w:u w:val="single"/>
          <w:lang w:val="nl-NL"/>
        </w:rPr>
      </w:pPr>
      <w:r w:rsidRPr="00875F19">
        <w:rPr>
          <w:sz w:val="24"/>
          <w:szCs w:val="24"/>
          <w:u w:val="single"/>
          <w:lang w:val="nl-NL"/>
        </w:rPr>
        <w:t xml:space="preserve">Biotransformation </w:t>
      </w:r>
    </w:p>
    <w:p w14:paraId="4E23F294" w14:textId="77777777" w:rsidR="00C806DE" w:rsidRPr="00875F19" w:rsidRDefault="00C806DE" w:rsidP="00507609">
      <w:pPr>
        <w:ind w:left="851"/>
        <w:rPr>
          <w:sz w:val="24"/>
          <w:szCs w:val="24"/>
          <w:lang w:val="nl-NL"/>
        </w:rPr>
      </w:pPr>
      <w:r w:rsidRPr="00875F19">
        <w:rPr>
          <w:sz w:val="24"/>
          <w:szCs w:val="24"/>
          <w:lang w:val="nl-NL"/>
        </w:rPr>
        <w:t>Posaconazol har ingen væsentlige cirkulerende metabolitter. Af de cirkulerende metabolitter er hovedparten glucuronidkonjugater af posaconazol, og kun mindre mængder af oxidative (CYP450- medierede) metabolitter er set. De metabolitter, der udskilles i urin og fæces, udgør ca. 17 % af den administrerede radioaktivt mærkede dosis af posaconazol oral suspension.</w:t>
      </w:r>
    </w:p>
    <w:p w14:paraId="541E0469" w14:textId="77777777" w:rsidR="00C806DE" w:rsidRPr="00875F19" w:rsidRDefault="00C806DE" w:rsidP="00507609">
      <w:pPr>
        <w:ind w:left="851"/>
        <w:rPr>
          <w:sz w:val="24"/>
          <w:szCs w:val="24"/>
          <w:lang w:val="nl-NL"/>
        </w:rPr>
      </w:pPr>
    </w:p>
    <w:p w14:paraId="1E9C1886" w14:textId="77777777" w:rsidR="00C806DE" w:rsidRPr="00875F19" w:rsidRDefault="00C806DE" w:rsidP="00507609">
      <w:pPr>
        <w:ind w:left="851"/>
        <w:rPr>
          <w:sz w:val="24"/>
          <w:szCs w:val="24"/>
          <w:u w:val="single"/>
          <w:lang w:val="nl-NL"/>
        </w:rPr>
      </w:pPr>
      <w:r w:rsidRPr="00875F19">
        <w:rPr>
          <w:sz w:val="24"/>
          <w:szCs w:val="24"/>
          <w:u w:val="single"/>
          <w:lang w:val="nl-NL"/>
        </w:rPr>
        <w:t xml:space="preserve">Elimination </w:t>
      </w:r>
    </w:p>
    <w:p w14:paraId="65658121" w14:textId="77777777" w:rsidR="00C806DE" w:rsidRPr="00875F19" w:rsidRDefault="00C806DE" w:rsidP="00507609">
      <w:pPr>
        <w:ind w:left="851"/>
        <w:rPr>
          <w:sz w:val="24"/>
          <w:szCs w:val="24"/>
          <w:lang w:val="nl-NL"/>
        </w:rPr>
      </w:pPr>
      <w:r w:rsidRPr="00875F19">
        <w:rPr>
          <w:sz w:val="24"/>
          <w:szCs w:val="24"/>
          <w:lang w:val="nl-NL"/>
        </w:rPr>
        <w:t xml:space="preserve">Efter administration af 300 mg posaconazol koncentrat til infusionsvæske, opløsning elimineres posaconazol langsomt med en gennemsnitlig halveringstid (t½) på 27 timer og en gennemsnitlig udskillelse på 7,3 l/time. Efter administration af </w:t>
      </w:r>
      <w:r w:rsidRPr="00875F19">
        <w:rPr>
          <w:sz w:val="24"/>
          <w:szCs w:val="24"/>
          <w:vertAlign w:val="superscript"/>
          <w:lang w:val="nl-NL"/>
        </w:rPr>
        <w:t>14</w:t>
      </w:r>
      <w:r w:rsidRPr="00875F19">
        <w:rPr>
          <w:sz w:val="24"/>
          <w:szCs w:val="24"/>
          <w:lang w:val="nl-NL"/>
        </w:rPr>
        <w:t xml:space="preserve">C-posaconazol som oral suspension blev radioaktiviteten hovedsagelig genfundet i fæces (77 % af den radioaktivt mærkede dosis) heraf hovedparten som uforandret lægemiddel (66 % af den radioaktivt mærkede dosis). Den renale udskillelse er begrænset med 14 % af den radioaktivt mærkede dosis udskilt i urinen (&lt; 0,2 % afden radioaktivt mærkede dosis er uforandret lægemiddel). Plasmakoncentrationer ved </w:t>
      </w:r>
      <w:r w:rsidRPr="00875F19">
        <w:rPr>
          <w:i/>
          <w:iCs/>
          <w:sz w:val="24"/>
          <w:szCs w:val="24"/>
          <w:lang w:val="nl-NL"/>
        </w:rPr>
        <w:t>steady-state</w:t>
      </w:r>
      <w:r w:rsidRPr="00875F19">
        <w:rPr>
          <w:sz w:val="24"/>
          <w:szCs w:val="24"/>
          <w:lang w:val="nl-NL"/>
        </w:rPr>
        <w:t xml:space="preserve"> opnås på dag 6 ved en dosis på 300 mg (en gang dagligt efter en initialdosis på to gange dagligt på dag 1).</w:t>
      </w:r>
    </w:p>
    <w:p w14:paraId="0217AE87" w14:textId="77777777" w:rsidR="00C806DE" w:rsidRPr="00875F19" w:rsidRDefault="00C806DE" w:rsidP="00507609">
      <w:pPr>
        <w:ind w:left="851"/>
        <w:rPr>
          <w:sz w:val="24"/>
          <w:szCs w:val="24"/>
          <w:lang w:val="nl-NL"/>
        </w:rPr>
      </w:pPr>
    </w:p>
    <w:p w14:paraId="618F14DB" w14:textId="77777777" w:rsidR="00C806DE" w:rsidRPr="00875F19" w:rsidRDefault="00C806DE" w:rsidP="00507609">
      <w:pPr>
        <w:ind w:left="851"/>
        <w:rPr>
          <w:sz w:val="24"/>
          <w:szCs w:val="24"/>
          <w:lang w:val="nl-NL"/>
        </w:rPr>
      </w:pPr>
      <w:r w:rsidRPr="00875F19">
        <w:rPr>
          <w:sz w:val="24"/>
          <w:szCs w:val="24"/>
          <w:lang w:val="nl-NL"/>
        </w:rPr>
        <w:t>Efter administration af enkeltdosis posaconazol koncentrat til infusionsvæske, opløsning, steg posaconazols plasmakoncentration mere end dosisproportionalt i dosisintervallet 50-200 mg; til sammenligning sås dosisafhængige stigninger i dosisintervallet 200-300 mg.</w:t>
      </w:r>
    </w:p>
    <w:p w14:paraId="49200F05" w14:textId="77777777" w:rsidR="00C806DE" w:rsidRPr="00875F19" w:rsidRDefault="00C806DE" w:rsidP="00507609">
      <w:pPr>
        <w:ind w:left="851"/>
        <w:rPr>
          <w:sz w:val="24"/>
          <w:szCs w:val="24"/>
          <w:lang w:val="nl-NL"/>
        </w:rPr>
      </w:pPr>
    </w:p>
    <w:p w14:paraId="6DED0E27" w14:textId="77777777" w:rsidR="00C806DE" w:rsidRPr="00875F19" w:rsidRDefault="00C806DE" w:rsidP="00507609">
      <w:pPr>
        <w:ind w:left="851"/>
        <w:rPr>
          <w:sz w:val="24"/>
          <w:szCs w:val="24"/>
          <w:u w:val="single"/>
          <w:lang w:val="nl-NL"/>
        </w:rPr>
      </w:pPr>
      <w:r w:rsidRPr="00875F19">
        <w:rPr>
          <w:sz w:val="24"/>
          <w:szCs w:val="24"/>
          <w:u w:val="single"/>
          <w:lang w:val="nl-NL"/>
        </w:rPr>
        <w:t xml:space="preserve">Farmakokinetik i særlige populationer </w:t>
      </w:r>
    </w:p>
    <w:p w14:paraId="3A44D81E" w14:textId="77777777" w:rsidR="00C806DE" w:rsidRPr="00875F19" w:rsidRDefault="00C806DE" w:rsidP="00507609">
      <w:pPr>
        <w:ind w:left="851"/>
        <w:rPr>
          <w:sz w:val="24"/>
          <w:szCs w:val="24"/>
          <w:lang w:val="nl-NL"/>
        </w:rPr>
      </w:pPr>
      <w:r w:rsidRPr="00875F19">
        <w:rPr>
          <w:sz w:val="24"/>
          <w:szCs w:val="24"/>
          <w:lang w:val="nl-NL"/>
        </w:rPr>
        <w:t xml:space="preserve">På baggrund af en farmakokinetisk populationsmodel, der vurderer posaconazols farmakokinetik, blev </w:t>
      </w:r>
      <w:r w:rsidRPr="00875F19">
        <w:rPr>
          <w:i/>
          <w:iCs/>
          <w:sz w:val="24"/>
          <w:szCs w:val="24"/>
          <w:lang w:val="nl-NL"/>
        </w:rPr>
        <w:t>steady-state</w:t>
      </w:r>
      <w:r w:rsidRPr="00875F19">
        <w:rPr>
          <w:sz w:val="24"/>
          <w:szCs w:val="24"/>
          <w:lang w:val="nl-NL"/>
        </w:rPr>
        <w:t xml:space="preserve"> beregnet hos patienter, der fik posaconazol koncentrat til </w:t>
      </w:r>
      <w:r w:rsidRPr="00875F19">
        <w:rPr>
          <w:sz w:val="24"/>
          <w:szCs w:val="24"/>
          <w:lang w:val="nl-NL"/>
        </w:rPr>
        <w:lastRenderedPageBreak/>
        <w:t>infusionsvæske, opløsning, eller tabletter 300 mg en gang dagligt efter to gange dagligt på dag 1 til behandling af invasiv aspergillose og profylakse af invasive svampeinfektioner.</w:t>
      </w:r>
    </w:p>
    <w:p w14:paraId="7E23CABD" w14:textId="77777777" w:rsidR="00C806DE" w:rsidRPr="00875F19" w:rsidRDefault="00C806DE" w:rsidP="00507609">
      <w:pPr>
        <w:ind w:left="851"/>
        <w:rPr>
          <w:sz w:val="24"/>
          <w:szCs w:val="24"/>
          <w:lang w:val="nl-NL"/>
        </w:rPr>
      </w:pPr>
    </w:p>
    <w:p w14:paraId="3E25BEAE" w14:textId="77777777" w:rsidR="00C806DE" w:rsidRPr="00875F19" w:rsidRDefault="00C806DE" w:rsidP="00C806DE">
      <w:pPr>
        <w:rPr>
          <w:sz w:val="24"/>
          <w:szCs w:val="24"/>
          <w:lang w:val="nl-NL"/>
        </w:rPr>
      </w:pPr>
      <w:r w:rsidRPr="00875F19">
        <w:rPr>
          <w:b/>
          <w:bCs/>
          <w:sz w:val="24"/>
          <w:szCs w:val="24"/>
          <w:lang w:val="nl-NL"/>
        </w:rPr>
        <w:t>Tabel 8.</w:t>
      </w:r>
      <w:r w:rsidRPr="00875F19">
        <w:rPr>
          <w:sz w:val="24"/>
          <w:szCs w:val="24"/>
          <w:lang w:val="nl-NL"/>
        </w:rPr>
        <w:t xml:space="preserve"> Populationsberegnet median (10. percentil, 90. percentil) for </w:t>
      </w:r>
      <w:r w:rsidRPr="00875F19">
        <w:rPr>
          <w:i/>
          <w:iCs/>
          <w:sz w:val="24"/>
          <w:szCs w:val="24"/>
          <w:lang w:val="nl-NL"/>
        </w:rPr>
        <w:t>steady-state</w:t>
      </w:r>
      <w:r w:rsidRPr="00875F19">
        <w:rPr>
          <w:sz w:val="24"/>
          <w:szCs w:val="24"/>
          <w:lang w:val="nl-NL"/>
        </w:rPr>
        <w:t xml:space="preserve"> af posaconazol plasmakoncentration hos patienter efter administration af posaconazol koncentrat til infusionsvæske, opløsning, eller tabletter 300 mg en gang dagligt (to gange dagligt på dag 1)</w:t>
      </w:r>
    </w:p>
    <w:p w14:paraId="4910E32A" w14:textId="77777777" w:rsidR="00C806DE" w:rsidRPr="00875F19" w:rsidRDefault="00C806DE" w:rsidP="00C806DE">
      <w:pPr>
        <w:rPr>
          <w:sz w:val="24"/>
          <w:szCs w:val="24"/>
          <w:lang w:val="nl-NL"/>
        </w:rPr>
      </w:pPr>
    </w:p>
    <w:tbl>
      <w:tblPr>
        <w:tblStyle w:val="Tabel-Gitter"/>
        <w:tblW w:w="5000" w:type="pct"/>
        <w:tblInd w:w="0" w:type="dxa"/>
        <w:tblLook w:val="04A0" w:firstRow="1" w:lastRow="0" w:firstColumn="1" w:lastColumn="0" w:noHBand="0" w:noVBand="1"/>
      </w:tblPr>
      <w:tblGrid>
        <w:gridCol w:w="2407"/>
        <w:gridCol w:w="2407"/>
        <w:gridCol w:w="2407"/>
        <w:gridCol w:w="2407"/>
      </w:tblGrid>
      <w:tr w:rsidR="00C806DE" w:rsidRPr="009A6218" w14:paraId="7FB11BDF" w14:textId="77777777" w:rsidTr="00507609">
        <w:tc>
          <w:tcPr>
            <w:tcW w:w="1250" w:type="pct"/>
            <w:tcBorders>
              <w:top w:val="single" w:sz="4" w:space="0" w:color="auto"/>
              <w:left w:val="single" w:sz="4" w:space="0" w:color="auto"/>
              <w:bottom w:val="single" w:sz="4" w:space="0" w:color="auto"/>
              <w:right w:val="single" w:sz="4" w:space="0" w:color="auto"/>
            </w:tcBorders>
            <w:hideMark/>
          </w:tcPr>
          <w:p w14:paraId="27E7A6D0" w14:textId="77777777" w:rsidR="00C806DE" w:rsidRPr="009A6218" w:rsidRDefault="00C806DE">
            <w:pPr>
              <w:rPr>
                <w:rFonts w:ascii="Times New Roman" w:hAnsi="Times New Roman" w:cs="Times New Roman"/>
                <w:b/>
                <w:bCs/>
                <w:sz w:val="22"/>
              </w:rPr>
            </w:pPr>
            <w:r w:rsidRPr="009A6218">
              <w:rPr>
                <w:rFonts w:ascii="Times New Roman" w:hAnsi="Times New Roman" w:cs="Times New Roman"/>
                <w:b/>
                <w:bCs/>
                <w:sz w:val="22"/>
              </w:rPr>
              <w:t>Regime</w:t>
            </w:r>
          </w:p>
        </w:tc>
        <w:tc>
          <w:tcPr>
            <w:tcW w:w="1250" w:type="pct"/>
            <w:tcBorders>
              <w:top w:val="single" w:sz="4" w:space="0" w:color="auto"/>
              <w:left w:val="single" w:sz="4" w:space="0" w:color="auto"/>
              <w:bottom w:val="single" w:sz="4" w:space="0" w:color="auto"/>
              <w:right w:val="single" w:sz="4" w:space="0" w:color="auto"/>
            </w:tcBorders>
            <w:hideMark/>
          </w:tcPr>
          <w:p w14:paraId="7CF74A42" w14:textId="77777777" w:rsidR="00C806DE" w:rsidRPr="009A6218" w:rsidRDefault="00C806DE">
            <w:pPr>
              <w:rPr>
                <w:rFonts w:ascii="Times New Roman" w:hAnsi="Times New Roman" w:cs="Times New Roman"/>
                <w:b/>
                <w:bCs/>
                <w:sz w:val="22"/>
              </w:rPr>
            </w:pPr>
            <w:r w:rsidRPr="009A6218">
              <w:rPr>
                <w:rFonts w:ascii="Times New Roman" w:hAnsi="Times New Roman" w:cs="Times New Roman"/>
                <w:b/>
                <w:bCs/>
                <w:sz w:val="22"/>
              </w:rPr>
              <w:t>Population</w:t>
            </w:r>
          </w:p>
        </w:tc>
        <w:tc>
          <w:tcPr>
            <w:tcW w:w="1250" w:type="pct"/>
            <w:tcBorders>
              <w:top w:val="single" w:sz="4" w:space="0" w:color="auto"/>
              <w:left w:val="single" w:sz="4" w:space="0" w:color="auto"/>
              <w:bottom w:val="single" w:sz="4" w:space="0" w:color="auto"/>
              <w:right w:val="single" w:sz="4" w:space="0" w:color="auto"/>
            </w:tcBorders>
            <w:hideMark/>
          </w:tcPr>
          <w:p w14:paraId="35E8B7DE" w14:textId="77777777" w:rsidR="00C806DE" w:rsidRPr="009A6218" w:rsidRDefault="00C806DE">
            <w:pPr>
              <w:rPr>
                <w:rFonts w:ascii="Times New Roman" w:hAnsi="Times New Roman" w:cs="Times New Roman"/>
                <w:b/>
                <w:bCs/>
                <w:sz w:val="22"/>
              </w:rPr>
            </w:pPr>
            <w:r w:rsidRPr="009A6218">
              <w:rPr>
                <w:rFonts w:ascii="Times New Roman" w:hAnsi="Times New Roman" w:cs="Times New Roman"/>
                <w:b/>
                <w:bCs/>
                <w:sz w:val="22"/>
              </w:rPr>
              <w:t>C</w:t>
            </w:r>
            <w:r w:rsidRPr="009A6218">
              <w:rPr>
                <w:rFonts w:ascii="Times New Roman" w:hAnsi="Times New Roman" w:cs="Times New Roman"/>
                <w:b/>
                <w:bCs/>
                <w:sz w:val="22"/>
                <w:vertAlign w:val="subscript"/>
              </w:rPr>
              <w:t>av</w:t>
            </w:r>
            <w:r w:rsidRPr="009A6218">
              <w:rPr>
                <w:rFonts w:ascii="Times New Roman" w:hAnsi="Times New Roman" w:cs="Times New Roman"/>
                <w:b/>
                <w:bCs/>
                <w:sz w:val="22"/>
              </w:rPr>
              <w:t xml:space="preserve"> (ng/ml)</w:t>
            </w:r>
          </w:p>
        </w:tc>
        <w:tc>
          <w:tcPr>
            <w:tcW w:w="1250" w:type="pct"/>
            <w:tcBorders>
              <w:top w:val="single" w:sz="4" w:space="0" w:color="auto"/>
              <w:left w:val="single" w:sz="4" w:space="0" w:color="auto"/>
              <w:bottom w:val="single" w:sz="4" w:space="0" w:color="auto"/>
              <w:right w:val="single" w:sz="4" w:space="0" w:color="auto"/>
            </w:tcBorders>
            <w:hideMark/>
          </w:tcPr>
          <w:p w14:paraId="3BE29D16" w14:textId="77777777" w:rsidR="00C806DE" w:rsidRPr="009A6218" w:rsidRDefault="00C806DE">
            <w:pPr>
              <w:rPr>
                <w:rFonts w:ascii="Times New Roman" w:hAnsi="Times New Roman" w:cs="Times New Roman"/>
                <w:b/>
                <w:bCs/>
                <w:sz w:val="22"/>
              </w:rPr>
            </w:pPr>
            <w:r w:rsidRPr="009A6218">
              <w:rPr>
                <w:rFonts w:ascii="Times New Roman" w:hAnsi="Times New Roman" w:cs="Times New Roman"/>
                <w:b/>
                <w:bCs/>
                <w:sz w:val="22"/>
              </w:rPr>
              <w:t>C</w:t>
            </w:r>
            <w:r w:rsidRPr="009A6218">
              <w:rPr>
                <w:rFonts w:ascii="Times New Roman" w:hAnsi="Times New Roman" w:cs="Times New Roman"/>
                <w:b/>
                <w:bCs/>
                <w:sz w:val="22"/>
                <w:vertAlign w:val="subscript"/>
              </w:rPr>
              <w:t>min</w:t>
            </w:r>
            <w:r w:rsidRPr="009A6218">
              <w:rPr>
                <w:rFonts w:ascii="Times New Roman" w:hAnsi="Times New Roman" w:cs="Times New Roman"/>
                <w:b/>
                <w:bCs/>
                <w:sz w:val="22"/>
              </w:rPr>
              <w:t xml:space="preserve"> (ng/ml)</w:t>
            </w:r>
          </w:p>
        </w:tc>
      </w:tr>
      <w:tr w:rsidR="00C806DE" w:rsidRPr="009A6218" w14:paraId="0DF59B57" w14:textId="77777777" w:rsidTr="00507609">
        <w:tc>
          <w:tcPr>
            <w:tcW w:w="1250" w:type="pct"/>
            <w:vMerge w:val="restart"/>
            <w:tcBorders>
              <w:top w:val="single" w:sz="4" w:space="0" w:color="auto"/>
              <w:left w:val="single" w:sz="4" w:space="0" w:color="auto"/>
              <w:bottom w:val="single" w:sz="4" w:space="0" w:color="auto"/>
              <w:right w:val="single" w:sz="4" w:space="0" w:color="auto"/>
            </w:tcBorders>
          </w:tcPr>
          <w:p w14:paraId="488733C5" w14:textId="77777777" w:rsidR="00C806DE" w:rsidRPr="009A6218" w:rsidRDefault="00C806DE">
            <w:pPr>
              <w:rPr>
                <w:rFonts w:ascii="Times New Roman" w:hAnsi="Times New Roman" w:cs="Times New Roman"/>
                <w:sz w:val="22"/>
              </w:rPr>
            </w:pPr>
          </w:p>
          <w:p w14:paraId="05D9ECDA"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Tablet (under faste)</w:t>
            </w:r>
          </w:p>
        </w:tc>
        <w:tc>
          <w:tcPr>
            <w:tcW w:w="1250" w:type="pct"/>
            <w:tcBorders>
              <w:top w:val="single" w:sz="4" w:space="0" w:color="auto"/>
              <w:left w:val="single" w:sz="4" w:space="0" w:color="auto"/>
              <w:bottom w:val="single" w:sz="4" w:space="0" w:color="auto"/>
              <w:right w:val="single" w:sz="4" w:space="0" w:color="auto"/>
            </w:tcBorders>
            <w:hideMark/>
          </w:tcPr>
          <w:p w14:paraId="14602A56"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Profylakse</w:t>
            </w:r>
          </w:p>
        </w:tc>
        <w:tc>
          <w:tcPr>
            <w:tcW w:w="1250" w:type="pct"/>
            <w:tcBorders>
              <w:top w:val="single" w:sz="4" w:space="0" w:color="auto"/>
              <w:left w:val="single" w:sz="4" w:space="0" w:color="auto"/>
              <w:bottom w:val="single" w:sz="4" w:space="0" w:color="auto"/>
              <w:right w:val="single" w:sz="4" w:space="0" w:color="auto"/>
            </w:tcBorders>
            <w:hideMark/>
          </w:tcPr>
          <w:p w14:paraId="4844CF20"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1.550 (874; 2.690)</w:t>
            </w:r>
          </w:p>
        </w:tc>
        <w:tc>
          <w:tcPr>
            <w:tcW w:w="1250" w:type="pct"/>
            <w:tcBorders>
              <w:top w:val="single" w:sz="4" w:space="0" w:color="auto"/>
              <w:left w:val="single" w:sz="4" w:space="0" w:color="auto"/>
              <w:bottom w:val="single" w:sz="4" w:space="0" w:color="auto"/>
              <w:right w:val="single" w:sz="4" w:space="0" w:color="auto"/>
            </w:tcBorders>
            <w:hideMark/>
          </w:tcPr>
          <w:p w14:paraId="12CAED13"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1.330 (667; 2.400)</w:t>
            </w:r>
          </w:p>
        </w:tc>
      </w:tr>
      <w:tr w:rsidR="00C806DE" w:rsidRPr="009A6218" w14:paraId="52A04657" w14:textId="77777777" w:rsidTr="00507609">
        <w:tc>
          <w:tcPr>
            <w:tcW w:w="1250" w:type="pct"/>
            <w:vMerge/>
            <w:tcBorders>
              <w:top w:val="single" w:sz="4" w:space="0" w:color="auto"/>
              <w:left w:val="single" w:sz="4" w:space="0" w:color="auto"/>
              <w:bottom w:val="single" w:sz="4" w:space="0" w:color="auto"/>
              <w:right w:val="single" w:sz="4" w:space="0" w:color="auto"/>
            </w:tcBorders>
            <w:vAlign w:val="center"/>
            <w:hideMark/>
          </w:tcPr>
          <w:p w14:paraId="22551D3E" w14:textId="77777777" w:rsidR="00C806DE" w:rsidRPr="009A6218" w:rsidRDefault="00C806DE">
            <w:pPr>
              <w:rPr>
                <w:rFonts w:ascii="Times New Roman" w:hAnsi="Times New Roman" w:cs="Times New Roman"/>
                <w:sz w:val="22"/>
              </w:rPr>
            </w:pPr>
          </w:p>
        </w:tc>
        <w:tc>
          <w:tcPr>
            <w:tcW w:w="1250" w:type="pct"/>
            <w:tcBorders>
              <w:top w:val="single" w:sz="4" w:space="0" w:color="auto"/>
              <w:left w:val="single" w:sz="4" w:space="0" w:color="auto"/>
              <w:bottom w:val="single" w:sz="4" w:space="0" w:color="auto"/>
              <w:right w:val="single" w:sz="4" w:space="0" w:color="auto"/>
            </w:tcBorders>
            <w:hideMark/>
          </w:tcPr>
          <w:p w14:paraId="364F95B0"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Behandling afinvasiv aspergillose</w:t>
            </w:r>
          </w:p>
        </w:tc>
        <w:tc>
          <w:tcPr>
            <w:tcW w:w="1250" w:type="pct"/>
            <w:tcBorders>
              <w:top w:val="single" w:sz="4" w:space="0" w:color="auto"/>
              <w:left w:val="single" w:sz="4" w:space="0" w:color="auto"/>
              <w:bottom w:val="single" w:sz="4" w:space="0" w:color="auto"/>
              <w:right w:val="single" w:sz="4" w:space="0" w:color="auto"/>
            </w:tcBorders>
            <w:hideMark/>
          </w:tcPr>
          <w:p w14:paraId="262E4353"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1.780 (879; 3.540)</w:t>
            </w:r>
          </w:p>
        </w:tc>
        <w:tc>
          <w:tcPr>
            <w:tcW w:w="1250" w:type="pct"/>
            <w:tcBorders>
              <w:top w:val="single" w:sz="4" w:space="0" w:color="auto"/>
              <w:left w:val="single" w:sz="4" w:space="0" w:color="auto"/>
              <w:bottom w:val="single" w:sz="4" w:space="0" w:color="auto"/>
              <w:right w:val="single" w:sz="4" w:space="0" w:color="auto"/>
            </w:tcBorders>
            <w:hideMark/>
          </w:tcPr>
          <w:p w14:paraId="57D99E71"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1.490 (663; 3.230)</w:t>
            </w:r>
          </w:p>
        </w:tc>
      </w:tr>
      <w:tr w:rsidR="00C806DE" w:rsidRPr="009A6218" w14:paraId="46169BCC" w14:textId="77777777" w:rsidTr="00507609">
        <w:tc>
          <w:tcPr>
            <w:tcW w:w="1250" w:type="pct"/>
            <w:vMerge w:val="restart"/>
            <w:tcBorders>
              <w:top w:val="single" w:sz="4" w:space="0" w:color="auto"/>
              <w:left w:val="single" w:sz="4" w:space="0" w:color="auto"/>
              <w:bottom w:val="single" w:sz="4" w:space="0" w:color="auto"/>
              <w:right w:val="single" w:sz="4" w:space="0" w:color="auto"/>
            </w:tcBorders>
            <w:hideMark/>
          </w:tcPr>
          <w:p w14:paraId="69B76A05"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Koncentrat til infusionsvæske, opløsning</w:t>
            </w:r>
          </w:p>
        </w:tc>
        <w:tc>
          <w:tcPr>
            <w:tcW w:w="1250" w:type="pct"/>
            <w:tcBorders>
              <w:top w:val="single" w:sz="4" w:space="0" w:color="auto"/>
              <w:left w:val="single" w:sz="4" w:space="0" w:color="auto"/>
              <w:bottom w:val="single" w:sz="4" w:space="0" w:color="auto"/>
              <w:right w:val="single" w:sz="4" w:space="0" w:color="auto"/>
            </w:tcBorders>
            <w:hideMark/>
          </w:tcPr>
          <w:p w14:paraId="3C6B29AB"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Profylakse</w:t>
            </w:r>
          </w:p>
        </w:tc>
        <w:tc>
          <w:tcPr>
            <w:tcW w:w="1250" w:type="pct"/>
            <w:tcBorders>
              <w:top w:val="single" w:sz="4" w:space="0" w:color="auto"/>
              <w:left w:val="single" w:sz="4" w:space="0" w:color="auto"/>
              <w:bottom w:val="single" w:sz="4" w:space="0" w:color="auto"/>
              <w:right w:val="single" w:sz="4" w:space="0" w:color="auto"/>
            </w:tcBorders>
            <w:hideMark/>
          </w:tcPr>
          <w:p w14:paraId="762A5584"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1.890 (1.100; 3.150)</w:t>
            </w:r>
          </w:p>
        </w:tc>
        <w:tc>
          <w:tcPr>
            <w:tcW w:w="1250" w:type="pct"/>
            <w:tcBorders>
              <w:top w:val="single" w:sz="4" w:space="0" w:color="auto"/>
              <w:left w:val="single" w:sz="4" w:space="0" w:color="auto"/>
              <w:bottom w:val="single" w:sz="4" w:space="0" w:color="auto"/>
              <w:right w:val="single" w:sz="4" w:space="0" w:color="auto"/>
            </w:tcBorders>
            <w:hideMark/>
          </w:tcPr>
          <w:p w14:paraId="511FA555"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1.500 (745; 2.660)</w:t>
            </w:r>
          </w:p>
        </w:tc>
      </w:tr>
      <w:tr w:rsidR="00C806DE" w:rsidRPr="009A6218" w14:paraId="7C472F29" w14:textId="77777777" w:rsidTr="00507609">
        <w:tc>
          <w:tcPr>
            <w:tcW w:w="1250" w:type="pct"/>
            <w:vMerge/>
            <w:tcBorders>
              <w:top w:val="single" w:sz="4" w:space="0" w:color="auto"/>
              <w:left w:val="single" w:sz="4" w:space="0" w:color="auto"/>
              <w:bottom w:val="single" w:sz="4" w:space="0" w:color="auto"/>
              <w:right w:val="single" w:sz="4" w:space="0" w:color="auto"/>
            </w:tcBorders>
            <w:vAlign w:val="center"/>
            <w:hideMark/>
          </w:tcPr>
          <w:p w14:paraId="6C63CCDB" w14:textId="77777777" w:rsidR="00C806DE" w:rsidRPr="009A6218" w:rsidRDefault="00C806DE">
            <w:pPr>
              <w:rPr>
                <w:rFonts w:ascii="Times New Roman" w:hAnsi="Times New Roman" w:cs="Times New Roman"/>
                <w:sz w:val="22"/>
              </w:rPr>
            </w:pPr>
          </w:p>
        </w:tc>
        <w:tc>
          <w:tcPr>
            <w:tcW w:w="1250" w:type="pct"/>
            <w:tcBorders>
              <w:top w:val="single" w:sz="4" w:space="0" w:color="auto"/>
              <w:left w:val="single" w:sz="4" w:space="0" w:color="auto"/>
              <w:bottom w:val="single" w:sz="4" w:space="0" w:color="auto"/>
              <w:right w:val="single" w:sz="4" w:space="0" w:color="auto"/>
            </w:tcBorders>
            <w:hideMark/>
          </w:tcPr>
          <w:p w14:paraId="4BB6CF0A"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Behandling afinvasiv aspergillose</w:t>
            </w:r>
          </w:p>
        </w:tc>
        <w:tc>
          <w:tcPr>
            <w:tcW w:w="1250" w:type="pct"/>
            <w:tcBorders>
              <w:top w:val="single" w:sz="4" w:space="0" w:color="auto"/>
              <w:left w:val="single" w:sz="4" w:space="0" w:color="auto"/>
              <w:bottom w:val="single" w:sz="4" w:space="0" w:color="auto"/>
              <w:right w:val="single" w:sz="4" w:space="0" w:color="auto"/>
            </w:tcBorders>
            <w:hideMark/>
          </w:tcPr>
          <w:p w14:paraId="3F31989C"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2.240 (1.230; 4.160)</w:t>
            </w:r>
          </w:p>
        </w:tc>
        <w:tc>
          <w:tcPr>
            <w:tcW w:w="1250" w:type="pct"/>
            <w:tcBorders>
              <w:top w:val="single" w:sz="4" w:space="0" w:color="auto"/>
              <w:left w:val="single" w:sz="4" w:space="0" w:color="auto"/>
              <w:bottom w:val="single" w:sz="4" w:space="0" w:color="auto"/>
              <w:right w:val="single" w:sz="4" w:space="0" w:color="auto"/>
            </w:tcBorders>
            <w:hideMark/>
          </w:tcPr>
          <w:p w14:paraId="6CB87AAD"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1.780 (874; 3.620)</w:t>
            </w:r>
          </w:p>
        </w:tc>
      </w:tr>
    </w:tbl>
    <w:p w14:paraId="51E942E3" w14:textId="77777777" w:rsidR="00C806DE" w:rsidRPr="00875F19" w:rsidRDefault="00C806DE" w:rsidP="00C806DE">
      <w:pPr>
        <w:rPr>
          <w:kern w:val="2"/>
          <w:sz w:val="24"/>
          <w:szCs w:val="24"/>
          <w:lang w:val="en-IN"/>
          <w14:ligatures w14:val="standardContextual"/>
        </w:rPr>
      </w:pPr>
    </w:p>
    <w:p w14:paraId="7CB7D634" w14:textId="77777777" w:rsidR="00C806DE" w:rsidRPr="00875F19" w:rsidRDefault="00C806DE" w:rsidP="00507609">
      <w:pPr>
        <w:ind w:left="851"/>
        <w:rPr>
          <w:sz w:val="24"/>
          <w:szCs w:val="24"/>
        </w:rPr>
      </w:pPr>
      <w:r w:rsidRPr="00875F19">
        <w:rPr>
          <w:sz w:val="24"/>
          <w:szCs w:val="24"/>
        </w:rPr>
        <w:t>Den farmakokinetiske populationsanalyse for posaconazol hos patienter tyder på, at race, køn, nedsat nyrefunktion og sygdom (profylakse eller behandling) ikke har klinisk betydningsfuld indvirkning på posaconazols farmakokinetik.</w:t>
      </w:r>
    </w:p>
    <w:p w14:paraId="33A17DA1" w14:textId="77777777" w:rsidR="00C806DE" w:rsidRPr="00875F19" w:rsidRDefault="00C806DE" w:rsidP="00507609">
      <w:pPr>
        <w:ind w:left="851"/>
        <w:rPr>
          <w:sz w:val="24"/>
          <w:szCs w:val="24"/>
        </w:rPr>
      </w:pPr>
    </w:p>
    <w:p w14:paraId="555D6354" w14:textId="77777777" w:rsidR="00C806DE" w:rsidRPr="00875F19" w:rsidRDefault="00C806DE" w:rsidP="00507609">
      <w:pPr>
        <w:ind w:left="851"/>
        <w:rPr>
          <w:i/>
          <w:iCs/>
          <w:sz w:val="24"/>
          <w:szCs w:val="24"/>
        </w:rPr>
      </w:pPr>
      <w:r w:rsidRPr="00875F19">
        <w:rPr>
          <w:i/>
          <w:iCs/>
          <w:sz w:val="24"/>
          <w:szCs w:val="24"/>
        </w:rPr>
        <w:t xml:space="preserve">Børn (&lt; 18 år) </w:t>
      </w:r>
    </w:p>
    <w:p w14:paraId="7AB85F2F" w14:textId="77777777" w:rsidR="00C806DE" w:rsidRPr="00875F19" w:rsidRDefault="00C806DE" w:rsidP="00507609">
      <w:pPr>
        <w:ind w:left="851"/>
        <w:rPr>
          <w:sz w:val="24"/>
          <w:szCs w:val="24"/>
        </w:rPr>
      </w:pPr>
      <w:r w:rsidRPr="00875F19">
        <w:rPr>
          <w:sz w:val="24"/>
          <w:szCs w:val="24"/>
        </w:rPr>
        <w:t>Der foreligger kun begrænset (n=3) erfaring med posaconazol koncentrat til infusionsvæske, opløsning til børn i studiet med behandling af invasiv aspergillose (se pkt. 4.2 og 5.3).</w:t>
      </w:r>
    </w:p>
    <w:p w14:paraId="0E288DD5" w14:textId="77777777" w:rsidR="00C806DE" w:rsidRPr="00875F19" w:rsidRDefault="00C806DE" w:rsidP="00507609">
      <w:pPr>
        <w:ind w:left="851"/>
        <w:rPr>
          <w:sz w:val="24"/>
          <w:szCs w:val="24"/>
        </w:rPr>
      </w:pPr>
    </w:p>
    <w:p w14:paraId="44D5CC51" w14:textId="77777777" w:rsidR="00C806DE" w:rsidRPr="00875F19" w:rsidRDefault="00C806DE" w:rsidP="00507609">
      <w:pPr>
        <w:ind w:left="851"/>
        <w:rPr>
          <w:sz w:val="24"/>
          <w:szCs w:val="24"/>
        </w:rPr>
      </w:pPr>
      <w:r w:rsidRPr="00875F19">
        <w:rPr>
          <w:sz w:val="24"/>
          <w:szCs w:val="24"/>
        </w:rPr>
        <w:t>De gennemsnitlige farmakokinetiske parametre efter administration af gentagne doser af posaconazol koncentrat til infusionsvæske, opløsning, og posaconazol enteropulver og solvens til oral suspension hos neutropeniske pædiatriske patienter i alderen 2 år til under 18 år er vist i tabel 9. Patienterne blev inkluderet i 2 aldersgrupper og fik posaconazol koncentrat til infusionsvæske, opløsning, og posaconazol enteropulver og solvens til oral suspension ved en dosis på 6 mg/kg (højst 300 mg) en gang dagligt (to gange dagligt på dag 1) (se pkt. 5.1).</w:t>
      </w:r>
    </w:p>
    <w:p w14:paraId="590C1225" w14:textId="77777777" w:rsidR="00C806DE" w:rsidRPr="00875F19" w:rsidRDefault="00C806DE" w:rsidP="00C806DE">
      <w:pPr>
        <w:rPr>
          <w:sz w:val="24"/>
          <w:szCs w:val="24"/>
        </w:rPr>
      </w:pPr>
    </w:p>
    <w:p w14:paraId="3F2103A9" w14:textId="77777777" w:rsidR="00C806DE" w:rsidRPr="00875F19" w:rsidRDefault="00C806DE" w:rsidP="00C806DE">
      <w:pPr>
        <w:rPr>
          <w:sz w:val="24"/>
          <w:szCs w:val="24"/>
        </w:rPr>
      </w:pPr>
      <w:r w:rsidRPr="00875F19">
        <w:rPr>
          <w:b/>
          <w:bCs/>
          <w:sz w:val="24"/>
          <w:szCs w:val="24"/>
        </w:rPr>
        <w:t>Tabel 9.</w:t>
      </w:r>
      <w:r w:rsidRPr="00875F19">
        <w:rPr>
          <w:sz w:val="24"/>
          <w:szCs w:val="24"/>
        </w:rPr>
        <w:t xml:space="preserve"> Oversigt over geometriske gennemsnitlige farmakokinetiske parametre ved </w:t>
      </w:r>
      <w:r w:rsidRPr="00875F19">
        <w:rPr>
          <w:i/>
          <w:iCs/>
          <w:sz w:val="24"/>
          <w:szCs w:val="24"/>
        </w:rPr>
        <w:t>steady-state</w:t>
      </w:r>
      <w:r w:rsidRPr="00875F19">
        <w:rPr>
          <w:sz w:val="24"/>
          <w:szCs w:val="24"/>
        </w:rPr>
        <w:t xml:space="preserve"> (% geometrisk variationskoefficient) efter gentagne doser af posaconazol koncentrat til infusionsvæske, opløsning, og posaconazol enteropulver og solvens til oral suspension ved en dosis på 6 mg/kg hos pædiatriske patienter med neutropeni eller formodet neutropeni</w:t>
      </w:r>
    </w:p>
    <w:p w14:paraId="70964BA6" w14:textId="77777777" w:rsidR="00C806DE" w:rsidRPr="00875F19" w:rsidRDefault="00C806DE" w:rsidP="00C806DE">
      <w:pPr>
        <w:rPr>
          <w:sz w:val="24"/>
          <w:szCs w:val="24"/>
        </w:rPr>
      </w:pPr>
    </w:p>
    <w:tbl>
      <w:tblPr>
        <w:tblStyle w:val="Tabel-Gitter"/>
        <w:tblW w:w="5000" w:type="pct"/>
        <w:tblInd w:w="0" w:type="dxa"/>
        <w:tblLook w:val="04A0" w:firstRow="1" w:lastRow="0" w:firstColumn="1" w:lastColumn="0" w:noHBand="0" w:noVBand="1"/>
      </w:tblPr>
      <w:tblGrid>
        <w:gridCol w:w="1665"/>
        <w:gridCol w:w="1229"/>
        <w:gridCol w:w="570"/>
        <w:gridCol w:w="1165"/>
        <w:gridCol w:w="984"/>
        <w:gridCol w:w="984"/>
        <w:gridCol w:w="984"/>
        <w:gridCol w:w="957"/>
        <w:gridCol w:w="1090"/>
      </w:tblGrid>
      <w:tr w:rsidR="00C806DE" w:rsidRPr="009A6218" w14:paraId="55E56CB9" w14:textId="77777777" w:rsidTr="00507609">
        <w:tc>
          <w:tcPr>
            <w:tcW w:w="865" w:type="pct"/>
            <w:tcBorders>
              <w:top w:val="single" w:sz="4" w:space="0" w:color="auto"/>
              <w:left w:val="single" w:sz="4" w:space="0" w:color="auto"/>
              <w:bottom w:val="single" w:sz="4" w:space="0" w:color="auto"/>
              <w:right w:val="single" w:sz="4" w:space="0" w:color="auto"/>
            </w:tcBorders>
            <w:hideMark/>
          </w:tcPr>
          <w:p w14:paraId="50E116AA" w14:textId="77777777" w:rsidR="00C806DE" w:rsidRPr="009A6218" w:rsidRDefault="00C806DE">
            <w:pPr>
              <w:rPr>
                <w:rFonts w:ascii="Times New Roman" w:hAnsi="Times New Roman" w:cs="Times New Roman"/>
                <w:b/>
                <w:bCs/>
                <w:sz w:val="22"/>
              </w:rPr>
            </w:pPr>
            <w:r w:rsidRPr="009A6218">
              <w:rPr>
                <w:rFonts w:ascii="Times New Roman" w:hAnsi="Times New Roman" w:cs="Times New Roman"/>
                <w:b/>
                <w:bCs/>
                <w:sz w:val="22"/>
              </w:rPr>
              <w:t>Aldersgruppe</w:t>
            </w:r>
          </w:p>
        </w:tc>
        <w:tc>
          <w:tcPr>
            <w:tcW w:w="638" w:type="pct"/>
            <w:tcBorders>
              <w:top w:val="single" w:sz="4" w:space="0" w:color="auto"/>
              <w:left w:val="single" w:sz="4" w:space="0" w:color="auto"/>
              <w:bottom w:val="single" w:sz="4" w:space="0" w:color="auto"/>
              <w:right w:val="single" w:sz="4" w:space="0" w:color="auto"/>
            </w:tcBorders>
            <w:hideMark/>
          </w:tcPr>
          <w:p w14:paraId="662F5F3B" w14:textId="77777777" w:rsidR="00C806DE" w:rsidRPr="009A6218" w:rsidRDefault="00C806DE">
            <w:pPr>
              <w:rPr>
                <w:rFonts w:ascii="Times New Roman" w:hAnsi="Times New Roman" w:cs="Times New Roman"/>
                <w:b/>
                <w:bCs/>
                <w:sz w:val="22"/>
              </w:rPr>
            </w:pPr>
            <w:r w:rsidRPr="009A6218">
              <w:rPr>
                <w:rFonts w:ascii="Times New Roman" w:hAnsi="Times New Roman" w:cs="Times New Roman"/>
                <w:b/>
                <w:bCs/>
                <w:sz w:val="22"/>
              </w:rPr>
              <w:t>Dosistype</w:t>
            </w:r>
          </w:p>
        </w:tc>
        <w:tc>
          <w:tcPr>
            <w:tcW w:w="296" w:type="pct"/>
            <w:tcBorders>
              <w:top w:val="single" w:sz="4" w:space="0" w:color="auto"/>
              <w:left w:val="single" w:sz="4" w:space="0" w:color="auto"/>
              <w:bottom w:val="single" w:sz="4" w:space="0" w:color="auto"/>
              <w:right w:val="single" w:sz="4" w:space="0" w:color="auto"/>
            </w:tcBorders>
            <w:hideMark/>
          </w:tcPr>
          <w:p w14:paraId="426554B7" w14:textId="77777777" w:rsidR="00C806DE" w:rsidRPr="009A6218" w:rsidRDefault="00C806DE">
            <w:pPr>
              <w:jc w:val="center"/>
              <w:rPr>
                <w:rFonts w:ascii="Times New Roman" w:hAnsi="Times New Roman" w:cs="Times New Roman"/>
                <w:b/>
                <w:bCs/>
                <w:sz w:val="22"/>
              </w:rPr>
            </w:pPr>
            <w:r w:rsidRPr="009A6218">
              <w:rPr>
                <w:rFonts w:ascii="Times New Roman" w:hAnsi="Times New Roman" w:cs="Times New Roman"/>
                <w:b/>
                <w:bCs/>
                <w:sz w:val="22"/>
              </w:rPr>
              <w:t>N</w:t>
            </w:r>
          </w:p>
        </w:tc>
        <w:tc>
          <w:tcPr>
            <w:tcW w:w="605" w:type="pct"/>
            <w:tcBorders>
              <w:top w:val="single" w:sz="4" w:space="0" w:color="auto"/>
              <w:left w:val="single" w:sz="4" w:space="0" w:color="auto"/>
              <w:bottom w:val="single" w:sz="4" w:space="0" w:color="auto"/>
              <w:right w:val="single" w:sz="4" w:space="0" w:color="auto"/>
            </w:tcBorders>
            <w:hideMark/>
          </w:tcPr>
          <w:p w14:paraId="446FDB1A" w14:textId="77777777" w:rsidR="00C806DE" w:rsidRPr="009A6218" w:rsidRDefault="00C806DE">
            <w:pPr>
              <w:jc w:val="center"/>
              <w:rPr>
                <w:rFonts w:ascii="Times New Roman" w:hAnsi="Times New Roman" w:cs="Times New Roman"/>
                <w:b/>
                <w:bCs/>
                <w:sz w:val="22"/>
                <w:lang w:val="da-DK"/>
              </w:rPr>
            </w:pPr>
            <w:r w:rsidRPr="009A6218">
              <w:rPr>
                <w:rFonts w:ascii="Times New Roman" w:hAnsi="Times New Roman" w:cs="Times New Roman"/>
                <w:b/>
                <w:bCs/>
                <w:sz w:val="22"/>
                <w:lang w:val="da-DK"/>
              </w:rPr>
              <w:t>AUC</w:t>
            </w:r>
            <w:r w:rsidRPr="009A6218">
              <w:rPr>
                <w:rFonts w:ascii="Times New Roman" w:hAnsi="Times New Roman" w:cs="Times New Roman"/>
                <w:b/>
                <w:bCs/>
                <w:sz w:val="22"/>
                <w:vertAlign w:val="subscript"/>
                <w:lang w:val="da-DK"/>
              </w:rPr>
              <w:t>0-24 timer</w:t>
            </w:r>
            <w:r w:rsidRPr="009A6218">
              <w:rPr>
                <w:rFonts w:ascii="Times New Roman" w:hAnsi="Times New Roman" w:cs="Times New Roman"/>
                <w:b/>
                <w:bCs/>
                <w:sz w:val="22"/>
                <w:lang w:val="da-DK"/>
              </w:rPr>
              <w:t xml:space="preserve"> (ng·t/ml)</w:t>
            </w:r>
          </w:p>
        </w:tc>
        <w:tc>
          <w:tcPr>
            <w:tcW w:w="511" w:type="pct"/>
            <w:tcBorders>
              <w:top w:val="single" w:sz="4" w:space="0" w:color="auto"/>
              <w:left w:val="single" w:sz="4" w:space="0" w:color="auto"/>
              <w:bottom w:val="single" w:sz="4" w:space="0" w:color="auto"/>
              <w:right w:val="single" w:sz="4" w:space="0" w:color="auto"/>
            </w:tcBorders>
            <w:hideMark/>
          </w:tcPr>
          <w:p w14:paraId="1235607F" w14:textId="77777777" w:rsidR="00C806DE" w:rsidRPr="009A6218" w:rsidRDefault="00C806DE">
            <w:pPr>
              <w:jc w:val="center"/>
              <w:rPr>
                <w:rFonts w:ascii="Times New Roman" w:hAnsi="Times New Roman" w:cs="Times New Roman"/>
                <w:b/>
                <w:bCs/>
                <w:sz w:val="22"/>
              </w:rPr>
            </w:pPr>
            <w:r w:rsidRPr="009A6218">
              <w:rPr>
                <w:rFonts w:ascii="Times New Roman" w:hAnsi="Times New Roman" w:cs="Times New Roman"/>
                <w:b/>
                <w:bCs/>
                <w:sz w:val="22"/>
              </w:rPr>
              <w:t>C</w:t>
            </w:r>
            <w:r w:rsidRPr="009A6218">
              <w:rPr>
                <w:rFonts w:ascii="Times New Roman" w:hAnsi="Times New Roman" w:cs="Times New Roman"/>
                <w:b/>
                <w:bCs/>
                <w:sz w:val="22"/>
                <w:vertAlign w:val="subscript"/>
              </w:rPr>
              <w:t>av</w:t>
            </w:r>
            <w:r w:rsidRPr="009A6218">
              <w:rPr>
                <w:rFonts w:ascii="Times New Roman" w:hAnsi="Times New Roman" w:cs="Times New Roman"/>
                <w:b/>
                <w:bCs/>
                <w:sz w:val="22"/>
                <w:vertAlign w:val="superscript"/>
              </w:rPr>
              <w:t>*</w:t>
            </w:r>
            <w:r w:rsidRPr="009A6218">
              <w:rPr>
                <w:rFonts w:ascii="Times New Roman" w:hAnsi="Times New Roman" w:cs="Times New Roman"/>
                <w:b/>
                <w:bCs/>
                <w:sz w:val="22"/>
              </w:rPr>
              <w:t xml:space="preserve"> (ng/ml)</w:t>
            </w:r>
          </w:p>
        </w:tc>
        <w:tc>
          <w:tcPr>
            <w:tcW w:w="511" w:type="pct"/>
            <w:tcBorders>
              <w:top w:val="single" w:sz="4" w:space="0" w:color="auto"/>
              <w:left w:val="single" w:sz="4" w:space="0" w:color="auto"/>
              <w:bottom w:val="single" w:sz="4" w:space="0" w:color="auto"/>
              <w:right w:val="single" w:sz="4" w:space="0" w:color="auto"/>
            </w:tcBorders>
            <w:hideMark/>
          </w:tcPr>
          <w:p w14:paraId="24C398C4" w14:textId="77777777" w:rsidR="00C806DE" w:rsidRPr="009A6218" w:rsidRDefault="00C806DE">
            <w:pPr>
              <w:jc w:val="center"/>
              <w:rPr>
                <w:rFonts w:ascii="Times New Roman" w:hAnsi="Times New Roman" w:cs="Times New Roman"/>
                <w:b/>
                <w:bCs/>
                <w:sz w:val="22"/>
              </w:rPr>
            </w:pPr>
            <w:r w:rsidRPr="009A6218">
              <w:rPr>
                <w:rFonts w:ascii="Times New Roman" w:hAnsi="Times New Roman" w:cs="Times New Roman"/>
                <w:b/>
                <w:bCs/>
                <w:sz w:val="22"/>
              </w:rPr>
              <w:t>C</w:t>
            </w:r>
            <w:r w:rsidRPr="009A6218">
              <w:rPr>
                <w:rFonts w:ascii="Times New Roman" w:hAnsi="Times New Roman" w:cs="Times New Roman"/>
                <w:b/>
                <w:bCs/>
                <w:sz w:val="22"/>
                <w:vertAlign w:val="subscript"/>
              </w:rPr>
              <w:t>max</w:t>
            </w:r>
            <w:r w:rsidRPr="009A6218">
              <w:rPr>
                <w:rFonts w:ascii="Times New Roman" w:hAnsi="Times New Roman" w:cs="Times New Roman"/>
                <w:b/>
                <w:bCs/>
                <w:sz w:val="22"/>
              </w:rPr>
              <w:t xml:space="preserve"> (ng/ml)</w:t>
            </w:r>
          </w:p>
        </w:tc>
        <w:tc>
          <w:tcPr>
            <w:tcW w:w="511" w:type="pct"/>
            <w:tcBorders>
              <w:top w:val="single" w:sz="4" w:space="0" w:color="auto"/>
              <w:left w:val="single" w:sz="4" w:space="0" w:color="auto"/>
              <w:bottom w:val="single" w:sz="4" w:space="0" w:color="auto"/>
              <w:right w:val="single" w:sz="4" w:space="0" w:color="auto"/>
            </w:tcBorders>
            <w:hideMark/>
          </w:tcPr>
          <w:p w14:paraId="7EC86C9E" w14:textId="77777777" w:rsidR="00C806DE" w:rsidRPr="009A6218" w:rsidRDefault="00C806DE">
            <w:pPr>
              <w:jc w:val="center"/>
              <w:rPr>
                <w:rFonts w:ascii="Times New Roman" w:hAnsi="Times New Roman" w:cs="Times New Roman"/>
                <w:b/>
                <w:bCs/>
                <w:sz w:val="22"/>
              </w:rPr>
            </w:pPr>
            <w:r w:rsidRPr="009A6218">
              <w:rPr>
                <w:rFonts w:ascii="Times New Roman" w:hAnsi="Times New Roman" w:cs="Times New Roman"/>
                <w:b/>
                <w:bCs/>
                <w:sz w:val="22"/>
              </w:rPr>
              <w:t>C</w:t>
            </w:r>
            <w:r w:rsidRPr="009A6218">
              <w:rPr>
                <w:rFonts w:ascii="Times New Roman" w:hAnsi="Times New Roman" w:cs="Times New Roman"/>
                <w:b/>
                <w:bCs/>
                <w:sz w:val="22"/>
                <w:vertAlign w:val="subscript"/>
              </w:rPr>
              <w:t xml:space="preserve">min </w:t>
            </w:r>
            <w:r w:rsidRPr="009A6218">
              <w:rPr>
                <w:rFonts w:ascii="Times New Roman" w:hAnsi="Times New Roman" w:cs="Times New Roman"/>
                <w:b/>
                <w:bCs/>
                <w:sz w:val="22"/>
              </w:rPr>
              <w:t>(ng/ml)</w:t>
            </w:r>
          </w:p>
        </w:tc>
        <w:tc>
          <w:tcPr>
            <w:tcW w:w="497" w:type="pct"/>
            <w:tcBorders>
              <w:top w:val="single" w:sz="4" w:space="0" w:color="auto"/>
              <w:left w:val="single" w:sz="4" w:space="0" w:color="auto"/>
              <w:bottom w:val="single" w:sz="4" w:space="0" w:color="auto"/>
              <w:right w:val="single" w:sz="4" w:space="0" w:color="auto"/>
            </w:tcBorders>
            <w:hideMark/>
          </w:tcPr>
          <w:p w14:paraId="69FBEC4C" w14:textId="77777777" w:rsidR="00C806DE" w:rsidRPr="009A6218" w:rsidRDefault="00C806DE">
            <w:pPr>
              <w:jc w:val="center"/>
              <w:rPr>
                <w:rFonts w:ascii="Times New Roman" w:hAnsi="Times New Roman" w:cs="Times New Roman"/>
                <w:b/>
                <w:bCs/>
                <w:sz w:val="22"/>
              </w:rPr>
            </w:pPr>
            <w:r w:rsidRPr="009A6218">
              <w:rPr>
                <w:rFonts w:ascii="Times New Roman" w:hAnsi="Times New Roman" w:cs="Times New Roman"/>
                <w:b/>
                <w:bCs/>
                <w:sz w:val="22"/>
              </w:rPr>
              <w:t>T</w:t>
            </w:r>
            <w:r w:rsidRPr="009A6218">
              <w:rPr>
                <w:rFonts w:ascii="Times New Roman" w:hAnsi="Times New Roman" w:cs="Times New Roman"/>
                <w:b/>
                <w:bCs/>
                <w:sz w:val="22"/>
                <w:vertAlign w:val="subscript"/>
              </w:rPr>
              <w:t>max</w:t>
            </w:r>
            <w:r w:rsidRPr="009A6218">
              <w:rPr>
                <w:rFonts w:ascii="Times New Roman" w:hAnsi="Times New Roman" w:cs="Times New Roman"/>
                <w:b/>
                <w:bCs/>
                <w:sz w:val="22"/>
              </w:rPr>
              <w:t xml:space="preserve"> </w:t>
            </w:r>
            <w:r w:rsidRPr="009A6218">
              <w:rPr>
                <w:rFonts w:ascii="Times New Roman" w:hAnsi="Times New Roman" w:cs="Times New Roman"/>
                <w:b/>
                <w:bCs/>
                <w:sz w:val="22"/>
                <w:vertAlign w:val="superscript"/>
              </w:rPr>
              <w:t>†</w:t>
            </w:r>
            <w:r w:rsidRPr="009A6218">
              <w:rPr>
                <w:rFonts w:ascii="Times New Roman" w:hAnsi="Times New Roman" w:cs="Times New Roman"/>
                <w:b/>
                <w:bCs/>
                <w:sz w:val="22"/>
              </w:rPr>
              <w:t xml:space="preserve"> (timer)</w:t>
            </w:r>
          </w:p>
        </w:tc>
        <w:tc>
          <w:tcPr>
            <w:tcW w:w="567" w:type="pct"/>
            <w:tcBorders>
              <w:top w:val="single" w:sz="4" w:space="0" w:color="auto"/>
              <w:left w:val="single" w:sz="4" w:space="0" w:color="auto"/>
              <w:bottom w:val="single" w:sz="4" w:space="0" w:color="auto"/>
              <w:right w:val="single" w:sz="4" w:space="0" w:color="auto"/>
            </w:tcBorders>
            <w:hideMark/>
          </w:tcPr>
          <w:p w14:paraId="00A5060A" w14:textId="77777777" w:rsidR="00C806DE" w:rsidRPr="009A6218" w:rsidRDefault="00C806DE">
            <w:pPr>
              <w:jc w:val="center"/>
              <w:rPr>
                <w:rFonts w:ascii="Times New Roman" w:hAnsi="Times New Roman" w:cs="Times New Roman"/>
                <w:b/>
                <w:bCs/>
                <w:sz w:val="22"/>
              </w:rPr>
            </w:pPr>
            <w:r w:rsidRPr="009A6218">
              <w:rPr>
                <w:rFonts w:ascii="Times New Roman" w:hAnsi="Times New Roman" w:cs="Times New Roman"/>
                <w:b/>
                <w:bCs/>
                <w:sz w:val="22"/>
              </w:rPr>
              <w:t xml:space="preserve">CL/F </w:t>
            </w:r>
            <w:r w:rsidRPr="009A6218">
              <w:rPr>
                <w:rFonts w:ascii="Times New Roman" w:hAnsi="Times New Roman" w:cs="Times New Roman"/>
                <w:b/>
                <w:bCs/>
                <w:sz w:val="22"/>
                <w:vertAlign w:val="superscript"/>
              </w:rPr>
              <w:t>‡</w:t>
            </w:r>
            <w:r w:rsidRPr="009A6218">
              <w:rPr>
                <w:rFonts w:ascii="Times New Roman" w:hAnsi="Times New Roman" w:cs="Times New Roman"/>
                <w:b/>
                <w:bCs/>
                <w:sz w:val="22"/>
              </w:rPr>
              <w:t xml:space="preserve"> (l/timer)</w:t>
            </w:r>
          </w:p>
        </w:tc>
      </w:tr>
      <w:tr w:rsidR="00C806DE" w:rsidRPr="009A6218" w14:paraId="4B24CE49" w14:textId="77777777" w:rsidTr="00507609">
        <w:tc>
          <w:tcPr>
            <w:tcW w:w="865" w:type="pct"/>
            <w:vMerge w:val="restart"/>
            <w:tcBorders>
              <w:top w:val="single" w:sz="4" w:space="0" w:color="auto"/>
              <w:left w:val="single" w:sz="4" w:space="0" w:color="auto"/>
              <w:bottom w:val="single" w:sz="4" w:space="0" w:color="auto"/>
              <w:right w:val="single" w:sz="4" w:space="0" w:color="auto"/>
            </w:tcBorders>
            <w:hideMark/>
          </w:tcPr>
          <w:p w14:paraId="5D88CCCC"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2 til &lt;7 år</w:t>
            </w:r>
          </w:p>
        </w:tc>
        <w:tc>
          <w:tcPr>
            <w:tcW w:w="638" w:type="pct"/>
            <w:tcBorders>
              <w:top w:val="single" w:sz="4" w:space="0" w:color="auto"/>
              <w:left w:val="single" w:sz="4" w:space="0" w:color="auto"/>
              <w:bottom w:val="single" w:sz="4" w:space="0" w:color="auto"/>
              <w:right w:val="single" w:sz="4" w:space="0" w:color="auto"/>
            </w:tcBorders>
            <w:hideMark/>
          </w:tcPr>
          <w:p w14:paraId="6425A060"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IV</w:t>
            </w:r>
          </w:p>
        </w:tc>
        <w:tc>
          <w:tcPr>
            <w:tcW w:w="296" w:type="pct"/>
            <w:tcBorders>
              <w:top w:val="single" w:sz="4" w:space="0" w:color="auto"/>
              <w:left w:val="single" w:sz="4" w:space="0" w:color="auto"/>
              <w:bottom w:val="single" w:sz="4" w:space="0" w:color="auto"/>
              <w:right w:val="single" w:sz="4" w:space="0" w:color="auto"/>
            </w:tcBorders>
            <w:hideMark/>
          </w:tcPr>
          <w:p w14:paraId="12865CCB"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17</w:t>
            </w:r>
          </w:p>
        </w:tc>
        <w:tc>
          <w:tcPr>
            <w:tcW w:w="605" w:type="pct"/>
            <w:tcBorders>
              <w:top w:val="single" w:sz="4" w:space="0" w:color="auto"/>
              <w:left w:val="single" w:sz="4" w:space="0" w:color="auto"/>
              <w:bottom w:val="single" w:sz="4" w:space="0" w:color="auto"/>
              <w:right w:val="single" w:sz="4" w:space="0" w:color="auto"/>
            </w:tcBorders>
            <w:hideMark/>
          </w:tcPr>
          <w:p w14:paraId="47A28A06"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31.100 (48,9)</w:t>
            </w:r>
          </w:p>
        </w:tc>
        <w:tc>
          <w:tcPr>
            <w:tcW w:w="511" w:type="pct"/>
            <w:tcBorders>
              <w:top w:val="single" w:sz="4" w:space="0" w:color="auto"/>
              <w:left w:val="single" w:sz="4" w:space="0" w:color="auto"/>
              <w:bottom w:val="single" w:sz="4" w:space="0" w:color="auto"/>
              <w:right w:val="single" w:sz="4" w:space="0" w:color="auto"/>
            </w:tcBorders>
            <w:hideMark/>
          </w:tcPr>
          <w:p w14:paraId="4195DD73"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1.300 (48,9)</w:t>
            </w:r>
          </w:p>
        </w:tc>
        <w:tc>
          <w:tcPr>
            <w:tcW w:w="511" w:type="pct"/>
            <w:tcBorders>
              <w:top w:val="single" w:sz="4" w:space="0" w:color="auto"/>
              <w:left w:val="single" w:sz="4" w:space="0" w:color="auto"/>
              <w:bottom w:val="single" w:sz="4" w:space="0" w:color="auto"/>
              <w:right w:val="single" w:sz="4" w:space="0" w:color="auto"/>
            </w:tcBorders>
            <w:hideMark/>
          </w:tcPr>
          <w:p w14:paraId="2D5D5361"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3.060 (54,1)</w:t>
            </w:r>
          </w:p>
        </w:tc>
        <w:tc>
          <w:tcPr>
            <w:tcW w:w="511" w:type="pct"/>
            <w:tcBorders>
              <w:top w:val="single" w:sz="4" w:space="0" w:color="auto"/>
              <w:left w:val="single" w:sz="4" w:space="0" w:color="auto"/>
              <w:bottom w:val="single" w:sz="4" w:space="0" w:color="auto"/>
              <w:right w:val="single" w:sz="4" w:space="0" w:color="auto"/>
            </w:tcBorders>
            <w:hideMark/>
          </w:tcPr>
          <w:p w14:paraId="70547877"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626 (104,8)</w:t>
            </w:r>
          </w:p>
        </w:tc>
        <w:tc>
          <w:tcPr>
            <w:tcW w:w="497" w:type="pct"/>
            <w:tcBorders>
              <w:top w:val="single" w:sz="4" w:space="0" w:color="auto"/>
              <w:left w:val="single" w:sz="4" w:space="0" w:color="auto"/>
              <w:bottom w:val="single" w:sz="4" w:space="0" w:color="auto"/>
              <w:right w:val="single" w:sz="4" w:space="0" w:color="auto"/>
            </w:tcBorders>
            <w:hideMark/>
          </w:tcPr>
          <w:p w14:paraId="739E7154"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1,75 (1,57- 1,83)</w:t>
            </w:r>
          </w:p>
        </w:tc>
        <w:tc>
          <w:tcPr>
            <w:tcW w:w="567" w:type="pct"/>
            <w:tcBorders>
              <w:top w:val="single" w:sz="4" w:space="0" w:color="auto"/>
              <w:left w:val="single" w:sz="4" w:space="0" w:color="auto"/>
              <w:bottom w:val="single" w:sz="4" w:space="0" w:color="auto"/>
              <w:right w:val="single" w:sz="4" w:space="0" w:color="auto"/>
            </w:tcBorders>
            <w:hideMark/>
          </w:tcPr>
          <w:p w14:paraId="206E8659"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3,27 (49,3)</w:t>
            </w:r>
          </w:p>
        </w:tc>
      </w:tr>
      <w:tr w:rsidR="00C806DE" w:rsidRPr="009A6218" w14:paraId="15407996" w14:textId="77777777" w:rsidTr="00507609">
        <w:tc>
          <w:tcPr>
            <w:tcW w:w="865" w:type="pct"/>
            <w:vMerge/>
            <w:tcBorders>
              <w:top w:val="single" w:sz="4" w:space="0" w:color="auto"/>
              <w:left w:val="single" w:sz="4" w:space="0" w:color="auto"/>
              <w:bottom w:val="single" w:sz="4" w:space="0" w:color="auto"/>
              <w:right w:val="single" w:sz="4" w:space="0" w:color="auto"/>
            </w:tcBorders>
            <w:vAlign w:val="center"/>
            <w:hideMark/>
          </w:tcPr>
          <w:p w14:paraId="5E0AAB12" w14:textId="77777777" w:rsidR="00C806DE" w:rsidRPr="009A6218" w:rsidRDefault="00C806DE">
            <w:pPr>
              <w:rPr>
                <w:rFonts w:ascii="Times New Roman" w:hAnsi="Times New Roman" w:cs="Times New Roman"/>
                <w:sz w:val="22"/>
              </w:rPr>
            </w:pPr>
          </w:p>
        </w:tc>
        <w:tc>
          <w:tcPr>
            <w:tcW w:w="638" w:type="pct"/>
            <w:tcBorders>
              <w:top w:val="single" w:sz="4" w:space="0" w:color="auto"/>
              <w:left w:val="single" w:sz="4" w:space="0" w:color="auto"/>
              <w:bottom w:val="single" w:sz="4" w:space="0" w:color="auto"/>
              <w:right w:val="single" w:sz="4" w:space="0" w:color="auto"/>
            </w:tcBorders>
            <w:hideMark/>
          </w:tcPr>
          <w:p w14:paraId="5A51C899"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PFS</w:t>
            </w:r>
          </w:p>
        </w:tc>
        <w:tc>
          <w:tcPr>
            <w:tcW w:w="296" w:type="pct"/>
            <w:tcBorders>
              <w:top w:val="single" w:sz="4" w:space="0" w:color="auto"/>
              <w:left w:val="single" w:sz="4" w:space="0" w:color="auto"/>
              <w:bottom w:val="single" w:sz="4" w:space="0" w:color="auto"/>
              <w:right w:val="single" w:sz="4" w:space="0" w:color="auto"/>
            </w:tcBorders>
            <w:hideMark/>
          </w:tcPr>
          <w:p w14:paraId="0E89877A"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7</w:t>
            </w:r>
          </w:p>
        </w:tc>
        <w:tc>
          <w:tcPr>
            <w:tcW w:w="605" w:type="pct"/>
            <w:tcBorders>
              <w:top w:val="single" w:sz="4" w:space="0" w:color="auto"/>
              <w:left w:val="single" w:sz="4" w:space="0" w:color="auto"/>
              <w:bottom w:val="single" w:sz="4" w:space="0" w:color="auto"/>
              <w:right w:val="single" w:sz="4" w:space="0" w:color="auto"/>
            </w:tcBorders>
            <w:hideMark/>
          </w:tcPr>
          <w:p w14:paraId="4D1F0A64"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23.000 (47,3)</w:t>
            </w:r>
          </w:p>
        </w:tc>
        <w:tc>
          <w:tcPr>
            <w:tcW w:w="511" w:type="pct"/>
            <w:tcBorders>
              <w:top w:val="single" w:sz="4" w:space="0" w:color="auto"/>
              <w:left w:val="single" w:sz="4" w:space="0" w:color="auto"/>
              <w:bottom w:val="single" w:sz="4" w:space="0" w:color="auto"/>
              <w:right w:val="single" w:sz="4" w:space="0" w:color="auto"/>
            </w:tcBorders>
            <w:hideMark/>
          </w:tcPr>
          <w:p w14:paraId="3ADE8B93"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960 (47,3)</w:t>
            </w:r>
          </w:p>
        </w:tc>
        <w:tc>
          <w:tcPr>
            <w:tcW w:w="511" w:type="pct"/>
            <w:tcBorders>
              <w:top w:val="single" w:sz="4" w:space="0" w:color="auto"/>
              <w:left w:val="single" w:sz="4" w:space="0" w:color="auto"/>
              <w:bottom w:val="single" w:sz="4" w:space="0" w:color="auto"/>
              <w:right w:val="single" w:sz="4" w:space="0" w:color="auto"/>
            </w:tcBorders>
            <w:hideMark/>
          </w:tcPr>
          <w:p w14:paraId="069D59CD"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1.510 (43,4)</w:t>
            </w:r>
          </w:p>
        </w:tc>
        <w:tc>
          <w:tcPr>
            <w:tcW w:w="511" w:type="pct"/>
            <w:tcBorders>
              <w:top w:val="single" w:sz="4" w:space="0" w:color="auto"/>
              <w:left w:val="single" w:sz="4" w:space="0" w:color="auto"/>
              <w:bottom w:val="single" w:sz="4" w:space="0" w:color="auto"/>
              <w:right w:val="single" w:sz="4" w:space="0" w:color="auto"/>
            </w:tcBorders>
            <w:hideMark/>
          </w:tcPr>
          <w:p w14:paraId="5D8AC751"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542 (68,8)</w:t>
            </w:r>
          </w:p>
        </w:tc>
        <w:tc>
          <w:tcPr>
            <w:tcW w:w="497" w:type="pct"/>
            <w:tcBorders>
              <w:top w:val="single" w:sz="4" w:space="0" w:color="auto"/>
              <w:left w:val="single" w:sz="4" w:space="0" w:color="auto"/>
              <w:bottom w:val="single" w:sz="4" w:space="0" w:color="auto"/>
              <w:right w:val="single" w:sz="4" w:space="0" w:color="auto"/>
            </w:tcBorders>
            <w:hideMark/>
          </w:tcPr>
          <w:p w14:paraId="300D50F5"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4,00 (2,17- 7,92)</w:t>
            </w:r>
          </w:p>
        </w:tc>
        <w:tc>
          <w:tcPr>
            <w:tcW w:w="567" w:type="pct"/>
            <w:tcBorders>
              <w:top w:val="single" w:sz="4" w:space="0" w:color="auto"/>
              <w:left w:val="single" w:sz="4" w:space="0" w:color="auto"/>
              <w:bottom w:val="single" w:sz="4" w:space="0" w:color="auto"/>
              <w:right w:val="single" w:sz="4" w:space="0" w:color="auto"/>
            </w:tcBorders>
            <w:hideMark/>
          </w:tcPr>
          <w:p w14:paraId="09E79B60"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4,60 (35,2)</w:t>
            </w:r>
          </w:p>
        </w:tc>
      </w:tr>
      <w:tr w:rsidR="00C806DE" w:rsidRPr="009A6218" w14:paraId="13257AB1" w14:textId="77777777" w:rsidTr="00507609">
        <w:tc>
          <w:tcPr>
            <w:tcW w:w="865" w:type="pct"/>
            <w:vMerge w:val="restart"/>
            <w:tcBorders>
              <w:top w:val="single" w:sz="4" w:space="0" w:color="auto"/>
              <w:left w:val="single" w:sz="4" w:space="0" w:color="auto"/>
              <w:bottom w:val="single" w:sz="4" w:space="0" w:color="auto"/>
              <w:right w:val="single" w:sz="4" w:space="0" w:color="auto"/>
            </w:tcBorders>
            <w:hideMark/>
          </w:tcPr>
          <w:p w14:paraId="65851C72"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7 til 17 år</w:t>
            </w:r>
          </w:p>
        </w:tc>
        <w:tc>
          <w:tcPr>
            <w:tcW w:w="638" w:type="pct"/>
            <w:tcBorders>
              <w:top w:val="single" w:sz="4" w:space="0" w:color="auto"/>
              <w:left w:val="single" w:sz="4" w:space="0" w:color="auto"/>
              <w:bottom w:val="single" w:sz="4" w:space="0" w:color="auto"/>
              <w:right w:val="single" w:sz="4" w:space="0" w:color="auto"/>
            </w:tcBorders>
            <w:hideMark/>
          </w:tcPr>
          <w:p w14:paraId="3EA14104"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IV</w:t>
            </w:r>
          </w:p>
        </w:tc>
        <w:tc>
          <w:tcPr>
            <w:tcW w:w="296" w:type="pct"/>
            <w:tcBorders>
              <w:top w:val="single" w:sz="4" w:space="0" w:color="auto"/>
              <w:left w:val="single" w:sz="4" w:space="0" w:color="auto"/>
              <w:bottom w:val="single" w:sz="4" w:space="0" w:color="auto"/>
              <w:right w:val="single" w:sz="4" w:space="0" w:color="auto"/>
            </w:tcBorders>
            <w:hideMark/>
          </w:tcPr>
          <w:p w14:paraId="4B481D1B"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24</w:t>
            </w:r>
          </w:p>
        </w:tc>
        <w:tc>
          <w:tcPr>
            <w:tcW w:w="605" w:type="pct"/>
            <w:tcBorders>
              <w:top w:val="single" w:sz="4" w:space="0" w:color="auto"/>
              <w:left w:val="single" w:sz="4" w:space="0" w:color="auto"/>
              <w:bottom w:val="single" w:sz="4" w:space="0" w:color="auto"/>
              <w:right w:val="single" w:sz="4" w:space="0" w:color="auto"/>
            </w:tcBorders>
            <w:hideMark/>
          </w:tcPr>
          <w:p w14:paraId="289168CE"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44.200 (41,5)</w:t>
            </w:r>
          </w:p>
        </w:tc>
        <w:tc>
          <w:tcPr>
            <w:tcW w:w="511" w:type="pct"/>
            <w:tcBorders>
              <w:top w:val="single" w:sz="4" w:space="0" w:color="auto"/>
              <w:left w:val="single" w:sz="4" w:space="0" w:color="auto"/>
              <w:bottom w:val="single" w:sz="4" w:space="0" w:color="auto"/>
              <w:right w:val="single" w:sz="4" w:space="0" w:color="auto"/>
            </w:tcBorders>
            <w:hideMark/>
          </w:tcPr>
          <w:p w14:paraId="6D6E7210"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1.840 (41,5)</w:t>
            </w:r>
          </w:p>
        </w:tc>
        <w:tc>
          <w:tcPr>
            <w:tcW w:w="511" w:type="pct"/>
            <w:tcBorders>
              <w:top w:val="single" w:sz="4" w:space="0" w:color="auto"/>
              <w:left w:val="single" w:sz="4" w:space="0" w:color="auto"/>
              <w:bottom w:val="single" w:sz="4" w:space="0" w:color="auto"/>
              <w:right w:val="single" w:sz="4" w:space="0" w:color="auto"/>
            </w:tcBorders>
            <w:hideMark/>
          </w:tcPr>
          <w:p w14:paraId="411AB7BD"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3.340 (39,4)</w:t>
            </w:r>
          </w:p>
        </w:tc>
        <w:tc>
          <w:tcPr>
            <w:tcW w:w="511" w:type="pct"/>
            <w:tcBorders>
              <w:top w:val="single" w:sz="4" w:space="0" w:color="auto"/>
              <w:left w:val="single" w:sz="4" w:space="0" w:color="auto"/>
              <w:bottom w:val="single" w:sz="4" w:space="0" w:color="auto"/>
              <w:right w:val="single" w:sz="4" w:space="0" w:color="auto"/>
            </w:tcBorders>
            <w:hideMark/>
          </w:tcPr>
          <w:p w14:paraId="3907A51A"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1.160 (60,4)</w:t>
            </w:r>
          </w:p>
        </w:tc>
        <w:tc>
          <w:tcPr>
            <w:tcW w:w="497" w:type="pct"/>
            <w:tcBorders>
              <w:top w:val="single" w:sz="4" w:space="0" w:color="auto"/>
              <w:left w:val="single" w:sz="4" w:space="0" w:color="auto"/>
              <w:bottom w:val="single" w:sz="4" w:space="0" w:color="auto"/>
              <w:right w:val="single" w:sz="4" w:space="0" w:color="auto"/>
            </w:tcBorders>
            <w:hideMark/>
          </w:tcPr>
          <w:p w14:paraId="7555AF4F"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1,77 (1,33- 6,00)</w:t>
            </w:r>
          </w:p>
        </w:tc>
        <w:tc>
          <w:tcPr>
            <w:tcW w:w="567" w:type="pct"/>
            <w:tcBorders>
              <w:top w:val="single" w:sz="4" w:space="0" w:color="auto"/>
              <w:left w:val="single" w:sz="4" w:space="0" w:color="auto"/>
              <w:bottom w:val="single" w:sz="4" w:space="0" w:color="auto"/>
              <w:right w:val="single" w:sz="4" w:space="0" w:color="auto"/>
            </w:tcBorders>
            <w:hideMark/>
          </w:tcPr>
          <w:p w14:paraId="733353DF"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4,76 (55,7)</w:t>
            </w:r>
          </w:p>
        </w:tc>
      </w:tr>
      <w:tr w:rsidR="00C806DE" w:rsidRPr="009A6218" w14:paraId="18783C18" w14:textId="77777777" w:rsidTr="00507609">
        <w:tc>
          <w:tcPr>
            <w:tcW w:w="865" w:type="pct"/>
            <w:vMerge/>
            <w:tcBorders>
              <w:top w:val="single" w:sz="4" w:space="0" w:color="auto"/>
              <w:left w:val="single" w:sz="4" w:space="0" w:color="auto"/>
              <w:bottom w:val="single" w:sz="4" w:space="0" w:color="auto"/>
              <w:right w:val="single" w:sz="4" w:space="0" w:color="auto"/>
            </w:tcBorders>
            <w:vAlign w:val="center"/>
            <w:hideMark/>
          </w:tcPr>
          <w:p w14:paraId="1FE08256" w14:textId="77777777" w:rsidR="00C806DE" w:rsidRPr="009A6218" w:rsidRDefault="00C806DE">
            <w:pPr>
              <w:rPr>
                <w:rFonts w:ascii="Times New Roman" w:hAnsi="Times New Roman" w:cs="Times New Roman"/>
                <w:sz w:val="22"/>
              </w:rPr>
            </w:pPr>
          </w:p>
        </w:tc>
        <w:tc>
          <w:tcPr>
            <w:tcW w:w="638" w:type="pct"/>
            <w:tcBorders>
              <w:top w:val="single" w:sz="4" w:space="0" w:color="auto"/>
              <w:left w:val="single" w:sz="4" w:space="0" w:color="auto"/>
              <w:bottom w:val="single" w:sz="4" w:space="0" w:color="auto"/>
              <w:right w:val="single" w:sz="4" w:space="0" w:color="auto"/>
            </w:tcBorders>
            <w:hideMark/>
          </w:tcPr>
          <w:p w14:paraId="02F4F344"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rPr>
              <w:t>PFS</w:t>
            </w:r>
          </w:p>
        </w:tc>
        <w:tc>
          <w:tcPr>
            <w:tcW w:w="296" w:type="pct"/>
            <w:tcBorders>
              <w:top w:val="single" w:sz="4" w:space="0" w:color="auto"/>
              <w:left w:val="single" w:sz="4" w:space="0" w:color="auto"/>
              <w:bottom w:val="single" w:sz="4" w:space="0" w:color="auto"/>
              <w:right w:val="single" w:sz="4" w:space="0" w:color="auto"/>
            </w:tcBorders>
            <w:hideMark/>
          </w:tcPr>
          <w:p w14:paraId="0A2518E6"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12</w:t>
            </w:r>
          </w:p>
        </w:tc>
        <w:tc>
          <w:tcPr>
            <w:tcW w:w="605" w:type="pct"/>
            <w:tcBorders>
              <w:top w:val="single" w:sz="4" w:space="0" w:color="auto"/>
              <w:left w:val="single" w:sz="4" w:space="0" w:color="auto"/>
              <w:bottom w:val="single" w:sz="4" w:space="0" w:color="auto"/>
              <w:right w:val="single" w:sz="4" w:space="0" w:color="auto"/>
            </w:tcBorders>
            <w:hideMark/>
          </w:tcPr>
          <w:p w14:paraId="4C38F4F1"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25.000 (184,3)</w:t>
            </w:r>
          </w:p>
        </w:tc>
        <w:tc>
          <w:tcPr>
            <w:tcW w:w="511" w:type="pct"/>
            <w:tcBorders>
              <w:top w:val="single" w:sz="4" w:space="0" w:color="auto"/>
              <w:left w:val="single" w:sz="4" w:space="0" w:color="auto"/>
              <w:bottom w:val="single" w:sz="4" w:space="0" w:color="auto"/>
              <w:right w:val="single" w:sz="4" w:space="0" w:color="auto"/>
            </w:tcBorders>
            <w:hideMark/>
          </w:tcPr>
          <w:p w14:paraId="401993AA"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1.040 (184,3)</w:t>
            </w:r>
          </w:p>
        </w:tc>
        <w:tc>
          <w:tcPr>
            <w:tcW w:w="511" w:type="pct"/>
            <w:tcBorders>
              <w:top w:val="single" w:sz="4" w:space="0" w:color="auto"/>
              <w:left w:val="single" w:sz="4" w:space="0" w:color="auto"/>
              <w:bottom w:val="single" w:sz="4" w:space="0" w:color="auto"/>
              <w:right w:val="single" w:sz="4" w:space="0" w:color="auto"/>
            </w:tcBorders>
            <w:hideMark/>
          </w:tcPr>
          <w:p w14:paraId="3042AE4F"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1.370 (178,5)</w:t>
            </w:r>
          </w:p>
        </w:tc>
        <w:tc>
          <w:tcPr>
            <w:tcW w:w="511" w:type="pct"/>
            <w:tcBorders>
              <w:top w:val="single" w:sz="4" w:space="0" w:color="auto"/>
              <w:left w:val="single" w:sz="4" w:space="0" w:color="auto"/>
              <w:bottom w:val="single" w:sz="4" w:space="0" w:color="auto"/>
              <w:right w:val="single" w:sz="4" w:space="0" w:color="auto"/>
            </w:tcBorders>
            <w:hideMark/>
          </w:tcPr>
          <w:p w14:paraId="0925E678"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713 (300,6)</w:t>
            </w:r>
          </w:p>
        </w:tc>
        <w:tc>
          <w:tcPr>
            <w:tcW w:w="497" w:type="pct"/>
            <w:tcBorders>
              <w:top w:val="single" w:sz="4" w:space="0" w:color="auto"/>
              <w:left w:val="single" w:sz="4" w:space="0" w:color="auto"/>
              <w:bottom w:val="single" w:sz="4" w:space="0" w:color="auto"/>
              <w:right w:val="single" w:sz="4" w:space="0" w:color="auto"/>
            </w:tcBorders>
            <w:hideMark/>
          </w:tcPr>
          <w:p w14:paraId="0E072DF0"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2,78 (0,00- 4,00)</w:t>
            </w:r>
          </w:p>
        </w:tc>
        <w:tc>
          <w:tcPr>
            <w:tcW w:w="567" w:type="pct"/>
            <w:tcBorders>
              <w:top w:val="single" w:sz="4" w:space="0" w:color="auto"/>
              <w:left w:val="single" w:sz="4" w:space="0" w:color="auto"/>
              <w:bottom w:val="single" w:sz="4" w:space="0" w:color="auto"/>
              <w:right w:val="single" w:sz="4" w:space="0" w:color="auto"/>
            </w:tcBorders>
            <w:hideMark/>
          </w:tcPr>
          <w:p w14:paraId="447A0756" w14:textId="77777777" w:rsidR="00C806DE" w:rsidRPr="009A6218" w:rsidRDefault="00C806DE">
            <w:pPr>
              <w:jc w:val="center"/>
              <w:rPr>
                <w:rFonts w:ascii="Times New Roman" w:hAnsi="Times New Roman" w:cs="Times New Roman"/>
                <w:sz w:val="22"/>
              </w:rPr>
            </w:pPr>
            <w:r w:rsidRPr="009A6218">
              <w:rPr>
                <w:rFonts w:ascii="Times New Roman" w:hAnsi="Times New Roman" w:cs="Times New Roman"/>
                <w:sz w:val="22"/>
              </w:rPr>
              <w:t>8,39 (190,3)</w:t>
            </w:r>
          </w:p>
        </w:tc>
      </w:tr>
      <w:tr w:rsidR="00C806DE" w:rsidRPr="009A6218" w14:paraId="6D024B6A" w14:textId="77777777" w:rsidTr="00507609">
        <w:tc>
          <w:tcPr>
            <w:tcW w:w="5000" w:type="pct"/>
            <w:gridSpan w:val="9"/>
            <w:tcBorders>
              <w:top w:val="single" w:sz="4" w:space="0" w:color="auto"/>
              <w:left w:val="single" w:sz="4" w:space="0" w:color="auto"/>
              <w:bottom w:val="single" w:sz="4" w:space="0" w:color="auto"/>
              <w:right w:val="single" w:sz="4" w:space="0" w:color="auto"/>
            </w:tcBorders>
            <w:hideMark/>
          </w:tcPr>
          <w:p w14:paraId="57A633FE" w14:textId="77777777" w:rsidR="00C806DE" w:rsidRPr="009A6218" w:rsidRDefault="00C806DE">
            <w:pPr>
              <w:rPr>
                <w:rFonts w:ascii="Times New Roman" w:hAnsi="Times New Roman" w:cs="Times New Roman"/>
                <w:sz w:val="22"/>
                <w:lang w:val="da-DK"/>
              </w:rPr>
            </w:pPr>
            <w:r w:rsidRPr="009A6218">
              <w:rPr>
                <w:rFonts w:ascii="Times New Roman" w:hAnsi="Times New Roman" w:cs="Times New Roman"/>
                <w:sz w:val="22"/>
                <w:lang w:val="da-DK"/>
              </w:rPr>
              <w:lastRenderedPageBreak/>
              <w:t>IV = posaconazol koncentrat til infusionsvæske, opløsning; PFS = posaconazol enteropulver og solvens til oral suspension; AUC</w:t>
            </w:r>
            <w:r w:rsidRPr="009A6218">
              <w:rPr>
                <w:rFonts w:ascii="Times New Roman" w:hAnsi="Times New Roman" w:cs="Times New Roman"/>
                <w:sz w:val="22"/>
                <w:vertAlign w:val="subscript"/>
                <w:lang w:val="da-DK"/>
              </w:rPr>
              <w:t>0-24 timer</w:t>
            </w:r>
            <w:r w:rsidRPr="009A6218">
              <w:rPr>
                <w:rFonts w:ascii="Times New Roman" w:hAnsi="Times New Roman" w:cs="Times New Roman"/>
                <w:sz w:val="22"/>
                <w:lang w:val="da-DK"/>
              </w:rPr>
              <w:t xml:space="preserve"> = arealet under kurven for plasmakoncentration som funktion af tiden fra tiden nul til 24 timer; C</w:t>
            </w:r>
            <w:r w:rsidRPr="009A6218">
              <w:rPr>
                <w:rFonts w:ascii="Times New Roman" w:hAnsi="Times New Roman" w:cs="Times New Roman"/>
                <w:sz w:val="22"/>
                <w:vertAlign w:val="subscript"/>
                <w:lang w:val="da-DK"/>
              </w:rPr>
              <w:t>max</w:t>
            </w:r>
            <w:r w:rsidRPr="009A6218">
              <w:rPr>
                <w:rFonts w:ascii="Times New Roman" w:hAnsi="Times New Roman" w:cs="Times New Roman"/>
                <w:sz w:val="22"/>
                <w:lang w:val="da-DK"/>
              </w:rPr>
              <w:t xml:space="preserve"> = maksimal observeret koncentration; C</w:t>
            </w:r>
            <w:r w:rsidRPr="009A6218">
              <w:rPr>
                <w:rFonts w:ascii="Times New Roman" w:hAnsi="Times New Roman" w:cs="Times New Roman"/>
                <w:sz w:val="22"/>
                <w:vertAlign w:val="subscript"/>
                <w:lang w:val="da-DK"/>
              </w:rPr>
              <w:t>min</w:t>
            </w:r>
            <w:r w:rsidRPr="009A6218">
              <w:rPr>
                <w:rFonts w:ascii="Times New Roman" w:hAnsi="Times New Roman" w:cs="Times New Roman"/>
                <w:sz w:val="22"/>
                <w:lang w:val="da-DK"/>
              </w:rPr>
              <w:t xml:space="preserve"> = mindste observerede plasmakoncentration; T</w:t>
            </w:r>
            <w:r w:rsidRPr="009A6218">
              <w:rPr>
                <w:rFonts w:ascii="Times New Roman" w:hAnsi="Times New Roman" w:cs="Times New Roman"/>
                <w:sz w:val="22"/>
                <w:vertAlign w:val="subscript"/>
                <w:lang w:val="da-DK"/>
              </w:rPr>
              <w:t>max</w:t>
            </w:r>
            <w:r w:rsidRPr="009A6218">
              <w:rPr>
                <w:rFonts w:ascii="Times New Roman" w:hAnsi="Times New Roman" w:cs="Times New Roman"/>
                <w:sz w:val="22"/>
                <w:lang w:val="da-DK"/>
              </w:rPr>
              <w:t xml:space="preserve"> = tiden for maksimal observeret koncentration; CL/F = tilsyneladende total clearance fra kroppen </w:t>
            </w:r>
          </w:p>
          <w:p w14:paraId="1E2577DC" w14:textId="77777777" w:rsidR="00C806DE" w:rsidRPr="009A6218" w:rsidRDefault="00C806DE">
            <w:pPr>
              <w:rPr>
                <w:rFonts w:ascii="Times New Roman" w:hAnsi="Times New Roman" w:cs="Times New Roman"/>
                <w:sz w:val="22"/>
                <w:lang w:val="da-DK"/>
              </w:rPr>
            </w:pPr>
            <w:r w:rsidRPr="009A6218">
              <w:rPr>
                <w:rFonts w:ascii="Times New Roman" w:hAnsi="Times New Roman" w:cs="Times New Roman"/>
                <w:sz w:val="22"/>
                <w:vertAlign w:val="superscript"/>
                <w:lang w:val="da-DK"/>
              </w:rPr>
              <w:t>*</w:t>
            </w:r>
            <w:r w:rsidRPr="009A6218">
              <w:rPr>
                <w:rFonts w:ascii="Times New Roman" w:hAnsi="Times New Roman" w:cs="Times New Roman"/>
                <w:sz w:val="22"/>
                <w:lang w:val="da-DK"/>
              </w:rPr>
              <w:t xml:space="preserve"> C</w:t>
            </w:r>
            <w:r w:rsidRPr="009A6218">
              <w:rPr>
                <w:rFonts w:ascii="Times New Roman" w:hAnsi="Times New Roman" w:cs="Times New Roman"/>
                <w:sz w:val="22"/>
                <w:vertAlign w:val="subscript"/>
                <w:lang w:val="da-DK"/>
              </w:rPr>
              <w:t>av</w:t>
            </w:r>
            <w:r w:rsidRPr="009A6218">
              <w:rPr>
                <w:rFonts w:ascii="Times New Roman" w:hAnsi="Times New Roman" w:cs="Times New Roman"/>
                <w:sz w:val="22"/>
                <w:lang w:val="da-DK"/>
              </w:rPr>
              <w:t xml:space="preserve"> = tidsgennemsnitlige koncentrationer (dvs. AUC</w:t>
            </w:r>
            <w:r w:rsidRPr="009A6218">
              <w:rPr>
                <w:rFonts w:ascii="Times New Roman" w:hAnsi="Times New Roman" w:cs="Times New Roman"/>
                <w:sz w:val="22"/>
                <w:vertAlign w:val="subscript"/>
                <w:lang w:val="da-DK"/>
              </w:rPr>
              <w:t>0-24 timer</w:t>
            </w:r>
            <w:r w:rsidRPr="009A6218">
              <w:rPr>
                <w:rFonts w:ascii="Times New Roman" w:hAnsi="Times New Roman" w:cs="Times New Roman"/>
                <w:sz w:val="22"/>
                <w:lang w:val="da-DK"/>
              </w:rPr>
              <w:t>/24 timer)</w:t>
            </w:r>
          </w:p>
          <w:p w14:paraId="1E73EB92" w14:textId="7EE29975" w:rsidR="00C806DE" w:rsidRPr="009A6218" w:rsidRDefault="00C806DE">
            <w:pPr>
              <w:rPr>
                <w:rFonts w:ascii="Times New Roman" w:hAnsi="Times New Roman" w:cs="Times New Roman"/>
                <w:sz w:val="22"/>
              </w:rPr>
            </w:pPr>
            <w:r w:rsidRPr="009A6218">
              <w:rPr>
                <w:rFonts w:ascii="Times New Roman" w:hAnsi="Times New Roman" w:cs="Times New Roman"/>
                <w:sz w:val="22"/>
                <w:vertAlign w:val="superscript"/>
              </w:rPr>
              <w:t>†</w:t>
            </w:r>
            <w:r w:rsidRPr="009A6218">
              <w:rPr>
                <w:rFonts w:ascii="Times New Roman" w:hAnsi="Times New Roman" w:cs="Times New Roman"/>
                <w:sz w:val="22"/>
              </w:rPr>
              <w:t xml:space="preserve"> Median (minimum-maksimum) </w:t>
            </w:r>
          </w:p>
          <w:p w14:paraId="6020FFCD" w14:textId="77777777" w:rsidR="00C806DE" w:rsidRPr="009A6218" w:rsidRDefault="00C806DE">
            <w:pPr>
              <w:rPr>
                <w:rFonts w:ascii="Times New Roman" w:hAnsi="Times New Roman" w:cs="Times New Roman"/>
                <w:sz w:val="22"/>
              </w:rPr>
            </w:pPr>
            <w:r w:rsidRPr="009A6218">
              <w:rPr>
                <w:rFonts w:ascii="Times New Roman" w:hAnsi="Times New Roman" w:cs="Times New Roman"/>
                <w:sz w:val="22"/>
                <w:vertAlign w:val="superscript"/>
              </w:rPr>
              <w:t>‡</w:t>
            </w:r>
            <w:r w:rsidRPr="009A6218">
              <w:rPr>
                <w:rFonts w:ascii="Times New Roman" w:hAnsi="Times New Roman" w:cs="Times New Roman"/>
                <w:sz w:val="22"/>
              </w:rPr>
              <w:t xml:space="preserve"> Clearance (CL for IV og CL/F for PFS)</w:t>
            </w:r>
          </w:p>
        </w:tc>
      </w:tr>
    </w:tbl>
    <w:p w14:paraId="0C140996" w14:textId="77777777" w:rsidR="00C806DE" w:rsidRPr="00875F19" w:rsidRDefault="00C806DE" w:rsidP="00C806DE">
      <w:pPr>
        <w:rPr>
          <w:kern w:val="2"/>
          <w:sz w:val="24"/>
          <w:szCs w:val="24"/>
          <w:lang w:val="en-IN"/>
          <w14:ligatures w14:val="standardContextual"/>
        </w:rPr>
      </w:pPr>
    </w:p>
    <w:p w14:paraId="77C07E81" w14:textId="77777777" w:rsidR="00C806DE" w:rsidRPr="00875F19" w:rsidRDefault="00C806DE" w:rsidP="00507609">
      <w:pPr>
        <w:ind w:left="851"/>
        <w:rPr>
          <w:sz w:val="24"/>
          <w:szCs w:val="24"/>
          <w:lang w:val="nl-NL"/>
        </w:rPr>
      </w:pPr>
      <w:r w:rsidRPr="00875F19">
        <w:rPr>
          <w:sz w:val="24"/>
          <w:szCs w:val="24"/>
        </w:rPr>
        <w:t>På basis af en farmakokinetisk populationsmodel, der vurderer posaconazols farmakokinetik og forudsiger eksponering hos pædiatriske patienter, opnås eksponeringsmålet for den gennemsnitlige koncentration (C</w:t>
      </w:r>
      <w:r w:rsidRPr="00875F19">
        <w:rPr>
          <w:sz w:val="24"/>
          <w:szCs w:val="24"/>
          <w:vertAlign w:val="subscript"/>
        </w:rPr>
        <w:t>av</w:t>
      </w:r>
      <w:r w:rsidRPr="00875F19">
        <w:rPr>
          <w:sz w:val="24"/>
          <w:szCs w:val="24"/>
        </w:rPr>
        <w:t xml:space="preserve">) afposaconazol ved </w:t>
      </w:r>
      <w:r w:rsidRPr="00875F19">
        <w:rPr>
          <w:i/>
          <w:iCs/>
          <w:sz w:val="24"/>
          <w:szCs w:val="24"/>
        </w:rPr>
        <w:t>steady-state</w:t>
      </w:r>
      <w:r w:rsidRPr="00875F19">
        <w:rPr>
          <w:sz w:val="24"/>
          <w:szCs w:val="24"/>
        </w:rPr>
        <w:t xml:space="preserve"> på ca. 1.200 ng/ml og C</w:t>
      </w:r>
      <w:r w:rsidRPr="00875F19">
        <w:rPr>
          <w:sz w:val="24"/>
          <w:szCs w:val="24"/>
          <w:vertAlign w:val="subscript"/>
        </w:rPr>
        <w:t>av</w:t>
      </w:r>
      <w:r w:rsidRPr="00875F19">
        <w:rPr>
          <w:sz w:val="24"/>
          <w:szCs w:val="24"/>
        </w:rPr>
        <w:t xml:space="preserve"> ≥ 500 ng/ml hos ca. 90 % af patienterne med den anbefalede dosis af posaconazol koncentrat til infusionsvæske, opløsning, og enteropulver og solvens til oral suspension. </w:t>
      </w:r>
      <w:r w:rsidRPr="00875F19">
        <w:rPr>
          <w:sz w:val="24"/>
          <w:szCs w:val="24"/>
          <w:lang w:val="nl-NL"/>
        </w:rPr>
        <w:t>Simuleringer, der bruger den farmakokinetiske populationsmodel, forudsiger en C</w:t>
      </w:r>
      <w:r w:rsidRPr="00875F19">
        <w:rPr>
          <w:sz w:val="24"/>
          <w:szCs w:val="24"/>
          <w:vertAlign w:val="subscript"/>
          <w:lang w:val="nl-NL"/>
        </w:rPr>
        <w:t>av</w:t>
      </w:r>
      <w:r w:rsidRPr="00875F19">
        <w:rPr>
          <w:sz w:val="24"/>
          <w:szCs w:val="24"/>
          <w:lang w:val="nl-NL"/>
        </w:rPr>
        <w:t xml:space="preserve"> ≥ 500 ng/ml hos 90 % af de pædiatriske patienter, som vejer mindst 40 kg, efter administration af en voksendosis af posaconazol gastroresistente tabletter (300 mg to gange dagligt på dag 1 og 300 mg en gang dagligt startende på dag 2).</w:t>
      </w:r>
    </w:p>
    <w:p w14:paraId="2EC211DA" w14:textId="77777777" w:rsidR="00C806DE" w:rsidRPr="00875F19" w:rsidRDefault="00C806DE" w:rsidP="00507609">
      <w:pPr>
        <w:ind w:left="851"/>
        <w:rPr>
          <w:sz w:val="24"/>
          <w:szCs w:val="24"/>
          <w:lang w:val="nl-NL"/>
        </w:rPr>
      </w:pPr>
    </w:p>
    <w:p w14:paraId="66339CC1" w14:textId="77777777" w:rsidR="00C806DE" w:rsidRPr="00875F19" w:rsidRDefault="00C806DE" w:rsidP="00507609">
      <w:pPr>
        <w:ind w:left="851"/>
        <w:rPr>
          <w:sz w:val="24"/>
          <w:szCs w:val="24"/>
          <w:lang w:val="nl-NL"/>
        </w:rPr>
      </w:pPr>
      <w:r w:rsidRPr="00875F19">
        <w:rPr>
          <w:sz w:val="24"/>
          <w:szCs w:val="24"/>
          <w:lang w:val="nl-NL"/>
        </w:rPr>
        <w:t>Den farmakokinetiske populationsanalyse af posaconazol hos pædiatriske patienter tyder på, at alder, køn, nedsat nyrefunktion og etnicitet ikke har en klinisk betydningsfuld indvirkning på posaconazols farmakokinetik.</w:t>
      </w:r>
    </w:p>
    <w:p w14:paraId="651179AB" w14:textId="77777777" w:rsidR="00C806DE" w:rsidRPr="00875F19" w:rsidRDefault="00C806DE" w:rsidP="00507609">
      <w:pPr>
        <w:ind w:left="851"/>
        <w:rPr>
          <w:sz w:val="24"/>
          <w:szCs w:val="24"/>
          <w:lang w:val="nl-NL"/>
        </w:rPr>
      </w:pPr>
    </w:p>
    <w:p w14:paraId="6A7581FD" w14:textId="77777777" w:rsidR="00C806DE" w:rsidRPr="00875F19" w:rsidRDefault="00C806DE" w:rsidP="00507609">
      <w:pPr>
        <w:ind w:left="851"/>
        <w:rPr>
          <w:i/>
          <w:iCs/>
          <w:sz w:val="24"/>
          <w:szCs w:val="24"/>
          <w:lang w:val="nl-NL"/>
        </w:rPr>
      </w:pPr>
      <w:r w:rsidRPr="00875F19">
        <w:rPr>
          <w:i/>
          <w:iCs/>
          <w:sz w:val="24"/>
          <w:szCs w:val="24"/>
          <w:lang w:val="nl-NL"/>
        </w:rPr>
        <w:t xml:space="preserve">Køn </w:t>
      </w:r>
    </w:p>
    <w:p w14:paraId="3908C431" w14:textId="77777777" w:rsidR="00C806DE" w:rsidRPr="00875F19" w:rsidRDefault="00C806DE" w:rsidP="00507609">
      <w:pPr>
        <w:ind w:left="851"/>
        <w:rPr>
          <w:sz w:val="24"/>
          <w:szCs w:val="24"/>
          <w:lang w:val="nl-NL"/>
        </w:rPr>
      </w:pPr>
      <w:r w:rsidRPr="00875F19">
        <w:rPr>
          <w:sz w:val="24"/>
          <w:szCs w:val="24"/>
          <w:lang w:val="nl-NL"/>
        </w:rPr>
        <w:t>Farmakokinetikken for posaconazol koncentrat til infusionsvæske, opløsning er sammenlignelig hos mænd og kvinder.</w:t>
      </w:r>
    </w:p>
    <w:p w14:paraId="205B5A41" w14:textId="77777777" w:rsidR="00C806DE" w:rsidRPr="00875F19" w:rsidRDefault="00C806DE" w:rsidP="00507609">
      <w:pPr>
        <w:ind w:left="851"/>
        <w:rPr>
          <w:sz w:val="24"/>
          <w:szCs w:val="24"/>
          <w:lang w:val="nl-NL"/>
        </w:rPr>
      </w:pPr>
    </w:p>
    <w:p w14:paraId="6BA229E8" w14:textId="77777777" w:rsidR="00C806DE" w:rsidRPr="00875F19" w:rsidRDefault="00C806DE" w:rsidP="00507609">
      <w:pPr>
        <w:ind w:left="851"/>
        <w:rPr>
          <w:i/>
          <w:iCs/>
          <w:sz w:val="24"/>
          <w:szCs w:val="24"/>
          <w:lang w:val="nl-NL"/>
        </w:rPr>
      </w:pPr>
      <w:r w:rsidRPr="00875F19">
        <w:rPr>
          <w:i/>
          <w:iCs/>
          <w:sz w:val="24"/>
          <w:szCs w:val="24"/>
          <w:lang w:val="nl-NL"/>
        </w:rPr>
        <w:t xml:space="preserve">Ældre </w:t>
      </w:r>
    </w:p>
    <w:p w14:paraId="472E8F42" w14:textId="77777777" w:rsidR="00C806DE" w:rsidRPr="00875F19" w:rsidRDefault="00C806DE" w:rsidP="00507609">
      <w:pPr>
        <w:ind w:left="851"/>
        <w:rPr>
          <w:sz w:val="24"/>
          <w:szCs w:val="24"/>
          <w:lang w:val="nl-NL"/>
        </w:rPr>
      </w:pPr>
      <w:r w:rsidRPr="00875F19">
        <w:rPr>
          <w:sz w:val="24"/>
          <w:szCs w:val="24"/>
          <w:lang w:val="nl-NL"/>
        </w:rPr>
        <w:t>Der blev ikke observeret nogen generelle forskelle i sikkerheden hos de ældre patienter og de yngre patienter.</w:t>
      </w:r>
    </w:p>
    <w:p w14:paraId="603AB90E" w14:textId="77777777" w:rsidR="00C806DE" w:rsidRPr="00875F19" w:rsidRDefault="00C806DE" w:rsidP="00507609">
      <w:pPr>
        <w:ind w:left="851"/>
        <w:rPr>
          <w:sz w:val="24"/>
          <w:szCs w:val="24"/>
          <w:lang w:val="nl-NL"/>
        </w:rPr>
      </w:pPr>
    </w:p>
    <w:p w14:paraId="47DA455F" w14:textId="77777777" w:rsidR="00C806DE" w:rsidRPr="00875F19" w:rsidRDefault="00C806DE" w:rsidP="00507609">
      <w:pPr>
        <w:ind w:left="851"/>
        <w:rPr>
          <w:sz w:val="24"/>
          <w:szCs w:val="24"/>
        </w:rPr>
      </w:pPr>
      <w:r w:rsidRPr="00875F19">
        <w:rPr>
          <w:sz w:val="24"/>
          <w:szCs w:val="24"/>
        </w:rPr>
        <w:t xml:space="preserve">Den farmakokinetiske populationsmodel for posaconazol koncentrat til infusionsvæske, opløsning, og tabletter indikerer, at </w:t>
      </w:r>
      <w:r w:rsidRPr="00875F19">
        <w:rPr>
          <w:i/>
          <w:iCs/>
          <w:sz w:val="24"/>
          <w:szCs w:val="24"/>
        </w:rPr>
        <w:t>clearance</w:t>
      </w:r>
      <w:r w:rsidRPr="00875F19">
        <w:rPr>
          <w:sz w:val="24"/>
          <w:szCs w:val="24"/>
        </w:rPr>
        <w:t xml:space="preserve"> afposaconazol er aldersrelateret. Posaconazol C</w:t>
      </w:r>
      <w:r w:rsidRPr="00875F19">
        <w:rPr>
          <w:sz w:val="24"/>
          <w:szCs w:val="24"/>
          <w:vertAlign w:val="subscript"/>
        </w:rPr>
        <w:t>av</w:t>
      </w:r>
      <w:r w:rsidRPr="00875F19">
        <w:rPr>
          <w:sz w:val="24"/>
          <w:szCs w:val="24"/>
        </w:rPr>
        <w:t xml:space="preserve"> er generelt sammenlignelig mellem unge og ældre patienter (≥ 65 år); C</w:t>
      </w:r>
      <w:r w:rsidRPr="00875F19">
        <w:rPr>
          <w:sz w:val="24"/>
          <w:szCs w:val="24"/>
          <w:vertAlign w:val="subscript"/>
        </w:rPr>
        <w:t>av</w:t>
      </w:r>
      <w:r w:rsidRPr="00875F19">
        <w:rPr>
          <w:sz w:val="24"/>
          <w:szCs w:val="24"/>
        </w:rPr>
        <w:t xml:space="preserve"> stiger dog med 11 % hos meget gamle patienter (≥ 80 år). Det anbefales derfor at monitorere meget gamle patienter (≥ 80 år) nøje for bivirkninger.</w:t>
      </w:r>
    </w:p>
    <w:p w14:paraId="1BA42DF2" w14:textId="77777777" w:rsidR="00C806DE" w:rsidRPr="00875F19" w:rsidRDefault="00C806DE" w:rsidP="00507609">
      <w:pPr>
        <w:ind w:left="851"/>
        <w:rPr>
          <w:sz w:val="24"/>
          <w:szCs w:val="24"/>
        </w:rPr>
      </w:pPr>
    </w:p>
    <w:p w14:paraId="04836DFE" w14:textId="77777777" w:rsidR="00C806DE" w:rsidRPr="00875F19" w:rsidRDefault="00C806DE" w:rsidP="00507609">
      <w:pPr>
        <w:ind w:left="851"/>
        <w:rPr>
          <w:sz w:val="24"/>
          <w:szCs w:val="24"/>
        </w:rPr>
      </w:pPr>
      <w:r w:rsidRPr="00875F19">
        <w:rPr>
          <w:sz w:val="24"/>
          <w:szCs w:val="24"/>
        </w:rPr>
        <w:t>Farmakokinetikken for posaconazol koncentrat til infusionsvæske, opløsning, er sammenlignelig hos unge og ældre forsøgspersoner (≥ 65 år).</w:t>
      </w:r>
    </w:p>
    <w:p w14:paraId="411F4AEB" w14:textId="77777777" w:rsidR="00C806DE" w:rsidRPr="00875F19" w:rsidRDefault="00C806DE" w:rsidP="00507609">
      <w:pPr>
        <w:ind w:left="851"/>
        <w:rPr>
          <w:sz w:val="24"/>
          <w:szCs w:val="24"/>
        </w:rPr>
      </w:pPr>
    </w:p>
    <w:p w14:paraId="6889E233" w14:textId="77777777" w:rsidR="00C806DE" w:rsidRPr="00875F19" w:rsidRDefault="00C806DE" w:rsidP="00507609">
      <w:pPr>
        <w:ind w:left="851"/>
        <w:rPr>
          <w:sz w:val="24"/>
          <w:szCs w:val="24"/>
          <w:lang w:val="nl-NL"/>
        </w:rPr>
      </w:pPr>
      <w:r w:rsidRPr="00875F19">
        <w:rPr>
          <w:sz w:val="24"/>
          <w:szCs w:val="24"/>
          <w:lang w:val="nl-NL"/>
        </w:rPr>
        <w:t>Farmakokinetiske forskelle på baggrund af alder anses ikke for klinisk relevant, og dosisjustering er derfor ikke nødvendig.</w:t>
      </w:r>
    </w:p>
    <w:p w14:paraId="0CB7ADA6" w14:textId="77777777" w:rsidR="00C806DE" w:rsidRPr="00875F19" w:rsidRDefault="00C806DE" w:rsidP="00507609">
      <w:pPr>
        <w:ind w:left="851"/>
        <w:rPr>
          <w:sz w:val="24"/>
          <w:szCs w:val="24"/>
          <w:lang w:val="nl-NL"/>
        </w:rPr>
      </w:pPr>
    </w:p>
    <w:p w14:paraId="7D8D7B17" w14:textId="77777777" w:rsidR="00C806DE" w:rsidRPr="00875F19" w:rsidRDefault="00C806DE" w:rsidP="00507609">
      <w:pPr>
        <w:ind w:left="851"/>
        <w:rPr>
          <w:i/>
          <w:iCs/>
          <w:sz w:val="24"/>
          <w:szCs w:val="24"/>
          <w:lang w:val="nl-NL"/>
        </w:rPr>
      </w:pPr>
      <w:r w:rsidRPr="00875F19">
        <w:rPr>
          <w:i/>
          <w:iCs/>
          <w:sz w:val="24"/>
          <w:szCs w:val="24"/>
          <w:lang w:val="nl-NL"/>
        </w:rPr>
        <w:t xml:space="preserve">Race </w:t>
      </w:r>
    </w:p>
    <w:p w14:paraId="37B80DA1" w14:textId="77777777" w:rsidR="00C806DE" w:rsidRPr="00875F19" w:rsidRDefault="00C806DE" w:rsidP="00507609">
      <w:pPr>
        <w:ind w:left="851"/>
        <w:rPr>
          <w:sz w:val="24"/>
          <w:szCs w:val="24"/>
          <w:lang w:val="nl-NL"/>
        </w:rPr>
      </w:pPr>
      <w:r w:rsidRPr="00875F19">
        <w:rPr>
          <w:sz w:val="24"/>
          <w:szCs w:val="24"/>
          <w:lang w:val="nl-NL"/>
        </w:rPr>
        <w:t>Der foreligger ikke tilstrækkelige data blandt forskellige racer med posaconazol koncentrat til infusionsvæske, opløsning.</w:t>
      </w:r>
    </w:p>
    <w:p w14:paraId="2AEF9F19" w14:textId="77777777" w:rsidR="00C806DE" w:rsidRPr="00875F19" w:rsidRDefault="00C806DE" w:rsidP="00507609">
      <w:pPr>
        <w:ind w:left="851"/>
        <w:rPr>
          <w:sz w:val="24"/>
          <w:szCs w:val="24"/>
          <w:lang w:val="nl-NL"/>
        </w:rPr>
      </w:pPr>
    </w:p>
    <w:p w14:paraId="45B7521B" w14:textId="77777777" w:rsidR="00C806DE" w:rsidRPr="00875F19" w:rsidRDefault="00C806DE" w:rsidP="00507609">
      <w:pPr>
        <w:ind w:left="851"/>
        <w:rPr>
          <w:sz w:val="24"/>
          <w:szCs w:val="24"/>
          <w:lang w:val="nl-NL"/>
        </w:rPr>
      </w:pPr>
      <w:r w:rsidRPr="00875F19">
        <w:rPr>
          <w:sz w:val="24"/>
          <w:szCs w:val="24"/>
          <w:lang w:val="nl-NL"/>
        </w:rPr>
        <w:t>Der var en svag reduktion (16 %) i AUC og C</w:t>
      </w:r>
      <w:r w:rsidRPr="00875F19">
        <w:rPr>
          <w:sz w:val="24"/>
          <w:szCs w:val="24"/>
          <w:vertAlign w:val="subscript"/>
          <w:lang w:val="nl-NL"/>
        </w:rPr>
        <w:t>max</w:t>
      </w:r>
      <w:r w:rsidRPr="00875F19">
        <w:rPr>
          <w:sz w:val="24"/>
          <w:szCs w:val="24"/>
          <w:lang w:val="nl-NL"/>
        </w:rPr>
        <w:t xml:space="preserve"> for posaconazol oral suspension hos negroide i forhold til kaukasiske personer. Sikkerhedsprofilen for posaconazol var imidlertid den samme hos negroide og kaukasiske personer.</w:t>
      </w:r>
    </w:p>
    <w:p w14:paraId="24D5AF5A" w14:textId="77777777" w:rsidR="00C806DE" w:rsidRPr="00875F19" w:rsidRDefault="00C806DE" w:rsidP="00507609">
      <w:pPr>
        <w:ind w:left="851"/>
        <w:rPr>
          <w:sz w:val="24"/>
          <w:szCs w:val="24"/>
          <w:lang w:val="nl-NL"/>
        </w:rPr>
      </w:pPr>
    </w:p>
    <w:p w14:paraId="34B4C57F" w14:textId="77777777" w:rsidR="00C806DE" w:rsidRPr="00875F19" w:rsidRDefault="00C806DE" w:rsidP="00507609">
      <w:pPr>
        <w:ind w:left="851"/>
        <w:rPr>
          <w:i/>
          <w:iCs/>
          <w:sz w:val="24"/>
          <w:szCs w:val="24"/>
          <w:lang w:val="nl-NL"/>
        </w:rPr>
      </w:pPr>
      <w:r w:rsidRPr="00875F19">
        <w:rPr>
          <w:i/>
          <w:iCs/>
          <w:sz w:val="24"/>
          <w:szCs w:val="24"/>
          <w:lang w:val="nl-NL"/>
        </w:rPr>
        <w:lastRenderedPageBreak/>
        <w:t xml:space="preserve">Vægt </w:t>
      </w:r>
    </w:p>
    <w:p w14:paraId="16095CA6" w14:textId="77777777" w:rsidR="00C806DE" w:rsidRPr="00875F19" w:rsidRDefault="00C806DE" w:rsidP="00507609">
      <w:pPr>
        <w:ind w:left="851"/>
        <w:rPr>
          <w:sz w:val="24"/>
          <w:szCs w:val="24"/>
          <w:lang w:val="nl-NL"/>
        </w:rPr>
      </w:pPr>
      <w:r w:rsidRPr="00875F19">
        <w:rPr>
          <w:sz w:val="24"/>
          <w:szCs w:val="24"/>
          <w:lang w:val="nl-NL"/>
        </w:rPr>
        <w:t xml:space="preserve">Den farmakokinetiske populationsmodel for posaconazol koncentrat til infusionsvæske, opløsning, og tabletter indikerer, at </w:t>
      </w:r>
      <w:r w:rsidRPr="00875F19">
        <w:rPr>
          <w:i/>
          <w:iCs/>
          <w:sz w:val="24"/>
          <w:szCs w:val="24"/>
          <w:lang w:val="nl-NL"/>
        </w:rPr>
        <w:t>clearance</w:t>
      </w:r>
      <w:r w:rsidRPr="00875F19">
        <w:rPr>
          <w:sz w:val="24"/>
          <w:szCs w:val="24"/>
          <w:lang w:val="nl-NL"/>
        </w:rPr>
        <w:t xml:space="preserve"> af posaconazol er vægtrelateret. Hos patienter &gt; 120 kg falder C</w:t>
      </w:r>
      <w:r w:rsidRPr="00875F19">
        <w:rPr>
          <w:sz w:val="24"/>
          <w:szCs w:val="24"/>
          <w:vertAlign w:val="subscript"/>
          <w:lang w:val="nl-NL"/>
        </w:rPr>
        <w:t>av</w:t>
      </w:r>
      <w:r w:rsidRPr="00875F19">
        <w:rPr>
          <w:sz w:val="24"/>
          <w:szCs w:val="24"/>
          <w:lang w:val="nl-NL"/>
        </w:rPr>
        <w:t xml:space="preserve"> med 25 % og hos patienter &lt; 50 kg stiger C</w:t>
      </w:r>
      <w:r w:rsidRPr="00875F19">
        <w:rPr>
          <w:sz w:val="24"/>
          <w:szCs w:val="24"/>
          <w:vertAlign w:val="subscript"/>
          <w:lang w:val="nl-NL"/>
        </w:rPr>
        <w:t>av</w:t>
      </w:r>
      <w:r w:rsidRPr="00875F19">
        <w:rPr>
          <w:sz w:val="24"/>
          <w:szCs w:val="24"/>
          <w:lang w:val="nl-NL"/>
        </w:rPr>
        <w:t xml:space="preserve"> med 19 %. </w:t>
      </w:r>
    </w:p>
    <w:p w14:paraId="00341909" w14:textId="77777777" w:rsidR="00C806DE" w:rsidRPr="00875F19" w:rsidRDefault="00C806DE" w:rsidP="00507609">
      <w:pPr>
        <w:ind w:left="851"/>
        <w:rPr>
          <w:sz w:val="24"/>
          <w:szCs w:val="24"/>
        </w:rPr>
      </w:pPr>
      <w:r w:rsidRPr="00875F19">
        <w:rPr>
          <w:sz w:val="24"/>
          <w:szCs w:val="24"/>
        </w:rPr>
        <w:t>Det foreslås derfor at følge patienter, som vejer mere end 120 kg, nøje for tilbagevendende svampeinfektioner.</w:t>
      </w:r>
    </w:p>
    <w:p w14:paraId="69B121BE" w14:textId="77777777" w:rsidR="00C806DE" w:rsidRPr="00875F19" w:rsidRDefault="00C806DE" w:rsidP="00507609">
      <w:pPr>
        <w:ind w:left="851"/>
        <w:rPr>
          <w:sz w:val="24"/>
          <w:szCs w:val="24"/>
        </w:rPr>
      </w:pPr>
    </w:p>
    <w:p w14:paraId="4B686E0F" w14:textId="77777777" w:rsidR="00C806DE" w:rsidRPr="00875F19" w:rsidRDefault="00C806DE" w:rsidP="00507609">
      <w:pPr>
        <w:ind w:left="851"/>
        <w:rPr>
          <w:i/>
          <w:iCs/>
          <w:sz w:val="24"/>
          <w:szCs w:val="24"/>
        </w:rPr>
      </w:pPr>
      <w:r w:rsidRPr="00875F19">
        <w:rPr>
          <w:i/>
          <w:iCs/>
          <w:sz w:val="24"/>
          <w:szCs w:val="24"/>
        </w:rPr>
        <w:t xml:space="preserve">Nedsat nyrefunktion </w:t>
      </w:r>
    </w:p>
    <w:p w14:paraId="00531D3B" w14:textId="0DD2F31C" w:rsidR="00C806DE" w:rsidRPr="00875F19" w:rsidRDefault="00C806DE" w:rsidP="00507609">
      <w:pPr>
        <w:ind w:left="851"/>
        <w:rPr>
          <w:sz w:val="24"/>
          <w:szCs w:val="24"/>
        </w:rPr>
      </w:pPr>
      <w:r w:rsidRPr="00875F19">
        <w:rPr>
          <w:sz w:val="24"/>
          <w:szCs w:val="24"/>
        </w:rPr>
        <w:t>Efter administration af en enkeltdosis af posaconazol oral suspension sås ingen påvirkning af posaconazols farmakokinetik ved let og moderat nedsat nyrefunktion (n=18 Cl</w:t>
      </w:r>
      <w:r w:rsidRPr="00875F19">
        <w:rPr>
          <w:sz w:val="24"/>
          <w:szCs w:val="24"/>
          <w:vertAlign w:val="subscript"/>
        </w:rPr>
        <w:t>cr</w:t>
      </w:r>
      <w:r w:rsidRPr="00875F19">
        <w:rPr>
          <w:sz w:val="24"/>
          <w:szCs w:val="24"/>
        </w:rPr>
        <w:t xml:space="preserve"> ≥</w:t>
      </w:r>
      <w:r w:rsidR="009A6218">
        <w:rPr>
          <w:sz w:val="24"/>
          <w:szCs w:val="24"/>
        </w:rPr>
        <w:t> </w:t>
      </w:r>
      <w:r w:rsidRPr="00875F19">
        <w:rPr>
          <w:sz w:val="24"/>
          <w:szCs w:val="24"/>
        </w:rPr>
        <w:t>20</w:t>
      </w:r>
      <w:r w:rsidR="009A6218">
        <w:rPr>
          <w:sz w:val="24"/>
          <w:szCs w:val="24"/>
        </w:rPr>
        <w:t> </w:t>
      </w:r>
      <w:r w:rsidRPr="00875F19">
        <w:rPr>
          <w:sz w:val="24"/>
          <w:szCs w:val="24"/>
        </w:rPr>
        <w:t>ml/min/1,73 m</w:t>
      </w:r>
      <w:r w:rsidRPr="00875F19">
        <w:rPr>
          <w:sz w:val="24"/>
          <w:szCs w:val="24"/>
          <w:vertAlign w:val="superscript"/>
        </w:rPr>
        <w:t>2</w:t>
      </w:r>
      <w:r w:rsidRPr="00875F19">
        <w:rPr>
          <w:sz w:val="24"/>
          <w:szCs w:val="24"/>
        </w:rPr>
        <w:t xml:space="preserve">); dosisjustering er således ikke nødvendig. Hos patienter med svært nedsat nyrefunktion (n=6, Cl </w:t>
      </w:r>
      <w:r w:rsidRPr="00875F19">
        <w:rPr>
          <w:sz w:val="24"/>
          <w:szCs w:val="24"/>
          <w:vertAlign w:val="subscript"/>
        </w:rPr>
        <w:t xml:space="preserve">cr </w:t>
      </w:r>
      <w:r w:rsidRPr="00875F19">
        <w:rPr>
          <w:sz w:val="24"/>
          <w:szCs w:val="24"/>
        </w:rPr>
        <w:t>&lt; 20 ml/min/1,73 m</w:t>
      </w:r>
      <w:r w:rsidRPr="00875F19">
        <w:rPr>
          <w:sz w:val="24"/>
          <w:szCs w:val="24"/>
          <w:vertAlign w:val="superscript"/>
        </w:rPr>
        <w:t>2</w:t>
      </w:r>
      <w:r w:rsidRPr="00875F19">
        <w:rPr>
          <w:sz w:val="24"/>
          <w:szCs w:val="24"/>
        </w:rPr>
        <w:t>) var AUC for posaconazol meget variabel [&gt; 96 % CV (varianskoefficient)] sammenlignet med andre grupper med nyrelidelse [&lt; 40 % CV]. Da posaconazol imidlertid ikke i signifikant grad udskilles renalt, forventes ingen påvirkning af posaconazols farmakokinetik ved svært nedsat nyrefunktion, og der anbefales ingen dosisjustering. Posaconazol fjernes ikke ved hæmodialyse. Patienter med svært nedsat nyrefunktion skal monitoreres nøje for tilbagevendende svampeinfektioner på grund af variabilitet i eksponering (se pkt. 4.2).</w:t>
      </w:r>
    </w:p>
    <w:p w14:paraId="0F950381" w14:textId="77777777" w:rsidR="00C806DE" w:rsidRPr="00875F19" w:rsidRDefault="00C806DE" w:rsidP="00507609">
      <w:pPr>
        <w:ind w:left="851"/>
        <w:rPr>
          <w:sz w:val="24"/>
          <w:szCs w:val="24"/>
        </w:rPr>
      </w:pPr>
    </w:p>
    <w:p w14:paraId="62B41FA3" w14:textId="77777777" w:rsidR="00C806DE" w:rsidRPr="00875F19" w:rsidRDefault="00C806DE" w:rsidP="00507609">
      <w:pPr>
        <w:ind w:left="851"/>
        <w:rPr>
          <w:sz w:val="24"/>
          <w:szCs w:val="24"/>
        </w:rPr>
      </w:pPr>
      <w:r w:rsidRPr="00875F19">
        <w:rPr>
          <w:sz w:val="24"/>
          <w:szCs w:val="24"/>
        </w:rPr>
        <w:t>Tilsvarende anbefalinger gælder for posaconazol koncentrat til infusionsvæske, opløsning. Der er dog ikke udført et særligt studie med posaconazol koncentrat til infusionsvæske, opløsning.</w:t>
      </w:r>
    </w:p>
    <w:p w14:paraId="332EAC21" w14:textId="77777777" w:rsidR="00C806DE" w:rsidRPr="00875F19" w:rsidRDefault="00C806DE" w:rsidP="00507609">
      <w:pPr>
        <w:ind w:left="851"/>
        <w:rPr>
          <w:sz w:val="24"/>
          <w:szCs w:val="24"/>
        </w:rPr>
      </w:pPr>
    </w:p>
    <w:p w14:paraId="208E39F8" w14:textId="77777777" w:rsidR="00C806DE" w:rsidRPr="00875F19" w:rsidRDefault="00C806DE" w:rsidP="00507609">
      <w:pPr>
        <w:ind w:left="851"/>
        <w:rPr>
          <w:i/>
          <w:iCs/>
          <w:sz w:val="24"/>
          <w:szCs w:val="24"/>
        </w:rPr>
      </w:pPr>
      <w:r w:rsidRPr="00875F19">
        <w:rPr>
          <w:i/>
          <w:iCs/>
          <w:sz w:val="24"/>
          <w:szCs w:val="24"/>
        </w:rPr>
        <w:t xml:space="preserve">Nedsat leverfunktion </w:t>
      </w:r>
    </w:p>
    <w:p w14:paraId="0B52999E" w14:textId="77777777" w:rsidR="00C806DE" w:rsidRPr="00875F19" w:rsidRDefault="00C806DE" w:rsidP="00507609">
      <w:pPr>
        <w:ind w:left="851"/>
        <w:rPr>
          <w:sz w:val="24"/>
          <w:szCs w:val="24"/>
          <w:lang w:val="nl-NL"/>
        </w:rPr>
      </w:pPr>
      <w:r w:rsidRPr="00875F19">
        <w:rPr>
          <w:sz w:val="24"/>
          <w:szCs w:val="24"/>
        </w:rPr>
        <w:t xml:space="preserve">Efter en enkelt oral dosis på 400 mg posaconazol oral suspension til patienter med let (Child-Pugh klasse A), moderat (Child-Pugh klasse B) eller svært (Child-Pugh klasse C) nedsat leverfunktion (seks pr. gruppe) var det gennemsnitlige AUC 1,3 til 1,6 gange højere sammenlignet med værdien hos forsøgspersoner i kontrolgruppen med normal leverfunktion. </w:t>
      </w:r>
      <w:r w:rsidRPr="00875F19">
        <w:rPr>
          <w:sz w:val="24"/>
          <w:szCs w:val="24"/>
          <w:lang w:val="nl-NL"/>
        </w:rPr>
        <w:t>Ubundne koncentrationer blev ikke bestemt, og det kan ikke udelukkes, at der er en større stigning i eksponeringen for ubundet posaconazol end den observerede stigning på 60 % i totalt AUC. Eliminationshalveringstiden (t</w:t>
      </w:r>
      <w:r w:rsidRPr="00875F19">
        <w:rPr>
          <w:sz w:val="24"/>
          <w:szCs w:val="24"/>
          <w:vertAlign w:val="subscript"/>
          <w:lang w:val="nl-NL"/>
        </w:rPr>
        <w:t>½</w:t>
      </w:r>
      <w:r w:rsidRPr="00875F19">
        <w:rPr>
          <w:sz w:val="24"/>
          <w:szCs w:val="24"/>
          <w:lang w:val="nl-NL"/>
        </w:rPr>
        <w:t>) blev forlænget fra ca. 27 timer op til ~43 timer i de respektive grupper. Dosisjustering anbefales ikke hos patienter med let til svært nedsat leverfunktion, men der bør udvises forsigtighed på grund af potentialet for højere plasmaeksponering.</w:t>
      </w:r>
    </w:p>
    <w:p w14:paraId="7ADBF08D" w14:textId="77777777" w:rsidR="00C806DE" w:rsidRPr="00875F19" w:rsidRDefault="00C806DE" w:rsidP="00507609">
      <w:pPr>
        <w:ind w:left="851"/>
        <w:rPr>
          <w:sz w:val="24"/>
          <w:szCs w:val="24"/>
          <w:lang w:val="nl-NL"/>
        </w:rPr>
      </w:pPr>
    </w:p>
    <w:p w14:paraId="62A84D3A" w14:textId="77777777" w:rsidR="00C806DE" w:rsidRPr="00875F19" w:rsidRDefault="00C806DE" w:rsidP="00507609">
      <w:pPr>
        <w:ind w:left="851"/>
        <w:rPr>
          <w:sz w:val="24"/>
          <w:szCs w:val="24"/>
          <w:lang w:val="nl-NL"/>
        </w:rPr>
      </w:pPr>
      <w:r w:rsidRPr="00875F19">
        <w:rPr>
          <w:sz w:val="24"/>
          <w:szCs w:val="24"/>
          <w:lang w:val="nl-NL"/>
        </w:rPr>
        <w:t>Tilsvarende anbefalinger gælder for posaconazol koncentrat til infusionsvæske, opløsning. Der er dog ikke udført et særligt studie med posaconazol koncentrat til infusionsvæske, opløsning.</w:t>
      </w:r>
    </w:p>
    <w:p w14:paraId="2E904CF2" w14:textId="77777777" w:rsidR="009260DE" w:rsidRPr="00875F19" w:rsidRDefault="009260DE" w:rsidP="009260DE">
      <w:pPr>
        <w:tabs>
          <w:tab w:val="left" w:pos="851"/>
        </w:tabs>
        <w:ind w:left="851"/>
        <w:rPr>
          <w:sz w:val="24"/>
          <w:szCs w:val="24"/>
        </w:rPr>
      </w:pPr>
    </w:p>
    <w:p w14:paraId="70E49EED" w14:textId="77777777" w:rsidR="009260DE" w:rsidRPr="00875F19" w:rsidRDefault="009260DE" w:rsidP="009260DE">
      <w:pPr>
        <w:tabs>
          <w:tab w:val="left" w:pos="851"/>
        </w:tabs>
        <w:ind w:left="851" w:hanging="851"/>
        <w:rPr>
          <w:b/>
          <w:sz w:val="24"/>
          <w:szCs w:val="24"/>
        </w:rPr>
      </w:pPr>
      <w:r w:rsidRPr="00875F19">
        <w:rPr>
          <w:b/>
          <w:sz w:val="24"/>
          <w:szCs w:val="24"/>
        </w:rPr>
        <w:t>5.3</w:t>
      </w:r>
      <w:r w:rsidRPr="00875F19">
        <w:rPr>
          <w:b/>
          <w:sz w:val="24"/>
          <w:szCs w:val="24"/>
        </w:rPr>
        <w:tab/>
      </w:r>
      <w:r w:rsidR="00BD7931" w:rsidRPr="00875F19">
        <w:rPr>
          <w:b/>
          <w:sz w:val="24"/>
          <w:szCs w:val="24"/>
        </w:rPr>
        <w:t>Non-</w:t>
      </w:r>
      <w:r w:rsidRPr="00875F19">
        <w:rPr>
          <w:b/>
          <w:sz w:val="24"/>
          <w:szCs w:val="24"/>
        </w:rPr>
        <w:t>kliniske sikkerhedsdata</w:t>
      </w:r>
    </w:p>
    <w:p w14:paraId="335A8B7F" w14:textId="77777777" w:rsidR="00C806DE" w:rsidRPr="00875F19" w:rsidRDefault="00C806DE" w:rsidP="00507609">
      <w:pPr>
        <w:ind w:left="851"/>
        <w:rPr>
          <w:sz w:val="24"/>
          <w:szCs w:val="24"/>
          <w:lang w:val="nl-NL"/>
        </w:rPr>
      </w:pPr>
      <w:r w:rsidRPr="00875F19">
        <w:rPr>
          <w:sz w:val="24"/>
          <w:szCs w:val="24"/>
        </w:rPr>
        <w:t xml:space="preserve">Som for andre antimykotiske azolderivater blev der i toksicitetsstudier med gentagne doser af posaconazol set virkning som følge af hæmningen af steroidhormonsyntesen. </w:t>
      </w:r>
      <w:r w:rsidRPr="00875F19">
        <w:rPr>
          <w:sz w:val="24"/>
          <w:szCs w:val="24"/>
          <w:lang w:val="nl-NL"/>
        </w:rPr>
        <w:t>Binyrebarkhæmmende virkning blev observeret i toksicitetsstudier med rotter og hunde ved eksponering svarende til eller større end den eksponering, der opnås ved terapeutiske doser hos mennesker.</w:t>
      </w:r>
    </w:p>
    <w:p w14:paraId="33A64661" w14:textId="77777777" w:rsidR="00C806DE" w:rsidRPr="00875F19" w:rsidRDefault="00C806DE" w:rsidP="00507609">
      <w:pPr>
        <w:ind w:left="851"/>
        <w:rPr>
          <w:sz w:val="24"/>
          <w:szCs w:val="24"/>
          <w:lang w:val="nl-NL"/>
        </w:rPr>
      </w:pPr>
    </w:p>
    <w:p w14:paraId="0CE6B668" w14:textId="77777777" w:rsidR="00C806DE" w:rsidRPr="00875F19" w:rsidRDefault="00C806DE" w:rsidP="00507609">
      <w:pPr>
        <w:ind w:left="851"/>
        <w:rPr>
          <w:sz w:val="24"/>
          <w:szCs w:val="24"/>
          <w:lang w:val="nl-NL"/>
        </w:rPr>
      </w:pPr>
      <w:r w:rsidRPr="00875F19">
        <w:rPr>
          <w:sz w:val="24"/>
          <w:szCs w:val="24"/>
          <w:lang w:val="nl-NL"/>
        </w:rPr>
        <w:t xml:space="preserve">Neuronal fosfolipidose forekom hos hunde behandlet i </w:t>
      </w:r>
      <w:r w:rsidRPr="00875F19">
        <w:rPr>
          <w:sz w:val="24"/>
          <w:szCs w:val="24"/>
        </w:rPr>
        <w:sym w:font="Symbol" w:char="F0B3"/>
      </w:r>
      <w:r w:rsidRPr="00875F19">
        <w:rPr>
          <w:sz w:val="24"/>
          <w:szCs w:val="24"/>
          <w:lang w:val="nl-NL"/>
        </w:rPr>
        <w:t xml:space="preserve"> 3 måneder ved lavere systemisk eksponering end den eksponering, der opnås ved terapeutiske doser hos mennesker. Denne virkning blev ikke set hos aber, der blev behandlet i et år. I tolv måneders neurotoksicitetsstudier med hunde og aber blev der ikke konstateret påvirkning af det </w:t>
      </w:r>
      <w:r w:rsidRPr="00875F19">
        <w:rPr>
          <w:sz w:val="24"/>
          <w:szCs w:val="24"/>
          <w:lang w:val="nl-NL"/>
        </w:rPr>
        <w:lastRenderedPageBreak/>
        <w:t>centrale eller perifere nervesystem ved systemisk eksponering, der var større end den, der blev opnået terapeutisk.</w:t>
      </w:r>
    </w:p>
    <w:p w14:paraId="09F06BFB" w14:textId="77777777" w:rsidR="00C806DE" w:rsidRPr="00875F19" w:rsidRDefault="00C806DE" w:rsidP="00507609">
      <w:pPr>
        <w:ind w:left="851"/>
        <w:rPr>
          <w:sz w:val="24"/>
          <w:szCs w:val="24"/>
          <w:lang w:val="nl-NL"/>
        </w:rPr>
      </w:pPr>
    </w:p>
    <w:p w14:paraId="676B3880" w14:textId="77777777" w:rsidR="00C806DE" w:rsidRPr="00875F19" w:rsidRDefault="00C806DE" w:rsidP="00507609">
      <w:pPr>
        <w:ind w:left="851"/>
        <w:rPr>
          <w:sz w:val="24"/>
          <w:szCs w:val="24"/>
          <w:lang w:val="nl-NL"/>
        </w:rPr>
      </w:pPr>
      <w:r w:rsidRPr="00875F19">
        <w:rPr>
          <w:sz w:val="24"/>
          <w:szCs w:val="24"/>
          <w:lang w:val="nl-NL"/>
        </w:rPr>
        <w:t>Pulmonal fosfolipidose, der resulterede i dilatation og obstruktion af alveolerne, blev observeret i et 2-årigt studie med rotter. Disse fund indikerer ikke nødvendigvis et potentiale for funktionelle forandringer hos mennesker.</w:t>
      </w:r>
    </w:p>
    <w:p w14:paraId="176368CF" w14:textId="77777777" w:rsidR="00C806DE" w:rsidRPr="00875F19" w:rsidRDefault="00C806DE" w:rsidP="00507609">
      <w:pPr>
        <w:ind w:left="851"/>
        <w:rPr>
          <w:sz w:val="24"/>
          <w:szCs w:val="24"/>
          <w:lang w:val="nl-NL"/>
        </w:rPr>
      </w:pPr>
    </w:p>
    <w:p w14:paraId="5BB88CAA" w14:textId="6634EF90" w:rsidR="00C806DE" w:rsidRPr="00875F19" w:rsidRDefault="00C806DE" w:rsidP="00507609">
      <w:pPr>
        <w:ind w:left="851"/>
        <w:rPr>
          <w:sz w:val="24"/>
          <w:szCs w:val="24"/>
          <w:lang w:val="nl-NL"/>
        </w:rPr>
      </w:pPr>
      <w:r w:rsidRPr="00875F19">
        <w:rPr>
          <w:sz w:val="24"/>
          <w:szCs w:val="24"/>
          <w:lang w:val="nl-NL"/>
        </w:rPr>
        <w:t>Der blev ikke konstateret virkning på elektrokardiogrammer, inklusive QT- og QTc-intervaller, i et sikkerhedsfarmakologisk studie med gentagne doser til aber ved maksimale plasmakoncentrationer, der var 8,9 gange større end de koncentrationer, der blev opnået ved terapeutiske doser hos mennesker efter administration af en 300 mg intravenøs infusion. Ekkokardiografi viste ingen tegn på hjerteinsufficiens i et sikkerheds</w:t>
      </w:r>
      <w:r w:rsidR="009A6218">
        <w:rPr>
          <w:sz w:val="24"/>
          <w:szCs w:val="24"/>
          <w:lang w:val="nl-NL"/>
        </w:rPr>
        <w:softHyphen/>
      </w:r>
      <w:r w:rsidRPr="00875F19">
        <w:rPr>
          <w:sz w:val="24"/>
          <w:szCs w:val="24"/>
          <w:lang w:val="nl-NL"/>
        </w:rPr>
        <w:t>farmakologisk studie med gentagne doser til rotter ved en systemisk eksponering, der var 2,2 gange større end den, der blev opnået terapeutisk. Forhøjet systolisk og arterielt blodtryk (op til 29 mm-Hg) blev målt hos rotter og aber ved systemisk eksponering, der var henholdsvis 2,2 gange og 8,9 gange større end den, der blev opnået med terapeutiske doser hos mennesker.</w:t>
      </w:r>
    </w:p>
    <w:p w14:paraId="51F929D4" w14:textId="77777777" w:rsidR="00C806DE" w:rsidRPr="00875F19" w:rsidRDefault="00C806DE" w:rsidP="00507609">
      <w:pPr>
        <w:ind w:left="851"/>
        <w:rPr>
          <w:sz w:val="24"/>
          <w:szCs w:val="24"/>
          <w:lang w:val="nl-NL"/>
        </w:rPr>
      </w:pPr>
    </w:p>
    <w:p w14:paraId="5EC67C36" w14:textId="77777777" w:rsidR="00C806DE" w:rsidRPr="00875F19" w:rsidRDefault="00C806DE" w:rsidP="00507609">
      <w:pPr>
        <w:ind w:left="851"/>
        <w:rPr>
          <w:sz w:val="24"/>
          <w:szCs w:val="24"/>
          <w:lang w:val="nl-NL"/>
        </w:rPr>
      </w:pPr>
      <w:r w:rsidRPr="00875F19">
        <w:rPr>
          <w:sz w:val="24"/>
          <w:szCs w:val="24"/>
          <w:lang w:val="nl-NL"/>
        </w:rPr>
        <w:t>En ikke dosisrelateret forekomst af blodprop i lungen (lungeemboli) blev konstateret i 1 måneders studiet med gentagne doser til aber. Den kliniske signifikans af dette fund er ukendt.</w:t>
      </w:r>
    </w:p>
    <w:p w14:paraId="7F98076B" w14:textId="77777777" w:rsidR="00C806DE" w:rsidRPr="00875F19" w:rsidRDefault="00C806DE" w:rsidP="00507609">
      <w:pPr>
        <w:ind w:left="851"/>
        <w:rPr>
          <w:sz w:val="24"/>
          <w:szCs w:val="24"/>
          <w:lang w:val="nl-NL"/>
        </w:rPr>
      </w:pPr>
    </w:p>
    <w:p w14:paraId="066191FB" w14:textId="77777777" w:rsidR="00C806DE" w:rsidRPr="00875F19" w:rsidRDefault="00C806DE" w:rsidP="00507609">
      <w:pPr>
        <w:ind w:left="851"/>
        <w:rPr>
          <w:sz w:val="24"/>
          <w:szCs w:val="24"/>
          <w:lang w:val="nl-NL"/>
        </w:rPr>
      </w:pPr>
      <w:r w:rsidRPr="00875F19">
        <w:rPr>
          <w:sz w:val="24"/>
          <w:szCs w:val="24"/>
          <w:lang w:val="nl-NL"/>
        </w:rPr>
        <w:t>Der er blevet udført studier af reproduktion samt peri- og postnatal udvikling hos rotter. Ved lavere eksponering end den, der blev opnået ved terapeutiske doser hos mennesker, forårsagede posaconazol skeletforandringer og misdannelser, dystoki, forlænget drægtighedsperiode, reduceret gennemsnitlig kuldstørrelse og postnatal overlevelse. Hos kaniner var posaconazol embryotoksisk ved eksponering, der var større end den, der blev opnået med terapeutiske doser. Som det er blevet set ved andre antimykotiske azolderivater, ansås indvirkningen på reproduktionen for at være en følge af den terapeutiske hæmning af steroidhormon-syntesen.</w:t>
      </w:r>
    </w:p>
    <w:p w14:paraId="6829F245" w14:textId="77777777" w:rsidR="00C806DE" w:rsidRPr="00875F19" w:rsidRDefault="00C806DE" w:rsidP="00507609">
      <w:pPr>
        <w:ind w:left="851"/>
        <w:rPr>
          <w:sz w:val="24"/>
          <w:szCs w:val="24"/>
          <w:lang w:val="nl-NL"/>
        </w:rPr>
      </w:pPr>
    </w:p>
    <w:p w14:paraId="2C4021BA" w14:textId="77777777" w:rsidR="00C806DE" w:rsidRPr="00875F19" w:rsidRDefault="00C806DE" w:rsidP="00507609">
      <w:pPr>
        <w:ind w:left="851"/>
        <w:rPr>
          <w:sz w:val="24"/>
          <w:szCs w:val="24"/>
          <w:lang w:val="nl-NL"/>
        </w:rPr>
      </w:pPr>
      <w:r w:rsidRPr="00875F19">
        <w:rPr>
          <w:sz w:val="24"/>
          <w:szCs w:val="24"/>
          <w:lang w:val="nl-NL"/>
        </w:rPr>
        <w:t xml:space="preserve">Posaconazol var ikke genotoksisk i </w:t>
      </w:r>
      <w:r w:rsidRPr="00875F19">
        <w:rPr>
          <w:i/>
          <w:iCs/>
          <w:sz w:val="24"/>
          <w:szCs w:val="24"/>
          <w:lang w:val="nl-NL"/>
        </w:rPr>
        <w:t>in vitro-</w:t>
      </w:r>
      <w:r w:rsidRPr="00875F19">
        <w:rPr>
          <w:sz w:val="24"/>
          <w:szCs w:val="24"/>
          <w:lang w:val="nl-NL"/>
        </w:rPr>
        <w:t xml:space="preserve"> og in vivo-studier. Karcinogenicitetsstudier viste ingen speciel risiko for mennesker.</w:t>
      </w:r>
    </w:p>
    <w:p w14:paraId="335A9C2F" w14:textId="77777777" w:rsidR="00C806DE" w:rsidRPr="00875F19" w:rsidRDefault="00C806DE" w:rsidP="00507609">
      <w:pPr>
        <w:ind w:left="851"/>
        <w:rPr>
          <w:sz w:val="24"/>
          <w:szCs w:val="24"/>
          <w:lang w:val="nl-NL"/>
        </w:rPr>
      </w:pPr>
    </w:p>
    <w:p w14:paraId="36269915" w14:textId="77777777" w:rsidR="00C806DE" w:rsidRPr="00875F19" w:rsidRDefault="00C806DE" w:rsidP="00507609">
      <w:pPr>
        <w:ind w:left="851"/>
        <w:rPr>
          <w:sz w:val="24"/>
          <w:szCs w:val="24"/>
        </w:rPr>
      </w:pPr>
      <w:r w:rsidRPr="00875F19">
        <w:rPr>
          <w:sz w:val="24"/>
          <w:szCs w:val="24"/>
          <w:lang w:val="nl-NL"/>
        </w:rPr>
        <w:t xml:space="preserve">I et ikke-klinisk studie med intravenøs administration af posaconazol til meget unge hunde (fik dosis fra 2-8 ugers alderen) blev der observeret en stigning i forekomsten af forstørrelse af hjerneventrikler hos de behandlede dyr sammenlignet med sideløbende kontroldyr. Der blev ikke observeret nogen forskel i forekomsten af forstørrelse af hjerneventrikler mellem kontroldyrene og de behandlede dyr efter den efterfølgende behandlingsfrie periode på 5 måneder. Der var ingen neurologiske, adfærdsmæssige eller udviklingsmæssige anormaliteter hos hundene i forbindelse med dette fund, og der blev ikke konstateret tilsvarende hjernefund med administration af oral dosis af posaconazol til unghunde (4 dage til 9 måneders alderen) og heller ikke med intravenøs administration af posaconazol til unghunde (i alderen 10 uger til 23 uger). </w:t>
      </w:r>
      <w:r w:rsidRPr="00875F19">
        <w:rPr>
          <w:sz w:val="24"/>
          <w:szCs w:val="24"/>
        </w:rPr>
        <w:t>Den kliniske signifikans af dette fund er ukendt.</w:t>
      </w:r>
    </w:p>
    <w:p w14:paraId="451E7BC8" w14:textId="17D75F6D" w:rsidR="009260DE" w:rsidRDefault="009260DE" w:rsidP="009260DE">
      <w:pPr>
        <w:tabs>
          <w:tab w:val="left" w:pos="851"/>
        </w:tabs>
        <w:ind w:left="851"/>
        <w:rPr>
          <w:sz w:val="24"/>
          <w:szCs w:val="24"/>
        </w:rPr>
      </w:pPr>
    </w:p>
    <w:p w14:paraId="3C749298" w14:textId="70C52FAE" w:rsidR="00E5143B" w:rsidRDefault="00E5143B">
      <w:pPr>
        <w:rPr>
          <w:sz w:val="24"/>
          <w:szCs w:val="24"/>
        </w:rPr>
      </w:pPr>
      <w:r>
        <w:rPr>
          <w:sz w:val="24"/>
          <w:szCs w:val="24"/>
        </w:rPr>
        <w:br w:type="page"/>
      </w:r>
    </w:p>
    <w:p w14:paraId="57C318BD" w14:textId="77777777" w:rsidR="009A6218" w:rsidRPr="00875F19" w:rsidRDefault="009A6218" w:rsidP="009260DE">
      <w:pPr>
        <w:tabs>
          <w:tab w:val="left" w:pos="851"/>
        </w:tabs>
        <w:ind w:left="851"/>
        <w:rPr>
          <w:sz w:val="24"/>
          <w:szCs w:val="24"/>
        </w:rPr>
      </w:pPr>
    </w:p>
    <w:p w14:paraId="3D7F6E50" w14:textId="77777777" w:rsidR="009260DE" w:rsidRPr="00875F19" w:rsidRDefault="009260DE" w:rsidP="009260DE">
      <w:pPr>
        <w:tabs>
          <w:tab w:val="left" w:pos="851"/>
        </w:tabs>
        <w:ind w:left="851" w:hanging="851"/>
        <w:rPr>
          <w:b/>
          <w:sz w:val="24"/>
          <w:szCs w:val="24"/>
        </w:rPr>
      </w:pPr>
      <w:r w:rsidRPr="00875F19">
        <w:rPr>
          <w:b/>
          <w:sz w:val="24"/>
          <w:szCs w:val="24"/>
        </w:rPr>
        <w:t>6.</w:t>
      </w:r>
      <w:r w:rsidRPr="00875F19">
        <w:rPr>
          <w:b/>
          <w:sz w:val="24"/>
          <w:szCs w:val="24"/>
        </w:rPr>
        <w:tab/>
        <w:t>FARMACEUTISKE OPLYSNINGER</w:t>
      </w:r>
    </w:p>
    <w:p w14:paraId="5CB7D7EA" w14:textId="77777777" w:rsidR="009260DE" w:rsidRPr="00875F19" w:rsidRDefault="009260DE" w:rsidP="009260DE">
      <w:pPr>
        <w:tabs>
          <w:tab w:val="left" w:pos="851"/>
        </w:tabs>
        <w:ind w:left="851"/>
        <w:rPr>
          <w:sz w:val="24"/>
          <w:szCs w:val="24"/>
        </w:rPr>
      </w:pPr>
    </w:p>
    <w:p w14:paraId="13E31895" w14:textId="77777777" w:rsidR="009260DE" w:rsidRPr="00875F19" w:rsidRDefault="009260DE" w:rsidP="009260DE">
      <w:pPr>
        <w:tabs>
          <w:tab w:val="left" w:pos="851"/>
        </w:tabs>
        <w:ind w:left="851" w:hanging="851"/>
        <w:rPr>
          <w:b/>
          <w:sz w:val="24"/>
          <w:szCs w:val="24"/>
        </w:rPr>
      </w:pPr>
      <w:r w:rsidRPr="00875F19">
        <w:rPr>
          <w:b/>
          <w:sz w:val="24"/>
          <w:szCs w:val="24"/>
        </w:rPr>
        <w:t>6.1</w:t>
      </w:r>
      <w:r w:rsidRPr="00875F19">
        <w:rPr>
          <w:b/>
          <w:sz w:val="24"/>
          <w:szCs w:val="24"/>
        </w:rPr>
        <w:tab/>
        <w:t>Hjælpestoffer</w:t>
      </w:r>
    </w:p>
    <w:p w14:paraId="18420685" w14:textId="77777777" w:rsidR="00C806DE" w:rsidRPr="00875F19" w:rsidRDefault="00C806DE" w:rsidP="00507609">
      <w:pPr>
        <w:ind w:left="851"/>
        <w:rPr>
          <w:sz w:val="24"/>
          <w:szCs w:val="24"/>
        </w:rPr>
      </w:pPr>
      <w:r w:rsidRPr="00875F19">
        <w:rPr>
          <w:sz w:val="24"/>
          <w:szCs w:val="24"/>
        </w:rPr>
        <w:t>Sulfobutylether-beta-cyclodextrinnatrium</w:t>
      </w:r>
    </w:p>
    <w:p w14:paraId="3800C800" w14:textId="77777777" w:rsidR="00C806DE" w:rsidRPr="00875F19" w:rsidRDefault="00C806DE" w:rsidP="00507609">
      <w:pPr>
        <w:ind w:left="851"/>
        <w:rPr>
          <w:kern w:val="2"/>
          <w:sz w:val="24"/>
          <w:szCs w:val="24"/>
        </w:rPr>
      </w:pPr>
      <w:r w:rsidRPr="00875F19">
        <w:rPr>
          <w:sz w:val="24"/>
          <w:szCs w:val="24"/>
        </w:rPr>
        <w:t xml:space="preserve">Dinatriumedetat </w:t>
      </w:r>
      <w:r w:rsidRPr="00875F19">
        <w:rPr>
          <w:bCs/>
          <w:sz w:val="24"/>
          <w:szCs w:val="24"/>
        </w:rPr>
        <w:t>(E385)</w:t>
      </w:r>
    </w:p>
    <w:p w14:paraId="11057DDF" w14:textId="77777777" w:rsidR="00C806DE" w:rsidRPr="00875F19" w:rsidRDefault="00C806DE" w:rsidP="00507609">
      <w:pPr>
        <w:ind w:left="851"/>
        <w:rPr>
          <w:sz w:val="24"/>
          <w:szCs w:val="24"/>
        </w:rPr>
      </w:pPr>
      <w:r w:rsidRPr="00875F19">
        <w:rPr>
          <w:sz w:val="24"/>
          <w:szCs w:val="24"/>
        </w:rPr>
        <w:t xml:space="preserve">Natriumhydroxid [til pH-justering] </w:t>
      </w:r>
      <w:r w:rsidRPr="00875F19">
        <w:rPr>
          <w:bCs/>
          <w:sz w:val="24"/>
          <w:szCs w:val="24"/>
        </w:rPr>
        <w:t>(E524)</w:t>
      </w:r>
    </w:p>
    <w:p w14:paraId="1ABA8DA2" w14:textId="77777777" w:rsidR="00C806DE" w:rsidRPr="00875F19" w:rsidRDefault="00C806DE" w:rsidP="00507609">
      <w:pPr>
        <w:ind w:left="851"/>
        <w:rPr>
          <w:sz w:val="24"/>
          <w:szCs w:val="24"/>
        </w:rPr>
      </w:pPr>
      <w:r w:rsidRPr="00875F19">
        <w:rPr>
          <w:sz w:val="24"/>
          <w:szCs w:val="24"/>
        </w:rPr>
        <w:t xml:space="preserve">Saltsyre [til pH-justering] </w:t>
      </w:r>
      <w:r w:rsidRPr="00875F19">
        <w:rPr>
          <w:bCs/>
          <w:sz w:val="24"/>
          <w:szCs w:val="24"/>
        </w:rPr>
        <w:t>(E507)</w:t>
      </w:r>
    </w:p>
    <w:p w14:paraId="01D84D7B" w14:textId="77777777" w:rsidR="00C806DE" w:rsidRPr="00BC713B" w:rsidRDefault="00C806DE" w:rsidP="00507609">
      <w:pPr>
        <w:ind w:left="851"/>
        <w:rPr>
          <w:sz w:val="24"/>
          <w:szCs w:val="24"/>
        </w:rPr>
      </w:pPr>
      <w:r w:rsidRPr="00875F19">
        <w:rPr>
          <w:sz w:val="24"/>
          <w:szCs w:val="24"/>
        </w:rPr>
        <w:t>Vand til injektionsvæsker</w:t>
      </w:r>
    </w:p>
    <w:p w14:paraId="590FC1EB" w14:textId="77777777" w:rsidR="009260DE" w:rsidRPr="00875F19" w:rsidRDefault="009260DE" w:rsidP="009260DE">
      <w:pPr>
        <w:tabs>
          <w:tab w:val="left" w:pos="851"/>
        </w:tabs>
        <w:ind w:left="851"/>
        <w:rPr>
          <w:sz w:val="24"/>
          <w:szCs w:val="24"/>
        </w:rPr>
      </w:pPr>
    </w:p>
    <w:p w14:paraId="4C8F3388" w14:textId="77777777" w:rsidR="009260DE" w:rsidRPr="00875F19" w:rsidRDefault="009260DE" w:rsidP="009260DE">
      <w:pPr>
        <w:tabs>
          <w:tab w:val="left" w:pos="851"/>
        </w:tabs>
        <w:ind w:left="851" w:hanging="851"/>
        <w:rPr>
          <w:b/>
          <w:sz w:val="24"/>
          <w:szCs w:val="24"/>
        </w:rPr>
      </w:pPr>
      <w:r w:rsidRPr="00875F19">
        <w:rPr>
          <w:b/>
          <w:sz w:val="24"/>
          <w:szCs w:val="24"/>
        </w:rPr>
        <w:t>6.2</w:t>
      </w:r>
      <w:r w:rsidRPr="00875F19">
        <w:rPr>
          <w:b/>
          <w:sz w:val="24"/>
          <w:szCs w:val="24"/>
        </w:rPr>
        <w:tab/>
        <w:t>Uforligeligheder</w:t>
      </w:r>
    </w:p>
    <w:p w14:paraId="42B3C495" w14:textId="77777777" w:rsidR="00C806DE" w:rsidRPr="00875F19" w:rsidRDefault="00C806DE" w:rsidP="00507609">
      <w:pPr>
        <w:ind w:left="851"/>
        <w:rPr>
          <w:sz w:val="24"/>
          <w:szCs w:val="24"/>
        </w:rPr>
      </w:pPr>
      <w:r w:rsidRPr="00875F19">
        <w:rPr>
          <w:sz w:val="24"/>
          <w:szCs w:val="24"/>
        </w:rPr>
        <w:t>Posaconazol må ikke fortyndes med:</w:t>
      </w:r>
    </w:p>
    <w:p w14:paraId="05896FC2" w14:textId="77777777" w:rsidR="00C806DE" w:rsidRPr="00875F19" w:rsidRDefault="00C806DE" w:rsidP="00507609">
      <w:pPr>
        <w:ind w:left="851"/>
        <w:rPr>
          <w:sz w:val="24"/>
          <w:szCs w:val="24"/>
        </w:rPr>
      </w:pPr>
    </w:p>
    <w:tbl>
      <w:tblPr>
        <w:tblStyle w:val="Tabel-Gitter"/>
        <w:tblW w:w="0" w:type="auto"/>
        <w:tblInd w:w="846" w:type="dxa"/>
        <w:tblLook w:val="04A0" w:firstRow="1" w:lastRow="0" w:firstColumn="1" w:lastColumn="0" w:noHBand="0" w:noVBand="1"/>
      </w:tblPr>
      <w:tblGrid>
        <w:gridCol w:w="4961"/>
      </w:tblGrid>
      <w:tr w:rsidR="00C806DE" w:rsidRPr="00875F19" w14:paraId="4EAAAC79" w14:textId="77777777" w:rsidTr="00E5143B">
        <w:tc>
          <w:tcPr>
            <w:tcW w:w="4961" w:type="dxa"/>
            <w:tcBorders>
              <w:top w:val="single" w:sz="4" w:space="0" w:color="auto"/>
              <w:left w:val="single" w:sz="4" w:space="0" w:color="auto"/>
              <w:bottom w:val="single" w:sz="4" w:space="0" w:color="auto"/>
              <w:right w:val="single" w:sz="4" w:space="0" w:color="auto"/>
            </w:tcBorders>
            <w:hideMark/>
          </w:tcPr>
          <w:p w14:paraId="049120F9"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Ringer-lactat-infusionsvæske</w:t>
            </w:r>
          </w:p>
        </w:tc>
      </w:tr>
      <w:tr w:rsidR="00C806DE" w:rsidRPr="00875F19" w14:paraId="2A82DE10" w14:textId="77777777" w:rsidTr="00E5143B">
        <w:tc>
          <w:tcPr>
            <w:tcW w:w="4961" w:type="dxa"/>
            <w:tcBorders>
              <w:top w:val="single" w:sz="4" w:space="0" w:color="auto"/>
              <w:left w:val="single" w:sz="4" w:space="0" w:color="auto"/>
              <w:bottom w:val="single" w:sz="4" w:space="0" w:color="auto"/>
              <w:right w:val="single" w:sz="4" w:space="0" w:color="auto"/>
            </w:tcBorders>
            <w:hideMark/>
          </w:tcPr>
          <w:p w14:paraId="04A78AC2" w14:textId="77777777" w:rsidR="00C806DE" w:rsidRPr="00875F19" w:rsidRDefault="00C806DE">
            <w:pPr>
              <w:rPr>
                <w:rFonts w:ascii="Times New Roman" w:hAnsi="Times New Roman" w:cs="Times New Roman"/>
                <w:sz w:val="24"/>
                <w:szCs w:val="24"/>
                <w:lang w:val="da-DK"/>
              </w:rPr>
            </w:pPr>
            <w:r w:rsidRPr="00875F19">
              <w:rPr>
                <w:rFonts w:ascii="Times New Roman" w:hAnsi="Times New Roman" w:cs="Times New Roman"/>
                <w:sz w:val="24"/>
                <w:szCs w:val="24"/>
                <w:lang w:val="da-DK"/>
              </w:rPr>
              <w:t>5 % glucose med Ringer-lactat-infusionsvæske</w:t>
            </w:r>
          </w:p>
        </w:tc>
      </w:tr>
      <w:tr w:rsidR="00C806DE" w:rsidRPr="00875F19" w14:paraId="529935E2" w14:textId="77777777" w:rsidTr="00E5143B">
        <w:tc>
          <w:tcPr>
            <w:tcW w:w="4961" w:type="dxa"/>
            <w:tcBorders>
              <w:top w:val="single" w:sz="4" w:space="0" w:color="auto"/>
              <w:left w:val="single" w:sz="4" w:space="0" w:color="auto"/>
              <w:bottom w:val="single" w:sz="4" w:space="0" w:color="auto"/>
              <w:right w:val="single" w:sz="4" w:space="0" w:color="auto"/>
            </w:tcBorders>
            <w:hideMark/>
          </w:tcPr>
          <w:p w14:paraId="798DDE61"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4,2 % natriumhydrogencarbonat</w:t>
            </w:r>
          </w:p>
        </w:tc>
      </w:tr>
    </w:tbl>
    <w:p w14:paraId="33DB8B48" w14:textId="77777777" w:rsidR="009A6218" w:rsidRDefault="009A6218" w:rsidP="00507609">
      <w:pPr>
        <w:ind w:left="851"/>
        <w:rPr>
          <w:sz w:val="24"/>
          <w:szCs w:val="24"/>
          <w:lang w:val="nl-NL"/>
        </w:rPr>
      </w:pPr>
    </w:p>
    <w:p w14:paraId="6E1AAC10" w14:textId="5F289B52" w:rsidR="00C806DE" w:rsidRPr="00875F19" w:rsidRDefault="00C806DE" w:rsidP="00507609">
      <w:pPr>
        <w:ind w:left="851"/>
        <w:rPr>
          <w:sz w:val="24"/>
          <w:szCs w:val="24"/>
          <w:lang w:val="nl-NL"/>
        </w:rPr>
      </w:pPr>
      <w:r w:rsidRPr="00875F19">
        <w:rPr>
          <w:sz w:val="24"/>
          <w:szCs w:val="24"/>
          <w:lang w:val="nl-NL"/>
        </w:rPr>
        <w:t>Dette lægemiddel må ikke blandes med andre lægemidler end dem, der er anført under pkt. 6.6.</w:t>
      </w:r>
    </w:p>
    <w:p w14:paraId="452F1182" w14:textId="77777777" w:rsidR="009260DE" w:rsidRPr="00875F19" w:rsidRDefault="009260DE" w:rsidP="009260DE">
      <w:pPr>
        <w:tabs>
          <w:tab w:val="left" w:pos="851"/>
        </w:tabs>
        <w:ind w:left="851"/>
        <w:rPr>
          <w:sz w:val="24"/>
          <w:szCs w:val="24"/>
        </w:rPr>
      </w:pPr>
    </w:p>
    <w:p w14:paraId="39BF910D" w14:textId="77777777" w:rsidR="009260DE" w:rsidRPr="00875F19" w:rsidRDefault="009260DE" w:rsidP="009260DE">
      <w:pPr>
        <w:tabs>
          <w:tab w:val="left" w:pos="851"/>
        </w:tabs>
        <w:ind w:left="851" w:hanging="851"/>
        <w:rPr>
          <w:b/>
          <w:sz w:val="24"/>
          <w:szCs w:val="24"/>
        </w:rPr>
      </w:pPr>
      <w:r w:rsidRPr="00875F19">
        <w:rPr>
          <w:b/>
          <w:sz w:val="24"/>
          <w:szCs w:val="24"/>
        </w:rPr>
        <w:t>6.3</w:t>
      </w:r>
      <w:r w:rsidRPr="00875F19">
        <w:rPr>
          <w:b/>
          <w:sz w:val="24"/>
          <w:szCs w:val="24"/>
        </w:rPr>
        <w:tab/>
        <w:t>Opbevaringstid</w:t>
      </w:r>
    </w:p>
    <w:p w14:paraId="00C79E9E" w14:textId="77777777" w:rsidR="00C806DE" w:rsidRPr="00875F19" w:rsidRDefault="00C806DE" w:rsidP="00507609">
      <w:pPr>
        <w:ind w:left="851"/>
        <w:rPr>
          <w:sz w:val="24"/>
          <w:szCs w:val="24"/>
        </w:rPr>
      </w:pPr>
      <w:r w:rsidRPr="00875F19">
        <w:rPr>
          <w:sz w:val="24"/>
          <w:szCs w:val="24"/>
        </w:rPr>
        <w:t>2 år</w:t>
      </w:r>
    </w:p>
    <w:p w14:paraId="051CB74B" w14:textId="77777777" w:rsidR="00C806DE" w:rsidRPr="00875F19" w:rsidRDefault="00C806DE" w:rsidP="00507609">
      <w:pPr>
        <w:ind w:left="851"/>
        <w:rPr>
          <w:sz w:val="24"/>
          <w:szCs w:val="24"/>
        </w:rPr>
      </w:pPr>
    </w:p>
    <w:p w14:paraId="39B06BF3" w14:textId="77777777" w:rsidR="00C806DE" w:rsidRPr="00875F19" w:rsidRDefault="00C806DE" w:rsidP="00507609">
      <w:pPr>
        <w:ind w:left="851"/>
        <w:rPr>
          <w:sz w:val="24"/>
          <w:szCs w:val="24"/>
          <w:lang w:val="nl-NL"/>
        </w:rPr>
      </w:pPr>
      <w:r w:rsidRPr="00875F19">
        <w:rPr>
          <w:sz w:val="24"/>
          <w:szCs w:val="24"/>
          <w:lang w:val="nl-NL"/>
        </w:rPr>
        <w:t>Efter opblanding skal produktet anvendes straks set ud fra et mikrobiologisk synspunkt. Hvis det ikke anvendes straks, kan opløsningen opbevares i op til 24 timer i køleskab ved 2-8 °C. Dette lægemiddel er kun til engangsbrug.</w:t>
      </w:r>
    </w:p>
    <w:p w14:paraId="16E9F35B" w14:textId="77777777" w:rsidR="009260DE" w:rsidRPr="00875F19" w:rsidRDefault="009260DE" w:rsidP="009260DE">
      <w:pPr>
        <w:tabs>
          <w:tab w:val="left" w:pos="851"/>
        </w:tabs>
        <w:ind w:left="851"/>
        <w:rPr>
          <w:sz w:val="24"/>
          <w:szCs w:val="24"/>
        </w:rPr>
      </w:pPr>
    </w:p>
    <w:p w14:paraId="2829B67D" w14:textId="77777777" w:rsidR="009260DE" w:rsidRPr="00875F19" w:rsidRDefault="009260DE" w:rsidP="009260DE">
      <w:pPr>
        <w:tabs>
          <w:tab w:val="left" w:pos="851"/>
        </w:tabs>
        <w:ind w:left="851" w:hanging="851"/>
        <w:rPr>
          <w:b/>
          <w:sz w:val="24"/>
          <w:szCs w:val="24"/>
        </w:rPr>
      </w:pPr>
      <w:r w:rsidRPr="00875F19">
        <w:rPr>
          <w:b/>
          <w:sz w:val="24"/>
          <w:szCs w:val="24"/>
        </w:rPr>
        <w:t>6.4</w:t>
      </w:r>
      <w:r w:rsidRPr="00875F19">
        <w:rPr>
          <w:b/>
          <w:sz w:val="24"/>
          <w:szCs w:val="24"/>
        </w:rPr>
        <w:tab/>
        <w:t>Særlige opbevaringsforhold</w:t>
      </w:r>
    </w:p>
    <w:p w14:paraId="12551768" w14:textId="77777777" w:rsidR="00C806DE" w:rsidRPr="00875F19" w:rsidRDefault="00C806DE" w:rsidP="00507609">
      <w:pPr>
        <w:ind w:left="851"/>
        <w:rPr>
          <w:sz w:val="24"/>
          <w:szCs w:val="24"/>
        </w:rPr>
      </w:pPr>
      <w:r w:rsidRPr="00875F19">
        <w:rPr>
          <w:sz w:val="24"/>
          <w:szCs w:val="24"/>
        </w:rPr>
        <w:t>Opbevares i køleskab (2 °C–8 °C).</w:t>
      </w:r>
    </w:p>
    <w:p w14:paraId="656F9A37" w14:textId="77777777" w:rsidR="00C806DE" w:rsidRPr="00875F19" w:rsidRDefault="00C806DE" w:rsidP="00507609">
      <w:pPr>
        <w:ind w:left="851"/>
        <w:rPr>
          <w:sz w:val="24"/>
          <w:szCs w:val="24"/>
        </w:rPr>
      </w:pPr>
    </w:p>
    <w:p w14:paraId="057C1AFB" w14:textId="77777777" w:rsidR="00C806DE" w:rsidRPr="00875F19" w:rsidRDefault="00C806DE" w:rsidP="00507609">
      <w:pPr>
        <w:ind w:left="851"/>
        <w:rPr>
          <w:sz w:val="24"/>
          <w:szCs w:val="24"/>
          <w:lang w:val="nl-NL"/>
        </w:rPr>
      </w:pPr>
      <w:r w:rsidRPr="00875F19">
        <w:rPr>
          <w:sz w:val="24"/>
          <w:szCs w:val="24"/>
          <w:lang w:val="nl-NL"/>
        </w:rPr>
        <w:t>Opbevaringsforhold efter fortynding af lægemidlet, se pkt. 6.3.</w:t>
      </w:r>
    </w:p>
    <w:p w14:paraId="3F9E2008" w14:textId="77777777" w:rsidR="009260DE" w:rsidRPr="00875F19" w:rsidRDefault="009260DE" w:rsidP="009260DE">
      <w:pPr>
        <w:tabs>
          <w:tab w:val="left" w:pos="851"/>
        </w:tabs>
        <w:ind w:left="851"/>
        <w:rPr>
          <w:sz w:val="24"/>
          <w:szCs w:val="24"/>
        </w:rPr>
      </w:pPr>
    </w:p>
    <w:p w14:paraId="303FAACC" w14:textId="77777777" w:rsidR="009260DE" w:rsidRPr="00875F19" w:rsidRDefault="009260DE" w:rsidP="009260DE">
      <w:pPr>
        <w:tabs>
          <w:tab w:val="left" w:pos="851"/>
        </w:tabs>
        <w:ind w:left="851" w:hanging="851"/>
        <w:rPr>
          <w:b/>
          <w:sz w:val="24"/>
          <w:szCs w:val="24"/>
        </w:rPr>
      </w:pPr>
      <w:r w:rsidRPr="00875F19">
        <w:rPr>
          <w:b/>
          <w:sz w:val="24"/>
          <w:szCs w:val="24"/>
        </w:rPr>
        <w:t>6.5</w:t>
      </w:r>
      <w:r w:rsidRPr="00875F19">
        <w:rPr>
          <w:b/>
          <w:sz w:val="24"/>
          <w:szCs w:val="24"/>
        </w:rPr>
        <w:tab/>
        <w:t>Emballagetype og pakningsstørrelser</w:t>
      </w:r>
    </w:p>
    <w:p w14:paraId="20A7B916" w14:textId="77777777" w:rsidR="00C806DE" w:rsidRPr="00875F19" w:rsidRDefault="00C806DE" w:rsidP="00507609">
      <w:pPr>
        <w:ind w:left="851"/>
        <w:rPr>
          <w:sz w:val="24"/>
          <w:szCs w:val="24"/>
          <w:lang w:val="nl-NL"/>
        </w:rPr>
      </w:pPr>
      <w:r w:rsidRPr="00875F19">
        <w:rPr>
          <w:sz w:val="24"/>
          <w:szCs w:val="24"/>
          <w:lang w:val="nl-NL"/>
        </w:rPr>
        <w:t xml:space="preserve">Type I-hætteglas lukket med en brombutyl-gummiprop og en aluminiumshætte indeholdende 16,7 ml koncentrat. </w:t>
      </w:r>
    </w:p>
    <w:p w14:paraId="5D744660" w14:textId="77777777" w:rsidR="00C806DE" w:rsidRPr="00BC713B" w:rsidRDefault="00C806DE" w:rsidP="00507609">
      <w:pPr>
        <w:ind w:left="851"/>
        <w:rPr>
          <w:sz w:val="24"/>
          <w:szCs w:val="24"/>
        </w:rPr>
      </w:pPr>
      <w:r w:rsidRPr="00875F19">
        <w:rPr>
          <w:sz w:val="24"/>
          <w:szCs w:val="24"/>
        </w:rPr>
        <w:t>Pakningsstørrelse: 1 hætteglas</w:t>
      </w:r>
    </w:p>
    <w:p w14:paraId="24B670AF" w14:textId="77777777" w:rsidR="009260DE" w:rsidRPr="00875F19" w:rsidRDefault="009260DE" w:rsidP="009260DE">
      <w:pPr>
        <w:tabs>
          <w:tab w:val="left" w:pos="851"/>
        </w:tabs>
        <w:ind w:left="851"/>
        <w:rPr>
          <w:sz w:val="24"/>
          <w:szCs w:val="24"/>
        </w:rPr>
      </w:pPr>
    </w:p>
    <w:p w14:paraId="060DAE10" w14:textId="77777777" w:rsidR="009260DE" w:rsidRPr="00875F19" w:rsidRDefault="009260DE" w:rsidP="009260DE">
      <w:pPr>
        <w:tabs>
          <w:tab w:val="left" w:pos="851"/>
        </w:tabs>
        <w:ind w:left="851" w:hanging="851"/>
        <w:rPr>
          <w:b/>
          <w:sz w:val="24"/>
          <w:szCs w:val="24"/>
        </w:rPr>
      </w:pPr>
      <w:r w:rsidRPr="00875F19">
        <w:rPr>
          <w:b/>
          <w:sz w:val="24"/>
          <w:szCs w:val="24"/>
        </w:rPr>
        <w:t>6.6</w:t>
      </w:r>
      <w:r w:rsidRPr="00875F19">
        <w:rPr>
          <w:b/>
          <w:sz w:val="24"/>
          <w:szCs w:val="24"/>
        </w:rPr>
        <w:tab/>
        <w:t xml:space="preserve">Regler for </w:t>
      </w:r>
      <w:r w:rsidR="00BD7931" w:rsidRPr="00875F19">
        <w:rPr>
          <w:b/>
          <w:sz w:val="24"/>
          <w:szCs w:val="24"/>
        </w:rPr>
        <w:t>bortskaffelse</w:t>
      </w:r>
      <w:r w:rsidRPr="00875F19">
        <w:rPr>
          <w:b/>
          <w:sz w:val="24"/>
          <w:szCs w:val="24"/>
        </w:rPr>
        <w:t xml:space="preserve"> og anden håndtering</w:t>
      </w:r>
    </w:p>
    <w:p w14:paraId="666F280F" w14:textId="3B80AE59" w:rsidR="00C806DE" w:rsidRPr="00875F19" w:rsidRDefault="00C806DE" w:rsidP="00507609">
      <w:pPr>
        <w:ind w:left="851"/>
        <w:rPr>
          <w:sz w:val="24"/>
          <w:szCs w:val="24"/>
        </w:rPr>
      </w:pPr>
      <w:r w:rsidRPr="00875F19">
        <w:rPr>
          <w:sz w:val="24"/>
          <w:szCs w:val="24"/>
        </w:rPr>
        <w:t xml:space="preserve">Instruktioner vedrørende administration af Posaconazole </w:t>
      </w:r>
      <w:r w:rsidR="003F6401">
        <w:rPr>
          <w:sz w:val="24"/>
          <w:szCs w:val="24"/>
        </w:rPr>
        <w:t>"Amarox"</w:t>
      </w:r>
      <w:r w:rsidRPr="00875F19">
        <w:rPr>
          <w:sz w:val="24"/>
          <w:szCs w:val="24"/>
        </w:rPr>
        <w:t xml:space="preserve"> koncentrat til infusionsvæske, opløsning</w:t>
      </w:r>
    </w:p>
    <w:p w14:paraId="5160AFAC" w14:textId="60D97BCB" w:rsidR="00C806DE" w:rsidRPr="003F6401" w:rsidRDefault="00C806DE" w:rsidP="009A6218">
      <w:pPr>
        <w:pStyle w:val="Listeafsnit"/>
        <w:numPr>
          <w:ilvl w:val="0"/>
          <w:numId w:val="18"/>
        </w:numPr>
        <w:spacing w:after="0" w:line="240" w:lineRule="auto"/>
        <w:ind w:left="1276" w:hanging="425"/>
        <w:rPr>
          <w:rFonts w:ascii="Times New Roman" w:hAnsi="Times New Roman" w:cs="Times New Roman"/>
          <w:sz w:val="24"/>
          <w:szCs w:val="24"/>
          <w:lang w:val="da-DK"/>
        </w:rPr>
      </w:pPr>
      <w:r w:rsidRPr="003F6401">
        <w:rPr>
          <w:rFonts w:ascii="Times New Roman" w:hAnsi="Times New Roman" w:cs="Times New Roman"/>
          <w:sz w:val="24"/>
          <w:szCs w:val="24"/>
          <w:lang w:val="da-DK"/>
        </w:rPr>
        <w:t xml:space="preserve">Lad det afkølede hætteglas med Posaconazole </w:t>
      </w:r>
      <w:r w:rsidR="003F6401" w:rsidRPr="003F6401">
        <w:rPr>
          <w:rFonts w:ascii="Times New Roman" w:hAnsi="Times New Roman" w:cs="Times New Roman"/>
          <w:sz w:val="24"/>
          <w:szCs w:val="24"/>
          <w:lang w:val="da-DK"/>
        </w:rPr>
        <w:t>"Amarox"</w:t>
      </w:r>
      <w:r w:rsidRPr="003F6401">
        <w:rPr>
          <w:rFonts w:ascii="Times New Roman" w:hAnsi="Times New Roman" w:cs="Times New Roman"/>
          <w:sz w:val="24"/>
          <w:szCs w:val="24"/>
          <w:lang w:val="da-DK"/>
        </w:rPr>
        <w:t xml:space="preserve"> opnå stuetemperatur. </w:t>
      </w:r>
    </w:p>
    <w:p w14:paraId="05404CBA" w14:textId="77777777" w:rsidR="00C806DE" w:rsidRPr="009A6218" w:rsidRDefault="00C806DE" w:rsidP="009A6218">
      <w:pPr>
        <w:pStyle w:val="Listeafsnit"/>
        <w:numPr>
          <w:ilvl w:val="0"/>
          <w:numId w:val="18"/>
        </w:numPr>
        <w:spacing w:after="0" w:line="240" w:lineRule="auto"/>
        <w:ind w:left="1276" w:hanging="425"/>
        <w:rPr>
          <w:rFonts w:ascii="Times New Roman" w:hAnsi="Times New Roman" w:cs="Times New Roman"/>
          <w:sz w:val="24"/>
          <w:szCs w:val="24"/>
          <w:lang w:val="nl-NL"/>
        </w:rPr>
      </w:pPr>
      <w:r w:rsidRPr="009A6218">
        <w:rPr>
          <w:rFonts w:ascii="Times New Roman" w:hAnsi="Times New Roman" w:cs="Times New Roman"/>
          <w:sz w:val="24"/>
          <w:szCs w:val="24"/>
          <w:lang w:val="nl-NL"/>
        </w:rPr>
        <w:t xml:space="preserve">Overfør aseptisk 16,7 ml posaconazol til en intravenøs pose (eller flaske) indeholdende en kompatibel infusionsvæske (se nedenfor for en liste over infusionsvæsker) i et volumen, der ligger i intervallet 150 ml til 283 ml, afhængigt af den slutkoncentration, der skal opnås (mindst 1 mg/ml og ikke højere end 2 mg/ml). </w:t>
      </w:r>
    </w:p>
    <w:p w14:paraId="0ECC3CFC" w14:textId="500B7EBB" w:rsidR="00C806DE" w:rsidRPr="003F6401" w:rsidRDefault="00C806DE" w:rsidP="009A6218">
      <w:pPr>
        <w:pStyle w:val="Listeafsnit"/>
        <w:numPr>
          <w:ilvl w:val="0"/>
          <w:numId w:val="18"/>
        </w:numPr>
        <w:spacing w:after="0" w:line="240" w:lineRule="auto"/>
        <w:ind w:left="1276" w:hanging="425"/>
        <w:rPr>
          <w:rFonts w:ascii="Times New Roman" w:hAnsi="Times New Roman" w:cs="Times New Roman"/>
          <w:sz w:val="24"/>
          <w:szCs w:val="24"/>
          <w:lang w:val="da-DK"/>
        </w:rPr>
      </w:pPr>
      <w:r w:rsidRPr="009A6218">
        <w:rPr>
          <w:rFonts w:ascii="Times New Roman" w:hAnsi="Times New Roman" w:cs="Times New Roman"/>
          <w:sz w:val="24"/>
          <w:szCs w:val="24"/>
          <w:lang w:val="nl-NL"/>
        </w:rPr>
        <w:t xml:space="preserve">Administrer Posaconazole </w:t>
      </w:r>
      <w:r w:rsidR="003F6401">
        <w:rPr>
          <w:rFonts w:ascii="Times New Roman" w:hAnsi="Times New Roman" w:cs="Times New Roman"/>
          <w:sz w:val="24"/>
          <w:szCs w:val="24"/>
          <w:lang w:val="nl-NL"/>
        </w:rPr>
        <w:t>"Amarox"</w:t>
      </w:r>
      <w:r w:rsidRPr="009A6218">
        <w:rPr>
          <w:rFonts w:ascii="Times New Roman" w:hAnsi="Times New Roman" w:cs="Times New Roman"/>
          <w:sz w:val="24"/>
          <w:szCs w:val="24"/>
          <w:lang w:val="nl-NL"/>
        </w:rPr>
        <w:t xml:space="preserve"> via en infusionsslange med et centralt venekateter (CVK) eller et perifert anlagt centralt venekateter (PICC-line) som en langsom intravenøs infusion over ca. 90 minutter. </w:t>
      </w:r>
      <w:r w:rsidRPr="003F6401">
        <w:rPr>
          <w:rFonts w:ascii="Times New Roman" w:hAnsi="Times New Roman" w:cs="Times New Roman"/>
          <w:sz w:val="24"/>
          <w:szCs w:val="24"/>
          <w:lang w:val="da-DK"/>
        </w:rPr>
        <w:t xml:space="preserve">Posaconazole </w:t>
      </w:r>
      <w:r w:rsidR="003F6401" w:rsidRPr="003F6401">
        <w:rPr>
          <w:rFonts w:ascii="Times New Roman" w:hAnsi="Times New Roman" w:cs="Times New Roman"/>
          <w:sz w:val="24"/>
          <w:szCs w:val="24"/>
          <w:lang w:val="da-DK"/>
        </w:rPr>
        <w:t>"Amarox"</w:t>
      </w:r>
      <w:r w:rsidRPr="003F6401">
        <w:rPr>
          <w:rFonts w:ascii="Times New Roman" w:hAnsi="Times New Roman" w:cs="Times New Roman"/>
          <w:sz w:val="24"/>
          <w:szCs w:val="24"/>
          <w:lang w:val="da-DK"/>
        </w:rPr>
        <w:t xml:space="preserve"> koncentrat til infusionsvæske, opløsning må ikke administreres som bolus. </w:t>
      </w:r>
    </w:p>
    <w:p w14:paraId="4C4C58FA" w14:textId="0FFF51BA" w:rsidR="00C806DE" w:rsidRPr="009A6218" w:rsidRDefault="00C806DE" w:rsidP="009A6218">
      <w:pPr>
        <w:pStyle w:val="Listeafsnit"/>
        <w:numPr>
          <w:ilvl w:val="0"/>
          <w:numId w:val="18"/>
        </w:numPr>
        <w:spacing w:after="0" w:line="240" w:lineRule="auto"/>
        <w:ind w:left="1276" w:hanging="425"/>
        <w:rPr>
          <w:rFonts w:ascii="Times New Roman" w:hAnsi="Times New Roman" w:cs="Times New Roman"/>
          <w:b/>
          <w:bCs/>
          <w:sz w:val="24"/>
          <w:szCs w:val="24"/>
          <w:lang w:val="nl-NL"/>
        </w:rPr>
      </w:pPr>
      <w:r w:rsidRPr="009A6218">
        <w:rPr>
          <w:rFonts w:ascii="Times New Roman" w:hAnsi="Times New Roman" w:cs="Times New Roman"/>
          <w:sz w:val="24"/>
          <w:szCs w:val="24"/>
          <w:lang w:val="nl-NL"/>
        </w:rPr>
        <w:t xml:space="preserve">Hvis der ikke er lagt et centralt venekateter, kan der administreres en enkelt infusion gennem et perifert venekateter med et volumen til at opnå en fortynding på cirka </w:t>
      </w:r>
      <w:r w:rsidRPr="009A6218">
        <w:rPr>
          <w:rFonts w:ascii="Times New Roman" w:hAnsi="Times New Roman" w:cs="Times New Roman"/>
          <w:sz w:val="24"/>
          <w:szCs w:val="24"/>
          <w:lang w:val="nl-NL"/>
        </w:rPr>
        <w:lastRenderedPageBreak/>
        <w:t>2</w:t>
      </w:r>
      <w:r w:rsidR="005624FB">
        <w:rPr>
          <w:rFonts w:ascii="Times New Roman" w:hAnsi="Times New Roman" w:cs="Times New Roman"/>
          <w:sz w:val="24"/>
          <w:szCs w:val="24"/>
          <w:lang w:val="nl-NL"/>
        </w:rPr>
        <w:t> </w:t>
      </w:r>
      <w:r w:rsidRPr="009A6218">
        <w:rPr>
          <w:rFonts w:ascii="Times New Roman" w:hAnsi="Times New Roman" w:cs="Times New Roman"/>
          <w:sz w:val="24"/>
          <w:szCs w:val="24"/>
          <w:lang w:val="nl-NL"/>
        </w:rPr>
        <w:t xml:space="preserve">mg/ml. Ved administration via et perifert venekateter skal infusionen administreres over ca. 30 minutter. </w:t>
      </w:r>
      <w:r w:rsidRPr="009A6218">
        <w:rPr>
          <w:rFonts w:ascii="Times New Roman" w:hAnsi="Times New Roman" w:cs="Times New Roman"/>
          <w:b/>
          <w:bCs/>
          <w:sz w:val="24"/>
          <w:szCs w:val="24"/>
          <w:lang w:val="nl-NL"/>
        </w:rPr>
        <w:t xml:space="preserve">Bemærk: I kliniske studier resulterede flere perifere infusioner indgivet gennem den samme vene i reaktioner på infusionsstedet (se pkt. 4.8). </w:t>
      </w:r>
    </w:p>
    <w:p w14:paraId="27FE48F6" w14:textId="64BB8579" w:rsidR="00C806DE" w:rsidRPr="009A6218" w:rsidRDefault="00C806DE" w:rsidP="009A6218">
      <w:pPr>
        <w:pStyle w:val="Listeafsnit"/>
        <w:numPr>
          <w:ilvl w:val="0"/>
          <w:numId w:val="18"/>
        </w:numPr>
        <w:spacing w:after="0" w:line="240" w:lineRule="auto"/>
        <w:ind w:left="1276" w:hanging="425"/>
        <w:rPr>
          <w:rFonts w:ascii="Times New Roman" w:hAnsi="Times New Roman" w:cs="Times New Roman"/>
          <w:sz w:val="24"/>
          <w:szCs w:val="24"/>
          <w:lang w:val="nl-NL"/>
        </w:rPr>
      </w:pPr>
      <w:r w:rsidRPr="009A6218">
        <w:rPr>
          <w:rFonts w:ascii="Times New Roman" w:hAnsi="Times New Roman" w:cs="Times New Roman"/>
          <w:sz w:val="24"/>
          <w:szCs w:val="24"/>
          <w:lang w:val="nl-NL"/>
        </w:rPr>
        <w:t xml:space="preserve">Posaconazole </w:t>
      </w:r>
      <w:r w:rsidR="003F6401">
        <w:rPr>
          <w:rFonts w:ascii="Times New Roman" w:hAnsi="Times New Roman" w:cs="Times New Roman"/>
          <w:sz w:val="24"/>
          <w:szCs w:val="24"/>
          <w:lang w:val="nl-NL"/>
        </w:rPr>
        <w:t>"Amarox"</w:t>
      </w:r>
      <w:r w:rsidRPr="009A6218">
        <w:rPr>
          <w:rFonts w:ascii="Times New Roman" w:hAnsi="Times New Roman" w:cs="Times New Roman"/>
          <w:sz w:val="24"/>
          <w:szCs w:val="24"/>
          <w:lang w:val="nl-NL"/>
        </w:rPr>
        <w:t xml:space="preserve"> er til engangsbrug.</w:t>
      </w:r>
    </w:p>
    <w:p w14:paraId="6141CC8C" w14:textId="77777777" w:rsidR="00C806DE" w:rsidRPr="00875F19" w:rsidRDefault="00C806DE" w:rsidP="00507609">
      <w:pPr>
        <w:ind w:left="851"/>
        <w:rPr>
          <w:sz w:val="24"/>
          <w:szCs w:val="24"/>
          <w:lang w:val="nl-NL"/>
        </w:rPr>
      </w:pPr>
    </w:p>
    <w:p w14:paraId="34510621" w14:textId="56DDC8F2" w:rsidR="00C806DE" w:rsidRPr="00875F19" w:rsidRDefault="00C806DE" w:rsidP="00507609">
      <w:pPr>
        <w:ind w:left="851"/>
        <w:rPr>
          <w:sz w:val="24"/>
          <w:szCs w:val="24"/>
          <w:lang w:val="nl-NL"/>
        </w:rPr>
      </w:pPr>
      <w:r w:rsidRPr="00875F19">
        <w:rPr>
          <w:sz w:val="24"/>
          <w:szCs w:val="24"/>
          <w:lang w:val="nl-NL"/>
        </w:rPr>
        <w:t xml:space="preserve">Følgende lægemidler må indgives samtidig gennem den samme intravenøse slange (eller kanyle) som Posaconazole </w:t>
      </w:r>
      <w:r w:rsidR="003F6401">
        <w:rPr>
          <w:sz w:val="24"/>
          <w:szCs w:val="24"/>
          <w:lang w:val="nl-NL"/>
        </w:rPr>
        <w:t>"Amarox"</w:t>
      </w:r>
      <w:r w:rsidRPr="00875F19">
        <w:rPr>
          <w:sz w:val="24"/>
          <w:szCs w:val="24"/>
          <w:lang w:val="nl-NL"/>
        </w:rPr>
        <w:t xml:space="preserve"> koncentrat til infusionsvæske, opløsning:</w:t>
      </w:r>
    </w:p>
    <w:p w14:paraId="2364EFB7" w14:textId="77777777" w:rsidR="00C806DE" w:rsidRPr="00875F19" w:rsidRDefault="00C806DE" w:rsidP="00507609">
      <w:pPr>
        <w:ind w:left="851"/>
        <w:rPr>
          <w:sz w:val="24"/>
          <w:szCs w:val="24"/>
          <w:lang w:val="nl-NL"/>
        </w:rPr>
      </w:pPr>
    </w:p>
    <w:tbl>
      <w:tblPr>
        <w:tblStyle w:val="Tabel-Gitter"/>
        <w:tblW w:w="0" w:type="auto"/>
        <w:tblInd w:w="846" w:type="dxa"/>
        <w:tblLook w:val="04A0" w:firstRow="1" w:lastRow="0" w:firstColumn="1" w:lastColumn="0" w:noHBand="0" w:noVBand="1"/>
      </w:tblPr>
      <w:tblGrid>
        <w:gridCol w:w="3681"/>
      </w:tblGrid>
      <w:tr w:rsidR="00C806DE" w:rsidRPr="00875F19" w14:paraId="0E986117"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724CFD25"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Amikacinsulfat</w:t>
            </w:r>
          </w:p>
        </w:tc>
      </w:tr>
      <w:tr w:rsidR="00C806DE" w:rsidRPr="00875F19" w14:paraId="2BFCBDB4"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06D17185"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Caspofungin</w:t>
            </w:r>
          </w:p>
        </w:tc>
      </w:tr>
      <w:tr w:rsidR="00C806DE" w:rsidRPr="00875F19" w14:paraId="0576F982"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1A0679AF"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Ciprofloxacin</w:t>
            </w:r>
          </w:p>
        </w:tc>
      </w:tr>
      <w:tr w:rsidR="00C806DE" w:rsidRPr="00875F19" w14:paraId="21DA19DC"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404E95EA"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Daptomycin</w:t>
            </w:r>
          </w:p>
        </w:tc>
      </w:tr>
      <w:tr w:rsidR="00C806DE" w:rsidRPr="00875F19" w14:paraId="061D68D0"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471EDD52"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Dobutaminhydrochlorid</w:t>
            </w:r>
          </w:p>
        </w:tc>
      </w:tr>
      <w:tr w:rsidR="00C806DE" w:rsidRPr="00875F19" w14:paraId="15399BDD"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314A94C2"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Famotidin</w:t>
            </w:r>
          </w:p>
        </w:tc>
      </w:tr>
      <w:tr w:rsidR="00C806DE" w:rsidRPr="00875F19" w14:paraId="1FA3DD53"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5E1D2867"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Filgrastim</w:t>
            </w:r>
          </w:p>
        </w:tc>
      </w:tr>
      <w:tr w:rsidR="00C806DE" w:rsidRPr="00875F19" w14:paraId="63782C17"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6C6E6DD3"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Gentamicinsulfat</w:t>
            </w:r>
          </w:p>
        </w:tc>
      </w:tr>
      <w:tr w:rsidR="00C806DE" w:rsidRPr="00875F19" w14:paraId="02B0E5BC"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144052B0"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Hydromorfonhydrochlorid</w:t>
            </w:r>
          </w:p>
        </w:tc>
      </w:tr>
      <w:tr w:rsidR="00C806DE" w:rsidRPr="00875F19" w14:paraId="1AC790F8"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576A0ED3"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Levofloxacin</w:t>
            </w:r>
          </w:p>
        </w:tc>
      </w:tr>
      <w:tr w:rsidR="00C806DE" w:rsidRPr="00875F19" w14:paraId="313E927E"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75113C2D"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Lorazepam</w:t>
            </w:r>
          </w:p>
        </w:tc>
      </w:tr>
      <w:tr w:rsidR="00C806DE" w:rsidRPr="00875F19" w14:paraId="759726DC"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4886C743"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Meropenem</w:t>
            </w:r>
          </w:p>
        </w:tc>
      </w:tr>
      <w:tr w:rsidR="00C806DE" w:rsidRPr="00875F19" w14:paraId="1027A435"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42BAB7BD"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Micafungin</w:t>
            </w:r>
          </w:p>
        </w:tc>
      </w:tr>
      <w:tr w:rsidR="00C806DE" w:rsidRPr="00875F19" w14:paraId="50065D2F"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5BD330DC"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Morfinsulfat</w:t>
            </w:r>
          </w:p>
        </w:tc>
      </w:tr>
      <w:tr w:rsidR="00C806DE" w:rsidRPr="00875F19" w14:paraId="517389F6"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1F31B82E"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Norepinephrinbitartrat</w:t>
            </w:r>
          </w:p>
        </w:tc>
      </w:tr>
      <w:tr w:rsidR="00C806DE" w:rsidRPr="00875F19" w14:paraId="55B95CF3"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5880869F"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Kaliumchlorid</w:t>
            </w:r>
          </w:p>
        </w:tc>
      </w:tr>
      <w:tr w:rsidR="00C806DE" w:rsidRPr="00875F19" w14:paraId="17D79CD3" w14:textId="77777777" w:rsidTr="00507609">
        <w:tc>
          <w:tcPr>
            <w:tcW w:w="3681" w:type="dxa"/>
            <w:tcBorders>
              <w:top w:val="single" w:sz="4" w:space="0" w:color="auto"/>
              <w:left w:val="single" w:sz="4" w:space="0" w:color="auto"/>
              <w:bottom w:val="single" w:sz="4" w:space="0" w:color="auto"/>
              <w:right w:val="single" w:sz="4" w:space="0" w:color="auto"/>
            </w:tcBorders>
            <w:hideMark/>
          </w:tcPr>
          <w:p w14:paraId="432FB24A" w14:textId="77777777" w:rsidR="00C806DE" w:rsidRPr="00875F19" w:rsidRDefault="00C806DE">
            <w:pPr>
              <w:rPr>
                <w:rFonts w:ascii="Times New Roman" w:hAnsi="Times New Roman" w:cs="Times New Roman"/>
                <w:sz w:val="24"/>
                <w:szCs w:val="24"/>
              </w:rPr>
            </w:pPr>
            <w:r w:rsidRPr="00875F19">
              <w:rPr>
                <w:rFonts w:ascii="Times New Roman" w:hAnsi="Times New Roman" w:cs="Times New Roman"/>
                <w:sz w:val="24"/>
                <w:szCs w:val="24"/>
              </w:rPr>
              <w:t>Vancomycinhydrochlorid</w:t>
            </w:r>
          </w:p>
        </w:tc>
      </w:tr>
    </w:tbl>
    <w:p w14:paraId="4E4C5343" w14:textId="77777777" w:rsidR="009A6218" w:rsidRDefault="009A6218" w:rsidP="00507609">
      <w:pPr>
        <w:ind w:left="851"/>
        <w:rPr>
          <w:sz w:val="24"/>
          <w:szCs w:val="24"/>
          <w:lang w:val="nl-NL"/>
        </w:rPr>
      </w:pPr>
    </w:p>
    <w:p w14:paraId="58123211" w14:textId="71A2F18E" w:rsidR="00C806DE" w:rsidRPr="00875F19" w:rsidRDefault="00C806DE" w:rsidP="00507609">
      <w:pPr>
        <w:ind w:left="851"/>
        <w:rPr>
          <w:sz w:val="24"/>
          <w:szCs w:val="24"/>
          <w:lang w:val="nl-NL"/>
        </w:rPr>
      </w:pPr>
      <w:r w:rsidRPr="00875F19">
        <w:rPr>
          <w:sz w:val="24"/>
          <w:szCs w:val="24"/>
          <w:lang w:val="nl-NL"/>
        </w:rPr>
        <w:t xml:space="preserve">Alle produkter, som ikke er anført i tabellen ovenfor, må ikke administreres sammen med Posaconazole </w:t>
      </w:r>
      <w:r w:rsidR="003F6401">
        <w:rPr>
          <w:sz w:val="24"/>
          <w:szCs w:val="24"/>
          <w:lang w:val="nl-NL"/>
        </w:rPr>
        <w:t>"Amarox"</w:t>
      </w:r>
      <w:r w:rsidRPr="00875F19">
        <w:rPr>
          <w:sz w:val="24"/>
          <w:szCs w:val="24"/>
          <w:lang w:val="nl-NL"/>
        </w:rPr>
        <w:t xml:space="preserve"> gennem den samme intravenøse slange (eller kanyle).</w:t>
      </w:r>
    </w:p>
    <w:p w14:paraId="4D178EE4" w14:textId="77777777" w:rsidR="00C806DE" w:rsidRPr="00875F19" w:rsidRDefault="00C806DE" w:rsidP="00507609">
      <w:pPr>
        <w:ind w:left="851"/>
        <w:rPr>
          <w:sz w:val="24"/>
          <w:szCs w:val="24"/>
          <w:lang w:val="nl-NL"/>
        </w:rPr>
      </w:pPr>
    </w:p>
    <w:p w14:paraId="1BD19D11" w14:textId="44923F6D" w:rsidR="00C806DE" w:rsidRPr="00875F19" w:rsidRDefault="00C806DE" w:rsidP="00507609">
      <w:pPr>
        <w:ind w:left="851"/>
        <w:rPr>
          <w:sz w:val="24"/>
          <w:szCs w:val="24"/>
          <w:lang w:val="nl-NL"/>
        </w:rPr>
      </w:pPr>
      <w:r w:rsidRPr="00875F19">
        <w:rPr>
          <w:sz w:val="24"/>
          <w:szCs w:val="24"/>
        </w:rPr>
        <w:t xml:space="preserve">Posaconazole </w:t>
      </w:r>
      <w:r w:rsidR="003F6401">
        <w:rPr>
          <w:sz w:val="24"/>
          <w:szCs w:val="24"/>
        </w:rPr>
        <w:t>"Amarox"</w:t>
      </w:r>
      <w:r w:rsidRPr="00875F19">
        <w:rPr>
          <w:sz w:val="24"/>
          <w:szCs w:val="24"/>
        </w:rPr>
        <w:t xml:space="preserve"> koncentrat til infusionsvæske, opløsning skal inspiceres visuelt for partikler før administration. Posaconazole </w:t>
      </w:r>
      <w:r w:rsidR="003F6401">
        <w:rPr>
          <w:sz w:val="24"/>
          <w:szCs w:val="24"/>
        </w:rPr>
        <w:t>"Amarox"</w:t>
      </w:r>
      <w:r w:rsidRPr="00875F19">
        <w:rPr>
          <w:sz w:val="24"/>
          <w:szCs w:val="24"/>
        </w:rPr>
        <w:t xml:space="preserve">-opløsningens farve kan variere fra farveløs til lysegul. </w:t>
      </w:r>
      <w:r w:rsidRPr="00875F19">
        <w:rPr>
          <w:sz w:val="24"/>
          <w:szCs w:val="24"/>
          <w:lang w:val="nl-NL"/>
        </w:rPr>
        <w:t>Farvevariationer inden for denne skala påvirker ikke produktets kvalitet.</w:t>
      </w:r>
    </w:p>
    <w:p w14:paraId="53835FA7" w14:textId="77777777" w:rsidR="00C806DE" w:rsidRPr="00875F19" w:rsidRDefault="00C806DE" w:rsidP="00507609">
      <w:pPr>
        <w:ind w:left="851"/>
        <w:rPr>
          <w:sz w:val="24"/>
          <w:szCs w:val="24"/>
          <w:lang w:val="nl-NL"/>
        </w:rPr>
      </w:pPr>
    </w:p>
    <w:p w14:paraId="71F978A2" w14:textId="77777777" w:rsidR="00C806DE" w:rsidRPr="00875F19" w:rsidRDefault="00C806DE" w:rsidP="00507609">
      <w:pPr>
        <w:ind w:left="851"/>
        <w:rPr>
          <w:sz w:val="24"/>
          <w:szCs w:val="24"/>
          <w:lang w:val="nl-NL"/>
        </w:rPr>
      </w:pPr>
      <w:r w:rsidRPr="00875F19">
        <w:rPr>
          <w:sz w:val="24"/>
          <w:szCs w:val="24"/>
          <w:lang w:val="nl-NL"/>
        </w:rPr>
        <w:t>Ikke anvendt lægemiddel samt affald heraf skal bortskaffes i henhold til lokale retningslinjer.</w:t>
      </w:r>
    </w:p>
    <w:p w14:paraId="0A95DF6F" w14:textId="77777777" w:rsidR="00C806DE" w:rsidRPr="00875F19" w:rsidRDefault="00C806DE" w:rsidP="00507609">
      <w:pPr>
        <w:ind w:left="851"/>
        <w:rPr>
          <w:sz w:val="24"/>
          <w:szCs w:val="24"/>
          <w:lang w:val="nl-NL"/>
        </w:rPr>
      </w:pPr>
    </w:p>
    <w:p w14:paraId="32A94D1D" w14:textId="77777777" w:rsidR="00C806DE" w:rsidRPr="00875F19" w:rsidRDefault="00C806DE" w:rsidP="00507609">
      <w:pPr>
        <w:ind w:left="851"/>
        <w:rPr>
          <w:sz w:val="24"/>
          <w:szCs w:val="24"/>
          <w:lang w:val="nl-NL"/>
        </w:rPr>
      </w:pPr>
      <w:r w:rsidRPr="00875F19">
        <w:rPr>
          <w:sz w:val="24"/>
          <w:szCs w:val="24"/>
          <w:lang w:val="nl-NL"/>
        </w:rPr>
        <w:t>Dette lægemiddel må ikke blandes med andre lægemidler end dem, der er anført nedenfor:</w:t>
      </w:r>
    </w:p>
    <w:p w14:paraId="24001652" w14:textId="77777777" w:rsidR="00C806DE" w:rsidRPr="00875F19" w:rsidRDefault="00C806DE" w:rsidP="00507609">
      <w:pPr>
        <w:ind w:left="851"/>
        <w:rPr>
          <w:sz w:val="24"/>
          <w:szCs w:val="24"/>
          <w:lang w:val="nl-NL"/>
        </w:rPr>
      </w:pPr>
    </w:p>
    <w:p w14:paraId="326517E3" w14:textId="77777777" w:rsidR="00C806DE" w:rsidRPr="00875F19" w:rsidRDefault="00C806DE" w:rsidP="00507609">
      <w:pPr>
        <w:ind w:left="851"/>
        <w:rPr>
          <w:sz w:val="24"/>
          <w:szCs w:val="24"/>
        </w:rPr>
      </w:pPr>
      <w:r w:rsidRPr="00875F19">
        <w:rPr>
          <w:sz w:val="24"/>
          <w:szCs w:val="24"/>
        </w:rPr>
        <w:t xml:space="preserve">5 % glucose i vand </w:t>
      </w:r>
    </w:p>
    <w:p w14:paraId="6B523FF8" w14:textId="77777777" w:rsidR="00C806DE" w:rsidRPr="00875F19" w:rsidRDefault="00C806DE" w:rsidP="00507609">
      <w:pPr>
        <w:ind w:left="851"/>
        <w:rPr>
          <w:sz w:val="24"/>
          <w:szCs w:val="24"/>
        </w:rPr>
      </w:pPr>
      <w:r w:rsidRPr="00875F19">
        <w:rPr>
          <w:sz w:val="24"/>
          <w:szCs w:val="24"/>
        </w:rPr>
        <w:t xml:space="preserve">0,9 % natriumchlorid </w:t>
      </w:r>
    </w:p>
    <w:p w14:paraId="4D6D0B7F" w14:textId="77777777" w:rsidR="00C806DE" w:rsidRPr="00875F19" w:rsidRDefault="00C806DE" w:rsidP="00507609">
      <w:pPr>
        <w:ind w:left="851"/>
        <w:rPr>
          <w:sz w:val="24"/>
          <w:szCs w:val="24"/>
        </w:rPr>
      </w:pPr>
      <w:r w:rsidRPr="00875F19">
        <w:rPr>
          <w:sz w:val="24"/>
          <w:szCs w:val="24"/>
        </w:rPr>
        <w:t xml:space="preserve">0,45 % natriumchlorid </w:t>
      </w:r>
    </w:p>
    <w:p w14:paraId="6B5EF175" w14:textId="77777777" w:rsidR="00C806DE" w:rsidRPr="00875F19" w:rsidRDefault="00C806DE" w:rsidP="00507609">
      <w:pPr>
        <w:ind w:left="851"/>
        <w:rPr>
          <w:sz w:val="24"/>
          <w:szCs w:val="24"/>
        </w:rPr>
      </w:pPr>
      <w:r w:rsidRPr="00875F19">
        <w:rPr>
          <w:sz w:val="24"/>
          <w:szCs w:val="24"/>
        </w:rPr>
        <w:t xml:space="preserve">5 % glucose og 0,45 % natriumchlorid </w:t>
      </w:r>
    </w:p>
    <w:p w14:paraId="34620C0B" w14:textId="77777777" w:rsidR="00C806DE" w:rsidRPr="00875F19" w:rsidRDefault="00C806DE" w:rsidP="00507609">
      <w:pPr>
        <w:ind w:left="851"/>
        <w:rPr>
          <w:sz w:val="24"/>
          <w:szCs w:val="24"/>
        </w:rPr>
      </w:pPr>
      <w:r w:rsidRPr="00875F19">
        <w:rPr>
          <w:sz w:val="24"/>
          <w:szCs w:val="24"/>
        </w:rPr>
        <w:t xml:space="preserve">5 % glucose og 0,9 % natriumchlorid </w:t>
      </w:r>
    </w:p>
    <w:p w14:paraId="3074C343" w14:textId="77777777" w:rsidR="00C806DE" w:rsidRPr="00875F19" w:rsidRDefault="00C806DE" w:rsidP="00507609">
      <w:pPr>
        <w:ind w:left="851"/>
        <w:rPr>
          <w:sz w:val="24"/>
          <w:szCs w:val="24"/>
        </w:rPr>
      </w:pPr>
      <w:r w:rsidRPr="00875F19">
        <w:rPr>
          <w:sz w:val="24"/>
          <w:szCs w:val="24"/>
        </w:rPr>
        <w:t>5 % glucose og 20 mEq KCl</w:t>
      </w:r>
    </w:p>
    <w:p w14:paraId="599A5A43" w14:textId="7B4D62CE" w:rsidR="00E5143B" w:rsidRDefault="00E5143B">
      <w:pPr>
        <w:rPr>
          <w:sz w:val="24"/>
          <w:szCs w:val="24"/>
        </w:rPr>
      </w:pPr>
      <w:r>
        <w:rPr>
          <w:sz w:val="24"/>
          <w:szCs w:val="24"/>
        </w:rPr>
        <w:br w:type="page"/>
      </w:r>
    </w:p>
    <w:p w14:paraId="62D46B8D" w14:textId="77777777" w:rsidR="009260DE" w:rsidRPr="00875F19" w:rsidRDefault="009260DE" w:rsidP="000730CA">
      <w:pPr>
        <w:tabs>
          <w:tab w:val="left" w:pos="851"/>
        </w:tabs>
        <w:ind w:left="851"/>
        <w:rPr>
          <w:sz w:val="24"/>
          <w:szCs w:val="24"/>
        </w:rPr>
      </w:pPr>
    </w:p>
    <w:p w14:paraId="118592E3" w14:textId="77777777" w:rsidR="009260DE" w:rsidRPr="00875F19" w:rsidRDefault="009260DE" w:rsidP="009260DE">
      <w:pPr>
        <w:tabs>
          <w:tab w:val="left" w:pos="851"/>
        </w:tabs>
        <w:ind w:left="851" w:hanging="851"/>
        <w:rPr>
          <w:b/>
          <w:sz w:val="24"/>
          <w:szCs w:val="24"/>
        </w:rPr>
      </w:pPr>
      <w:r w:rsidRPr="00875F19">
        <w:rPr>
          <w:b/>
          <w:sz w:val="24"/>
          <w:szCs w:val="24"/>
        </w:rPr>
        <w:t>7.</w:t>
      </w:r>
      <w:r w:rsidRPr="00875F19">
        <w:rPr>
          <w:b/>
          <w:sz w:val="24"/>
          <w:szCs w:val="24"/>
        </w:rPr>
        <w:tab/>
        <w:t>INDEHAVER AF MARKEDSFØRINGSTILLADELSEN</w:t>
      </w:r>
    </w:p>
    <w:p w14:paraId="03750B69" w14:textId="77777777" w:rsidR="00C806DE" w:rsidRPr="00875F19" w:rsidRDefault="00C806DE" w:rsidP="00507609">
      <w:pPr>
        <w:ind w:left="851"/>
        <w:rPr>
          <w:sz w:val="24"/>
          <w:szCs w:val="24"/>
        </w:rPr>
      </w:pPr>
      <w:r w:rsidRPr="00875F19">
        <w:rPr>
          <w:sz w:val="24"/>
          <w:szCs w:val="24"/>
        </w:rPr>
        <w:t>Amarox Pharma B.V.</w:t>
      </w:r>
    </w:p>
    <w:p w14:paraId="3C435D9D" w14:textId="77777777" w:rsidR="00C806DE" w:rsidRPr="00875F19" w:rsidRDefault="00C806DE" w:rsidP="00507609">
      <w:pPr>
        <w:ind w:left="851"/>
        <w:rPr>
          <w:sz w:val="24"/>
          <w:szCs w:val="24"/>
          <w:lang w:val="en-US"/>
        </w:rPr>
      </w:pPr>
      <w:r w:rsidRPr="00875F19">
        <w:rPr>
          <w:sz w:val="24"/>
          <w:szCs w:val="24"/>
          <w:lang w:val="en-US"/>
        </w:rPr>
        <w:t>Rouboslaan 32</w:t>
      </w:r>
    </w:p>
    <w:p w14:paraId="7F6B18C9" w14:textId="0A2EDDA9" w:rsidR="00C806DE" w:rsidRPr="00875F19" w:rsidRDefault="00C806DE" w:rsidP="00507609">
      <w:pPr>
        <w:ind w:left="851"/>
        <w:rPr>
          <w:sz w:val="24"/>
          <w:szCs w:val="24"/>
          <w:lang w:val="en-US"/>
        </w:rPr>
      </w:pPr>
      <w:r w:rsidRPr="00875F19">
        <w:rPr>
          <w:sz w:val="24"/>
          <w:szCs w:val="24"/>
          <w:lang w:val="en-US"/>
        </w:rPr>
        <w:t xml:space="preserve">2252 TR Voorschoten </w:t>
      </w:r>
    </w:p>
    <w:p w14:paraId="4AA2E588" w14:textId="6968963B" w:rsidR="00C806DE" w:rsidRPr="00875F19" w:rsidRDefault="009A6218" w:rsidP="00507609">
      <w:pPr>
        <w:ind w:left="851"/>
        <w:rPr>
          <w:sz w:val="24"/>
          <w:szCs w:val="24"/>
          <w:lang w:val="en-US"/>
        </w:rPr>
      </w:pPr>
      <w:r>
        <w:rPr>
          <w:sz w:val="24"/>
          <w:szCs w:val="24"/>
          <w:lang w:val="en-US"/>
        </w:rPr>
        <w:t>Holland</w:t>
      </w:r>
    </w:p>
    <w:p w14:paraId="664C7ED3" w14:textId="77777777" w:rsidR="00C806DE" w:rsidRPr="009A6218" w:rsidRDefault="00C806DE" w:rsidP="00507609">
      <w:pPr>
        <w:ind w:left="851"/>
        <w:rPr>
          <w:bCs/>
          <w:sz w:val="24"/>
          <w:szCs w:val="24"/>
          <w:lang w:val="en-US"/>
        </w:rPr>
      </w:pPr>
    </w:p>
    <w:p w14:paraId="1FAA5E7D" w14:textId="1C559DE9" w:rsidR="00C806DE" w:rsidRPr="00875F19" w:rsidRDefault="00C806DE" w:rsidP="00507609">
      <w:pPr>
        <w:ind w:left="851"/>
        <w:rPr>
          <w:b/>
          <w:bCs/>
          <w:sz w:val="24"/>
          <w:szCs w:val="24"/>
          <w:lang w:val="en-GB"/>
        </w:rPr>
      </w:pPr>
      <w:r w:rsidRPr="00875F19">
        <w:rPr>
          <w:b/>
          <w:bCs/>
          <w:sz w:val="24"/>
          <w:szCs w:val="24"/>
          <w:lang w:val="en-GB"/>
        </w:rPr>
        <w:t>Repræsentant</w:t>
      </w:r>
    </w:p>
    <w:p w14:paraId="65F7A239" w14:textId="77777777" w:rsidR="00C806DE" w:rsidRPr="00875F19" w:rsidRDefault="00C806DE" w:rsidP="00507609">
      <w:pPr>
        <w:ind w:left="851"/>
        <w:rPr>
          <w:sz w:val="24"/>
          <w:szCs w:val="24"/>
          <w:lang w:val="en-GB"/>
        </w:rPr>
      </w:pPr>
      <w:r w:rsidRPr="00875F19">
        <w:rPr>
          <w:sz w:val="24"/>
          <w:szCs w:val="24"/>
          <w:lang w:val="en-GB"/>
        </w:rPr>
        <w:t>Newbury Pharmaceuticals AB</w:t>
      </w:r>
    </w:p>
    <w:p w14:paraId="6817431D" w14:textId="77777777" w:rsidR="00C806DE" w:rsidRPr="00875F19" w:rsidRDefault="00C806DE" w:rsidP="00507609">
      <w:pPr>
        <w:ind w:left="851"/>
        <w:rPr>
          <w:sz w:val="24"/>
          <w:szCs w:val="24"/>
        </w:rPr>
      </w:pPr>
      <w:r w:rsidRPr="00875F19">
        <w:rPr>
          <w:sz w:val="24"/>
          <w:szCs w:val="24"/>
        </w:rPr>
        <w:t>Medicon Village, Lund</w:t>
      </w:r>
    </w:p>
    <w:p w14:paraId="5F76AAA4" w14:textId="77777777" w:rsidR="00C806DE" w:rsidRPr="00875F19" w:rsidRDefault="00C806DE" w:rsidP="00507609">
      <w:pPr>
        <w:ind w:left="851"/>
        <w:rPr>
          <w:sz w:val="24"/>
          <w:szCs w:val="24"/>
          <w:lang w:val="nl-NL"/>
        </w:rPr>
      </w:pPr>
      <w:r w:rsidRPr="00875F19">
        <w:rPr>
          <w:sz w:val="24"/>
          <w:szCs w:val="24"/>
          <w:lang w:val="nl-NL"/>
        </w:rPr>
        <w:t>Sverige</w:t>
      </w:r>
    </w:p>
    <w:p w14:paraId="000245B6" w14:textId="77777777" w:rsidR="00641C65" w:rsidRPr="00875F19" w:rsidRDefault="00641C65" w:rsidP="009260DE">
      <w:pPr>
        <w:tabs>
          <w:tab w:val="left" w:pos="851"/>
        </w:tabs>
        <w:ind w:left="851"/>
        <w:rPr>
          <w:sz w:val="24"/>
          <w:szCs w:val="24"/>
        </w:rPr>
      </w:pPr>
    </w:p>
    <w:p w14:paraId="72390BF0" w14:textId="77777777" w:rsidR="009260DE" w:rsidRPr="00875F19" w:rsidRDefault="009260DE" w:rsidP="009260DE">
      <w:pPr>
        <w:tabs>
          <w:tab w:val="left" w:pos="851"/>
        </w:tabs>
        <w:ind w:left="851" w:hanging="851"/>
        <w:rPr>
          <w:b/>
          <w:sz w:val="24"/>
          <w:szCs w:val="24"/>
        </w:rPr>
      </w:pPr>
      <w:r w:rsidRPr="00875F19">
        <w:rPr>
          <w:b/>
          <w:sz w:val="24"/>
          <w:szCs w:val="24"/>
        </w:rPr>
        <w:t>8.</w:t>
      </w:r>
      <w:r w:rsidRPr="00875F19">
        <w:rPr>
          <w:b/>
          <w:sz w:val="24"/>
          <w:szCs w:val="24"/>
        </w:rPr>
        <w:tab/>
        <w:t>MARKEDSFØRINGSTILLADELSESNUMMER (</w:t>
      </w:r>
      <w:r w:rsidR="00BF6243" w:rsidRPr="00875F19">
        <w:rPr>
          <w:b/>
          <w:sz w:val="24"/>
          <w:szCs w:val="24"/>
        </w:rPr>
        <w:t>-</w:t>
      </w:r>
      <w:r w:rsidRPr="00875F19">
        <w:rPr>
          <w:b/>
          <w:sz w:val="24"/>
          <w:szCs w:val="24"/>
        </w:rPr>
        <w:t>NUMRE)</w:t>
      </w:r>
    </w:p>
    <w:p w14:paraId="118BF891" w14:textId="36B638F1" w:rsidR="009260DE" w:rsidRPr="00875F19" w:rsidRDefault="00C806DE" w:rsidP="009260DE">
      <w:pPr>
        <w:tabs>
          <w:tab w:val="left" w:pos="851"/>
        </w:tabs>
        <w:ind w:left="851"/>
        <w:rPr>
          <w:sz w:val="24"/>
          <w:szCs w:val="24"/>
        </w:rPr>
      </w:pPr>
      <w:r w:rsidRPr="00875F19">
        <w:rPr>
          <w:sz w:val="24"/>
          <w:szCs w:val="24"/>
        </w:rPr>
        <w:t>71254</w:t>
      </w:r>
    </w:p>
    <w:p w14:paraId="41CB9630" w14:textId="77777777" w:rsidR="009260DE" w:rsidRPr="00875F19" w:rsidRDefault="009260DE" w:rsidP="009260DE">
      <w:pPr>
        <w:tabs>
          <w:tab w:val="left" w:pos="851"/>
        </w:tabs>
        <w:ind w:left="851"/>
        <w:jc w:val="both"/>
        <w:rPr>
          <w:sz w:val="24"/>
          <w:szCs w:val="24"/>
        </w:rPr>
      </w:pPr>
    </w:p>
    <w:p w14:paraId="3A4D7C2A" w14:textId="77777777" w:rsidR="009260DE" w:rsidRPr="00875F19" w:rsidRDefault="009260DE" w:rsidP="009260DE">
      <w:pPr>
        <w:tabs>
          <w:tab w:val="left" w:pos="851"/>
        </w:tabs>
        <w:ind w:left="851" w:hanging="851"/>
        <w:rPr>
          <w:b/>
          <w:sz w:val="24"/>
          <w:szCs w:val="24"/>
        </w:rPr>
      </w:pPr>
      <w:r w:rsidRPr="00875F19">
        <w:rPr>
          <w:b/>
          <w:sz w:val="24"/>
          <w:szCs w:val="24"/>
        </w:rPr>
        <w:t>9.</w:t>
      </w:r>
      <w:r w:rsidRPr="00875F19">
        <w:rPr>
          <w:b/>
          <w:sz w:val="24"/>
          <w:szCs w:val="24"/>
        </w:rPr>
        <w:tab/>
        <w:t>DATO FOR FØRSTE MARKEDSFØRINGSTILLADELSE</w:t>
      </w:r>
    </w:p>
    <w:p w14:paraId="49A13119" w14:textId="1E985DEA" w:rsidR="009260DE" w:rsidRPr="00875F19" w:rsidRDefault="00BC713B" w:rsidP="009260DE">
      <w:pPr>
        <w:tabs>
          <w:tab w:val="left" w:pos="851"/>
        </w:tabs>
        <w:ind w:left="851"/>
        <w:rPr>
          <w:sz w:val="24"/>
          <w:szCs w:val="24"/>
        </w:rPr>
      </w:pPr>
      <w:r>
        <w:rPr>
          <w:sz w:val="24"/>
          <w:szCs w:val="24"/>
        </w:rPr>
        <w:t>19. december 2025</w:t>
      </w:r>
      <w:bookmarkStart w:id="0" w:name="_GoBack"/>
      <w:bookmarkEnd w:id="0"/>
    </w:p>
    <w:p w14:paraId="47E55DC1" w14:textId="77777777" w:rsidR="009260DE" w:rsidRPr="00875F19" w:rsidRDefault="009260DE" w:rsidP="009260DE">
      <w:pPr>
        <w:tabs>
          <w:tab w:val="left" w:pos="851"/>
        </w:tabs>
        <w:ind w:left="851"/>
        <w:rPr>
          <w:sz w:val="24"/>
          <w:szCs w:val="24"/>
        </w:rPr>
      </w:pPr>
    </w:p>
    <w:p w14:paraId="454A8E81" w14:textId="77777777" w:rsidR="009260DE" w:rsidRPr="00875F19" w:rsidRDefault="009260DE" w:rsidP="009260DE">
      <w:pPr>
        <w:tabs>
          <w:tab w:val="left" w:pos="851"/>
        </w:tabs>
        <w:ind w:left="851" w:hanging="851"/>
        <w:rPr>
          <w:b/>
          <w:sz w:val="24"/>
          <w:szCs w:val="24"/>
        </w:rPr>
      </w:pPr>
      <w:r w:rsidRPr="00875F19">
        <w:rPr>
          <w:b/>
          <w:sz w:val="24"/>
          <w:szCs w:val="24"/>
        </w:rPr>
        <w:t>10.</w:t>
      </w:r>
      <w:r w:rsidRPr="00875F19">
        <w:rPr>
          <w:b/>
          <w:sz w:val="24"/>
          <w:szCs w:val="24"/>
        </w:rPr>
        <w:tab/>
        <w:t>DATO FOR ÆNDRING AF TEKSTEN</w:t>
      </w:r>
    </w:p>
    <w:p w14:paraId="5849B916" w14:textId="0D295B58" w:rsidR="009260DE" w:rsidRPr="00875F19" w:rsidRDefault="00C806DE" w:rsidP="009260DE">
      <w:pPr>
        <w:tabs>
          <w:tab w:val="left" w:pos="851"/>
        </w:tabs>
        <w:ind w:left="851"/>
        <w:rPr>
          <w:sz w:val="24"/>
          <w:szCs w:val="24"/>
        </w:rPr>
      </w:pPr>
      <w:r w:rsidRPr="00875F19">
        <w:rPr>
          <w:sz w:val="24"/>
          <w:szCs w:val="24"/>
        </w:rPr>
        <w:t>-</w:t>
      </w:r>
    </w:p>
    <w:sectPr w:rsidR="009260DE" w:rsidRPr="00875F19"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CE281" w14:textId="77777777" w:rsidR="00C806DE" w:rsidRDefault="00C806DE">
      <w:r>
        <w:separator/>
      </w:r>
    </w:p>
  </w:endnote>
  <w:endnote w:type="continuationSeparator" w:id="0">
    <w:p w14:paraId="494DF301" w14:textId="77777777" w:rsidR="00C806DE" w:rsidRDefault="00C8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E508" w14:textId="77777777" w:rsidR="00C806DE" w:rsidRDefault="00C806DE">
    <w:pPr>
      <w:pStyle w:val="Sidefod"/>
      <w:pBdr>
        <w:bottom w:val="single" w:sz="6" w:space="1" w:color="auto"/>
      </w:pBdr>
    </w:pPr>
  </w:p>
  <w:p w14:paraId="77CA4982" w14:textId="77777777" w:rsidR="00C806DE" w:rsidRDefault="00C806DE" w:rsidP="00C42586">
    <w:pPr>
      <w:pStyle w:val="Sidefod"/>
      <w:tabs>
        <w:tab w:val="clear" w:pos="4819"/>
        <w:tab w:val="left" w:pos="8505"/>
      </w:tabs>
      <w:rPr>
        <w:i/>
        <w:sz w:val="18"/>
        <w:szCs w:val="18"/>
      </w:rPr>
    </w:pPr>
  </w:p>
  <w:p w14:paraId="2672E5C2" w14:textId="45F89BB2" w:rsidR="00C806DE" w:rsidRPr="00B373D7" w:rsidRDefault="00C806D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F25278">
      <w:rPr>
        <w:i/>
        <w:noProof/>
        <w:sz w:val="18"/>
        <w:szCs w:val="18"/>
      </w:rPr>
      <w:t>Posaconazole Amarox, koncentrat til infusionsvæske, opløsning 300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4F0B6" w14:textId="77777777" w:rsidR="00C806DE" w:rsidRDefault="00C806DE">
      <w:r>
        <w:separator/>
      </w:r>
    </w:p>
  </w:footnote>
  <w:footnote w:type="continuationSeparator" w:id="0">
    <w:p w14:paraId="7F6A1DAB" w14:textId="77777777" w:rsidR="00C806DE" w:rsidRDefault="00C80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898"/>
    <w:multiLevelType w:val="hybridMultilevel"/>
    <w:tmpl w:val="2F6A4748"/>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F4D2440"/>
    <w:multiLevelType w:val="hybridMultilevel"/>
    <w:tmpl w:val="AB0EDC7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E4B636A"/>
    <w:multiLevelType w:val="hybridMultilevel"/>
    <w:tmpl w:val="453698EA"/>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0482CFC"/>
    <w:multiLevelType w:val="hybridMultilevel"/>
    <w:tmpl w:val="1346A8D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229A1822"/>
    <w:multiLevelType w:val="hybridMultilevel"/>
    <w:tmpl w:val="16A88EDC"/>
    <w:lvl w:ilvl="0" w:tplc="44DC3D04">
      <w:start w:val="1"/>
      <w:numFmt w:val="bullet"/>
      <w:lvlText w:val=""/>
      <w:lvlJc w:val="left"/>
      <w:pPr>
        <w:ind w:left="720" w:hanging="360"/>
      </w:pPr>
      <w:rPr>
        <w:rFonts w:ascii="Symbol" w:hAnsi="Symbol" w:hint="default"/>
      </w:rPr>
    </w:lvl>
    <w:lvl w:ilvl="1" w:tplc="FF2E467A">
      <w:numFmt w:val="bullet"/>
      <w:lvlText w:val="•"/>
      <w:lvlJc w:val="left"/>
      <w:pPr>
        <w:ind w:left="1440" w:hanging="360"/>
      </w:pPr>
      <w:rPr>
        <w:rFonts w:ascii="Times New Roman" w:eastAsiaTheme="minorHAnsi" w:hAnsi="Times New Roman"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4AB514E"/>
    <w:multiLevelType w:val="hybridMultilevel"/>
    <w:tmpl w:val="DB7473C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9" w15:restartNumberingAfterBreak="0">
    <w:nsid w:val="40203FC3"/>
    <w:multiLevelType w:val="hybridMultilevel"/>
    <w:tmpl w:val="C0EA5ED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1" w15:restartNumberingAfterBreak="0">
    <w:nsid w:val="492422B6"/>
    <w:multiLevelType w:val="multilevel"/>
    <w:tmpl w:val="230AAA4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E79220F"/>
    <w:multiLevelType w:val="hybridMultilevel"/>
    <w:tmpl w:val="AD74AD46"/>
    <w:lvl w:ilvl="0" w:tplc="44DC3D04">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6CA0137C"/>
    <w:multiLevelType w:val="hybridMultilevel"/>
    <w:tmpl w:val="7DC6756A"/>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75B6217D"/>
    <w:multiLevelType w:val="hybridMultilevel"/>
    <w:tmpl w:val="CD4088D8"/>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6FF7685"/>
    <w:multiLevelType w:val="hybridMultilevel"/>
    <w:tmpl w:val="1D189182"/>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5"/>
  </w:num>
  <w:num w:numId="12">
    <w:abstractNumId w:val="13"/>
  </w:num>
  <w:num w:numId="13">
    <w:abstractNumId w:val="14"/>
  </w:num>
  <w:num w:numId="14">
    <w:abstractNumId w:val="0"/>
  </w:num>
  <w:num w:numId="15">
    <w:abstractNumId w:val="4"/>
  </w:num>
  <w:num w:numId="16">
    <w:abstractNumId w:val="15"/>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82"/>
    <w:rsid w:val="000259B9"/>
    <w:rsid w:val="00034A8E"/>
    <w:rsid w:val="00041491"/>
    <w:rsid w:val="00050D16"/>
    <w:rsid w:val="000730CA"/>
    <w:rsid w:val="00074F2A"/>
    <w:rsid w:val="000A1CA8"/>
    <w:rsid w:val="000A466B"/>
    <w:rsid w:val="000B058C"/>
    <w:rsid w:val="000D68B0"/>
    <w:rsid w:val="000E4EE6"/>
    <w:rsid w:val="001317B2"/>
    <w:rsid w:val="001454E2"/>
    <w:rsid w:val="00206CE8"/>
    <w:rsid w:val="00212416"/>
    <w:rsid w:val="0021526C"/>
    <w:rsid w:val="00283A2B"/>
    <w:rsid w:val="002B30AD"/>
    <w:rsid w:val="002C1EC0"/>
    <w:rsid w:val="002C2C01"/>
    <w:rsid w:val="00383C5F"/>
    <w:rsid w:val="003A29AE"/>
    <w:rsid w:val="003A32D7"/>
    <w:rsid w:val="003B4074"/>
    <w:rsid w:val="003C769A"/>
    <w:rsid w:val="003D3A90"/>
    <w:rsid w:val="003F1838"/>
    <w:rsid w:val="003F6401"/>
    <w:rsid w:val="004251C1"/>
    <w:rsid w:val="0045746C"/>
    <w:rsid w:val="0049104B"/>
    <w:rsid w:val="004D0FCB"/>
    <w:rsid w:val="004E3B12"/>
    <w:rsid w:val="00507609"/>
    <w:rsid w:val="00532310"/>
    <w:rsid w:val="005624FB"/>
    <w:rsid w:val="00565F0F"/>
    <w:rsid w:val="00594A86"/>
    <w:rsid w:val="00596D86"/>
    <w:rsid w:val="006256E5"/>
    <w:rsid w:val="00637F5A"/>
    <w:rsid w:val="00641C65"/>
    <w:rsid w:val="006560B1"/>
    <w:rsid w:val="006756DD"/>
    <w:rsid w:val="006D7224"/>
    <w:rsid w:val="0071241E"/>
    <w:rsid w:val="00737275"/>
    <w:rsid w:val="00740EEC"/>
    <w:rsid w:val="0078011A"/>
    <w:rsid w:val="00782AF4"/>
    <w:rsid w:val="00790EE7"/>
    <w:rsid w:val="007B6649"/>
    <w:rsid w:val="0082576E"/>
    <w:rsid w:val="00875F19"/>
    <w:rsid w:val="0089346F"/>
    <w:rsid w:val="00907F75"/>
    <w:rsid w:val="009260DE"/>
    <w:rsid w:val="0093258A"/>
    <w:rsid w:val="009A6218"/>
    <w:rsid w:val="009C0F58"/>
    <w:rsid w:val="009C7BA3"/>
    <w:rsid w:val="009D1F5A"/>
    <w:rsid w:val="00A10294"/>
    <w:rsid w:val="00B003BF"/>
    <w:rsid w:val="00B373D7"/>
    <w:rsid w:val="00B55271"/>
    <w:rsid w:val="00BC713B"/>
    <w:rsid w:val="00BD7931"/>
    <w:rsid w:val="00BF6243"/>
    <w:rsid w:val="00C36276"/>
    <w:rsid w:val="00C42586"/>
    <w:rsid w:val="00C45F6B"/>
    <w:rsid w:val="00C60CCD"/>
    <w:rsid w:val="00C806DE"/>
    <w:rsid w:val="00C84483"/>
    <w:rsid w:val="00C95551"/>
    <w:rsid w:val="00CB20D7"/>
    <w:rsid w:val="00D020B0"/>
    <w:rsid w:val="00D11748"/>
    <w:rsid w:val="00D237F6"/>
    <w:rsid w:val="00D34D98"/>
    <w:rsid w:val="00D366CF"/>
    <w:rsid w:val="00D93992"/>
    <w:rsid w:val="00DA14D2"/>
    <w:rsid w:val="00DF5882"/>
    <w:rsid w:val="00E108AA"/>
    <w:rsid w:val="00E3749A"/>
    <w:rsid w:val="00E5143B"/>
    <w:rsid w:val="00E7437F"/>
    <w:rsid w:val="00E865B8"/>
    <w:rsid w:val="00EC0B9B"/>
    <w:rsid w:val="00ED5E9F"/>
    <w:rsid w:val="00F1252E"/>
    <w:rsid w:val="00F25278"/>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4BB58"/>
  <w15:chartTrackingRefBased/>
  <w15:docId w15:val="{0CD84632-9E99-4CB0-9D18-354898A2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C806DE"/>
    <w:pPr>
      <w:autoSpaceDE w:val="0"/>
      <w:autoSpaceDN w:val="0"/>
      <w:adjustRightInd w:val="0"/>
    </w:pPr>
    <w:rPr>
      <w:rFonts w:eastAsiaTheme="minorHAnsi"/>
      <w:color w:val="000000"/>
      <w:sz w:val="24"/>
      <w:szCs w:val="24"/>
      <w:lang w:eastAsia="en-US"/>
      <w14:ligatures w14:val="standardContextual"/>
    </w:rPr>
  </w:style>
  <w:style w:type="paragraph" w:styleId="Listeafsnit">
    <w:name w:val="List Paragraph"/>
    <w:basedOn w:val="Normal"/>
    <w:uiPriority w:val="34"/>
    <w:qFormat/>
    <w:rsid w:val="00C806DE"/>
    <w:pPr>
      <w:spacing w:after="160" w:line="256" w:lineRule="auto"/>
      <w:ind w:left="720"/>
      <w:contextualSpacing/>
    </w:pPr>
    <w:rPr>
      <w:rFonts w:asciiTheme="minorHAnsi" w:eastAsiaTheme="minorHAnsi" w:hAnsiTheme="minorHAnsi" w:cstheme="minorBidi"/>
      <w:kern w:val="2"/>
      <w:sz w:val="22"/>
      <w:szCs w:val="22"/>
      <w:lang w:val="en-IN"/>
      <w14:ligatures w14:val="standardContextual"/>
    </w:rPr>
  </w:style>
  <w:style w:type="table" w:styleId="Tabel-Gitter">
    <w:name w:val="Table Grid"/>
    <w:basedOn w:val="Tabel-Normal"/>
    <w:uiPriority w:val="39"/>
    <w:rsid w:val="00C806DE"/>
    <w:rPr>
      <w:rFonts w:asciiTheme="minorHAnsi" w:eastAsiaTheme="minorHAnsi" w:hAnsiTheme="minorHAnsi" w:cstheme="minorBidi"/>
      <w:kern w:val="2"/>
      <w:sz w:val="22"/>
      <w:szCs w:val="22"/>
      <w:lang w:val="en-IN"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C80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4677">
      <w:bodyDiv w:val="1"/>
      <w:marLeft w:val="0"/>
      <w:marRight w:val="0"/>
      <w:marTop w:val="0"/>
      <w:marBottom w:val="0"/>
      <w:divBdr>
        <w:top w:val="none" w:sz="0" w:space="0" w:color="auto"/>
        <w:left w:val="none" w:sz="0" w:space="0" w:color="auto"/>
        <w:bottom w:val="none" w:sz="0" w:space="0" w:color="auto"/>
        <w:right w:val="none" w:sz="0" w:space="0" w:color="auto"/>
      </w:divBdr>
    </w:div>
    <w:div w:id="102042561">
      <w:bodyDiv w:val="1"/>
      <w:marLeft w:val="0"/>
      <w:marRight w:val="0"/>
      <w:marTop w:val="0"/>
      <w:marBottom w:val="0"/>
      <w:divBdr>
        <w:top w:val="none" w:sz="0" w:space="0" w:color="auto"/>
        <w:left w:val="none" w:sz="0" w:space="0" w:color="auto"/>
        <w:bottom w:val="none" w:sz="0" w:space="0" w:color="auto"/>
        <w:right w:val="none" w:sz="0" w:space="0" w:color="auto"/>
      </w:divBdr>
    </w:div>
    <w:div w:id="14563298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32344283">
      <w:bodyDiv w:val="1"/>
      <w:marLeft w:val="0"/>
      <w:marRight w:val="0"/>
      <w:marTop w:val="0"/>
      <w:marBottom w:val="0"/>
      <w:divBdr>
        <w:top w:val="none" w:sz="0" w:space="0" w:color="auto"/>
        <w:left w:val="none" w:sz="0" w:space="0" w:color="auto"/>
        <w:bottom w:val="none" w:sz="0" w:space="0" w:color="auto"/>
        <w:right w:val="none" w:sz="0" w:space="0" w:color="auto"/>
      </w:divBdr>
    </w:div>
    <w:div w:id="361980662">
      <w:bodyDiv w:val="1"/>
      <w:marLeft w:val="0"/>
      <w:marRight w:val="0"/>
      <w:marTop w:val="0"/>
      <w:marBottom w:val="0"/>
      <w:divBdr>
        <w:top w:val="none" w:sz="0" w:space="0" w:color="auto"/>
        <w:left w:val="none" w:sz="0" w:space="0" w:color="auto"/>
        <w:bottom w:val="none" w:sz="0" w:space="0" w:color="auto"/>
        <w:right w:val="none" w:sz="0" w:space="0" w:color="auto"/>
      </w:divBdr>
    </w:div>
    <w:div w:id="499388366">
      <w:bodyDiv w:val="1"/>
      <w:marLeft w:val="0"/>
      <w:marRight w:val="0"/>
      <w:marTop w:val="0"/>
      <w:marBottom w:val="0"/>
      <w:divBdr>
        <w:top w:val="none" w:sz="0" w:space="0" w:color="auto"/>
        <w:left w:val="none" w:sz="0" w:space="0" w:color="auto"/>
        <w:bottom w:val="none" w:sz="0" w:space="0" w:color="auto"/>
        <w:right w:val="none" w:sz="0" w:space="0" w:color="auto"/>
      </w:divBdr>
    </w:div>
    <w:div w:id="786043269">
      <w:bodyDiv w:val="1"/>
      <w:marLeft w:val="0"/>
      <w:marRight w:val="0"/>
      <w:marTop w:val="0"/>
      <w:marBottom w:val="0"/>
      <w:divBdr>
        <w:top w:val="none" w:sz="0" w:space="0" w:color="auto"/>
        <w:left w:val="none" w:sz="0" w:space="0" w:color="auto"/>
        <w:bottom w:val="none" w:sz="0" w:space="0" w:color="auto"/>
        <w:right w:val="none" w:sz="0" w:space="0" w:color="auto"/>
      </w:divBdr>
    </w:div>
    <w:div w:id="799883998">
      <w:bodyDiv w:val="1"/>
      <w:marLeft w:val="0"/>
      <w:marRight w:val="0"/>
      <w:marTop w:val="0"/>
      <w:marBottom w:val="0"/>
      <w:divBdr>
        <w:top w:val="none" w:sz="0" w:space="0" w:color="auto"/>
        <w:left w:val="none" w:sz="0" w:space="0" w:color="auto"/>
        <w:bottom w:val="none" w:sz="0" w:space="0" w:color="auto"/>
        <w:right w:val="none" w:sz="0" w:space="0" w:color="auto"/>
      </w:divBdr>
    </w:div>
    <w:div w:id="804007749">
      <w:bodyDiv w:val="1"/>
      <w:marLeft w:val="0"/>
      <w:marRight w:val="0"/>
      <w:marTop w:val="0"/>
      <w:marBottom w:val="0"/>
      <w:divBdr>
        <w:top w:val="none" w:sz="0" w:space="0" w:color="auto"/>
        <w:left w:val="none" w:sz="0" w:space="0" w:color="auto"/>
        <w:bottom w:val="none" w:sz="0" w:space="0" w:color="auto"/>
        <w:right w:val="none" w:sz="0" w:space="0" w:color="auto"/>
      </w:divBdr>
    </w:div>
    <w:div w:id="822157216">
      <w:bodyDiv w:val="1"/>
      <w:marLeft w:val="0"/>
      <w:marRight w:val="0"/>
      <w:marTop w:val="0"/>
      <w:marBottom w:val="0"/>
      <w:divBdr>
        <w:top w:val="none" w:sz="0" w:space="0" w:color="auto"/>
        <w:left w:val="none" w:sz="0" w:space="0" w:color="auto"/>
        <w:bottom w:val="none" w:sz="0" w:space="0" w:color="auto"/>
        <w:right w:val="none" w:sz="0" w:space="0" w:color="auto"/>
      </w:divBdr>
    </w:div>
    <w:div w:id="830410949">
      <w:bodyDiv w:val="1"/>
      <w:marLeft w:val="0"/>
      <w:marRight w:val="0"/>
      <w:marTop w:val="0"/>
      <w:marBottom w:val="0"/>
      <w:divBdr>
        <w:top w:val="none" w:sz="0" w:space="0" w:color="auto"/>
        <w:left w:val="none" w:sz="0" w:space="0" w:color="auto"/>
        <w:bottom w:val="none" w:sz="0" w:space="0" w:color="auto"/>
        <w:right w:val="none" w:sz="0" w:space="0" w:color="auto"/>
      </w:divBdr>
    </w:div>
    <w:div w:id="965506391">
      <w:bodyDiv w:val="1"/>
      <w:marLeft w:val="0"/>
      <w:marRight w:val="0"/>
      <w:marTop w:val="0"/>
      <w:marBottom w:val="0"/>
      <w:divBdr>
        <w:top w:val="none" w:sz="0" w:space="0" w:color="auto"/>
        <w:left w:val="none" w:sz="0" w:space="0" w:color="auto"/>
        <w:bottom w:val="none" w:sz="0" w:space="0" w:color="auto"/>
        <w:right w:val="none" w:sz="0" w:space="0" w:color="auto"/>
      </w:divBdr>
    </w:div>
    <w:div w:id="1135299229">
      <w:bodyDiv w:val="1"/>
      <w:marLeft w:val="0"/>
      <w:marRight w:val="0"/>
      <w:marTop w:val="0"/>
      <w:marBottom w:val="0"/>
      <w:divBdr>
        <w:top w:val="none" w:sz="0" w:space="0" w:color="auto"/>
        <w:left w:val="none" w:sz="0" w:space="0" w:color="auto"/>
        <w:bottom w:val="none" w:sz="0" w:space="0" w:color="auto"/>
        <w:right w:val="none" w:sz="0" w:space="0" w:color="auto"/>
      </w:divBdr>
    </w:div>
    <w:div w:id="1182818339">
      <w:bodyDiv w:val="1"/>
      <w:marLeft w:val="0"/>
      <w:marRight w:val="0"/>
      <w:marTop w:val="0"/>
      <w:marBottom w:val="0"/>
      <w:divBdr>
        <w:top w:val="none" w:sz="0" w:space="0" w:color="auto"/>
        <w:left w:val="none" w:sz="0" w:space="0" w:color="auto"/>
        <w:bottom w:val="none" w:sz="0" w:space="0" w:color="auto"/>
        <w:right w:val="none" w:sz="0" w:space="0" w:color="auto"/>
      </w:divBdr>
    </w:div>
    <w:div w:id="1315908452">
      <w:bodyDiv w:val="1"/>
      <w:marLeft w:val="0"/>
      <w:marRight w:val="0"/>
      <w:marTop w:val="0"/>
      <w:marBottom w:val="0"/>
      <w:divBdr>
        <w:top w:val="none" w:sz="0" w:space="0" w:color="auto"/>
        <w:left w:val="none" w:sz="0" w:space="0" w:color="auto"/>
        <w:bottom w:val="none" w:sz="0" w:space="0" w:color="auto"/>
        <w:right w:val="none" w:sz="0" w:space="0" w:color="auto"/>
      </w:divBdr>
    </w:div>
    <w:div w:id="1318529867">
      <w:bodyDiv w:val="1"/>
      <w:marLeft w:val="0"/>
      <w:marRight w:val="0"/>
      <w:marTop w:val="0"/>
      <w:marBottom w:val="0"/>
      <w:divBdr>
        <w:top w:val="none" w:sz="0" w:space="0" w:color="auto"/>
        <w:left w:val="none" w:sz="0" w:space="0" w:color="auto"/>
        <w:bottom w:val="none" w:sz="0" w:space="0" w:color="auto"/>
        <w:right w:val="none" w:sz="0" w:space="0" w:color="auto"/>
      </w:divBdr>
    </w:div>
    <w:div w:id="1467698449">
      <w:bodyDiv w:val="1"/>
      <w:marLeft w:val="0"/>
      <w:marRight w:val="0"/>
      <w:marTop w:val="0"/>
      <w:marBottom w:val="0"/>
      <w:divBdr>
        <w:top w:val="none" w:sz="0" w:space="0" w:color="auto"/>
        <w:left w:val="none" w:sz="0" w:space="0" w:color="auto"/>
        <w:bottom w:val="none" w:sz="0" w:space="0" w:color="auto"/>
        <w:right w:val="none" w:sz="0" w:space="0" w:color="auto"/>
      </w:divBdr>
    </w:div>
    <w:div w:id="1790010779">
      <w:bodyDiv w:val="1"/>
      <w:marLeft w:val="0"/>
      <w:marRight w:val="0"/>
      <w:marTop w:val="0"/>
      <w:marBottom w:val="0"/>
      <w:divBdr>
        <w:top w:val="none" w:sz="0" w:space="0" w:color="auto"/>
        <w:left w:val="none" w:sz="0" w:space="0" w:color="auto"/>
        <w:bottom w:val="none" w:sz="0" w:space="0" w:color="auto"/>
        <w:right w:val="none" w:sz="0" w:space="0" w:color="auto"/>
      </w:divBdr>
    </w:div>
    <w:div w:id="1803378647">
      <w:bodyDiv w:val="1"/>
      <w:marLeft w:val="0"/>
      <w:marRight w:val="0"/>
      <w:marTop w:val="0"/>
      <w:marBottom w:val="0"/>
      <w:divBdr>
        <w:top w:val="none" w:sz="0" w:space="0" w:color="auto"/>
        <w:left w:val="none" w:sz="0" w:space="0" w:color="auto"/>
        <w:bottom w:val="none" w:sz="0" w:space="0" w:color="auto"/>
        <w:right w:val="none" w:sz="0" w:space="0" w:color="auto"/>
      </w:divBdr>
    </w:div>
    <w:div w:id="1918318934">
      <w:bodyDiv w:val="1"/>
      <w:marLeft w:val="0"/>
      <w:marRight w:val="0"/>
      <w:marTop w:val="0"/>
      <w:marBottom w:val="0"/>
      <w:divBdr>
        <w:top w:val="none" w:sz="0" w:space="0" w:color="auto"/>
        <w:left w:val="none" w:sz="0" w:space="0" w:color="auto"/>
        <w:bottom w:val="none" w:sz="0" w:space="0" w:color="auto"/>
        <w:right w:val="none" w:sz="0" w:space="0" w:color="auto"/>
      </w:divBdr>
    </w:div>
    <w:div w:id="1969508305">
      <w:bodyDiv w:val="1"/>
      <w:marLeft w:val="0"/>
      <w:marRight w:val="0"/>
      <w:marTop w:val="0"/>
      <w:marBottom w:val="0"/>
      <w:divBdr>
        <w:top w:val="none" w:sz="0" w:space="0" w:color="auto"/>
        <w:left w:val="none" w:sz="0" w:space="0" w:color="auto"/>
        <w:bottom w:val="none" w:sz="0" w:space="0" w:color="auto"/>
        <w:right w:val="none" w:sz="0" w:space="0" w:color="auto"/>
      </w:divBdr>
    </w:div>
    <w:div w:id="21162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ma.europa.eu/documents/other/minimum-inhibitory-concentration-micbreakpoints_en.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67</TotalTime>
  <Pages>29</Pages>
  <Words>10048</Words>
  <Characters>65707</Characters>
  <Application>Microsoft Office Word</Application>
  <DocSecurity>0</DocSecurity>
  <Lines>547</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2024022469, MT</dc:description>
  <cp:lastModifiedBy>Gitte Jørgensen</cp:lastModifiedBy>
  <cp:revision>17</cp:revision>
  <cp:lastPrinted>2012-08-22T08:53:00Z</cp:lastPrinted>
  <dcterms:created xsi:type="dcterms:W3CDTF">2025-12-19T09:54:00Z</dcterms:created>
  <dcterms:modified xsi:type="dcterms:W3CDTF">2025-12-19T14:19:00Z</dcterms:modified>
</cp:coreProperties>
</file>