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1BE6" w14:textId="77777777" w:rsidR="009260DE" w:rsidRPr="006A18D4" w:rsidRDefault="0021526C" w:rsidP="009260DE">
      <w:pPr>
        <w:rPr>
          <w:sz w:val="24"/>
          <w:szCs w:val="24"/>
        </w:rPr>
      </w:pPr>
      <w:bookmarkStart w:id="0" w:name="_GoBack"/>
      <w:bookmarkEnd w:id="0"/>
      <w:r w:rsidRPr="006A18D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3FFD681" wp14:editId="78D4DA0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6A18D4">
        <w:rPr>
          <w:sz w:val="24"/>
          <w:szCs w:val="24"/>
        </w:rPr>
        <w:br w:type="textWrapping" w:clear="all"/>
      </w:r>
    </w:p>
    <w:p w14:paraId="5D832DA8" w14:textId="06E4DA43" w:rsidR="009260DE" w:rsidRPr="006A18D4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A18D4">
        <w:rPr>
          <w:b w:val="0"/>
          <w:szCs w:val="24"/>
          <w:lang w:eastAsia="en-US"/>
        </w:rPr>
        <w:tab/>
      </w:r>
      <w:r w:rsidR="002627E6">
        <w:rPr>
          <w:szCs w:val="24"/>
        </w:rPr>
        <w:t>27. juni 2025</w:t>
      </w:r>
    </w:p>
    <w:p w14:paraId="0C7B669E" w14:textId="77777777" w:rsidR="009260DE" w:rsidRPr="006A18D4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51C740B" w14:textId="77777777" w:rsidR="009260DE" w:rsidRPr="006A18D4" w:rsidRDefault="009260DE" w:rsidP="009260DE">
      <w:pPr>
        <w:pStyle w:val="Titel"/>
        <w:jc w:val="left"/>
        <w:rPr>
          <w:b w:val="0"/>
          <w:szCs w:val="24"/>
        </w:rPr>
      </w:pPr>
    </w:p>
    <w:p w14:paraId="5F9CB01F" w14:textId="77777777" w:rsidR="009260DE" w:rsidRPr="006A18D4" w:rsidRDefault="009260DE" w:rsidP="009260DE">
      <w:pPr>
        <w:pStyle w:val="Titel"/>
        <w:jc w:val="left"/>
        <w:rPr>
          <w:b w:val="0"/>
          <w:szCs w:val="24"/>
        </w:rPr>
      </w:pPr>
    </w:p>
    <w:p w14:paraId="191D8548" w14:textId="77777777" w:rsidR="009260DE" w:rsidRPr="006A18D4" w:rsidRDefault="009260DE" w:rsidP="009260DE">
      <w:pPr>
        <w:jc w:val="center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PRODUKTRESUMÉ</w:t>
      </w:r>
    </w:p>
    <w:p w14:paraId="1C8EE3D7" w14:textId="77777777" w:rsidR="009260DE" w:rsidRPr="006A18D4" w:rsidRDefault="009260DE" w:rsidP="009260DE">
      <w:pPr>
        <w:jc w:val="center"/>
        <w:rPr>
          <w:b/>
          <w:sz w:val="24"/>
          <w:szCs w:val="24"/>
        </w:rPr>
      </w:pPr>
    </w:p>
    <w:p w14:paraId="30C769ED" w14:textId="77777777" w:rsidR="009260DE" w:rsidRPr="006A18D4" w:rsidRDefault="009260DE" w:rsidP="009260DE">
      <w:pPr>
        <w:jc w:val="center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for</w:t>
      </w:r>
    </w:p>
    <w:p w14:paraId="6D377320" w14:textId="77777777" w:rsidR="000B058C" w:rsidRPr="006A18D4" w:rsidRDefault="000B058C" w:rsidP="009260DE">
      <w:pPr>
        <w:jc w:val="center"/>
        <w:rPr>
          <w:b/>
          <w:sz w:val="24"/>
          <w:szCs w:val="24"/>
        </w:rPr>
      </w:pPr>
    </w:p>
    <w:p w14:paraId="03487E27" w14:textId="7D09F6BB" w:rsidR="009260DE" w:rsidRPr="006A18D4" w:rsidRDefault="004521E0" w:rsidP="009260DE">
      <w:pPr>
        <w:jc w:val="center"/>
        <w:rPr>
          <w:b/>
          <w:sz w:val="24"/>
          <w:szCs w:val="24"/>
        </w:rPr>
      </w:pPr>
      <w:proofErr w:type="spellStart"/>
      <w:r w:rsidRPr="006A18D4">
        <w:rPr>
          <w:b/>
          <w:sz w:val="24"/>
          <w:szCs w:val="24"/>
        </w:rPr>
        <w:t>Posiforlid</w:t>
      </w:r>
      <w:proofErr w:type="spellEnd"/>
      <w:r w:rsidRPr="006A18D4">
        <w:rPr>
          <w:b/>
          <w:sz w:val="24"/>
          <w:szCs w:val="24"/>
        </w:rPr>
        <w:t>, øjensalve</w:t>
      </w:r>
    </w:p>
    <w:p w14:paraId="0F1C4476" w14:textId="77777777" w:rsidR="009260DE" w:rsidRPr="006A18D4" w:rsidRDefault="009260DE" w:rsidP="009260DE">
      <w:pPr>
        <w:jc w:val="both"/>
        <w:rPr>
          <w:sz w:val="24"/>
          <w:szCs w:val="24"/>
        </w:rPr>
      </w:pPr>
    </w:p>
    <w:p w14:paraId="4A7B0F60" w14:textId="77777777" w:rsidR="009260DE" w:rsidRPr="006A18D4" w:rsidRDefault="009260DE" w:rsidP="009260DE">
      <w:pPr>
        <w:jc w:val="both"/>
        <w:rPr>
          <w:sz w:val="24"/>
          <w:szCs w:val="24"/>
        </w:rPr>
      </w:pPr>
    </w:p>
    <w:p w14:paraId="6E09C2AB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0.</w:t>
      </w:r>
      <w:r w:rsidRPr="006A18D4">
        <w:rPr>
          <w:b/>
          <w:sz w:val="24"/>
          <w:szCs w:val="24"/>
        </w:rPr>
        <w:tab/>
        <w:t>D.SP.NR.</w:t>
      </w:r>
    </w:p>
    <w:p w14:paraId="077E1070" w14:textId="47A10949" w:rsidR="009260DE" w:rsidRPr="006A18D4" w:rsidRDefault="004521E0" w:rsidP="009260DE">
      <w:pPr>
        <w:tabs>
          <w:tab w:val="left" w:pos="851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34383</w:t>
      </w:r>
    </w:p>
    <w:p w14:paraId="0A4944F9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E7C559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1.</w:t>
      </w:r>
      <w:r w:rsidRPr="006A18D4">
        <w:rPr>
          <w:b/>
          <w:sz w:val="24"/>
          <w:szCs w:val="24"/>
        </w:rPr>
        <w:tab/>
        <w:t>LÆGEMIDLETS NAVN</w:t>
      </w:r>
    </w:p>
    <w:p w14:paraId="518AA659" w14:textId="37232E80" w:rsidR="009260DE" w:rsidRPr="006A18D4" w:rsidRDefault="004521E0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18D4">
        <w:rPr>
          <w:sz w:val="24"/>
          <w:szCs w:val="24"/>
        </w:rPr>
        <w:t>Posiforlid</w:t>
      </w:r>
      <w:proofErr w:type="spellEnd"/>
    </w:p>
    <w:p w14:paraId="4F1C74F4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BF9F91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2.</w:t>
      </w:r>
      <w:r w:rsidRPr="006A18D4">
        <w:rPr>
          <w:b/>
          <w:sz w:val="24"/>
          <w:szCs w:val="24"/>
        </w:rPr>
        <w:tab/>
        <w:t>KVALITATIV OG KVANTITATIV SAMMENSÆTNING</w:t>
      </w:r>
    </w:p>
    <w:p w14:paraId="18E12732" w14:textId="77777777" w:rsidR="00C5335C" w:rsidRPr="006A18D4" w:rsidRDefault="00C5335C" w:rsidP="00D109CE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 xml:space="preserve">1 g øjensalve indeholder 20 mg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>.</w:t>
      </w:r>
    </w:p>
    <w:p w14:paraId="10A962DD" w14:textId="77777777" w:rsidR="00C5335C" w:rsidRPr="006A18D4" w:rsidRDefault="00C5335C" w:rsidP="00D109CE">
      <w:pPr>
        <w:ind w:left="851"/>
        <w:rPr>
          <w:sz w:val="24"/>
          <w:szCs w:val="24"/>
        </w:rPr>
      </w:pPr>
    </w:p>
    <w:p w14:paraId="4D426684" w14:textId="77777777" w:rsidR="00C5335C" w:rsidRPr="006A18D4" w:rsidRDefault="00C5335C" w:rsidP="00D109CE">
      <w:pPr>
        <w:ind w:left="851"/>
        <w:rPr>
          <w:sz w:val="24"/>
          <w:szCs w:val="24"/>
        </w:rPr>
      </w:pPr>
      <w:r w:rsidRPr="006A18D4">
        <w:rPr>
          <w:sz w:val="24"/>
          <w:szCs w:val="24"/>
          <w:u w:val="single"/>
        </w:rPr>
        <w:t>Hjælpestof(fer), som behandleren skal være opmærksom på</w:t>
      </w:r>
      <w:r w:rsidRPr="006A18D4">
        <w:rPr>
          <w:sz w:val="24"/>
          <w:szCs w:val="24"/>
        </w:rPr>
        <w:t xml:space="preserve">: Indeholder </w:t>
      </w:r>
      <w:proofErr w:type="spellStart"/>
      <w:r w:rsidRPr="006A18D4">
        <w:rPr>
          <w:sz w:val="24"/>
          <w:szCs w:val="24"/>
        </w:rPr>
        <w:t>uldfedt</w:t>
      </w:r>
      <w:proofErr w:type="spellEnd"/>
      <w:r w:rsidRPr="006A18D4">
        <w:rPr>
          <w:sz w:val="24"/>
          <w:szCs w:val="24"/>
        </w:rPr>
        <w:t>.</w:t>
      </w:r>
    </w:p>
    <w:p w14:paraId="0763B291" w14:textId="77777777" w:rsidR="00C5335C" w:rsidRPr="006A18D4" w:rsidRDefault="00C5335C" w:rsidP="00D109CE">
      <w:pPr>
        <w:ind w:left="851"/>
        <w:rPr>
          <w:sz w:val="24"/>
          <w:szCs w:val="24"/>
        </w:rPr>
      </w:pPr>
    </w:p>
    <w:p w14:paraId="16C62BA3" w14:textId="77777777" w:rsidR="00C5335C" w:rsidRPr="006A18D4" w:rsidRDefault="00C5335C" w:rsidP="00D109CE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Alle hjælpestoffer er anført under pkt. 6.1.</w:t>
      </w:r>
    </w:p>
    <w:p w14:paraId="1CE78986" w14:textId="77777777" w:rsidR="009260DE" w:rsidRPr="006A18D4" w:rsidRDefault="009260DE" w:rsidP="00D109CE">
      <w:pPr>
        <w:ind w:left="851"/>
        <w:rPr>
          <w:sz w:val="24"/>
          <w:szCs w:val="24"/>
        </w:rPr>
      </w:pPr>
    </w:p>
    <w:p w14:paraId="79938A4E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3.</w:t>
      </w:r>
      <w:r w:rsidRPr="006A18D4">
        <w:rPr>
          <w:b/>
          <w:sz w:val="24"/>
          <w:szCs w:val="24"/>
        </w:rPr>
        <w:tab/>
        <w:t>LÆGEMIDDELFORM</w:t>
      </w:r>
    </w:p>
    <w:p w14:paraId="41E94063" w14:textId="36660E88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Øjensalve</w:t>
      </w:r>
    </w:p>
    <w:p w14:paraId="2C57F354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Okkerfarvet, homogen salve.</w:t>
      </w:r>
    </w:p>
    <w:p w14:paraId="7449316F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FA55AD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B5AC7C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</w:t>
      </w:r>
      <w:r w:rsidRPr="006A18D4">
        <w:rPr>
          <w:b/>
          <w:sz w:val="24"/>
          <w:szCs w:val="24"/>
        </w:rPr>
        <w:tab/>
        <w:t>KLINISKE OPLYSNINGER</w:t>
      </w:r>
    </w:p>
    <w:p w14:paraId="20A6D456" w14:textId="77777777" w:rsidR="009260DE" w:rsidRPr="006A18D4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B2C9F10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A18D4">
        <w:rPr>
          <w:b/>
          <w:sz w:val="24"/>
          <w:szCs w:val="24"/>
        </w:rPr>
        <w:t>4.1</w:t>
      </w:r>
      <w:r w:rsidRPr="006A18D4">
        <w:rPr>
          <w:b/>
          <w:sz w:val="24"/>
          <w:szCs w:val="24"/>
        </w:rPr>
        <w:tab/>
        <w:t>Terapeutiske indikationer</w:t>
      </w:r>
    </w:p>
    <w:p w14:paraId="4D082AB1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Kronisk inflammation i øjenlågskanten (</w:t>
      </w:r>
      <w:proofErr w:type="spellStart"/>
      <w:r w:rsidRPr="006A18D4">
        <w:rPr>
          <w:sz w:val="24"/>
          <w:szCs w:val="24"/>
        </w:rPr>
        <w:t>blepharitis</w:t>
      </w:r>
      <w:proofErr w:type="spellEnd"/>
      <w:r w:rsidRPr="006A18D4">
        <w:rPr>
          <w:sz w:val="24"/>
          <w:szCs w:val="24"/>
        </w:rPr>
        <w:t xml:space="preserve"> </w:t>
      </w:r>
      <w:proofErr w:type="spellStart"/>
      <w:r w:rsidRPr="006A18D4">
        <w:rPr>
          <w:sz w:val="24"/>
          <w:szCs w:val="24"/>
        </w:rPr>
        <w:t>chronica</w:t>
      </w:r>
      <w:proofErr w:type="spellEnd"/>
      <w:r w:rsidRPr="006A18D4">
        <w:rPr>
          <w:sz w:val="24"/>
          <w:szCs w:val="24"/>
        </w:rPr>
        <w:t>), der ikke kræver antibiotikabehandling.</w:t>
      </w:r>
    </w:p>
    <w:p w14:paraId="3D4FDD00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DE2CF4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4.2</w:t>
      </w:r>
      <w:r w:rsidRPr="006A18D4">
        <w:rPr>
          <w:b/>
          <w:sz w:val="24"/>
          <w:szCs w:val="24"/>
        </w:rPr>
        <w:tab/>
        <w:t xml:space="preserve">Dosering og </w:t>
      </w:r>
      <w:r w:rsidR="002C1EC0" w:rsidRPr="006A18D4">
        <w:rPr>
          <w:b/>
          <w:sz w:val="24"/>
          <w:szCs w:val="24"/>
        </w:rPr>
        <w:t>administration</w:t>
      </w:r>
    </w:p>
    <w:p w14:paraId="651F9288" w14:textId="77777777" w:rsidR="006A18D4" w:rsidRDefault="006A18D4" w:rsidP="00722066">
      <w:pPr>
        <w:ind w:left="851"/>
        <w:rPr>
          <w:sz w:val="24"/>
          <w:szCs w:val="24"/>
        </w:rPr>
      </w:pPr>
      <w:bookmarkStart w:id="1" w:name="Text5"/>
    </w:p>
    <w:p w14:paraId="17B40A33" w14:textId="04484F87" w:rsidR="00C5335C" w:rsidRPr="006A18D4" w:rsidRDefault="00C5335C" w:rsidP="00722066">
      <w:pPr>
        <w:ind w:left="851"/>
        <w:rPr>
          <w:sz w:val="24"/>
          <w:szCs w:val="24"/>
          <w:u w:val="single"/>
          <w:lang w:eastAsia="de-DE"/>
        </w:rPr>
      </w:pPr>
      <w:r w:rsidRPr="006A18D4">
        <w:rPr>
          <w:sz w:val="24"/>
          <w:szCs w:val="24"/>
          <w:u w:val="single"/>
        </w:rPr>
        <w:t>Dosering</w:t>
      </w:r>
    </w:p>
    <w:p w14:paraId="70F80564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75F3B660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i/>
          <w:iCs/>
          <w:sz w:val="24"/>
          <w:szCs w:val="24"/>
        </w:rPr>
        <w:t>Voksne</w:t>
      </w:r>
    </w:p>
    <w:p w14:paraId="21A87431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Medmindre andet er ordineret, skal der påføres en 0,5 cm lang strimmel øjensalve 3 til 5 gange dagligt i </w:t>
      </w:r>
      <w:proofErr w:type="spellStart"/>
      <w:r w:rsidRPr="006A18D4">
        <w:rPr>
          <w:sz w:val="24"/>
          <w:szCs w:val="24"/>
        </w:rPr>
        <w:t>konjunktivalsækken</w:t>
      </w:r>
      <w:proofErr w:type="spellEnd"/>
      <w:r w:rsidRPr="006A18D4">
        <w:rPr>
          <w:sz w:val="24"/>
          <w:szCs w:val="24"/>
        </w:rPr>
        <w:t xml:space="preserve"> eller på det berørte sted på øjenlåget i maksimalt 14 dage.</w:t>
      </w:r>
    </w:p>
    <w:p w14:paraId="567E4441" w14:textId="7F4C3DE2" w:rsidR="0072635C" w:rsidRDefault="007263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EEF7B8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450D6441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i/>
          <w:iCs/>
          <w:sz w:val="24"/>
          <w:szCs w:val="24"/>
        </w:rPr>
        <w:t>Børn og unge fra 6 år</w:t>
      </w:r>
    </w:p>
    <w:p w14:paraId="2DCBE802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Medmindre andet er ordineret, skal der påføres en 0,5 cm lang strimmel øjensalve hos børn i alderen 6 til under 18 år 3 gange dagligt i </w:t>
      </w:r>
      <w:proofErr w:type="spellStart"/>
      <w:r w:rsidRPr="006A18D4">
        <w:rPr>
          <w:sz w:val="24"/>
          <w:szCs w:val="24"/>
        </w:rPr>
        <w:t>konjunktivalsækken</w:t>
      </w:r>
      <w:proofErr w:type="spellEnd"/>
      <w:r w:rsidRPr="006A18D4">
        <w:rPr>
          <w:sz w:val="24"/>
          <w:szCs w:val="24"/>
        </w:rPr>
        <w:t xml:space="preserve"> eller på det berørte sted på øjenlåget i maksimalt 10 dage.</w:t>
      </w:r>
    </w:p>
    <w:p w14:paraId="029058C4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76AA07FA" w14:textId="77777777" w:rsidR="00C5335C" w:rsidRPr="006A18D4" w:rsidRDefault="00C5335C" w:rsidP="00722066">
      <w:pPr>
        <w:ind w:left="851"/>
        <w:rPr>
          <w:i/>
          <w:sz w:val="24"/>
          <w:szCs w:val="24"/>
        </w:rPr>
      </w:pPr>
      <w:r w:rsidRPr="006A18D4">
        <w:rPr>
          <w:i/>
          <w:noProof/>
          <w:sz w:val="24"/>
          <w:szCs w:val="24"/>
        </w:rPr>
        <w:t>Pædiatrisk population</w:t>
      </w:r>
    </w:p>
    <w:p w14:paraId="74010B8A" w14:textId="77777777" w:rsidR="00C5335C" w:rsidRPr="006A18D4" w:rsidRDefault="00C5335C" w:rsidP="00722066">
      <w:pPr>
        <w:ind w:left="851"/>
        <w:rPr>
          <w:sz w:val="24"/>
          <w:szCs w:val="24"/>
        </w:rPr>
      </w:pPr>
      <w:proofErr w:type="spellStart"/>
      <w:r w:rsidRPr="006A18D4">
        <w:rPr>
          <w:sz w:val="24"/>
          <w:szCs w:val="24"/>
        </w:rPr>
        <w:t>Posiforlids</w:t>
      </w:r>
      <w:proofErr w:type="spellEnd"/>
      <w:r w:rsidRPr="006A18D4">
        <w:rPr>
          <w:sz w:val="24"/>
          <w:szCs w:val="24"/>
        </w:rPr>
        <w:t xml:space="preserve"> sikkerhed og virkning hos børn i alderen 6 år</w:t>
      </w:r>
      <w:r w:rsidRPr="006A18D4">
        <w:rPr>
          <w:sz w:val="24"/>
          <w:szCs w:val="24"/>
          <w:lang w:val="sv-SE"/>
        </w:rPr>
        <w:t xml:space="preserve"> </w:t>
      </w:r>
      <w:r w:rsidRPr="006A18D4">
        <w:rPr>
          <w:sz w:val="24"/>
          <w:szCs w:val="24"/>
        </w:rPr>
        <w:t>er ikke klarlagt. Der foreligger ingen data.</w:t>
      </w:r>
    </w:p>
    <w:p w14:paraId="67249881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01FB71F2" w14:textId="77777777" w:rsidR="00C5335C" w:rsidRPr="006A18D4" w:rsidRDefault="00C5335C" w:rsidP="00722066">
      <w:pPr>
        <w:ind w:left="851"/>
        <w:rPr>
          <w:sz w:val="24"/>
          <w:szCs w:val="24"/>
        </w:rPr>
      </w:pP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 xml:space="preserve"> kan påføres, indtil symptomerne lindres. Hvis klagerne fortsætter, eller symptomerne ikke forbedres, skal der konsulteres en læge efter 7 dage.</w:t>
      </w:r>
    </w:p>
    <w:p w14:paraId="264F05AA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40991FCE" w14:textId="77777777" w:rsidR="00C5335C" w:rsidRPr="006A18D4" w:rsidRDefault="00C5335C" w:rsidP="00722066">
      <w:pPr>
        <w:ind w:left="851"/>
        <w:rPr>
          <w:sz w:val="24"/>
          <w:szCs w:val="24"/>
          <w:u w:val="single"/>
        </w:rPr>
      </w:pPr>
      <w:r w:rsidRPr="006A18D4">
        <w:rPr>
          <w:sz w:val="24"/>
          <w:szCs w:val="24"/>
          <w:u w:val="single"/>
        </w:rPr>
        <w:t>Administration</w:t>
      </w:r>
    </w:p>
    <w:bookmarkEnd w:id="1"/>
    <w:p w14:paraId="4D65F289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Til </w:t>
      </w:r>
      <w:proofErr w:type="spellStart"/>
      <w:r w:rsidRPr="006A18D4">
        <w:rPr>
          <w:sz w:val="24"/>
          <w:szCs w:val="24"/>
        </w:rPr>
        <w:t>okulær</w:t>
      </w:r>
      <w:proofErr w:type="spellEnd"/>
      <w:r w:rsidRPr="006A18D4">
        <w:rPr>
          <w:sz w:val="24"/>
          <w:szCs w:val="24"/>
        </w:rPr>
        <w:t xml:space="preserve"> anvendelse.</w:t>
      </w:r>
    </w:p>
    <w:p w14:paraId="5B163D4C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Kontakt mellem tubens spids og øjet eller ansigtshuden skal undgås.</w:t>
      </w:r>
    </w:p>
    <w:p w14:paraId="2F8179EC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2F2D2D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4.3</w:t>
      </w:r>
      <w:r w:rsidRPr="006A18D4">
        <w:rPr>
          <w:b/>
          <w:sz w:val="24"/>
          <w:szCs w:val="24"/>
        </w:rPr>
        <w:tab/>
        <w:t>Kontraindikationer</w:t>
      </w:r>
    </w:p>
    <w:p w14:paraId="0DF57FD6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Overfølsomhed over for det aktive stof eller over for et eller flere af hjælpestofferne anført i pkt. 6.1.</w:t>
      </w:r>
    </w:p>
    <w:p w14:paraId="5EA7626A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777418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4.4</w:t>
      </w:r>
      <w:r w:rsidRPr="006A18D4">
        <w:rPr>
          <w:b/>
          <w:sz w:val="24"/>
          <w:szCs w:val="24"/>
        </w:rPr>
        <w:tab/>
        <w:t>Særlige advarsler og forsigtighedsregler vedrørende brugen</w:t>
      </w:r>
    </w:p>
    <w:p w14:paraId="1C7D533A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proofErr w:type="spellStart"/>
      <w:r w:rsidRPr="006A18D4">
        <w:rPr>
          <w:sz w:val="24"/>
          <w:szCs w:val="24"/>
        </w:rPr>
        <w:t>Uldfedt</w:t>
      </w:r>
      <w:proofErr w:type="spellEnd"/>
      <w:r w:rsidRPr="006A18D4">
        <w:rPr>
          <w:sz w:val="24"/>
          <w:szCs w:val="24"/>
        </w:rPr>
        <w:t xml:space="preserve"> kan forårsage lokale hudreaktioner (f.eks. </w:t>
      </w:r>
      <w:proofErr w:type="spellStart"/>
      <w:r w:rsidRPr="006A18D4">
        <w:rPr>
          <w:sz w:val="24"/>
          <w:szCs w:val="24"/>
        </w:rPr>
        <w:t>kontaktdermatitis</w:t>
      </w:r>
      <w:proofErr w:type="spellEnd"/>
      <w:r w:rsidRPr="006A18D4">
        <w:rPr>
          <w:sz w:val="24"/>
          <w:szCs w:val="24"/>
        </w:rPr>
        <w:t>).</w:t>
      </w:r>
    </w:p>
    <w:p w14:paraId="0EEEAA6B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 xml:space="preserve">Kontaktlinser bør ikke bæres under brug af </w:t>
      </w: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>.</w:t>
      </w:r>
    </w:p>
    <w:p w14:paraId="00E0445A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AAD3D6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4.5</w:t>
      </w:r>
      <w:r w:rsidRPr="006A18D4">
        <w:rPr>
          <w:b/>
          <w:sz w:val="24"/>
          <w:szCs w:val="24"/>
        </w:rPr>
        <w:tab/>
        <w:t>Interaktion med andre lægemidler og andre former for interaktion</w:t>
      </w:r>
    </w:p>
    <w:p w14:paraId="36D816DE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Der er ikke udført interaktionsstudier.</w:t>
      </w:r>
    </w:p>
    <w:p w14:paraId="1AF21406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53F6E7B2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Bemærk: Ved samtidig behandling med andre øjendråber/øjensalver skal der være mindst 1 times interval mellem påføringerne. </w:t>
      </w: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 xml:space="preserve"> skal altid påføres til sidst.</w:t>
      </w:r>
    </w:p>
    <w:p w14:paraId="1D540EB9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C59078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4.6</w:t>
      </w:r>
      <w:r w:rsidRPr="006A18D4">
        <w:rPr>
          <w:b/>
          <w:sz w:val="24"/>
          <w:szCs w:val="24"/>
        </w:rPr>
        <w:tab/>
      </w:r>
      <w:r w:rsidR="0071241E" w:rsidRPr="006A18D4">
        <w:rPr>
          <w:b/>
          <w:sz w:val="24"/>
          <w:szCs w:val="24"/>
        </w:rPr>
        <w:t>Fertilitet, g</w:t>
      </w:r>
      <w:r w:rsidRPr="006A18D4">
        <w:rPr>
          <w:b/>
          <w:sz w:val="24"/>
          <w:szCs w:val="24"/>
        </w:rPr>
        <w:t>raviditet og amning</w:t>
      </w:r>
    </w:p>
    <w:p w14:paraId="0A21D52C" w14:textId="77777777" w:rsidR="006A18D4" w:rsidRDefault="006A18D4" w:rsidP="00722066">
      <w:pPr>
        <w:ind w:left="851"/>
        <w:rPr>
          <w:sz w:val="24"/>
          <w:szCs w:val="24"/>
        </w:rPr>
      </w:pPr>
    </w:p>
    <w:p w14:paraId="397EEF41" w14:textId="074556DB" w:rsidR="00C5335C" w:rsidRPr="006A18D4" w:rsidRDefault="00C5335C" w:rsidP="00722066">
      <w:pPr>
        <w:ind w:left="851"/>
        <w:rPr>
          <w:sz w:val="24"/>
          <w:szCs w:val="24"/>
          <w:u w:val="single"/>
          <w:lang w:eastAsia="de-DE"/>
        </w:rPr>
      </w:pPr>
      <w:r w:rsidRPr="006A18D4">
        <w:rPr>
          <w:sz w:val="24"/>
          <w:szCs w:val="24"/>
          <w:u w:val="single"/>
        </w:rPr>
        <w:t>Graviditet</w:t>
      </w:r>
    </w:p>
    <w:p w14:paraId="55AD6415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Der er ingen eller utilstrækkelige data fra anvendelse af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til gravide kvinder. Data fra dyreforsøg er utilstrækkelige hvad angår reproduktionstoksicitet (se pkt. 5.3). </w:t>
      </w: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 xml:space="preserve"> bør ikke anvendes under graviditeten, medmindre det er klart nødvendigt.</w:t>
      </w:r>
    </w:p>
    <w:p w14:paraId="77E560CD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35BF9D3F" w14:textId="77777777" w:rsidR="00C5335C" w:rsidRPr="006A18D4" w:rsidRDefault="00C5335C" w:rsidP="00722066">
      <w:pPr>
        <w:ind w:left="851"/>
        <w:rPr>
          <w:sz w:val="24"/>
          <w:szCs w:val="24"/>
          <w:u w:val="single"/>
        </w:rPr>
      </w:pPr>
      <w:r w:rsidRPr="006A18D4">
        <w:rPr>
          <w:sz w:val="24"/>
          <w:szCs w:val="24"/>
          <w:u w:val="single"/>
        </w:rPr>
        <w:t>Amning</w:t>
      </w:r>
    </w:p>
    <w:p w14:paraId="13004EA2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Det er ukendt, om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udskilles i human mælk. En risiko for det diende barn kan ikke udelukkes. Det skal besluttes, om amning skal ophøre eller behandling med </w:t>
      </w: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 xml:space="preserve"> øjensalve seponeres, idet der tages højde for fordelene ved amning for barnet i forhold til de terapeutiske fordele for moderen.</w:t>
      </w:r>
    </w:p>
    <w:p w14:paraId="0DD5610A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4DF87B59" w14:textId="77777777" w:rsidR="00C5335C" w:rsidRPr="006A18D4" w:rsidRDefault="00C5335C" w:rsidP="00722066">
      <w:pPr>
        <w:ind w:left="851"/>
        <w:rPr>
          <w:sz w:val="24"/>
          <w:szCs w:val="24"/>
          <w:u w:val="single"/>
        </w:rPr>
      </w:pPr>
      <w:r w:rsidRPr="006A18D4">
        <w:rPr>
          <w:sz w:val="24"/>
          <w:szCs w:val="24"/>
          <w:u w:val="single"/>
        </w:rPr>
        <w:t>Fertilitet</w:t>
      </w:r>
    </w:p>
    <w:p w14:paraId="50A0E072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>Der foreligger ingen data om fertilitet hos mennesker.</w:t>
      </w:r>
    </w:p>
    <w:p w14:paraId="0C907729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382655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4.7</w:t>
      </w:r>
      <w:r w:rsidRPr="006A18D4">
        <w:rPr>
          <w:b/>
          <w:sz w:val="24"/>
          <w:szCs w:val="24"/>
        </w:rPr>
        <w:tab/>
        <w:t xml:space="preserve">Virkning på evnen til at føre motorkøretøj </w:t>
      </w:r>
      <w:r w:rsidR="0071241E" w:rsidRPr="006A18D4">
        <w:rPr>
          <w:b/>
          <w:sz w:val="24"/>
          <w:szCs w:val="24"/>
        </w:rPr>
        <w:t>og</w:t>
      </w:r>
      <w:r w:rsidRPr="006A18D4">
        <w:rPr>
          <w:b/>
          <w:sz w:val="24"/>
          <w:szCs w:val="24"/>
        </w:rPr>
        <w:t xml:space="preserve"> betjene maskiner</w:t>
      </w:r>
    </w:p>
    <w:p w14:paraId="67FB81BB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Ikke mærkning.</w:t>
      </w:r>
    </w:p>
    <w:p w14:paraId="36ACE11D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lastRenderedPageBreak/>
        <w:t xml:space="preserve">På grund af den fedtede konsistens af </w:t>
      </w:r>
      <w:proofErr w:type="spellStart"/>
      <w:r w:rsidRPr="006A18D4">
        <w:rPr>
          <w:sz w:val="24"/>
          <w:szCs w:val="24"/>
        </w:rPr>
        <w:t>Posiforlid</w:t>
      </w:r>
      <w:proofErr w:type="spellEnd"/>
      <w:r w:rsidRPr="006A18D4">
        <w:rPr>
          <w:sz w:val="24"/>
          <w:szCs w:val="24"/>
        </w:rPr>
        <w:t xml:space="preserve"> vil synet være nedsat efter påføring. Dette påvirker evnen til at føre motorkøretøj og betjene maskiner. Patienten må ikke føre motorkøretøj eller betjene maskiner, før synet er klart.</w:t>
      </w:r>
    </w:p>
    <w:p w14:paraId="7B12A81F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C8A2F1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4.8</w:t>
      </w:r>
      <w:r w:rsidRPr="006A18D4">
        <w:rPr>
          <w:b/>
          <w:sz w:val="24"/>
          <w:szCs w:val="24"/>
        </w:rPr>
        <w:tab/>
        <w:t>Bivirkninger</w:t>
      </w:r>
    </w:p>
    <w:p w14:paraId="18FACE6E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Til vurdering af bivirkninger er følgende hyppigheder defineret:</w:t>
      </w:r>
    </w:p>
    <w:p w14:paraId="68CDFFBD" w14:textId="642FB8A0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Meget almindelig: </w:t>
      </w:r>
      <w:r w:rsidRPr="006A18D4">
        <w:rPr>
          <w:sz w:val="24"/>
          <w:szCs w:val="24"/>
        </w:rPr>
        <w:tab/>
        <w:t>≥ 1/10</w:t>
      </w:r>
    </w:p>
    <w:p w14:paraId="41D8F530" w14:textId="15CACE22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Almindelig:</w:t>
      </w:r>
      <w:r w:rsidRPr="006A18D4">
        <w:rPr>
          <w:sz w:val="24"/>
          <w:szCs w:val="24"/>
        </w:rPr>
        <w:tab/>
        <w:t>≥ 1/100 til &lt; 1/10</w:t>
      </w:r>
    </w:p>
    <w:p w14:paraId="3B43121F" w14:textId="581C8FD6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Ikke almindelig:</w:t>
      </w:r>
      <w:r w:rsidRPr="006A18D4">
        <w:rPr>
          <w:sz w:val="24"/>
          <w:szCs w:val="24"/>
        </w:rPr>
        <w:tab/>
        <w:t>≥ 1/1.000 t</w:t>
      </w:r>
      <w:r w:rsidR="0072635C">
        <w:rPr>
          <w:sz w:val="24"/>
          <w:szCs w:val="24"/>
        </w:rPr>
        <w:t>il</w:t>
      </w:r>
      <w:r w:rsidRPr="006A18D4">
        <w:rPr>
          <w:sz w:val="24"/>
          <w:szCs w:val="24"/>
        </w:rPr>
        <w:t xml:space="preserve"> &lt;1/100</w:t>
      </w:r>
    </w:p>
    <w:p w14:paraId="171B0761" w14:textId="4E2A41A4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Sjælden:</w:t>
      </w:r>
      <w:r w:rsidRPr="006A18D4">
        <w:rPr>
          <w:sz w:val="24"/>
          <w:szCs w:val="24"/>
        </w:rPr>
        <w:tab/>
        <w:t>≥ 1/10.000 t</w:t>
      </w:r>
      <w:r w:rsidR="0072635C">
        <w:rPr>
          <w:sz w:val="24"/>
          <w:szCs w:val="24"/>
        </w:rPr>
        <w:t>il</w:t>
      </w:r>
      <w:r w:rsidRPr="006A18D4">
        <w:rPr>
          <w:sz w:val="24"/>
          <w:szCs w:val="24"/>
        </w:rPr>
        <w:t xml:space="preserve"> &lt; 1/1.000</w:t>
      </w:r>
    </w:p>
    <w:p w14:paraId="02F6DF18" w14:textId="49FF6BE3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Meget sjælden:</w:t>
      </w:r>
      <w:r w:rsidRPr="006A18D4">
        <w:rPr>
          <w:sz w:val="24"/>
          <w:szCs w:val="24"/>
        </w:rPr>
        <w:tab/>
        <w:t>&lt;1/10.000</w:t>
      </w:r>
    </w:p>
    <w:p w14:paraId="53D960CD" w14:textId="66DAB49C" w:rsidR="00C5335C" w:rsidRPr="006A18D4" w:rsidRDefault="00C5335C" w:rsidP="006A18D4">
      <w:pPr>
        <w:tabs>
          <w:tab w:val="left" w:pos="2977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Ikke kendt:</w:t>
      </w:r>
      <w:r w:rsidRPr="006A18D4">
        <w:rPr>
          <w:sz w:val="24"/>
          <w:szCs w:val="24"/>
        </w:rPr>
        <w:tab/>
        <w:t xml:space="preserve">kan ikke estimeres ud fra forhåndenværende data </w:t>
      </w:r>
    </w:p>
    <w:p w14:paraId="55638472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65DCF070" w14:textId="77777777" w:rsidR="00C5335C" w:rsidRPr="006A18D4" w:rsidRDefault="00C5335C" w:rsidP="00722066">
      <w:pPr>
        <w:ind w:left="851"/>
        <w:rPr>
          <w:i/>
          <w:noProof/>
          <w:sz w:val="24"/>
          <w:szCs w:val="24"/>
        </w:rPr>
      </w:pPr>
      <w:bookmarkStart w:id="2" w:name="Text31"/>
      <w:bookmarkStart w:id="3" w:name="_Hlk197523474"/>
      <w:r w:rsidRPr="006A18D4">
        <w:rPr>
          <w:i/>
          <w:iCs/>
          <w:noProof/>
          <w:sz w:val="24"/>
          <w:szCs w:val="24"/>
        </w:rPr>
        <w:t>Øjne</w:t>
      </w:r>
    </w:p>
    <w:tbl>
      <w:tblPr>
        <w:tblW w:w="90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7"/>
      </w:tblGrid>
      <w:tr w:rsidR="00C5335C" w:rsidRPr="006A18D4" w14:paraId="0412978F" w14:textId="77777777" w:rsidTr="00722066">
        <w:trPr>
          <w:trHeight w:val="6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EF86" w14:textId="77777777" w:rsidR="00C5335C" w:rsidRPr="006A18D4" w:rsidRDefault="00C5335C" w:rsidP="00722066">
            <w:pPr>
              <w:ind w:left="33"/>
              <w:rPr>
                <w:noProof/>
                <w:sz w:val="24"/>
                <w:szCs w:val="24"/>
              </w:rPr>
            </w:pPr>
            <w:r w:rsidRPr="006A18D4">
              <w:rPr>
                <w:noProof/>
                <w:sz w:val="24"/>
                <w:szCs w:val="24"/>
              </w:rPr>
              <w:t>Sjælden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C4AB" w14:textId="77777777" w:rsidR="00C5335C" w:rsidRPr="006A18D4" w:rsidRDefault="00C5335C" w:rsidP="00722066">
            <w:pPr>
              <w:ind w:left="33"/>
              <w:rPr>
                <w:noProof/>
                <w:sz w:val="24"/>
                <w:szCs w:val="24"/>
              </w:rPr>
            </w:pPr>
            <w:r w:rsidRPr="006A18D4">
              <w:rPr>
                <w:noProof/>
                <w:sz w:val="24"/>
                <w:szCs w:val="24"/>
              </w:rPr>
              <w:t>irritation af øjne og øjenlåg (f.eks. kløe i øjnene, hævede øjne, øjensmerter, øjenhyperæmi, brændende fornemmelse, tåreflåd)</w:t>
            </w:r>
          </w:p>
        </w:tc>
      </w:tr>
    </w:tbl>
    <w:p w14:paraId="584D0EB5" w14:textId="77777777" w:rsidR="00C5335C" w:rsidRPr="006A18D4" w:rsidRDefault="00C5335C" w:rsidP="00722066">
      <w:pPr>
        <w:ind w:left="851"/>
        <w:rPr>
          <w:noProof/>
          <w:sz w:val="24"/>
          <w:szCs w:val="24"/>
          <w:lang w:eastAsia="de-DE"/>
        </w:rPr>
      </w:pPr>
    </w:p>
    <w:p w14:paraId="1F3A13B7" w14:textId="77777777" w:rsidR="00C5335C" w:rsidRPr="006A18D4" w:rsidRDefault="00C5335C" w:rsidP="00722066">
      <w:pPr>
        <w:ind w:left="851"/>
        <w:rPr>
          <w:i/>
          <w:noProof/>
          <w:sz w:val="24"/>
          <w:szCs w:val="24"/>
        </w:rPr>
      </w:pPr>
      <w:r w:rsidRPr="006A18D4">
        <w:rPr>
          <w:i/>
          <w:iCs/>
          <w:noProof/>
          <w:sz w:val="24"/>
          <w:szCs w:val="24"/>
        </w:rPr>
        <w:t>Immunsystemet</w:t>
      </w:r>
    </w:p>
    <w:tbl>
      <w:tblPr>
        <w:tblW w:w="90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7"/>
      </w:tblGrid>
      <w:tr w:rsidR="00C5335C" w:rsidRPr="006A18D4" w14:paraId="7E2B84B8" w14:textId="77777777" w:rsidTr="007220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4C8" w14:textId="77777777" w:rsidR="00C5335C" w:rsidRPr="006A18D4" w:rsidRDefault="00C5335C" w:rsidP="00722066">
            <w:pPr>
              <w:ind w:left="33"/>
              <w:rPr>
                <w:noProof/>
                <w:sz w:val="24"/>
                <w:szCs w:val="24"/>
              </w:rPr>
            </w:pPr>
            <w:r w:rsidRPr="006A18D4">
              <w:rPr>
                <w:noProof/>
                <w:sz w:val="24"/>
                <w:szCs w:val="24"/>
              </w:rPr>
              <w:t>Sjælden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C335" w14:textId="77777777" w:rsidR="00C5335C" w:rsidRPr="006A18D4" w:rsidRDefault="00C5335C" w:rsidP="00722066">
            <w:pPr>
              <w:ind w:left="33"/>
              <w:rPr>
                <w:noProof/>
                <w:sz w:val="24"/>
                <w:szCs w:val="24"/>
              </w:rPr>
            </w:pPr>
            <w:r w:rsidRPr="006A18D4">
              <w:rPr>
                <w:noProof/>
                <w:sz w:val="24"/>
                <w:szCs w:val="24"/>
              </w:rPr>
              <w:t>overfølsomhed, allergi (f.eks. hævelse af ansigtet, rødmen i ansigtet)</w:t>
            </w:r>
          </w:p>
        </w:tc>
      </w:tr>
      <w:bookmarkEnd w:id="2"/>
    </w:tbl>
    <w:p w14:paraId="668F7716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</w:p>
    <w:p w14:paraId="28D864BB" w14:textId="77777777" w:rsidR="00C5335C" w:rsidRPr="006A18D4" w:rsidRDefault="00C5335C" w:rsidP="00722066">
      <w:pPr>
        <w:ind w:left="851"/>
        <w:rPr>
          <w:i/>
          <w:sz w:val="24"/>
          <w:szCs w:val="24"/>
        </w:rPr>
      </w:pPr>
      <w:r w:rsidRPr="006A18D4">
        <w:rPr>
          <w:i/>
          <w:sz w:val="24"/>
          <w:szCs w:val="24"/>
        </w:rPr>
        <w:t>Hud og subkutane væv</w:t>
      </w:r>
    </w:p>
    <w:tbl>
      <w:tblPr>
        <w:tblW w:w="906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7"/>
      </w:tblGrid>
      <w:tr w:rsidR="00C5335C" w:rsidRPr="006A18D4" w14:paraId="251CD24E" w14:textId="77777777" w:rsidTr="007220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1654" w14:textId="77777777" w:rsidR="00C5335C" w:rsidRPr="006A18D4" w:rsidRDefault="00C5335C" w:rsidP="00722066">
            <w:pPr>
              <w:ind w:left="33"/>
              <w:rPr>
                <w:sz w:val="24"/>
                <w:szCs w:val="24"/>
              </w:rPr>
            </w:pPr>
            <w:r w:rsidRPr="006A18D4">
              <w:rPr>
                <w:sz w:val="24"/>
                <w:szCs w:val="24"/>
              </w:rPr>
              <w:t>Sjælden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76C" w14:textId="77777777" w:rsidR="00C5335C" w:rsidRPr="006A18D4" w:rsidRDefault="00C5335C" w:rsidP="00722066">
            <w:pPr>
              <w:ind w:left="33"/>
              <w:rPr>
                <w:sz w:val="24"/>
                <w:szCs w:val="24"/>
              </w:rPr>
            </w:pPr>
            <w:proofErr w:type="spellStart"/>
            <w:r w:rsidRPr="006A18D4">
              <w:rPr>
                <w:sz w:val="24"/>
                <w:szCs w:val="24"/>
              </w:rPr>
              <w:t>erytem</w:t>
            </w:r>
            <w:proofErr w:type="spellEnd"/>
            <w:r w:rsidRPr="006A18D4">
              <w:rPr>
                <w:sz w:val="24"/>
                <w:szCs w:val="24"/>
              </w:rPr>
              <w:t xml:space="preserve">, </w:t>
            </w:r>
            <w:proofErr w:type="spellStart"/>
            <w:r w:rsidRPr="006A18D4">
              <w:rPr>
                <w:sz w:val="24"/>
                <w:szCs w:val="24"/>
              </w:rPr>
              <w:t>pruritus</w:t>
            </w:r>
            <w:proofErr w:type="spellEnd"/>
            <w:r w:rsidRPr="006A18D4">
              <w:rPr>
                <w:sz w:val="24"/>
                <w:szCs w:val="24"/>
              </w:rPr>
              <w:t>, udslæt</w:t>
            </w:r>
          </w:p>
        </w:tc>
      </w:tr>
    </w:tbl>
    <w:p w14:paraId="5DBCCEC7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</w:p>
    <w:bookmarkEnd w:id="3"/>
    <w:p w14:paraId="2F559D55" w14:textId="77777777" w:rsidR="00C5335C" w:rsidRPr="006A18D4" w:rsidRDefault="00C5335C" w:rsidP="00722066">
      <w:pPr>
        <w:ind w:left="851"/>
        <w:rPr>
          <w:sz w:val="24"/>
          <w:szCs w:val="24"/>
          <w:u w:val="single"/>
        </w:rPr>
      </w:pPr>
      <w:r w:rsidRPr="006A18D4">
        <w:rPr>
          <w:noProof/>
          <w:sz w:val="24"/>
          <w:szCs w:val="24"/>
          <w:u w:val="single"/>
        </w:rPr>
        <w:t>Indberetning af formodede bivirkninger</w:t>
      </w:r>
    </w:p>
    <w:p w14:paraId="02819515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Når lægemidlet er godkendt, er indberetning af formodede bivirkninger vigtig.</w:t>
      </w:r>
      <w:r w:rsidRPr="006A18D4">
        <w:rPr>
          <w:sz w:val="24"/>
          <w:szCs w:val="24"/>
        </w:rPr>
        <w:t xml:space="preserve"> </w:t>
      </w:r>
      <w:r w:rsidRPr="006A18D4">
        <w:rPr>
          <w:noProof/>
          <w:sz w:val="24"/>
          <w:szCs w:val="24"/>
        </w:rPr>
        <w:t>Det muliggør løbende overvågning af benefit/risk-forholdet for lægemidlet.</w:t>
      </w:r>
      <w:r w:rsidRPr="006A18D4">
        <w:rPr>
          <w:sz w:val="24"/>
          <w:szCs w:val="24"/>
        </w:rPr>
        <w:t xml:space="preserve"> </w:t>
      </w:r>
      <w:r w:rsidRPr="006A18D4">
        <w:rPr>
          <w:noProof/>
          <w:sz w:val="24"/>
          <w:szCs w:val="24"/>
        </w:rPr>
        <w:t xml:space="preserve">Sundhedspersoner anmodes om at indberette alle formodede bivirkninger til </w:t>
      </w:r>
    </w:p>
    <w:p w14:paraId="4040F9E1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</w:p>
    <w:p w14:paraId="17BF0FE0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Lægemiddelstyrelsen</w:t>
      </w:r>
    </w:p>
    <w:p w14:paraId="17D0B468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Axel Heides Gade 1</w:t>
      </w:r>
    </w:p>
    <w:p w14:paraId="3CA5BDD1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DK-2300 København S</w:t>
      </w:r>
    </w:p>
    <w:p w14:paraId="3D6FD211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 xml:space="preserve">Websted: </w:t>
      </w:r>
      <w:hyperlink r:id="rId8" w:history="1">
        <w:r w:rsidRPr="006A18D4">
          <w:rPr>
            <w:rStyle w:val="Hyperlink"/>
            <w:noProof/>
            <w:sz w:val="24"/>
            <w:szCs w:val="24"/>
          </w:rPr>
          <w:t>www.meldenbivirkning.dk</w:t>
        </w:r>
      </w:hyperlink>
      <w:r w:rsidRPr="006A18D4">
        <w:rPr>
          <w:noProof/>
          <w:sz w:val="24"/>
          <w:szCs w:val="24"/>
        </w:rPr>
        <w:t xml:space="preserve"> </w:t>
      </w:r>
    </w:p>
    <w:p w14:paraId="519DCC79" w14:textId="77777777" w:rsidR="009260DE" w:rsidRPr="006A18D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DBA3146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4.9</w:t>
      </w:r>
      <w:r w:rsidRPr="006A18D4">
        <w:rPr>
          <w:b/>
          <w:sz w:val="24"/>
          <w:szCs w:val="24"/>
        </w:rPr>
        <w:tab/>
        <w:t>Overdosering</w:t>
      </w:r>
    </w:p>
    <w:p w14:paraId="27A380B1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 xml:space="preserve">Systemiske lægemiddelreaktioner efter lokal påføring af </w:t>
      </w:r>
      <w:proofErr w:type="spellStart"/>
      <w:r w:rsidRPr="006A18D4">
        <w:rPr>
          <w:sz w:val="24"/>
          <w:szCs w:val="24"/>
        </w:rPr>
        <w:t>oftalmisk</w:t>
      </w:r>
      <w:proofErr w:type="spellEnd"/>
      <w:r w:rsidRPr="006A18D4">
        <w:rPr>
          <w:sz w:val="24"/>
          <w:szCs w:val="24"/>
        </w:rPr>
        <w:t xml:space="preserve"> salve indeholdende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på øjet forventes ikke på grund af den ekstremt lave penetration af det tungtopløselige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>.</w:t>
      </w:r>
    </w:p>
    <w:p w14:paraId="468CCB62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22635A93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I det usandsynlige tilfælde, at der opstår systemiske bivirkninger efter forkert brug eller en utilsigtet overdosering, skal disse behandles symptomatisk.</w:t>
      </w:r>
    </w:p>
    <w:p w14:paraId="533B7ADF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E59787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4.10</w:t>
      </w:r>
      <w:r w:rsidRPr="006A18D4">
        <w:rPr>
          <w:b/>
          <w:sz w:val="24"/>
          <w:szCs w:val="24"/>
        </w:rPr>
        <w:tab/>
        <w:t>Udlevering</w:t>
      </w:r>
    </w:p>
    <w:p w14:paraId="21F2D9B5" w14:textId="2E6BEA58" w:rsidR="009260DE" w:rsidRPr="006A18D4" w:rsidRDefault="00722066" w:rsidP="009260DE">
      <w:pPr>
        <w:tabs>
          <w:tab w:val="left" w:pos="851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HA</w:t>
      </w:r>
    </w:p>
    <w:p w14:paraId="7C96A90D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E04FAF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5DBF12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5.</w:t>
      </w:r>
      <w:r w:rsidRPr="006A18D4">
        <w:rPr>
          <w:b/>
          <w:sz w:val="24"/>
          <w:szCs w:val="24"/>
        </w:rPr>
        <w:tab/>
        <w:t>FARMAKOLOGISKE EGENSKABER</w:t>
      </w:r>
    </w:p>
    <w:p w14:paraId="0977EEDB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130ED0" w14:textId="77777777" w:rsidR="009260DE" w:rsidRPr="006A18D4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5.1</w:t>
      </w:r>
      <w:r w:rsidRPr="006A18D4">
        <w:rPr>
          <w:b/>
          <w:sz w:val="24"/>
          <w:szCs w:val="24"/>
        </w:rPr>
        <w:tab/>
      </w:r>
      <w:proofErr w:type="spellStart"/>
      <w:r w:rsidRPr="006A18D4">
        <w:rPr>
          <w:b/>
          <w:sz w:val="24"/>
          <w:szCs w:val="24"/>
        </w:rPr>
        <w:t>Farmakodynamiske</w:t>
      </w:r>
      <w:proofErr w:type="spellEnd"/>
      <w:r w:rsidRPr="006A18D4">
        <w:rPr>
          <w:b/>
          <w:sz w:val="24"/>
          <w:szCs w:val="24"/>
        </w:rPr>
        <w:t xml:space="preserve"> egenskaber</w:t>
      </w:r>
    </w:p>
    <w:p w14:paraId="39B7C670" w14:textId="4A1081D9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Farmakoterapeutisk klassifikation: Oftalmologika, andre antiinfektiva. ATC-kode: S01AX05.</w:t>
      </w:r>
    </w:p>
    <w:p w14:paraId="03BC09A9" w14:textId="77777777" w:rsidR="00722066" w:rsidRPr="006A18D4" w:rsidRDefault="00722066" w:rsidP="00722066">
      <w:pPr>
        <w:ind w:left="851"/>
        <w:rPr>
          <w:noProof/>
          <w:sz w:val="24"/>
          <w:szCs w:val="24"/>
          <w:lang w:eastAsia="de-DE"/>
        </w:rPr>
      </w:pPr>
    </w:p>
    <w:p w14:paraId="39CDD7A1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proofErr w:type="spellStart"/>
      <w:r w:rsidRPr="006A18D4">
        <w:rPr>
          <w:sz w:val="24"/>
          <w:szCs w:val="24"/>
        </w:rPr>
        <w:lastRenderedPageBreak/>
        <w:t>Bibrocathol</w:t>
      </w:r>
      <w:proofErr w:type="spellEnd"/>
      <w:r w:rsidRPr="006A18D4">
        <w:rPr>
          <w:sz w:val="24"/>
          <w:szCs w:val="24"/>
        </w:rPr>
        <w:t xml:space="preserve"> er et </w:t>
      </w:r>
      <w:proofErr w:type="spellStart"/>
      <w:r w:rsidRPr="006A18D4">
        <w:rPr>
          <w:sz w:val="24"/>
          <w:szCs w:val="24"/>
        </w:rPr>
        <w:t>bismuthholdigt</w:t>
      </w:r>
      <w:proofErr w:type="spellEnd"/>
      <w:r w:rsidRPr="006A18D4">
        <w:rPr>
          <w:sz w:val="24"/>
          <w:szCs w:val="24"/>
        </w:rPr>
        <w:t xml:space="preserve"> stof, der virker antiseptisk, adstringerende og sekretionshæmmende på slimhinder og sår. Virkningsmekanismen forklares ved dets </w:t>
      </w:r>
      <w:proofErr w:type="spellStart"/>
      <w:r w:rsidRPr="006A18D4">
        <w:rPr>
          <w:sz w:val="24"/>
          <w:szCs w:val="24"/>
        </w:rPr>
        <w:t>phenoliske</w:t>
      </w:r>
      <w:proofErr w:type="spellEnd"/>
      <w:r w:rsidRPr="006A18D4">
        <w:rPr>
          <w:sz w:val="24"/>
          <w:szCs w:val="24"/>
        </w:rPr>
        <w:t xml:space="preserve"> molekylstruktur, der består af </w:t>
      </w:r>
      <w:proofErr w:type="spellStart"/>
      <w:r w:rsidRPr="006A18D4">
        <w:rPr>
          <w:sz w:val="24"/>
          <w:szCs w:val="24"/>
        </w:rPr>
        <w:t>tetrabrompyrocatechol</w:t>
      </w:r>
      <w:proofErr w:type="spellEnd"/>
      <w:r w:rsidRPr="006A18D4">
        <w:rPr>
          <w:sz w:val="24"/>
          <w:szCs w:val="24"/>
        </w:rPr>
        <w:t xml:space="preserve"> og </w:t>
      </w:r>
      <w:proofErr w:type="spellStart"/>
      <w:r w:rsidRPr="006A18D4">
        <w:rPr>
          <w:sz w:val="24"/>
          <w:szCs w:val="24"/>
        </w:rPr>
        <w:t>bismuthhydroxid</w:t>
      </w:r>
      <w:proofErr w:type="spellEnd"/>
      <w:r w:rsidRPr="006A18D4">
        <w:rPr>
          <w:sz w:val="24"/>
          <w:szCs w:val="24"/>
        </w:rPr>
        <w:t>, som forårsager udfældning af proteiner og krympning af overfladiske vævslag. Disse aktiviteter resulterer i dannelsen af en beskyttende membran mod patogen invasion og hæmmer ikke-specifikt inflammation og sekretion.</w:t>
      </w:r>
    </w:p>
    <w:p w14:paraId="28D60FC9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372852C2" w14:textId="609FC9CC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 xml:space="preserve">Virkningen og sikkerheden af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2 % øjensalve til behandling af </w:t>
      </w:r>
      <w:proofErr w:type="spellStart"/>
      <w:r w:rsidRPr="006A18D4">
        <w:rPr>
          <w:sz w:val="24"/>
          <w:szCs w:val="24"/>
        </w:rPr>
        <w:t>blepharitis</w:t>
      </w:r>
      <w:proofErr w:type="spellEnd"/>
      <w:r w:rsidRPr="006A18D4">
        <w:rPr>
          <w:sz w:val="24"/>
          <w:szCs w:val="24"/>
        </w:rPr>
        <w:t xml:space="preserve"> blev undersøgt i to dobbeltblindede, placebokontrollerede, randomiserede studier hos patienter med moderat svær </w:t>
      </w:r>
      <w:proofErr w:type="spellStart"/>
      <w:r w:rsidRPr="006A18D4">
        <w:rPr>
          <w:sz w:val="24"/>
          <w:szCs w:val="24"/>
        </w:rPr>
        <w:t>blepharitis</w:t>
      </w:r>
      <w:proofErr w:type="spellEnd"/>
      <w:r w:rsidRPr="006A18D4">
        <w:rPr>
          <w:sz w:val="24"/>
          <w:szCs w:val="24"/>
        </w:rPr>
        <w:t>/</w:t>
      </w:r>
      <w:proofErr w:type="spellStart"/>
      <w:r w:rsidRPr="006A18D4">
        <w:rPr>
          <w:sz w:val="24"/>
          <w:szCs w:val="24"/>
        </w:rPr>
        <w:t>blepharoconjunctivitis</w:t>
      </w:r>
      <w:proofErr w:type="spellEnd"/>
      <w:r w:rsidRPr="006A18D4">
        <w:rPr>
          <w:sz w:val="24"/>
          <w:szCs w:val="24"/>
        </w:rPr>
        <w:t>, som ikke krævede antibiotika</w:t>
      </w:r>
      <w:r w:rsidR="006A18D4">
        <w:rPr>
          <w:sz w:val="24"/>
          <w:szCs w:val="24"/>
        </w:rPr>
        <w:softHyphen/>
      </w:r>
      <w:r w:rsidRPr="006A18D4">
        <w:rPr>
          <w:sz w:val="24"/>
          <w:szCs w:val="24"/>
        </w:rPr>
        <w:t xml:space="preserve">behandling. 200 patienter blev behandlet i 2 uger tre gange dagligt, henholdsvis 196 patienter blev behandlet tre gange dagligt i gennemsnitligt 10 dage. I studie 1 var det primære endepunkt den gennemsnitlige ændring fra baseline efter to uger af et sammensat endepunkt bestående af fem tegn på sygdommen (øjenlågsødem, </w:t>
      </w:r>
      <w:proofErr w:type="spellStart"/>
      <w:r w:rsidRPr="006A18D4">
        <w:rPr>
          <w:sz w:val="24"/>
          <w:szCs w:val="24"/>
        </w:rPr>
        <w:t>øjenlågserytem</w:t>
      </w:r>
      <w:proofErr w:type="spellEnd"/>
      <w:r w:rsidRPr="006A18D4">
        <w:rPr>
          <w:sz w:val="24"/>
          <w:szCs w:val="24"/>
        </w:rPr>
        <w:t xml:space="preserve">, </w:t>
      </w:r>
      <w:proofErr w:type="spellStart"/>
      <w:r w:rsidRPr="006A18D4">
        <w:rPr>
          <w:sz w:val="24"/>
          <w:szCs w:val="24"/>
        </w:rPr>
        <w:t>debris</w:t>
      </w:r>
      <w:proofErr w:type="spellEnd"/>
      <w:r w:rsidRPr="006A18D4">
        <w:rPr>
          <w:sz w:val="24"/>
          <w:szCs w:val="24"/>
        </w:rPr>
        <w:t xml:space="preserve">, </w:t>
      </w:r>
      <w:proofErr w:type="spellStart"/>
      <w:r w:rsidRPr="006A18D4">
        <w:rPr>
          <w:sz w:val="24"/>
          <w:szCs w:val="24"/>
        </w:rPr>
        <w:t>hyperæmi</w:t>
      </w:r>
      <w:proofErr w:type="spellEnd"/>
      <w:r w:rsidRPr="006A18D4">
        <w:rPr>
          <w:sz w:val="24"/>
          <w:szCs w:val="24"/>
        </w:rPr>
        <w:t xml:space="preserve"> og udspiling af Meibom-kirtler) som vurderet af </w:t>
      </w:r>
      <w:proofErr w:type="spellStart"/>
      <w:r w:rsidRPr="006A18D4">
        <w:rPr>
          <w:sz w:val="24"/>
          <w:szCs w:val="24"/>
        </w:rPr>
        <w:t>investigatoren</w:t>
      </w:r>
      <w:proofErr w:type="spellEnd"/>
      <w:r w:rsidRPr="006A18D4">
        <w:rPr>
          <w:sz w:val="24"/>
          <w:szCs w:val="24"/>
        </w:rPr>
        <w:t xml:space="preserve">. Den maksimale score var 20. Det primære endepunkt i studie 2 var tilsvarende, men bestod af fire komponenter i stedet for fem (minus </w:t>
      </w:r>
      <w:proofErr w:type="spellStart"/>
      <w:r w:rsidRPr="006A18D4">
        <w:rPr>
          <w:sz w:val="24"/>
          <w:szCs w:val="24"/>
        </w:rPr>
        <w:t>hyperæmi</w:t>
      </w:r>
      <w:proofErr w:type="spellEnd"/>
      <w:r w:rsidRPr="006A18D4">
        <w:rPr>
          <w:sz w:val="24"/>
          <w:szCs w:val="24"/>
        </w:rPr>
        <w:t>) med en maksimal score på 16. Begge studier opfyldte deres primære endepunkter. I studie 1 var mindste kvadraters (LS-)</w:t>
      </w:r>
      <w:r w:rsidR="006A18D4">
        <w:rPr>
          <w:sz w:val="24"/>
          <w:szCs w:val="24"/>
        </w:rPr>
        <w:t xml:space="preserve"> </w:t>
      </w:r>
      <w:r w:rsidRPr="006A18D4">
        <w:rPr>
          <w:sz w:val="24"/>
          <w:szCs w:val="24"/>
        </w:rPr>
        <w:t xml:space="preserve">middelværdiændring fra baseline (baseline-score ca. 14) til dag 15 -8,621 i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-gruppen og -5,996 i placebogruppen (LS-middelværdiforskel 2,625 [95 % CI: -3,360, -1,890], p &lt; 0,0001). I studie 2 var baseline-middelværdierne 10,5 point, og den primære forskel i resultatet var -2,32 point [95 %-CI: -2,84; -1,80], p&lt;0,0001. I begge studier blev de primære endepunkter understøttet af et sekundært patientrapporteret resultat vedrørende lindring af øjensymptomer. Begge studier bekræftede virkningen og sikkerheden af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2 % øjensalve.</w:t>
      </w:r>
    </w:p>
    <w:p w14:paraId="7A657F12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C8E04F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5.2</w:t>
      </w:r>
      <w:r w:rsidRPr="006A18D4">
        <w:rPr>
          <w:b/>
          <w:sz w:val="24"/>
          <w:szCs w:val="24"/>
        </w:rPr>
        <w:tab/>
      </w:r>
      <w:proofErr w:type="spellStart"/>
      <w:r w:rsidRPr="006A18D4">
        <w:rPr>
          <w:b/>
          <w:sz w:val="24"/>
          <w:szCs w:val="24"/>
        </w:rPr>
        <w:t>Farmakokinetiske</w:t>
      </w:r>
      <w:proofErr w:type="spellEnd"/>
      <w:r w:rsidRPr="006A18D4">
        <w:rPr>
          <w:b/>
          <w:sz w:val="24"/>
          <w:szCs w:val="24"/>
        </w:rPr>
        <w:t xml:space="preserve"> egenskaber</w:t>
      </w:r>
    </w:p>
    <w:p w14:paraId="7C1F4EBD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er næsten uopløseligt i vand og trænger derfor ikke ind i øjets vandige væske. Derfor er dets oftalmologiske anvendelse begrænset til lokal behandling af kronisk inflammation i øjenlågskanten (</w:t>
      </w:r>
      <w:proofErr w:type="spellStart"/>
      <w:r w:rsidRPr="006A18D4">
        <w:rPr>
          <w:sz w:val="24"/>
          <w:szCs w:val="24"/>
        </w:rPr>
        <w:t>blepharitis</w:t>
      </w:r>
      <w:proofErr w:type="spellEnd"/>
      <w:r w:rsidRPr="006A18D4">
        <w:rPr>
          <w:sz w:val="24"/>
          <w:szCs w:val="24"/>
        </w:rPr>
        <w:t xml:space="preserve"> </w:t>
      </w:r>
      <w:proofErr w:type="spellStart"/>
      <w:r w:rsidRPr="006A18D4">
        <w:rPr>
          <w:sz w:val="24"/>
          <w:szCs w:val="24"/>
        </w:rPr>
        <w:t>chronica</w:t>
      </w:r>
      <w:proofErr w:type="spellEnd"/>
      <w:r w:rsidRPr="006A18D4">
        <w:rPr>
          <w:sz w:val="24"/>
          <w:szCs w:val="24"/>
        </w:rPr>
        <w:t>).</w:t>
      </w:r>
    </w:p>
    <w:p w14:paraId="581CA32B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5DAC98CA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>Der er ingen nævneværdig systemisk absorption efter lokal påføring.</w:t>
      </w:r>
    </w:p>
    <w:p w14:paraId="56DBF7A3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B804E7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5.3</w:t>
      </w:r>
      <w:r w:rsidRPr="006A18D4">
        <w:rPr>
          <w:b/>
          <w:sz w:val="24"/>
          <w:szCs w:val="24"/>
        </w:rPr>
        <w:tab/>
      </w:r>
      <w:r w:rsidR="00BD7931" w:rsidRPr="006A18D4">
        <w:rPr>
          <w:b/>
          <w:sz w:val="24"/>
          <w:szCs w:val="24"/>
        </w:rPr>
        <w:t>Non-</w:t>
      </w:r>
      <w:r w:rsidRPr="006A18D4">
        <w:rPr>
          <w:b/>
          <w:sz w:val="24"/>
          <w:szCs w:val="24"/>
        </w:rPr>
        <w:t>kliniske sikkerhedsdata</w:t>
      </w:r>
    </w:p>
    <w:p w14:paraId="3AF48672" w14:textId="77777777" w:rsidR="006A18D4" w:rsidRDefault="006A18D4" w:rsidP="00722066">
      <w:pPr>
        <w:ind w:left="851"/>
        <w:rPr>
          <w:sz w:val="24"/>
          <w:szCs w:val="24"/>
        </w:rPr>
      </w:pPr>
    </w:p>
    <w:p w14:paraId="69AC3C56" w14:textId="6D0D86AD" w:rsidR="00C5335C" w:rsidRPr="006A18D4" w:rsidRDefault="00C5335C" w:rsidP="00722066">
      <w:pPr>
        <w:ind w:left="851"/>
        <w:rPr>
          <w:i/>
          <w:sz w:val="24"/>
          <w:szCs w:val="24"/>
          <w:lang w:eastAsia="de-DE"/>
        </w:rPr>
      </w:pPr>
      <w:r w:rsidRPr="006A18D4">
        <w:rPr>
          <w:i/>
          <w:sz w:val="24"/>
          <w:szCs w:val="24"/>
        </w:rPr>
        <w:t>Akut toksicitet:</w:t>
      </w:r>
    </w:p>
    <w:p w14:paraId="0F939500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Systemisk administration af </w:t>
      </w:r>
      <w:proofErr w:type="spellStart"/>
      <w:r w:rsidRPr="006A18D4">
        <w:rPr>
          <w:sz w:val="24"/>
          <w:szCs w:val="24"/>
        </w:rPr>
        <w:t>intragastiske</w:t>
      </w:r>
      <w:proofErr w:type="spellEnd"/>
      <w:r w:rsidRPr="006A18D4">
        <w:rPr>
          <w:sz w:val="24"/>
          <w:szCs w:val="24"/>
        </w:rPr>
        <w:t xml:space="preserve"> enkeltdoser af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, der langt oversteg den terapeutiske dosis, medførte midlertidigt accelereret respiration og nedsat aktivitet hos mus, men ikke hos rotter. Der blev ikke observeret dødelighed. </w:t>
      </w:r>
    </w:p>
    <w:p w14:paraId="2BC7C7BD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2A4673FB" w14:textId="77777777" w:rsidR="00C5335C" w:rsidRPr="006A18D4" w:rsidRDefault="00C5335C" w:rsidP="00722066">
      <w:pPr>
        <w:ind w:left="851"/>
        <w:rPr>
          <w:i/>
          <w:sz w:val="24"/>
          <w:szCs w:val="24"/>
        </w:rPr>
      </w:pPr>
      <w:r w:rsidRPr="006A18D4">
        <w:rPr>
          <w:i/>
          <w:sz w:val="24"/>
          <w:szCs w:val="24"/>
        </w:rPr>
        <w:t>Subkronisk toksicitet:</w:t>
      </w:r>
    </w:p>
    <w:p w14:paraId="6BDC213F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Flere oftalmologiske doser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op til 2 gange den terapeutiske dosis hos rotter og op til 150 gange den terapeutiske dosis hos kaniner i 30 dage medførte ikke mærkbare bivirkninger. De forhøjede triglycerid- eller kolesterolniveauer, der blev målt i blodet hos henholdsvis kaniner og rotter, korrelerede ikke med histologiske forandringer. </w:t>
      </w:r>
    </w:p>
    <w:p w14:paraId="76F46F82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1A66D7B9" w14:textId="77777777" w:rsidR="00C5335C" w:rsidRPr="006A18D4" w:rsidRDefault="00C5335C" w:rsidP="00722066">
      <w:pPr>
        <w:ind w:left="851"/>
        <w:rPr>
          <w:i/>
          <w:iCs/>
          <w:sz w:val="24"/>
          <w:szCs w:val="24"/>
        </w:rPr>
      </w:pPr>
      <w:r w:rsidRPr="006A18D4">
        <w:rPr>
          <w:i/>
          <w:iCs/>
          <w:sz w:val="24"/>
          <w:szCs w:val="24"/>
        </w:rPr>
        <w:t xml:space="preserve">Genotoksicitet og </w:t>
      </w:r>
      <w:proofErr w:type="spellStart"/>
      <w:r w:rsidRPr="006A18D4">
        <w:rPr>
          <w:i/>
          <w:iCs/>
          <w:sz w:val="24"/>
          <w:szCs w:val="24"/>
        </w:rPr>
        <w:t>karcinogenicitet</w:t>
      </w:r>
      <w:proofErr w:type="spellEnd"/>
      <w:r w:rsidRPr="006A18D4">
        <w:rPr>
          <w:i/>
          <w:iCs/>
          <w:sz w:val="24"/>
          <w:szCs w:val="24"/>
        </w:rPr>
        <w:t>:</w:t>
      </w:r>
    </w:p>
    <w:p w14:paraId="766E93AB" w14:textId="77777777" w:rsidR="00C5335C" w:rsidRPr="006A18D4" w:rsidRDefault="00C5335C" w:rsidP="00722066">
      <w:pPr>
        <w:ind w:left="851"/>
        <w:rPr>
          <w:sz w:val="24"/>
          <w:szCs w:val="24"/>
        </w:rPr>
      </w:pP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viste ikke noget genotoksisk potentiale i bakterier og knoglemarvsceller fra mus. Der er ikke udført </w:t>
      </w:r>
      <w:proofErr w:type="spellStart"/>
      <w:r w:rsidRPr="006A18D4">
        <w:rPr>
          <w:sz w:val="24"/>
          <w:szCs w:val="24"/>
        </w:rPr>
        <w:t>karcinogenicitetsundersøgelser</w:t>
      </w:r>
      <w:proofErr w:type="spellEnd"/>
      <w:r w:rsidRPr="006A18D4">
        <w:rPr>
          <w:sz w:val="24"/>
          <w:szCs w:val="24"/>
        </w:rPr>
        <w:t>.</w:t>
      </w:r>
    </w:p>
    <w:p w14:paraId="0B24018F" w14:textId="462518F4" w:rsidR="0072635C" w:rsidRDefault="007263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3B2375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7F5C76EE" w14:textId="77777777" w:rsidR="00C5335C" w:rsidRPr="006A18D4" w:rsidRDefault="00C5335C" w:rsidP="00722066">
      <w:pPr>
        <w:ind w:left="851"/>
        <w:rPr>
          <w:i/>
          <w:sz w:val="24"/>
          <w:szCs w:val="24"/>
        </w:rPr>
      </w:pPr>
      <w:r w:rsidRPr="006A18D4">
        <w:rPr>
          <w:i/>
          <w:sz w:val="24"/>
          <w:szCs w:val="24"/>
        </w:rPr>
        <w:t>Reproduktionstoksicitet:</w:t>
      </w:r>
    </w:p>
    <w:p w14:paraId="194B7A34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 xml:space="preserve">I begrænsede undersøgelser af reproduktionstoksicitet hos rotter havde </w:t>
      </w:r>
      <w:proofErr w:type="spellStart"/>
      <w:r w:rsidRPr="006A18D4">
        <w:rPr>
          <w:sz w:val="24"/>
          <w:szCs w:val="24"/>
        </w:rPr>
        <w:t>oftalmisk</w:t>
      </w:r>
      <w:proofErr w:type="spellEnd"/>
      <w:r w:rsidRPr="006A18D4">
        <w:rPr>
          <w:sz w:val="24"/>
          <w:szCs w:val="24"/>
        </w:rPr>
        <w:t xml:space="preserve"> administration af op til 2 gange den terapeutiske dosis ingen indvirkning på fertiliteten hos hanner og hunner, embryogenesen eller fosterudviklingen og den </w:t>
      </w:r>
      <w:proofErr w:type="spellStart"/>
      <w:r w:rsidRPr="006A18D4">
        <w:rPr>
          <w:sz w:val="24"/>
          <w:szCs w:val="24"/>
        </w:rPr>
        <w:t>postnatale</w:t>
      </w:r>
      <w:proofErr w:type="spellEnd"/>
      <w:r w:rsidRPr="006A18D4">
        <w:rPr>
          <w:sz w:val="24"/>
          <w:szCs w:val="24"/>
        </w:rPr>
        <w:t xml:space="preserve"> udvikling.</w:t>
      </w:r>
    </w:p>
    <w:p w14:paraId="7F9BEC89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1BCE4732" w14:textId="77777777" w:rsidR="00C5335C" w:rsidRPr="006A18D4" w:rsidRDefault="00C5335C" w:rsidP="00722066">
      <w:pPr>
        <w:ind w:left="851"/>
        <w:rPr>
          <w:i/>
          <w:sz w:val="24"/>
          <w:szCs w:val="24"/>
        </w:rPr>
      </w:pPr>
      <w:r w:rsidRPr="006A18D4">
        <w:rPr>
          <w:i/>
          <w:sz w:val="24"/>
          <w:szCs w:val="24"/>
        </w:rPr>
        <w:t>Lokal tolerance ved topisk anvendelse:</w:t>
      </w:r>
    </w:p>
    <w:p w14:paraId="538E13B8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 xml:space="preserve">Der blev ikke observeret </w:t>
      </w:r>
      <w:proofErr w:type="spellStart"/>
      <w:r w:rsidRPr="006A18D4">
        <w:rPr>
          <w:sz w:val="24"/>
          <w:szCs w:val="24"/>
        </w:rPr>
        <w:t>okulær</w:t>
      </w:r>
      <w:proofErr w:type="spellEnd"/>
      <w:r w:rsidRPr="006A18D4">
        <w:rPr>
          <w:sz w:val="24"/>
          <w:szCs w:val="24"/>
        </w:rPr>
        <w:t xml:space="preserve"> intolerance over for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ved maksimale doser i toksicitetsundersøgelser med gentagne doser hos rotter og kaniner. Enkelt </w:t>
      </w:r>
      <w:proofErr w:type="spellStart"/>
      <w:r w:rsidRPr="006A18D4">
        <w:rPr>
          <w:sz w:val="24"/>
          <w:szCs w:val="24"/>
        </w:rPr>
        <w:t>oftalmisk</w:t>
      </w:r>
      <w:proofErr w:type="spellEnd"/>
      <w:r w:rsidRPr="006A18D4">
        <w:rPr>
          <w:sz w:val="24"/>
          <w:szCs w:val="24"/>
        </w:rPr>
        <w:t xml:space="preserve"> administration af op til 20 %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inducerede heller ikke overfølsomhed eller virkninger på </w:t>
      </w:r>
      <w:proofErr w:type="spellStart"/>
      <w:r w:rsidRPr="006A18D4">
        <w:rPr>
          <w:sz w:val="24"/>
          <w:szCs w:val="24"/>
        </w:rPr>
        <w:t>humoral</w:t>
      </w:r>
      <w:proofErr w:type="spellEnd"/>
      <w:r w:rsidRPr="006A18D4">
        <w:rPr>
          <w:sz w:val="24"/>
          <w:szCs w:val="24"/>
        </w:rPr>
        <w:t>, cellemedieret eller ikke-specifik immunitet hos henholdsvis marsvin og mus.</w:t>
      </w:r>
    </w:p>
    <w:p w14:paraId="73B837B5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3E1D93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01964C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</w:t>
      </w:r>
      <w:r w:rsidRPr="006A18D4">
        <w:rPr>
          <w:b/>
          <w:sz w:val="24"/>
          <w:szCs w:val="24"/>
        </w:rPr>
        <w:tab/>
        <w:t>FARMACEUTISKE OPLYSNINGER</w:t>
      </w:r>
    </w:p>
    <w:p w14:paraId="7EEFD239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60D522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6.1</w:t>
      </w:r>
      <w:r w:rsidRPr="006A18D4">
        <w:rPr>
          <w:b/>
          <w:sz w:val="24"/>
          <w:szCs w:val="24"/>
        </w:rPr>
        <w:tab/>
        <w:t>Hjælpestoffer</w:t>
      </w:r>
    </w:p>
    <w:p w14:paraId="5322FC32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Hvid vaseline</w:t>
      </w:r>
    </w:p>
    <w:p w14:paraId="0031F025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Flydende paraffin</w:t>
      </w:r>
    </w:p>
    <w:p w14:paraId="16D67716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proofErr w:type="spellStart"/>
      <w:r w:rsidRPr="006A18D4">
        <w:rPr>
          <w:sz w:val="24"/>
          <w:szCs w:val="24"/>
        </w:rPr>
        <w:t>Uldfedt</w:t>
      </w:r>
      <w:proofErr w:type="spellEnd"/>
    </w:p>
    <w:p w14:paraId="69BBBA3A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E4308A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6.2</w:t>
      </w:r>
      <w:r w:rsidRPr="006A18D4">
        <w:rPr>
          <w:b/>
          <w:sz w:val="24"/>
          <w:szCs w:val="24"/>
        </w:rPr>
        <w:tab/>
        <w:t>Uforligeligheder</w:t>
      </w:r>
    </w:p>
    <w:p w14:paraId="302F3F74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 xml:space="preserve">Det aktive stof </w:t>
      </w:r>
      <w:proofErr w:type="spellStart"/>
      <w:r w:rsidRPr="006A18D4">
        <w:rPr>
          <w:sz w:val="24"/>
          <w:szCs w:val="24"/>
        </w:rPr>
        <w:t>bibrocathol</w:t>
      </w:r>
      <w:proofErr w:type="spellEnd"/>
      <w:r w:rsidRPr="006A18D4">
        <w:rPr>
          <w:sz w:val="24"/>
          <w:szCs w:val="24"/>
        </w:rPr>
        <w:t xml:space="preserve"> er </w:t>
      </w:r>
      <w:proofErr w:type="spellStart"/>
      <w:r w:rsidRPr="006A18D4">
        <w:rPr>
          <w:sz w:val="24"/>
          <w:szCs w:val="24"/>
        </w:rPr>
        <w:t>uforligeligt</w:t>
      </w:r>
      <w:proofErr w:type="spellEnd"/>
      <w:r w:rsidRPr="006A18D4">
        <w:rPr>
          <w:sz w:val="24"/>
          <w:szCs w:val="24"/>
        </w:rPr>
        <w:t xml:space="preserve"> med </w:t>
      </w:r>
      <w:proofErr w:type="gramStart"/>
      <w:r w:rsidRPr="006A18D4">
        <w:rPr>
          <w:sz w:val="24"/>
          <w:szCs w:val="24"/>
        </w:rPr>
        <w:t>jern(</w:t>
      </w:r>
      <w:proofErr w:type="gramEnd"/>
      <w:r w:rsidRPr="006A18D4">
        <w:rPr>
          <w:sz w:val="24"/>
          <w:szCs w:val="24"/>
        </w:rPr>
        <w:t>III)-salte, oxidationsmidler, stærke syrer og stærke baser.</w:t>
      </w:r>
    </w:p>
    <w:p w14:paraId="162EA42C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5CE947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6.3</w:t>
      </w:r>
      <w:r w:rsidRPr="006A18D4">
        <w:rPr>
          <w:b/>
          <w:sz w:val="24"/>
          <w:szCs w:val="24"/>
        </w:rPr>
        <w:tab/>
        <w:t>Opbevaringstid</w:t>
      </w:r>
    </w:p>
    <w:p w14:paraId="2285024F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>3 år.</w:t>
      </w:r>
    </w:p>
    <w:p w14:paraId="63B64B71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63791779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>Efter første åbning: 4 uger.</w:t>
      </w:r>
    </w:p>
    <w:p w14:paraId="6ACC4E32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E0D378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6.4</w:t>
      </w:r>
      <w:r w:rsidRPr="006A18D4">
        <w:rPr>
          <w:b/>
          <w:sz w:val="24"/>
          <w:szCs w:val="24"/>
        </w:rPr>
        <w:tab/>
        <w:t>Særlige opbevaringsforhold</w:t>
      </w:r>
    </w:p>
    <w:p w14:paraId="418FD0C3" w14:textId="77777777" w:rsidR="00C5335C" w:rsidRPr="006A18D4" w:rsidRDefault="00C5335C" w:rsidP="00722066">
      <w:pPr>
        <w:ind w:left="851"/>
        <w:rPr>
          <w:noProof/>
          <w:sz w:val="24"/>
          <w:szCs w:val="24"/>
          <w:lang w:eastAsia="de-DE"/>
        </w:rPr>
      </w:pPr>
      <w:r w:rsidRPr="006A18D4">
        <w:rPr>
          <w:noProof/>
          <w:sz w:val="24"/>
          <w:szCs w:val="24"/>
        </w:rPr>
        <w:t>Må ikke opbevares ved temperaturer over 30 °C.</w:t>
      </w:r>
    </w:p>
    <w:p w14:paraId="29FC99DD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A778E4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6.5</w:t>
      </w:r>
      <w:r w:rsidRPr="006A18D4">
        <w:rPr>
          <w:b/>
          <w:sz w:val="24"/>
          <w:szCs w:val="24"/>
        </w:rPr>
        <w:tab/>
        <w:t>Emballagetype og pakningsstørrelser</w:t>
      </w:r>
    </w:p>
    <w:p w14:paraId="0751BEE3" w14:textId="27D7C8AD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 xml:space="preserve">Aluminiumstube med indvendig beskyttende lak af </w:t>
      </w:r>
      <w:proofErr w:type="spellStart"/>
      <w:r w:rsidRPr="006A18D4">
        <w:rPr>
          <w:sz w:val="24"/>
          <w:szCs w:val="24"/>
        </w:rPr>
        <w:t>epoxyphenolharpiks</w:t>
      </w:r>
      <w:proofErr w:type="spellEnd"/>
      <w:r w:rsidRPr="006A18D4">
        <w:rPr>
          <w:sz w:val="24"/>
          <w:szCs w:val="24"/>
        </w:rPr>
        <w:t xml:space="preserve">, </w:t>
      </w:r>
      <w:proofErr w:type="spellStart"/>
      <w:r w:rsidRPr="006A18D4">
        <w:rPr>
          <w:sz w:val="24"/>
          <w:szCs w:val="24"/>
        </w:rPr>
        <w:t>højdensitets</w:t>
      </w:r>
      <w:r w:rsidR="00C03A63">
        <w:rPr>
          <w:sz w:val="24"/>
          <w:szCs w:val="24"/>
        </w:rPr>
        <w:softHyphen/>
      </w:r>
      <w:r w:rsidRPr="006A18D4">
        <w:rPr>
          <w:sz w:val="24"/>
          <w:szCs w:val="24"/>
        </w:rPr>
        <w:t>polyethylen-dyse</w:t>
      </w:r>
      <w:proofErr w:type="spellEnd"/>
      <w:r w:rsidRPr="006A18D4">
        <w:rPr>
          <w:sz w:val="24"/>
          <w:szCs w:val="24"/>
        </w:rPr>
        <w:t xml:space="preserve"> og skruelåg.</w:t>
      </w:r>
    </w:p>
    <w:p w14:paraId="6614CA27" w14:textId="77777777" w:rsidR="00C5335C" w:rsidRPr="006A18D4" w:rsidRDefault="00C5335C" w:rsidP="00722066">
      <w:pPr>
        <w:ind w:left="851"/>
        <w:rPr>
          <w:sz w:val="24"/>
          <w:szCs w:val="24"/>
        </w:rPr>
      </w:pPr>
    </w:p>
    <w:p w14:paraId="469C2324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Pakningsstørrelse:</w:t>
      </w:r>
    </w:p>
    <w:p w14:paraId="6EFD0846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sz w:val="24"/>
          <w:szCs w:val="24"/>
        </w:rPr>
        <w:t>Foldbar karton med en tube med 5 g.</w:t>
      </w:r>
    </w:p>
    <w:p w14:paraId="532F4C85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97667A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6.6</w:t>
      </w:r>
      <w:r w:rsidRPr="006A18D4">
        <w:rPr>
          <w:b/>
          <w:sz w:val="24"/>
          <w:szCs w:val="24"/>
        </w:rPr>
        <w:tab/>
        <w:t xml:space="preserve">Regler for </w:t>
      </w:r>
      <w:r w:rsidR="00BD7931" w:rsidRPr="006A18D4">
        <w:rPr>
          <w:b/>
          <w:sz w:val="24"/>
          <w:szCs w:val="24"/>
        </w:rPr>
        <w:t>bortskaffelse</w:t>
      </w:r>
      <w:r w:rsidRPr="006A18D4">
        <w:rPr>
          <w:b/>
          <w:sz w:val="24"/>
          <w:szCs w:val="24"/>
        </w:rPr>
        <w:t xml:space="preserve"> og anden håndtering</w:t>
      </w:r>
    </w:p>
    <w:p w14:paraId="395404E5" w14:textId="77777777" w:rsidR="00C5335C" w:rsidRPr="006A18D4" w:rsidRDefault="00C5335C" w:rsidP="00722066">
      <w:pPr>
        <w:ind w:left="851"/>
        <w:rPr>
          <w:noProof/>
          <w:sz w:val="24"/>
          <w:szCs w:val="24"/>
          <w:lang w:eastAsia="de-DE"/>
        </w:rPr>
      </w:pPr>
      <w:r w:rsidRPr="006A18D4">
        <w:rPr>
          <w:sz w:val="24"/>
          <w:szCs w:val="24"/>
        </w:rPr>
        <w:t>Ikke anvendt lægemiddel samt affald heraf skal bortskaffes i henhold til lokale retningslinjer.</w:t>
      </w:r>
    </w:p>
    <w:p w14:paraId="06028AE5" w14:textId="77777777" w:rsidR="009260DE" w:rsidRPr="006A18D4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A9726AB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7.</w:t>
      </w:r>
      <w:r w:rsidRPr="006A18D4">
        <w:rPr>
          <w:b/>
          <w:sz w:val="24"/>
          <w:szCs w:val="24"/>
        </w:rPr>
        <w:tab/>
        <w:t>INDEHAVER AF MARKEDSFØRINGSTILLADELSEN</w:t>
      </w:r>
    </w:p>
    <w:p w14:paraId="4ED08782" w14:textId="77777777" w:rsidR="00C5335C" w:rsidRPr="006A18D4" w:rsidRDefault="00C5335C" w:rsidP="00722066">
      <w:pPr>
        <w:ind w:left="851"/>
        <w:rPr>
          <w:sz w:val="24"/>
          <w:szCs w:val="24"/>
          <w:lang w:eastAsia="de-DE"/>
        </w:rPr>
      </w:pPr>
      <w:r w:rsidRPr="006A18D4">
        <w:rPr>
          <w:sz w:val="24"/>
          <w:szCs w:val="24"/>
        </w:rPr>
        <w:t xml:space="preserve">URSAPHARM </w:t>
      </w:r>
      <w:proofErr w:type="spellStart"/>
      <w:r w:rsidRPr="006A18D4">
        <w:rPr>
          <w:sz w:val="24"/>
          <w:szCs w:val="24"/>
        </w:rPr>
        <w:t>Arzneimittel</w:t>
      </w:r>
      <w:proofErr w:type="spellEnd"/>
      <w:r w:rsidRPr="006A18D4">
        <w:rPr>
          <w:sz w:val="24"/>
          <w:szCs w:val="24"/>
        </w:rPr>
        <w:t xml:space="preserve"> GmbH</w:t>
      </w:r>
    </w:p>
    <w:p w14:paraId="30EB56DA" w14:textId="77777777" w:rsidR="00C5335C" w:rsidRPr="006A18D4" w:rsidRDefault="00C5335C" w:rsidP="00722066">
      <w:pPr>
        <w:ind w:left="851"/>
        <w:rPr>
          <w:sz w:val="24"/>
          <w:szCs w:val="24"/>
        </w:rPr>
      </w:pPr>
      <w:proofErr w:type="spellStart"/>
      <w:r w:rsidRPr="006A18D4">
        <w:rPr>
          <w:sz w:val="24"/>
          <w:szCs w:val="24"/>
        </w:rPr>
        <w:t>Industriestraße</w:t>
      </w:r>
      <w:proofErr w:type="spellEnd"/>
      <w:r w:rsidRPr="006A18D4">
        <w:rPr>
          <w:sz w:val="24"/>
          <w:szCs w:val="24"/>
        </w:rPr>
        <w:t xml:space="preserve"> 35</w:t>
      </w:r>
    </w:p>
    <w:p w14:paraId="4F6FADC1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66129 Saarbrücken</w:t>
      </w:r>
    </w:p>
    <w:p w14:paraId="0A69A6AC" w14:textId="77777777" w:rsidR="00C5335C" w:rsidRPr="006A18D4" w:rsidRDefault="00C5335C" w:rsidP="00722066">
      <w:pPr>
        <w:ind w:left="851"/>
        <w:rPr>
          <w:sz w:val="24"/>
          <w:szCs w:val="24"/>
        </w:rPr>
      </w:pPr>
      <w:r w:rsidRPr="006A18D4">
        <w:rPr>
          <w:sz w:val="24"/>
          <w:szCs w:val="24"/>
        </w:rPr>
        <w:t>Tyskland</w:t>
      </w:r>
    </w:p>
    <w:p w14:paraId="0EA32824" w14:textId="2FCBF8AD" w:rsidR="0072635C" w:rsidRDefault="007263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0FCF07" w14:textId="77777777" w:rsidR="009260DE" w:rsidRPr="006A18D4" w:rsidRDefault="009260DE" w:rsidP="00722066">
      <w:pPr>
        <w:ind w:left="851"/>
        <w:rPr>
          <w:sz w:val="24"/>
          <w:szCs w:val="24"/>
        </w:rPr>
      </w:pPr>
    </w:p>
    <w:p w14:paraId="244794F1" w14:textId="77777777" w:rsidR="00641C65" w:rsidRPr="006A18D4" w:rsidRDefault="00641C65" w:rsidP="00722066">
      <w:pPr>
        <w:ind w:left="851"/>
        <w:rPr>
          <w:sz w:val="24"/>
          <w:szCs w:val="24"/>
        </w:rPr>
      </w:pPr>
      <w:r w:rsidRPr="006A18D4">
        <w:rPr>
          <w:b/>
          <w:sz w:val="24"/>
          <w:szCs w:val="24"/>
        </w:rPr>
        <w:t>Repræsentant</w:t>
      </w:r>
    </w:p>
    <w:p w14:paraId="6AE416CB" w14:textId="77777777" w:rsidR="00C5335C" w:rsidRPr="006A18D4" w:rsidRDefault="00C5335C" w:rsidP="00722066">
      <w:pPr>
        <w:ind w:left="851"/>
        <w:rPr>
          <w:noProof/>
          <w:sz w:val="24"/>
          <w:szCs w:val="24"/>
          <w:lang w:eastAsia="de-DE"/>
        </w:rPr>
      </w:pPr>
      <w:r w:rsidRPr="006A18D4">
        <w:rPr>
          <w:noProof/>
          <w:sz w:val="24"/>
          <w:szCs w:val="24"/>
        </w:rPr>
        <w:t>Ursapharm Nordic AB</w:t>
      </w:r>
    </w:p>
    <w:p w14:paraId="4B4B6694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Kungsgatan 1</w:t>
      </w:r>
    </w:p>
    <w:p w14:paraId="26AB06EC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702 11 Örebro</w:t>
      </w:r>
    </w:p>
    <w:p w14:paraId="0A354655" w14:textId="77777777" w:rsidR="00C5335C" w:rsidRPr="006A18D4" w:rsidRDefault="00C5335C" w:rsidP="00722066">
      <w:pPr>
        <w:ind w:left="851"/>
        <w:rPr>
          <w:noProof/>
          <w:sz w:val="24"/>
          <w:szCs w:val="24"/>
        </w:rPr>
      </w:pPr>
      <w:r w:rsidRPr="006A18D4">
        <w:rPr>
          <w:noProof/>
          <w:sz w:val="24"/>
          <w:szCs w:val="24"/>
        </w:rPr>
        <w:t>Sverige</w:t>
      </w:r>
    </w:p>
    <w:p w14:paraId="7EEA554F" w14:textId="77777777" w:rsidR="00641C65" w:rsidRPr="006A18D4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D7BEF1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8.</w:t>
      </w:r>
      <w:r w:rsidRPr="006A18D4">
        <w:rPr>
          <w:b/>
          <w:sz w:val="24"/>
          <w:szCs w:val="24"/>
        </w:rPr>
        <w:tab/>
        <w:t>MARKEDSFØRINGSTILLADELSESNUMMER (</w:t>
      </w:r>
      <w:r w:rsidR="00BF6243" w:rsidRPr="006A18D4">
        <w:rPr>
          <w:b/>
          <w:sz w:val="24"/>
          <w:szCs w:val="24"/>
        </w:rPr>
        <w:t>-</w:t>
      </w:r>
      <w:r w:rsidRPr="006A18D4">
        <w:rPr>
          <w:b/>
          <w:sz w:val="24"/>
          <w:szCs w:val="24"/>
        </w:rPr>
        <w:t>NUMRE)</w:t>
      </w:r>
    </w:p>
    <w:p w14:paraId="35C51E82" w14:textId="7A2922EE" w:rsidR="009260DE" w:rsidRPr="006A18D4" w:rsidRDefault="00C5335C" w:rsidP="009260DE">
      <w:pPr>
        <w:tabs>
          <w:tab w:val="left" w:pos="851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73098</w:t>
      </w:r>
    </w:p>
    <w:p w14:paraId="66303DE9" w14:textId="77777777" w:rsidR="009260DE" w:rsidRPr="006A18D4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3C407EE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9.</w:t>
      </w:r>
      <w:r w:rsidRPr="006A18D4">
        <w:rPr>
          <w:b/>
          <w:sz w:val="24"/>
          <w:szCs w:val="24"/>
        </w:rPr>
        <w:tab/>
        <w:t>DATO FOR FØRSTE MARKEDSFØRINGSTILLADELSE</w:t>
      </w:r>
    </w:p>
    <w:p w14:paraId="72713210" w14:textId="2AADAF22" w:rsidR="009260DE" w:rsidRPr="006A18D4" w:rsidRDefault="002627E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27. juni 2025</w:t>
      </w:r>
    </w:p>
    <w:p w14:paraId="7B9A92A2" w14:textId="77777777" w:rsidR="009260DE" w:rsidRPr="006A18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F856BF" w14:textId="77777777" w:rsidR="009260DE" w:rsidRPr="006A18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18D4">
        <w:rPr>
          <w:b/>
          <w:sz w:val="24"/>
          <w:szCs w:val="24"/>
        </w:rPr>
        <w:t>10.</w:t>
      </w:r>
      <w:r w:rsidRPr="006A18D4">
        <w:rPr>
          <w:b/>
          <w:sz w:val="24"/>
          <w:szCs w:val="24"/>
        </w:rPr>
        <w:tab/>
        <w:t>DATO FOR ÆNDRING AF TEKSTEN</w:t>
      </w:r>
    </w:p>
    <w:p w14:paraId="1924CE02" w14:textId="288CB730" w:rsidR="009260DE" w:rsidRPr="006A18D4" w:rsidRDefault="00C5335C" w:rsidP="009260DE">
      <w:pPr>
        <w:tabs>
          <w:tab w:val="left" w:pos="851"/>
        </w:tabs>
        <w:ind w:left="851"/>
        <w:rPr>
          <w:sz w:val="24"/>
          <w:szCs w:val="24"/>
        </w:rPr>
      </w:pPr>
      <w:r w:rsidRPr="006A18D4">
        <w:rPr>
          <w:sz w:val="24"/>
          <w:szCs w:val="24"/>
        </w:rPr>
        <w:t>-</w:t>
      </w:r>
    </w:p>
    <w:sectPr w:rsidR="009260DE" w:rsidRPr="006A18D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751F" w14:textId="77777777" w:rsidR="005266B9" w:rsidRDefault="005266B9">
      <w:r>
        <w:separator/>
      </w:r>
    </w:p>
  </w:endnote>
  <w:endnote w:type="continuationSeparator" w:id="0">
    <w:p w14:paraId="7FF64B5A" w14:textId="77777777" w:rsidR="005266B9" w:rsidRDefault="0052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CA8A" w14:textId="77777777" w:rsidR="000259B9" w:rsidRDefault="000259B9">
    <w:pPr>
      <w:pStyle w:val="Sidefod"/>
      <w:pBdr>
        <w:bottom w:val="single" w:sz="6" w:space="1" w:color="auto"/>
      </w:pBdr>
    </w:pPr>
  </w:p>
  <w:p w14:paraId="2C4BE48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689F091" w14:textId="2ECDE72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84391">
      <w:rPr>
        <w:i/>
        <w:noProof/>
        <w:sz w:val="18"/>
        <w:szCs w:val="18"/>
      </w:rPr>
      <w:t>Posiforlid, øjensalve 20 mg-g.docx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BE1F" w14:textId="77777777" w:rsidR="005266B9" w:rsidRDefault="005266B9">
      <w:r>
        <w:separator/>
      </w:r>
    </w:p>
  </w:footnote>
  <w:footnote w:type="continuationSeparator" w:id="0">
    <w:p w14:paraId="36F56FE1" w14:textId="77777777" w:rsidR="005266B9" w:rsidRDefault="0052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9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627E6"/>
    <w:rsid w:val="00283A2B"/>
    <w:rsid w:val="002B30AD"/>
    <w:rsid w:val="002C1EC0"/>
    <w:rsid w:val="002C2C01"/>
    <w:rsid w:val="00384391"/>
    <w:rsid w:val="003A29AE"/>
    <w:rsid w:val="003A32D7"/>
    <w:rsid w:val="003B4074"/>
    <w:rsid w:val="003C769A"/>
    <w:rsid w:val="003D3A90"/>
    <w:rsid w:val="003F1838"/>
    <w:rsid w:val="004251C1"/>
    <w:rsid w:val="004521E0"/>
    <w:rsid w:val="0045746C"/>
    <w:rsid w:val="0049104B"/>
    <w:rsid w:val="004E3B12"/>
    <w:rsid w:val="005266B9"/>
    <w:rsid w:val="00532310"/>
    <w:rsid w:val="00565F0F"/>
    <w:rsid w:val="00594A86"/>
    <w:rsid w:val="00596D86"/>
    <w:rsid w:val="00637F5A"/>
    <w:rsid w:val="00641C65"/>
    <w:rsid w:val="006560B1"/>
    <w:rsid w:val="006756DD"/>
    <w:rsid w:val="006A18D4"/>
    <w:rsid w:val="0071241E"/>
    <w:rsid w:val="00722066"/>
    <w:rsid w:val="0072635C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D7931"/>
    <w:rsid w:val="00BF6243"/>
    <w:rsid w:val="00C03A63"/>
    <w:rsid w:val="00C36276"/>
    <w:rsid w:val="00C42586"/>
    <w:rsid w:val="00C45F6B"/>
    <w:rsid w:val="00C5335C"/>
    <w:rsid w:val="00C60CCD"/>
    <w:rsid w:val="00C84483"/>
    <w:rsid w:val="00C95551"/>
    <w:rsid w:val="00CB20D7"/>
    <w:rsid w:val="00D020B0"/>
    <w:rsid w:val="00D109CE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B585B"/>
  <w15:chartTrackingRefBased/>
  <w15:docId w15:val="{FDC57171-3BEF-4967-B235-AFD5795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C5335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5335C"/>
    <w:pPr>
      <w:ind w:left="720"/>
      <w:contextualSpacing/>
      <w:jc w:val="both"/>
    </w:pPr>
    <w:rPr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39</TotalTime>
  <Pages>6</Pages>
  <Words>1241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2024123555, MT</dc:description>
  <cp:lastModifiedBy>Gitte Jørgensen</cp:lastModifiedBy>
  <cp:revision>9</cp:revision>
  <cp:lastPrinted>2012-08-22T08:53:00Z</cp:lastPrinted>
  <dcterms:created xsi:type="dcterms:W3CDTF">2025-06-26T11:35:00Z</dcterms:created>
  <dcterms:modified xsi:type="dcterms:W3CDTF">2025-06-27T06:30:00Z</dcterms:modified>
</cp:coreProperties>
</file>