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E7BD" w14:textId="77777777" w:rsidR="009260DE" w:rsidRPr="008F49E1"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4962BBF1" wp14:editId="6BD0DC59">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4C81FAF3" w14:textId="46942330" w:rsidR="009260DE" w:rsidRPr="00A552D1" w:rsidRDefault="009260DE" w:rsidP="009260DE">
      <w:pPr>
        <w:pStyle w:val="Titel"/>
        <w:tabs>
          <w:tab w:val="right" w:pos="9356"/>
        </w:tabs>
        <w:jc w:val="left"/>
        <w:rPr>
          <w:szCs w:val="24"/>
          <w:lang w:eastAsia="en-US"/>
        </w:rPr>
      </w:pPr>
      <w:r w:rsidRPr="00A552D1">
        <w:rPr>
          <w:szCs w:val="24"/>
          <w:lang w:eastAsia="en-US"/>
        </w:rPr>
        <w:tab/>
      </w:r>
      <w:r w:rsidR="00046551">
        <w:rPr>
          <w:szCs w:val="24"/>
          <w:lang w:eastAsia="en-US"/>
        </w:rPr>
        <w:t>3. juni</w:t>
      </w:r>
      <w:r w:rsidR="00480937">
        <w:rPr>
          <w:szCs w:val="24"/>
          <w:lang w:eastAsia="en-US"/>
        </w:rPr>
        <w:t xml:space="preserve"> 202</w:t>
      </w:r>
      <w:r w:rsidR="00046551">
        <w:rPr>
          <w:szCs w:val="24"/>
          <w:lang w:eastAsia="en-US"/>
        </w:rPr>
        <w:t>6</w:t>
      </w:r>
    </w:p>
    <w:p w14:paraId="6D0053D8" w14:textId="77777777" w:rsidR="00A552D1" w:rsidRPr="00C84483" w:rsidRDefault="00A552D1" w:rsidP="009260DE">
      <w:pPr>
        <w:pStyle w:val="Titel"/>
        <w:jc w:val="left"/>
        <w:rPr>
          <w:b w:val="0"/>
          <w:szCs w:val="24"/>
        </w:rPr>
      </w:pPr>
    </w:p>
    <w:p w14:paraId="409D769C" w14:textId="77777777" w:rsidR="009260DE" w:rsidRPr="00C84483" w:rsidRDefault="009260DE" w:rsidP="009260DE">
      <w:pPr>
        <w:jc w:val="center"/>
        <w:rPr>
          <w:b/>
          <w:sz w:val="24"/>
          <w:szCs w:val="24"/>
        </w:rPr>
      </w:pPr>
      <w:r w:rsidRPr="00C84483">
        <w:rPr>
          <w:b/>
          <w:sz w:val="24"/>
          <w:szCs w:val="24"/>
        </w:rPr>
        <w:t>PRODUKTRESUMÉ</w:t>
      </w:r>
    </w:p>
    <w:p w14:paraId="73DC234C" w14:textId="77777777" w:rsidR="009260DE" w:rsidRPr="00C84483" w:rsidRDefault="009260DE" w:rsidP="009260DE">
      <w:pPr>
        <w:jc w:val="center"/>
        <w:rPr>
          <w:b/>
          <w:sz w:val="24"/>
          <w:szCs w:val="24"/>
        </w:rPr>
      </w:pPr>
    </w:p>
    <w:p w14:paraId="5F4318A3" w14:textId="77777777" w:rsidR="009260DE" w:rsidRDefault="00545DBA" w:rsidP="00545DBA">
      <w:pPr>
        <w:tabs>
          <w:tab w:val="left" w:pos="390"/>
          <w:tab w:val="center" w:pos="4819"/>
        </w:tabs>
        <w:rPr>
          <w:b/>
          <w:sz w:val="24"/>
          <w:szCs w:val="24"/>
        </w:rPr>
      </w:pPr>
      <w:r>
        <w:rPr>
          <w:b/>
          <w:sz w:val="24"/>
          <w:szCs w:val="24"/>
        </w:rPr>
        <w:tab/>
      </w:r>
      <w:r>
        <w:rPr>
          <w:b/>
          <w:sz w:val="24"/>
          <w:szCs w:val="24"/>
        </w:rPr>
        <w:tab/>
      </w:r>
      <w:r w:rsidR="009260DE" w:rsidRPr="00C84483">
        <w:rPr>
          <w:b/>
          <w:sz w:val="24"/>
          <w:szCs w:val="24"/>
        </w:rPr>
        <w:t>for</w:t>
      </w:r>
    </w:p>
    <w:p w14:paraId="2C151323" w14:textId="77777777" w:rsidR="000B058C" w:rsidRPr="00C84483" w:rsidRDefault="000B058C" w:rsidP="009260DE">
      <w:pPr>
        <w:jc w:val="center"/>
        <w:rPr>
          <w:b/>
          <w:sz w:val="24"/>
          <w:szCs w:val="24"/>
        </w:rPr>
      </w:pPr>
    </w:p>
    <w:p w14:paraId="3F8BEB19" w14:textId="77777777" w:rsidR="009260DE" w:rsidRPr="00C84483" w:rsidRDefault="00B266B6" w:rsidP="009260DE">
      <w:pPr>
        <w:jc w:val="center"/>
        <w:rPr>
          <w:b/>
          <w:sz w:val="24"/>
          <w:szCs w:val="24"/>
        </w:rPr>
      </w:pPr>
      <w:r>
        <w:rPr>
          <w:b/>
          <w:sz w:val="24"/>
          <w:szCs w:val="24"/>
        </w:rPr>
        <w:t>Pramipexol "Zentiva", depottabletter</w:t>
      </w:r>
    </w:p>
    <w:p w14:paraId="75C6FF90" w14:textId="77777777" w:rsidR="009260DE" w:rsidRPr="00C84483" w:rsidRDefault="009260DE" w:rsidP="009260DE">
      <w:pPr>
        <w:jc w:val="both"/>
        <w:rPr>
          <w:sz w:val="24"/>
          <w:szCs w:val="24"/>
        </w:rPr>
      </w:pPr>
    </w:p>
    <w:p w14:paraId="6E471D36"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3938A205" w14:textId="77777777" w:rsidR="009260DE" w:rsidRPr="00C84483" w:rsidRDefault="00F50C7A" w:rsidP="009260DE">
      <w:pPr>
        <w:tabs>
          <w:tab w:val="left" w:pos="851"/>
        </w:tabs>
        <w:ind w:left="851"/>
        <w:rPr>
          <w:sz w:val="24"/>
          <w:szCs w:val="24"/>
        </w:rPr>
      </w:pPr>
      <w:r>
        <w:rPr>
          <w:sz w:val="24"/>
          <w:szCs w:val="24"/>
        </w:rPr>
        <w:t>32451</w:t>
      </w:r>
    </w:p>
    <w:p w14:paraId="4CAC67F7" w14:textId="77777777" w:rsidR="009260DE" w:rsidRPr="00C84483" w:rsidRDefault="009260DE" w:rsidP="009260DE">
      <w:pPr>
        <w:tabs>
          <w:tab w:val="left" w:pos="851"/>
        </w:tabs>
        <w:ind w:left="851"/>
        <w:rPr>
          <w:sz w:val="24"/>
          <w:szCs w:val="24"/>
        </w:rPr>
      </w:pPr>
    </w:p>
    <w:p w14:paraId="0D1D59E2"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3A0DDCD6" w14:textId="77777777" w:rsidR="009260DE" w:rsidRPr="00C84483" w:rsidRDefault="00F50C7A" w:rsidP="009260DE">
      <w:pPr>
        <w:tabs>
          <w:tab w:val="left" w:pos="851"/>
        </w:tabs>
        <w:ind w:left="851"/>
        <w:rPr>
          <w:sz w:val="24"/>
          <w:szCs w:val="24"/>
        </w:rPr>
      </w:pPr>
      <w:r>
        <w:rPr>
          <w:sz w:val="24"/>
          <w:szCs w:val="24"/>
        </w:rPr>
        <w:t>Pramipexol "Zentiva"</w:t>
      </w:r>
    </w:p>
    <w:p w14:paraId="40DDDE40" w14:textId="77777777" w:rsidR="009260DE" w:rsidRPr="00C84483" w:rsidRDefault="009260DE" w:rsidP="009260DE">
      <w:pPr>
        <w:tabs>
          <w:tab w:val="left" w:pos="851"/>
        </w:tabs>
        <w:ind w:left="851"/>
        <w:rPr>
          <w:sz w:val="24"/>
          <w:szCs w:val="24"/>
        </w:rPr>
      </w:pPr>
    </w:p>
    <w:p w14:paraId="1AA4154B"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5CE1389E" w14:textId="77777777" w:rsidR="00995BD3" w:rsidRPr="00995BD3" w:rsidRDefault="00995BD3" w:rsidP="00046551">
      <w:pPr>
        <w:tabs>
          <w:tab w:val="left" w:pos="851"/>
        </w:tabs>
        <w:rPr>
          <w:sz w:val="24"/>
          <w:szCs w:val="24"/>
        </w:rPr>
      </w:pPr>
    </w:p>
    <w:p w14:paraId="4745F38B" w14:textId="77777777" w:rsidR="00995BD3" w:rsidRPr="00270018" w:rsidRDefault="00995BD3" w:rsidP="00995BD3">
      <w:pPr>
        <w:tabs>
          <w:tab w:val="left" w:pos="851"/>
        </w:tabs>
        <w:ind w:left="851"/>
        <w:rPr>
          <w:sz w:val="24"/>
          <w:szCs w:val="24"/>
          <w:u w:val="single"/>
        </w:rPr>
      </w:pPr>
      <w:r w:rsidRPr="00270018">
        <w:rPr>
          <w:sz w:val="24"/>
          <w:szCs w:val="24"/>
          <w:u w:val="single"/>
        </w:rPr>
        <w:t>0,52 mg</w:t>
      </w:r>
    </w:p>
    <w:p w14:paraId="619CF5C8" w14:textId="77777777" w:rsidR="00995BD3" w:rsidRPr="00995BD3" w:rsidRDefault="00995BD3" w:rsidP="00995BD3">
      <w:pPr>
        <w:tabs>
          <w:tab w:val="left" w:pos="851"/>
        </w:tabs>
        <w:ind w:left="851"/>
        <w:rPr>
          <w:sz w:val="24"/>
          <w:szCs w:val="24"/>
        </w:rPr>
      </w:pPr>
      <w:r w:rsidRPr="00995BD3">
        <w:rPr>
          <w:sz w:val="24"/>
          <w:szCs w:val="24"/>
        </w:rPr>
        <w:t>Hver depottablet indeholder 0,75 mg pramipexoldihydrochloridmonohydrat svarende til 0,52 mg pramipexol.</w:t>
      </w:r>
    </w:p>
    <w:p w14:paraId="5D8DF523" w14:textId="77777777" w:rsidR="00995BD3" w:rsidRPr="00995BD3" w:rsidRDefault="00995BD3" w:rsidP="00995BD3">
      <w:pPr>
        <w:tabs>
          <w:tab w:val="left" w:pos="851"/>
        </w:tabs>
        <w:ind w:left="851"/>
        <w:rPr>
          <w:sz w:val="24"/>
          <w:szCs w:val="24"/>
        </w:rPr>
      </w:pPr>
    </w:p>
    <w:p w14:paraId="2A0226BE" w14:textId="77777777" w:rsidR="00995BD3" w:rsidRPr="00270018" w:rsidRDefault="00995BD3" w:rsidP="00995BD3">
      <w:pPr>
        <w:tabs>
          <w:tab w:val="left" w:pos="851"/>
        </w:tabs>
        <w:ind w:left="851"/>
        <w:rPr>
          <w:sz w:val="24"/>
          <w:szCs w:val="24"/>
          <w:u w:val="single"/>
        </w:rPr>
      </w:pPr>
      <w:r w:rsidRPr="00270018">
        <w:rPr>
          <w:sz w:val="24"/>
          <w:szCs w:val="24"/>
          <w:u w:val="single"/>
        </w:rPr>
        <w:t>1,05 mg</w:t>
      </w:r>
    </w:p>
    <w:p w14:paraId="2F95177F" w14:textId="77777777" w:rsidR="00995BD3" w:rsidRPr="00995BD3" w:rsidRDefault="00995BD3" w:rsidP="00995BD3">
      <w:pPr>
        <w:tabs>
          <w:tab w:val="left" w:pos="851"/>
        </w:tabs>
        <w:ind w:left="851"/>
        <w:rPr>
          <w:sz w:val="24"/>
          <w:szCs w:val="24"/>
        </w:rPr>
      </w:pPr>
      <w:r w:rsidRPr="00995BD3">
        <w:rPr>
          <w:sz w:val="24"/>
          <w:szCs w:val="24"/>
        </w:rPr>
        <w:t>Hver depottablet indeholder 1,5 mg pramipexoldihydrochloridmonohydrat svarende til 1,05 mg pramipexol.</w:t>
      </w:r>
    </w:p>
    <w:p w14:paraId="05B34020" w14:textId="77777777" w:rsidR="00995BD3" w:rsidRPr="00995BD3" w:rsidRDefault="00995BD3" w:rsidP="00995BD3">
      <w:pPr>
        <w:tabs>
          <w:tab w:val="left" w:pos="851"/>
        </w:tabs>
        <w:ind w:left="851"/>
        <w:rPr>
          <w:sz w:val="24"/>
          <w:szCs w:val="24"/>
        </w:rPr>
      </w:pPr>
    </w:p>
    <w:p w14:paraId="07D5024D" w14:textId="77777777" w:rsidR="00995BD3" w:rsidRPr="00270018" w:rsidRDefault="00995BD3" w:rsidP="00995BD3">
      <w:pPr>
        <w:tabs>
          <w:tab w:val="left" w:pos="851"/>
        </w:tabs>
        <w:ind w:left="851"/>
        <w:rPr>
          <w:sz w:val="24"/>
          <w:szCs w:val="24"/>
          <w:u w:val="single"/>
        </w:rPr>
      </w:pPr>
      <w:r w:rsidRPr="00270018">
        <w:rPr>
          <w:sz w:val="24"/>
          <w:szCs w:val="24"/>
          <w:u w:val="single"/>
        </w:rPr>
        <w:t>2,</w:t>
      </w:r>
      <w:r w:rsidR="00660B59">
        <w:rPr>
          <w:sz w:val="24"/>
          <w:szCs w:val="24"/>
          <w:u w:val="single"/>
        </w:rPr>
        <w:t>1</w:t>
      </w:r>
      <w:r w:rsidRPr="00270018">
        <w:rPr>
          <w:sz w:val="24"/>
          <w:szCs w:val="24"/>
          <w:u w:val="single"/>
        </w:rPr>
        <w:t xml:space="preserve"> mg</w:t>
      </w:r>
    </w:p>
    <w:p w14:paraId="11C5FA99" w14:textId="77777777" w:rsidR="00995BD3" w:rsidRPr="00995BD3" w:rsidRDefault="00995BD3" w:rsidP="00995BD3">
      <w:pPr>
        <w:tabs>
          <w:tab w:val="left" w:pos="851"/>
        </w:tabs>
        <w:ind w:left="851"/>
        <w:rPr>
          <w:sz w:val="24"/>
          <w:szCs w:val="24"/>
        </w:rPr>
      </w:pPr>
      <w:r w:rsidRPr="00995BD3">
        <w:rPr>
          <w:sz w:val="24"/>
          <w:szCs w:val="24"/>
        </w:rPr>
        <w:t>Hver depottablet indeholder 3 mg pramipexoldihydrochloridmonohydrat svarende til 2,</w:t>
      </w:r>
      <w:r w:rsidR="00660B59">
        <w:rPr>
          <w:sz w:val="24"/>
          <w:szCs w:val="24"/>
        </w:rPr>
        <w:t>1</w:t>
      </w:r>
      <w:r w:rsidRPr="00995BD3">
        <w:rPr>
          <w:sz w:val="24"/>
          <w:szCs w:val="24"/>
        </w:rPr>
        <w:t> mg pramipexol.</w:t>
      </w:r>
    </w:p>
    <w:p w14:paraId="4FC8CDF4" w14:textId="77777777" w:rsidR="00995BD3" w:rsidRPr="00995BD3" w:rsidRDefault="00995BD3" w:rsidP="00046551">
      <w:pPr>
        <w:tabs>
          <w:tab w:val="left" w:pos="851"/>
        </w:tabs>
        <w:rPr>
          <w:sz w:val="24"/>
          <w:szCs w:val="24"/>
        </w:rPr>
      </w:pPr>
    </w:p>
    <w:p w14:paraId="6591E26E" w14:textId="77777777" w:rsidR="00995BD3" w:rsidRPr="00995BD3" w:rsidRDefault="00995BD3" w:rsidP="00995BD3">
      <w:pPr>
        <w:tabs>
          <w:tab w:val="left" w:pos="851"/>
        </w:tabs>
        <w:ind w:left="851"/>
        <w:rPr>
          <w:sz w:val="24"/>
          <w:szCs w:val="24"/>
        </w:rPr>
      </w:pPr>
      <w:r w:rsidRPr="00995BD3">
        <w:rPr>
          <w:i/>
          <w:sz w:val="24"/>
          <w:szCs w:val="24"/>
        </w:rPr>
        <w:t>Bemærk</w:t>
      </w:r>
      <w:r w:rsidRPr="00995BD3">
        <w:rPr>
          <w:sz w:val="24"/>
          <w:szCs w:val="24"/>
        </w:rPr>
        <w:t>:</w:t>
      </w:r>
    </w:p>
    <w:p w14:paraId="28A8792B" w14:textId="77777777" w:rsidR="00995BD3" w:rsidRPr="00995BD3" w:rsidRDefault="00995BD3" w:rsidP="00995BD3">
      <w:pPr>
        <w:tabs>
          <w:tab w:val="left" w:pos="851"/>
        </w:tabs>
        <w:ind w:left="851"/>
        <w:rPr>
          <w:sz w:val="24"/>
          <w:szCs w:val="24"/>
        </w:rPr>
      </w:pPr>
      <w:r w:rsidRPr="00995BD3">
        <w:rPr>
          <w:sz w:val="24"/>
          <w:szCs w:val="24"/>
        </w:rPr>
        <w:t>Da der i litteraturen refereres til doser af pramipexol i saltformen, er doseringen anført både som pramipexolbase og som pramipexolsalt (i parentes).</w:t>
      </w:r>
    </w:p>
    <w:p w14:paraId="623D2CFA" w14:textId="77777777" w:rsidR="00995BD3" w:rsidRPr="00995BD3" w:rsidRDefault="00995BD3" w:rsidP="00995BD3">
      <w:pPr>
        <w:tabs>
          <w:tab w:val="left" w:pos="851"/>
        </w:tabs>
        <w:ind w:left="851"/>
        <w:rPr>
          <w:sz w:val="24"/>
          <w:szCs w:val="24"/>
        </w:rPr>
      </w:pPr>
    </w:p>
    <w:p w14:paraId="5FF3622A" w14:textId="77777777" w:rsidR="00995BD3" w:rsidRPr="00995BD3" w:rsidRDefault="00995BD3" w:rsidP="00995BD3">
      <w:pPr>
        <w:tabs>
          <w:tab w:val="left" w:pos="851"/>
        </w:tabs>
        <w:ind w:left="851"/>
        <w:rPr>
          <w:sz w:val="24"/>
          <w:szCs w:val="24"/>
        </w:rPr>
      </w:pPr>
      <w:r w:rsidRPr="00995BD3">
        <w:rPr>
          <w:sz w:val="24"/>
          <w:szCs w:val="24"/>
        </w:rPr>
        <w:t>Alle hjælpestoffer er anført under pkt. 6.1.</w:t>
      </w:r>
    </w:p>
    <w:p w14:paraId="1709BBF4" w14:textId="77777777" w:rsidR="009260DE" w:rsidRPr="00C84483" w:rsidRDefault="009260DE" w:rsidP="009260DE">
      <w:pPr>
        <w:tabs>
          <w:tab w:val="left" w:pos="851"/>
        </w:tabs>
        <w:ind w:left="851"/>
        <w:rPr>
          <w:sz w:val="24"/>
          <w:szCs w:val="24"/>
        </w:rPr>
      </w:pPr>
    </w:p>
    <w:p w14:paraId="6B7C392F"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17AAAD19" w14:textId="77777777" w:rsidR="00270018" w:rsidRPr="00270018" w:rsidRDefault="00270018" w:rsidP="00270018">
      <w:pPr>
        <w:tabs>
          <w:tab w:val="left" w:pos="851"/>
        </w:tabs>
        <w:ind w:left="851"/>
        <w:rPr>
          <w:sz w:val="24"/>
          <w:szCs w:val="24"/>
        </w:rPr>
      </w:pPr>
      <w:r w:rsidRPr="00270018">
        <w:rPr>
          <w:sz w:val="24"/>
          <w:szCs w:val="24"/>
        </w:rPr>
        <w:t>Depottabletter</w:t>
      </w:r>
    </w:p>
    <w:p w14:paraId="5CECCB67" w14:textId="77777777" w:rsidR="00270018" w:rsidRPr="00270018" w:rsidRDefault="00270018" w:rsidP="00046551">
      <w:pPr>
        <w:tabs>
          <w:tab w:val="left" w:pos="851"/>
        </w:tabs>
        <w:rPr>
          <w:sz w:val="24"/>
          <w:szCs w:val="24"/>
        </w:rPr>
      </w:pPr>
    </w:p>
    <w:p w14:paraId="03440A0F" w14:textId="77777777" w:rsidR="00270018" w:rsidRPr="00270018" w:rsidRDefault="006B34BD" w:rsidP="00270018">
      <w:pPr>
        <w:tabs>
          <w:tab w:val="left" w:pos="851"/>
        </w:tabs>
        <w:ind w:left="851"/>
        <w:rPr>
          <w:sz w:val="24"/>
          <w:szCs w:val="24"/>
          <w:u w:val="single"/>
        </w:rPr>
      </w:pPr>
      <w:r>
        <w:rPr>
          <w:sz w:val="24"/>
          <w:szCs w:val="24"/>
          <w:u w:val="single"/>
        </w:rPr>
        <w:t>0,52 mg</w:t>
      </w:r>
    </w:p>
    <w:p w14:paraId="64429A8B" w14:textId="77777777" w:rsidR="00270018" w:rsidRPr="00270018" w:rsidRDefault="00270018" w:rsidP="00270018">
      <w:pPr>
        <w:tabs>
          <w:tab w:val="left" w:pos="851"/>
        </w:tabs>
        <w:ind w:left="851"/>
        <w:rPr>
          <w:sz w:val="24"/>
          <w:szCs w:val="24"/>
        </w:rPr>
      </w:pPr>
      <w:r w:rsidRPr="00270018">
        <w:rPr>
          <w:sz w:val="24"/>
          <w:szCs w:val="24"/>
        </w:rPr>
        <w:t>Tabletterne er 10 mm, hvide eller næsten hvide, cylindriske, bikonvekse og er mærket med 052 på den ene side.</w:t>
      </w:r>
    </w:p>
    <w:p w14:paraId="6A2FB012" w14:textId="77777777" w:rsidR="00270018" w:rsidRPr="00270018" w:rsidRDefault="00270018" w:rsidP="00270018">
      <w:pPr>
        <w:tabs>
          <w:tab w:val="left" w:pos="851"/>
        </w:tabs>
        <w:ind w:left="851"/>
        <w:rPr>
          <w:sz w:val="24"/>
          <w:szCs w:val="24"/>
        </w:rPr>
      </w:pPr>
    </w:p>
    <w:p w14:paraId="428290C2" w14:textId="77777777" w:rsidR="00270018" w:rsidRPr="00270018" w:rsidRDefault="006B34BD" w:rsidP="00270018">
      <w:pPr>
        <w:tabs>
          <w:tab w:val="left" w:pos="851"/>
        </w:tabs>
        <w:ind w:left="851"/>
        <w:rPr>
          <w:sz w:val="24"/>
          <w:szCs w:val="24"/>
          <w:u w:val="single"/>
        </w:rPr>
      </w:pPr>
      <w:r>
        <w:rPr>
          <w:sz w:val="24"/>
          <w:szCs w:val="24"/>
          <w:u w:val="single"/>
        </w:rPr>
        <w:t>1,05 mg</w:t>
      </w:r>
    </w:p>
    <w:p w14:paraId="25F843BC" w14:textId="77777777" w:rsidR="00270018" w:rsidRPr="00270018" w:rsidRDefault="00270018" w:rsidP="00270018">
      <w:pPr>
        <w:tabs>
          <w:tab w:val="left" w:pos="851"/>
        </w:tabs>
        <w:ind w:left="851"/>
        <w:rPr>
          <w:sz w:val="24"/>
          <w:szCs w:val="24"/>
        </w:rPr>
      </w:pPr>
      <w:r w:rsidRPr="00270018">
        <w:rPr>
          <w:sz w:val="24"/>
          <w:szCs w:val="24"/>
        </w:rPr>
        <w:t>Tabletterne er 10 mm, hvide eller næsten hvide, cylindriske, bikonvekse og er mærket med 105 på den ene side.</w:t>
      </w:r>
    </w:p>
    <w:p w14:paraId="404B544B" w14:textId="77777777" w:rsidR="00270018" w:rsidRPr="00270018" w:rsidRDefault="00270018" w:rsidP="00270018">
      <w:pPr>
        <w:tabs>
          <w:tab w:val="left" w:pos="851"/>
        </w:tabs>
        <w:ind w:left="851"/>
        <w:rPr>
          <w:sz w:val="24"/>
          <w:szCs w:val="24"/>
        </w:rPr>
      </w:pPr>
    </w:p>
    <w:p w14:paraId="601127BB" w14:textId="77777777" w:rsidR="00270018" w:rsidRPr="00270018" w:rsidRDefault="006B34BD" w:rsidP="00270018">
      <w:pPr>
        <w:tabs>
          <w:tab w:val="left" w:pos="851"/>
        </w:tabs>
        <w:ind w:left="851"/>
        <w:rPr>
          <w:sz w:val="24"/>
          <w:szCs w:val="24"/>
          <w:u w:val="single"/>
        </w:rPr>
      </w:pPr>
      <w:r>
        <w:rPr>
          <w:sz w:val="24"/>
          <w:szCs w:val="24"/>
          <w:u w:val="single"/>
        </w:rPr>
        <w:t>2,1 mg</w:t>
      </w:r>
    </w:p>
    <w:p w14:paraId="0D2E0B73" w14:textId="77777777" w:rsidR="00270018" w:rsidRPr="00270018" w:rsidRDefault="00270018" w:rsidP="00270018">
      <w:pPr>
        <w:tabs>
          <w:tab w:val="left" w:pos="851"/>
        </w:tabs>
        <w:ind w:left="851"/>
        <w:rPr>
          <w:sz w:val="24"/>
          <w:szCs w:val="24"/>
        </w:rPr>
      </w:pPr>
      <w:r w:rsidRPr="00270018">
        <w:rPr>
          <w:sz w:val="24"/>
          <w:szCs w:val="24"/>
        </w:rPr>
        <w:lastRenderedPageBreak/>
        <w:t>Tabletterne er 10 mm, hvide eller næsten hvide, cylindriske, bikonvekse og er mærket med 210 på den ene side.</w:t>
      </w:r>
    </w:p>
    <w:p w14:paraId="70A856BD" w14:textId="77777777" w:rsidR="009260DE" w:rsidRPr="00C84483" w:rsidRDefault="009260DE" w:rsidP="00046551">
      <w:pPr>
        <w:tabs>
          <w:tab w:val="left" w:pos="851"/>
        </w:tabs>
        <w:rPr>
          <w:sz w:val="24"/>
          <w:szCs w:val="24"/>
        </w:rPr>
      </w:pPr>
    </w:p>
    <w:p w14:paraId="05149058" w14:textId="77777777" w:rsidR="009260DE" w:rsidRPr="00C84483" w:rsidRDefault="009260DE" w:rsidP="009260DE">
      <w:pPr>
        <w:tabs>
          <w:tab w:val="left" w:pos="851"/>
        </w:tabs>
        <w:ind w:left="851"/>
        <w:rPr>
          <w:sz w:val="24"/>
          <w:szCs w:val="24"/>
        </w:rPr>
      </w:pPr>
    </w:p>
    <w:p w14:paraId="00F220DE"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63E38E28" w14:textId="77777777" w:rsidR="009260DE" w:rsidRPr="00C84483" w:rsidRDefault="009260DE" w:rsidP="009260DE">
      <w:pPr>
        <w:tabs>
          <w:tab w:val="left" w:pos="851"/>
        </w:tabs>
        <w:ind w:left="851"/>
        <w:rPr>
          <w:b/>
          <w:sz w:val="24"/>
          <w:szCs w:val="24"/>
        </w:rPr>
      </w:pPr>
    </w:p>
    <w:p w14:paraId="2BD18680"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2021A602" w14:textId="77777777" w:rsidR="008157EC" w:rsidRPr="008157EC" w:rsidRDefault="008157EC" w:rsidP="008157EC">
      <w:pPr>
        <w:tabs>
          <w:tab w:val="left" w:pos="851"/>
        </w:tabs>
        <w:ind w:left="851"/>
        <w:rPr>
          <w:sz w:val="24"/>
          <w:szCs w:val="24"/>
        </w:rPr>
      </w:pPr>
      <w:r w:rsidRPr="008157EC">
        <w:rPr>
          <w:sz w:val="24"/>
          <w:szCs w:val="24"/>
        </w:rPr>
        <w:t>Pramipexol "Zentiva" er indiceret til voksne til behandling af tegn og symptomer på idiopatisk Parkinsons sygdom. Pramipexol "Zentiva" kan gives, som monoterapi eller i kombination med levodopa i hele sygdomsforløbet herunder i de sene stadier, når virkningen af levodopa klinger af eller bliver ustabil, og svingninger i den terapeutiske virkning opstår (slutning af dosis eller "on-off" fluktuationer).</w:t>
      </w:r>
    </w:p>
    <w:p w14:paraId="45EA5578" w14:textId="77777777" w:rsidR="009260DE" w:rsidRPr="00C84483" w:rsidRDefault="009260DE" w:rsidP="009260DE">
      <w:pPr>
        <w:tabs>
          <w:tab w:val="left" w:pos="851"/>
        </w:tabs>
        <w:ind w:left="851"/>
        <w:rPr>
          <w:sz w:val="24"/>
          <w:szCs w:val="24"/>
        </w:rPr>
      </w:pPr>
    </w:p>
    <w:p w14:paraId="49DDC605"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122F58">
        <w:rPr>
          <w:b/>
          <w:sz w:val="24"/>
          <w:szCs w:val="24"/>
        </w:rPr>
        <w:t>administration</w:t>
      </w:r>
    </w:p>
    <w:p w14:paraId="5C027718" w14:textId="77777777" w:rsidR="00122F58" w:rsidRPr="00122F58" w:rsidRDefault="00122F58" w:rsidP="00122F58">
      <w:pPr>
        <w:tabs>
          <w:tab w:val="left" w:pos="851"/>
        </w:tabs>
        <w:ind w:left="851"/>
        <w:rPr>
          <w:b/>
          <w:bCs/>
          <w:sz w:val="24"/>
          <w:szCs w:val="24"/>
        </w:rPr>
      </w:pPr>
      <w:r w:rsidRPr="00BB76B0">
        <w:rPr>
          <w:b/>
          <w:bCs/>
          <w:sz w:val="24"/>
          <w:szCs w:val="24"/>
        </w:rPr>
        <w:t>Dosering</w:t>
      </w:r>
    </w:p>
    <w:p w14:paraId="659FC648" w14:textId="77777777" w:rsidR="00122F58" w:rsidRDefault="00122F58" w:rsidP="008157EC">
      <w:pPr>
        <w:tabs>
          <w:tab w:val="left" w:pos="851"/>
        </w:tabs>
        <w:ind w:left="851"/>
        <w:rPr>
          <w:sz w:val="24"/>
          <w:szCs w:val="24"/>
        </w:rPr>
      </w:pPr>
    </w:p>
    <w:p w14:paraId="3D86ADF2" w14:textId="77777777" w:rsidR="008157EC" w:rsidRDefault="008157EC" w:rsidP="008157EC">
      <w:pPr>
        <w:tabs>
          <w:tab w:val="left" w:pos="851"/>
        </w:tabs>
        <w:ind w:left="851"/>
        <w:rPr>
          <w:sz w:val="24"/>
          <w:szCs w:val="24"/>
        </w:rPr>
      </w:pPr>
      <w:r w:rsidRPr="008157EC">
        <w:rPr>
          <w:sz w:val="24"/>
          <w:szCs w:val="24"/>
        </w:rPr>
        <w:t>Pramipexol "Zentiva" depottabletter er én-gang-daglig oral formulering af pramipexol.</w:t>
      </w:r>
    </w:p>
    <w:p w14:paraId="1E31B489" w14:textId="77777777" w:rsidR="00046551" w:rsidRDefault="00046551" w:rsidP="008157EC">
      <w:pPr>
        <w:tabs>
          <w:tab w:val="left" w:pos="851"/>
        </w:tabs>
        <w:ind w:left="851"/>
        <w:rPr>
          <w:sz w:val="24"/>
          <w:szCs w:val="24"/>
        </w:rPr>
      </w:pPr>
    </w:p>
    <w:p w14:paraId="18817DCD" w14:textId="71430540" w:rsidR="00046551" w:rsidRPr="008157EC" w:rsidRDefault="00046551" w:rsidP="008157EC">
      <w:pPr>
        <w:tabs>
          <w:tab w:val="left" w:pos="851"/>
        </w:tabs>
        <w:ind w:left="851"/>
        <w:rPr>
          <w:sz w:val="24"/>
          <w:szCs w:val="24"/>
        </w:rPr>
      </w:pPr>
      <w:r w:rsidRPr="00046551">
        <w:rPr>
          <w:sz w:val="24"/>
          <w:szCs w:val="24"/>
        </w:rPr>
        <w:t>For doser, der ikke er realiserbare/praktiske med dette lægemiddel, er andre lægemiddelformer/styrker/lægemidler tilgængelige.</w:t>
      </w:r>
    </w:p>
    <w:p w14:paraId="72CBE511" w14:textId="77777777" w:rsidR="008157EC" w:rsidRPr="008157EC" w:rsidRDefault="008157EC" w:rsidP="008157EC">
      <w:pPr>
        <w:tabs>
          <w:tab w:val="left" w:pos="851"/>
        </w:tabs>
        <w:ind w:left="851"/>
        <w:rPr>
          <w:sz w:val="24"/>
          <w:szCs w:val="24"/>
        </w:rPr>
      </w:pPr>
    </w:p>
    <w:p w14:paraId="131FBA4F" w14:textId="77777777" w:rsidR="008157EC" w:rsidRPr="008157EC" w:rsidRDefault="008157EC" w:rsidP="008157EC">
      <w:pPr>
        <w:tabs>
          <w:tab w:val="left" w:pos="851"/>
        </w:tabs>
        <w:ind w:left="851"/>
        <w:rPr>
          <w:bCs/>
          <w:sz w:val="24"/>
          <w:szCs w:val="24"/>
          <w:u w:val="single"/>
        </w:rPr>
      </w:pPr>
      <w:r w:rsidRPr="008157EC">
        <w:rPr>
          <w:bCs/>
          <w:sz w:val="24"/>
          <w:szCs w:val="24"/>
          <w:u w:val="single"/>
        </w:rPr>
        <w:t>Dosering</w:t>
      </w:r>
    </w:p>
    <w:p w14:paraId="433B295D" w14:textId="77777777" w:rsidR="008157EC" w:rsidRPr="008157EC" w:rsidRDefault="008157EC" w:rsidP="008157EC">
      <w:pPr>
        <w:tabs>
          <w:tab w:val="left" w:pos="851"/>
        </w:tabs>
        <w:ind w:left="851"/>
        <w:rPr>
          <w:sz w:val="24"/>
          <w:szCs w:val="24"/>
        </w:rPr>
      </w:pPr>
    </w:p>
    <w:p w14:paraId="4FAEA542" w14:textId="77777777" w:rsidR="008157EC" w:rsidRPr="008157EC" w:rsidRDefault="008157EC" w:rsidP="008157EC">
      <w:pPr>
        <w:tabs>
          <w:tab w:val="left" w:pos="851"/>
        </w:tabs>
        <w:ind w:left="851"/>
        <w:rPr>
          <w:i/>
          <w:sz w:val="24"/>
          <w:szCs w:val="24"/>
        </w:rPr>
      </w:pPr>
      <w:r w:rsidRPr="008157EC">
        <w:rPr>
          <w:i/>
          <w:sz w:val="24"/>
          <w:szCs w:val="24"/>
        </w:rPr>
        <w:t>Initialdosis</w:t>
      </w:r>
    </w:p>
    <w:p w14:paraId="7A06B1F6" w14:textId="77777777" w:rsidR="008157EC" w:rsidRPr="008157EC" w:rsidRDefault="008157EC" w:rsidP="008157EC">
      <w:pPr>
        <w:tabs>
          <w:tab w:val="left" w:pos="851"/>
        </w:tabs>
        <w:ind w:left="851"/>
        <w:rPr>
          <w:sz w:val="24"/>
          <w:szCs w:val="24"/>
        </w:rPr>
      </w:pPr>
      <w:r w:rsidRPr="008157EC">
        <w:rPr>
          <w:sz w:val="24"/>
          <w:szCs w:val="24"/>
        </w:rPr>
        <w:t>Dosis skal øges gradvist hver 5.-7. dag fra en startdosis på 0,26 mg base (0,375 mg salt)/dag. Forudsat at patienten ikke får uacceptable bivirkninger, skal dosis titreres indtil den maksimale terapeutiske virkning.</w:t>
      </w:r>
    </w:p>
    <w:p w14:paraId="6DE6142A" w14:textId="77777777" w:rsidR="00A552D1" w:rsidRDefault="00A552D1">
      <w:pPr>
        <w:rPr>
          <w:sz w:val="24"/>
          <w:szCs w:val="24"/>
        </w:rPr>
      </w:pPr>
      <w:r>
        <w:rPr>
          <w:sz w:val="24"/>
          <w:szCs w:val="24"/>
        </w:rPr>
        <w:br w:type="page"/>
      </w:r>
    </w:p>
    <w:p w14:paraId="2EA07B61" w14:textId="77777777" w:rsidR="008157EC" w:rsidRPr="008157EC" w:rsidRDefault="008157EC" w:rsidP="008157EC">
      <w:pPr>
        <w:tabs>
          <w:tab w:val="left" w:pos="851"/>
        </w:tabs>
        <w:ind w:left="851"/>
        <w:rPr>
          <w:sz w:val="24"/>
          <w:szCs w:val="24"/>
        </w:rPr>
      </w:pPr>
    </w:p>
    <w:tbl>
      <w:tblPr>
        <w:tblW w:w="0" w:type="auto"/>
        <w:tblInd w:w="9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8"/>
        <w:gridCol w:w="3402"/>
        <w:gridCol w:w="3402"/>
      </w:tblGrid>
      <w:tr w:rsidR="008157EC" w:rsidRPr="008157EC" w14:paraId="612553B2" w14:textId="77777777" w:rsidTr="008157EC">
        <w:trPr>
          <w:trHeight w:val="253"/>
        </w:trPr>
        <w:tc>
          <w:tcPr>
            <w:tcW w:w="7722" w:type="dxa"/>
            <w:gridSpan w:val="3"/>
            <w:tcBorders>
              <w:top w:val="single" w:sz="6" w:space="0" w:color="000000"/>
              <w:left w:val="single" w:sz="6" w:space="0" w:color="000000"/>
              <w:bottom w:val="single" w:sz="6" w:space="0" w:color="000000"/>
              <w:right w:val="single" w:sz="6" w:space="0" w:color="000000"/>
            </w:tcBorders>
            <w:hideMark/>
          </w:tcPr>
          <w:p w14:paraId="5DAA1646" w14:textId="77777777" w:rsidR="008157EC" w:rsidRPr="008157EC" w:rsidRDefault="008157EC" w:rsidP="008157EC">
            <w:pPr>
              <w:ind w:left="63"/>
              <w:rPr>
                <w:b/>
                <w:bCs/>
                <w:sz w:val="24"/>
                <w:szCs w:val="24"/>
                <w:lang w:val="nb-NO"/>
              </w:rPr>
            </w:pPr>
            <w:r w:rsidRPr="008157EC">
              <w:rPr>
                <w:b/>
                <w:bCs/>
                <w:sz w:val="24"/>
                <w:szCs w:val="24"/>
                <w:lang w:val="nb-NO"/>
              </w:rPr>
              <w:t xml:space="preserve">Skema for øgning af dosis for Pramipexol "Zentiva" depottabletter </w:t>
            </w:r>
          </w:p>
        </w:tc>
      </w:tr>
      <w:tr w:rsidR="008157EC" w:rsidRPr="008157EC" w14:paraId="2D0C0448" w14:textId="77777777" w:rsidTr="008157EC">
        <w:trPr>
          <w:trHeight w:val="251"/>
        </w:trPr>
        <w:tc>
          <w:tcPr>
            <w:tcW w:w="918" w:type="dxa"/>
            <w:tcBorders>
              <w:top w:val="single" w:sz="6" w:space="0" w:color="000000"/>
              <w:left w:val="single" w:sz="6" w:space="0" w:color="000000"/>
              <w:bottom w:val="single" w:sz="6" w:space="0" w:color="000000"/>
              <w:right w:val="single" w:sz="6" w:space="0" w:color="000000"/>
            </w:tcBorders>
            <w:hideMark/>
          </w:tcPr>
          <w:p w14:paraId="7008AC74" w14:textId="77777777" w:rsidR="008157EC" w:rsidRPr="008157EC" w:rsidRDefault="008157EC" w:rsidP="008157EC">
            <w:pPr>
              <w:ind w:left="63"/>
              <w:rPr>
                <w:b/>
                <w:bCs/>
                <w:sz w:val="24"/>
                <w:szCs w:val="24"/>
                <w:lang w:val="nb-NO"/>
              </w:rPr>
            </w:pPr>
            <w:r w:rsidRPr="008157EC">
              <w:rPr>
                <w:b/>
                <w:bCs/>
                <w:sz w:val="24"/>
                <w:szCs w:val="24"/>
                <w:lang w:val="nb-NO"/>
              </w:rPr>
              <w:t>Uge</w:t>
            </w:r>
          </w:p>
        </w:tc>
        <w:tc>
          <w:tcPr>
            <w:tcW w:w="3402" w:type="dxa"/>
            <w:tcBorders>
              <w:top w:val="single" w:sz="6" w:space="0" w:color="000000"/>
              <w:left w:val="single" w:sz="6" w:space="0" w:color="000000"/>
              <w:bottom w:val="single" w:sz="6" w:space="0" w:color="000000"/>
              <w:right w:val="single" w:sz="6" w:space="0" w:color="000000"/>
            </w:tcBorders>
            <w:hideMark/>
          </w:tcPr>
          <w:p w14:paraId="17CCC159" w14:textId="77777777" w:rsidR="008157EC" w:rsidRPr="008157EC" w:rsidRDefault="008157EC" w:rsidP="008157EC">
            <w:pPr>
              <w:tabs>
                <w:tab w:val="left" w:pos="851"/>
              </w:tabs>
              <w:ind w:left="63"/>
              <w:rPr>
                <w:b/>
                <w:bCs/>
                <w:sz w:val="24"/>
                <w:szCs w:val="24"/>
                <w:lang w:val="nb-NO"/>
              </w:rPr>
            </w:pPr>
            <w:r w:rsidRPr="008157EC">
              <w:rPr>
                <w:b/>
                <w:bCs/>
                <w:sz w:val="24"/>
                <w:szCs w:val="24"/>
                <w:lang w:val="nb-NO"/>
              </w:rPr>
              <w:t>Daglig dosis (mg base)</w:t>
            </w:r>
          </w:p>
        </w:tc>
        <w:tc>
          <w:tcPr>
            <w:tcW w:w="3402" w:type="dxa"/>
            <w:tcBorders>
              <w:top w:val="single" w:sz="6" w:space="0" w:color="000000"/>
              <w:left w:val="single" w:sz="6" w:space="0" w:color="000000"/>
              <w:bottom w:val="single" w:sz="6" w:space="0" w:color="000000"/>
              <w:right w:val="single" w:sz="6" w:space="0" w:color="000000"/>
            </w:tcBorders>
            <w:hideMark/>
          </w:tcPr>
          <w:p w14:paraId="252239B1" w14:textId="77777777" w:rsidR="008157EC" w:rsidRPr="008157EC" w:rsidRDefault="008157EC" w:rsidP="008157EC">
            <w:pPr>
              <w:tabs>
                <w:tab w:val="left" w:pos="851"/>
              </w:tabs>
              <w:ind w:left="63"/>
              <w:rPr>
                <w:b/>
                <w:bCs/>
                <w:sz w:val="24"/>
                <w:szCs w:val="24"/>
                <w:lang w:val="nb-NO"/>
              </w:rPr>
            </w:pPr>
            <w:r w:rsidRPr="008157EC">
              <w:rPr>
                <w:b/>
                <w:bCs/>
                <w:sz w:val="24"/>
                <w:szCs w:val="24"/>
                <w:lang w:val="nb-NO"/>
              </w:rPr>
              <w:t>Daglig dosis (mg salt)</w:t>
            </w:r>
          </w:p>
        </w:tc>
      </w:tr>
      <w:tr w:rsidR="008157EC" w:rsidRPr="008157EC" w14:paraId="06D5C311" w14:textId="77777777" w:rsidTr="008157EC">
        <w:trPr>
          <w:trHeight w:val="253"/>
        </w:trPr>
        <w:tc>
          <w:tcPr>
            <w:tcW w:w="918" w:type="dxa"/>
            <w:tcBorders>
              <w:top w:val="single" w:sz="6" w:space="0" w:color="000000"/>
              <w:left w:val="single" w:sz="6" w:space="0" w:color="000000"/>
              <w:bottom w:val="single" w:sz="6" w:space="0" w:color="000000"/>
              <w:right w:val="single" w:sz="6" w:space="0" w:color="000000"/>
            </w:tcBorders>
            <w:hideMark/>
          </w:tcPr>
          <w:p w14:paraId="410D14D9" w14:textId="77777777" w:rsidR="008157EC" w:rsidRPr="008157EC" w:rsidRDefault="008157EC" w:rsidP="008157EC">
            <w:pPr>
              <w:ind w:left="63"/>
              <w:rPr>
                <w:sz w:val="24"/>
                <w:szCs w:val="24"/>
                <w:lang w:val="nb-NO"/>
              </w:rPr>
            </w:pPr>
            <w:r w:rsidRPr="008157EC">
              <w:rPr>
                <w:sz w:val="24"/>
                <w:szCs w:val="24"/>
                <w:lang w:val="nb-NO"/>
              </w:rPr>
              <w:t>1</w:t>
            </w:r>
          </w:p>
        </w:tc>
        <w:tc>
          <w:tcPr>
            <w:tcW w:w="3402" w:type="dxa"/>
            <w:tcBorders>
              <w:top w:val="single" w:sz="6" w:space="0" w:color="000000"/>
              <w:left w:val="single" w:sz="6" w:space="0" w:color="000000"/>
              <w:bottom w:val="single" w:sz="6" w:space="0" w:color="000000"/>
              <w:right w:val="single" w:sz="6" w:space="0" w:color="000000"/>
            </w:tcBorders>
            <w:hideMark/>
          </w:tcPr>
          <w:p w14:paraId="2DE5A8BE" w14:textId="77777777" w:rsidR="008157EC" w:rsidRPr="008157EC" w:rsidRDefault="008157EC" w:rsidP="008157EC">
            <w:pPr>
              <w:tabs>
                <w:tab w:val="left" w:pos="851"/>
              </w:tabs>
              <w:ind w:left="63"/>
              <w:rPr>
                <w:sz w:val="24"/>
                <w:szCs w:val="24"/>
                <w:lang w:val="nb-NO"/>
              </w:rPr>
            </w:pPr>
            <w:r w:rsidRPr="008157EC">
              <w:rPr>
                <w:sz w:val="24"/>
                <w:szCs w:val="24"/>
                <w:lang w:val="nb-NO"/>
              </w:rPr>
              <w:t>0,26</w:t>
            </w:r>
          </w:p>
        </w:tc>
        <w:tc>
          <w:tcPr>
            <w:tcW w:w="3402" w:type="dxa"/>
            <w:tcBorders>
              <w:top w:val="single" w:sz="6" w:space="0" w:color="000000"/>
              <w:left w:val="single" w:sz="6" w:space="0" w:color="000000"/>
              <w:bottom w:val="single" w:sz="6" w:space="0" w:color="000000"/>
              <w:right w:val="single" w:sz="6" w:space="0" w:color="000000"/>
            </w:tcBorders>
            <w:hideMark/>
          </w:tcPr>
          <w:p w14:paraId="5E8747AE" w14:textId="77777777" w:rsidR="008157EC" w:rsidRPr="008157EC" w:rsidRDefault="008157EC" w:rsidP="008157EC">
            <w:pPr>
              <w:tabs>
                <w:tab w:val="left" w:pos="851"/>
              </w:tabs>
              <w:ind w:left="63"/>
              <w:rPr>
                <w:sz w:val="24"/>
                <w:szCs w:val="24"/>
                <w:lang w:val="nb-NO"/>
              </w:rPr>
            </w:pPr>
            <w:r w:rsidRPr="008157EC">
              <w:rPr>
                <w:sz w:val="24"/>
                <w:szCs w:val="24"/>
                <w:lang w:val="nb-NO"/>
              </w:rPr>
              <w:t>0,375</w:t>
            </w:r>
          </w:p>
        </w:tc>
      </w:tr>
      <w:tr w:rsidR="008157EC" w:rsidRPr="008157EC" w14:paraId="4058778E" w14:textId="77777777" w:rsidTr="008157EC">
        <w:trPr>
          <w:trHeight w:val="251"/>
        </w:trPr>
        <w:tc>
          <w:tcPr>
            <w:tcW w:w="918" w:type="dxa"/>
            <w:tcBorders>
              <w:top w:val="single" w:sz="6" w:space="0" w:color="000000"/>
              <w:left w:val="single" w:sz="6" w:space="0" w:color="000000"/>
              <w:bottom w:val="single" w:sz="6" w:space="0" w:color="000000"/>
              <w:right w:val="single" w:sz="6" w:space="0" w:color="000000"/>
            </w:tcBorders>
            <w:hideMark/>
          </w:tcPr>
          <w:p w14:paraId="51A92962" w14:textId="77777777" w:rsidR="008157EC" w:rsidRPr="008157EC" w:rsidRDefault="008157EC" w:rsidP="008157EC">
            <w:pPr>
              <w:ind w:left="63"/>
              <w:rPr>
                <w:sz w:val="24"/>
                <w:szCs w:val="24"/>
                <w:lang w:val="nb-NO"/>
              </w:rPr>
            </w:pPr>
            <w:r w:rsidRPr="008157EC">
              <w:rPr>
                <w:sz w:val="24"/>
                <w:szCs w:val="24"/>
                <w:lang w:val="nb-NO"/>
              </w:rPr>
              <w:t>2</w:t>
            </w:r>
          </w:p>
        </w:tc>
        <w:tc>
          <w:tcPr>
            <w:tcW w:w="3402" w:type="dxa"/>
            <w:tcBorders>
              <w:top w:val="single" w:sz="6" w:space="0" w:color="000000"/>
              <w:left w:val="single" w:sz="6" w:space="0" w:color="000000"/>
              <w:bottom w:val="single" w:sz="6" w:space="0" w:color="000000"/>
              <w:right w:val="single" w:sz="6" w:space="0" w:color="000000"/>
            </w:tcBorders>
            <w:hideMark/>
          </w:tcPr>
          <w:p w14:paraId="61A57602" w14:textId="77777777" w:rsidR="008157EC" w:rsidRPr="008157EC" w:rsidRDefault="008157EC" w:rsidP="008157EC">
            <w:pPr>
              <w:tabs>
                <w:tab w:val="left" w:pos="851"/>
              </w:tabs>
              <w:ind w:left="63"/>
              <w:rPr>
                <w:sz w:val="24"/>
                <w:szCs w:val="24"/>
                <w:lang w:val="nb-NO"/>
              </w:rPr>
            </w:pPr>
            <w:r w:rsidRPr="008157EC">
              <w:rPr>
                <w:sz w:val="24"/>
                <w:szCs w:val="24"/>
                <w:lang w:val="nb-NO"/>
              </w:rPr>
              <w:t>0,52</w:t>
            </w:r>
          </w:p>
        </w:tc>
        <w:tc>
          <w:tcPr>
            <w:tcW w:w="3402" w:type="dxa"/>
            <w:tcBorders>
              <w:top w:val="single" w:sz="6" w:space="0" w:color="000000"/>
              <w:left w:val="single" w:sz="6" w:space="0" w:color="000000"/>
              <w:bottom w:val="single" w:sz="6" w:space="0" w:color="000000"/>
              <w:right w:val="single" w:sz="6" w:space="0" w:color="000000"/>
            </w:tcBorders>
            <w:hideMark/>
          </w:tcPr>
          <w:p w14:paraId="23AD09AA" w14:textId="77777777" w:rsidR="008157EC" w:rsidRPr="008157EC" w:rsidRDefault="008157EC" w:rsidP="008157EC">
            <w:pPr>
              <w:tabs>
                <w:tab w:val="left" w:pos="851"/>
              </w:tabs>
              <w:ind w:left="63"/>
              <w:rPr>
                <w:sz w:val="24"/>
                <w:szCs w:val="24"/>
                <w:lang w:val="nb-NO"/>
              </w:rPr>
            </w:pPr>
            <w:r w:rsidRPr="008157EC">
              <w:rPr>
                <w:sz w:val="24"/>
                <w:szCs w:val="24"/>
                <w:lang w:val="nb-NO"/>
              </w:rPr>
              <w:t>0,75</w:t>
            </w:r>
          </w:p>
        </w:tc>
      </w:tr>
      <w:tr w:rsidR="008157EC" w:rsidRPr="008157EC" w14:paraId="1A9B70E2" w14:textId="77777777" w:rsidTr="008157EC">
        <w:trPr>
          <w:trHeight w:val="253"/>
        </w:trPr>
        <w:tc>
          <w:tcPr>
            <w:tcW w:w="918" w:type="dxa"/>
            <w:tcBorders>
              <w:top w:val="single" w:sz="6" w:space="0" w:color="000000"/>
              <w:left w:val="single" w:sz="6" w:space="0" w:color="000000"/>
              <w:bottom w:val="single" w:sz="6" w:space="0" w:color="000000"/>
              <w:right w:val="single" w:sz="6" w:space="0" w:color="000000"/>
            </w:tcBorders>
            <w:hideMark/>
          </w:tcPr>
          <w:p w14:paraId="1CEF504A" w14:textId="77777777" w:rsidR="008157EC" w:rsidRPr="008157EC" w:rsidRDefault="008157EC" w:rsidP="008157EC">
            <w:pPr>
              <w:ind w:left="63"/>
              <w:rPr>
                <w:sz w:val="24"/>
                <w:szCs w:val="24"/>
                <w:lang w:val="nb-NO"/>
              </w:rPr>
            </w:pPr>
            <w:r w:rsidRPr="008157EC">
              <w:rPr>
                <w:sz w:val="24"/>
                <w:szCs w:val="24"/>
                <w:lang w:val="nb-NO"/>
              </w:rPr>
              <w:t>3</w:t>
            </w:r>
          </w:p>
        </w:tc>
        <w:tc>
          <w:tcPr>
            <w:tcW w:w="3402" w:type="dxa"/>
            <w:tcBorders>
              <w:top w:val="single" w:sz="6" w:space="0" w:color="000000"/>
              <w:left w:val="single" w:sz="6" w:space="0" w:color="000000"/>
              <w:bottom w:val="single" w:sz="6" w:space="0" w:color="000000"/>
              <w:right w:val="single" w:sz="6" w:space="0" w:color="000000"/>
            </w:tcBorders>
            <w:hideMark/>
          </w:tcPr>
          <w:p w14:paraId="23E7E839" w14:textId="77777777" w:rsidR="008157EC" w:rsidRPr="008157EC" w:rsidRDefault="008157EC" w:rsidP="008157EC">
            <w:pPr>
              <w:tabs>
                <w:tab w:val="left" w:pos="851"/>
              </w:tabs>
              <w:ind w:left="63"/>
              <w:rPr>
                <w:sz w:val="24"/>
                <w:szCs w:val="24"/>
                <w:lang w:val="nb-NO"/>
              </w:rPr>
            </w:pPr>
            <w:r w:rsidRPr="008157EC">
              <w:rPr>
                <w:sz w:val="24"/>
                <w:szCs w:val="24"/>
                <w:lang w:val="nb-NO"/>
              </w:rPr>
              <w:t>1,05</w:t>
            </w:r>
          </w:p>
        </w:tc>
        <w:tc>
          <w:tcPr>
            <w:tcW w:w="3402" w:type="dxa"/>
            <w:tcBorders>
              <w:top w:val="single" w:sz="6" w:space="0" w:color="000000"/>
              <w:left w:val="single" w:sz="6" w:space="0" w:color="000000"/>
              <w:bottom w:val="single" w:sz="6" w:space="0" w:color="000000"/>
              <w:right w:val="single" w:sz="6" w:space="0" w:color="000000"/>
            </w:tcBorders>
            <w:hideMark/>
          </w:tcPr>
          <w:p w14:paraId="12C4952C" w14:textId="77777777" w:rsidR="008157EC" w:rsidRPr="008157EC" w:rsidRDefault="008157EC" w:rsidP="008157EC">
            <w:pPr>
              <w:tabs>
                <w:tab w:val="left" w:pos="851"/>
              </w:tabs>
              <w:ind w:left="63"/>
              <w:rPr>
                <w:sz w:val="24"/>
                <w:szCs w:val="24"/>
                <w:lang w:val="nb-NO"/>
              </w:rPr>
            </w:pPr>
            <w:r w:rsidRPr="008157EC">
              <w:rPr>
                <w:sz w:val="24"/>
                <w:szCs w:val="24"/>
                <w:lang w:val="nb-NO"/>
              </w:rPr>
              <w:t>1,5</w:t>
            </w:r>
          </w:p>
        </w:tc>
      </w:tr>
    </w:tbl>
    <w:p w14:paraId="584654E8" w14:textId="77777777" w:rsidR="008157EC" w:rsidRPr="008157EC" w:rsidRDefault="008157EC" w:rsidP="008157EC">
      <w:pPr>
        <w:tabs>
          <w:tab w:val="left" w:pos="851"/>
        </w:tabs>
        <w:ind w:left="851"/>
        <w:rPr>
          <w:sz w:val="24"/>
          <w:szCs w:val="24"/>
        </w:rPr>
      </w:pPr>
    </w:p>
    <w:p w14:paraId="1D343B13" w14:textId="77777777" w:rsidR="008157EC" w:rsidRPr="008157EC" w:rsidRDefault="008157EC" w:rsidP="008157EC">
      <w:pPr>
        <w:tabs>
          <w:tab w:val="left" w:pos="851"/>
        </w:tabs>
        <w:ind w:left="851"/>
        <w:rPr>
          <w:sz w:val="24"/>
          <w:szCs w:val="24"/>
        </w:rPr>
      </w:pPr>
      <w:r w:rsidRPr="008157EC">
        <w:rPr>
          <w:sz w:val="24"/>
          <w:szCs w:val="24"/>
        </w:rPr>
        <w:t>Hvis en yderligere øgning af den daglige dosis er nødvendig, bør denne øges med 0,52 mg base (0,75 mg salt) ugentligt op til maksimal dosis på 3,15 mg base (4,5 mg salt)/dag.</w:t>
      </w:r>
    </w:p>
    <w:p w14:paraId="77CB05DD" w14:textId="77777777" w:rsidR="008157EC" w:rsidRPr="008157EC" w:rsidRDefault="008157EC" w:rsidP="008157EC">
      <w:pPr>
        <w:tabs>
          <w:tab w:val="left" w:pos="851"/>
        </w:tabs>
        <w:ind w:left="851"/>
        <w:rPr>
          <w:sz w:val="24"/>
          <w:szCs w:val="24"/>
        </w:rPr>
      </w:pPr>
      <w:r w:rsidRPr="008157EC">
        <w:rPr>
          <w:sz w:val="24"/>
          <w:szCs w:val="24"/>
        </w:rPr>
        <w:t>Man skal være opmærksom på, at hyppigheden af døsighed øges ved doser højere end 1,05 mg base (1,5 mg salt)/dag (se pkt. 4.8).</w:t>
      </w:r>
    </w:p>
    <w:p w14:paraId="42ACF7CE" w14:textId="77777777" w:rsidR="008157EC" w:rsidRPr="008157EC" w:rsidRDefault="008157EC" w:rsidP="008157EC">
      <w:pPr>
        <w:tabs>
          <w:tab w:val="left" w:pos="851"/>
        </w:tabs>
        <w:ind w:left="851"/>
        <w:rPr>
          <w:sz w:val="24"/>
          <w:szCs w:val="24"/>
        </w:rPr>
      </w:pPr>
    </w:p>
    <w:p w14:paraId="00AB71E2" w14:textId="77777777" w:rsidR="008157EC" w:rsidRPr="008157EC" w:rsidRDefault="008157EC" w:rsidP="008157EC">
      <w:pPr>
        <w:tabs>
          <w:tab w:val="left" w:pos="851"/>
        </w:tabs>
        <w:ind w:left="851"/>
        <w:rPr>
          <w:sz w:val="24"/>
          <w:szCs w:val="24"/>
        </w:rPr>
      </w:pPr>
      <w:r w:rsidRPr="008157EC">
        <w:rPr>
          <w:sz w:val="24"/>
          <w:szCs w:val="24"/>
        </w:rPr>
        <w:t>Patienter, der i forvejen tager pramipexol tabletter, kan fra dag til dag skifte til den samme daglige dosis af Pramipexol "Zentiva" depottabletter. Afhængigt af patientens terapeutiske respons kan dosis af Pramipexol "Zentiva" depottabletter justeres efterfølgende (se pkt. 5.1).</w:t>
      </w:r>
    </w:p>
    <w:p w14:paraId="4C3C889F" w14:textId="77777777" w:rsidR="008157EC" w:rsidRPr="008157EC" w:rsidRDefault="008157EC" w:rsidP="008157EC">
      <w:pPr>
        <w:tabs>
          <w:tab w:val="left" w:pos="851"/>
        </w:tabs>
        <w:ind w:left="851"/>
        <w:rPr>
          <w:sz w:val="24"/>
          <w:szCs w:val="24"/>
        </w:rPr>
      </w:pPr>
    </w:p>
    <w:p w14:paraId="49522B55" w14:textId="77777777" w:rsidR="008157EC" w:rsidRPr="007D6532" w:rsidRDefault="008157EC" w:rsidP="008157EC">
      <w:pPr>
        <w:tabs>
          <w:tab w:val="left" w:pos="851"/>
        </w:tabs>
        <w:ind w:left="851"/>
        <w:rPr>
          <w:i/>
          <w:sz w:val="24"/>
          <w:szCs w:val="24"/>
        </w:rPr>
      </w:pPr>
      <w:r w:rsidRPr="007D6532">
        <w:rPr>
          <w:i/>
          <w:sz w:val="24"/>
          <w:szCs w:val="24"/>
        </w:rPr>
        <w:t>Vedligeholdelsesdosis</w:t>
      </w:r>
    </w:p>
    <w:p w14:paraId="70552C93" w14:textId="77777777" w:rsidR="008157EC" w:rsidRPr="008157EC" w:rsidRDefault="008157EC" w:rsidP="008157EC">
      <w:pPr>
        <w:tabs>
          <w:tab w:val="left" w:pos="851"/>
        </w:tabs>
        <w:ind w:left="851"/>
        <w:rPr>
          <w:sz w:val="24"/>
          <w:szCs w:val="24"/>
        </w:rPr>
      </w:pPr>
      <w:r w:rsidRPr="008157EC">
        <w:rPr>
          <w:sz w:val="24"/>
          <w:szCs w:val="24"/>
        </w:rPr>
        <w:t>Den daglige dosis bør være mellem 0,26 mg base (0,375 mg salt) og 3,15 mg base (4,5 mg salt). I kliniske titreringsforsøg sås en virkning allerede ved en daglig dosis på 1,05 mg base (1,5 mg salt). Yderligere dosisjusteringer bør foretages på basis af klinisk respons og forekomst af bivirkninger. Ca. 5 % af patienterne i de kliniske forsøg blev behandlet med doser mindre end 1,05 mg base (1,5 mg salt). For patienter med fremskreden Parkinsons sygdom, og hvor en reduktion af levodopadosis er tilsigtet, kan pramipexoldoser højere end 1,05 mg base (1,5 mg salt) i døgnet være nyttig. Afhængigt af den enkelte patients respons på behandlingen kan det anbefales, at levodopadosis reduceres både under dosisstigning og vedligeholdelsesbehandling med Pramipexol "Zentiva" (se pkt. 4.5).</w:t>
      </w:r>
    </w:p>
    <w:p w14:paraId="0E9BF54C" w14:textId="77777777" w:rsidR="008157EC" w:rsidRPr="008157EC" w:rsidRDefault="008157EC" w:rsidP="008157EC">
      <w:pPr>
        <w:tabs>
          <w:tab w:val="left" w:pos="851"/>
        </w:tabs>
        <w:ind w:left="851"/>
        <w:rPr>
          <w:sz w:val="24"/>
          <w:szCs w:val="24"/>
        </w:rPr>
      </w:pPr>
    </w:p>
    <w:p w14:paraId="101E1BAF" w14:textId="77777777" w:rsidR="008157EC" w:rsidRPr="007D6532" w:rsidRDefault="008157EC" w:rsidP="008157EC">
      <w:pPr>
        <w:tabs>
          <w:tab w:val="left" w:pos="851"/>
        </w:tabs>
        <w:ind w:left="851"/>
        <w:rPr>
          <w:i/>
          <w:sz w:val="24"/>
          <w:szCs w:val="24"/>
        </w:rPr>
      </w:pPr>
      <w:r w:rsidRPr="007D6532">
        <w:rPr>
          <w:i/>
          <w:sz w:val="24"/>
          <w:szCs w:val="24"/>
        </w:rPr>
        <w:t>Glemt dosis</w:t>
      </w:r>
    </w:p>
    <w:p w14:paraId="6E18CF74" w14:textId="77777777" w:rsidR="008157EC" w:rsidRPr="008157EC" w:rsidRDefault="008157EC" w:rsidP="008157EC">
      <w:pPr>
        <w:tabs>
          <w:tab w:val="left" w:pos="851"/>
        </w:tabs>
        <w:ind w:left="851"/>
        <w:rPr>
          <w:sz w:val="24"/>
          <w:szCs w:val="24"/>
        </w:rPr>
      </w:pPr>
      <w:r w:rsidRPr="008157EC">
        <w:rPr>
          <w:sz w:val="24"/>
          <w:szCs w:val="24"/>
        </w:rPr>
        <w:t>Hvis patienten glemmer en dosis, bør Pramipexol "Zentiva" depottabletter tages indenfor 12 timer fra det sædvanlige tidspunkt. Hvis der går mere end 12 timer skal patienten ikke tage den glemte dosis. Den næste dosis skal tages på det sædvanlige tidspunkt den næste dag.</w:t>
      </w:r>
    </w:p>
    <w:p w14:paraId="48DB8EE6" w14:textId="77777777" w:rsidR="008157EC" w:rsidRPr="008157EC" w:rsidRDefault="008157EC" w:rsidP="008157EC">
      <w:pPr>
        <w:tabs>
          <w:tab w:val="left" w:pos="851"/>
        </w:tabs>
        <w:ind w:left="851"/>
        <w:rPr>
          <w:sz w:val="24"/>
          <w:szCs w:val="24"/>
        </w:rPr>
      </w:pPr>
    </w:p>
    <w:p w14:paraId="2A05EDD7" w14:textId="77777777" w:rsidR="008157EC" w:rsidRPr="007D6532" w:rsidRDefault="008157EC" w:rsidP="008157EC">
      <w:pPr>
        <w:tabs>
          <w:tab w:val="left" w:pos="851"/>
        </w:tabs>
        <w:ind w:left="851"/>
        <w:rPr>
          <w:i/>
          <w:sz w:val="24"/>
          <w:szCs w:val="24"/>
        </w:rPr>
      </w:pPr>
      <w:r w:rsidRPr="007D6532">
        <w:rPr>
          <w:i/>
          <w:sz w:val="24"/>
          <w:szCs w:val="24"/>
        </w:rPr>
        <w:t>Behandlingsophør</w:t>
      </w:r>
    </w:p>
    <w:p w14:paraId="4082143E" w14:textId="77777777" w:rsidR="008157EC" w:rsidRPr="008157EC" w:rsidRDefault="008157EC" w:rsidP="008157EC">
      <w:pPr>
        <w:tabs>
          <w:tab w:val="left" w:pos="851"/>
        </w:tabs>
        <w:ind w:left="851"/>
        <w:rPr>
          <w:sz w:val="24"/>
          <w:szCs w:val="24"/>
        </w:rPr>
      </w:pPr>
      <w:r w:rsidRPr="008157EC">
        <w:rPr>
          <w:sz w:val="24"/>
          <w:szCs w:val="24"/>
        </w:rPr>
        <w:t>Pludseligt ophør med dopamin-behandling kan føre til udvikling af malignt neuroleptikasyndrom eller dopaminagonist-abstinenssyndrom. Pramipexoldosis bør reduceres med 0,52 mg base (0,75 mg salt)/dag, indtil den daglige dosis er reduceret til 0,52 mg base (0,75 mg salt). Derefter bør dosis reduceres med 0,26 mg base (0,375 mg salt)/dag (se pkt. 4.4). Dopaminagonist-abstinenssyndrom kan stadig forekomme under nedtrapningen, og en midlertidig øgning af dosis kan være nødvendig inden nedtrapningen genoptages (se pkt. 4.4).</w:t>
      </w:r>
    </w:p>
    <w:p w14:paraId="594F5EC5" w14:textId="77777777" w:rsidR="008157EC" w:rsidRPr="008157EC" w:rsidRDefault="008157EC" w:rsidP="008157EC">
      <w:pPr>
        <w:tabs>
          <w:tab w:val="left" w:pos="851"/>
        </w:tabs>
        <w:ind w:left="851"/>
        <w:rPr>
          <w:sz w:val="24"/>
          <w:szCs w:val="24"/>
        </w:rPr>
      </w:pPr>
    </w:p>
    <w:p w14:paraId="54F39A02" w14:textId="77777777" w:rsidR="00122F58" w:rsidRPr="007D6532" w:rsidRDefault="00122F58" w:rsidP="00122F58">
      <w:pPr>
        <w:tabs>
          <w:tab w:val="left" w:pos="851"/>
        </w:tabs>
        <w:ind w:left="851"/>
        <w:rPr>
          <w:i/>
          <w:sz w:val="24"/>
          <w:szCs w:val="24"/>
        </w:rPr>
      </w:pPr>
      <w:r w:rsidRPr="007D6532">
        <w:rPr>
          <w:i/>
          <w:sz w:val="24"/>
          <w:szCs w:val="24"/>
        </w:rPr>
        <w:t>Nedsat nyrefunktion</w:t>
      </w:r>
    </w:p>
    <w:p w14:paraId="206834E4" w14:textId="77777777" w:rsidR="00122F58" w:rsidRPr="008157EC" w:rsidRDefault="00122F58" w:rsidP="00122F58">
      <w:pPr>
        <w:tabs>
          <w:tab w:val="left" w:pos="851"/>
        </w:tabs>
        <w:ind w:left="851"/>
        <w:rPr>
          <w:sz w:val="24"/>
          <w:szCs w:val="24"/>
        </w:rPr>
      </w:pPr>
      <w:r w:rsidRPr="008157EC">
        <w:rPr>
          <w:sz w:val="24"/>
          <w:szCs w:val="24"/>
        </w:rPr>
        <w:t xml:space="preserve">Eliminationen af pramipexol er afhængig af nyrefunktionen. </w:t>
      </w:r>
      <w:r w:rsidRPr="00235107">
        <w:rPr>
          <w:sz w:val="24"/>
          <w:szCs w:val="24"/>
        </w:rPr>
        <w:t>Følgende doseringsregime foreslås som begyndelsesterapi:</w:t>
      </w:r>
    </w:p>
    <w:p w14:paraId="58C1D376" w14:textId="77777777" w:rsidR="008157EC" w:rsidRPr="008157EC" w:rsidRDefault="008157EC" w:rsidP="008157EC">
      <w:pPr>
        <w:tabs>
          <w:tab w:val="left" w:pos="851"/>
        </w:tabs>
        <w:ind w:left="851"/>
        <w:rPr>
          <w:sz w:val="24"/>
          <w:szCs w:val="24"/>
        </w:rPr>
      </w:pPr>
    </w:p>
    <w:p w14:paraId="1EDA3E65" w14:textId="77777777" w:rsidR="008157EC" w:rsidRPr="008157EC" w:rsidRDefault="008157EC" w:rsidP="008157EC">
      <w:pPr>
        <w:tabs>
          <w:tab w:val="left" w:pos="851"/>
        </w:tabs>
        <w:ind w:left="851"/>
        <w:rPr>
          <w:sz w:val="24"/>
          <w:szCs w:val="24"/>
        </w:rPr>
      </w:pPr>
      <w:r w:rsidRPr="008157EC">
        <w:rPr>
          <w:sz w:val="24"/>
          <w:szCs w:val="24"/>
        </w:rPr>
        <w:t>Ved kreatininclearance over 50 ml/min er reduktion af dosis eller doseringshyppighed ikke nødvendig.</w:t>
      </w:r>
    </w:p>
    <w:p w14:paraId="35986B14" w14:textId="77777777" w:rsidR="008157EC" w:rsidRPr="008157EC" w:rsidRDefault="008157EC" w:rsidP="008157EC">
      <w:pPr>
        <w:tabs>
          <w:tab w:val="left" w:pos="851"/>
        </w:tabs>
        <w:ind w:left="851"/>
        <w:rPr>
          <w:sz w:val="24"/>
          <w:szCs w:val="24"/>
        </w:rPr>
      </w:pPr>
    </w:p>
    <w:p w14:paraId="3350B58F" w14:textId="77777777" w:rsidR="008157EC" w:rsidRPr="008157EC" w:rsidRDefault="008157EC" w:rsidP="008157EC">
      <w:pPr>
        <w:tabs>
          <w:tab w:val="left" w:pos="851"/>
        </w:tabs>
        <w:ind w:left="851"/>
        <w:rPr>
          <w:sz w:val="24"/>
          <w:szCs w:val="24"/>
        </w:rPr>
      </w:pPr>
      <w:r w:rsidRPr="008157EC">
        <w:rPr>
          <w:sz w:val="24"/>
          <w:szCs w:val="24"/>
        </w:rPr>
        <w:lastRenderedPageBreak/>
        <w:t>Ved kreatininclearance mellem 30 og 50 ml/min bør behandlingen starte med 0,26 mg Pramipexol "Zentiva" depottabletter hver anden dag. Forsigtighed bør udvises, og omhyggelig vurdering af det terapeutiske respons samt tolerabilitet bør foretages inden dosis optrappes til dosering hver dag efter 1 uge. Hvis yderligere dosisøgning er nødvendig, bør dosis øges med 0,26 mg pramipexolbase/uge op til en maksimal dosis på 1,57 mg pramipexolbase (2,25 mg salt)/dag.</w:t>
      </w:r>
    </w:p>
    <w:p w14:paraId="3A51F9E1" w14:textId="77777777" w:rsidR="008157EC" w:rsidRPr="008157EC" w:rsidRDefault="008157EC" w:rsidP="008157EC">
      <w:pPr>
        <w:tabs>
          <w:tab w:val="left" w:pos="851"/>
        </w:tabs>
        <w:ind w:left="851"/>
        <w:rPr>
          <w:sz w:val="24"/>
          <w:szCs w:val="24"/>
        </w:rPr>
      </w:pPr>
    </w:p>
    <w:p w14:paraId="75EBF8CA" w14:textId="77777777" w:rsidR="008157EC" w:rsidRPr="008157EC" w:rsidRDefault="008157EC" w:rsidP="008157EC">
      <w:pPr>
        <w:tabs>
          <w:tab w:val="left" w:pos="851"/>
        </w:tabs>
        <w:ind w:left="851"/>
        <w:rPr>
          <w:sz w:val="24"/>
          <w:szCs w:val="24"/>
        </w:rPr>
      </w:pPr>
      <w:r w:rsidRPr="008157EC">
        <w:rPr>
          <w:sz w:val="24"/>
          <w:szCs w:val="24"/>
        </w:rPr>
        <w:t>Ved kreatininclearance mindre end 30 ml/min anbefales det ikke at anvende Pramipexol "Zentiva" depottabletter, da der ikke findes data for denne patientpopulation. Anvendelse af pramipexol tabletter bør overvejes i stedet.</w:t>
      </w:r>
    </w:p>
    <w:p w14:paraId="78B4453B" w14:textId="77777777" w:rsidR="008157EC" w:rsidRPr="008157EC" w:rsidRDefault="008157EC" w:rsidP="008157EC">
      <w:pPr>
        <w:tabs>
          <w:tab w:val="left" w:pos="851"/>
        </w:tabs>
        <w:ind w:left="851"/>
        <w:rPr>
          <w:sz w:val="24"/>
          <w:szCs w:val="24"/>
        </w:rPr>
      </w:pPr>
    </w:p>
    <w:p w14:paraId="36D0DF58" w14:textId="77777777" w:rsidR="008157EC" w:rsidRPr="008157EC" w:rsidRDefault="008157EC" w:rsidP="008157EC">
      <w:pPr>
        <w:tabs>
          <w:tab w:val="left" w:pos="851"/>
        </w:tabs>
        <w:ind w:left="851"/>
        <w:rPr>
          <w:sz w:val="24"/>
          <w:szCs w:val="24"/>
        </w:rPr>
      </w:pPr>
      <w:r w:rsidRPr="008157EC">
        <w:rPr>
          <w:sz w:val="24"/>
          <w:szCs w:val="24"/>
        </w:rPr>
        <w:t>Hvis nyrefunktionen aftager under vedligeholdelsesbehandlingen, bør ovennævnte anbefalinger følges.</w:t>
      </w:r>
    </w:p>
    <w:p w14:paraId="06151700" w14:textId="77777777" w:rsidR="008157EC" w:rsidRPr="008157EC" w:rsidRDefault="008157EC" w:rsidP="008157EC">
      <w:pPr>
        <w:tabs>
          <w:tab w:val="left" w:pos="851"/>
        </w:tabs>
        <w:ind w:left="851"/>
        <w:rPr>
          <w:sz w:val="24"/>
          <w:szCs w:val="24"/>
        </w:rPr>
      </w:pPr>
    </w:p>
    <w:p w14:paraId="72202148" w14:textId="77777777" w:rsidR="008157EC" w:rsidRPr="007D6532" w:rsidRDefault="008157EC" w:rsidP="008157EC">
      <w:pPr>
        <w:tabs>
          <w:tab w:val="left" w:pos="851"/>
        </w:tabs>
        <w:ind w:left="851"/>
        <w:rPr>
          <w:i/>
          <w:sz w:val="24"/>
          <w:szCs w:val="24"/>
        </w:rPr>
      </w:pPr>
      <w:r w:rsidRPr="007D6532">
        <w:rPr>
          <w:i/>
          <w:sz w:val="24"/>
          <w:szCs w:val="24"/>
        </w:rPr>
        <w:t>Nedsat leverfunktion</w:t>
      </w:r>
    </w:p>
    <w:p w14:paraId="55A9AF88" w14:textId="77777777" w:rsidR="008157EC" w:rsidRPr="008157EC" w:rsidRDefault="008157EC" w:rsidP="008157EC">
      <w:pPr>
        <w:tabs>
          <w:tab w:val="left" w:pos="851"/>
        </w:tabs>
        <w:ind w:left="851"/>
        <w:rPr>
          <w:sz w:val="24"/>
          <w:szCs w:val="24"/>
        </w:rPr>
      </w:pPr>
      <w:r w:rsidRPr="008157EC">
        <w:rPr>
          <w:sz w:val="24"/>
          <w:szCs w:val="24"/>
        </w:rPr>
        <w:t xml:space="preserve">Dosisreduktion er sandsynligvis ikke nødvendig for patienter med nedsat leverfunktion, da omkring 90 % af det absorberede aktive stof udskilles via nyrerne. Den potentielle indflydelse af nedsat leverfunktion på </w:t>
      </w:r>
      <w:r w:rsidR="000543CD">
        <w:rPr>
          <w:sz w:val="24"/>
          <w:szCs w:val="24"/>
        </w:rPr>
        <w:t>Pramipexol "Zentiva"s</w:t>
      </w:r>
      <w:r w:rsidRPr="008157EC">
        <w:rPr>
          <w:sz w:val="24"/>
          <w:szCs w:val="24"/>
        </w:rPr>
        <w:t xml:space="preserve"> farmakokinetik kendes ikke.</w:t>
      </w:r>
    </w:p>
    <w:p w14:paraId="69BFCF4B" w14:textId="77777777" w:rsidR="008157EC" w:rsidRPr="008157EC" w:rsidRDefault="008157EC" w:rsidP="008157EC">
      <w:pPr>
        <w:tabs>
          <w:tab w:val="left" w:pos="851"/>
        </w:tabs>
        <w:ind w:left="851"/>
        <w:rPr>
          <w:sz w:val="24"/>
          <w:szCs w:val="24"/>
        </w:rPr>
      </w:pPr>
    </w:p>
    <w:p w14:paraId="7E8056BF" w14:textId="77777777" w:rsidR="008157EC" w:rsidRPr="007D6532" w:rsidRDefault="008157EC" w:rsidP="008157EC">
      <w:pPr>
        <w:tabs>
          <w:tab w:val="left" w:pos="851"/>
        </w:tabs>
        <w:ind w:left="851"/>
        <w:rPr>
          <w:i/>
          <w:sz w:val="24"/>
          <w:szCs w:val="24"/>
        </w:rPr>
      </w:pPr>
      <w:r w:rsidRPr="007D6532">
        <w:rPr>
          <w:i/>
          <w:sz w:val="24"/>
          <w:szCs w:val="24"/>
        </w:rPr>
        <w:t>Pædiatrisk population</w:t>
      </w:r>
    </w:p>
    <w:p w14:paraId="1C8CC9CF" w14:textId="77777777" w:rsidR="008157EC" w:rsidRPr="008157EC" w:rsidRDefault="000543CD" w:rsidP="008157EC">
      <w:pPr>
        <w:tabs>
          <w:tab w:val="left" w:pos="851"/>
        </w:tabs>
        <w:ind w:left="851"/>
        <w:rPr>
          <w:sz w:val="24"/>
          <w:szCs w:val="24"/>
        </w:rPr>
      </w:pPr>
      <w:r>
        <w:rPr>
          <w:sz w:val="24"/>
          <w:szCs w:val="24"/>
        </w:rPr>
        <w:t>Pramipexol "Zentiva"s</w:t>
      </w:r>
      <w:r w:rsidR="008157EC" w:rsidRPr="008157EC">
        <w:rPr>
          <w:sz w:val="24"/>
          <w:szCs w:val="24"/>
        </w:rPr>
        <w:t xml:space="preserve"> sikkerhed og virkning hos børn under 18 år er ikke klarlagt. Det er ikke relevant at anvende Pramipexol "Zentiva" depottabletter hos den pædiatriske population til indikationen Parkinsons sygdom.</w:t>
      </w:r>
    </w:p>
    <w:p w14:paraId="6026DDBE" w14:textId="77777777" w:rsidR="008157EC" w:rsidRPr="008157EC" w:rsidRDefault="008157EC" w:rsidP="008157EC">
      <w:pPr>
        <w:tabs>
          <w:tab w:val="left" w:pos="851"/>
        </w:tabs>
        <w:ind w:left="851"/>
        <w:rPr>
          <w:sz w:val="24"/>
          <w:szCs w:val="24"/>
        </w:rPr>
      </w:pPr>
    </w:p>
    <w:p w14:paraId="4E15B02B" w14:textId="77777777" w:rsidR="008157EC" w:rsidRPr="008157EC" w:rsidRDefault="008157EC" w:rsidP="008157EC">
      <w:pPr>
        <w:tabs>
          <w:tab w:val="left" w:pos="851"/>
        </w:tabs>
        <w:ind w:left="851"/>
        <w:rPr>
          <w:sz w:val="24"/>
          <w:szCs w:val="24"/>
        </w:rPr>
      </w:pPr>
      <w:r w:rsidRPr="008157EC">
        <w:rPr>
          <w:sz w:val="24"/>
          <w:szCs w:val="24"/>
          <w:u w:val="single"/>
        </w:rPr>
        <w:t>Administration</w:t>
      </w:r>
    </w:p>
    <w:p w14:paraId="31143BE9" w14:textId="77777777" w:rsidR="008157EC" w:rsidRPr="008157EC" w:rsidRDefault="008157EC" w:rsidP="008157EC">
      <w:pPr>
        <w:tabs>
          <w:tab w:val="left" w:pos="851"/>
        </w:tabs>
        <w:ind w:left="851"/>
        <w:rPr>
          <w:sz w:val="24"/>
          <w:szCs w:val="24"/>
        </w:rPr>
      </w:pPr>
      <w:r w:rsidRPr="008157EC">
        <w:rPr>
          <w:sz w:val="24"/>
          <w:szCs w:val="24"/>
        </w:rPr>
        <w:t>Tabletterne bør synkes hele med vand og må ikke tygges, deles eller knuses. Tabletterne kan både tages sammen med mad og alene. De bør indtages på samme tidspunkt af dagen.</w:t>
      </w:r>
    </w:p>
    <w:p w14:paraId="704B2EC3" w14:textId="77777777" w:rsidR="009260DE" w:rsidRPr="00C84483" w:rsidRDefault="009260DE" w:rsidP="009260DE">
      <w:pPr>
        <w:tabs>
          <w:tab w:val="left" w:pos="851"/>
        </w:tabs>
        <w:ind w:left="851"/>
        <w:rPr>
          <w:sz w:val="24"/>
          <w:szCs w:val="24"/>
        </w:rPr>
      </w:pPr>
    </w:p>
    <w:p w14:paraId="0F4DD5DF"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38127632" w14:textId="77777777" w:rsidR="000543CD" w:rsidRPr="000543CD" w:rsidRDefault="000543CD" w:rsidP="000543CD">
      <w:pPr>
        <w:tabs>
          <w:tab w:val="left" w:pos="851"/>
        </w:tabs>
        <w:ind w:left="851"/>
        <w:rPr>
          <w:sz w:val="24"/>
          <w:szCs w:val="24"/>
        </w:rPr>
      </w:pPr>
      <w:r w:rsidRPr="000543CD">
        <w:rPr>
          <w:sz w:val="24"/>
          <w:szCs w:val="24"/>
        </w:rPr>
        <w:t>Overfølsomhed over for det aktive stof eller over for et eller flere af hjælpestofferne anført i pkt. 6.1.</w:t>
      </w:r>
    </w:p>
    <w:p w14:paraId="374D401F" w14:textId="77777777" w:rsidR="009260DE" w:rsidRPr="00C84483" w:rsidRDefault="009260DE" w:rsidP="009260DE">
      <w:pPr>
        <w:tabs>
          <w:tab w:val="left" w:pos="851"/>
        </w:tabs>
        <w:ind w:left="851"/>
        <w:rPr>
          <w:sz w:val="24"/>
          <w:szCs w:val="24"/>
        </w:rPr>
      </w:pPr>
    </w:p>
    <w:p w14:paraId="29A1A494"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393387E6" w14:textId="77777777" w:rsidR="000543CD" w:rsidRPr="000543CD" w:rsidRDefault="000543CD" w:rsidP="000543CD">
      <w:pPr>
        <w:tabs>
          <w:tab w:val="left" w:pos="851"/>
        </w:tabs>
        <w:ind w:left="851"/>
        <w:rPr>
          <w:sz w:val="24"/>
          <w:szCs w:val="24"/>
        </w:rPr>
      </w:pPr>
      <w:r w:rsidRPr="000543CD">
        <w:rPr>
          <w:sz w:val="24"/>
          <w:szCs w:val="24"/>
        </w:rPr>
        <w:t xml:space="preserve">Hos patienter med Parkinsons sygdom og nedsat nyrefunktion bør dosis reduceres, se pkt. 4.2. </w:t>
      </w:r>
    </w:p>
    <w:p w14:paraId="08F15CFF" w14:textId="77777777" w:rsidR="000543CD" w:rsidRPr="000543CD" w:rsidRDefault="000543CD" w:rsidP="000543CD">
      <w:pPr>
        <w:tabs>
          <w:tab w:val="left" w:pos="851"/>
        </w:tabs>
        <w:ind w:left="851"/>
        <w:rPr>
          <w:sz w:val="24"/>
          <w:szCs w:val="24"/>
        </w:rPr>
      </w:pPr>
    </w:p>
    <w:p w14:paraId="2E895F54" w14:textId="77777777" w:rsidR="000543CD" w:rsidRPr="000543CD" w:rsidRDefault="000543CD" w:rsidP="000543CD">
      <w:pPr>
        <w:tabs>
          <w:tab w:val="left" w:pos="851"/>
        </w:tabs>
        <w:ind w:left="851"/>
        <w:rPr>
          <w:sz w:val="24"/>
          <w:szCs w:val="24"/>
        </w:rPr>
      </w:pPr>
      <w:r w:rsidRPr="000543CD">
        <w:rPr>
          <w:sz w:val="24"/>
          <w:szCs w:val="24"/>
          <w:u w:val="single"/>
        </w:rPr>
        <w:t>Hallucinationer</w:t>
      </w:r>
    </w:p>
    <w:p w14:paraId="671AF84C" w14:textId="77777777" w:rsidR="000543CD" w:rsidRPr="000543CD" w:rsidRDefault="000543CD" w:rsidP="000543CD">
      <w:pPr>
        <w:tabs>
          <w:tab w:val="left" w:pos="851"/>
        </w:tabs>
        <w:ind w:left="851"/>
        <w:rPr>
          <w:sz w:val="24"/>
          <w:szCs w:val="24"/>
        </w:rPr>
      </w:pPr>
      <w:r w:rsidRPr="000543CD">
        <w:rPr>
          <w:sz w:val="24"/>
          <w:szCs w:val="24"/>
        </w:rPr>
        <w:t>Hallucinationer er en kendt bivirkning ved behandling med dopaminagonister og levodopa.</w:t>
      </w:r>
    </w:p>
    <w:p w14:paraId="10B47333" w14:textId="77777777" w:rsidR="000543CD" w:rsidRPr="000543CD" w:rsidRDefault="000543CD" w:rsidP="000543CD">
      <w:pPr>
        <w:tabs>
          <w:tab w:val="left" w:pos="851"/>
        </w:tabs>
        <w:ind w:left="851"/>
        <w:rPr>
          <w:sz w:val="24"/>
          <w:szCs w:val="24"/>
        </w:rPr>
      </w:pPr>
      <w:r w:rsidRPr="000543CD">
        <w:rPr>
          <w:sz w:val="24"/>
          <w:szCs w:val="24"/>
        </w:rPr>
        <w:t>Patienterne bør informeres om, at hallucinationer (hyppigst visuelle) kan forekomme.</w:t>
      </w:r>
    </w:p>
    <w:p w14:paraId="75B41B1B" w14:textId="77777777" w:rsidR="000543CD" w:rsidRPr="000543CD" w:rsidRDefault="000543CD" w:rsidP="000543CD">
      <w:pPr>
        <w:tabs>
          <w:tab w:val="left" w:pos="851"/>
        </w:tabs>
        <w:ind w:left="851"/>
        <w:rPr>
          <w:sz w:val="24"/>
          <w:szCs w:val="24"/>
        </w:rPr>
      </w:pPr>
    </w:p>
    <w:p w14:paraId="1980C1C3" w14:textId="77777777" w:rsidR="000543CD" w:rsidRPr="000543CD" w:rsidRDefault="000543CD" w:rsidP="000543CD">
      <w:pPr>
        <w:tabs>
          <w:tab w:val="left" w:pos="851"/>
        </w:tabs>
        <w:ind w:left="851"/>
        <w:rPr>
          <w:sz w:val="24"/>
          <w:szCs w:val="24"/>
        </w:rPr>
      </w:pPr>
      <w:r w:rsidRPr="000543CD">
        <w:rPr>
          <w:sz w:val="24"/>
          <w:szCs w:val="24"/>
          <w:u w:val="single"/>
        </w:rPr>
        <w:t>Dyskinesi</w:t>
      </w:r>
    </w:p>
    <w:p w14:paraId="7B961F7E" w14:textId="77777777" w:rsidR="000543CD" w:rsidRPr="000543CD" w:rsidRDefault="000543CD" w:rsidP="000543CD">
      <w:pPr>
        <w:tabs>
          <w:tab w:val="left" w:pos="851"/>
        </w:tabs>
        <w:ind w:left="851"/>
        <w:rPr>
          <w:sz w:val="24"/>
          <w:szCs w:val="24"/>
        </w:rPr>
      </w:pPr>
      <w:r w:rsidRPr="000543CD">
        <w:rPr>
          <w:sz w:val="24"/>
          <w:szCs w:val="24"/>
        </w:rPr>
        <w:t>Ved fremskreden Parkinsons sygdom kan dyskinesi forekomme i optitreringsfasen med Pramipexol "Zentiva", når det gives i kombination med levodopa. I disse tilfælde bør levodopa-dosis reduceres.</w:t>
      </w:r>
    </w:p>
    <w:p w14:paraId="494313D1" w14:textId="77777777" w:rsidR="000543CD" w:rsidRPr="000543CD" w:rsidRDefault="000543CD" w:rsidP="000543CD">
      <w:pPr>
        <w:tabs>
          <w:tab w:val="left" w:pos="851"/>
        </w:tabs>
        <w:ind w:left="851"/>
        <w:rPr>
          <w:sz w:val="24"/>
          <w:szCs w:val="24"/>
        </w:rPr>
      </w:pPr>
    </w:p>
    <w:p w14:paraId="2D5C1A42" w14:textId="77777777" w:rsidR="000543CD" w:rsidRPr="000543CD" w:rsidRDefault="000543CD" w:rsidP="000543CD">
      <w:pPr>
        <w:tabs>
          <w:tab w:val="left" w:pos="851"/>
        </w:tabs>
        <w:ind w:left="851"/>
        <w:rPr>
          <w:sz w:val="24"/>
          <w:szCs w:val="24"/>
        </w:rPr>
      </w:pPr>
      <w:r w:rsidRPr="000543CD">
        <w:rPr>
          <w:sz w:val="24"/>
          <w:szCs w:val="24"/>
          <w:u w:val="single"/>
        </w:rPr>
        <w:t>Dystoni</w:t>
      </w:r>
    </w:p>
    <w:p w14:paraId="41682DF1" w14:textId="77777777" w:rsidR="000543CD" w:rsidRPr="000543CD" w:rsidRDefault="000543CD" w:rsidP="000543CD">
      <w:pPr>
        <w:tabs>
          <w:tab w:val="left" w:pos="851"/>
        </w:tabs>
        <w:ind w:left="851"/>
        <w:rPr>
          <w:sz w:val="24"/>
          <w:szCs w:val="24"/>
        </w:rPr>
      </w:pPr>
      <w:r w:rsidRPr="000543CD">
        <w:rPr>
          <w:sz w:val="24"/>
          <w:szCs w:val="24"/>
        </w:rPr>
        <w:t xml:space="preserve">Der er en gang imellem rapporteret om aksial dystoni, herunder antecollis, camptocormia og pleurothotonus (Pisa-syndrom) hos patienter med Parkinsons sygdom efter påbegyndelse af behandling med eller efter gradvis dosisøgning af pramipexol. </w:t>
      </w:r>
    </w:p>
    <w:p w14:paraId="54B759D4" w14:textId="77777777" w:rsidR="0011331D" w:rsidRDefault="000543CD" w:rsidP="00A552D1">
      <w:pPr>
        <w:tabs>
          <w:tab w:val="left" w:pos="851"/>
        </w:tabs>
        <w:ind w:left="851"/>
        <w:rPr>
          <w:sz w:val="24"/>
          <w:szCs w:val="24"/>
        </w:rPr>
      </w:pPr>
      <w:r w:rsidRPr="000543CD">
        <w:rPr>
          <w:sz w:val="24"/>
          <w:szCs w:val="24"/>
        </w:rPr>
        <w:t xml:space="preserve">Selvom dystoni kan være et symptom på Parkinsons sygdom, er symptomerne hos disse patienter bedret efter reduktion eller seponering af pramipexol. Hvis der opstår dystoni, bør </w:t>
      </w:r>
      <w:r w:rsidRPr="000543CD">
        <w:rPr>
          <w:sz w:val="24"/>
          <w:szCs w:val="24"/>
        </w:rPr>
        <w:lastRenderedPageBreak/>
        <w:t>det dopaminerge medicineringsregime gennemgås og en justering af pramipexoldosen overvejes.</w:t>
      </w:r>
    </w:p>
    <w:p w14:paraId="18FE0DB5" w14:textId="77777777" w:rsidR="000543CD" w:rsidRPr="000543CD" w:rsidRDefault="000543CD" w:rsidP="000543CD">
      <w:pPr>
        <w:tabs>
          <w:tab w:val="left" w:pos="851"/>
        </w:tabs>
        <w:ind w:left="851"/>
        <w:rPr>
          <w:sz w:val="24"/>
          <w:szCs w:val="24"/>
        </w:rPr>
      </w:pPr>
    </w:p>
    <w:p w14:paraId="65609D9C" w14:textId="77777777" w:rsidR="000543CD" w:rsidRPr="000543CD" w:rsidRDefault="000543CD" w:rsidP="000543CD">
      <w:pPr>
        <w:tabs>
          <w:tab w:val="left" w:pos="851"/>
        </w:tabs>
        <w:ind w:left="851"/>
        <w:rPr>
          <w:sz w:val="24"/>
          <w:szCs w:val="24"/>
        </w:rPr>
      </w:pPr>
      <w:r w:rsidRPr="000543CD">
        <w:rPr>
          <w:sz w:val="24"/>
          <w:szCs w:val="24"/>
          <w:u w:val="single"/>
        </w:rPr>
        <w:t>Pludseligt opståede søvnanfald, døsighed og somnolens</w:t>
      </w:r>
    </w:p>
    <w:p w14:paraId="468B671A" w14:textId="77777777" w:rsidR="000543CD" w:rsidRPr="000543CD" w:rsidRDefault="000543CD" w:rsidP="000543CD">
      <w:pPr>
        <w:tabs>
          <w:tab w:val="left" w:pos="851"/>
        </w:tabs>
        <w:ind w:left="851"/>
        <w:rPr>
          <w:sz w:val="24"/>
          <w:szCs w:val="24"/>
        </w:rPr>
      </w:pPr>
      <w:r w:rsidRPr="000543CD">
        <w:rPr>
          <w:sz w:val="24"/>
          <w:szCs w:val="24"/>
        </w:rPr>
        <w:t>Pramipexol er blevet forbundet med døsighed, somnolens (søvnlignende bevidstheds</w:t>
      </w:r>
      <w:r w:rsidR="00A552D1">
        <w:rPr>
          <w:sz w:val="24"/>
          <w:szCs w:val="24"/>
        </w:rPr>
        <w:softHyphen/>
      </w:r>
      <w:r w:rsidRPr="000543CD">
        <w:rPr>
          <w:sz w:val="24"/>
          <w:szCs w:val="24"/>
        </w:rPr>
        <w:t>svækkelse) og episoder med pludseligt opståede søvnanfald, især hos patienter med Parkinsons sygdom. Tilfælde af pludseligt opstået søvn under daglige aktiviteter, i nogle tilfælde uden nogen form for advarsel, har været rapporteret. Patienterne bør informeres om dette, og rådes til forsigtighed ved bilkørsel og betjening af maskiner. Patienter, som har oplevet døsighed, somnolens og/eller en episode med pludseligt opstået søvn, må ikke køre bil eller betjene maskiner. En reduktion af dosis eller ophør med behandling kan overvejes. På grund af en mulig additiv virkning, bør forsigtighed udvises, når patienter tager andre sedative lægemidler eller alkohol i kombination med pramipexol (se pkt. 4.5, 4.7 og 4.8).</w:t>
      </w:r>
    </w:p>
    <w:p w14:paraId="6CFF2CD4" w14:textId="77777777" w:rsidR="000543CD" w:rsidRPr="000543CD" w:rsidRDefault="000543CD" w:rsidP="000543CD">
      <w:pPr>
        <w:tabs>
          <w:tab w:val="left" w:pos="851"/>
        </w:tabs>
        <w:ind w:left="851"/>
        <w:rPr>
          <w:sz w:val="24"/>
          <w:szCs w:val="24"/>
        </w:rPr>
      </w:pPr>
    </w:p>
    <w:p w14:paraId="1467BFCC" w14:textId="77777777" w:rsidR="000543CD" w:rsidRPr="000543CD" w:rsidRDefault="000543CD" w:rsidP="000543CD">
      <w:pPr>
        <w:tabs>
          <w:tab w:val="left" w:pos="851"/>
        </w:tabs>
        <w:ind w:left="851"/>
        <w:rPr>
          <w:sz w:val="24"/>
          <w:szCs w:val="24"/>
        </w:rPr>
      </w:pPr>
      <w:r w:rsidRPr="000543CD">
        <w:rPr>
          <w:sz w:val="24"/>
          <w:szCs w:val="24"/>
          <w:u w:val="single"/>
        </w:rPr>
        <w:t>Manglende impulskontrol</w:t>
      </w:r>
    </w:p>
    <w:p w14:paraId="6B35B578" w14:textId="77777777" w:rsidR="000543CD" w:rsidRPr="000543CD" w:rsidRDefault="000543CD" w:rsidP="000543CD">
      <w:pPr>
        <w:tabs>
          <w:tab w:val="left" w:pos="851"/>
        </w:tabs>
        <w:ind w:left="851"/>
        <w:rPr>
          <w:sz w:val="24"/>
          <w:szCs w:val="24"/>
        </w:rPr>
      </w:pPr>
      <w:r w:rsidRPr="000543CD">
        <w:rPr>
          <w:sz w:val="24"/>
          <w:szCs w:val="24"/>
        </w:rPr>
        <w:t>Patienter skal kontrolleres regelmæssigt for evt. udvikling af manglende impulskontrol. Patienter og pårørende bør informeres om, at adfærdsmæssige symptomer på manglende impulskontrol herunder ludomani, forøget libido, hyperseksualitet, tvangshandlinger, der fører til overdrevent indkøbsmønster og uhæmmet og overdreven fødeindtagelse, kan forekomme hos patienter i behandling med dopaminagonister, herunder Pramipexol "Zentiva". Dosisreduktion/gradvis seponering bør overvejes, hvis sådanne symptomer opstår.</w:t>
      </w:r>
    </w:p>
    <w:p w14:paraId="067FBDED" w14:textId="77777777" w:rsidR="000543CD" w:rsidRPr="000543CD" w:rsidRDefault="000543CD" w:rsidP="000543CD">
      <w:pPr>
        <w:tabs>
          <w:tab w:val="left" w:pos="851"/>
        </w:tabs>
        <w:ind w:left="851"/>
        <w:rPr>
          <w:sz w:val="24"/>
          <w:szCs w:val="24"/>
        </w:rPr>
      </w:pPr>
    </w:p>
    <w:p w14:paraId="6DA5CDFD" w14:textId="77777777" w:rsidR="000543CD" w:rsidRPr="000543CD" w:rsidRDefault="000543CD" w:rsidP="000543CD">
      <w:pPr>
        <w:tabs>
          <w:tab w:val="left" w:pos="851"/>
        </w:tabs>
        <w:ind w:left="851"/>
        <w:rPr>
          <w:sz w:val="24"/>
          <w:szCs w:val="24"/>
        </w:rPr>
      </w:pPr>
      <w:r w:rsidRPr="000543CD">
        <w:rPr>
          <w:sz w:val="24"/>
          <w:szCs w:val="24"/>
          <w:u w:val="single"/>
        </w:rPr>
        <w:t>Mani og delirium</w:t>
      </w:r>
    </w:p>
    <w:p w14:paraId="0CDC5927" w14:textId="77777777" w:rsidR="000543CD" w:rsidRPr="000543CD" w:rsidRDefault="000543CD" w:rsidP="000543CD">
      <w:pPr>
        <w:tabs>
          <w:tab w:val="left" w:pos="851"/>
        </w:tabs>
        <w:ind w:left="851"/>
        <w:rPr>
          <w:sz w:val="24"/>
          <w:szCs w:val="24"/>
        </w:rPr>
      </w:pPr>
      <w:r w:rsidRPr="000543CD">
        <w:rPr>
          <w:sz w:val="24"/>
          <w:szCs w:val="24"/>
        </w:rPr>
        <w:t>Patienter bør kontrolleres regelmæssigt for evt. udvikling af mani og delirium. Patienter og pårørende bør informeres om, at mani og delirium kan forekomme hos patienter i behandling med pramipexol. Dosisreduktion/gradvis seponering bør overvejes, hvis sådanne symptomer opstår.</w:t>
      </w:r>
    </w:p>
    <w:p w14:paraId="7C54D28E" w14:textId="77777777" w:rsidR="000543CD" w:rsidRPr="000543CD" w:rsidRDefault="000543CD" w:rsidP="000543CD">
      <w:pPr>
        <w:tabs>
          <w:tab w:val="left" w:pos="851"/>
        </w:tabs>
        <w:ind w:left="851"/>
        <w:rPr>
          <w:sz w:val="24"/>
          <w:szCs w:val="24"/>
        </w:rPr>
      </w:pPr>
    </w:p>
    <w:p w14:paraId="5D1E83ED" w14:textId="77777777" w:rsidR="000543CD" w:rsidRPr="000543CD" w:rsidRDefault="000543CD" w:rsidP="000543CD">
      <w:pPr>
        <w:tabs>
          <w:tab w:val="left" w:pos="851"/>
        </w:tabs>
        <w:ind w:left="851"/>
        <w:rPr>
          <w:sz w:val="24"/>
          <w:szCs w:val="24"/>
        </w:rPr>
      </w:pPr>
      <w:r w:rsidRPr="000543CD">
        <w:rPr>
          <w:sz w:val="24"/>
          <w:szCs w:val="24"/>
          <w:u w:val="single"/>
        </w:rPr>
        <w:t>Patienter med psykotiske lidelser</w:t>
      </w:r>
    </w:p>
    <w:p w14:paraId="76B7FC20" w14:textId="77777777" w:rsidR="000543CD" w:rsidRPr="000543CD" w:rsidRDefault="000543CD" w:rsidP="000543CD">
      <w:pPr>
        <w:tabs>
          <w:tab w:val="left" w:pos="851"/>
        </w:tabs>
        <w:ind w:left="851"/>
        <w:rPr>
          <w:sz w:val="24"/>
          <w:szCs w:val="24"/>
        </w:rPr>
      </w:pPr>
      <w:r w:rsidRPr="000543CD">
        <w:rPr>
          <w:sz w:val="24"/>
          <w:szCs w:val="24"/>
        </w:rPr>
        <w:t>Patienter, som lider af psykotiske lidelser, bør kun behandles med dopaminagonister, hvis de potentielle fordele opvejer risikoen.</w:t>
      </w:r>
    </w:p>
    <w:p w14:paraId="0B506073" w14:textId="77777777" w:rsidR="000543CD" w:rsidRPr="000543CD" w:rsidRDefault="000543CD" w:rsidP="000543CD">
      <w:pPr>
        <w:tabs>
          <w:tab w:val="left" w:pos="851"/>
        </w:tabs>
        <w:ind w:left="851"/>
        <w:rPr>
          <w:sz w:val="24"/>
          <w:szCs w:val="24"/>
        </w:rPr>
      </w:pPr>
    </w:p>
    <w:p w14:paraId="2590C2F7" w14:textId="77777777" w:rsidR="000543CD" w:rsidRPr="000543CD" w:rsidRDefault="000543CD" w:rsidP="000543CD">
      <w:pPr>
        <w:tabs>
          <w:tab w:val="left" w:pos="851"/>
        </w:tabs>
        <w:ind w:left="851"/>
        <w:rPr>
          <w:sz w:val="24"/>
          <w:szCs w:val="24"/>
        </w:rPr>
      </w:pPr>
      <w:r w:rsidRPr="000543CD">
        <w:rPr>
          <w:sz w:val="24"/>
          <w:szCs w:val="24"/>
        </w:rPr>
        <w:t>Samtidig behandling med antipsykotiske lægemidler og pramipexol bør undgås (se pkt. 4.5).</w:t>
      </w:r>
    </w:p>
    <w:p w14:paraId="3D94577F" w14:textId="77777777" w:rsidR="000543CD" w:rsidRPr="000543CD" w:rsidRDefault="000543CD" w:rsidP="000543CD">
      <w:pPr>
        <w:tabs>
          <w:tab w:val="left" w:pos="851"/>
        </w:tabs>
        <w:ind w:left="851"/>
        <w:rPr>
          <w:sz w:val="24"/>
          <w:szCs w:val="24"/>
        </w:rPr>
      </w:pPr>
    </w:p>
    <w:p w14:paraId="7EED6DD6" w14:textId="77777777" w:rsidR="000543CD" w:rsidRPr="000543CD" w:rsidRDefault="000543CD" w:rsidP="000543CD">
      <w:pPr>
        <w:tabs>
          <w:tab w:val="left" w:pos="851"/>
        </w:tabs>
        <w:ind w:left="851"/>
        <w:rPr>
          <w:sz w:val="24"/>
          <w:szCs w:val="24"/>
        </w:rPr>
      </w:pPr>
      <w:r w:rsidRPr="000543CD">
        <w:rPr>
          <w:sz w:val="24"/>
          <w:szCs w:val="24"/>
          <w:u w:val="single"/>
        </w:rPr>
        <w:t>Oftalmologisk monitorering</w:t>
      </w:r>
    </w:p>
    <w:p w14:paraId="759BAE9D" w14:textId="77777777" w:rsidR="000543CD" w:rsidRPr="000543CD" w:rsidRDefault="000543CD" w:rsidP="000543CD">
      <w:pPr>
        <w:tabs>
          <w:tab w:val="left" w:pos="851"/>
        </w:tabs>
        <w:ind w:left="851"/>
        <w:rPr>
          <w:sz w:val="24"/>
          <w:szCs w:val="24"/>
        </w:rPr>
      </w:pPr>
      <w:r w:rsidRPr="000543CD">
        <w:rPr>
          <w:sz w:val="24"/>
          <w:szCs w:val="24"/>
        </w:rPr>
        <w:t>Der anbefales oftalmologisk undersøgelse med regelmæssige mellemrum eller hvis der opstår synsabnormaliteter.</w:t>
      </w:r>
    </w:p>
    <w:p w14:paraId="7086B13F" w14:textId="77777777" w:rsidR="000543CD" w:rsidRPr="000543CD" w:rsidRDefault="000543CD" w:rsidP="000543CD">
      <w:pPr>
        <w:tabs>
          <w:tab w:val="left" w:pos="851"/>
        </w:tabs>
        <w:ind w:left="851"/>
        <w:rPr>
          <w:sz w:val="24"/>
          <w:szCs w:val="24"/>
        </w:rPr>
      </w:pPr>
    </w:p>
    <w:p w14:paraId="7A4AB399" w14:textId="77777777" w:rsidR="000543CD" w:rsidRPr="000543CD" w:rsidRDefault="000543CD" w:rsidP="000543CD">
      <w:pPr>
        <w:tabs>
          <w:tab w:val="left" w:pos="851"/>
        </w:tabs>
        <w:ind w:left="851"/>
        <w:rPr>
          <w:sz w:val="24"/>
          <w:szCs w:val="24"/>
        </w:rPr>
      </w:pPr>
      <w:r w:rsidRPr="000543CD">
        <w:rPr>
          <w:sz w:val="24"/>
          <w:szCs w:val="24"/>
          <w:u w:val="single"/>
        </w:rPr>
        <w:t>Alvorlig kardiovaskulær sygdom</w:t>
      </w:r>
    </w:p>
    <w:p w14:paraId="1ED8DC36" w14:textId="77777777" w:rsidR="000543CD" w:rsidRPr="000543CD" w:rsidRDefault="000543CD" w:rsidP="000543CD">
      <w:pPr>
        <w:tabs>
          <w:tab w:val="left" w:pos="851"/>
        </w:tabs>
        <w:ind w:left="851"/>
        <w:rPr>
          <w:sz w:val="24"/>
          <w:szCs w:val="24"/>
        </w:rPr>
      </w:pPr>
      <w:r w:rsidRPr="000543CD">
        <w:rPr>
          <w:sz w:val="24"/>
          <w:szCs w:val="24"/>
        </w:rPr>
        <w:t>Forsigtighed tilrådes i tilfælde af alvorlig kardiovaskulær sygdom. Det anbefales at monitorere blodtrykket, særlig i starten af behandlingen, pga. risikoen for postural hypotension i forbindelse med dopaminbehandling.</w:t>
      </w:r>
    </w:p>
    <w:p w14:paraId="0084BF30" w14:textId="77777777" w:rsidR="000543CD" w:rsidRPr="000543CD" w:rsidRDefault="000543CD" w:rsidP="000543CD">
      <w:pPr>
        <w:tabs>
          <w:tab w:val="left" w:pos="851"/>
        </w:tabs>
        <w:ind w:left="851"/>
        <w:rPr>
          <w:sz w:val="24"/>
          <w:szCs w:val="24"/>
        </w:rPr>
      </w:pPr>
    </w:p>
    <w:p w14:paraId="7FA7576B" w14:textId="77777777" w:rsidR="000543CD" w:rsidRPr="000543CD" w:rsidRDefault="000543CD" w:rsidP="000543CD">
      <w:pPr>
        <w:tabs>
          <w:tab w:val="left" w:pos="851"/>
        </w:tabs>
        <w:ind w:left="851"/>
        <w:rPr>
          <w:sz w:val="24"/>
          <w:szCs w:val="24"/>
        </w:rPr>
      </w:pPr>
      <w:r w:rsidRPr="000543CD">
        <w:rPr>
          <w:sz w:val="24"/>
          <w:szCs w:val="24"/>
          <w:u w:val="single"/>
        </w:rPr>
        <w:t>Malignt neuroleptikasyndrom</w:t>
      </w:r>
    </w:p>
    <w:p w14:paraId="51D1B2E9" w14:textId="77777777" w:rsidR="000543CD" w:rsidRPr="000543CD" w:rsidRDefault="000543CD" w:rsidP="000543CD">
      <w:pPr>
        <w:tabs>
          <w:tab w:val="left" w:pos="851"/>
        </w:tabs>
        <w:ind w:left="851"/>
        <w:rPr>
          <w:sz w:val="24"/>
          <w:szCs w:val="24"/>
        </w:rPr>
      </w:pPr>
      <w:r w:rsidRPr="000543CD">
        <w:rPr>
          <w:sz w:val="24"/>
          <w:szCs w:val="24"/>
        </w:rPr>
        <w:t>Symptomer, der ligner malignt neuroleptikasyndrom, har været set i forbindelse med pludseligt ophør med dopaminbehandling (se pkt. 4.2).</w:t>
      </w:r>
    </w:p>
    <w:p w14:paraId="74C97094" w14:textId="77777777" w:rsidR="0011331D" w:rsidRDefault="0011331D">
      <w:pPr>
        <w:rPr>
          <w:sz w:val="24"/>
          <w:szCs w:val="24"/>
        </w:rPr>
      </w:pPr>
      <w:r>
        <w:rPr>
          <w:sz w:val="24"/>
          <w:szCs w:val="24"/>
        </w:rPr>
        <w:br w:type="page"/>
      </w:r>
    </w:p>
    <w:p w14:paraId="6EF0D918" w14:textId="77777777" w:rsidR="000543CD" w:rsidRPr="000543CD" w:rsidRDefault="000543CD" w:rsidP="00122F58">
      <w:pPr>
        <w:tabs>
          <w:tab w:val="left" w:pos="851"/>
        </w:tabs>
        <w:rPr>
          <w:sz w:val="24"/>
          <w:szCs w:val="24"/>
        </w:rPr>
      </w:pPr>
    </w:p>
    <w:p w14:paraId="28C56D53" w14:textId="77777777" w:rsidR="000543CD" w:rsidRPr="000543CD" w:rsidRDefault="000543CD" w:rsidP="000543CD">
      <w:pPr>
        <w:tabs>
          <w:tab w:val="left" w:pos="851"/>
        </w:tabs>
        <w:ind w:left="851"/>
        <w:rPr>
          <w:sz w:val="24"/>
          <w:szCs w:val="24"/>
        </w:rPr>
      </w:pPr>
      <w:r w:rsidRPr="000543CD">
        <w:rPr>
          <w:sz w:val="24"/>
          <w:szCs w:val="24"/>
          <w:u w:val="single"/>
        </w:rPr>
        <w:t>Dopaminagonist-abstinenssyndrom (DAWS)</w:t>
      </w:r>
    </w:p>
    <w:p w14:paraId="38FFC984" w14:textId="77777777" w:rsidR="000543CD" w:rsidRPr="000543CD" w:rsidRDefault="000543CD" w:rsidP="000543CD">
      <w:pPr>
        <w:tabs>
          <w:tab w:val="left" w:pos="851"/>
        </w:tabs>
        <w:ind w:left="851"/>
        <w:rPr>
          <w:sz w:val="24"/>
          <w:szCs w:val="24"/>
        </w:rPr>
      </w:pPr>
      <w:r w:rsidRPr="000543CD">
        <w:rPr>
          <w:sz w:val="24"/>
          <w:szCs w:val="24"/>
        </w:rPr>
        <w:t>DAWS er blevet rapporteret med dopaminagonister, inklusive pramipexol (se pkt. 4.8). Pramipexol bør nedtrappes ved ophør af behandling hos patienter med Parkinsons sygdom (se pkt. 4.2).</w:t>
      </w:r>
    </w:p>
    <w:p w14:paraId="47E2A7EA" w14:textId="77777777" w:rsidR="000543CD" w:rsidRPr="000543CD" w:rsidRDefault="000543CD" w:rsidP="000543CD">
      <w:pPr>
        <w:tabs>
          <w:tab w:val="left" w:pos="851"/>
        </w:tabs>
        <w:ind w:left="851"/>
        <w:rPr>
          <w:sz w:val="24"/>
          <w:szCs w:val="24"/>
        </w:rPr>
      </w:pPr>
    </w:p>
    <w:p w14:paraId="5D50A97A" w14:textId="77777777" w:rsidR="000543CD" w:rsidRPr="000543CD" w:rsidRDefault="000543CD" w:rsidP="000543CD">
      <w:pPr>
        <w:tabs>
          <w:tab w:val="left" w:pos="851"/>
        </w:tabs>
        <w:ind w:left="851"/>
        <w:rPr>
          <w:sz w:val="24"/>
          <w:szCs w:val="24"/>
        </w:rPr>
      </w:pPr>
      <w:r w:rsidRPr="000543CD">
        <w:rPr>
          <w:sz w:val="24"/>
          <w:szCs w:val="24"/>
        </w:rPr>
        <w:t>Begrænsede data antyder, at patienter med manglende impulskontrol og patienter, der får en høj daglig dosis og/eller høje kumulative doser af dopaminagonister, kan have større risiko for at udvikle DAWS. Abstinenssymptomer kan omfatte apati, angst, depression, træthed, svedtendens og smerter, som ikke responderer på levodopa. Patienter skal informeres om mulige abstinenssymptomer inden nedtrapning og seponering af pramipexol. Patienter skal monitoreres tæt under nedtrapning og seponering.</w:t>
      </w:r>
    </w:p>
    <w:p w14:paraId="7A82959E" w14:textId="77777777" w:rsidR="000543CD" w:rsidRPr="000543CD" w:rsidRDefault="000543CD" w:rsidP="000543CD">
      <w:pPr>
        <w:tabs>
          <w:tab w:val="left" w:pos="851"/>
        </w:tabs>
        <w:ind w:left="851"/>
        <w:rPr>
          <w:sz w:val="24"/>
          <w:szCs w:val="24"/>
        </w:rPr>
      </w:pPr>
    </w:p>
    <w:p w14:paraId="7EB2C89A" w14:textId="77777777" w:rsidR="000543CD" w:rsidRPr="000543CD" w:rsidRDefault="000543CD" w:rsidP="000543CD">
      <w:pPr>
        <w:tabs>
          <w:tab w:val="left" w:pos="851"/>
        </w:tabs>
        <w:ind w:left="851"/>
        <w:rPr>
          <w:sz w:val="24"/>
          <w:szCs w:val="24"/>
        </w:rPr>
      </w:pPr>
      <w:r w:rsidRPr="000543CD">
        <w:rPr>
          <w:sz w:val="24"/>
          <w:szCs w:val="24"/>
        </w:rPr>
        <w:t>Midlertidig administration af pramipexol ved den lavest effektive dosis kan overvejes, hvis abstinenssymptomerne er svære og/eller vedvarende.</w:t>
      </w:r>
    </w:p>
    <w:p w14:paraId="2BC6C60A" w14:textId="77777777" w:rsidR="000543CD" w:rsidRDefault="000543CD" w:rsidP="000543CD">
      <w:pPr>
        <w:tabs>
          <w:tab w:val="left" w:pos="851"/>
        </w:tabs>
        <w:ind w:left="851"/>
        <w:rPr>
          <w:sz w:val="24"/>
          <w:szCs w:val="24"/>
        </w:rPr>
      </w:pPr>
    </w:p>
    <w:p w14:paraId="03A83E7C" w14:textId="77777777" w:rsidR="00122F58" w:rsidRPr="000543CD" w:rsidRDefault="00122F58" w:rsidP="00122F58">
      <w:pPr>
        <w:tabs>
          <w:tab w:val="left" w:pos="851"/>
        </w:tabs>
        <w:ind w:left="851"/>
        <w:rPr>
          <w:sz w:val="24"/>
          <w:szCs w:val="24"/>
        </w:rPr>
      </w:pPr>
      <w:r w:rsidRPr="000543CD">
        <w:rPr>
          <w:sz w:val="24"/>
          <w:szCs w:val="24"/>
          <w:u w:val="single"/>
        </w:rPr>
        <w:t>Rester i afføringen</w:t>
      </w:r>
    </w:p>
    <w:p w14:paraId="6871CE25" w14:textId="77777777" w:rsidR="00122F58" w:rsidRPr="000543CD" w:rsidRDefault="00122F58" w:rsidP="00122F58">
      <w:pPr>
        <w:tabs>
          <w:tab w:val="left" w:pos="851"/>
        </w:tabs>
        <w:ind w:left="851"/>
        <w:rPr>
          <w:sz w:val="24"/>
          <w:szCs w:val="24"/>
        </w:rPr>
      </w:pPr>
      <w:r w:rsidRPr="000543CD">
        <w:rPr>
          <w:sz w:val="24"/>
          <w:szCs w:val="24"/>
        </w:rPr>
        <w:t>Nogle patienter har rapporteret om rester i afføringen, der kan ligne intakte pramipexol depottabletter. Hvis patienter indberetter sådan en observation, skal lægen revurdere patientens behandlingsrespons.</w:t>
      </w:r>
    </w:p>
    <w:p w14:paraId="70FE5CFF" w14:textId="77777777" w:rsidR="00122F58" w:rsidRPr="000543CD" w:rsidRDefault="00122F58" w:rsidP="000543CD">
      <w:pPr>
        <w:tabs>
          <w:tab w:val="left" w:pos="851"/>
        </w:tabs>
        <w:ind w:left="851"/>
        <w:rPr>
          <w:sz w:val="24"/>
          <w:szCs w:val="24"/>
        </w:rPr>
      </w:pPr>
    </w:p>
    <w:p w14:paraId="694290A1"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39B36334" w14:textId="77777777" w:rsidR="00DE47B0" w:rsidRPr="00DE47B0" w:rsidRDefault="00DE47B0" w:rsidP="00DE47B0">
      <w:pPr>
        <w:tabs>
          <w:tab w:val="left" w:pos="851"/>
        </w:tabs>
        <w:ind w:left="851"/>
        <w:rPr>
          <w:sz w:val="24"/>
          <w:szCs w:val="24"/>
          <w:u w:val="single"/>
        </w:rPr>
      </w:pPr>
    </w:p>
    <w:p w14:paraId="31F19F41" w14:textId="77777777" w:rsidR="00DE47B0" w:rsidRPr="00DE47B0" w:rsidRDefault="00DE47B0" w:rsidP="00DE47B0">
      <w:pPr>
        <w:tabs>
          <w:tab w:val="left" w:pos="851"/>
        </w:tabs>
        <w:ind w:left="851"/>
        <w:rPr>
          <w:sz w:val="24"/>
          <w:szCs w:val="24"/>
        </w:rPr>
      </w:pPr>
      <w:r w:rsidRPr="00DE47B0">
        <w:rPr>
          <w:sz w:val="24"/>
          <w:szCs w:val="24"/>
          <w:u w:val="single"/>
        </w:rPr>
        <w:t>Plasmaproteinbinding</w:t>
      </w:r>
    </w:p>
    <w:p w14:paraId="1D774088" w14:textId="77777777" w:rsidR="00DE47B0" w:rsidRPr="00DE47B0" w:rsidRDefault="00DE47B0" w:rsidP="00DE47B0">
      <w:pPr>
        <w:tabs>
          <w:tab w:val="left" w:pos="851"/>
        </w:tabs>
        <w:ind w:left="851"/>
        <w:rPr>
          <w:sz w:val="24"/>
          <w:szCs w:val="24"/>
        </w:rPr>
      </w:pPr>
      <w:r w:rsidRPr="00DE47B0">
        <w:rPr>
          <w:sz w:val="24"/>
          <w:szCs w:val="24"/>
        </w:rPr>
        <w:t>Pramipexol er kun i ringe udstrækning bundet til plasmaproteiner (&lt; 20 %), og der er kun set beskeden biotransformation hos mennesker. Derfor er interaktioner med andre lægemidler, der påvirker plasmaproteinbinding eller elimination ved biotransformation, usandsynlig. Da antikolinergika hovedsageligt elimineres via biotransformation, er den potentielle risiko for interaktion begrænset, selvom interaktion med antikolinergika ikke er blevet undersøgt. Der er ingen farmakokinetisk interaktion med selegelin og levodopa.</w:t>
      </w:r>
    </w:p>
    <w:p w14:paraId="02F35290" w14:textId="77777777" w:rsidR="00DE47B0" w:rsidRPr="00DE47B0" w:rsidRDefault="00DE47B0" w:rsidP="00DE47B0">
      <w:pPr>
        <w:tabs>
          <w:tab w:val="left" w:pos="851"/>
        </w:tabs>
        <w:ind w:left="851"/>
        <w:rPr>
          <w:sz w:val="24"/>
          <w:szCs w:val="24"/>
        </w:rPr>
      </w:pPr>
    </w:p>
    <w:p w14:paraId="4BB317C8" w14:textId="77777777" w:rsidR="00DE47B0" w:rsidRPr="00DE47B0" w:rsidRDefault="00DE47B0" w:rsidP="00DE47B0">
      <w:pPr>
        <w:tabs>
          <w:tab w:val="left" w:pos="851"/>
        </w:tabs>
        <w:ind w:left="851"/>
        <w:rPr>
          <w:sz w:val="24"/>
          <w:szCs w:val="24"/>
        </w:rPr>
      </w:pPr>
      <w:r w:rsidRPr="00DE47B0">
        <w:rPr>
          <w:sz w:val="24"/>
          <w:szCs w:val="24"/>
          <w:u w:val="single"/>
        </w:rPr>
        <w:t>Inhibitorer/kompetitiv hæmmere af den renale eliminationsvej</w:t>
      </w:r>
    </w:p>
    <w:p w14:paraId="30A439B6" w14:textId="77777777" w:rsidR="00DE47B0" w:rsidRPr="00DE47B0" w:rsidRDefault="00DE47B0" w:rsidP="00DE47B0">
      <w:pPr>
        <w:tabs>
          <w:tab w:val="left" w:pos="851"/>
        </w:tabs>
        <w:ind w:left="851"/>
        <w:rPr>
          <w:sz w:val="24"/>
          <w:szCs w:val="24"/>
        </w:rPr>
      </w:pPr>
      <w:r w:rsidRPr="00DE47B0">
        <w:rPr>
          <w:sz w:val="24"/>
          <w:szCs w:val="24"/>
        </w:rPr>
        <w:t>Cimetidin reducerer den renale clearance af pramipexol med ca. 34 %, antagelig ved en hæmning af det kationiske sekretionstransportsystem i de renale tubuli. Lægemidler, der hæmmer den aktive, renale eliminationsvej eller elimineres via denne vej, såsom cimetidin, amantadin, mexiletin, zidovudin, cisplatin, quinin og procainamid, kan være årsag til interaktioner, resulterende i nedsat clearance af pramipexol. Det bør overvejes at nedsætte pramipexoldosis i tilfælde, hvor disse lægemidler administreres samtidigt med Pramipexol "Zentiva".</w:t>
      </w:r>
    </w:p>
    <w:p w14:paraId="2746D4BC" w14:textId="77777777" w:rsidR="00DE47B0" w:rsidRPr="00DE47B0" w:rsidRDefault="00DE47B0" w:rsidP="00DE47B0">
      <w:pPr>
        <w:tabs>
          <w:tab w:val="left" w:pos="851"/>
        </w:tabs>
        <w:ind w:left="851"/>
        <w:rPr>
          <w:sz w:val="24"/>
          <w:szCs w:val="24"/>
        </w:rPr>
      </w:pPr>
    </w:p>
    <w:p w14:paraId="635BED10" w14:textId="77777777" w:rsidR="00DE47B0" w:rsidRPr="00DE47B0" w:rsidRDefault="00DE47B0" w:rsidP="00DE47B0">
      <w:pPr>
        <w:tabs>
          <w:tab w:val="left" w:pos="851"/>
        </w:tabs>
        <w:ind w:left="851"/>
        <w:rPr>
          <w:sz w:val="24"/>
          <w:szCs w:val="24"/>
        </w:rPr>
      </w:pPr>
      <w:r w:rsidRPr="00DE47B0">
        <w:rPr>
          <w:sz w:val="24"/>
          <w:szCs w:val="24"/>
          <w:u w:val="single"/>
        </w:rPr>
        <w:t>Kombination med levodopa</w:t>
      </w:r>
    </w:p>
    <w:p w14:paraId="58A26490" w14:textId="77777777" w:rsidR="00DE47B0" w:rsidRPr="00DE47B0" w:rsidRDefault="00DE47B0" w:rsidP="00DE47B0">
      <w:pPr>
        <w:tabs>
          <w:tab w:val="left" w:pos="851"/>
        </w:tabs>
        <w:ind w:left="851"/>
        <w:rPr>
          <w:sz w:val="24"/>
          <w:szCs w:val="24"/>
        </w:rPr>
      </w:pPr>
      <w:r w:rsidRPr="00DE47B0">
        <w:rPr>
          <w:sz w:val="24"/>
          <w:szCs w:val="24"/>
        </w:rPr>
        <w:t>Når Pramipexol "Zentiva" gives i kombination med levodopa, anbefales det at reducere levodopa-dosis og at holde dosis af andre antiparkinson-lægemidler konstant, mens dosis af Pramipexol "Zentiva" øges.</w:t>
      </w:r>
    </w:p>
    <w:p w14:paraId="68F8DBC6" w14:textId="77777777" w:rsidR="00DE47B0" w:rsidRPr="00DE47B0" w:rsidRDefault="00DE47B0" w:rsidP="00DE47B0">
      <w:pPr>
        <w:tabs>
          <w:tab w:val="left" w:pos="851"/>
        </w:tabs>
        <w:ind w:left="851"/>
        <w:rPr>
          <w:sz w:val="24"/>
          <w:szCs w:val="24"/>
        </w:rPr>
      </w:pPr>
    </w:p>
    <w:p w14:paraId="2E14379D" w14:textId="77777777" w:rsidR="00DE47B0" w:rsidRPr="00DE47B0" w:rsidRDefault="00DE47B0" w:rsidP="00DE47B0">
      <w:pPr>
        <w:tabs>
          <w:tab w:val="left" w:pos="851"/>
        </w:tabs>
        <w:ind w:left="851"/>
        <w:rPr>
          <w:sz w:val="24"/>
          <w:szCs w:val="24"/>
        </w:rPr>
      </w:pPr>
      <w:r w:rsidRPr="00DE47B0">
        <w:rPr>
          <w:sz w:val="24"/>
          <w:szCs w:val="24"/>
        </w:rPr>
        <w:t>På grund af en mulig additiv virkning ved kombination af andre sedative lægemidler eller alkohol med pramipexol bør der udvises forsigtighed i sådanne tilfælde (se pkt. 4.4, 4.7 og 4.8).</w:t>
      </w:r>
    </w:p>
    <w:p w14:paraId="58A63F1A" w14:textId="77777777" w:rsidR="00DE47B0" w:rsidRDefault="00DE47B0">
      <w:pPr>
        <w:rPr>
          <w:sz w:val="24"/>
          <w:szCs w:val="24"/>
        </w:rPr>
      </w:pPr>
      <w:r>
        <w:rPr>
          <w:sz w:val="24"/>
          <w:szCs w:val="24"/>
        </w:rPr>
        <w:br w:type="page"/>
      </w:r>
    </w:p>
    <w:p w14:paraId="7CCFA3B4" w14:textId="77777777" w:rsidR="00DE47B0" w:rsidRPr="00DE47B0" w:rsidRDefault="00DE47B0" w:rsidP="00DE47B0">
      <w:pPr>
        <w:tabs>
          <w:tab w:val="left" w:pos="851"/>
        </w:tabs>
        <w:ind w:left="851"/>
        <w:rPr>
          <w:sz w:val="24"/>
          <w:szCs w:val="24"/>
        </w:rPr>
      </w:pPr>
    </w:p>
    <w:p w14:paraId="44C839BC" w14:textId="77777777" w:rsidR="00DE47B0" w:rsidRPr="00DE47B0" w:rsidRDefault="00DE47B0" w:rsidP="00DE47B0">
      <w:pPr>
        <w:tabs>
          <w:tab w:val="left" w:pos="851"/>
        </w:tabs>
        <w:ind w:left="851"/>
        <w:rPr>
          <w:sz w:val="24"/>
          <w:szCs w:val="24"/>
        </w:rPr>
      </w:pPr>
      <w:r w:rsidRPr="00DE47B0">
        <w:rPr>
          <w:sz w:val="24"/>
          <w:szCs w:val="24"/>
          <w:u w:val="single"/>
        </w:rPr>
        <w:t>Antipsykotiske lægemidler</w:t>
      </w:r>
    </w:p>
    <w:p w14:paraId="505BB930" w14:textId="77777777" w:rsidR="00DE47B0" w:rsidRPr="00DE47B0" w:rsidRDefault="00DE47B0" w:rsidP="00DE47B0">
      <w:pPr>
        <w:tabs>
          <w:tab w:val="left" w:pos="851"/>
        </w:tabs>
        <w:ind w:left="851"/>
        <w:rPr>
          <w:sz w:val="24"/>
          <w:szCs w:val="24"/>
        </w:rPr>
      </w:pPr>
      <w:r w:rsidRPr="00DE47B0">
        <w:rPr>
          <w:sz w:val="24"/>
          <w:szCs w:val="24"/>
        </w:rPr>
        <w:t>Samtidig behandling med antipsykotiske lægemidler og pramipexol bør undgås (se pkt. 4.4), f.eks. i tilfælde hvor en antagonistisk virkning kan forventes.</w:t>
      </w:r>
    </w:p>
    <w:p w14:paraId="69DC42BF" w14:textId="77777777" w:rsidR="009260DE" w:rsidRPr="00C84483" w:rsidRDefault="009260DE" w:rsidP="009260DE">
      <w:pPr>
        <w:tabs>
          <w:tab w:val="left" w:pos="851"/>
        </w:tabs>
        <w:ind w:left="851"/>
        <w:rPr>
          <w:sz w:val="24"/>
          <w:szCs w:val="24"/>
        </w:rPr>
      </w:pPr>
    </w:p>
    <w:p w14:paraId="41F99132"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122F58">
        <w:rPr>
          <w:b/>
          <w:sz w:val="24"/>
          <w:szCs w:val="24"/>
        </w:rPr>
        <w:t>Fertilitet, g</w:t>
      </w:r>
      <w:r w:rsidRPr="00C84483">
        <w:rPr>
          <w:b/>
          <w:sz w:val="24"/>
          <w:szCs w:val="24"/>
        </w:rPr>
        <w:t>raviditet og amning</w:t>
      </w:r>
    </w:p>
    <w:p w14:paraId="1E441604" w14:textId="77777777" w:rsidR="00F845AB" w:rsidRDefault="00F845AB" w:rsidP="00F845AB">
      <w:pPr>
        <w:tabs>
          <w:tab w:val="left" w:pos="851"/>
        </w:tabs>
        <w:ind w:left="851"/>
        <w:rPr>
          <w:sz w:val="24"/>
          <w:szCs w:val="24"/>
          <w:u w:val="single"/>
        </w:rPr>
      </w:pPr>
    </w:p>
    <w:p w14:paraId="350D4BAE" w14:textId="77777777" w:rsidR="00F845AB" w:rsidRPr="00F845AB" w:rsidRDefault="00F845AB" w:rsidP="00F845AB">
      <w:pPr>
        <w:tabs>
          <w:tab w:val="left" w:pos="851"/>
        </w:tabs>
        <w:ind w:left="851"/>
        <w:rPr>
          <w:sz w:val="24"/>
          <w:szCs w:val="24"/>
        </w:rPr>
      </w:pPr>
      <w:r w:rsidRPr="00F845AB">
        <w:rPr>
          <w:sz w:val="24"/>
          <w:szCs w:val="24"/>
          <w:u w:val="single"/>
        </w:rPr>
        <w:t>Graviditet</w:t>
      </w:r>
    </w:p>
    <w:p w14:paraId="5A1D1CD7" w14:textId="77777777" w:rsidR="00F845AB" w:rsidRPr="00F845AB" w:rsidRDefault="00F845AB" w:rsidP="00F845AB">
      <w:pPr>
        <w:tabs>
          <w:tab w:val="left" w:pos="851"/>
        </w:tabs>
        <w:ind w:left="851"/>
        <w:rPr>
          <w:sz w:val="24"/>
          <w:szCs w:val="24"/>
        </w:rPr>
      </w:pPr>
      <w:r w:rsidRPr="00F845AB">
        <w:rPr>
          <w:sz w:val="24"/>
          <w:szCs w:val="24"/>
        </w:rPr>
        <w:t>Virkningen på graviditet og amning hos mennesker er ikke kendt. Pramipexol er ikke teratogent i rotter og kaniner; men er embryotoksisk i rotter ved maternotoksiske doser (se pkt. 5.3). Pramipexol "Zentiva" bør ikke anvendes under graviditeten, medmindre det er strengt nødvendigt, og hvis fordelene opvejer den potentielle risiko for fostret.</w:t>
      </w:r>
    </w:p>
    <w:p w14:paraId="29E83AA6" w14:textId="77777777" w:rsidR="00F845AB" w:rsidRPr="00F845AB" w:rsidRDefault="00F845AB" w:rsidP="00F845AB">
      <w:pPr>
        <w:tabs>
          <w:tab w:val="left" w:pos="851"/>
        </w:tabs>
        <w:ind w:left="851"/>
        <w:rPr>
          <w:sz w:val="24"/>
          <w:szCs w:val="24"/>
        </w:rPr>
      </w:pPr>
    </w:p>
    <w:p w14:paraId="4D1EC447" w14:textId="77777777" w:rsidR="00F845AB" w:rsidRPr="00F845AB" w:rsidRDefault="00F845AB" w:rsidP="00F845AB">
      <w:pPr>
        <w:tabs>
          <w:tab w:val="left" w:pos="851"/>
        </w:tabs>
        <w:ind w:left="851"/>
        <w:rPr>
          <w:sz w:val="24"/>
          <w:szCs w:val="24"/>
        </w:rPr>
      </w:pPr>
      <w:r w:rsidRPr="00F845AB">
        <w:rPr>
          <w:sz w:val="24"/>
          <w:szCs w:val="24"/>
          <w:u w:val="single"/>
        </w:rPr>
        <w:t>Amning</w:t>
      </w:r>
    </w:p>
    <w:p w14:paraId="305CA6B2" w14:textId="77777777" w:rsidR="00F845AB" w:rsidRPr="00F845AB" w:rsidRDefault="00F845AB" w:rsidP="00F845AB">
      <w:pPr>
        <w:tabs>
          <w:tab w:val="left" w:pos="851"/>
        </w:tabs>
        <w:ind w:left="851"/>
        <w:rPr>
          <w:sz w:val="24"/>
          <w:szCs w:val="24"/>
        </w:rPr>
      </w:pPr>
      <w:r w:rsidRPr="00F845AB">
        <w:rPr>
          <w:sz w:val="24"/>
          <w:szCs w:val="24"/>
        </w:rPr>
        <w:t>Da pramipexol hæmmer sekretionen af prolaktin hos mennesker, forventes amningen også at blive hæmmet. Udskillelsen af pramipexol i human mælk er ikke kendt. Hos rotter var koncentrationen af lægemidlet højere i modermælken end i plasma.</w:t>
      </w:r>
    </w:p>
    <w:p w14:paraId="6D73B867" w14:textId="77777777" w:rsidR="00F845AB" w:rsidRPr="00F845AB" w:rsidRDefault="00F845AB" w:rsidP="00F845AB">
      <w:pPr>
        <w:tabs>
          <w:tab w:val="left" w:pos="851"/>
        </w:tabs>
        <w:ind w:left="851"/>
        <w:rPr>
          <w:sz w:val="24"/>
          <w:szCs w:val="24"/>
        </w:rPr>
      </w:pPr>
      <w:r w:rsidRPr="00F845AB">
        <w:rPr>
          <w:sz w:val="24"/>
          <w:szCs w:val="24"/>
        </w:rPr>
        <w:t>På grund af mangel på humane data må Pramipexol "Zentiva" ikke anvendes under amning. Amningen bør ophøre, hvis der gives Pramipexol "Zentiva".</w:t>
      </w:r>
    </w:p>
    <w:p w14:paraId="0B763B09" w14:textId="77777777" w:rsidR="00F845AB" w:rsidRPr="00F845AB" w:rsidRDefault="00F845AB" w:rsidP="00F845AB">
      <w:pPr>
        <w:tabs>
          <w:tab w:val="left" w:pos="851"/>
        </w:tabs>
        <w:ind w:left="851"/>
        <w:rPr>
          <w:sz w:val="24"/>
          <w:szCs w:val="24"/>
        </w:rPr>
      </w:pPr>
    </w:p>
    <w:p w14:paraId="51C3863C" w14:textId="77777777" w:rsidR="00F845AB" w:rsidRPr="00F845AB" w:rsidRDefault="00F845AB" w:rsidP="00F845AB">
      <w:pPr>
        <w:tabs>
          <w:tab w:val="left" w:pos="851"/>
        </w:tabs>
        <w:ind w:left="851"/>
        <w:rPr>
          <w:sz w:val="24"/>
          <w:szCs w:val="24"/>
        </w:rPr>
      </w:pPr>
      <w:r w:rsidRPr="00F845AB">
        <w:rPr>
          <w:sz w:val="24"/>
          <w:szCs w:val="24"/>
          <w:u w:val="single"/>
        </w:rPr>
        <w:t>Fertilitet</w:t>
      </w:r>
    </w:p>
    <w:p w14:paraId="55018DF4" w14:textId="77777777" w:rsidR="00F845AB" w:rsidRPr="00F845AB" w:rsidRDefault="00F845AB" w:rsidP="00F845AB">
      <w:pPr>
        <w:tabs>
          <w:tab w:val="left" w:pos="851"/>
        </w:tabs>
        <w:ind w:left="851"/>
        <w:rPr>
          <w:sz w:val="24"/>
          <w:szCs w:val="24"/>
        </w:rPr>
      </w:pPr>
      <w:r w:rsidRPr="00F845AB">
        <w:rPr>
          <w:sz w:val="24"/>
          <w:szCs w:val="24"/>
        </w:rPr>
        <w:t>Der er ikke gennemført studier over påvirkningen af human fertilitet. I dyrestudier påvirkede pramipexol brunstperioden og nedsatte fertiliteten hos hunner som forventet for en dopaminagonist. Disse studier viste ikke tegn på direkte eller indirekte skadelig virkning på fertiliteten hos hanner.</w:t>
      </w:r>
    </w:p>
    <w:p w14:paraId="37AFA188" w14:textId="77777777" w:rsidR="009260DE" w:rsidRPr="00C84483" w:rsidRDefault="009260DE" w:rsidP="009260DE">
      <w:pPr>
        <w:tabs>
          <w:tab w:val="left" w:pos="851"/>
        </w:tabs>
        <w:ind w:left="851"/>
        <w:rPr>
          <w:sz w:val="24"/>
          <w:szCs w:val="24"/>
        </w:rPr>
      </w:pPr>
    </w:p>
    <w:p w14:paraId="67D4BAB7"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122F58">
        <w:rPr>
          <w:b/>
          <w:sz w:val="24"/>
          <w:szCs w:val="24"/>
        </w:rPr>
        <w:t>og</w:t>
      </w:r>
      <w:r w:rsidRPr="00C84483">
        <w:rPr>
          <w:b/>
          <w:sz w:val="24"/>
          <w:szCs w:val="24"/>
        </w:rPr>
        <w:t xml:space="preserve"> betjene maskiner</w:t>
      </w:r>
    </w:p>
    <w:p w14:paraId="670BF64A" w14:textId="77777777" w:rsidR="00F845AB" w:rsidRPr="00F845AB" w:rsidRDefault="00F845AB" w:rsidP="00F845AB">
      <w:pPr>
        <w:tabs>
          <w:tab w:val="left" w:pos="851"/>
        </w:tabs>
        <w:ind w:left="851"/>
        <w:rPr>
          <w:sz w:val="24"/>
          <w:szCs w:val="24"/>
        </w:rPr>
      </w:pPr>
      <w:r w:rsidRPr="00F845AB">
        <w:rPr>
          <w:sz w:val="24"/>
          <w:szCs w:val="24"/>
        </w:rPr>
        <w:t xml:space="preserve">Mærkning. </w:t>
      </w:r>
    </w:p>
    <w:p w14:paraId="50F45FBB" w14:textId="77777777" w:rsidR="00F845AB" w:rsidRPr="00F845AB" w:rsidRDefault="00F845AB" w:rsidP="00F845AB">
      <w:pPr>
        <w:tabs>
          <w:tab w:val="left" w:pos="851"/>
        </w:tabs>
        <w:ind w:left="851"/>
        <w:rPr>
          <w:sz w:val="24"/>
          <w:szCs w:val="24"/>
        </w:rPr>
      </w:pPr>
      <w:r w:rsidRPr="00F845AB">
        <w:rPr>
          <w:sz w:val="24"/>
          <w:szCs w:val="24"/>
        </w:rPr>
        <w:t xml:space="preserve">Pramipexol "Zentiva" kan påvirke evnen til at føre motorkøretøj og betjene maskiner i væsentlig grad.  </w:t>
      </w:r>
    </w:p>
    <w:p w14:paraId="4A096386" w14:textId="77777777" w:rsidR="00F845AB" w:rsidRPr="00F845AB" w:rsidRDefault="00F845AB" w:rsidP="00F845AB">
      <w:pPr>
        <w:tabs>
          <w:tab w:val="left" w:pos="851"/>
        </w:tabs>
        <w:ind w:left="851"/>
        <w:rPr>
          <w:sz w:val="24"/>
          <w:szCs w:val="24"/>
        </w:rPr>
      </w:pPr>
      <w:r w:rsidRPr="00F845AB">
        <w:rPr>
          <w:sz w:val="24"/>
          <w:szCs w:val="24"/>
        </w:rPr>
        <w:t>Der kan opstå hallucinationer, døsighed eller somnolens.</w:t>
      </w:r>
    </w:p>
    <w:p w14:paraId="653BD64E" w14:textId="77777777" w:rsidR="00F845AB" w:rsidRPr="00F845AB" w:rsidRDefault="00F845AB" w:rsidP="00F845AB">
      <w:pPr>
        <w:tabs>
          <w:tab w:val="left" w:pos="851"/>
        </w:tabs>
        <w:ind w:left="851"/>
        <w:rPr>
          <w:sz w:val="24"/>
          <w:szCs w:val="24"/>
        </w:rPr>
      </w:pPr>
    </w:p>
    <w:p w14:paraId="43996B3E" w14:textId="77777777" w:rsidR="00F845AB" w:rsidRPr="00F845AB" w:rsidRDefault="00F845AB" w:rsidP="00F845AB">
      <w:pPr>
        <w:tabs>
          <w:tab w:val="left" w:pos="851"/>
        </w:tabs>
        <w:ind w:left="851"/>
        <w:rPr>
          <w:sz w:val="24"/>
          <w:szCs w:val="24"/>
        </w:rPr>
      </w:pPr>
      <w:r w:rsidRPr="00F845AB">
        <w:rPr>
          <w:sz w:val="24"/>
          <w:szCs w:val="24"/>
        </w:rPr>
        <w:t>Patienter, som bliver behandlet med Pramipexol "Zentiva", og som har oplevet døsighed, somnolens og/eller episoder med pludseligt opstået søvn, bør informeres om, at de skal afstå fra at køre bil eller deltage i aktiviteter, hvor nedsat årvågenhed kan udsætte dem eller andre for alvorlig fare eller død (f.eks. betjening af maskiner), indtil sådanne tilbagevendende episoder, døsighed og/eller somnolens er ophørt (se også pkt. 4.4, 4.5 og 4.8).</w:t>
      </w:r>
    </w:p>
    <w:p w14:paraId="6FB3FB7E" w14:textId="77777777" w:rsidR="009260DE" w:rsidRPr="00C84483" w:rsidRDefault="009260DE" w:rsidP="009260DE">
      <w:pPr>
        <w:tabs>
          <w:tab w:val="left" w:pos="851"/>
        </w:tabs>
        <w:ind w:left="851"/>
        <w:rPr>
          <w:sz w:val="24"/>
          <w:szCs w:val="24"/>
        </w:rPr>
      </w:pPr>
    </w:p>
    <w:p w14:paraId="66C40609"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09286B74" w14:textId="77777777" w:rsidR="004B56DD" w:rsidRPr="004B56DD" w:rsidRDefault="004B56DD" w:rsidP="004B56DD">
      <w:pPr>
        <w:tabs>
          <w:tab w:val="left" w:pos="851"/>
        </w:tabs>
        <w:ind w:left="851"/>
        <w:rPr>
          <w:sz w:val="24"/>
          <w:szCs w:val="24"/>
          <w:lang w:eastAsia="da-DK"/>
        </w:rPr>
      </w:pPr>
      <w:r w:rsidRPr="004B56DD">
        <w:rPr>
          <w:sz w:val="24"/>
          <w:szCs w:val="24"/>
        </w:rPr>
        <w:t>En analyse af poolede placebokontrollerede kliniske forsøg, omfattende</w:t>
      </w:r>
      <w:r>
        <w:t xml:space="preserve"> </w:t>
      </w:r>
      <w:r w:rsidRPr="004B56DD">
        <w:rPr>
          <w:sz w:val="24"/>
          <w:szCs w:val="24"/>
        </w:rPr>
        <w:t>1.778 Parkinson</w:t>
      </w:r>
      <w:r w:rsidR="00FB1169">
        <w:rPr>
          <w:sz w:val="24"/>
          <w:szCs w:val="24"/>
        </w:rPr>
        <w:softHyphen/>
      </w:r>
      <w:r w:rsidRPr="004B56DD">
        <w:rPr>
          <w:sz w:val="24"/>
          <w:szCs w:val="24"/>
        </w:rPr>
        <w:t>patienter i behandling med pramipexol og 1.297 patienter i placebobehandling, viste, at bivirkninger var hyppigt rapporteret i begge grupper. 67 % af patienterne i pramipexol</w:t>
      </w:r>
      <w:r w:rsidR="00FB1169">
        <w:rPr>
          <w:sz w:val="24"/>
          <w:szCs w:val="24"/>
        </w:rPr>
        <w:softHyphen/>
      </w:r>
      <w:r w:rsidRPr="004B56DD">
        <w:rPr>
          <w:sz w:val="24"/>
          <w:szCs w:val="24"/>
        </w:rPr>
        <w:t>behandling og 54 % af patienterne i placebobehandling rapporterede mindst én bivirkning.</w:t>
      </w:r>
    </w:p>
    <w:p w14:paraId="6EAEEEFF" w14:textId="77777777" w:rsidR="004B56DD" w:rsidRPr="004B56DD" w:rsidRDefault="004B56DD" w:rsidP="004B56DD">
      <w:pPr>
        <w:tabs>
          <w:tab w:val="left" w:pos="851"/>
        </w:tabs>
        <w:ind w:left="851"/>
        <w:rPr>
          <w:sz w:val="24"/>
          <w:szCs w:val="24"/>
        </w:rPr>
      </w:pPr>
    </w:p>
    <w:p w14:paraId="48138CC5" w14:textId="77777777" w:rsidR="004B56DD" w:rsidRPr="004B56DD" w:rsidRDefault="004B56DD" w:rsidP="004B56DD">
      <w:pPr>
        <w:tabs>
          <w:tab w:val="left" w:pos="851"/>
        </w:tabs>
        <w:ind w:left="851"/>
        <w:rPr>
          <w:sz w:val="24"/>
          <w:szCs w:val="24"/>
        </w:rPr>
      </w:pPr>
      <w:r w:rsidRPr="004B56DD">
        <w:rPr>
          <w:sz w:val="24"/>
          <w:szCs w:val="24"/>
        </w:rPr>
        <w:t>Hovedparten af bivirkningerne starter sædvanligvis tidligt i behandlingen, og de fleste har tendens til at forsvinde, også selv ved fortsat behandling.</w:t>
      </w:r>
    </w:p>
    <w:p w14:paraId="310C3D34" w14:textId="77777777" w:rsidR="004B56DD" w:rsidRPr="004B56DD" w:rsidRDefault="004B56DD" w:rsidP="004B56DD">
      <w:pPr>
        <w:tabs>
          <w:tab w:val="left" w:pos="851"/>
        </w:tabs>
        <w:ind w:left="851"/>
        <w:rPr>
          <w:sz w:val="24"/>
          <w:szCs w:val="24"/>
        </w:rPr>
      </w:pPr>
    </w:p>
    <w:p w14:paraId="3D94D35A" w14:textId="77777777" w:rsidR="004B56DD" w:rsidRPr="004B56DD" w:rsidRDefault="004B56DD" w:rsidP="004B56DD">
      <w:pPr>
        <w:tabs>
          <w:tab w:val="left" w:pos="851"/>
        </w:tabs>
        <w:ind w:left="851"/>
        <w:rPr>
          <w:sz w:val="24"/>
          <w:szCs w:val="24"/>
        </w:rPr>
      </w:pPr>
      <w:r w:rsidRPr="004B56DD">
        <w:rPr>
          <w:sz w:val="24"/>
          <w:szCs w:val="24"/>
        </w:rPr>
        <w:t xml:space="preserve">Bivirkningerne er opført efter systemorganklasse og hyppighed (antal patienter, der forventes at opleve en bivirkning) ved brug af følgende kategorier: Meget almindelig (≥1/10); almindelig (≥1/100 til &lt;1/10); ikke almindelig (≥1/1.000 til &lt;1/100); sjælden </w:t>
      </w:r>
      <w:r w:rsidRPr="004B56DD">
        <w:rPr>
          <w:sz w:val="24"/>
          <w:szCs w:val="24"/>
        </w:rPr>
        <w:lastRenderedPageBreak/>
        <w:t>(≥1/10.000 til &lt;1/1.000); meget sjælden (&lt;1/10.000), ikke kendt (kan ikke estimeres ud fra forhåndenværende data.</w:t>
      </w:r>
    </w:p>
    <w:p w14:paraId="117CE6E9" w14:textId="77777777" w:rsidR="004B56DD" w:rsidRPr="004B56DD" w:rsidRDefault="004B56DD" w:rsidP="004B56DD">
      <w:pPr>
        <w:tabs>
          <w:tab w:val="left" w:pos="851"/>
        </w:tabs>
        <w:ind w:left="851"/>
        <w:rPr>
          <w:sz w:val="24"/>
          <w:szCs w:val="24"/>
        </w:rPr>
      </w:pPr>
    </w:p>
    <w:p w14:paraId="7FB3297F" w14:textId="77777777" w:rsidR="004B56DD" w:rsidRPr="004B56DD" w:rsidRDefault="004B56DD" w:rsidP="004B56DD">
      <w:pPr>
        <w:tabs>
          <w:tab w:val="left" w:pos="851"/>
        </w:tabs>
        <w:ind w:left="851"/>
        <w:rPr>
          <w:sz w:val="24"/>
          <w:szCs w:val="24"/>
        </w:rPr>
      </w:pPr>
      <w:r w:rsidRPr="004B56DD">
        <w:rPr>
          <w:sz w:val="24"/>
          <w:szCs w:val="24"/>
        </w:rPr>
        <w:t>De mest almindeligt (≥ 5 %) rapporterede bivirkninger hos patienter med Parkinsons sygdom, som oftere ses efter behandling med pramipexol end efter behandling med placebo er kvalme, dyskinesi, hypotension, svimmelhed, døsighed, søvnløshed, forstoppelse, hallucinationer, hovedpine og træthed. Forekomsten af døsighed var større ved doser højere end 1,5 mg pramipexol salt/dag (se pkt. 4.2). Dyskinesi ses hyppigere i kombination med levodopa. Hypotension kan forekomme i begyndelsen af behandlingen, specielt hvis pramipexol optitreres for hurtigt.</w:t>
      </w:r>
    </w:p>
    <w:p w14:paraId="174BD776" w14:textId="77777777" w:rsidR="004B56DD" w:rsidRDefault="004B56DD" w:rsidP="004B56DD">
      <w:pPr>
        <w:tabs>
          <w:tab w:val="left" w:pos="851"/>
        </w:tabs>
        <w:ind w:left="851"/>
      </w:pPr>
    </w:p>
    <w:tbl>
      <w:tblPr>
        <w:tblW w:w="8648"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7"/>
        <w:gridCol w:w="5811"/>
      </w:tblGrid>
      <w:tr w:rsidR="00122F58" w14:paraId="7A04C4FB" w14:textId="77777777" w:rsidTr="00F91B8A">
        <w:tc>
          <w:tcPr>
            <w:tcW w:w="1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959A1D" w14:textId="77777777" w:rsidR="00122F58" w:rsidRDefault="00122F58" w:rsidP="00F91B8A">
            <w:pPr>
              <w:tabs>
                <w:tab w:val="left" w:pos="851"/>
              </w:tabs>
              <w:rPr>
                <w:b/>
                <w:iCs/>
                <w:sz w:val="22"/>
                <w:szCs w:val="22"/>
                <w:lang w:val="nb-NO" w:bidi="hi-IN"/>
              </w:rPr>
            </w:pPr>
            <w:r>
              <w:rPr>
                <w:b/>
                <w:iCs/>
                <w:sz w:val="22"/>
                <w:szCs w:val="22"/>
                <w:lang w:val="nb-NO" w:eastAsia="zh-TW" w:bidi="hi-IN"/>
              </w:rPr>
              <w:t>Systemorganklasse</w:t>
            </w:r>
          </w:p>
        </w:tc>
        <w:tc>
          <w:tcPr>
            <w:tcW w:w="33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4638FB" w14:textId="77777777" w:rsidR="00122F58" w:rsidRDefault="00122F58" w:rsidP="00F91B8A">
            <w:pPr>
              <w:tabs>
                <w:tab w:val="left" w:pos="851"/>
              </w:tabs>
              <w:rPr>
                <w:b/>
                <w:iCs/>
                <w:sz w:val="22"/>
                <w:szCs w:val="22"/>
                <w:lang w:val="nb-NO" w:eastAsia="zh-TW" w:bidi="hi-IN"/>
              </w:rPr>
            </w:pPr>
            <w:r>
              <w:rPr>
                <w:b/>
                <w:iCs/>
                <w:sz w:val="22"/>
                <w:szCs w:val="22"/>
                <w:lang w:val="nb-NO" w:eastAsia="zh-TW" w:bidi="hi-IN"/>
              </w:rPr>
              <w:t>Bivirkning</w:t>
            </w:r>
          </w:p>
        </w:tc>
      </w:tr>
      <w:tr w:rsidR="00122F58" w14:paraId="0B11193D" w14:textId="77777777" w:rsidTr="00F91B8A">
        <w:tc>
          <w:tcPr>
            <w:tcW w:w="50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05BC2F" w14:textId="77777777" w:rsidR="00122F58" w:rsidRDefault="00122F58" w:rsidP="00F91B8A">
            <w:pPr>
              <w:tabs>
                <w:tab w:val="left" w:pos="851"/>
              </w:tabs>
              <w:rPr>
                <w:b/>
                <w:iCs/>
                <w:sz w:val="22"/>
                <w:szCs w:val="22"/>
                <w:lang w:val="nb-NO" w:eastAsia="zh-TW" w:bidi="hi-IN"/>
              </w:rPr>
            </w:pPr>
            <w:r>
              <w:rPr>
                <w:b/>
                <w:iCs/>
                <w:sz w:val="22"/>
                <w:szCs w:val="22"/>
                <w:lang w:val="nb-NO" w:eastAsia="zh-TW" w:bidi="hi-IN"/>
              </w:rPr>
              <w:t>Infektioner og parasitære sygdomme</w:t>
            </w:r>
          </w:p>
        </w:tc>
      </w:tr>
      <w:tr w:rsidR="00122F58" w14:paraId="32650019" w14:textId="77777777" w:rsidTr="00F91B8A">
        <w:tc>
          <w:tcPr>
            <w:tcW w:w="1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01FB8C" w14:textId="77777777" w:rsidR="00122F58" w:rsidRDefault="00122F58" w:rsidP="00F91B8A">
            <w:pPr>
              <w:tabs>
                <w:tab w:val="left" w:pos="851"/>
              </w:tabs>
              <w:rPr>
                <w:iCs/>
                <w:sz w:val="22"/>
                <w:szCs w:val="22"/>
                <w:lang w:val="nb-NO" w:eastAsia="zh-TW" w:bidi="hi-IN"/>
              </w:rPr>
            </w:pPr>
            <w:r>
              <w:rPr>
                <w:iCs/>
                <w:sz w:val="22"/>
                <w:szCs w:val="22"/>
                <w:lang w:val="nb-NO" w:eastAsia="zh-TW" w:bidi="hi-IN"/>
              </w:rPr>
              <w:t>Ikke almindelig</w:t>
            </w:r>
          </w:p>
        </w:tc>
        <w:tc>
          <w:tcPr>
            <w:tcW w:w="33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1C0127" w14:textId="77777777" w:rsidR="00122F58" w:rsidRDefault="00122F58" w:rsidP="00F91B8A">
            <w:pPr>
              <w:tabs>
                <w:tab w:val="left" w:pos="851"/>
              </w:tabs>
              <w:rPr>
                <w:iCs/>
                <w:sz w:val="22"/>
                <w:szCs w:val="22"/>
                <w:lang w:val="nb-NO" w:eastAsia="zh-TW" w:bidi="hi-IN"/>
              </w:rPr>
            </w:pPr>
            <w:r>
              <w:rPr>
                <w:iCs/>
                <w:sz w:val="22"/>
                <w:szCs w:val="22"/>
                <w:lang w:val="nb-NO" w:eastAsia="zh-TW" w:bidi="hi-IN"/>
              </w:rPr>
              <w:t>lungebetændelse</w:t>
            </w:r>
          </w:p>
        </w:tc>
      </w:tr>
      <w:tr w:rsidR="00122F58" w14:paraId="07037F35" w14:textId="77777777" w:rsidTr="00F91B8A">
        <w:tc>
          <w:tcPr>
            <w:tcW w:w="50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C18B22" w14:textId="77777777" w:rsidR="00122F58" w:rsidRDefault="00122F58" w:rsidP="00F91B8A">
            <w:pPr>
              <w:tabs>
                <w:tab w:val="left" w:pos="851"/>
              </w:tabs>
              <w:rPr>
                <w:b/>
                <w:iCs/>
                <w:sz w:val="22"/>
                <w:szCs w:val="22"/>
                <w:lang w:val="nb-NO" w:eastAsia="zh-TW" w:bidi="hi-IN"/>
              </w:rPr>
            </w:pPr>
            <w:r>
              <w:rPr>
                <w:b/>
                <w:iCs/>
                <w:sz w:val="22"/>
                <w:szCs w:val="22"/>
                <w:lang w:val="nb-NO" w:eastAsia="zh-TW" w:bidi="hi-IN"/>
              </w:rPr>
              <w:t>Det endokrine system</w:t>
            </w:r>
          </w:p>
        </w:tc>
      </w:tr>
      <w:tr w:rsidR="00122F58" w14:paraId="29CE4F7A" w14:textId="77777777" w:rsidTr="00F91B8A">
        <w:tc>
          <w:tcPr>
            <w:tcW w:w="1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33BE4A" w14:textId="77777777" w:rsidR="00122F58" w:rsidRDefault="00122F58" w:rsidP="00F91B8A">
            <w:pPr>
              <w:tabs>
                <w:tab w:val="left" w:pos="851"/>
              </w:tabs>
              <w:rPr>
                <w:iCs/>
                <w:sz w:val="22"/>
                <w:szCs w:val="22"/>
                <w:lang w:val="nb-NO" w:eastAsia="zh-TW" w:bidi="hi-IN"/>
              </w:rPr>
            </w:pPr>
            <w:r>
              <w:rPr>
                <w:iCs/>
                <w:sz w:val="22"/>
                <w:szCs w:val="22"/>
                <w:lang w:val="nb-NO" w:eastAsia="zh-TW" w:bidi="hi-IN"/>
              </w:rPr>
              <w:t>Ikke almindelig</w:t>
            </w:r>
          </w:p>
        </w:tc>
        <w:tc>
          <w:tcPr>
            <w:tcW w:w="33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17F2E6" w14:textId="77777777" w:rsidR="00122F58" w:rsidRPr="008B7A17" w:rsidRDefault="00122F58" w:rsidP="00F91B8A">
            <w:pPr>
              <w:tabs>
                <w:tab w:val="left" w:pos="851"/>
              </w:tabs>
              <w:rPr>
                <w:iCs/>
                <w:sz w:val="22"/>
                <w:szCs w:val="22"/>
                <w:lang w:eastAsia="zh-TW" w:bidi="hi-IN"/>
              </w:rPr>
            </w:pPr>
            <w:r>
              <w:rPr>
                <w:iCs/>
                <w:sz w:val="22"/>
                <w:szCs w:val="22"/>
                <w:lang w:eastAsia="zh-TW" w:bidi="hi-IN"/>
              </w:rPr>
              <w:t>u</w:t>
            </w:r>
            <w:r w:rsidRPr="008B7A17">
              <w:rPr>
                <w:iCs/>
                <w:sz w:val="22"/>
                <w:szCs w:val="22"/>
                <w:lang w:eastAsia="zh-TW" w:bidi="hi-IN"/>
              </w:rPr>
              <w:t>hensigtsmæssig udskillelse af antidiuretisk hormon</w:t>
            </w:r>
            <w:r w:rsidRPr="008B7A17">
              <w:rPr>
                <w:iCs/>
                <w:sz w:val="22"/>
                <w:szCs w:val="22"/>
                <w:vertAlign w:val="superscript"/>
                <w:lang w:eastAsia="zh-TW" w:bidi="hi-IN"/>
              </w:rPr>
              <w:t>1</w:t>
            </w:r>
          </w:p>
        </w:tc>
      </w:tr>
      <w:tr w:rsidR="00122F58" w14:paraId="25AC9AE0" w14:textId="77777777" w:rsidTr="00F91B8A">
        <w:tc>
          <w:tcPr>
            <w:tcW w:w="50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CBC0B4" w14:textId="77777777" w:rsidR="00122F58" w:rsidRDefault="00122F58" w:rsidP="00F91B8A">
            <w:pPr>
              <w:tabs>
                <w:tab w:val="left" w:pos="851"/>
              </w:tabs>
              <w:rPr>
                <w:b/>
                <w:iCs/>
                <w:sz w:val="22"/>
                <w:szCs w:val="22"/>
                <w:lang w:val="nb-NO" w:eastAsia="zh-TW" w:bidi="hi-IN"/>
              </w:rPr>
            </w:pPr>
            <w:r>
              <w:rPr>
                <w:b/>
                <w:iCs/>
                <w:sz w:val="22"/>
                <w:szCs w:val="22"/>
                <w:lang w:val="nb-NO" w:eastAsia="zh-TW" w:bidi="hi-IN"/>
              </w:rPr>
              <w:t>Psykiske forstyrrelser</w:t>
            </w:r>
          </w:p>
        </w:tc>
      </w:tr>
      <w:tr w:rsidR="00122F58" w:rsidRPr="00AA0182" w14:paraId="41E19253" w14:textId="77777777" w:rsidTr="00F91B8A">
        <w:tc>
          <w:tcPr>
            <w:tcW w:w="1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BE42FD" w14:textId="77777777" w:rsidR="00122F58" w:rsidRDefault="00122F58" w:rsidP="00F91B8A">
            <w:pPr>
              <w:tabs>
                <w:tab w:val="left" w:pos="851"/>
              </w:tabs>
              <w:rPr>
                <w:iCs/>
                <w:sz w:val="22"/>
                <w:szCs w:val="22"/>
                <w:lang w:val="nb-NO" w:eastAsia="zh-TW" w:bidi="hi-IN"/>
              </w:rPr>
            </w:pPr>
            <w:r>
              <w:rPr>
                <w:iCs/>
                <w:sz w:val="22"/>
                <w:szCs w:val="22"/>
                <w:lang w:val="nb-NO" w:eastAsia="zh-TW" w:bidi="hi-IN"/>
              </w:rPr>
              <w:t>Almindelig</w:t>
            </w:r>
          </w:p>
        </w:tc>
        <w:tc>
          <w:tcPr>
            <w:tcW w:w="33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1CC5EB" w14:textId="77777777" w:rsidR="00122F58" w:rsidRDefault="00122F58" w:rsidP="00F91B8A">
            <w:pPr>
              <w:tabs>
                <w:tab w:val="left" w:pos="851"/>
              </w:tabs>
              <w:rPr>
                <w:iCs/>
                <w:sz w:val="22"/>
                <w:szCs w:val="22"/>
                <w:lang w:val="nb-NO" w:eastAsia="zh-TW" w:bidi="hi-IN"/>
              </w:rPr>
            </w:pPr>
            <w:r>
              <w:rPr>
                <w:iCs/>
                <w:sz w:val="22"/>
                <w:szCs w:val="22"/>
                <w:lang w:val="nb-NO" w:eastAsia="zh-TW" w:bidi="hi-IN"/>
              </w:rPr>
              <w:t>s</w:t>
            </w:r>
            <w:r w:rsidRPr="005E35A3">
              <w:rPr>
                <w:iCs/>
                <w:sz w:val="22"/>
                <w:szCs w:val="22"/>
                <w:lang w:val="nb-NO" w:eastAsia="zh-TW" w:bidi="hi-IN"/>
              </w:rPr>
              <w:t>øvnløshed, hallucinationer,</w:t>
            </w:r>
            <w:r>
              <w:rPr>
                <w:iCs/>
                <w:sz w:val="22"/>
                <w:szCs w:val="22"/>
                <w:lang w:val="nb-NO" w:eastAsia="zh-TW" w:bidi="hi-IN"/>
              </w:rPr>
              <w:t xml:space="preserve"> unormale drømme, </w:t>
            </w:r>
            <w:r w:rsidRPr="00AA0182">
              <w:rPr>
                <w:iCs/>
                <w:sz w:val="22"/>
                <w:szCs w:val="22"/>
                <w:lang w:val="nb-NO" w:eastAsia="zh-TW" w:bidi="hi-IN"/>
              </w:rPr>
              <w:t>konfusion</w:t>
            </w:r>
            <w:r>
              <w:rPr>
                <w:iCs/>
                <w:sz w:val="22"/>
                <w:szCs w:val="22"/>
                <w:lang w:val="nb-NO" w:eastAsia="zh-TW" w:bidi="hi-IN"/>
              </w:rPr>
              <w:t>, usædvanlig adfærd med symptomer på manglende impulskontrol og tvangshandlinger</w:t>
            </w:r>
          </w:p>
        </w:tc>
      </w:tr>
      <w:tr w:rsidR="00122F58" w:rsidRPr="008B7A17" w14:paraId="659F2BAB" w14:textId="77777777" w:rsidTr="00F91B8A">
        <w:tc>
          <w:tcPr>
            <w:tcW w:w="1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B75EB6" w14:textId="77777777" w:rsidR="00122F58" w:rsidRDefault="00122F58" w:rsidP="00F91B8A">
            <w:pPr>
              <w:tabs>
                <w:tab w:val="left" w:pos="851"/>
              </w:tabs>
              <w:rPr>
                <w:iCs/>
                <w:sz w:val="22"/>
                <w:szCs w:val="22"/>
                <w:lang w:val="nb-NO" w:eastAsia="zh-TW" w:bidi="hi-IN"/>
              </w:rPr>
            </w:pPr>
            <w:r>
              <w:rPr>
                <w:iCs/>
                <w:sz w:val="22"/>
                <w:szCs w:val="22"/>
                <w:lang w:val="nb-NO" w:eastAsia="zh-TW" w:bidi="hi-IN"/>
              </w:rPr>
              <w:t>Ikke almindelig</w:t>
            </w:r>
          </w:p>
        </w:tc>
        <w:tc>
          <w:tcPr>
            <w:tcW w:w="33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B91673" w14:textId="77777777" w:rsidR="00122F58" w:rsidRDefault="00122F58" w:rsidP="00F91B8A">
            <w:pPr>
              <w:tabs>
                <w:tab w:val="left" w:pos="851"/>
              </w:tabs>
              <w:rPr>
                <w:iCs/>
                <w:sz w:val="22"/>
                <w:szCs w:val="22"/>
                <w:lang w:val="nb-NO" w:eastAsia="zh-TW" w:bidi="hi-IN"/>
              </w:rPr>
            </w:pPr>
            <w:r>
              <w:rPr>
                <w:iCs/>
                <w:sz w:val="22"/>
                <w:szCs w:val="22"/>
                <w:lang w:val="nb-NO" w:eastAsia="zh-TW" w:bidi="hi-IN"/>
              </w:rPr>
              <w:t xml:space="preserve">overdrevent indkøbsmønster, </w:t>
            </w:r>
            <w:r w:rsidRPr="00440B2B">
              <w:rPr>
                <w:iCs/>
                <w:sz w:val="22"/>
                <w:szCs w:val="22"/>
                <w:lang w:val="nb-NO" w:eastAsia="zh-TW" w:bidi="hi-IN"/>
              </w:rPr>
              <w:t>ludomani, rastløshed, hyperseksualitet, vrangforestillinger, ændring af libido, paranoia, delirium,</w:t>
            </w:r>
            <w:r>
              <w:rPr>
                <w:iCs/>
                <w:sz w:val="22"/>
                <w:szCs w:val="22"/>
                <w:lang w:val="nb-NO" w:eastAsia="zh-TW" w:bidi="hi-IN"/>
              </w:rPr>
              <w:t xml:space="preserve"> uhæmmet fødeindtagelse</w:t>
            </w:r>
            <w:r>
              <w:rPr>
                <w:iCs/>
                <w:sz w:val="22"/>
                <w:szCs w:val="22"/>
                <w:vertAlign w:val="superscript"/>
                <w:lang w:val="nb-NO" w:eastAsia="zh-TW" w:bidi="hi-IN"/>
              </w:rPr>
              <w:t>1</w:t>
            </w:r>
            <w:r>
              <w:rPr>
                <w:iCs/>
                <w:sz w:val="22"/>
                <w:szCs w:val="22"/>
                <w:lang w:val="nb-NO" w:eastAsia="zh-TW" w:bidi="hi-IN"/>
              </w:rPr>
              <w:t>, hyperfagi</w:t>
            </w:r>
            <w:r>
              <w:rPr>
                <w:iCs/>
                <w:sz w:val="22"/>
                <w:szCs w:val="22"/>
                <w:vertAlign w:val="superscript"/>
                <w:lang w:val="nb-NO" w:eastAsia="zh-TW" w:bidi="hi-IN"/>
              </w:rPr>
              <w:t>1</w:t>
            </w:r>
          </w:p>
        </w:tc>
      </w:tr>
      <w:tr w:rsidR="00122F58" w14:paraId="4F869EC6" w14:textId="77777777" w:rsidTr="00F91B8A">
        <w:tc>
          <w:tcPr>
            <w:tcW w:w="1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5B1C8F" w14:textId="77777777" w:rsidR="00122F58" w:rsidRDefault="00122F58" w:rsidP="00F91B8A">
            <w:pPr>
              <w:tabs>
                <w:tab w:val="left" w:pos="851"/>
              </w:tabs>
              <w:rPr>
                <w:iCs/>
                <w:sz w:val="22"/>
                <w:szCs w:val="22"/>
                <w:lang w:val="nb-NO" w:eastAsia="zh-TW" w:bidi="hi-IN"/>
              </w:rPr>
            </w:pPr>
            <w:r>
              <w:rPr>
                <w:iCs/>
                <w:sz w:val="22"/>
                <w:szCs w:val="22"/>
                <w:lang w:val="nb-NO" w:eastAsia="zh-TW" w:bidi="hi-IN"/>
              </w:rPr>
              <w:t>Sjælden</w:t>
            </w:r>
          </w:p>
        </w:tc>
        <w:tc>
          <w:tcPr>
            <w:tcW w:w="33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6360D6" w14:textId="77777777" w:rsidR="00122F58" w:rsidRDefault="00122F58" w:rsidP="00F91B8A">
            <w:pPr>
              <w:tabs>
                <w:tab w:val="left" w:pos="851"/>
              </w:tabs>
              <w:rPr>
                <w:iCs/>
                <w:sz w:val="22"/>
                <w:szCs w:val="22"/>
                <w:lang w:val="nb-NO" w:eastAsia="zh-TW" w:bidi="hi-IN"/>
              </w:rPr>
            </w:pPr>
            <w:r>
              <w:rPr>
                <w:iCs/>
                <w:sz w:val="22"/>
                <w:szCs w:val="22"/>
                <w:lang w:val="nb-NO" w:eastAsia="zh-TW" w:bidi="hi-IN"/>
              </w:rPr>
              <w:t>mani</w:t>
            </w:r>
          </w:p>
        </w:tc>
      </w:tr>
      <w:tr w:rsidR="00122F58" w14:paraId="7FA70B3E" w14:textId="77777777" w:rsidTr="00F91B8A">
        <w:tc>
          <w:tcPr>
            <w:tcW w:w="50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85F222" w14:textId="77777777" w:rsidR="00122F58" w:rsidRDefault="00122F58" w:rsidP="00F91B8A">
            <w:pPr>
              <w:tabs>
                <w:tab w:val="left" w:pos="851"/>
              </w:tabs>
              <w:rPr>
                <w:b/>
                <w:iCs/>
                <w:sz w:val="22"/>
                <w:szCs w:val="22"/>
                <w:lang w:val="nb-NO" w:eastAsia="zh-TW" w:bidi="hi-IN"/>
              </w:rPr>
            </w:pPr>
            <w:r>
              <w:rPr>
                <w:b/>
                <w:iCs/>
                <w:sz w:val="22"/>
                <w:szCs w:val="22"/>
                <w:lang w:val="nb-NO" w:eastAsia="zh-TW" w:bidi="hi-IN"/>
              </w:rPr>
              <w:t>Nervesystemet</w:t>
            </w:r>
          </w:p>
        </w:tc>
      </w:tr>
      <w:tr w:rsidR="00122F58" w14:paraId="7E56D9A7" w14:textId="77777777" w:rsidTr="00F91B8A">
        <w:tc>
          <w:tcPr>
            <w:tcW w:w="1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674455" w14:textId="77777777" w:rsidR="00122F58" w:rsidRDefault="00122F58" w:rsidP="00F91B8A">
            <w:pPr>
              <w:tabs>
                <w:tab w:val="left" w:pos="851"/>
              </w:tabs>
              <w:rPr>
                <w:iCs/>
                <w:sz w:val="22"/>
                <w:szCs w:val="22"/>
                <w:lang w:val="nb-NO" w:eastAsia="zh-TW" w:bidi="hi-IN"/>
              </w:rPr>
            </w:pPr>
            <w:r>
              <w:rPr>
                <w:iCs/>
                <w:sz w:val="22"/>
                <w:szCs w:val="22"/>
                <w:lang w:val="nb-NO" w:eastAsia="zh-TW" w:bidi="hi-IN"/>
              </w:rPr>
              <w:t>Meget almindelig</w:t>
            </w:r>
          </w:p>
        </w:tc>
        <w:tc>
          <w:tcPr>
            <w:tcW w:w="33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B53FA2" w14:textId="77777777" w:rsidR="00122F58" w:rsidRDefault="00122F58" w:rsidP="00F91B8A">
            <w:pPr>
              <w:tabs>
                <w:tab w:val="left" w:pos="851"/>
              </w:tabs>
              <w:rPr>
                <w:iCs/>
                <w:sz w:val="22"/>
                <w:szCs w:val="22"/>
                <w:lang w:val="nb-NO" w:eastAsia="zh-TW" w:bidi="hi-IN"/>
              </w:rPr>
            </w:pPr>
            <w:r>
              <w:rPr>
                <w:iCs/>
                <w:sz w:val="22"/>
                <w:szCs w:val="22"/>
                <w:lang w:val="nb-NO" w:eastAsia="zh-TW" w:bidi="hi-IN"/>
              </w:rPr>
              <w:t>somnolens, svimmelhed, dyskinesi</w:t>
            </w:r>
          </w:p>
        </w:tc>
      </w:tr>
      <w:tr w:rsidR="00122F58" w14:paraId="68DC4C9A" w14:textId="77777777" w:rsidTr="00F91B8A">
        <w:tc>
          <w:tcPr>
            <w:tcW w:w="1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4E8D786" w14:textId="77777777" w:rsidR="00122F58" w:rsidRDefault="00122F58" w:rsidP="00F91B8A">
            <w:pPr>
              <w:tabs>
                <w:tab w:val="left" w:pos="851"/>
              </w:tabs>
              <w:rPr>
                <w:iCs/>
                <w:sz w:val="22"/>
                <w:szCs w:val="22"/>
                <w:lang w:val="nb-NO" w:eastAsia="zh-TW" w:bidi="hi-IN"/>
              </w:rPr>
            </w:pPr>
            <w:r>
              <w:rPr>
                <w:iCs/>
                <w:sz w:val="22"/>
                <w:szCs w:val="22"/>
                <w:lang w:val="nb-NO" w:eastAsia="zh-TW" w:bidi="hi-IN"/>
              </w:rPr>
              <w:t>Almindelig</w:t>
            </w:r>
          </w:p>
        </w:tc>
        <w:tc>
          <w:tcPr>
            <w:tcW w:w="33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A12A30" w14:textId="77777777" w:rsidR="00122F58" w:rsidRDefault="00122F58" w:rsidP="00F91B8A">
            <w:pPr>
              <w:tabs>
                <w:tab w:val="left" w:pos="851"/>
              </w:tabs>
              <w:rPr>
                <w:iCs/>
                <w:sz w:val="22"/>
                <w:szCs w:val="22"/>
                <w:lang w:val="nb-NO" w:eastAsia="zh-TW" w:bidi="hi-IN"/>
              </w:rPr>
            </w:pPr>
            <w:r>
              <w:rPr>
                <w:iCs/>
                <w:sz w:val="22"/>
                <w:szCs w:val="22"/>
                <w:lang w:val="nb-NO" w:eastAsia="zh-TW" w:bidi="hi-IN"/>
              </w:rPr>
              <w:t>hovedpine</w:t>
            </w:r>
          </w:p>
        </w:tc>
      </w:tr>
      <w:tr w:rsidR="00122F58" w14:paraId="17FF646B" w14:textId="77777777" w:rsidTr="00F91B8A">
        <w:tc>
          <w:tcPr>
            <w:tcW w:w="1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738FA0" w14:textId="77777777" w:rsidR="00122F58" w:rsidRDefault="00122F58" w:rsidP="00F91B8A">
            <w:pPr>
              <w:tabs>
                <w:tab w:val="left" w:pos="851"/>
              </w:tabs>
              <w:rPr>
                <w:iCs/>
                <w:sz w:val="22"/>
                <w:szCs w:val="22"/>
                <w:lang w:val="nb-NO" w:eastAsia="zh-TW" w:bidi="hi-IN"/>
              </w:rPr>
            </w:pPr>
            <w:r>
              <w:rPr>
                <w:iCs/>
                <w:sz w:val="22"/>
                <w:szCs w:val="22"/>
                <w:lang w:val="nb-NO" w:eastAsia="zh-TW" w:bidi="hi-IN"/>
              </w:rPr>
              <w:t>Ikke almindelig</w:t>
            </w:r>
          </w:p>
        </w:tc>
        <w:tc>
          <w:tcPr>
            <w:tcW w:w="33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59EB9A" w14:textId="77777777" w:rsidR="00122F58" w:rsidRPr="008B7A17" w:rsidRDefault="00122F58" w:rsidP="00F91B8A">
            <w:pPr>
              <w:tabs>
                <w:tab w:val="left" w:pos="851"/>
              </w:tabs>
              <w:rPr>
                <w:iCs/>
                <w:sz w:val="22"/>
                <w:szCs w:val="22"/>
                <w:lang w:eastAsia="zh-TW" w:bidi="hi-IN"/>
              </w:rPr>
            </w:pPr>
            <w:r>
              <w:rPr>
                <w:iCs/>
                <w:sz w:val="22"/>
                <w:szCs w:val="22"/>
                <w:lang w:eastAsia="zh-TW" w:bidi="hi-IN"/>
              </w:rPr>
              <w:t>p</w:t>
            </w:r>
            <w:r w:rsidRPr="008B7A17">
              <w:rPr>
                <w:iCs/>
                <w:sz w:val="22"/>
                <w:szCs w:val="22"/>
                <w:lang w:eastAsia="zh-TW" w:bidi="hi-IN"/>
              </w:rPr>
              <w:t>ludseligt opstået søvn</w:t>
            </w:r>
            <w:r>
              <w:rPr>
                <w:iCs/>
                <w:sz w:val="22"/>
                <w:szCs w:val="22"/>
                <w:lang w:eastAsia="zh-TW" w:bidi="hi-IN"/>
              </w:rPr>
              <w:t>,</w:t>
            </w:r>
            <w:r w:rsidRPr="008B7A17">
              <w:rPr>
                <w:iCs/>
                <w:sz w:val="22"/>
                <w:szCs w:val="22"/>
                <w:lang w:eastAsia="zh-TW" w:bidi="hi-IN"/>
              </w:rPr>
              <w:t xml:space="preserve"> </w:t>
            </w:r>
            <w:r>
              <w:rPr>
                <w:iCs/>
                <w:sz w:val="22"/>
                <w:szCs w:val="22"/>
                <w:lang w:eastAsia="zh-TW" w:bidi="hi-IN"/>
              </w:rPr>
              <w:t>h</w:t>
            </w:r>
            <w:r w:rsidRPr="008B7A17">
              <w:rPr>
                <w:iCs/>
                <w:sz w:val="22"/>
                <w:szCs w:val="22"/>
                <w:lang w:eastAsia="zh-TW" w:bidi="hi-IN"/>
              </w:rPr>
              <w:t>ukommelsestab, hyperkinesi, synkope</w:t>
            </w:r>
          </w:p>
          <w:p w14:paraId="66B06429" w14:textId="77777777" w:rsidR="00122F58" w:rsidRPr="008B7A17" w:rsidRDefault="00122F58" w:rsidP="00F91B8A">
            <w:pPr>
              <w:tabs>
                <w:tab w:val="left" w:pos="851"/>
              </w:tabs>
              <w:rPr>
                <w:iCs/>
                <w:sz w:val="22"/>
                <w:szCs w:val="22"/>
                <w:lang w:eastAsia="zh-TW" w:bidi="hi-IN"/>
              </w:rPr>
            </w:pPr>
          </w:p>
        </w:tc>
      </w:tr>
      <w:tr w:rsidR="00122F58" w14:paraId="3C8EECAE" w14:textId="77777777" w:rsidTr="00F91B8A">
        <w:tc>
          <w:tcPr>
            <w:tcW w:w="50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BC2973" w14:textId="77777777" w:rsidR="00122F58" w:rsidRDefault="00122F58" w:rsidP="00F91B8A">
            <w:pPr>
              <w:tabs>
                <w:tab w:val="left" w:pos="851"/>
              </w:tabs>
              <w:rPr>
                <w:b/>
                <w:iCs/>
                <w:sz w:val="22"/>
                <w:szCs w:val="22"/>
                <w:lang w:val="nb-NO" w:eastAsia="zh-TW" w:bidi="hi-IN"/>
              </w:rPr>
            </w:pPr>
            <w:r>
              <w:rPr>
                <w:b/>
                <w:iCs/>
                <w:sz w:val="22"/>
                <w:szCs w:val="22"/>
                <w:lang w:val="nb-NO" w:eastAsia="zh-TW" w:bidi="hi-IN"/>
              </w:rPr>
              <w:t>Øjne</w:t>
            </w:r>
          </w:p>
        </w:tc>
      </w:tr>
      <w:tr w:rsidR="00122F58" w14:paraId="4B8B4AF9" w14:textId="77777777" w:rsidTr="00F91B8A">
        <w:tc>
          <w:tcPr>
            <w:tcW w:w="1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1AA920" w14:textId="77777777" w:rsidR="00122F58" w:rsidRDefault="00122F58" w:rsidP="00F91B8A">
            <w:pPr>
              <w:tabs>
                <w:tab w:val="left" w:pos="851"/>
              </w:tabs>
              <w:rPr>
                <w:iCs/>
                <w:sz w:val="22"/>
                <w:szCs w:val="22"/>
                <w:lang w:val="nb-NO" w:eastAsia="zh-TW" w:bidi="hi-IN"/>
              </w:rPr>
            </w:pPr>
            <w:r>
              <w:rPr>
                <w:iCs/>
                <w:sz w:val="22"/>
                <w:szCs w:val="22"/>
                <w:lang w:val="nb-NO" w:eastAsia="zh-TW" w:bidi="hi-IN"/>
              </w:rPr>
              <w:t>Almindelig</w:t>
            </w:r>
          </w:p>
        </w:tc>
        <w:tc>
          <w:tcPr>
            <w:tcW w:w="33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3D70943" w14:textId="77777777" w:rsidR="00122F58" w:rsidRPr="008B7A17" w:rsidRDefault="00122F58" w:rsidP="00F91B8A">
            <w:pPr>
              <w:tabs>
                <w:tab w:val="left" w:pos="851"/>
              </w:tabs>
              <w:rPr>
                <w:iCs/>
                <w:sz w:val="22"/>
                <w:szCs w:val="22"/>
                <w:lang w:eastAsia="zh-TW" w:bidi="hi-IN"/>
              </w:rPr>
            </w:pPr>
            <w:r>
              <w:rPr>
                <w:iCs/>
                <w:sz w:val="22"/>
                <w:szCs w:val="22"/>
                <w:lang w:eastAsia="zh-TW" w:bidi="hi-IN"/>
              </w:rPr>
              <w:t>s</w:t>
            </w:r>
            <w:r w:rsidRPr="008B7A17">
              <w:rPr>
                <w:iCs/>
                <w:sz w:val="22"/>
                <w:szCs w:val="22"/>
                <w:lang w:eastAsia="zh-TW" w:bidi="hi-IN"/>
              </w:rPr>
              <w:t>ynsnedsættelse herunder diplopi, sløret syn og nedsat synsskarphed</w:t>
            </w:r>
          </w:p>
        </w:tc>
      </w:tr>
      <w:tr w:rsidR="00122F58" w14:paraId="48DD64AE" w14:textId="77777777" w:rsidTr="00F91B8A">
        <w:tc>
          <w:tcPr>
            <w:tcW w:w="50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C8010F" w14:textId="77777777" w:rsidR="00122F58" w:rsidRDefault="00122F58" w:rsidP="00F91B8A">
            <w:pPr>
              <w:tabs>
                <w:tab w:val="left" w:pos="851"/>
              </w:tabs>
              <w:rPr>
                <w:b/>
                <w:iCs/>
                <w:sz w:val="22"/>
                <w:szCs w:val="22"/>
                <w:lang w:val="nb-NO" w:eastAsia="zh-TW" w:bidi="hi-IN"/>
              </w:rPr>
            </w:pPr>
            <w:r>
              <w:rPr>
                <w:b/>
                <w:iCs/>
                <w:sz w:val="22"/>
                <w:szCs w:val="22"/>
                <w:lang w:val="nb-NO" w:eastAsia="zh-TW" w:bidi="hi-IN"/>
              </w:rPr>
              <w:t>Hjerte</w:t>
            </w:r>
          </w:p>
        </w:tc>
      </w:tr>
      <w:tr w:rsidR="00122F58" w14:paraId="36DABB8C" w14:textId="77777777" w:rsidTr="00F91B8A">
        <w:tc>
          <w:tcPr>
            <w:tcW w:w="1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6C44F2" w14:textId="77777777" w:rsidR="00122F58" w:rsidRDefault="00122F58" w:rsidP="00F91B8A">
            <w:pPr>
              <w:tabs>
                <w:tab w:val="left" w:pos="851"/>
              </w:tabs>
              <w:rPr>
                <w:iCs/>
                <w:sz w:val="22"/>
                <w:szCs w:val="22"/>
                <w:lang w:val="nb-NO" w:eastAsia="zh-TW" w:bidi="hi-IN"/>
              </w:rPr>
            </w:pPr>
            <w:r>
              <w:rPr>
                <w:iCs/>
                <w:sz w:val="22"/>
                <w:szCs w:val="22"/>
                <w:lang w:val="nb-NO" w:eastAsia="zh-TW" w:bidi="hi-IN"/>
              </w:rPr>
              <w:t>Ikke almindelig</w:t>
            </w:r>
          </w:p>
        </w:tc>
        <w:tc>
          <w:tcPr>
            <w:tcW w:w="3360" w:type="pct"/>
            <w:tcBorders>
              <w:top w:val="single" w:sz="4" w:space="0" w:color="auto"/>
              <w:left w:val="single" w:sz="4" w:space="0" w:color="auto"/>
              <w:bottom w:val="single" w:sz="4" w:space="0" w:color="auto"/>
              <w:right w:val="single" w:sz="4" w:space="0" w:color="auto"/>
            </w:tcBorders>
            <w:hideMark/>
          </w:tcPr>
          <w:p w14:paraId="049DDAAC" w14:textId="77777777" w:rsidR="00122F58" w:rsidRDefault="00122F58" w:rsidP="00F91B8A">
            <w:pPr>
              <w:tabs>
                <w:tab w:val="left" w:pos="851"/>
              </w:tabs>
              <w:rPr>
                <w:iCs/>
                <w:sz w:val="22"/>
                <w:szCs w:val="22"/>
                <w:lang w:val="nb-NO" w:eastAsia="zh-TW" w:bidi="hi-IN"/>
              </w:rPr>
            </w:pPr>
            <w:r>
              <w:rPr>
                <w:iCs/>
                <w:sz w:val="22"/>
                <w:szCs w:val="22"/>
                <w:lang w:val="nb-NO" w:eastAsia="zh-TW" w:bidi="hi-IN"/>
              </w:rPr>
              <w:t>hjertesvigt</w:t>
            </w:r>
            <w:r>
              <w:rPr>
                <w:iCs/>
                <w:sz w:val="22"/>
                <w:szCs w:val="22"/>
                <w:vertAlign w:val="superscript"/>
                <w:lang w:val="nb-NO" w:eastAsia="zh-TW" w:bidi="hi-IN"/>
              </w:rPr>
              <w:t>1</w:t>
            </w:r>
          </w:p>
        </w:tc>
      </w:tr>
      <w:tr w:rsidR="00122F58" w14:paraId="0C3A3849" w14:textId="77777777" w:rsidTr="00F91B8A">
        <w:tc>
          <w:tcPr>
            <w:tcW w:w="50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59B325" w14:textId="77777777" w:rsidR="00122F58" w:rsidRDefault="00122F58" w:rsidP="00F91B8A">
            <w:pPr>
              <w:tabs>
                <w:tab w:val="left" w:pos="851"/>
              </w:tabs>
              <w:rPr>
                <w:b/>
                <w:iCs/>
                <w:sz w:val="22"/>
                <w:szCs w:val="22"/>
                <w:lang w:val="nb-NO" w:eastAsia="zh-TW" w:bidi="hi-IN"/>
              </w:rPr>
            </w:pPr>
            <w:r>
              <w:rPr>
                <w:b/>
                <w:iCs/>
                <w:sz w:val="22"/>
                <w:szCs w:val="22"/>
                <w:lang w:val="nb-NO" w:eastAsia="zh-TW" w:bidi="hi-IN"/>
              </w:rPr>
              <w:t>Vaskulære sygdomme</w:t>
            </w:r>
          </w:p>
        </w:tc>
      </w:tr>
      <w:tr w:rsidR="00122F58" w14:paraId="6887B77B" w14:textId="77777777" w:rsidTr="00F91B8A">
        <w:tc>
          <w:tcPr>
            <w:tcW w:w="1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8DF195" w14:textId="77777777" w:rsidR="00122F58" w:rsidRDefault="00122F58" w:rsidP="00F91B8A">
            <w:pPr>
              <w:tabs>
                <w:tab w:val="left" w:pos="851"/>
              </w:tabs>
              <w:rPr>
                <w:iCs/>
                <w:sz w:val="22"/>
                <w:szCs w:val="22"/>
                <w:lang w:val="nb-NO" w:eastAsia="zh-TW" w:bidi="hi-IN"/>
              </w:rPr>
            </w:pPr>
            <w:r>
              <w:rPr>
                <w:iCs/>
                <w:sz w:val="22"/>
                <w:szCs w:val="22"/>
                <w:lang w:val="nb-NO" w:eastAsia="zh-TW" w:bidi="hi-IN"/>
              </w:rPr>
              <w:t>Almindelig</w:t>
            </w:r>
          </w:p>
        </w:tc>
        <w:tc>
          <w:tcPr>
            <w:tcW w:w="33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79B7A9" w14:textId="77777777" w:rsidR="00122F58" w:rsidRDefault="00122F58" w:rsidP="00F91B8A">
            <w:pPr>
              <w:tabs>
                <w:tab w:val="left" w:pos="851"/>
              </w:tabs>
              <w:rPr>
                <w:iCs/>
                <w:sz w:val="22"/>
                <w:szCs w:val="22"/>
                <w:lang w:val="nb-NO" w:eastAsia="zh-TW" w:bidi="hi-IN"/>
              </w:rPr>
            </w:pPr>
            <w:r>
              <w:rPr>
                <w:iCs/>
                <w:sz w:val="22"/>
                <w:szCs w:val="22"/>
                <w:lang w:val="nb-NO" w:eastAsia="zh-TW" w:bidi="hi-IN"/>
              </w:rPr>
              <w:t>hypotension</w:t>
            </w:r>
          </w:p>
        </w:tc>
      </w:tr>
      <w:tr w:rsidR="00122F58" w14:paraId="694A8CAB" w14:textId="77777777" w:rsidTr="00F91B8A">
        <w:tc>
          <w:tcPr>
            <w:tcW w:w="50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96CD30" w14:textId="77777777" w:rsidR="00122F58" w:rsidRDefault="00122F58" w:rsidP="00F91B8A">
            <w:pPr>
              <w:tabs>
                <w:tab w:val="left" w:pos="851"/>
              </w:tabs>
              <w:rPr>
                <w:b/>
                <w:iCs/>
                <w:sz w:val="22"/>
                <w:szCs w:val="22"/>
                <w:lang w:val="nb-NO" w:eastAsia="zh-TW" w:bidi="hi-IN"/>
              </w:rPr>
            </w:pPr>
            <w:r>
              <w:rPr>
                <w:b/>
                <w:iCs/>
                <w:sz w:val="22"/>
                <w:szCs w:val="22"/>
                <w:lang w:val="nb-NO" w:eastAsia="zh-TW" w:bidi="hi-IN"/>
              </w:rPr>
              <w:t>Luftveje, thorax og mediastinum</w:t>
            </w:r>
          </w:p>
        </w:tc>
      </w:tr>
      <w:tr w:rsidR="00122F58" w14:paraId="67E15FC5" w14:textId="77777777" w:rsidTr="00F91B8A">
        <w:tc>
          <w:tcPr>
            <w:tcW w:w="1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035AFA" w14:textId="77777777" w:rsidR="00122F58" w:rsidRDefault="00122F58" w:rsidP="00F91B8A">
            <w:pPr>
              <w:tabs>
                <w:tab w:val="left" w:pos="851"/>
              </w:tabs>
              <w:rPr>
                <w:iCs/>
                <w:sz w:val="22"/>
                <w:szCs w:val="22"/>
                <w:lang w:val="nb-NO" w:eastAsia="zh-TW" w:bidi="hi-IN"/>
              </w:rPr>
            </w:pPr>
            <w:r>
              <w:rPr>
                <w:iCs/>
                <w:sz w:val="22"/>
                <w:szCs w:val="22"/>
                <w:lang w:val="nb-NO" w:eastAsia="zh-TW" w:bidi="hi-IN"/>
              </w:rPr>
              <w:t>Ikke almindelig</w:t>
            </w:r>
          </w:p>
        </w:tc>
        <w:tc>
          <w:tcPr>
            <w:tcW w:w="33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C62760" w14:textId="77777777" w:rsidR="00122F58" w:rsidRDefault="00122F58" w:rsidP="00F91B8A">
            <w:pPr>
              <w:tabs>
                <w:tab w:val="left" w:pos="851"/>
              </w:tabs>
              <w:rPr>
                <w:iCs/>
                <w:sz w:val="22"/>
                <w:szCs w:val="22"/>
                <w:lang w:val="nb-NO" w:eastAsia="zh-TW" w:bidi="hi-IN"/>
              </w:rPr>
            </w:pPr>
            <w:r>
              <w:rPr>
                <w:iCs/>
                <w:sz w:val="22"/>
                <w:szCs w:val="22"/>
                <w:lang w:val="nb-NO" w:eastAsia="zh-TW" w:bidi="hi-IN"/>
              </w:rPr>
              <w:t>dyspnø, hikke</w:t>
            </w:r>
          </w:p>
        </w:tc>
      </w:tr>
      <w:tr w:rsidR="00122F58" w14:paraId="1AC23E26" w14:textId="77777777" w:rsidTr="00F91B8A">
        <w:tc>
          <w:tcPr>
            <w:tcW w:w="50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23F6DC" w14:textId="77777777" w:rsidR="00122F58" w:rsidRDefault="00122F58" w:rsidP="00F91B8A">
            <w:pPr>
              <w:keepNext/>
              <w:tabs>
                <w:tab w:val="left" w:pos="851"/>
              </w:tabs>
              <w:rPr>
                <w:b/>
                <w:iCs/>
                <w:sz w:val="22"/>
                <w:szCs w:val="22"/>
                <w:lang w:val="nb-NO" w:eastAsia="zh-TW" w:bidi="hi-IN"/>
              </w:rPr>
            </w:pPr>
            <w:r>
              <w:rPr>
                <w:b/>
                <w:iCs/>
                <w:sz w:val="22"/>
                <w:szCs w:val="22"/>
                <w:lang w:val="nb-NO" w:eastAsia="zh-TW" w:bidi="hi-IN"/>
              </w:rPr>
              <w:t>Mave-tarm-kanalen</w:t>
            </w:r>
          </w:p>
        </w:tc>
      </w:tr>
      <w:tr w:rsidR="00122F58" w14:paraId="0C3DA958" w14:textId="77777777" w:rsidTr="00F91B8A">
        <w:tc>
          <w:tcPr>
            <w:tcW w:w="1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D704AF" w14:textId="77777777" w:rsidR="00122F58" w:rsidRDefault="00122F58" w:rsidP="00F91B8A">
            <w:pPr>
              <w:tabs>
                <w:tab w:val="left" w:pos="851"/>
              </w:tabs>
              <w:rPr>
                <w:iCs/>
                <w:sz w:val="22"/>
                <w:szCs w:val="22"/>
                <w:lang w:val="nb-NO" w:eastAsia="zh-TW" w:bidi="hi-IN"/>
              </w:rPr>
            </w:pPr>
            <w:r>
              <w:rPr>
                <w:iCs/>
                <w:sz w:val="22"/>
                <w:szCs w:val="22"/>
                <w:lang w:val="nb-NO" w:eastAsia="zh-TW" w:bidi="hi-IN"/>
              </w:rPr>
              <w:t>Meget almindelig</w:t>
            </w:r>
          </w:p>
        </w:tc>
        <w:tc>
          <w:tcPr>
            <w:tcW w:w="33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DB6EFC" w14:textId="77777777" w:rsidR="00122F58" w:rsidRDefault="00122F58" w:rsidP="00F91B8A">
            <w:pPr>
              <w:tabs>
                <w:tab w:val="left" w:pos="851"/>
              </w:tabs>
              <w:rPr>
                <w:iCs/>
                <w:sz w:val="22"/>
                <w:szCs w:val="22"/>
                <w:lang w:val="nb-NO" w:eastAsia="zh-TW" w:bidi="hi-IN"/>
              </w:rPr>
            </w:pPr>
            <w:r>
              <w:rPr>
                <w:iCs/>
                <w:sz w:val="22"/>
                <w:szCs w:val="22"/>
                <w:lang w:val="nb-NO" w:eastAsia="zh-TW" w:bidi="hi-IN"/>
              </w:rPr>
              <w:t>kvalme</w:t>
            </w:r>
          </w:p>
        </w:tc>
      </w:tr>
      <w:tr w:rsidR="00122F58" w14:paraId="13773FF3" w14:textId="77777777" w:rsidTr="00F91B8A">
        <w:tc>
          <w:tcPr>
            <w:tcW w:w="1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9648BF" w14:textId="77777777" w:rsidR="00122F58" w:rsidRDefault="00122F58" w:rsidP="00F91B8A">
            <w:pPr>
              <w:tabs>
                <w:tab w:val="left" w:pos="851"/>
              </w:tabs>
              <w:rPr>
                <w:iCs/>
                <w:sz w:val="22"/>
                <w:szCs w:val="22"/>
                <w:lang w:val="nb-NO" w:eastAsia="zh-TW" w:bidi="hi-IN"/>
              </w:rPr>
            </w:pPr>
            <w:r>
              <w:rPr>
                <w:iCs/>
                <w:sz w:val="22"/>
                <w:szCs w:val="22"/>
                <w:lang w:val="nb-NO" w:eastAsia="zh-TW" w:bidi="hi-IN"/>
              </w:rPr>
              <w:t>Almindelig</w:t>
            </w:r>
          </w:p>
        </w:tc>
        <w:tc>
          <w:tcPr>
            <w:tcW w:w="33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4718E93" w14:textId="77777777" w:rsidR="00122F58" w:rsidRDefault="00122F58" w:rsidP="00F91B8A">
            <w:pPr>
              <w:tabs>
                <w:tab w:val="left" w:pos="851"/>
              </w:tabs>
              <w:rPr>
                <w:iCs/>
                <w:sz w:val="22"/>
                <w:szCs w:val="22"/>
                <w:lang w:val="nb-NO" w:eastAsia="zh-TW" w:bidi="hi-IN"/>
              </w:rPr>
            </w:pPr>
            <w:r>
              <w:rPr>
                <w:iCs/>
                <w:sz w:val="22"/>
                <w:szCs w:val="22"/>
                <w:lang w:val="nb-NO" w:eastAsia="zh-TW" w:bidi="hi-IN"/>
              </w:rPr>
              <w:t>forstoppelse, opkastning</w:t>
            </w:r>
          </w:p>
        </w:tc>
      </w:tr>
      <w:tr w:rsidR="00122F58" w14:paraId="17EEAF3F" w14:textId="77777777" w:rsidTr="00F91B8A">
        <w:tc>
          <w:tcPr>
            <w:tcW w:w="50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DCF6A3" w14:textId="77777777" w:rsidR="00122F58" w:rsidRDefault="00122F58" w:rsidP="00F91B8A">
            <w:pPr>
              <w:tabs>
                <w:tab w:val="left" w:pos="851"/>
              </w:tabs>
              <w:rPr>
                <w:b/>
                <w:iCs/>
                <w:sz w:val="22"/>
                <w:szCs w:val="22"/>
                <w:lang w:val="nb-NO" w:eastAsia="zh-TW" w:bidi="hi-IN"/>
              </w:rPr>
            </w:pPr>
            <w:r>
              <w:rPr>
                <w:b/>
                <w:iCs/>
                <w:sz w:val="22"/>
                <w:szCs w:val="22"/>
                <w:lang w:val="nb-NO" w:eastAsia="zh-TW" w:bidi="hi-IN"/>
              </w:rPr>
              <w:t>Hud og subkutane væv</w:t>
            </w:r>
          </w:p>
        </w:tc>
      </w:tr>
      <w:tr w:rsidR="00122F58" w14:paraId="31DE0073" w14:textId="77777777" w:rsidTr="00F91B8A">
        <w:tc>
          <w:tcPr>
            <w:tcW w:w="1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C5CA2C" w14:textId="77777777" w:rsidR="00122F58" w:rsidRDefault="00122F58" w:rsidP="00F91B8A">
            <w:pPr>
              <w:tabs>
                <w:tab w:val="left" w:pos="851"/>
              </w:tabs>
              <w:rPr>
                <w:iCs/>
                <w:sz w:val="22"/>
                <w:szCs w:val="22"/>
                <w:lang w:val="nb-NO" w:eastAsia="zh-TW" w:bidi="hi-IN"/>
              </w:rPr>
            </w:pPr>
            <w:r>
              <w:rPr>
                <w:iCs/>
                <w:sz w:val="22"/>
                <w:szCs w:val="22"/>
                <w:lang w:val="nb-NO" w:eastAsia="zh-TW" w:bidi="hi-IN"/>
              </w:rPr>
              <w:t>Ikke almindelig</w:t>
            </w:r>
          </w:p>
        </w:tc>
        <w:tc>
          <w:tcPr>
            <w:tcW w:w="33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E9BBFF" w14:textId="77777777" w:rsidR="00122F58" w:rsidRDefault="00122F58" w:rsidP="00F91B8A">
            <w:pPr>
              <w:tabs>
                <w:tab w:val="left" w:pos="851"/>
              </w:tabs>
              <w:rPr>
                <w:iCs/>
                <w:sz w:val="22"/>
                <w:szCs w:val="22"/>
                <w:lang w:val="nb-NO" w:eastAsia="zh-TW" w:bidi="hi-IN"/>
              </w:rPr>
            </w:pPr>
            <w:r>
              <w:rPr>
                <w:iCs/>
                <w:sz w:val="22"/>
                <w:szCs w:val="22"/>
                <w:lang w:val="nb-NO" w:eastAsia="zh-TW" w:bidi="hi-IN"/>
              </w:rPr>
              <w:t>overfølsomhed, pruritus, udslæt</w:t>
            </w:r>
          </w:p>
        </w:tc>
      </w:tr>
      <w:tr w:rsidR="00122F58" w14:paraId="7A58963D" w14:textId="77777777" w:rsidTr="00F91B8A">
        <w:tc>
          <w:tcPr>
            <w:tcW w:w="50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C41B50" w14:textId="77777777" w:rsidR="00122F58" w:rsidRDefault="00122F58" w:rsidP="00F91B8A">
            <w:pPr>
              <w:keepNext/>
              <w:tabs>
                <w:tab w:val="left" w:pos="851"/>
              </w:tabs>
              <w:rPr>
                <w:b/>
                <w:iCs/>
                <w:sz w:val="22"/>
                <w:szCs w:val="22"/>
                <w:lang w:val="nb-NO" w:eastAsia="zh-TW" w:bidi="hi-IN"/>
              </w:rPr>
            </w:pPr>
            <w:r w:rsidRPr="005B72D2">
              <w:rPr>
                <w:b/>
                <w:iCs/>
                <w:sz w:val="22"/>
                <w:szCs w:val="22"/>
                <w:lang w:val="nb-NO" w:eastAsia="zh-TW" w:bidi="hi-IN"/>
              </w:rPr>
              <w:lastRenderedPageBreak/>
              <w:t>Det reproduktive system og mammae</w:t>
            </w:r>
          </w:p>
        </w:tc>
      </w:tr>
      <w:tr w:rsidR="00122F58" w14:paraId="5B9F569A" w14:textId="77777777" w:rsidTr="00F91B8A">
        <w:tc>
          <w:tcPr>
            <w:tcW w:w="1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889B9F" w14:textId="77777777" w:rsidR="00122F58" w:rsidRDefault="00122F58" w:rsidP="00F91B8A">
            <w:pPr>
              <w:keepNext/>
              <w:tabs>
                <w:tab w:val="left" w:pos="851"/>
              </w:tabs>
              <w:rPr>
                <w:b/>
                <w:iCs/>
                <w:sz w:val="22"/>
                <w:szCs w:val="22"/>
                <w:lang w:val="nb-NO" w:eastAsia="zh-TW" w:bidi="hi-IN"/>
              </w:rPr>
            </w:pPr>
            <w:r>
              <w:rPr>
                <w:iCs/>
                <w:sz w:val="22"/>
                <w:szCs w:val="22"/>
                <w:lang w:val="nb-NO" w:eastAsia="zh-TW" w:bidi="hi-IN"/>
              </w:rPr>
              <w:t>Sjælden</w:t>
            </w:r>
          </w:p>
        </w:tc>
        <w:tc>
          <w:tcPr>
            <w:tcW w:w="3360" w:type="pct"/>
            <w:tcBorders>
              <w:top w:val="single" w:sz="4" w:space="0" w:color="auto"/>
              <w:left w:val="single" w:sz="4" w:space="0" w:color="auto"/>
              <w:bottom w:val="single" w:sz="4" w:space="0" w:color="auto"/>
              <w:right w:val="single" w:sz="4" w:space="0" w:color="auto"/>
            </w:tcBorders>
          </w:tcPr>
          <w:p w14:paraId="1AC6E72D" w14:textId="77777777" w:rsidR="00122F58" w:rsidRPr="001D6BF6" w:rsidRDefault="00122F58" w:rsidP="00F91B8A">
            <w:pPr>
              <w:keepNext/>
              <w:tabs>
                <w:tab w:val="left" w:pos="851"/>
              </w:tabs>
              <w:rPr>
                <w:bCs/>
                <w:iCs/>
                <w:sz w:val="22"/>
                <w:szCs w:val="22"/>
                <w:lang w:val="nb-NO" w:eastAsia="zh-TW" w:bidi="hi-IN"/>
              </w:rPr>
            </w:pPr>
            <w:r>
              <w:rPr>
                <w:bCs/>
                <w:iCs/>
                <w:sz w:val="22"/>
                <w:szCs w:val="22"/>
                <w:lang w:val="nb-NO" w:eastAsia="zh-TW" w:bidi="hi-IN"/>
              </w:rPr>
              <w:t>s</w:t>
            </w:r>
            <w:r w:rsidRPr="001D6BF6">
              <w:rPr>
                <w:bCs/>
                <w:iCs/>
                <w:sz w:val="22"/>
                <w:szCs w:val="22"/>
                <w:lang w:val="nb-NO" w:eastAsia="zh-TW" w:bidi="hi-IN"/>
              </w:rPr>
              <w:t>pontan erektion af penis</w:t>
            </w:r>
          </w:p>
        </w:tc>
      </w:tr>
      <w:tr w:rsidR="00122F58" w14:paraId="0D14E09F" w14:textId="77777777" w:rsidTr="00F91B8A">
        <w:tc>
          <w:tcPr>
            <w:tcW w:w="50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CA4710" w14:textId="77777777" w:rsidR="00122F58" w:rsidRDefault="00122F58" w:rsidP="00F91B8A">
            <w:pPr>
              <w:keepNext/>
              <w:tabs>
                <w:tab w:val="left" w:pos="851"/>
              </w:tabs>
              <w:rPr>
                <w:b/>
                <w:iCs/>
                <w:sz w:val="22"/>
                <w:szCs w:val="22"/>
                <w:lang w:val="nb-NO" w:eastAsia="zh-TW" w:bidi="hi-IN"/>
              </w:rPr>
            </w:pPr>
            <w:r>
              <w:rPr>
                <w:b/>
                <w:iCs/>
                <w:sz w:val="22"/>
                <w:szCs w:val="22"/>
                <w:lang w:val="nb-NO" w:eastAsia="zh-TW" w:bidi="hi-IN"/>
              </w:rPr>
              <w:t>Almene symptomer og reaktioner på administrationsstedet</w:t>
            </w:r>
          </w:p>
        </w:tc>
      </w:tr>
      <w:tr w:rsidR="00122F58" w14:paraId="6952271C" w14:textId="77777777" w:rsidTr="00F91B8A">
        <w:tc>
          <w:tcPr>
            <w:tcW w:w="1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F9E2E4" w14:textId="77777777" w:rsidR="00122F58" w:rsidRDefault="00122F58" w:rsidP="00F91B8A">
            <w:pPr>
              <w:keepNext/>
              <w:tabs>
                <w:tab w:val="left" w:pos="851"/>
              </w:tabs>
              <w:rPr>
                <w:iCs/>
                <w:sz w:val="22"/>
                <w:szCs w:val="22"/>
                <w:lang w:val="nb-NO" w:eastAsia="zh-TW" w:bidi="hi-IN"/>
              </w:rPr>
            </w:pPr>
            <w:r>
              <w:rPr>
                <w:iCs/>
                <w:sz w:val="22"/>
                <w:szCs w:val="22"/>
                <w:lang w:val="nb-NO" w:eastAsia="zh-TW" w:bidi="hi-IN"/>
              </w:rPr>
              <w:t>Almindelig</w:t>
            </w:r>
          </w:p>
        </w:tc>
        <w:tc>
          <w:tcPr>
            <w:tcW w:w="33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822856" w14:textId="77777777" w:rsidR="00122F58" w:rsidRDefault="00122F58" w:rsidP="00F91B8A">
            <w:pPr>
              <w:keepNext/>
              <w:tabs>
                <w:tab w:val="left" w:pos="851"/>
              </w:tabs>
              <w:rPr>
                <w:iCs/>
                <w:sz w:val="22"/>
                <w:szCs w:val="22"/>
                <w:lang w:val="nb-NO" w:eastAsia="zh-TW" w:bidi="hi-IN"/>
              </w:rPr>
            </w:pPr>
            <w:r>
              <w:rPr>
                <w:iCs/>
                <w:sz w:val="22"/>
                <w:szCs w:val="22"/>
                <w:lang w:val="nb-NO" w:eastAsia="zh-TW" w:bidi="hi-IN"/>
              </w:rPr>
              <w:t>træthed, perifere ødemer</w:t>
            </w:r>
          </w:p>
        </w:tc>
      </w:tr>
      <w:tr w:rsidR="00122F58" w14:paraId="6FD2ABE7" w14:textId="77777777" w:rsidTr="00F91B8A">
        <w:tc>
          <w:tcPr>
            <w:tcW w:w="1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B33C09" w14:textId="77777777" w:rsidR="00122F58" w:rsidRDefault="00122F58" w:rsidP="00F91B8A">
            <w:pPr>
              <w:tabs>
                <w:tab w:val="left" w:pos="851"/>
              </w:tabs>
              <w:rPr>
                <w:iCs/>
                <w:sz w:val="22"/>
                <w:szCs w:val="22"/>
                <w:lang w:val="nb-NO" w:eastAsia="zh-TW" w:bidi="hi-IN"/>
              </w:rPr>
            </w:pPr>
            <w:r>
              <w:rPr>
                <w:iCs/>
                <w:sz w:val="22"/>
                <w:szCs w:val="22"/>
                <w:lang w:val="nb-NO" w:eastAsia="zh-TW" w:bidi="hi-IN"/>
              </w:rPr>
              <w:t>Ikke kendt</w:t>
            </w:r>
          </w:p>
        </w:tc>
        <w:tc>
          <w:tcPr>
            <w:tcW w:w="33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12D718" w14:textId="77777777" w:rsidR="00122F58" w:rsidRPr="008B7A17" w:rsidRDefault="00122F58" w:rsidP="00F91B8A">
            <w:pPr>
              <w:tabs>
                <w:tab w:val="left" w:pos="851"/>
              </w:tabs>
              <w:rPr>
                <w:iCs/>
                <w:sz w:val="22"/>
                <w:szCs w:val="22"/>
                <w:lang w:eastAsia="zh-TW" w:bidi="hi-IN"/>
              </w:rPr>
            </w:pPr>
            <w:r>
              <w:rPr>
                <w:iCs/>
                <w:sz w:val="22"/>
                <w:szCs w:val="22"/>
                <w:lang w:eastAsia="zh-TW" w:bidi="hi-IN"/>
              </w:rPr>
              <w:t>d</w:t>
            </w:r>
            <w:r w:rsidRPr="008B7A17">
              <w:rPr>
                <w:iCs/>
                <w:sz w:val="22"/>
                <w:szCs w:val="22"/>
                <w:lang w:eastAsia="zh-TW" w:bidi="hi-IN"/>
              </w:rPr>
              <w:t>opamin-agonist-abstinens-syndrom inklusive apati, angst, depression, træthed, svedtendens og smerter</w:t>
            </w:r>
          </w:p>
        </w:tc>
      </w:tr>
      <w:tr w:rsidR="00122F58" w14:paraId="72BECAF1" w14:textId="77777777" w:rsidTr="00F91B8A">
        <w:tc>
          <w:tcPr>
            <w:tcW w:w="50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19A440" w14:textId="77777777" w:rsidR="00122F58" w:rsidRDefault="00122F58" w:rsidP="00F91B8A">
            <w:pPr>
              <w:keepNext/>
              <w:tabs>
                <w:tab w:val="left" w:pos="851"/>
              </w:tabs>
              <w:rPr>
                <w:b/>
                <w:iCs/>
                <w:sz w:val="22"/>
                <w:szCs w:val="22"/>
                <w:lang w:val="nb-NO" w:eastAsia="zh-TW" w:bidi="hi-IN"/>
              </w:rPr>
            </w:pPr>
            <w:r>
              <w:rPr>
                <w:b/>
                <w:iCs/>
                <w:sz w:val="22"/>
                <w:szCs w:val="22"/>
                <w:lang w:val="nb-NO" w:eastAsia="zh-TW" w:bidi="hi-IN"/>
              </w:rPr>
              <w:t>Undersøgelser</w:t>
            </w:r>
          </w:p>
        </w:tc>
      </w:tr>
      <w:tr w:rsidR="00122F58" w14:paraId="189517E9" w14:textId="77777777" w:rsidTr="00F91B8A">
        <w:tc>
          <w:tcPr>
            <w:tcW w:w="1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7C7963" w14:textId="77777777" w:rsidR="00122F58" w:rsidRDefault="00122F58" w:rsidP="00F91B8A">
            <w:pPr>
              <w:keepNext/>
              <w:tabs>
                <w:tab w:val="left" w:pos="851"/>
              </w:tabs>
              <w:rPr>
                <w:iCs/>
                <w:sz w:val="22"/>
                <w:szCs w:val="22"/>
                <w:lang w:val="nb-NO" w:eastAsia="zh-TW" w:bidi="hi-IN"/>
              </w:rPr>
            </w:pPr>
            <w:r>
              <w:rPr>
                <w:iCs/>
                <w:sz w:val="22"/>
                <w:szCs w:val="22"/>
                <w:lang w:val="nb-NO" w:eastAsia="zh-TW" w:bidi="hi-IN"/>
              </w:rPr>
              <w:t>Almindelig</w:t>
            </w:r>
          </w:p>
        </w:tc>
        <w:tc>
          <w:tcPr>
            <w:tcW w:w="33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499990" w14:textId="77777777" w:rsidR="00122F58" w:rsidRDefault="00122F58" w:rsidP="00F91B8A">
            <w:pPr>
              <w:tabs>
                <w:tab w:val="left" w:pos="851"/>
              </w:tabs>
              <w:rPr>
                <w:iCs/>
                <w:sz w:val="22"/>
                <w:szCs w:val="22"/>
                <w:lang w:val="nb-NO" w:eastAsia="zh-TW" w:bidi="hi-IN"/>
              </w:rPr>
            </w:pPr>
            <w:r>
              <w:rPr>
                <w:iCs/>
                <w:sz w:val="22"/>
                <w:szCs w:val="22"/>
                <w:lang w:val="nb-NO" w:eastAsia="zh-TW" w:bidi="hi-IN"/>
              </w:rPr>
              <w:t>vægttab samt nedsat appetit</w:t>
            </w:r>
          </w:p>
        </w:tc>
      </w:tr>
      <w:tr w:rsidR="00122F58" w14:paraId="3A448B87" w14:textId="77777777" w:rsidTr="00F91B8A">
        <w:tc>
          <w:tcPr>
            <w:tcW w:w="1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C2FD05" w14:textId="77777777" w:rsidR="00122F58" w:rsidRDefault="00122F58" w:rsidP="00F91B8A">
            <w:pPr>
              <w:tabs>
                <w:tab w:val="left" w:pos="851"/>
              </w:tabs>
              <w:rPr>
                <w:iCs/>
                <w:sz w:val="22"/>
                <w:szCs w:val="22"/>
                <w:lang w:val="nb-NO" w:eastAsia="zh-TW" w:bidi="hi-IN"/>
              </w:rPr>
            </w:pPr>
            <w:r>
              <w:rPr>
                <w:iCs/>
                <w:sz w:val="22"/>
                <w:szCs w:val="22"/>
                <w:lang w:val="nb-NO" w:eastAsia="zh-TW" w:bidi="hi-IN"/>
              </w:rPr>
              <w:t>Ikke almindelig</w:t>
            </w:r>
          </w:p>
        </w:tc>
        <w:tc>
          <w:tcPr>
            <w:tcW w:w="33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716536" w14:textId="77777777" w:rsidR="00122F58" w:rsidRDefault="00122F58" w:rsidP="00F91B8A">
            <w:pPr>
              <w:tabs>
                <w:tab w:val="left" w:pos="851"/>
              </w:tabs>
              <w:rPr>
                <w:iCs/>
                <w:sz w:val="22"/>
                <w:szCs w:val="22"/>
                <w:lang w:val="nb-NO" w:eastAsia="zh-TW" w:bidi="hi-IN"/>
              </w:rPr>
            </w:pPr>
            <w:r>
              <w:rPr>
                <w:iCs/>
                <w:sz w:val="22"/>
                <w:szCs w:val="22"/>
                <w:lang w:val="nb-NO" w:eastAsia="zh-TW" w:bidi="hi-IN"/>
              </w:rPr>
              <w:t>vægtstigning</w:t>
            </w:r>
          </w:p>
        </w:tc>
      </w:tr>
    </w:tbl>
    <w:p w14:paraId="72A99BBF" w14:textId="77777777" w:rsidR="004B56DD" w:rsidRDefault="004B56DD" w:rsidP="004B56DD">
      <w:pPr>
        <w:tabs>
          <w:tab w:val="left" w:pos="851"/>
        </w:tabs>
        <w:rPr>
          <w:sz w:val="24"/>
          <w:lang w:eastAsia="da-DK"/>
        </w:rPr>
      </w:pPr>
    </w:p>
    <w:p w14:paraId="6FC8E931" w14:textId="77777777" w:rsidR="004B56DD" w:rsidRDefault="004B56DD" w:rsidP="002713A6">
      <w:pPr>
        <w:tabs>
          <w:tab w:val="left" w:pos="993"/>
        </w:tabs>
        <w:ind w:left="993" w:hanging="142"/>
      </w:pPr>
      <w:r>
        <w:rPr>
          <w:vertAlign w:val="superscript"/>
        </w:rPr>
        <w:t>1</w:t>
      </w:r>
      <w:r w:rsidR="002713A6">
        <w:rPr>
          <w:vertAlign w:val="superscript"/>
        </w:rPr>
        <w:tab/>
      </w:r>
      <w:r>
        <w:t>Denne bivirkning er observeret efter markedsføring. Med 95 % sikkerhed er frekvenskategorien ikke højere end “ikke almindelig" og kan være lavere. En præcis estimering af frekvens er ikke mulig, da bivirkningen ikke fandtes i en database med data for kliniske forsøg med 2.762 patienter med Parkinsons sygdom behandlet med pramipexol.</w:t>
      </w:r>
    </w:p>
    <w:p w14:paraId="09A6F1EB" w14:textId="77777777" w:rsidR="004B56DD" w:rsidRPr="004B56DD" w:rsidRDefault="004B56DD" w:rsidP="004B56DD">
      <w:pPr>
        <w:tabs>
          <w:tab w:val="left" w:pos="851"/>
        </w:tabs>
        <w:ind w:left="851"/>
        <w:rPr>
          <w:sz w:val="24"/>
          <w:szCs w:val="24"/>
        </w:rPr>
      </w:pPr>
    </w:p>
    <w:p w14:paraId="649B7440" w14:textId="77777777" w:rsidR="004B56DD" w:rsidRPr="004B56DD" w:rsidRDefault="004B56DD" w:rsidP="004B56DD">
      <w:pPr>
        <w:keepNext/>
        <w:tabs>
          <w:tab w:val="left" w:pos="851"/>
        </w:tabs>
        <w:ind w:left="851"/>
        <w:rPr>
          <w:sz w:val="24"/>
          <w:szCs w:val="24"/>
        </w:rPr>
      </w:pPr>
      <w:r w:rsidRPr="004B56DD">
        <w:rPr>
          <w:sz w:val="24"/>
          <w:szCs w:val="24"/>
          <w:u w:val="single"/>
        </w:rPr>
        <w:t>Beskrivelse af udvalgte bivirkninger</w:t>
      </w:r>
    </w:p>
    <w:p w14:paraId="3AC797B6" w14:textId="77777777" w:rsidR="004B56DD" w:rsidRPr="004B56DD" w:rsidRDefault="004B56DD" w:rsidP="004B56DD">
      <w:pPr>
        <w:keepNext/>
        <w:tabs>
          <w:tab w:val="left" w:pos="851"/>
        </w:tabs>
        <w:ind w:left="851"/>
        <w:rPr>
          <w:sz w:val="24"/>
          <w:szCs w:val="24"/>
        </w:rPr>
      </w:pPr>
    </w:p>
    <w:p w14:paraId="16140081" w14:textId="77777777" w:rsidR="004B56DD" w:rsidRPr="002713A6" w:rsidRDefault="004B56DD" w:rsidP="004B56DD">
      <w:pPr>
        <w:tabs>
          <w:tab w:val="left" w:pos="851"/>
        </w:tabs>
        <w:ind w:left="851"/>
        <w:rPr>
          <w:i/>
          <w:sz w:val="24"/>
          <w:szCs w:val="24"/>
        </w:rPr>
      </w:pPr>
      <w:r w:rsidRPr="002713A6">
        <w:rPr>
          <w:i/>
          <w:sz w:val="24"/>
          <w:szCs w:val="24"/>
        </w:rPr>
        <w:t>Døsighed/somnolens</w:t>
      </w:r>
    </w:p>
    <w:p w14:paraId="1864111C" w14:textId="77777777" w:rsidR="004B56DD" w:rsidRPr="004B56DD" w:rsidRDefault="004B56DD" w:rsidP="004B56DD">
      <w:pPr>
        <w:tabs>
          <w:tab w:val="left" w:pos="851"/>
        </w:tabs>
        <w:ind w:left="851"/>
        <w:rPr>
          <w:sz w:val="24"/>
          <w:szCs w:val="24"/>
        </w:rPr>
      </w:pPr>
      <w:r w:rsidRPr="004B56DD">
        <w:rPr>
          <w:sz w:val="24"/>
          <w:szCs w:val="24"/>
        </w:rPr>
        <w:t>Det er almindeligt, at pramipexolbehandling er forbundet med døsighed, men det er ikke almindeligt, at det er forbundet med somnolens (søvnlignende bevidsthedssvækkelse) i dagtimerne og pludseligt opståede søvnepisoder (se også pkt. 4.4).</w:t>
      </w:r>
    </w:p>
    <w:p w14:paraId="51F11425" w14:textId="77777777" w:rsidR="004B56DD" w:rsidRPr="004B56DD" w:rsidRDefault="004B56DD" w:rsidP="004B56DD">
      <w:pPr>
        <w:tabs>
          <w:tab w:val="left" w:pos="851"/>
        </w:tabs>
        <w:ind w:left="851"/>
        <w:rPr>
          <w:sz w:val="24"/>
          <w:szCs w:val="24"/>
        </w:rPr>
      </w:pPr>
    </w:p>
    <w:p w14:paraId="289EB964" w14:textId="77777777" w:rsidR="004B56DD" w:rsidRPr="002713A6" w:rsidRDefault="004B56DD" w:rsidP="004B56DD">
      <w:pPr>
        <w:keepNext/>
        <w:tabs>
          <w:tab w:val="left" w:pos="851"/>
        </w:tabs>
        <w:ind w:left="851"/>
        <w:rPr>
          <w:i/>
          <w:sz w:val="24"/>
          <w:szCs w:val="24"/>
        </w:rPr>
      </w:pPr>
      <w:r w:rsidRPr="002713A6">
        <w:rPr>
          <w:i/>
          <w:sz w:val="24"/>
          <w:szCs w:val="24"/>
        </w:rPr>
        <w:t>Ændring af libido</w:t>
      </w:r>
    </w:p>
    <w:p w14:paraId="6C3B0505" w14:textId="77777777" w:rsidR="004B56DD" w:rsidRPr="004B56DD" w:rsidRDefault="004B56DD" w:rsidP="004B56DD">
      <w:pPr>
        <w:tabs>
          <w:tab w:val="left" w:pos="851"/>
        </w:tabs>
        <w:ind w:left="851"/>
        <w:rPr>
          <w:sz w:val="24"/>
          <w:szCs w:val="24"/>
        </w:rPr>
      </w:pPr>
      <w:r w:rsidRPr="004B56DD">
        <w:rPr>
          <w:sz w:val="24"/>
          <w:szCs w:val="24"/>
        </w:rPr>
        <w:t>Pramipexol kan i ikke almindelige tilfælde være forbundet med ændringer i libido (øget eller nedsat).</w:t>
      </w:r>
    </w:p>
    <w:p w14:paraId="2F3C8CE6" w14:textId="77777777" w:rsidR="004B56DD" w:rsidRPr="004B56DD" w:rsidRDefault="004B56DD" w:rsidP="004B56DD">
      <w:pPr>
        <w:tabs>
          <w:tab w:val="left" w:pos="851"/>
        </w:tabs>
        <w:ind w:left="851"/>
        <w:rPr>
          <w:sz w:val="24"/>
          <w:szCs w:val="24"/>
        </w:rPr>
      </w:pPr>
    </w:p>
    <w:p w14:paraId="40F6259A" w14:textId="77777777" w:rsidR="004B56DD" w:rsidRPr="002713A6" w:rsidRDefault="004B56DD" w:rsidP="004B56DD">
      <w:pPr>
        <w:keepNext/>
        <w:tabs>
          <w:tab w:val="left" w:pos="851"/>
        </w:tabs>
        <w:ind w:left="851"/>
        <w:rPr>
          <w:i/>
          <w:noProof/>
          <w:sz w:val="24"/>
          <w:szCs w:val="24"/>
        </w:rPr>
      </w:pPr>
      <w:r w:rsidRPr="002713A6">
        <w:rPr>
          <w:i/>
          <w:sz w:val="24"/>
          <w:szCs w:val="24"/>
        </w:rPr>
        <w:t>Impuls</w:t>
      </w:r>
      <w:r w:rsidRPr="002713A6">
        <w:rPr>
          <w:i/>
          <w:noProof/>
          <w:sz w:val="24"/>
          <w:szCs w:val="24"/>
        </w:rPr>
        <w:t>kontrol forstyrrelser</w:t>
      </w:r>
    </w:p>
    <w:p w14:paraId="3E0D5AD0" w14:textId="77777777" w:rsidR="004B56DD" w:rsidRPr="004B56DD" w:rsidRDefault="004B56DD" w:rsidP="004B56DD">
      <w:pPr>
        <w:tabs>
          <w:tab w:val="left" w:pos="851"/>
        </w:tabs>
        <w:ind w:left="851"/>
        <w:rPr>
          <w:sz w:val="24"/>
          <w:szCs w:val="24"/>
          <w:lang w:eastAsia="da-DK"/>
        </w:rPr>
      </w:pPr>
      <w:r w:rsidRPr="004B56DD">
        <w:rPr>
          <w:sz w:val="24"/>
          <w:szCs w:val="24"/>
        </w:rPr>
        <w:t>Ludomani, forøget libido, hyperseksualitet og tvangshandlinger, der fører til overdrevent indkøbsmønster og uhæmmet fødeindtagelse og tvangsspisning, kan forekomme hos patienter i behandling med dopaminagonister, herunder Pramipexol "Zentiva" (se pkt. 4.4).</w:t>
      </w:r>
    </w:p>
    <w:p w14:paraId="2161BD8C" w14:textId="77777777" w:rsidR="004B56DD" w:rsidRPr="004B56DD" w:rsidRDefault="004B56DD" w:rsidP="004B56DD">
      <w:pPr>
        <w:tabs>
          <w:tab w:val="left" w:pos="851"/>
        </w:tabs>
        <w:ind w:left="851"/>
        <w:rPr>
          <w:sz w:val="24"/>
          <w:szCs w:val="24"/>
        </w:rPr>
      </w:pPr>
    </w:p>
    <w:p w14:paraId="3DB1717C" w14:textId="77777777" w:rsidR="004B56DD" w:rsidRPr="004B56DD" w:rsidRDefault="004B56DD" w:rsidP="004B56DD">
      <w:pPr>
        <w:tabs>
          <w:tab w:val="left" w:pos="851"/>
        </w:tabs>
        <w:ind w:left="851"/>
        <w:rPr>
          <w:sz w:val="24"/>
          <w:szCs w:val="24"/>
        </w:rPr>
      </w:pPr>
      <w:r w:rsidRPr="004B56DD">
        <w:rPr>
          <w:sz w:val="24"/>
          <w:szCs w:val="24"/>
        </w:rPr>
        <w:t>I en retrospektiv screening og case-kontrol studie med 3.090 Parkinsonpatienter, fik 13,6 % af alle patienter, der blev behandlet med dopaminerge eller non-dopaminerge lægemidler, symptomer på unormal adfærd i løbet af de sidste 6 måneders behandling. Observerede manifestationer var ludomani, tvangshandling, der førte til overdrevent indkøbsmønster, uhæmmet fødeindtagelse og hyperseksualitet. De mulige uafhængige risikofaktorer for unormal adfærd omfatter dopaminbehandling, højere doser af dopaminbehandling, en yngre alder (≤ 65 år), at være ugift og at have arvelig ludomani.</w:t>
      </w:r>
    </w:p>
    <w:p w14:paraId="5B5B82C7" w14:textId="77777777" w:rsidR="004B56DD" w:rsidRDefault="004B56DD" w:rsidP="004B56DD">
      <w:pPr>
        <w:tabs>
          <w:tab w:val="left" w:pos="851"/>
        </w:tabs>
        <w:ind w:left="851"/>
        <w:rPr>
          <w:sz w:val="24"/>
          <w:szCs w:val="24"/>
        </w:rPr>
      </w:pPr>
    </w:p>
    <w:p w14:paraId="60B4F93D" w14:textId="77777777" w:rsidR="00122F58" w:rsidRPr="002713A6" w:rsidRDefault="00122F58" w:rsidP="00122F58">
      <w:pPr>
        <w:keepNext/>
        <w:tabs>
          <w:tab w:val="left" w:pos="851"/>
        </w:tabs>
        <w:ind w:left="851"/>
        <w:rPr>
          <w:i/>
          <w:sz w:val="24"/>
          <w:szCs w:val="24"/>
        </w:rPr>
      </w:pPr>
      <w:r w:rsidRPr="002713A6">
        <w:rPr>
          <w:i/>
          <w:sz w:val="24"/>
          <w:szCs w:val="24"/>
        </w:rPr>
        <w:t>Dopaminagonist-abstinenssyndrom</w:t>
      </w:r>
    </w:p>
    <w:p w14:paraId="19CA770C" w14:textId="77777777" w:rsidR="00122F58" w:rsidRPr="004B56DD" w:rsidRDefault="00122F58" w:rsidP="00122F58">
      <w:pPr>
        <w:tabs>
          <w:tab w:val="left" w:pos="851"/>
        </w:tabs>
        <w:ind w:left="851"/>
        <w:rPr>
          <w:sz w:val="24"/>
          <w:szCs w:val="24"/>
        </w:rPr>
      </w:pPr>
      <w:r w:rsidRPr="004B56DD">
        <w:rPr>
          <w:sz w:val="24"/>
          <w:szCs w:val="24"/>
        </w:rPr>
        <w:t>Ikke-motoriske bivirkninger kan forekomme, når dopaminagonister, inklusive pramipexol, nedtrappes eller seponeres. Symptomer omfatter apati, angst, depression, træthed, svedtendens og smerter (se pkt. 4.4).</w:t>
      </w:r>
    </w:p>
    <w:p w14:paraId="0745D1B1" w14:textId="77777777" w:rsidR="00122F58" w:rsidRPr="004B56DD" w:rsidRDefault="00122F58" w:rsidP="004B56DD">
      <w:pPr>
        <w:tabs>
          <w:tab w:val="left" w:pos="851"/>
        </w:tabs>
        <w:ind w:left="851"/>
        <w:rPr>
          <w:sz w:val="24"/>
          <w:szCs w:val="24"/>
        </w:rPr>
      </w:pPr>
    </w:p>
    <w:p w14:paraId="1C8A2DF9" w14:textId="77777777" w:rsidR="004B56DD" w:rsidRPr="002713A6" w:rsidRDefault="004B56DD" w:rsidP="004B56DD">
      <w:pPr>
        <w:keepNext/>
        <w:tabs>
          <w:tab w:val="left" w:pos="851"/>
        </w:tabs>
        <w:ind w:left="851"/>
        <w:rPr>
          <w:i/>
          <w:sz w:val="24"/>
          <w:szCs w:val="24"/>
        </w:rPr>
      </w:pPr>
      <w:r w:rsidRPr="002713A6">
        <w:rPr>
          <w:i/>
          <w:sz w:val="24"/>
          <w:szCs w:val="24"/>
        </w:rPr>
        <w:t>Hjertesvigt</w:t>
      </w:r>
    </w:p>
    <w:p w14:paraId="7C12658C" w14:textId="77777777" w:rsidR="004B56DD" w:rsidRPr="004B56DD" w:rsidRDefault="004B56DD" w:rsidP="004B56DD">
      <w:pPr>
        <w:tabs>
          <w:tab w:val="left" w:pos="851"/>
        </w:tabs>
        <w:ind w:left="851"/>
        <w:rPr>
          <w:sz w:val="24"/>
          <w:szCs w:val="24"/>
        </w:rPr>
      </w:pPr>
      <w:r w:rsidRPr="004B56DD">
        <w:rPr>
          <w:sz w:val="24"/>
          <w:szCs w:val="24"/>
        </w:rPr>
        <w:t>Hjertesvigt er rapporteret hos pramipexolbehandlede patienter i kliniske forsøg og efter markedsføring. I et farmakoepidemiologisk forsøg var brug af pramipexol associeret med en øget risiko for hjertesvigt sammenlignet med ikke-brug af pramipexol (observeret risikoratio 1,86; 95 % CI 1,21-2,85).</w:t>
      </w:r>
    </w:p>
    <w:p w14:paraId="68CE9F9F" w14:textId="77777777" w:rsidR="004B56DD" w:rsidRPr="004B56DD" w:rsidRDefault="004B56DD" w:rsidP="00122F58">
      <w:pPr>
        <w:tabs>
          <w:tab w:val="left" w:pos="851"/>
        </w:tabs>
        <w:rPr>
          <w:sz w:val="24"/>
          <w:szCs w:val="24"/>
        </w:rPr>
      </w:pPr>
    </w:p>
    <w:p w14:paraId="59CE8907" w14:textId="77777777" w:rsidR="004B56DD" w:rsidRPr="004B56DD" w:rsidRDefault="004B56DD" w:rsidP="004B56DD">
      <w:pPr>
        <w:keepNext/>
        <w:tabs>
          <w:tab w:val="left" w:pos="851"/>
        </w:tabs>
        <w:ind w:left="851"/>
        <w:rPr>
          <w:sz w:val="24"/>
          <w:szCs w:val="24"/>
        </w:rPr>
      </w:pPr>
      <w:r w:rsidRPr="004B56DD">
        <w:rPr>
          <w:sz w:val="24"/>
          <w:szCs w:val="24"/>
          <w:u w:val="single"/>
        </w:rPr>
        <w:lastRenderedPageBreak/>
        <w:t>Indberetning af formodede bivirkninger</w:t>
      </w:r>
    </w:p>
    <w:p w14:paraId="636BAB75" w14:textId="77777777" w:rsidR="004B56DD" w:rsidRPr="004B56DD" w:rsidRDefault="004B56DD" w:rsidP="004B56DD">
      <w:pPr>
        <w:tabs>
          <w:tab w:val="left" w:pos="851"/>
        </w:tabs>
        <w:ind w:left="851"/>
        <w:rPr>
          <w:sz w:val="24"/>
          <w:szCs w:val="24"/>
        </w:rPr>
      </w:pPr>
      <w:r w:rsidRPr="004B56DD">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349D8025" w14:textId="77777777" w:rsidR="004B56DD" w:rsidRPr="004B56DD" w:rsidRDefault="004B56DD" w:rsidP="004B56DD">
      <w:pPr>
        <w:tabs>
          <w:tab w:val="left" w:pos="851"/>
        </w:tabs>
        <w:ind w:left="851"/>
        <w:rPr>
          <w:sz w:val="24"/>
          <w:szCs w:val="24"/>
        </w:rPr>
      </w:pPr>
    </w:p>
    <w:p w14:paraId="1949E0B6" w14:textId="77777777" w:rsidR="004B56DD" w:rsidRPr="004B56DD" w:rsidRDefault="004B56DD" w:rsidP="004B56DD">
      <w:pPr>
        <w:tabs>
          <w:tab w:val="left" w:pos="851"/>
        </w:tabs>
        <w:ind w:left="851"/>
        <w:rPr>
          <w:sz w:val="24"/>
          <w:szCs w:val="24"/>
        </w:rPr>
      </w:pPr>
      <w:r w:rsidRPr="004B56DD">
        <w:rPr>
          <w:sz w:val="24"/>
          <w:szCs w:val="24"/>
        </w:rPr>
        <w:t>Lægemiddelstyrelsen</w:t>
      </w:r>
    </w:p>
    <w:p w14:paraId="423E74B8" w14:textId="77777777" w:rsidR="004B56DD" w:rsidRPr="004B56DD" w:rsidRDefault="004B56DD" w:rsidP="004B56DD">
      <w:pPr>
        <w:tabs>
          <w:tab w:val="left" w:pos="851"/>
        </w:tabs>
        <w:ind w:left="851"/>
        <w:rPr>
          <w:sz w:val="24"/>
          <w:szCs w:val="24"/>
        </w:rPr>
      </w:pPr>
      <w:r w:rsidRPr="004B56DD">
        <w:rPr>
          <w:sz w:val="24"/>
          <w:szCs w:val="24"/>
        </w:rPr>
        <w:t>Axel Heides Gade 1</w:t>
      </w:r>
    </w:p>
    <w:p w14:paraId="71107F12" w14:textId="77777777" w:rsidR="004B56DD" w:rsidRPr="004B56DD" w:rsidRDefault="004B56DD" w:rsidP="004B56DD">
      <w:pPr>
        <w:tabs>
          <w:tab w:val="left" w:pos="851"/>
        </w:tabs>
        <w:ind w:left="851"/>
        <w:rPr>
          <w:sz w:val="24"/>
          <w:szCs w:val="24"/>
        </w:rPr>
      </w:pPr>
      <w:r w:rsidRPr="004B56DD">
        <w:rPr>
          <w:sz w:val="24"/>
          <w:szCs w:val="24"/>
        </w:rPr>
        <w:t>DK-2300 København S</w:t>
      </w:r>
    </w:p>
    <w:p w14:paraId="20E7D9A4" w14:textId="77777777" w:rsidR="004B56DD" w:rsidRDefault="004B56DD" w:rsidP="004B56DD">
      <w:pPr>
        <w:tabs>
          <w:tab w:val="left" w:pos="851"/>
        </w:tabs>
        <w:ind w:left="851"/>
        <w:rPr>
          <w:sz w:val="24"/>
          <w:szCs w:val="24"/>
        </w:rPr>
      </w:pPr>
      <w:r w:rsidRPr="004B56DD">
        <w:rPr>
          <w:sz w:val="24"/>
          <w:szCs w:val="24"/>
        </w:rPr>
        <w:t xml:space="preserve">Websted: </w:t>
      </w:r>
      <w:hyperlink r:id="rId8" w:history="1">
        <w:r w:rsidR="00122F58" w:rsidRPr="00497311">
          <w:rPr>
            <w:rStyle w:val="Hyperlink"/>
            <w:sz w:val="24"/>
            <w:szCs w:val="24"/>
          </w:rPr>
          <w:t>www.meldenbivirkning.dk</w:t>
        </w:r>
      </w:hyperlink>
    </w:p>
    <w:p w14:paraId="7995250B" w14:textId="77777777" w:rsidR="009260DE" w:rsidRPr="00A10294" w:rsidRDefault="009260DE" w:rsidP="00A10294">
      <w:pPr>
        <w:tabs>
          <w:tab w:val="left" w:pos="851"/>
        </w:tabs>
        <w:ind w:left="851"/>
        <w:rPr>
          <w:sz w:val="24"/>
          <w:szCs w:val="24"/>
        </w:rPr>
      </w:pPr>
    </w:p>
    <w:p w14:paraId="69BB073D"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47118CE5" w14:textId="77777777" w:rsidR="00611E0F" w:rsidRPr="00611E0F" w:rsidRDefault="00611E0F" w:rsidP="00611E0F">
      <w:pPr>
        <w:tabs>
          <w:tab w:val="left" w:pos="851"/>
        </w:tabs>
        <w:ind w:left="851"/>
        <w:rPr>
          <w:sz w:val="24"/>
          <w:szCs w:val="24"/>
        </w:rPr>
      </w:pPr>
      <w:r w:rsidRPr="00611E0F">
        <w:rPr>
          <w:sz w:val="24"/>
          <w:szCs w:val="24"/>
        </w:rPr>
        <w:t>Der er ingen klinisk erfaring med massiv overdosering. De forventede bivirkninger vil relateres til den farmakodynamiske profil for en dopaminagonist herunder kvalme, opkastning, hyperkinesi, hallucinationer, agitation og hypotension. Der er ingen kendt antidot ved overdosering af dopaminagonister. I tilfælde af, at centralnervesystemet synes at være stimuleret, kan et neuroleptisk middel anvendes. Behandling af overdosering kan kræve generel understøttende behandling med udpumpning, intravenøst drop, indgivelse af aktivt kul og elektrokardiografisk overvågning.</w:t>
      </w:r>
    </w:p>
    <w:p w14:paraId="07570FF3" w14:textId="77777777" w:rsidR="009260DE" w:rsidRPr="00C84483" w:rsidRDefault="009260DE" w:rsidP="009260DE">
      <w:pPr>
        <w:tabs>
          <w:tab w:val="left" w:pos="851"/>
        </w:tabs>
        <w:ind w:left="851"/>
        <w:rPr>
          <w:sz w:val="24"/>
          <w:szCs w:val="24"/>
        </w:rPr>
      </w:pPr>
    </w:p>
    <w:p w14:paraId="320BA031"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030D3326" w14:textId="77777777" w:rsidR="009260DE" w:rsidRPr="00C84483" w:rsidRDefault="00E624BB" w:rsidP="009260DE">
      <w:pPr>
        <w:tabs>
          <w:tab w:val="left" w:pos="851"/>
        </w:tabs>
        <w:ind w:left="851"/>
        <w:rPr>
          <w:sz w:val="24"/>
          <w:szCs w:val="24"/>
        </w:rPr>
      </w:pPr>
      <w:r>
        <w:rPr>
          <w:sz w:val="24"/>
          <w:szCs w:val="24"/>
        </w:rPr>
        <w:t>B</w:t>
      </w:r>
    </w:p>
    <w:p w14:paraId="2C6FE6E3" w14:textId="77777777" w:rsidR="009260DE" w:rsidRPr="00C84483" w:rsidRDefault="009260DE" w:rsidP="009260DE">
      <w:pPr>
        <w:tabs>
          <w:tab w:val="left" w:pos="851"/>
        </w:tabs>
        <w:ind w:left="851"/>
        <w:rPr>
          <w:sz w:val="24"/>
          <w:szCs w:val="24"/>
        </w:rPr>
      </w:pPr>
    </w:p>
    <w:p w14:paraId="5BF96124" w14:textId="77777777" w:rsidR="009260DE" w:rsidRPr="00C84483" w:rsidRDefault="009260DE" w:rsidP="009260DE">
      <w:pPr>
        <w:tabs>
          <w:tab w:val="left" w:pos="851"/>
        </w:tabs>
        <w:ind w:left="851"/>
        <w:rPr>
          <w:sz w:val="24"/>
          <w:szCs w:val="24"/>
        </w:rPr>
      </w:pPr>
    </w:p>
    <w:p w14:paraId="09108849" w14:textId="77777777" w:rsidR="00030292" w:rsidRPr="00122F58" w:rsidRDefault="009260DE" w:rsidP="00122F58">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5A4902B4" w14:textId="77777777" w:rsidR="009260DE" w:rsidRPr="00C84483" w:rsidRDefault="009260DE" w:rsidP="009260DE">
      <w:pPr>
        <w:tabs>
          <w:tab w:val="left" w:pos="851"/>
        </w:tabs>
        <w:ind w:left="851"/>
        <w:rPr>
          <w:sz w:val="24"/>
          <w:szCs w:val="24"/>
        </w:rPr>
      </w:pPr>
    </w:p>
    <w:p w14:paraId="3DF99758"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2B2FF0A6" w14:textId="77777777" w:rsidR="00030292" w:rsidRDefault="00122F58" w:rsidP="00122F58">
      <w:pPr>
        <w:tabs>
          <w:tab w:val="left" w:pos="851"/>
        </w:tabs>
        <w:ind w:left="851"/>
        <w:rPr>
          <w:sz w:val="24"/>
          <w:szCs w:val="24"/>
        </w:rPr>
      </w:pPr>
      <w:r>
        <w:rPr>
          <w:sz w:val="24"/>
          <w:szCs w:val="24"/>
        </w:rPr>
        <w:t>Farmakoterapeutisk klassifikation:</w:t>
      </w:r>
      <w:r w:rsidRPr="00122F58">
        <w:rPr>
          <w:sz w:val="24"/>
          <w:szCs w:val="24"/>
        </w:rPr>
        <w:t xml:space="preserve"> </w:t>
      </w:r>
      <w:r w:rsidRPr="00030292">
        <w:rPr>
          <w:sz w:val="24"/>
          <w:szCs w:val="24"/>
        </w:rPr>
        <w:t>Anti-parkinson midler, dopamin-agonister</w:t>
      </w:r>
      <w:r>
        <w:rPr>
          <w:sz w:val="24"/>
          <w:szCs w:val="24"/>
        </w:rPr>
        <w:t xml:space="preserve">, </w:t>
      </w:r>
      <w:r w:rsidRPr="00030292">
        <w:rPr>
          <w:sz w:val="24"/>
          <w:szCs w:val="24"/>
        </w:rPr>
        <w:t>ATC-kode: N04BC05.</w:t>
      </w:r>
    </w:p>
    <w:p w14:paraId="692FD66F" w14:textId="77777777" w:rsidR="00122F58" w:rsidRPr="00030292" w:rsidRDefault="00122F58" w:rsidP="00030292">
      <w:pPr>
        <w:tabs>
          <w:tab w:val="left" w:pos="851"/>
        </w:tabs>
        <w:ind w:left="851"/>
        <w:rPr>
          <w:sz w:val="24"/>
          <w:szCs w:val="24"/>
        </w:rPr>
      </w:pPr>
    </w:p>
    <w:p w14:paraId="6B426120" w14:textId="77777777" w:rsidR="00030292" w:rsidRPr="00030292" w:rsidRDefault="00030292" w:rsidP="00030292">
      <w:pPr>
        <w:tabs>
          <w:tab w:val="left" w:pos="851"/>
        </w:tabs>
        <w:ind w:left="851"/>
        <w:rPr>
          <w:sz w:val="24"/>
          <w:szCs w:val="24"/>
        </w:rPr>
      </w:pPr>
      <w:r w:rsidRPr="00030292">
        <w:rPr>
          <w:sz w:val="24"/>
          <w:szCs w:val="24"/>
          <w:u w:val="single"/>
        </w:rPr>
        <w:t>Virkningsmekanisme</w:t>
      </w:r>
    </w:p>
    <w:p w14:paraId="6C94EBAE" w14:textId="77777777" w:rsidR="00030292" w:rsidRPr="00030292" w:rsidRDefault="00030292" w:rsidP="00030292">
      <w:pPr>
        <w:tabs>
          <w:tab w:val="left" w:pos="851"/>
        </w:tabs>
        <w:ind w:left="851"/>
        <w:rPr>
          <w:sz w:val="24"/>
          <w:szCs w:val="24"/>
        </w:rPr>
      </w:pPr>
      <w:r w:rsidRPr="00030292">
        <w:rPr>
          <w:sz w:val="24"/>
          <w:szCs w:val="24"/>
        </w:rPr>
        <w:t>Pramipexol er en dopaminreceptoragonist. Det bindes med høj selektivitet og specificitet til undergruppen dopamin D</w:t>
      </w:r>
      <w:r w:rsidRPr="00030292">
        <w:rPr>
          <w:sz w:val="24"/>
          <w:szCs w:val="24"/>
          <w:vertAlign w:val="subscript"/>
        </w:rPr>
        <w:t>2</w:t>
      </w:r>
      <w:r w:rsidRPr="00030292">
        <w:rPr>
          <w:sz w:val="24"/>
          <w:szCs w:val="24"/>
        </w:rPr>
        <w:t xml:space="preserve"> receptorerne og har primært affinitet til D</w:t>
      </w:r>
      <w:r w:rsidRPr="00030292">
        <w:rPr>
          <w:sz w:val="24"/>
          <w:szCs w:val="24"/>
          <w:vertAlign w:val="subscript"/>
        </w:rPr>
        <w:t>3</w:t>
      </w:r>
      <w:r w:rsidRPr="00030292">
        <w:rPr>
          <w:sz w:val="24"/>
          <w:szCs w:val="24"/>
        </w:rPr>
        <w:t xml:space="preserve"> receptorer. Det har fuld intrinsic aktivitet.</w:t>
      </w:r>
    </w:p>
    <w:p w14:paraId="28225126" w14:textId="77777777" w:rsidR="00030292" w:rsidRPr="00030292" w:rsidRDefault="00030292" w:rsidP="00030292">
      <w:pPr>
        <w:tabs>
          <w:tab w:val="left" w:pos="851"/>
        </w:tabs>
        <w:ind w:left="851"/>
        <w:rPr>
          <w:sz w:val="24"/>
          <w:szCs w:val="24"/>
        </w:rPr>
      </w:pPr>
    </w:p>
    <w:p w14:paraId="478FD7AD" w14:textId="77777777" w:rsidR="00030292" w:rsidRPr="00030292" w:rsidRDefault="00030292" w:rsidP="00030292">
      <w:pPr>
        <w:tabs>
          <w:tab w:val="left" w:pos="851"/>
        </w:tabs>
        <w:ind w:left="851"/>
        <w:rPr>
          <w:sz w:val="24"/>
          <w:szCs w:val="24"/>
        </w:rPr>
      </w:pPr>
      <w:r w:rsidRPr="00030292">
        <w:rPr>
          <w:sz w:val="24"/>
          <w:szCs w:val="24"/>
        </w:rPr>
        <w:t>Pramipexol lindrer det motoriske underskud forbundet med Parkinsons sygdom ved stimulation af dopaminreceptorer i corpus striatum. Dyrestudier har vist, at pramipexol hæmmer dopaminsyntese, -frigørelse og -omsætning.</w:t>
      </w:r>
    </w:p>
    <w:p w14:paraId="7451DC84" w14:textId="77777777" w:rsidR="00030292" w:rsidRPr="00030292" w:rsidRDefault="00030292" w:rsidP="00030292">
      <w:pPr>
        <w:tabs>
          <w:tab w:val="left" w:pos="851"/>
        </w:tabs>
        <w:ind w:left="851"/>
        <w:rPr>
          <w:sz w:val="24"/>
          <w:szCs w:val="24"/>
        </w:rPr>
      </w:pPr>
    </w:p>
    <w:p w14:paraId="03859789" w14:textId="77777777" w:rsidR="00030292" w:rsidRPr="00030292" w:rsidRDefault="00030292" w:rsidP="00030292">
      <w:pPr>
        <w:tabs>
          <w:tab w:val="left" w:pos="851"/>
        </w:tabs>
        <w:ind w:left="851"/>
        <w:rPr>
          <w:sz w:val="24"/>
          <w:szCs w:val="24"/>
        </w:rPr>
      </w:pPr>
      <w:r w:rsidRPr="00030292">
        <w:rPr>
          <w:sz w:val="24"/>
          <w:szCs w:val="24"/>
          <w:u w:val="single"/>
        </w:rPr>
        <w:t>Farmakodynamisk virkning</w:t>
      </w:r>
    </w:p>
    <w:p w14:paraId="371325AE" w14:textId="77777777" w:rsidR="00030292" w:rsidRPr="00030292" w:rsidRDefault="00030292" w:rsidP="00030292">
      <w:pPr>
        <w:tabs>
          <w:tab w:val="left" w:pos="851"/>
        </w:tabs>
        <w:ind w:left="851"/>
        <w:rPr>
          <w:sz w:val="24"/>
          <w:szCs w:val="24"/>
        </w:rPr>
      </w:pPr>
      <w:r w:rsidRPr="00030292">
        <w:rPr>
          <w:sz w:val="24"/>
          <w:szCs w:val="24"/>
        </w:rPr>
        <w:t>Hos frivillige forsøgspersoner fandt man et dosisafhængigt fald i prolaktin. I et klinisk studie med raske frivillige forsøgspersoner, hvor dosisjustering af pramipexol depottabletter var hurtigere (hver 3. dag) end anbefalet, op til 3,15 mg pramipexolbase (4,5 mg salt)/dag, blev der observeret en stigning i blodtrykket samt en forøgelse af hjerterytmen. Der er ikke set en tilsvarende virkning i patientstudier.</w:t>
      </w:r>
    </w:p>
    <w:p w14:paraId="749965EA" w14:textId="77777777" w:rsidR="00030292" w:rsidRPr="00030292" w:rsidRDefault="00030292" w:rsidP="00030292">
      <w:pPr>
        <w:tabs>
          <w:tab w:val="left" w:pos="851"/>
        </w:tabs>
        <w:ind w:left="851"/>
        <w:rPr>
          <w:sz w:val="24"/>
          <w:szCs w:val="24"/>
        </w:rPr>
      </w:pPr>
    </w:p>
    <w:p w14:paraId="3BE7BCD1" w14:textId="77777777" w:rsidR="00030292" w:rsidRPr="00030292" w:rsidRDefault="00030292" w:rsidP="00030292">
      <w:pPr>
        <w:tabs>
          <w:tab w:val="left" w:pos="851"/>
        </w:tabs>
        <w:ind w:left="851"/>
        <w:rPr>
          <w:sz w:val="24"/>
          <w:szCs w:val="24"/>
        </w:rPr>
      </w:pPr>
      <w:r w:rsidRPr="00030292">
        <w:rPr>
          <w:sz w:val="24"/>
          <w:szCs w:val="24"/>
          <w:u w:val="single"/>
        </w:rPr>
        <w:t>Klinisk virkning og sikkerhed ved Parkinsons sygdom</w:t>
      </w:r>
    </w:p>
    <w:p w14:paraId="44436CAD" w14:textId="77777777" w:rsidR="00030292" w:rsidRPr="00030292" w:rsidRDefault="00030292" w:rsidP="00030292">
      <w:pPr>
        <w:tabs>
          <w:tab w:val="left" w:pos="851"/>
        </w:tabs>
        <w:ind w:left="851"/>
        <w:rPr>
          <w:sz w:val="24"/>
          <w:szCs w:val="24"/>
        </w:rPr>
      </w:pPr>
      <w:r w:rsidRPr="00030292">
        <w:rPr>
          <w:sz w:val="24"/>
          <w:szCs w:val="24"/>
        </w:rPr>
        <w:t>Hos patienter reducerer pramipexol tegn og symptomer på idiopatisk Parkinsons sygdom. Placebokontrollerede kliniske undersøgelser inkluderede ca. 1.800 patienter på Hoehn &amp; Yahr stadier I-V behandlet med pramipexol. Ud af disse var ca. 1.000 på mere avancerede stadier, de fik ledsagende levodopaterapi og led af motoriske komplikationer.</w:t>
      </w:r>
    </w:p>
    <w:p w14:paraId="69ACFF03" w14:textId="77777777" w:rsidR="00030292" w:rsidRPr="00030292" w:rsidRDefault="00030292" w:rsidP="00030292">
      <w:pPr>
        <w:tabs>
          <w:tab w:val="left" w:pos="851"/>
        </w:tabs>
        <w:ind w:left="851"/>
        <w:rPr>
          <w:sz w:val="24"/>
          <w:szCs w:val="24"/>
        </w:rPr>
      </w:pPr>
    </w:p>
    <w:p w14:paraId="2CC011F3" w14:textId="77777777" w:rsidR="00030292" w:rsidRPr="00030292" w:rsidRDefault="00030292" w:rsidP="00030292">
      <w:pPr>
        <w:tabs>
          <w:tab w:val="left" w:pos="851"/>
        </w:tabs>
        <w:ind w:left="851"/>
        <w:rPr>
          <w:sz w:val="24"/>
          <w:szCs w:val="24"/>
        </w:rPr>
      </w:pPr>
      <w:r w:rsidRPr="00030292">
        <w:rPr>
          <w:sz w:val="24"/>
          <w:szCs w:val="24"/>
        </w:rPr>
        <w:lastRenderedPageBreak/>
        <w:t>Ved tidlig og fremskreden Parkinsons sygdom blev virkningen af pramipexol i de kontrollerede kliniske undersøgelser bevaret i ca. 6 måneder. I fortsatte, åbne undersøgelser over mere end 3 år var der ikke tegn på aftagende virkning.</w:t>
      </w:r>
    </w:p>
    <w:p w14:paraId="5F7D546B" w14:textId="77777777" w:rsidR="00030292" w:rsidRPr="00030292" w:rsidRDefault="00030292" w:rsidP="00030292">
      <w:pPr>
        <w:tabs>
          <w:tab w:val="left" w:pos="851"/>
        </w:tabs>
        <w:ind w:left="851"/>
        <w:rPr>
          <w:sz w:val="24"/>
          <w:szCs w:val="24"/>
        </w:rPr>
      </w:pPr>
    </w:p>
    <w:p w14:paraId="661C6F1A" w14:textId="77777777" w:rsidR="00030292" w:rsidRPr="00030292" w:rsidRDefault="00030292" w:rsidP="00030292">
      <w:pPr>
        <w:tabs>
          <w:tab w:val="left" w:pos="851"/>
        </w:tabs>
        <w:ind w:left="851"/>
        <w:rPr>
          <w:sz w:val="24"/>
          <w:szCs w:val="24"/>
        </w:rPr>
      </w:pPr>
      <w:r w:rsidRPr="00030292">
        <w:rPr>
          <w:sz w:val="24"/>
          <w:szCs w:val="24"/>
        </w:rPr>
        <w:t>I en kontrolleret dobbeltblind klinisk undersøgelse af 2 års varighed, forsinkede initial behandling med pramipexol signifikant fremkomsten af motoriske komplikationer, og reducerede deres forekomst sammenlignet med initial behandling med levodopa. Denne forsinkelse af motoriske komplikationer med pramipexol skal opvejes imod en større bedring af den motoriske funktion med levodopa (målt ved den gennemsnitlige ændring i UPDRS-score). Den samlede incidens af hallucinationer og døsighed var generelt højere i optitreringsfasen for pramipexol gruppen. Imidlertid var der ingen signifikant forskel i vedligeholdelsesfasen. Disse punkter skal overvejes ved initiering af pramipexol behandling hos patienter med Parkinsons sygdom.</w:t>
      </w:r>
    </w:p>
    <w:p w14:paraId="6BDF174D" w14:textId="77777777" w:rsidR="00030292" w:rsidRPr="00030292" w:rsidRDefault="00030292" w:rsidP="00030292">
      <w:pPr>
        <w:tabs>
          <w:tab w:val="left" w:pos="851"/>
        </w:tabs>
        <w:ind w:left="851"/>
        <w:rPr>
          <w:sz w:val="24"/>
          <w:szCs w:val="24"/>
        </w:rPr>
      </w:pPr>
    </w:p>
    <w:p w14:paraId="688DE386" w14:textId="77777777" w:rsidR="00030292" w:rsidRPr="00030292" w:rsidRDefault="00030292" w:rsidP="00030292">
      <w:pPr>
        <w:tabs>
          <w:tab w:val="left" w:pos="851"/>
        </w:tabs>
        <w:ind w:left="851"/>
        <w:rPr>
          <w:sz w:val="24"/>
          <w:szCs w:val="24"/>
        </w:rPr>
      </w:pPr>
      <w:r w:rsidRPr="00030292">
        <w:rPr>
          <w:sz w:val="24"/>
          <w:szCs w:val="24"/>
        </w:rPr>
        <w:t xml:space="preserve">Sikkerhed og virkning af pramipexol depottabletter ved behandling af Parkinsons sygdom blev undersøgt i et multinationalt klinisk udviklingsprogram bestående af 3 randomiserede, kontrollerede studier. To af studierne blev udført hos patienter med tidlig Parkinsons sygdom, og et af studierne blev udført hos patienter med fremskreden Parkinsons sygdom. </w:t>
      </w:r>
    </w:p>
    <w:p w14:paraId="265E83F1" w14:textId="77777777" w:rsidR="00030292" w:rsidRPr="00030292" w:rsidRDefault="00030292" w:rsidP="00030292">
      <w:pPr>
        <w:tabs>
          <w:tab w:val="left" w:pos="851"/>
        </w:tabs>
        <w:ind w:left="851"/>
        <w:rPr>
          <w:sz w:val="24"/>
          <w:szCs w:val="24"/>
        </w:rPr>
      </w:pPr>
    </w:p>
    <w:p w14:paraId="12F87C7C" w14:textId="77777777" w:rsidR="00030292" w:rsidRPr="00030292" w:rsidRDefault="00030292" w:rsidP="00030292">
      <w:pPr>
        <w:tabs>
          <w:tab w:val="left" w:pos="851"/>
        </w:tabs>
        <w:ind w:left="851"/>
        <w:rPr>
          <w:sz w:val="24"/>
          <w:szCs w:val="24"/>
        </w:rPr>
      </w:pPr>
      <w:r w:rsidRPr="00030292">
        <w:rPr>
          <w:sz w:val="24"/>
          <w:szCs w:val="24"/>
        </w:rPr>
        <w:t>Et dobbeltblindet, placebokontrolleret studie med 539 patienter med tidlig Parkinsons sygdom viste, at pramipexol depottabletter havde en bedre virkning (superior) end placebo efter 18 ugers behandling på både det primære (UPDRS del II+III score) og vigtigste sekundære (CGI-I og PGI-I responderhastigheder) endepunkter. Virkningen blev påvist bevaret hos patienter behandlet i 33 uger. Pramipexol depottabletter var non-inferior i forhold til pramipexol tabletter vurderet ud fra UPDRS del II+III score ved uge 33.</w:t>
      </w:r>
    </w:p>
    <w:p w14:paraId="61CC62E8" w14:textId="77777777" w:rsidR="00030292" w:rsidRPr="00030292" w:rsidRDefault="00030292" w:rsidP="00030292">
      <w:pPr>
        <w:tabs>
          <w:tab w:val="left" w:pos="851"/>
        </w:tabs>
        <w:ind w:left="851"/>
        <w:rPr>
          <w:sz w:val="24"/>
          <w:szCs w:val="24"/>
        </w:rPr>
      </w:pPr>
    </w:p>
    <w:p w14:paraId="78FB5185" w14:textId="77777777" w:rsidR="00030292" w:rsidRPr="00030292" w:rsidRDefault="00030292" w:rsidP="00030292">
      <w:pPr>
        <w:tabs>
          <w:tab w:val="left" w:pos="851"/>
        </w:tabs>
        <w:ind w:left="851"/>
        <w:rPr>
          <w:sz w:val="24"/>
          <w:szCs w:val="24"/>
        </w:rPr>
      </w:pPr>
      <w:r w:rsidRPr="00030292">
        <w:rPr>
          <w:sz w:val="24"/>
          <w:szCs w:val="24"/>
        </w:rPr>
        <w:t>Et dobbeltblindet, placebokontrolleret studie med 517 patienter med fremskreden Parkinsons sygdom, som samtidig blev behandlet med levodopa, viste, at pramipexol depottabletter havde en bedre virkning (superior) end placebo efter 18 ugers behandling på både det primære (UPDRS del II+III) og vigtigste sekundære (off-time) endepunkter.</w:t>
      </w:r>
    </w:p>
    <w:p w14:paraId="5C734317" w14:textId="77777777" w:rsidR="00030292" w:rsidRPr="00030292" w:rsidRDefault="00030292" w:rsidP="00030292">
      <w:pPr>
        <w:tabs>
          <w:tab w:val="left" w:pos="851"/>
        </w:tabs>
        <w:ind w:left="851"/>
        <w:rPr>
          <w:sz w:val="24"/>
          <w:szCs w:val="24"/>
        </w:rPr>
      </w:pPr>
    </w:p>
    <w:p w14:paraId="4CE1B939" w14:textId="77777777" w:rsidR="00030292" w:rsidRPr="00030292" w:rsidRDefault="00030292" w:rsidP="00030292">
      <w:pPr>
        <w:tabs>
          <w:tab w:val="left" w:pos="851"/>
        </w:tabs>
        <w:ind w:left="851"/>
        <w:rPr>
          <w:sz w:val="24"/>
          <w:szCs w:val="24"/>
        </w:rPr>
      </w:pPr>
      <w:r w:rsidRPr="00030292">
        <w:rPr>
          <w:sz w:val="24"/>
          <w:szCs w:val="24"/>
        </w:rPr>
        <w:t>Virkningen og tolerabiliteten hos patienter, som fra dag til dag skiftede behandling fra pramipexol tabletter til pramipexol depottabletter, blev undersøgt i et dobbeltblindet klinisk studie hos patienter med tidlig udvikling af Parkinsons sygdom.</w:t>
      </w:r>
    </w:p>
    <w:p w14:paraId="0A8BA0D1" w14:textId="77777777" w:rsidR="00030292" w:rsidRPr="00030292" w:rsidRDefault="00030292" w:rsidP="00030292">
      <w:pPr>
        <w:tabs>
          <w:tab w:val="left" w:pos="851"/>
        </w:tabs>
        <w:ind w:left="851"/>
        <w:rPr>
          <w:sz w:val="24"/>
          <w:szCs w:val="24"/>
        </w:rPr>
      </w:pPr>
    </w:p>
    <w:p w14:paraId="29A534FD" w14:textId="77777777" w:rsidR="00030292" w:rsidRPr="00030292" w:rsidRDefault="00030292" w:rsidP="00030292">
      <w:pPr>
        <w:tabs>
          <w:tab w:val="left" w:pos="851"/>
        </w:tabs>
        <w:ind w:left="851"/>
        <w:rPr>
          <w:sz w:val="24"/>
          <w:szCs w:val="24"/>
        </w:rPr>
      </w:pPr>
      <w:r w:rsidRPr="00030292">
        <w:rPr>
          <w:sz w:val="24"/>
          <w:szCs w:val="24"/>
        </w:rPr>
        <w:t>Virkningen blev bevaret hos 87 ud af 103 patienter, som skiftede til pramipexol depottabletter. Ud af disse 87 patienter, fik 82,8 % uændret dosis, 13,8 % fik forøget dosis og 3,4 % fik nedsat dosis.</w:t>
      </w:r>
    </w:p>
    <w:p w14:paraId="41EE9731" w14:textId="77777777" w:rsidR="00030292" w:rsidRPr="00030292" w:rsidRDefault="00030292" w:rsidP="00030292">
      <w:pPr>
        <w:tabs>
          <w:tab w:val="left" w:pos="851"/>
        </w:tabs>
        <w:ind w:left="851"/>
        <w:rPr>
          <w:sz w:val="24"/>
          <w:szCs w:val="24"/>
        </w:rPr>
      </w:pPr>
    </w:p>
    <w:p w14:paraId="792AFF00" w14:textId="77777777" w:rsidR="00030292" w:rsidRPr="00030292" w:rsidRDefault="00030292" w:rsidP="00030292">
      <w:pPr>
        <w:tabs>
          <w:tab w:val="left" w:pos="851"/>
        </w:tabs>
        <w:ind w:left="851"/>
        <w:rPr>
          <w:sz w:val="24"/>
          <w:szCs w:val="24"/>
        </w:rPr>
      </w:pPr>
      <w:r w:rsidRPr="00030292">
        <w:rPr>
          <w:sz w:val="24"/>
          <w:szCs w:val="24"/>
        </w:rPr>
        <w:t>Hos halvdelen af de 16 patienter, som ikke opfyldte kriteriet for vedvarende virkning i UPDRS del II+III-score, blev ændringen fra baseline betragtet som ikke klinisk relevant.</w:t>
      </w:r>
    </w:p>
    <w:p w14:paraId="018598CB" w14:textId="77777777" w:rsidR="00030292" w:rsidRPr="00030292" w:rsidRDefault="00030292" w:rsidP="00030292">
      <w:pPr>
        <w:tabs>
          <w:tab w:val="left" w:pos="851"/>
        </w:tabs>
        <w:ind w:left="851"/>
        <w:rPr>
          <w:sz w:val="24"/>
          <w:szCs w:val="24"/>
        </w:rPr>
      </w:pPr>
      <w:r w:rsidRPr="00030292">
        <w:rPr>
          <w:sz w:val="24"/>
          <w:szCs w:val="24"/>
        </w:rPr>
        <w:t>Kun en patient, som skiftede til pramipexol depottabletter, fik en lægemiddelrelateret bivirkning, der medførte seponering.</w:t>
      </w:r>
    </w:p>
    <w:p w14:paraId="7D434589" w14:textId="77777777" w:rsidR="00030292" w:rsidRPr="00030292" w:rsidRDefault="00030292" w:rsidP="00030292">
      <w:pPr>
        <w:tabs>
          <w:tab w:val="left" w:pos="851"/>
        </w:tabs>
        <w:ind w:left="851"/>
        <w:rPr>
          <w:sz w:val="24"/>
          <w:szCs w:val="24"/>
        </w:rPr>
      </w:pPr>
    </w:p>
    <w:p w14:paraId="18CF95E7" w14:textId="77777777" w:rsidR="00030292" w:rsidRPr="00030292" w:rsidRDefault="00030292" w:rsidP="00030292">
      <w:pPr>
        <w:tabs>
          <w:tab w:val="left" w:pos="851"/>
        </w:tabs>
        <w:ind w:left="851"/>
        <w:rPr>
          <w:sz w:val="24"/>
          <w:szCs w:val="24"/>
          <w:u w:val="single"/>
        </w:rPr>
      </w:pPr>
      <w:r w:rsidRPr="00030292">
        <w:rPr>
          <w:sz w:val="24"/>
          <w:szCs w:val="24"/>
          <w:u w:val="single"/>
        </w:rPr>
        <w:t>Pædiatrisk population</w:t>
      </w:r>
    </w:p>
    <w:p w14:paraId="6EB68AF8" w14:textId="77777777" w:rsidR="00030292" w:rsidRPr="00030292" w:rsidRDefault="00030292" w:rsidP="00030292">
      <w:pPr>
        <w:tabs>
          <w:tab w:val="left" w:pos="851"/>
        </w:tabs>
        <w:ind w:left="851"/>
        <w:rPr>
          <w:sz w:val="24"/>
          <w:szCs w:val="24"/>
        </w:rPr>
      </w:pPr>
      <w:r w:rsidRPr="00030292">
        <w:rPr>
          <w:sz w:val="24"/>
          <w:szCs w:val="24"/>
        </w:rPr>
        <w:t>Det Europæiske Lægemiddelagentur har dispenseret fra kravet om at fremlægge resultaterne af studier med pramipexol i alle undergrupper af den pædiatriske population med Parkinsons sygdom (se pkt. 4.2 for oplysninger om pædiatrisk anvendelse).</w:t>
      </w:r>
    </w:p>
    <w:p w14:paraId="6BFE33F1" w14:textId="77777777" w:rsidR="00030292" w:rsidRDefault="00030292" w:rsidP="00030292">
      <w:pPr>
        <w:tabs>
          <w:tab w:val="left" w:pos="851"/>
        </w:tabs>
        <w:ind w:left="851"/>
        <w:rPr>
          <w:sz w:val="24"/>
          <w:szCs w:val="24"/>
        </w:rPr>
      </w:pPr>
    </w:p>
    <w:p w14:paraId="121B9B77" w14:textId="77777777" w:rsidR="00122F58" w:rsidRPr="00030292" w:rsidRDefault="00122F58" w:rsidP="00030292">
      <w:pPr>
        <w:tabs>
          <w:tab w:val="left" w:pos="851"/>
        </w:tabs>
        <w:ind w:left="851"/>
        <w:rPr>
          <w:sz w:val="24"/>
          <w:szCs w:val="24"/>
        </w:rPr>
      </w:pPr>
    </w:p>
    <w:p w14:paraId="4827E1E5" w14:textId="77777777" w:rsidR="009260DE" w:rsidRPr="00C84483" w:rsidRDefault="009260DE" w:rsidP="00122F58">
      <w:pPr>
        <w:keepNext/>
        <w:tabs>
          <w:tab w:val="left" w:pos="851"/>
        </w:tabs>
        <w:ind w:left="851" w:hanging="851"/>
        <w:rPr>
          <w:b/>
          <w:sz w:val="24"/>
          <w:szCs w:val="24"/>
        </w:rPr>
      </w:pPr>
      <w:r w:rsidRPr="00C84483">
        <w:rPr>
          <w:b/>
          <w:sz w:val="24"/>
          <w:szCs w:val="24"/>
        </w:rPr>
        <w:lastRenderedPageBreak/>
        <w:t>5.2</w:t>
      </w:r>
      <w:r w:rsidRPr="00C84483">
        <w:rPr>
          <w:b/>
          <w:sz w:val="24"/>
          <w:szCs w:val="24"/>
        </w:rPr>
        <w:tab/>
        <w:t>Farmakokinetiske egenskaber</w:t>
      </w:r>
    </w:p>
    <w:p w14:paraId="3D11FAD7" w14:textId="77777777" w:rsidR="00030292" w:rsidRPr="00030292" w:rsidRDefault="00030292" w:rsidP="00030292">
      <w:pPr>
        <w:tabs>
          <w:tab w:val="left" w:pos="851"/>
        </w:tabs>
        <w:ind w:left="851"/>
        <w:rPr>
          <w:sz w:val="24"/>
          <w:szCs w:val="24"/>
          <w:u w:val="single"/>
        </w:rPr>
      </w:pPr>
    </w:p>
    <w:p w14:paraId="75D0CC1D" w14:textId="77777777" w:rsidR="00030292" w:rsidRPr="00030292" w:rsidRDefault="00030292" w:rsidP="00030292">
      <w:pPr>
        <w:tabs>
          <w:tab w:val="left" w:pos="851"/>
        </w:tabs>
        <w:ind w:left="851"/>
        <w:rPr>
          <w:sz w:val="24"/>
          <w:szCs w:val="24"/>
        </w:rPr>
      </w:pPr>
      <w:r w:rsidRPr="00030292">
        <w:rPr>
          <w:sz w:val="24"/>
          <w:szCs w:val="24"/>
          <w:u w:val="single"/>
        </w:rPr>
        <w:t>Absorption</w:t>
      </w:r>
    </w:p>
    <w:p w14:paraId="663375B6" w14:textId="77777777" w:rsidR="00030292" w:rsidRPr="00030292" w:rsidRDefault="00030292" w:rsidP="00030292">
      <w:pPr>
        <w:tabs>
          <w:tab w:val="left" w:pos="851"/>
        </w:tabs>
        <w:ind w:left="851"/>
        <w:rPr>
          <w:sz w:val="24"/>
          <w:szCs w:val="24"/>
        </w:rPr>
      </w:pPr>
      <w:r w:rsidRPr="00030292">
        <w:rPr>
          <w:sz w:val="24"/>
          <w:szCs w:val="24"/>
        </w:rPr>
        <w:t>Pramipexol absorberes fuldstændigt efter oral administration. Den absolutte biotilgængelighed er større end 90 %.</w:t>
      </w:r>
    </w:p>
    <w:p w14:paraId="5F37A6A6" w14:textId="77777777" w:rsidR="00030292" w:rsidRPr="00030292" w:rsidRDefault="00030292" w:rsidP="00030292">
      <w:pPr>
        <w:tabs>
          <w:tab w:val="left" w:pos="851"/>
        </w:tabs>
        <w:ind w:left="851"/>
        <w:rPr>
          <w:sz w:val="24"/>
          <w:szCs w:val="24"/>
        </w:rPr>
      </w:pPr>
    </w:p>
    <w:p w14:paraId="75011ED8" w14:textId="77777777" w:rsidR="00030292" w:rsidRPr="00030292" w:rsidRDefault="00030292" w:rsidP="00030292">
      <w:pPr>
        <w:tabs>
          <w:tab w:val="left" w:pos="851"/>
        </w:tabs>
        <w:ind w:left="851"/>
        <w:rPr>
          <w:sz w:val="24"/>
          <w:szCs w:val="24"/>
        </w:rPr>
      </w:pPr>
      <w:r w:rsidRPr="00030292">
        <w:rPr>
          <w:sz w:val="24"/>
          <w:szCs w:val="24"/>
        </w:rPr>
        <w:t>Et fase-I studie, hvor pramipexol tabletter blev sammenlignet med pramipexol depottabletter, viste ækvivalens mellem den samme døgndosis af pramipexol depottabletter givet én gang daglig og pramipexol tabletter givet 3 gange daglig for C</w:t>
      </w:r>
      <w:r w:rsidRPr="00030292">
        <w:rPr>
          <w:sz w:val="24"/>
          <w:szCs w:val="24"/>
          <w:vertAlign w:val="subscript"/>
        </w:rPr>
        <w:t>min</w:t>
      </w:r>
      <w:r w:rsidRPr="00030292">
        <w:rPr>
          <w:sz w:val="24"/>
          <w:szCs w:val="24"/>
        </w:rPr>
        <w:t>, C</w:t>
      </w:r>
      <w:r w:rsidRPr="00030292">
        <w:rPr>
          <w:sz w:val="24"/>
          <w:szCs w:val="24"/>
          <w:vertAlign w:val="subscript"/>
        </w:rPr>
        <w:t>max</w:t>
      </w:r>
      <w:r w:rsidRPr="00030292">
        <w:rPr>
          <w:sz w:val="24"/>
          <w:szCs w:val="24"/>
        </w:rPr>
        <w:t xml:space="preserve"> og AUC.</w:t>
      </w:r>
    </w:p>
    <w:p w14:paraId="47093DED" w14:textId="77777777" w:rsidR="00030292" w:rsidRPr="00030292" w:rsidRDefault="00030292" w:rsidP="00030292">
      <w:pPr>
        <w:tabs>
          <w:tab w:val="left" w:pos="851"/>
        </w:tabs>
        <w:ind w:left="851"/>
        <w:rPr>
          <w:sz w:val="24"/>
          <w:szCs w:val="24"/>
        </w:rPr>
      </w:pPr>
    </w:p>
    <w:p w14:paraId="489997DF" w14:textId="77777777" w:rsidR="00030292" w:rsidRPr="00030292" w:rsidRDefault="00030292" w:rsidP="00030292">
      <w:pPr>
        <w:tabs>
          <w:tab w:val="left" w:pos="851"/>
        </w:tabs>
        <w:ind w:left="851"/>
        <w:rPr>
          <w:sz w:val="24"/>
          <w:szCs w:val="24"/>
        </w:rPr>
      </w:pPr>
      <w:r w:rsidRPr="00030292">
        <w:rPr>
          <w:sz w:val="24"/>
          <w:szCs w:val="24"/>
        </w:rPr>
        <w:t>Der er set færre svingninger i plasmakoncentrationen for pramipexol i løbet af 24 timer for pramipexol depottabletter givet én gang daglig end for pramipexol tabletter givet 3 gange daglig.</w:t>
      </w:r>
    </w:p>
    <w:p w14:paraId="476419A2" w14:textId="77777777" w:rsidR="00030292" w:rsidRPr="00030292" w:rsidRDefault="00030292" w:rsidP="00030292">
      <w:pPr>
        <w:tabs>
          <w:tab w:val="left" w:pos="851"/>
        </w:tabs>
        <w:ind w:left="851"/>
        <w:rPr>
          <w:sz w:val="24"/>
          <w:szCs w:val="24"/>
        </w:rPr>
      </w:pPr>
    </w:p>
    <w:p w14:paraId="66382A99" w14:textId="77777777" w:rsidR="00030292" w:rsidRPr="00030292" w:rsidRDefault="00030292" w:rsidP="00030292">
      <w:pPr>
        <w:tabs>
          <w:tab w:val="left" w:pos="851"/>
        </w:tabs>
        <w:ind w:left="851"/>
        <w:rPr>
          <w:sz w:val="24"/>
          <w:szCs w:val="24"/>
        </w:rPr>
      </w:pPr>
      <w:r w:rsidRPr="00030292">
        <w:rPr>
          <w:sz w:val="24"/>
          <w:szCs w:val="24"/>
        </w:rPr>
        <w:t xml:space="preserve">Den maksimale plasmakoncentration opnås ca. 6 timer efter administration af pramipexol depottabletter givet en gang daglig. </w:t>
      </w:r>
      <w:r w:rsidRPr="00030292">
        <w:rPr>
          <w:i/>
          <w:iCs/>
          <w:sz w:val="24"/>
          <w:szCs w:val="24"/>
        </w:rPr>
        <w:t>Steady-state</w:t>
      </w:r>
      <w:r w:rsidRPr="00030292">
        <w:rPr>
          <w:sz w:val="24"/>
          <w:szCs w:val="24"/>
        </w:rPr>
        <w:t xml:space="preserve"> koncentration opnås senest 5 dage efter kontinuerlig dosering.</w:t>
      </w:r>
    </w:p>
    <w:p w14:paraId="13C72C1E" w14:textId="77777777" w:rsidR="00030292" w:rsidRPr="00030292" w:rsidRDefault="00030292" w:rsidP="00030292">
      <w:pPr>
        <w:tabs>
          <w:tab w:val="left" w:pos="851"/>
        </w:tabs>
        <w:ind w:left="851"/>
        <w:rPr>
          <w:sz w:val="24"/>
          <w:szCs w:val="24"/>
        </w:rPr>
      </w:pPr>
    </w:p>
    <w:p w14:paraId="5AF42A07" w14:textId="77777777" w:rsidR="00030292" w:rsidRPr="00030292" w:rsidRDefault="00030292" w:rsidP="00030292">
      <w:pPr>
        <w:tabs>
          <w:tab w:val="left" w:pos="851"/>
        </w:tabs>
        <w:ind w:left="851"/>
        <w:rPr>
          <w:sz w:val="24"/>
          <w:szCs w:val="24"/>
        </w:rPr>
      </w:pPr>
      <w:r w:rsidRPr="00030292">
        <w:rPr>
          <w:sz w:val="24"/>
          <w:szCs w:val="24"/>
        </w:rPr>
        <w:t>Samtidig indtagelse af mad påvirker generelt ikke biotilgængeligheden af pramipexol. Ved indtagelse af fedtholdige måltider hos raske frivillige forsøgspersoner er der set en stigning i plasmakoncentrationen (C</w:t>
      </w:r>
      <w:r w:rsidRPr="00030292">
        <w:rPr>
          <w:sz w:val="24"/>
          <w:szCs w:val="24"/>
          <w:vertAlign w:val="subscript"/>
        </w:rPr>
        <w:t>max</w:t>
      </w:r>
      <w:r w:rsidRPr="00030292">
        <w:rPr>
          <w:sz w:val="24"/>
          <w:szCs w:val="24"/>
        </w:rPr>
        <w:t>) på ca. 24 % efter administration af en enkelt dosis og ca. 20 % efter flere doser. C</w:t>
      </w:r>
      <w:r w:rsidRPr="00030292">
        <w:rPr>
          <w:sz w:val="24"/>
          <w:szCs w:val="24"/>
          <w:vertAlign w:val="subscript"/>
        </w:rPr>
        <w:t>max</w:t>
      </w:r>
      <w:r w:rsidRPr="00030292">
        <w:rPr>
          <w:sz w:val="24"/>
          <w:szCs w:val="24"/>
        </w:rPr>
        <w:t xml:space="preserve"> blev desuden forsinket 2 timer.</w:t>
      </w:r>
    </w:p>
    <w:p w14:paraId="63FD320C" w14:textId="77777777" w:rsidR="00030292" w:rsidRPr="00030292" w:rsidRDefault="00030292" w:rsidP="00030292">
      <w:pPr>
        <w:tabs>
          <w:tab w:val="left" w:pos="851"/>
        </w:tabs>
        <w:ind w:left="851"/>
        <w:rPr>
          <w:sz w:val="24"/>
          <w:szCs w:val="24"/>
        </w:rPr>
      </w:pPr>
    </w:p>
    <w:p w14:paraId="0375D898" w14:textId="77777777" w:rsidR="00030292" w:rsidRPr="00030292" w:rsidRDefault="00030292" w:rsidP="00030292">
      <w:pPr>
        <w:tabs>
          <w:tab w:val="left" w:pos="851"/>
        </w:tabs>
        <w:ind w:left="851"/>
        <w:rPr>
          <w:sz w:val="24"/>
          <w:szCs w:val="24"/>
        </w:rPr>
      </w:pPr>
      <w:r w:rsidRPr="00030292">
        <w:rPr>
          <w:sz w:val="24"/>
          <w:szCs w:val="24"/>
        </w:rPr>
        <w:t>Det samlede AUC blev ikke påvirket ved samtidig fødeindtagelse. Stigningen i C</w:t>
      </w:r>
      <w:r w:rsidRPr="00030292">
        <w:rPr>
          <w:sz w:val="24"/>
          <w:szCs w:val="24"/>
          <w:vertAlign w:val="subscript"/>
        </w:rPr>
        <w:t>max</w:t>
      </w:r>
      <w:r w:rsidRPr="00030292">
        <w:rPr>
          <w:sz w:val="24"/>
          <w:szCs w:val="24"/>
        </w:rPr>
        <w:t xml:space="preserve"> vurderes ikke at være klinisk relevant. I de fase-III-studier, hvor sikkerhed og virkning af pramipexol depottabletter blev undersøgt, blev patienterne instrueret i at tage studiemedicinen uden hensyntagen til fødeindtagelse.</w:t>
      </w:r>
    </w:p>
    <w:p w14:paraId="5B02F7B7" w14:textId="77777777" w:rsidR="00030292" w:rsidRPr="00030292" w:rsidRDefault="00030292" w:rsidP="00030292">
      <w:pPr>
        <w:tabs>
          <w:tab w:val="left" w:pos="851"/>
        </w:tabs>
        <w:ind w:left="851"/>
        <w:rPr>
          <w:sz w:val="24"/>
          <w:szCs w:val="24"/>
        </w:rPr>
      </w:pPr>
    </w:p>
    <w:p w14:paraId="1BE5FFAC" w14:textId="77777777" w:rsidR="00030292" w:rsidRPr="00030292" w:rsidRDefault="00030292" w:rsidP="00030292">
      <w:pPr>
        <w:tabs>
          <w:tab w:val="left" w:pos="851"/>
        </w:tabs>
        <w:ind w:left="851"/>
        <w:rPr>
          <w:sz w:val="24"/>
          <w:szCs w:val="24"/>
        </w:rPr>
      </w:pPr>
      <w:r w:rsidRPr="00030292">
        <w:rPr>
          <w:sz w:val="24"/>
          <w:szCs w:val="24"/>
        </w:rPr>
        <w:t>AUC bliver ikke påvirket af kropsvægten, men det gør fordelingsvolumen og dermed C</w:t>
      </w:r>
      <w:r w:rsidRPr="00030292">
        <w:rPr>
          <w:sz w:val="24"/>
          <w:szCs w:val="24"/>
          <w:vertAlign w:val="subscript"/>
        </w:rPr>
        <w:t>max</w:t>
      </w:r>
      <w:r w:rsidRPr="00030292">
        <w:rPr>
          <w:sz w:val="24"/>
          <w:szCs w:val="24"/>
        </w:rPr>
        <w:t>. Et vægttab på 30 kg viste en C</w:t>
      </w:r>
      <w:r w:rsidRPr="00030292">
        <w:rPr>
          <w:sz w:val="24"/>
          <w:szCs w:val="24"/>
          <w:vertAlign w:val="subscript"/>
        </w:rPr>
        <w:t>max</w:t>
      </w:r>
      <w:r w:rsidRPr="00030292">
        <w:rPr>
          <w:sz w:val="24"/>
          <w:szCs w:val="24"/>
        </w:rPr>
        <w:t>-stigning på 45 %. I fase-III studier hos Parkinsons patienter blev det ikke observeret, at kropsvægt har nogen klinisk relevant påvirkning på den terapeutiske virkning og tolerabiliteten af pramipexol depottabletter.</w:t>
      </w:r>
    </w:p>
    <w:p w14:paraId="618E3B4E" w14:textId="77777777" w:rsidR="00030292" w:rsidRPr="00030292" w:rsidRDefault="00030292" w:rsidP="00030292">
      <w:pPr>
        <w:tabs>
          <w:tab w:val="left" w:pos="851"/>
        </w:tabs>
        <w:ind w:left="851"/>
        <w:rPr>
          <w:sz w:val="24"/>
          <w:szCs w:val="24"/>
        </w:rPr>
      </w:pPr>
    </w:p>
    <w:p w14:paraId="288606AA" w14:textId="77777777" w:rsidR="00030292" w:rsidRPr="00030292" w:rsidRDefault="00030292" w:rsidP="00030292">
      <w:pPr>
        <w:tabs>
          <w:tab w:val="left" w:pos="851"/>
        </w:tabs>
        <w:ind w:left="851"/>
        <w:rPr>
          <w:sz w:val="24"/>
          <w:szCs w:val="24"/>
        </w:rPr>
      </w:pPr>
      <w:r w:rsidRPr="00030292">
        <w:rPr>
          <w:sz w:val="24"/>
          <w:szCs w:val="24"/>
        </w:rPr>
        <w:t>Pramipexol udviser lineær kinetik og kun en lille interpatient variation i plasmaniveauet.</w:t>
      </w:r>
    </w:p>
    <w:p w14:paraId="38BA6DBE" w14:textId="77777777" w:rsidR="00030292" w:rsidRPr="00030292" w:rsidRDefault="00030292" w:rsidP="00030292">
      <w:pPr>
        <w:tabs>
          <w:tab w:val="left" w:pos="851"/>
        </w:tabs>
        <w:ind w:left="851"/>
        <w:rPr>
          <w:sz w:val="24"/>
          <w:szCs w:val="24"/>
          <w:u w:val="single"/>
        </w:rPr>
      </w:pPr>
    </w:p>
    <w:p w14:paraId="6310DE86" w14:textId="77777777" w:rsidR="00030292" w:rsidRPr="00030292" w:rsidRDefault="00030292" w:rsidP="00030292">
      <w:pPr>
        <w:tabs>
          <w:tab w:val="left" w:pos="851"/>
        </w:tabs>
        <w:ind w:left="851"/>
        <w:rPr>
          <w:sz w:val="24"/>
          <w:szCs w:val="24"/>
        </w:rPr>
      </w:pPr>
      <w:r w:rsidRPr="00030292">
        <w:rPr>
          <w:sz w:val="24"/>
          <w:szCs w:val="24"/>
          <w:u w:val="single"/>
        </w:rPr>
        <w:t>Fordeling</w:t>
      </w:r>
    </w:p>
    <w:p w14:paraId="1935A5FB" w14:textId="77777777" w:rsidR="00030292" w:rsidRPr="00030292" w:rsidRDefault="00030292" w:rsidP="00030292">
      <w:pPr>
        <w:tabs>
          <w:tab w:val="left" w:pos="851"/>
        </w:tabs>
        <w:ind w:left="851"/>
        <w:rPr>
          <w:sz w:val="24"/>
          <w:szCs w:val="24"/>
        </w:rPr>
      </w:pPr>
      <w:r w:rsidRPr="00030292">
        <w:rPr>
          <w:sz w:val="24"/>
          <w:szCs w:val="24"/>
        </w:rPr>
        <w:t>Hos mennesket er proteinbindingen af pramipexol meget lav (&lt; 20 %) og fordelings</w:t>
      </w:r>
      <w:r w:rsidR="0060443F">
        <w:rPr>
          <w:sz w:val="24"/>
          <w:szCs w:val="24"/>
        </w:rPr>
        <w:softHyphen/>
      </w:r>
      <w:r w:rsidRPr="00030292">
        <w:rPr>
          <w:sz w:val="24"/>
          <w:szCs w:val="24"/>
        </w:rPr>
        <w:t>volumen stort (400 l). Høj koncentration i hjernevæv blev observeret hos rotter (omkring 8 gange sammenlignet med plasma).</w:t>
      </w:r>
    </w:p>
    <w:p w14:paraId="3A2D45DB" w14:textId="77777777" w:rsidR="00030292" w:rsidRPr="00030292" w:rsidRDefault="00030292" w:rsidP="00030292">
      <w:pPr>
        <w:tabs>
          <w:tab w:val="left" w:pos="851"/>
        </w:tabs>
        <w:ind w:left="851"/>
        <w:rPr>
          <w:sz w:val="24"/>
          <w:szCs w:val="24"/>
        </w:rPr>
      </w:pPr>
    </w:p>
    <w:p w14:paraId="75DDBAD2" w14:textId="77777777" w:rsidR="00030292" w:rsidRPr="00030292" w:rsidRDefault="00030292" w:rsidP="00030292">
      <w:pPr>
        <w:tabs>
          <w:tab w:val="left" w:pos="851"/>
        </w:tabs>
        <w:ind w:left="851"/>
        <w:rPr>
          <w:sz w:val="24"/>
          <w:szCs w:val="24"/>
        </w:rPr>
      </w:pPr>
      <w:r w:rsidRPr="00030292">
        <w:rPr>
          <w:sz w:val="24"/>
          <w:szCs w:val="24"/>
          <w:u w:val="single"/>
        </w:rPr>
        <w:t>Biotransformation</w:t>
      </w:r>
    </w:p>
    <w:p w14:paraId="56550971" w14:textId="77777777" w:rsidR="00030292" w:rsidRPr="00030292" w:rsidRDefault="00030292" w:rsidP="00030292">
      <w:pPr>
        <w:tabs>
          <w:tab w:val="left" w:pos="851"/>
        </w:tabs>
        <w:ind w:left="851"/>
        <w:rPr>
          <w:sz w:val="24"/>
          <w:szCs w:val="24"/>
        </w:rPr>
      </w:pPr>
      <w:r w:rsidRPr="00030292">
        <w:rPr>
          <w:sz w:val="24"/>
          <w:szCs w:val="24"/>
        </w:rPr>
        <w:t>Pramipexol metaboliseres kun i ringe omfang hos mennesket.</w:t>
      </w:r>
    </w:p>
    <w:p w14:paraId="17581755" w14:textId="77777777" w:rsidR="00030292" w:rsidRPr="00030292" w:rsidRDefault="00030292" w:rsidP="00030292">
      <w:pPr>
        <w:tabs>
          <w:tab w:val="left" w:pos="851"/>
        </w:tabs>
        <w:ind w:left="851"/>
        <w:rPr>
          <w:sz w:val="24"/>
          <w:szCs w:val="24"/>
        </w:rPr>
      </w:pPr>
    </w:p>
    <w:p w14:paraId="2983E535" w14:textId="77777777" w:rsidR="00030292" w:rsidRPr="00030292" w:rsidRDefault="00030292" w:rsidP="00030292">
      <w:pPr>
        <w:tabs>
          <w:tab w:val="left" w:pos="851"/>
        </w:tabs>
        <w:ind w:left="851"/>
        <w:rPr>
          <w:sz w:val="24"/>
          <w:szCs w:val="24"/>
        </w:rPr>
      </w:pPr>
      <w:r w:rsidRPr="00030292">
        <w:rPr>
          <w:sz w:val="24"/>
          <w:szCs w:val="24"/>
          <w:u w:val="single"/>
        </w:rPr>
        <w:t>Elimination</w:t>
      </w:r>
    </w:p>
    <w:p w14:paraId="43FCE71D" w14:textId="77777777" w:rsidR="00030292" w:rsidRPr="00030292" w:rsidRDefault="00030292" w:rsidP="00030292">
      <w:pPr>
        <w:tabs>
          <w:tab w:val="left" w:pos="851"/>
        </w:tabs>
        <w:ind w:left="851"/>
        <w:rPr>
          <w:sz w:val="24"/>
          <w:szCs w:val="24"/>
        </w:rPr>
      </w:pPr>
      <w:r w:rsidRPr="00030292">
        <w:rPr>
          <w:sz w:val="24"/>
          <w:szCs w:val="24"/>
        </w:rPr>
        <w:t xml:space="preserve">Den væsentligste eliminationsvej er renal udskillelse af ikke-metaboliseret pramipexol. Ca. 90 % af en </w:t>
      </w:r>
      <w:r w:rsidRPr="00030292">
        <w:rPr>
          <w:sz w:val="24"/>
          <w:szCs w:val="24"/>
          <w:vertAlign w:val="superscript"/>
        </w:rPr>
        <w:t>14</w:t>
      </w:r>
      <w:r w:rsidRPr="00030292">
        <w:rPr>
          <w:sz w:val="24"/>
          <w:szCs w:val="24"/>
        </w:rPr>
        <w:t xml:space="preserve">C-mærket dosis udskilles via nyrerne og mindre end 2 % via fæces. Den totale </w:t>
      </w:r>
      <w:r w:rsidRPr="00030292">
        <w:rPr>
          <w:i/>
          <w:iCs/>
          <w:sz w:val="24"/>
          <w:szCs w:val="24"/>
        </w:rPr>
        <w:t>clearance</w:t>
      </w:r>
      <w:r w:rsidRPr="00030292">
        <w:rPr>
          <w:sz w:val="24"/>
          <w:szCs w:val="24"/>
        </w:rPr>
        <w:t xml:space="preserve"> for pramipexol er omkring 500 ml/min og den renale </w:t>
      </w:r>
      <w:r w:rsidRPr="00030292">
        <w:rPr>
          <w:i/>
          <w:iCs/>
          <w:sz w:val="24"/>
          <w:szCs w:val="24"/>
        </w:rPr>
        <w:t>clearance</w:t>
      </w:r>
      <w:r w:rsidRPr="00030292">
        <w:rPr>
          <w:sz w:val="24"/>
          <w:szCs w:val="24"/>
        </w:rPr>
        <w:t xml:space="preserve"> er omkring 400 ml/min. Eliminationens halveringstid (t</w:t>
      </w:r>
      <w:r w:rsidRPr="00030292">
        <w:rPr>
          <w:sz w:val="24"/>
          <w:szCs w:val="24"/>
          <w:vertAlign w:val="subscript"/>
        </w:rPr>
        <w:t>½</w:t>
      </w:r>
      <w:r w:rsidRPr="00030292">
        <w:rPr>
          <w:sz w:val="24"/>
          <w:szCs w:val="24"/>
        </w:rPr>
        <w:t>) varierer mellem 8 timer hos yngre og 12 timer hos ældre.</w:t>
      </w:r>
    </w:p>
    <w:p w14:paraId="583B1A9A" w14:textId="77777777" w:rsidR="009260DE" w:rsidRPr="00C84483" w:rsidRDefault="009260DE" w:rsidP="009260DE">
      <w:pPr>
        <w:tabs>
          <w:tab w:val="left" w:pos="851"/>
        </w:tabs>
        <w:ind w:left="851"/>
        <w:rPr>
          <w:sz w:val="24"/>
          <w:szCs w:val="24"/>
        </w:rPr>
      </w:pPr>
    </w:p>
    <w:p w14:paraId="6E786254" w14:textId="77777777" w:rsidR="009260DE" w:rsidRPr="00C84483" w:rsidRDefault="009260DE" w:rsidP="00122F58">
      <w:pPr>
        <w:keepNext/>
        <w:tabs>
          <w:tab w:val="left" w:pos="851"/>
        </w:tabs>
        <w:ind w:left="851" w:hanging="851"/>
        <w:rPr>
          <w:b/>
          <w:sz w:val="24"/>
          <w:szCs w:val="24"/>
        </w:rPr>
      </w:pPr>
      <w:r w:rsidRPr="00C84483">
        <w:rPr>
          <w:b/>
          <w:sz w:val="24"/>
          <w:szCs w:val="24"/>
        </w:rPr>
        <w:lastRenderedPageBreak/>
        <w:t>5.3</w:t>
      </w:r>
      <w:r w:rsidRPr="00C84483">
        <w:rPr>
          <w:b/>
          <w:sz w:val="24"/>
          <w:szCs w:val="24"/>
        </w:rPr>
        <w:tab/>
      </w:r>
      <w:r w:rsidR="00122F58">
        <w:rPr>
          <w:b/>
          <w:sz w:val="24"/>
          <w:szCs w:val="24"/>
        </w:rPr>
        <w:t>Non-</w:t>
      </w:r>
      <w:r w:rsidRPr="00C84483">
        <w:rPr>
          <w:b/>
          <w:sz w:val="24"/>
          <w:szCs w:val="24"/>
        </w:rPr>
        <w:t>kliniske sikkerhedsdata</w:t>
      </w:r>
    </w:p>
    <w:p w14:paraId="1B612F4C" w14:textId="77777777" w:rsidR="00EF6C64" w:rsidRPr="00EF6C64" w:rsidRDefault="00EF6C64" w:rsidP="00EF6C64">
      <w:pPr>
        <w:tabs>
          <w:tab w:val="left" w:pos="851"/>
        </w:tabs>
        <w:ind w:left="851"/>
        <w:rPr>
          <w:sz w:val="24"/>
          <w:szCs w:val="24"/>
        </w:rPr>
      </w:pPr>
      <w:r w:rsidRPr="00EF6C64">
        <w:rPr>
          <w:sz w:val="24"/>
          <w:szCs w:val="24"/>
        </w:rPr>
        <w:t>Toksicitetsstudier med gentagne doser viser, at pramipexol udøver funktionelle virkninger, som hovedsagelig involverer CNS og det kvindelige reproduktionssystem, antagelig stammende fra en overdreven farmakodynamisk virkning af lægemidlet.</w:t>
      </w:r>
    </w:p>
    <w:p w14:paraId="7A6036F8" w14:textId="77777777" w:rsidR="00EF6C64" w:rsidRPr="00EF6C64" w:rsidRDefault="00EF6C64" w:rsidP="00EF6C64">
      <w:pPr>
        <w:tabs>
          <w:tab w:val="left" w:pos="851"/>
        </w:tabs>
        <w:ind w:left="851"/>
        <w:rPr>
          <w:sz w:val="24"/>
          <w:szCs w:val="24"/>
        </w:rPr>
      </w:pPr>
    </w:p>
    <w:p w14:paraId="5829C96B" w14:textId="77777777" w:rsidR="00EF6C64" w:rsidRPr="00EF6C64" w:rsidRDefault="00EF6C64" w:rsidP="00EF6C64">
      <w:pPr>
        <w:tabs>
          <w:tab w:val="left" w:pos="851"/>
        </w:tabs>
        <w:ind w:left="851"/>
        <w:rPr>
          <w:sz w:val="24"/>
          <w:szCs w:val="24"/>
        </w:rPr>
      </w:pPr>
      <w:r w:rsidRPr="00EF6C64">
        <w:rPr>
          <w:sz w:val="24"/>
          <w:szCs w:val="24"/>
        </w:rPr>
        <w:t>Fald i det diastoliske og systoliske blodtryk og hjerterytmen blev fundet i minigrise, og en tendens til en hypotensiv virkning blev set i aber.</w:t>
      </w:r>
    </w:p>
    <w:p w14:paraId="5620FB7D" w14:textId="77777777" w:rsidR="00EF6C64" w:rsidRPr="00EF6C64" w:rsidRDefault="00EF6C64" w:rsidP="00EF6C64">
      <w:pPr>
        <w:tabs>
          <w:tab w:val="left" w:pos="851"/>
        </w:tabs>
        <w:ind w:left="851"/>
        <w:rPr>
          <w:sz w:val="24"/>
          <w:szCs w:val="24"/>
        </w:rPr>
      </w:pPr>
    </w:p>
    <w:p w14:paraId="4A5CE0A6" w14:textId="77777777" w:rsidR="00EF6C64" w:rsidRPr="00EF6C64" w:rsidRDefault="00EF6C64" w:rsidP="00EF6C64">
      <w:pPr>
        <w:tabs>
          <w:tab w:val="left" w:pos="851"/>
        </w:tabs>
        <w:ind w:left="851"/>
        <w:rPr>
          <w:sz w:val="24"/>
          <w:szCs w:val="24"/>
        </w:rPr>
      </w:pPr>
      <w:r w:rsidRPr="00EF6C64">
        <w:rPr>
          <w:sz w:val="24"/>
          <w:szCs w:val="24"/>
        </w:rPr>
        <w:t>Den potentielle virkning af pramipexol på den reproduktive funktion er blevet undersøgt i rotter og kaniner. Pramipexol var ikke teratogen i rotter og kaniner, men var embryotoksisk i rotter ved maternotoksiske doser. Pga. de valgte dyrearter og det begrænsede antal undersøgte parametre er pramipexols bivirkninger i forbindelse med graviditet og mandlig fertilitet ikke fuldt belyst.</w:t>
      </w:r>
    </w:p>
    <w:p w14:paraId="68230BE8" w14:textId="77777777" w:rsidR="00EF6C64" w:rsidRPr="00EF6C64" w:rsidRDefault="00EF6C64" w:rsidP="00EF6C64">
      <w:pPr>
        <w:tabs>
          <w:tab w:val="left" w:pos="851"/>
        </w:tabs>
        <w:ind w:left="851"/>
        <w:rPr>
          <w:sz w:val="24"/>
          <w:szCs w:val="24"/>
        </w:rPr>
      </w:pPr>
    </w:p>
    <w:p w14:paraId="238CA7B0" w14:textId="77777777" w:rsidR="00EF6C64" w:rsidRPr="00EF6C64" w:rsidRDefault="00EF6C64" w:rsidP="00EF6C64">
      <w:pPr>
        <w:tabs>
          <w:tab w:val="left" w:pos="851"/>
        </w:tabs>
        <w:ind w:left="851"/>
        <w:rPr>
          <w:sz w:val="24"/>
          <w:szCs w:val="24"/>
        </w:rPr>
      </w:pPr>
      <w:r w:rsidRPr="00EF6C64">
        <w:rPr>
          <w:sz w:val="24"/>
          <w:szCs w:val="24"/>
        </w:rPr>
        <w:t>Forsinket kønsudvikling er observeret hos rotter (dvs. forsinket præputial separation og forsinket vaginalåbning). Relevansen for mennesker er ukendt.</w:t>
      </w:r>
    </w:p>
    <w:p w14:paraId="6609CDB2" w14:textId="77777777" w:rsidR="00EF6C64" w:rsidRPr="00EF6C64" w:rsidRDefault="00EF6C64" w:rsidP="00EF6C64">
      <w:pPr>
        <w:tabs>
          <w:tab w:val="left" w:pos="851"/>
        </w:tabs>
        <w:ind w:left="851"/>
        <w:rPr>
          <w:sz w:val="24"/>
          <w:szCs w:val="24"/>
        </w:rPr>
      </w:pPr>
    </w:p>
    <w:p w14:paraId="21251FCD" w14:textId="77777777" w:rsidR="00EF6C64" w:rsidRPr="00EF6C64" w:rsidRDefault="00EF6C64" w:rsidP="00EF6C64">
      <w:pPr>
        <w:tabs>
          <w:tab w:val="left" w:pos="851"/>
        </w:tabs>
        <w:ind w:left="851"/>
        <w:rPr>
          <w:sz w:val="24"/>
          <w:szCs w:val="24"/>
        </w:rPr>
      </w:pPr>
      <w:r w:rsidRPr="00EF6C64">
        <w:rPr>
          <w:sz w:val="24"/>
          <w:szCs w:val="24"/>
        </w:rPr>
        <w:t>Pramipexol var ikke genotoksisk. I et karcinogenicitetsstudie udviklede hanrotter Leydig-celle- hyperplasi og adenomer, pga. pramipexols prolaktinhæmmende virkning. Dette fund er ikke klinisk relevant for mennesket. Samme studie viste tillige, i albinorotter, der fik doser på 2 mg/kg (salt) pramipexol og derover, en sammenhæng med retinal degeneration. Sidstnævnte fund blev hverken observeret i pigmenterede rotter eller i albinomus i et karcinogenicitetsstudie over 2 år eller hos nogen anden undersøgt dyreart.</w:t>
      </w:r>
    </w:p>
    <w:p w14:paraId="2841B1CC" w14:textId="77777777" w:rsidR="009260DE" w:rsidRPr="00C84483" w:rsidRDefault="009260DE" w:rsidP="009260DE">
      <w:pPr>
        <w:tabs>
          <w:tab w:val="left" w:pos="851"/>
        </w:tabs>
        <w:ind w:left="851"/>
        <w:rPr>
          <w:sz w:val="24"/>
          <w:szCs w:val="24"/>
        </w:rPr>
      </w:pPr>
    </w:p>
    <w:p w14:paraId="7B4EAD08" w14:textId="77777777" w:rsidR="009260DE" w:rsidRPr="00C84483" w:rsidRDefault="009260DE" w:rsidP="009260DE">
      <w:pPr>
        <w:tabs>
          <w:tab w:val="left" w:pos="851"/>
        </w:tabs>
        <w:ind w:left="851"/>
        <w:rPr>
          <w:sz w:val="24"/>
          <w:szCs w:val="24"/>
        </w:rPr>
      </w:pPr>
    </w:p>
    <w:p w14:paraId="14510884"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03C06621" w14:textId="77777777" w:rsidR="009260DE" w:rsidRPr="00BA09F1" w:rsidRDefault="009260DE" w:rsidP="009260DE">
      <w:pPr>
        <w:tabs>
          <w:tab w:val="left" w:pos="851"/>
        </w:tabs>
        <w:ind w:left="851"/>
        <w:rPr>
          <w:sz w:val="24"/>
          <w:szCs w:val="24"/>
        </w:rPr>
      </w:pPr>
    </w:p>
    <w:p w14:paraId="071ABFFB"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2843B84F" w14:textId="77777777" w:rsidR="00A12107" w:rsidRPr="00A12107" w:rsidRDefault="00A12107" w:rsidP="00A12107">
      <w:pPr>
        <w:tabs>
          <w:tab w:val="left" w:pos="851"/>
        </w:tabs>
        <w:ind w:left="851"/>
        <w:rPr>
          <w:sz w:val="24"/>
          <w:szCs w:val="24"/>
        </w:rPr>
      </w:pPr>
      <w:r w:rsidRPr="00A12107">
        <w:rPr>
          <w:sz w:val="24"/>
          <w:szCs w:val="24"/>
        </w:rPr>
        <w:t xml:space="preserve">Hypromellose   </w:t>
      </w:r>
    </w:p>
    <w:p w14:paraId="4902640C" w14:textId="77777777" w:rsidR="00A12107" w:rsidRPr="00A12107" w:rsidRDefault="00A12107" w:rsidP="00A12107">
      <w:pPr>
        <w:tabs>
          <w:tab w:val="left" w:pos="851"/>
        </w:tabs>
        <w:ind w:left="851"/>
        <w:rPr>
          <w:sz w:val="24"/>
          <w:szCs w:val="24"/>
        </w:rPr>
      </w:pPr>
      <w:r w:rsidRPr="00A12107">
        <w:rPr>
          <w:sz w:val="24"/>
          <w:szCs w:val="24"/>
        </w:rPr>
        <w:t>Calciumhydrogenphosphat</w:t>
      </w:r>
      <w:r w:rsidR="002E625F">
        <w:rPr>
          <w:sz w:val="24"/>
          <w:szCs w:val="24"/>
        </w:rPr>
        <w:t xml:space="preserve"> </w:t>
      </w:r>
    </w:p>
    <w:p w14:paraId="7BC506C8" w14:textId="77777777" w:rsidR="00A12107" w:rsidRPr="00A12107" w:rsidRDefault="00A12107" w:rsidP="00A12107">
      <w:pPr>
        <w:tabs>
          <w:tab w:val="left" w:pos="851"/>
        </w:tabs>
        <w:ind w:left="851"/>
        <w:rPr>
          <w:sz w:val="24"/>
          <w:szCs w:val="24"/>
        </w:rPr>
      </w:pPr>
      <w:r w:rsidRPr="00A12107">
        <w:rPr>
          <w:sz w:val="24"/>
          <w:szCs w:val="24"/>
        </w:rPr>
        <w:t xml:space="preserve">Magnesiumstearat </w:t>
      </w:r>
    </w:p>
    <w:p w14:paraId="50A23279" w14:textId="77777777" w:rsidR="00A12107" w:rsidRPr="00A12107" w:rsidRDefault="00A12107" w:rsidP="00A12107">
      <w:pPr>
        <w:tabs>
          <w:tab w:val="left" w:pos="851"/>
        </w:tabs>
        <w:ind w:left="851"/>
        <w:rPr>
          <w:sz w:val="24"/>
          <w:szCs w:val="24"/>
        </w:rPr>
      </w:pPr>
      <w:r w:rsidRPr="00A12107">
        <w:rPr>
          <w:sz w:val="24"/>
          <w:szCs w:val="24"/>
        </w:rPr>
        <w:t>Silica, kolloid vandfri</w:t>
      </w:r>
    </w:p>
    <w:p w14:paraId="797723B2" w14:textId="77777777" w:rsidR="009260DE" w:rsidRPr="00C84483" w:rsidRDefault="009260DE" w:rsidP="009260DE">
      <w:pPr>
        <w:tabs>
          <w:tab w:val="left" w:pos="851"/>
        </w:tabs>
        <w:ind w:left="851"/>
        <w:rPr>
          <w:sz w:val="24"/>
          <w:szCs w:val="24"/>
        </w:rPr>
      </w:pPr>
    </w:p>
    <w:p w14:paraId="6AA15866"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4AC94142" w14:textId="77777777" w:rsidR="009260DE" w:rsidRPr="00C84483" w:rsidRDefault="00A12107" w:rsidP="009260DE">
      <w:pPr>
        <w:tabs>
          <w:tab w:val="left" w:pos="851"/>
        </w:tabs>
        <w:ind w:left="851"/>
        <w:rPr>
          <w:sz w:val="24"/>
          <w:szCs w:val="24"/>
        </w:rPr>
      </w:pPr>
      <w:r>
        <w:rPr>
          <w:sz w:val="24"/>
          <w:szCs w:val="24"/>
        </w:rPr>
        <w:t>Ikke relevant.</w:t>
      </w:r>
    </w:p>
    <w:p w14:paraId="25D952A6" w14:textId="77777777" w:rsidR="009260DE" w:rsidRPr="00C84483" w:rsidRDefault="009260DE" w:rsidP="009260DE">
      <w:pPr>
        <w:tabs>
          <w:tab w:val="left" w:pos="851"/>
        </w:tabs>
        <w:ind w:left="851"/>
        <w:rPr>
          <w:sz w:val="24"/>
          <w:szCs w:val="24"/>
        </w:rPr>
      </w:pPr>
    </w:p>
    <w:p w14:paraId="1D4483B2"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687D11E3" w14:textId="77777777" w:rsidR="009260DE" w:rsidRPr="00C84483" w:rsidRDefault="009260DE" w:rsidP="009260DE">
      <w:pPr>
        <w:tabs>
          <w:tab w:val="left" w:pos="851"/>
        </w:tabs>
        <w:ind w:left="851" w:hanging="851"/>
        <w:rPr>
          <w:sz w:val="24"/>
          <w:szCs w:val="24"/>
        </w:rPr>
      </w:pPr>
      <w:r w:rsidRPr="00C84483">
        <w:rPr>
          <w:sz w:val="24"/>
          <w:szCs w:val="24"/>
        </w:rPr>
        <w:tab/>
      </w:r>
      <w:r w:rsidR="00A12107">
        <w:rPr>
          <w:sz w:val="24"/>
          <w:szCs w:val="24"/>
        </w:rPr>
        <w:t>3 år.</w:t>
      </w:r>
    </w:p>
    <w:p w14:paraId="21242395" w14:textId="77777777" w:rsidR="009260DE" w:rsidRPr="00C84483" w:rsidRDefault="009260DE" w:rsidP="009260DE">
      <w:pPr>
        <w:tabs>
          <w:tab w:val="left" w:pos="851"/>
        </w:tabs>
        <w:ind w:left="851"/>
        <w:rPr>
          <w:sz w:val="24"/>
          <w:szCs w:val="24"/>
        </w:rPr>
      </w:pPr>
    </w:p>
    <w:p w14:paraId="0275D71C"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7DCA07B0" w14:textId="77777777" w:rsidR="00A12107" w:rsidRPr="00A12107" w:rsidRDefault="00A12107" w:rsidP="00122F58">
      <w:pPr>
        <w:tabs>
          <w:tab w:val="left" w:pos="851"/>
        </w:tabs>
        <w:ind w:left="851"/>
        <w:rPr>
          <w:sz w:val="24"/>
          <w:szCs w:val="24"/>
        </w:rPr>
      </w:pPr>
      <w:r w:rsidRPr="00A12107">
        <w:rPr>
          <w:sz w:val="24"/>
          <w:szCs w:val="24"/>
        </w:rPr>
        <w:t>Der er ingen særlige krav vedrørende opbevaringstemperaturer for dette lægemiddel</w:t>
      </w:r>
      <w:r>
        <w:rPr>
          <w:sz w:val="24"/>
          <w:szCs w:val="24"/>
        </w:rPr>
        <w:t>.</w:t>
      </w:r>
    </w:p>
    <w:p w14:paraId="4A95E5D2" w14:textId="77777777" w:rsidR="009260DE" w:rsidRPr="00C84483" w:rsidRDefault="009260DE" w:rsidP="009260DE">
      <w:pPr>
        <w:tabs>
          <w:tab w:val="left" w:pos="851"/>
        </w:tabs>
        <w:ind w:left="851"/>
        <w:rPr>
          <w:sz w:val="24"/>
          <w:szCs w:val="24"/>
        </w:rPr>
      </w:pPr>
    </w:p>
    <w:p w14:paraId="739E9602"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25EDBA12" w14:textId="77777777" w:rsidR="00A12107" w:rsidRDefault="00A12107" w:rsidP="00A12107">
      <w:pPr>
        <w:tabs>
          <w:tab w:val="left" w:pos="851"/>
        </w:tabs>
        <w:ind w:left="851"/>
        <w:rPr>
          <w:sz w:val="24"/>
          <w:szCs w:val="24"/>
        </w:rPr>
      </w:pPr>
      <w:bookmarkStart w:id="0" w:name="_Hlk73013984"/>
      <w:r w:rsidRPr="00A12107">
        <w:rPr>
          <w:sz w:val="24"/>
          <w:szCs w:val="24"/>
        </w:rPr>
        <w:t>OPA/aluminium/PVC-aluminium blister</w:t>
      </w:r>
      <w:r w:rsidR="00522395">
        <w:rPr>
          <w:sz w:val="24"/>
          <w:szCs w:val="24"/>
        </w:rPr>
        <w:t>, i æske.</w:t>
      </w:r>
    </w:p>
    <w:p w14:paraId="2C081B62" w14:textId="77777777" w:rsidR="00522395" w:rsidRDefault="00522395" w:rsidP="00A12107">
      <w:pPr>
        <w:tabs>
          <w:tab w:val="left" w:pos="851"/>
        </w:tabs>
        <w:ind w:left="851"/>
        <w:rPr>
          <w:sz w:val="24"/>
          <w:szCs w:val="24"/>
        </w:rPr>
      </w:pPr>
    </w:p>
    <w:p w14:paraId="4E0F4615" w14:textId="77777777" w:rsidR="00A12107" w:rsidRPr="00A12107" w:rsidRDefault="00522395" w:rsidP="00A12107">
      <w:pPr>
        <w:tabs>
          <w:tab w:val="left" w:pos="851"/>
        </w:tabs>
        <w:ind w:left="851"/>
        <w:rPr>
          <w:sz w:val="24"/>
          <w:szCs w:val="24"/>
        </w:rPr>
      </w:pPr>
      <w:r>
        <w:rPr>
          <w:sz w:val="24"/>
          <w:szCs w:val="24"/>
        </w:rPr>
        <w:t>Pakningsstørrelser</w:t>
      </w:r>
      <w:bookmarkEnd w:id="0"/>
      <w:r>
        <w:rPr>
          <w:sz w:val="24"/>
          <w:szCs w:val="24"/>
        </w:rPr>
        <w:t xml:space="preserve">: </w:t>
      </w:r>
      <w:r w:rsidR="00A12107" w:rsidRPr="00A12107">
        <w:rPr>
          <w:sz w:val="24"/>
          <w:szCs w:val="24"/>
        </w:rPr>
        <w:t xml:space="preserve">10, 30 </w:t>
      </w:r>
      <w:r>
        <w:rPr>
          <w:sz w:val="24"/>
          <w:szCs w:val="24"/>
        </w:rPr>
        <w:t>og</w:t>
      </w:r>
      <w:r w:rsidR="00A12107" w:rsidRPr="00A12107">
        <w:rPr>
          <w:sz w:val="24"/>
          <w:szCs w:val="24"/>
        </w:rPr>
        <w:t xml:space="preserve"> 100 depottabletter</w:t>
      </w:r>
      <w:r>
        <w:rPr>
          <w:sz w:val="24"/>
          <w:szCs w:val="24"/>
        </w:rPr>
        <w:t>.</w:t>
      </w:r>
    </w:p>
    <w:p w14:paraId="3B007868" w14:textId="77777777" w:rsidR="00A12107" w:rsidRPr="00A12107" w:rsidRDefault="00A12107" w:rsidP="00A12107">
      <w:pPr>
        <w:tabs>
          <w:tab w:val="left" w:pos="851"/>
        </w:tabs>
        <w:ind w:left="851"/>
        <w:rPr>
          <w:sz w:val="24"/>
          <w:szCs w:val="24"/>
        </w:rPr>
      </w:pPr>
      <w:r w:rsidRPr="00A12107">
        <w:rPr>
          <w:sz w:val="24"/>
          <w:szCs w:val="24"/>
        </w:rPr>
        <w:t>Ikke alle pakningsstørrelser er nødvendigvis markedsført.</w:t>
      </w:r>
    </w:p>
    <w:p w14:paraId="1C181363" w14:textId="77777777" w:rsidR="009260DE" w:rsidRPr="00C84483" w:rsidRDefault="009260DE" w:rsidP="009260DE">
      <w:pPr>
        <w:tabs>
          <w:tab w:val="left" w:pos="851"/>
        </w:tabs>
        <w:ind w:left="851"/>
        <w:rPr>
          <w:sz w:val="24"/>
          <w:szCs w:val="24"/>
        </w:rPr>
      </w:pPr>
    </w:p>
    <w:p w14:paraId="62AC7C21" w14:textId="77777777" w:rsidR="009260DE" w:rsidRPr="00C84483" w:rsidRDefault="009260DE" w:rsidP="00122F58">
      <w:pPr>
        <w:keepNext/>
        <w:tabs>
          <w:tab w:val="left" w:pos="851"/>
        </w:tabs>
        <w:ind w:left="851" w:hanging="851"/>
        <w:rPr>
          <w:b/>
          <w:sz w:val="24"/>
          <w:szCs w:val="24"/>
        </w:rPr>
      </w:pPr>
      <w:r w:rsidRPr="00C84483">
        <w:rPr>
          <w:b/>
          <w:sz w:val="24"/>
          <w:szCs w:val="24"/>
        </w:rPr>
        <w:t>6.6</w:t>
      </w:r>
      <w:r w:rsidRPr="00C84483">
        <w:rPr>
          <w:b/>
          <w:sz w:val="24"/>
          <w:szCs w:val="24"/>
        </w:rPr>
        <w:tab/>
        <w:t xml:space="preserve">Regler for </w:t>
      </w:r>
      <w:r w:rsidR="00122F58">
        <w:rPr>
          <w:b/>
          <w:sz w:val="24"/>
          <w:szCs w:val="24"/>
        </w:rPr>
        <w:t>bortskaffelse</w:t>
      </w:r>
      <w:r w:rsidRPr="00C84483">
        <w:rPr>
          <w:b/>
          <w:sz w:val="24"/>
          <w:szCs w:val="24"/>
        </w:rPr>
        <w:t xml:space="preserve"> og anden håndtering</w:t>
      </w:r>
    </w:p>
    <w:p w14:paraId="0E22DC8D" w14:textId="77777777" w:rsidR="00522395" w:rsidRPr="00522395" w:rsidRDefault="00522395" w:rsidP="00522395">
      <w:pPr>
        <w:tabs>
          <w:tab w:val="left" w:pos="851"/>
        </w:tabs>
        <w:ind w:left="851"/>
        <w:rPr>
          <w:sz w:val="24"/>
          <w:szCs w:val="24"/>
        </w:rPr>
      </w:pPr>
      <w:r w:rsidRPr="00522395">
        <w:rPr>
          <w:sz w:val="24"/>
          <w:szCs w:val="24"/>
        </w:rPr>
        <w:t>Ingen særlige forholdsregler.</w:t>
      </w:r>
    </w:p>
    <w:p w14:paraId="6A73C98A" w14:textId="77777777" w:rsidR="00522395" w:rsidRPr="00522395" w:rsidRDefault="00522395" w:rsidP="00522395">
      <w:pPr>
        <w:tabs>
          <w:tab w:val="left" w:pos="851"/>
        </w:tabs>
        <w:ind w:left="851"/>
        <w:rPr>
          <w:sz w:val="24"/>
          <w:szCs w:val="24"/>
        </w:rPr>
      </w:pPr>
    </w:p>
    <w:p w14:paraId="77079570" w14:textId="77777777" w:rsidR="0060443F" w:rsidRDefault="00522395" w:rsidP="00122F58">
      <w:pPr>
        <w:tabs>
          <w:tab w:val="left" w:pos="851"/>
        </w:tabs>
        <w:ind w:left="851"/>
        <w:rPr>
          <w:sz w:val="24"/>
          <w:szCs w:val="24"/>
        </w:rPr>
      </w:pPr>
      <w:r w:rsidRPr="00522395">
        <w:rPr>
          <w:sz w:val="24"/>
          <w:szCs w:val="24"/>
        </w:rPr>
        <w:lastRenderedPageBreak/>
        <w:t>Ikke anvendt lægemiddel samt affald heraf skal bortskaffes i henhold til lokale retningslinjer.</w:t>
      </w:r>
    </w:p>
    <w:p w14:paraId="78FCCF83" w14:textId="77777777" w:rsidR="009260DE" w:rsidRPr="00C84483" w:rsidRDefault="009260DE" w:rsidP="000730CA">
      <w:pPr>
        <w:tabs>
          <w:tab w:val="left" w:pos="851"/>
        </w:tabs>
        <w:ind w:left="851"/>
        <w:rPr>
          <w:sz w:val="24"/>
          <w:szCs w:val="24"/>
        </w:rPr>
      </w:pPr>
    </w:p>
    <w:p w14:paraId="15B1CF1A"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6162CB52" w14:textId="77777777" w:rsidR="005A20DE" w:rsidRPr="005A20DE" w:rsidRDefault="005A20DE" w:rsidP="005A20DE">
      <w:pPr>
        <w:tabs>
          <w:tab w:val="left" w:pos="851"/>
        </w:tabs>
        <w:ind w:left="851"/>
        <w:rPr>
          <w:sz w:val="24"/>
          <w:szCs w:val="24"/>
        </w:rPr>
      </w:pPr>
      <w:r w:rsidRPr="005A20DE">
        <w:rPr>
          <w:sz w:val="24"/>
          <w:szCs w:val="24"/>
        </w:rPr>
        <w:t>Zentiva k.s</w:t>
      </w:r>
    </w:p>
    <w:p w14:paraId="261EEF71" w14:textId="77777777" w:rsidR="005A20DE" w:rsidRPr="005A20DE" w:rsidRDefault="005A20DE" w:rsidP="005A20DE">
      <w:pPr>
        <w:tabs>
          <w:tab w:val="left" w:pos="851"/>
        </w:tabs>
        <w:ind w:left="851"/>
        <w:rPr>
          <w:sz w:val="24"/>
          <w:szCs w:val="24"/>
        </w:rPr>
      </w:pPr>
      <w:r w:rsidRPr="005A20DE">
        <w:rPr>
          <w:sz w:val="24"/>
          <w:szCs w:val="24"/>
        </w:rPr>
        <w:t>U Kabelovny 130</w:t>
      </w:r>
    </w:p>
    <w:p w14:paraId="0BD4960D" w14:textId="77777777" w:rsidR="005A20DE" w:rsidRPr="005A20DE" w:rsidRDefault="005A20DE" w:rsidP="005A20DE">
      <w:pPr>
        <w:tabs>
          <w:tab w:val="left" w:pos="851"/>
        </w:tabs>
        <w:ind w:left="851"/>
        <w:rPr>
          <w:sz w:val="24"/>
          <w:szCs w:val="24"/>
        </w:rPr>
      </w:pPr>
      <w:r w:rsidRPr="005A20DE">
        <w:rPr>
          <w:sz w:val="24"/>
          <w:szCs w:val="24"/>
        </w:rPr>
        <w:t xml:space="preserve">102 37 Prag 10 </w:t>
      </w:r>
    </w:p>
    <w:p w14:paraId="758D1596" w14:textId="77777777" w:rsidR="005A20DE" w:rsidRPr="005A20DE" w:rsidRDefault="005A20DE" w:rsidP="005A20DE">
      <w:pPr>
        <w:tabs>
          <w:tab w:val="left" w:pos="851"/>
        </w:tabs>
        <w:ind w:left="851"/>
        <w:rPr>
          <w:sz w:val="24"/>
          <w:szCs w:val="24"/>
        </w:rPr>
      </w:pPr>
      <w:r w:rsidRPr="005A20DE">
        <w:rPr>
          <w:sz w:val="24"/>
          <w:szCs w:val="24"/>
        </w:rPr>
        <w:t>Tjekkiet</w:t>
      </w:r>
    </w:p>
    <w:p w14:paraId="4082036B" w14:textId="77777777" w:rsidR="005A20DE" w:rsidRPr="005A20DE" w:rsidRDefault="005A20DE" w:rsidP="005A20DE">
      <w:pPr>
        <w:tabs>
          <w:tab w:val="left" w:pos="851"/>
        </w:tabs>
        <w:ind w:left="851"/>
        <w:rPr>
          <w:sz w:val="24"/>
          <w:szCs w:val="24"/>
        </w:rPr>
      </w:pPr>
    </w:p>
    <w:p w14:paraId="56C9F750" w14:textId="77777777" w:rsidR="005A20DE" w:rsidRPr="005A20DE" w:rsidRDefault="0060443F" w:rsidP="005A20DE">
      <w:pPr>
        <w:tabs>
          <w:tab w:val="left" w:pos="851"/>
        </w:tabs>
        <w:ind w:left="851"/>
        <w:rPr>
          <w:b/>
          <w:bCs/>
          <w:sz w:val="24"/>
          <w:szCs w:val="24"/>
        </w:rPr>
      </w:pPr>
      <w:r>
        <w:rPr>
          <w:b/>
          <w:bCs/>
          <w:sz w:val="24"/>
          <w:szCs w:val="24"/>
        </w:rPr>
        <w:t>R</w:t>
      </w:r>
      <w:r w:rsidR="005A20DE" w:rsidRPr="005A20DE">
        <w:rPr>
          <w:b/>
          <w:bCs/>
          <w:sz w:val="24"/>
          <w:szCs w:val="24"/>
        </w:rPr>
        <w:t>epræsentant</w:t>
      </w:r>
    </w:p>
    <w:p w14:paraId="1D2190EE" w14:textId="77777777" w:rsidR="005A20DE" w:rsidRPr="005A20DE" w:rsidRDefault="005A20DE" w:rsidP="005A20DE">
      <w:pPr>
        <w:tabs>
          <w:tab w:val="left" w:pos="851"/>
        </w:tabs>
        <w:ind w:left="851"/>
        <w:rPr>
          <w:sz w:val="24"/>
          <w:szCs w:val="24"/>
        </w:rPr>
      </w:pPr>
      <w:r w:rsidRPr="005A20DE">
        <w:rPr>
          <w:sz w:val="24"/>
          <w:szCs w:val="24"/>
        </w:rPr>
        <w:t>Zentiva Denmark ApS</w:t>
      </w:r>
    </w:p>
    <w:p w14:paraId="2BC1BE46" w14:textId="77777777" w:rsidR="005A20DE" w:rsidRPr="005A20DE" w:rsidRDefault="005A20DE" w:rsidP="005A20DE">
      <w:pPr>
        <w:tabs>
          <w:tab w:val="left" w:pos="851"/>
        </w:tabs>
        <w:ind w:left="851"/>
        <w:rPr>
          <w:sz w:val="24"/>
          <w:szCs w:val="24"/>
        </w:rPr>
      </w:pPr>
      <w:r w:rsidRPr="005A20DE">
        <w:rPr>
          <w:sz w:val="24"/>
          <w:szCs w:val="24"/>
        </w:rPr>
        <w:t>Høffdingsvej 34</w:t>
      </w:r>
    </w:p>
    <w:p w14:paraId="42AD45AB" w14:textId="77777777" w:rsidR="005A20DE" w:rsidRPr="005A20DE" w:rsidRDefault="005A20DE" w:rsidP="005A20DE">
      <w:pPr>
        <w:tabs>
          <w:tab w:val="left" w:pos="851"/>
        </w:tabs>
        <w:ind w:left="851"/>
        <w:rPr>
          <w:sz w:val="24"/>
          <w:szCs w:val="24"/>
        </w:rPr>
      </w:pPr>
      <w:r w:rsidRPr="005A20DE">
        <w:rPr>
          <w:sz w:val="24"/>
          <w:szCs w:val="24"/>
        </w:rPr>
        <w:t>2500 Valby</w:t>
      </w:r>
    </w:p>
    <w:p w14:paraId="0C567A7B" w14:textId="77777777" w:rsidR="009260DE" w:rsidRPr="00C84483" w:rsidRDefault="009260DE" w:rsidP="009260DE">
      <w:pPr>
        <w:tabs>
          <w:tab w:val="left" w:pos="851"/>
        </w:tabs>
        <w:ind w:left="851"/>
        <w:rPr>
          <w:sz w:val="24"/>
          <w:szCs w:val="24"/>
        </w:rPr>
      </w:pPr>
    </w:p>
    <w:p w14:paraId="6CA56D7D"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122F58">
        <w:rPr>
          <w:b/>
          <w:sz w:val="24"/>
          <w:szCs w:val="24"/>
        </w:rPr>
        <w:t>-</w:t>
      </w:r>
      <w:r w:rsidRPr="00C84483">
        <w:rPr>
          <w:b/>
          <w:sz w:val="24"/>
          <w:szCs w:val="24"/>
        </w:rPr>
        <w:t>NUMRE)</w:t>
      </w:r>
    </w:p>
    <w:p w14:paraId="6B9B35DE" w14:textId="77777777" w:rsidR="005A20DE" w:rsidRPr="009B53FE" w:rsidRDefault="005A20DE" w:rsidP="009B53FE">
      <w:pPr>
        <w:tabs>
          <w:tab w:val="left" w:pos="851"/>
          <w:tab w:val="left" w:pos="1843"/>
        </w:tabs>
        <w:ind w:left="851"/>
        <w:rPr>
          <w:sz w:val="24"/>
          <w:szCs w:val="24"/>
        </w:rPr>
      </w:pPr>
      <w:r w:rsidRPr="009B53FE">
        <w:rPr>
          <w:sz w:val="24"/>
          <w:szCs w:val="24"/>
        </w:rPr>
        <w:t>0,52 mg</w:t>
      </w:r>
      <w:r w:rsidR="00F94E62" w:rsidRPr="009B53FE">
        <w:rPr>
          <w:sz w:val="24"/>
          <w:szCs w:val="24"/>
        </w:rPr>
        <w:t>:</w:t>
      </w:r>
      <w:r w:rsidR="00F94E62" w:rsidRPr="009B53FE">
        <w:rPr>
          <w:sz w:val="24"/>
          <w:szCs w:val="24"/>
        </w:rPr>
        <w:tab/>
      </w:r>
      <w:r w:rsidR="009B53FE" w:rsidRPr="009B53FE">
        <w:rPr>
          <w:sz w:val="24"/>
          <w:szCs w:val="24"/>
        </w:rPr>
        <w:t>65953</w:t>
      </w:r>
    </w:p>
    <w:p w14:paraId="3C6E863A" w14:textId="77777777" w:rsidR="005A20DE" w:rsidRPr="009B53FE" w:rsidRDefault="005A20DE" w:rsidP="009B53FE">
      <w:pPr>
        <w:tabs>
          <w:tab w:val="left" w:pos="851"/>
          <w:tab w:val="left" w:pos="1843"/>
        </w:tabs>
        <w:ind w:left="851"/>
        <w:rPr>
          <w:sz w:val="24"/>
          <w:szCs w:val="24"/>
        </w:rPr>
      </w:pPr>
      <w:r w:rsidRPr="009B53FE">
        <w:rPr>
          <w:sz w:val="24"/>
          <w:szCs w:val="24"/>
        </w:rPr>
        <w:t>1,05 mg</w:t>
      </w:r>
      <w:r w:rsidR="009B53FE" w:rsidRPr="009B53FE">
        <w:rPr>
          <w:sz w:val="24"/>
          <w:szCs w:val="24"/>
        </w:rPr>
        <w:t>:</w:t>
      </w:r>
      <w:r w:rsidR="009B53FE">
        <w:rPr>
          <w:sz w:val="24"/>
          <w:szCs w:val="24"/>
        </w:rPr>
        <w:tab/>
        <w:t>65955</w:t>
      </w:r>
    </w:p>
    <w:p w14:paraId="2873A87E" w14:textId="77777777" w:rsidR="005A20DE" w:rsidRPr="009B53FE" w:rsidRDefault="005A20DE" w:rsidP="009B53FE">
      <w:pPr>
        <w:tabs>
          <w:tab w:val="left" w:pos="851"/>
          <w:tab w:val="left" w:pos="1843"/>
        </w:tabs>
        <w:ind w:left="851"/>
        <w:rPr>
          <w:sz w:val="24"/>
          <w:szCs w:val="24"/>
        </w:rPr>
      </w:pPr>
      <w:r w:rsidRPr="009B53FE">
        <w:rPr>
          <w:sz w:val="24"/>
          <w:szCs w:val="24"/>
        </w:rPr>
        <w:t>2,1 mg</w:t>
      </w:r>
      <w:r w:rsidR="009B53FE" w:rsidRPr="009B53FE">
        <w:rPr>
          <w:sz w:val="24"/>
          <w:szCs w:val="24"/>
        </w:rPr>
        <w:t>:</w:t>
      </w:r>
      <w:r w:rsidR="009B53FE">
        <w:rPr>
          <w:sz w:val="24"/>
          <w:szCs w:val="24"/>
        </w:rPr>
        <w:tab/>
        <w:t>65</w:t>
      </w:r>
      <w:r w:rsidR="00931A7F">
        <w:rPr>
          <w:sz w:val="24"/>
          <w:szCs w:val="24"/>
        </w:rPr>
        <w:t>957</w:t>
      </w:r>
      <w:r w:rsidR="009B53FE">
        <w:rPr>
          <w:sz w:val="24"/>
          <w:szCs w:val="24"/>
        </w:rPr>
        <w:tab/>
      </w:r>
    </w:p>
    <w:p w14:paraId="27D44043" w14:textId="77777777" w:rsidR="009260DE" w:rsidRPr="00C84483" w:rsidRDefault="009260DE" w:rsidP="009260DE">
      <w:pPr>
        <w:tabs>
          <w:tab w:val="left" w:pos="851"/>
        </w:tabs>
        <w:ind w:left="851"/>
        <w:jc w:val="both"/>
        <w:rPr>
          <w:sz w:val="24"/>
          <w:szCs w:val="24"/>
        </w:rPr>
      </w:pPr>
    </w:p>
    <w:p w14:paraId="14B21A4B"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0FA75B75" w14:textId="77777777" w:rsidR="009260DE" w:rsidRPr="00C84483" w:rsidRDefault="0060443F" w:rsidP="009260DE">
      <w:pPr>
        <w:tabs>
          <w:tab w:val="left" w:pos="851"/>
        </w:tabs>
        <w:ind w:left="851"/>
        <w:rPr>
          <w:sz w:val="24"/>
          <w:szCs w:val="24"/>
        </w:rPr>
      </w:pPr>
      <w:r>
        <w:rPr>
          <w:sz w:val="24"/>
          <w:szCs w:val="24"/>
        </w:rPr>
        <w:t>18. oktober 2021</w:t>
      </w:r>
    </w:p>
    <w:p w14:paraId="226C516D" w14:textId="77777777" w:rsidR="009260DE" w:rsidRPr="00C84483" w:rsidRDefault="009260DE" w:rsidP="009260DE">
      <w:pPr>
        <w:tabs>
          <w:tab w:val="left" w:pos="851"/>
        </w:tabs>
        <w:ind w:left="851"/>
        <w:rPr>
          <w:sz w:val="24"/>
          <w:szCs w:val="24"/>
        </w:rPr>
      </w:pPr>
    </w:p>
    <w:p w14:paraId="307C85BC"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34234D8C" w14:textId="7C080137" w:rsidR="009260DE" w:rsidRPr="00C84483" w:rsidRDefault="00046551" w:rsidP="009260DE">
      <w:pPr>
        <w:tabs>
          <w:tab w:val="left" w:pos="851"/>
        </w:tabs>
        <w:ind w:left="851"/>
        <w:rPr>
          <w:sz w:val="24"/>
          <w:szCs w:val="24"/>
        </w:rPr>
      </w:pPr>
      <w:r>
        <w:rPr>
          <w:sz w:val="24"/>
          <w:szCs w:val="24"/>
        </w:rPr>
        <w:t>3. juni</w:t>
      </w:r>
      <w:r w:rsidR="00480937">
        <w:rPr>
          <w:sz w:val="24"/>
          <w:szCs w:val="24"/>
        </w:rPr>
        <w:t xml:space="preserve"> 202</w:t>
      </w:r>
      <w:r>
        <w:rPr>
          <w:sz w:val="24"/>
          <w:szCs w:val="24"/>
        </w:rPr>
        <w:t>6</w:t>
      </w:r>
    </w:p>
    <w:sectPr w:rsidR="009260DE" w:rsidRPr="00C84483"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5132F" w14:textId="77777777" w:rsidR="00B266B6" w:rsidRDefault="00B266B6">
      <w:r>
        <w:separator/>
      </w:r>
    </w:p>
  </w:endnote>
  <w:endnote w:type="continuationSeparator" w:id="0">
    <w:p w14:paraId="7640109B" w14:textId="77777777" w:rsidR="00B266B6" w:rsidRDefault="00B26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78F0" w14:textId="77777777" w:rsidR="000259B9" w:rsidRDefault="000259B9">
    <w:pPr>
      <w:pStyle w:val="Sidefod"/>
      <w:pBdr>
        <w:bottom w:val="single" w:sz="6" w:space="1" w:color="auto"/>
      </w:pBdr>
    </w:pPr>
  </w:p>
  <w:p w14:paraId="737473BD" w14:textId="77777777" w:rsidR="000259B9" w:rsidRDefault="000259B9" w:rsidP="00C42586">
    <w:pPr>
      <w:pStyle w:val="Sidefod"/>
      <w:tabs>
        <w:tab w:val="clear" w:pos="4819"/>
        <w:tab w:val="left" w:pos="8505"/>
      </w:tabs>
      <w:rPr>
        <w:i/>
        <w:sz w:val="18"/>
        <w:szCs w:val="18"/>
      </w:rPr>
    </w:pPr>
  </w:p>
  <w:p w14:paraId="558910DF" w14:textId="16DEDF3F"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046551">
      <w:rPr>
        <w:i/>
        <w:noProof/>
        <w:sz w:val="18"/>
        <w:szCs w:val="18"/>
      </w:rPr>
      <w:t>Pramipexol Zentiva, depottabletter 0,52 mg, 1,05 mg, 2,1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1D80A" w14:textId="77777777" w:rsidR="00B266B6" w:rsidRDefault="00B266B6">
      <w:r>
        <w:separator/>
      </w:r>
    </w:p>
  </w:footnote>
  <w:footnote w:type="continuationSeparator" w:id="0">
    <w:p w14:paraId="18E1E6E5" w14:textId="77777777" w:rsidR="00B266B6" w:rsidRDefault="00B26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9505083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446740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0225051">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3019108">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464162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6B6"/>
    <w:rsid w:val="000259B9"/>
    <w:rsid w:val="00030292"/>
    <w:rsid w:val="00041491"/>
    <w:rsid w:val="00046551"/>
    <w:rsid w:val="00050D16"/>
    <w:rsid w:val="000543CD"/>
    <w:rsid w:val="000730CA"/>
    <w:rsid w:val="00074F2A"/>
    <w:rsid w:val="00081489"/>
    <w:rsid w:val="000A1CA8"/>
    <w:rsid w:val="000A466B"/>
    <w:rsid w:val="000B058C"/>
    <w:rsid w:val="000E4EE6"/>
    <w:rsid w:val="0011331D"/>
    <w:rsid w:val="00122F58"/>
    <w:rsid w:val="001454E2"/>
    <w:rsid w:val="001E570D"/>
    <w:rsid w:val="002044FA"/>
    <w:rsid w:val="00206CE8"/>
    <w:rsid w:val="0021526C"/>
    <w:rsid w:val="00270018"/>
    <w:rsid w:val="002713A6"/>
    <w:rsid w:val="00283A2B"/>
    <w:rsid w:val="002B30AD"/>
    <w:rsid w:val="002C2C01"/>
    <w:rsid w:val="002E625F"/>
    <w:rsid w:val="003A29AE"/>
    <w:rsid w:val="003A32D7"/>
    <w:rsid w:val="003B4074"/>
    <w:rsid w:val="003C769A"/>
    <w:rsid w:val="003F1838"/>
    <w:rsid w:val="0045746C"/>
    <w:rsid w:val="00480937"/>
    <w:rsid w:val="0049104B"/>
    <w:rsid w:val="004B56DD"/>
    <w:rsid w:val="004E3B12"/>
    <w:rsid w:val="00522395"/>
    <w:rsid w:val="00532310"/>
    <w:rsid w:val="00545DBA"/>
    <w:rsid w:val="00565F0F"/>
    <w:rsid w:val="00593E47"/>
    <w:rsid w:val="00594A86"/>
    <w:rsid w:val="00596D86"/>
    <w:rsid w:val="005A20DE"/>
    <w:rsid w:val="0060443F"/>
    <w:rsid w:val="00611E0F"/>
    <w:rsid w:val="00615FFB"/>
    <w:rsid w:val="00637F5A"/>
    <w:rsid w:val="006473BD"/>
    <w:rsid w:val="006560B1"/>
    <w:rsid w:val="00660B59"/>
    <w:rsid w:val="006756DD"/>
    <w:rsid w:val="006B34BD"/>
    <w:rsid w:val="00737275"/>
    <w:rsid w:val="00740EEC"/>
    <w:rsid w:val="0078011A"/>
    <w:rsid w:val="00782AF4"/>
    <w:rsid w:val="00790EE7"/>
    <w:rsid w:val="007B6649"/>
    <w:rsid w:val="007D6532"/>
    <w:rsid w:val="007F09C4"/>
    <w:rsid w:val="008157EC"/>
    <w:rsid w:val="0082576E"/>
    <w:rsid w:val="00907F75"/>
    <w:rsid w:val="009260DE"/>
    <w:rsid w:val="00931A7F"/>
    <w:rsid w:val="0093258A"/>
    <w:rsid w:val="00995BD3"/>
    <w:rsid w:val="009B53FE"/>
    <w:rsid w:val="009C7BA3"/>
    <w:rsid w:val="009D1F5A"/>
    <w:rsid w:val="00A10294"/>
    <w:rsid w:val="00A12107"/>
    <w:rsid w:val="00A552D1"/>
    <w:rsid w:val="00B003BF"/>
    <w:rsid w:val="00B266B6"/>
    <w:rsid w:val="00B373D7"/>
    <w:rsid w:val="00BA290A"/>
    <w:rsid w:val="00BC517E"/>
    <w:rsid w:val="00C033CB"/>
    <w:rsid w:val="00C36276"/>
    <w:rsid w:val="00C42586"/>
    <w:rsid w:val="00C60CCD"/>
    <w:rsid w:val="00C84483"/>
    <w:rsid w:val="00C95551"/>
    <w:rsid w:val="00CB20D7"/>
    <w:rsid w:val="00D020B0"/>
    <w:rsid w:val="00D11748"/>
    <w:rsid w:val="00D327E5"/>
    <w:rsid w:val="00D366CF"/>
    <w:rsid w:val="00DC0610"/>
    <w:rsid w:val="00DE47B0"/>
    <w:rsid w:val="00E108AA"/>
    <w:rsid w:val="00E3749A"/>
    <w:rsid w:val="00E41596"/>
    <w:rsid w:val="00E624BB"/>
    <w:rsid w:val="00E70DDB"/>
    <w:rsid w:val="00E7437F"/>
    <w:rsid w:val="00E865B8"/>
    <w:rsid w:val="00EC0B9B"/>
    <w:rsid w:val="00ED5E9F"/>
    <w:rsid w:val="00EF6C64"/>
    <w:rsid w:val="00F1667E"/>
    <w:rsid w:val="00F50C7A"/>
    <w:rsid w:val="00F66D4F"/>
    <w:rsid w:val="00F845AB"/>
    <w:rsid w:val="00F94E62"/>
    <w:rsid w:val="00FA5E79"/>
    <w:rsid w:val="00FB1169"/>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1B30B"/>
  <w15:chartTrackingRefBased/>
  <w15:docId w15:val="{398C8646-D284-4E75-A921-5DEDF538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4B56DD"/>
    <w:rPr>
      <w:color w:val="0563C1" w:themeColor="hyperlink"/>
      <w:u w:val="single"/>
    </w:rPr>
  </w:style>
  <w:style w:type="character" w:styleId="Ulstomtale">
    <w:name w:val="Unresolved Mention"/>
    <w:basedOn w:val="Standardskrifttypeiafsnit"/>
    <w:uiPriority w:val="99"/>
    <w:semiHidden/>
    <w:unhideWhenUsed/>
    <w:rsid w:val="00122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8444">
      <w:bodyDiv w:val="1"/>
      <w:marLeft w:val="0"/>
      <w:marRight w:val="0"/>
      <w:marTop w:val="0"/>
      <w:marBottom w:val="0"/>
      <w:divBdr>
        <w:top w:val="none" w:sz="0" w:space="0" w:color="auto"/>
        <w:left w:val="none" w:sz="0" w:space="0" w:color="auto"/>
        <w:bottom w:val="none" w:sz="0" w:space="0" w:color="auto"/>
        <w:right w:val="none" w:sz="0" w:space="0" w:color="auto"/>
      </w:divBdr>
    </w:div>
    <w:div w:id="33696920">
      <w:bodyDiv w:val="1"/>
      <w:marLeft w:val="0"/>
      <w:marRight w:val="0"/>
      <w:marTop w:val="0"/>
      <w:marBottom w:val="0"/>
      <w:divBdr>
        <w:top w:val="none" w:sz="0" w:space="0" w:color="auto"/>
        <w:left w:val="none" w:sz="0" w:space="0" w:color="auto"/>
        <w:bottom w:val="none" w:sz="0" w:space="0" w:color="auto"/>
        <w:right w:val="none" w:sz="0" w:space="0" w:color="auto"/>
      </w:divBdr>
    </w:div>
    <w:div w:id="63066349">
      <w:bodyDiv w:val="1"/>
      <w:marLeft w:val="0"/>
      <w:marRight w:val="0"/>
      <w:marTop w:val="0"/>
      <w:marBottom w:val="0"/>
      <w:divBdr>
        <w:top w:val="none" w:sz="0" w:space="0" w:color="auto"/>
        <w:left w:val="none" w:sz="0" w:space="0" w:color="auto"/>
        <w:bottom w:val="none" w:sz="0" w:space="0" w:color="auto"/>
        <w:right w:val="none" w:sz="0" w:space="0" w:color="auto"/>
      </w:divBdr>
    </w:div>
    <w:div w:id="103574999">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2259058">
      <w:bodyDiv w:val="1"/>
      <w:marLeft w:val="0"/>
      <w:marRight w:val="0"/>
      <w:marTop w:val="0"/>
      <w:marBottom w:val="0"/>
      <w:divBdr>
        <w:top w:val="none" w:sz="0" w:space="0" w:color="auto"/>
        <w:left w:val="none" w:sz="0" w:space="0" w:color="auto"/>
        <w:bottom w:val="none" w:sz="0" w:space="0" w:color="auto"/>
        <w:right w:val="none" w:sz="0" w:space="0" w:color="auto"/>
      </w:divBdr>
    </w:div>
    <w:div w:id="258872464">
      <w:bodyDiv w:val="1"/>
      <w:marLeft w:val="0"/>
      <w:marRight w:val="0"/>
      <w:marTop w:val="0"/>
      <w:marBottom w:val="0"/>
      <w:divBdr>
        <w:top w:val="none" w:sz="0" w:space="0" w:color="auto"/>
        <w:left w:val="none" w:sz="0" w:space="0" w:color="auto"/>
        <w:bottom w:val="none" w:sz="0" w:space="0" w:color="auto"/>
        <w:right w:val="none" w:sz="0" w:space="0" w:color="auto"/>
      </w:divBdr>
    </w:div>
    <w:div w:id="324822491">
      <w:bodyDiv w:val="1"/>
      <w:marLeft w:val="0"/>
      <w:marRight w:val="0"/>
      <w:marTop w:val="0"/>
      <w:marBottom w:val="0"/>
      <w:divBdr>
        <w:top w:val="none" w:sz="0" w:space="0" w:color="auto"/>
        <w:left w:val="none" w:sz="0" w:space="0" w:color="auto"/>
        <w:bottom w:val="none" w:sz="0" w:space="0" w:color="auto"/>
        <w:right w:val="none" w:sz="0" w:space="0" w:color="auto"/>
      </w:divBdr>
    </w:div>
    <w:div w:id="334504966">
      <w:bodyDiv w:val="1"/>
      <w:marLeft w:val="0"/>
      <w:marRight w:val="0"/>
      <w:marTop w:val="0"/>
      <w:marBottom w:val="0"/>
      <w:divBdr>
        <w:top w:val="none" w:sz="0" w:space="0" w:color="auto"/>
        <w:left w:val="none" w:sz="0" w:space="0" w:color="auto"/>
        <w:bottom w:val="none" w:sz="0" w:space="0" w:color="auto"/>
        <w:right w:val="none" w:sz="0" w:space="0" w:color="auto"/>
      </w:divBdr>
    </w:div>
    <w:div w:id="377121997">
      <w:bodyDiv w:val="1"/>
      <w:marLeft w:val="0"/>
      <w:marRight w:val="0"/>
      <w:marTop w:val="0"/>
      <w:marBottom w:val="0"/>
      <w:divBdr>
        <w:top w:val="none" w:sz="0" w:space="0" w:color="auto"/>
        <w:left w:val="none" w:sz="0" w:space="0" w:color="auto"/>
        <w:bottom w:val="none" w:sz="0" w:space="0" w:color="auto"/>
        <w:right w:val="none" w:sz="0" w:space="0" w:color="auto"/>
      </w:divBdr>
    </w:div>
    <w:div w:id="401757032">
      <w:bodyDiv w:val="1"/>
      <w:marLeft w:val="0"/>
      <w:marRight w:val="0"/>
      <w:marTop w:val="0"/>
      <w:marBottom w:val="0"/>
      <w:divBdr>
        <w:top w:val="none" w:sz="0" w:space="0" w:color="auto"/>
        <w:left w:val="none" w:sz="0" w:space="0" w:color="auto"/>
        <w:bottom w:val="none" w:sz="0" w:space="0" w:color="auto"/>
        <w:right w:val="none" w:sz="0" w:space="0" w:color="auto"/>
      </w:divBdr>
    </w:div>
    <w:div w:id="427118584">
      <w:bodyDiv w:val="1"/>
      <w:marLeft w:val="0"/>
      <w:marRight w:val="0"/>
      <w:marTop w:val="0"/>
      <w:marBottom w:val="0"/>
      <w:divBdr>
        <w:top w:val="none" w:sz="0" w:space="0" w:color="auto"/>
        <w:left w:val="none" w:sz="0" w:space="0" w:color="auto"/>
        <w:bottom w:val="none" w:sz="0" w:space="0" w:color="auto"/>
        <w:right w:val="none" w:sz="0" w:space="0" w:color="auto"/>
      </w:divBdr>
    </w:div>
    <w:div w:id="458109388">
      <w:bodyDiv w:val="1"/>
      <w:marLeft w:val="0"/>
      <w:marRight w:val="0"/>
      <w:marTop w:val="0"/>
      <w:marBottom w:val="0"/>
      <w:divBdr>
        <w:top w:val="none" w:sz="0" w:space="0" w:color="auto"/>
        <w:left w:val="none" w:sz="0" w:space="0" w:color="auto"/>
        <w:bottom w:val="none" w:sz="0" w:space="0" w:color="auto"/>
        <w:right w:val="none" w:sz="0" w:space="0" w:color="auto"/>
      </w:divBdr>
    </w:div>
    <w:div w:id="513960769">
      <w:bodyDiv w:val="1"/>
      <w:marLeft w:val="0"/>
      <w:marRight w:val="0"/>
      <w:marTop w:val="0"/>
      <w:marBottom w:val="0"/>
      <w:divBdr>
        <w:top w:val="none" w:sz="0" w:space="0" w:color="auto"/>
        <w:left w:val="none" w:sz="0" w:space="0" w:color="auto"/>
        <w:bottom w:val="none" w:sz="0" w:space="0" w:color="auto"/>
        <w:right w:val="none" w:sz="0" w:space="0" w:color="auto"/>
      </w:divBdr>
    </w:div>
    <w:div w:id="542180764">
      <w:bodyDiv w:val="1"/>
      <w:marLeft w:val="0"/>
      <w:marRight w:val="0"/>
      <w:marTop w:val="0"/>
      <w:marBottom w:val="0"/>
      <w:divBdr>
        <w:top w:val="none" w:sz="0" w:space="0" w:color="auto"/>
        <w:left w:val="none" w:sz="0" w:space="0" w:color="auto"/>
        <w:bottom w:val="none" w:sz="0" w:space="0" w:color="auto"/>
        <w:right w:val="none" w:sz="0" w:space="0" w:color="auto"/>
      </w:divBdr>
    </w:div>
    <w:div w:id="587080832">
      <w:bodyDiv w:val="1"/>
      <w:marLeft w:val="0"/>
      <w:marRight w:val="0"/>
      <w:marTop w:val="0"/>
      <w:marBottom w:val="0"/>
      <w:divBdr>
        <w:top w:val="none" w:sz="0" w:space="0" w:color="auto"/>
        <w:left w:val="none" w:sz="0" w:space="0" w:color="auto"/>
        <w:bottom w:val="none" w:sz="0" w:space="0" w:color="auto"/>
        <w:right w:val="none" w:sz="0" w:space="0" w:color="auto"/>
      </w:divBdr>
    </w:div>
    <w:div w:id="592082844">
      <w:bodyDiv w:val="1"/>
      <w:marLeft w:val="0"/>
      <w:marRight w:val="0"/>
      <w:marTop w:val="0"/>
      <w:marBottom w:val="0"/>
      <w:divBdr>
        <w:top w:val="none" w:sz="0" w:space="0" w:color="auto"/>
        <w:left w:val="none" w:sz="0" w:space="0" w:color="auto"/>
        <w:bottom w:val="none" w:sz="0" w:space="0" w:color="auto"/>
        <w:right w:val="none" w:sz="0" w:space="0" w:color="auto"/>
      </w:divBdr>
    </w:div>
    <w:div w:id="644235492">
      <w:bodyDiv w:val="1"/>
      <w:marLeft w:val="0"/>
      <w:marRight w:val="0"/>
      <w:marTop w:val="0"/>
      <w:marBottom w:val="0"/>
      <w:divBdr>
        <w:top w:val="none" w:sz="0" w:space="0" w:color="auto"/>
        <w:left w:val="none" w:sz="0" w:space="0" w:color="auto"/>
        <w:bottom w:val="none" w:sz="0" w:space="0" w:color="auto"/>
        <w:right w:val="none" w:sz="0" w:space="0" w:color="auto"/>
      </w:divBdr>
    </w:div>
    <w:div w:id="658920412">
      <w:bodyDiv w:val="1"/>
      <w:marLeft w:val="0"/>
      <w:marRight w:val="0"/>
      <w:marTop w:val="0"/>
      <w:marBottom w:val="0"/>
      <w:divBdr>
        <w:top w:val="none" w:sz="0" w:space="0" w:color="auto"/>
        <w:left w:val="none" w:sz="0" w:space="0" w:color="auto"/>
        <w:bottom w:val="none" w:sz="0" w:space="0" w:color="auto"/>
        <w:right w:val="none" w:sz="0" w:space="0" w:color="auto"/>
      </w:divBdr>
    </w:div>
    <w:div w:id="671224931">
      <w:bodyDiv w:val="1"/>
      <w:marLeft w:val="0"/>
      <w:marRight w:val="0"/>
      <w:marTop w:val="0"/>
      <w:marBottom w:val="0"/>
      <w:divBdr>
        <w:top w:val="none" w:sz="0" w:space="0" w:color="auto"/>
        <w:left w:val="none" w:sz="0" w:space="0" w:color="auto"/>
        <w:bottom w:val="none" w:sz="0" w:space="0" w:color="auto"/>
        <w:right w:val="none" w:sz="0" w:space="0" w:color="auto"/>
      </w:divBdr>
    </w:div>
    <w:div w:id="723674514">
      <w:bodyDiv w:val="1"/>
      <w:marLeft w:val="0"/>
      <w:marRight w:val="0"/>
      <w:marTop w:val="0"/>
      <w:marBottom w:val="0"/>
      <w:divBdr>
        <w:top w:val="none" w:sz="0" w:space="0" w:color="auto"/>
        <w:left w:val="none" w:sz="0" w:space="0" w:color="auto"/>
        <w:bottom w:val="none" w:sz="0" w:space="0" w:color="auto"/>
        <w:right w:val="none" w:sz="0" w:space="0" w:color="auto"/>
      </w:divBdr>
    </w:div>
    <w:div w:id="910431167">
      <w:bodyDiv w:val="1"/>
      <w:marLeft w:val="0"/>
      <w:marRight w:val="0"/>
      <w:marTop w:val="0"/>
      <w:marBottom w:val="0"/>
      <w:divBdr>
        <w:top w:val="none" w:sz="0" w:space="0" w:color="auto"/>
        <w:left w:val="none" w:sz="0" w:space="0" w:color="auto"/>
        <w:bottom w:val="none" w:sz="0" w:space="0" w:color="auto"/>
        <w:right w:val="none" w:sz="0" w:space="0" w:color="auto"/>
      </w:divBdr>
    </w:div>
    <w:div w:id="1011760834">
      <w:bodyDiv w:val="1"/>
      <w:marLeft w:val="0"/>
      <w:marRight w:val="0"/>
      <w:marTop w:val="0"/>
      <w:marBottom w:val="0"/>
      <w:divBdr>
        <w:top w:val="none" w:sz="0" w:space="0" w:color="auto"/>
        <w:left w:val="none" w:sz="0" w:space="0" w:color="auto"/>
        <w:bottom w:val="none" w:sz="0" w:space="0" w:color="auto"/>
        <w:right w:val="none" w:sz="0" w:space="0" w:color="auto"/>
      </w:divBdr>
    </w:div>
    <w:div w:id="1303268255">
      <w:bodyDiv w:val="1"/>
      <w:marLeft w:val="0"/>
      <w:marRight w:val="0"/>
      <w:marTop w:val="0"/>
      <w:marBottom w:val="0"/>
      <w:divBdr>
        <w:top w:val="none" w:sz="0" w:space="0" w:color="auto"/>
        <w:left w:val="none" w:sz="0" w:space="0" w:color="auto"/>
        <w:bottom w:val="none" w:sz="0" w:space="0" w:color="auto"/>
        <w:right w:val="none" w:sz="0" w:space="0" w:color="auto"/>
      </w:divBdr>
    </w:div>
    <w:div w:id="1318650864">
      <w:bodyDiv w:val="1"/>
      <w:marLeft w:val="0"/>
      <w:marRight w:val="0"/>
      <w:marTop w:val="0"/>
      <w:marBottom w:val="0"/>
      <w:divBdr>
        <w:top w:val="none" w:sz="0" w:space="0" w:color="auto"/>
        <w:left w:val="none" w:sz="0" w:space="0" w:color="auto"/>
        <w:bottom w:val="none" w:sz="0" w:space="0" w:color="auto"/>
        <w:right w:val="none" w:sz="0" w:space="0" w:color="auto"/>
      </w:divBdr>
    </w:div>
    <w:div w:id="1325015741">
      <w:bodyDiv w:val="1"/>
      <w:marLeft w:val="0"/>
      <w:marRight w:val="0"/>
      <w:marTop w:val="0"/>
      <w:marBottom w:val="0"/>
      <w:divBdr>
        <w:top w:val="none" w:sz="0" w:space="0" w:color="auto"/>
        <w:left w:val="none" w:sz="0" w:space="0" w:color="auto"/>
        <w:bottom w:val="none" w:sz="0" w:space="0" w:color="auto"/>
        <w:right w:val="none" w:sz="0" w:space="0" w:color="auto"/>
      </w:divBdr>
    </w:div>
    <w:div w:id="1345742854">
      <w:bodyDiv w:val="1"/>
      <w:marLeft w:val="0"/>
      <w:marRight w:val="0"/>
      <w:marTop w:val="0"/>
      <w:marBottom w:val="0"/>
      <w:divBdr>
        <w:top w:val="none" w:sz="0" w:space="0" w:color="auto"/>
        <w:left w:val="none" w:sz="0" w:space="0" w:color="auto"/>
        <w:bottom w:val="none" w:sz="0" w:space="0" w:color="auto"/>
        <w:right w:val="none" w:sz="0" w:space="0" w:color="auto"/>
      </w:divBdr>
    </w:div>
    <w:div w:id="1479810117">
      <w:bodyDiv w:val="1"/>
      <w:marLeft w:val="0"/>
      <w:marRight w:val="0"/>
      <w:marTop w:val="0"/>
      <w:marBottom w:val="0"/>
      <w:divBdr>
        <w:top w:val="none" w:sz="0" w:space="0" w:color="auto"/>
        <w:left w:val="none" w:sz="0" w:space="0" w:color="auto"/>
        <w:bottom w:val="none" w:sz="0" w:space="0" w:color="auto"/>
        <w:right w:val="none" w:sz="0" w:space="0" w:color="auto"/>
      </w:divBdr>
    </w:div>
    <w:div w:id="1541937586">
      <w:bodyDiv w:val="1"/>
      <w:marLeft w:val="0"/>
      <w:marRight w:val="0"/>
      <w:marTop w:val="0"/>
      <w:marBottom w:val="0"/>
      <w:divBdr>
        <w:top w:val="none" w:sz="0" w:space="0" w:color="auto"/>
        <w:left w:val="none" w:sz="0" w:space="0" w:color="auto"/>
        <w:bottom w:val="none" w:sz="0" w:space="0" w:color="auto"/>
        <w:right w:val="none" w:sz="0" w:space="0" w:color="auto"/>
      </w:divBdr>
    </w:div>
    <w:div w:id="1545630731">
      <w:bodyDiv w:val="1"/>
      <w:marLeft w:val="0"/>
      <w:marRight w:val="0"/>
      <w:marTop w:val="0"/>
      <w:marBottom w:val="0"/>
      <w:divBdr>
        <w:top w:val="none" w:sz="0" w:space="0" w:color="auto"/>
        <w:left w:val="none" w:sz="0" w:space="0" w:color="auto"/>
        <w:bottom w:val="none" w:sz="0" w:space="0" w:color="auto"/>
        <w:right w:val="none" w:sz="0" w:space="0" w:color="auto"/>
      </w:divBdr>
    </w:div>
    <w:div w:id="1626161564">
      <w:bodyDiv w:val="1"/>
      <w:marLeft w:val="0"/>
      <w:marRight w:val="0"/>
      <w:marTop w:val="0"/>
      <w:marBottom w:val="0"/>
      <w:divBdr>
        <w:top w:val="none" w:sz="0" w:space="0" w:color="auto"/>
        <w:left w:val="none" w:sz="0" w:space="0" w:color="auto"/>
        <w:bottom w:val="none" w:sz="0" w:space="0" w:color="auto"/>
        <w:right w:val="none" w:sz="0" w:space="0" w:color="auto"/>
      </w:divBdr>
    </w:div>
    <w:div w:id="1712532445">
      <w:bodyDiv w:val="1"/>
      <w:marLeft w:val="0"/>
      <w:marRight w:val="0"/>
      <w:marTop w:val="0"/>
      <w:marBottom w:val="0"/>
      <w:divBdr>
        <w:top w:val="none" w:sz="0" w:space="0" w:color="auto"/>
        <w:left w:val="none" w:sz="0" w:space="0" w:color="auto"/>
        <w:bottom w:val="none" w:sz="0" w:space="0" w:color="auto"/>
        <w:right w:val="none" w:sz="0" w:space="0" w:color="auto"/>
      </w:divBdr>
    </w:div>
    <w:div w:id="1745908328">
      <w:bodyDiv w:val="1"/>
      <w:marLeft w:val="0"/>
      <w:marRight w:val="0"/>
      <w:marTop w:val="0"/>
      <w:marBottom w:val="0"/>
      <w:divBdr>
        <w:top w:val="none" w:sz="0" w:space="0" w:color="auto"/>
        <w:left w:val="none" w:sz="0" w:space="0" w:color="auto"/>
        <w:bottom w:val="none" w:sz="0" w:space="0" w:color="auto"/>
        <w:right w:val="none" w:sz="0" w:space="0" w:color="auto"/>
      </w:divBdr>
    </w:div>
    <w:div w:id="1781292938">
      <w:bodyDiv w:val="1"/>
      <w:marLeft w:val="0"/>
      <w:marRight w:val="0"/>
      <w:marTop w:val="0"/>
      <w:marBottom w:val="0"/>
      <w:divBdr>
        <w:top w:val="none" w:sz="0" w:space="0" w:color="auto"/>
        <w:left w:val="none" w:sz="0" w:space="0" w:color="auto"/>
        <w:bottom w:val="none" w:sz="0" w:space="0" w:color="auto"/>
        <w:right w:val="none" w:sz="0" w:space="0" w:color="auto"/>
      </w:divBdr>
    </w:div>
    <w:div w:id="1793787556">
      <w:bodyDiv w:val="1"/>
      <w:marLeft w:val="0"/>
      <w:marRight w:val="0"/>
      <w:marTop w:val="0"/>
      <w:marBottom w:val="0"/>
      <w:divBdr>
        <w:top w:val="none" w:sz="0" w:space="0" w:color="auto"/>
        <w:left w:val="none" w:sz="0" w:space="0" w:color="auto"/>
        <w:bottom w:val="none" w:sz="0" w:space="0" w:color="auto"/>
        <w:right w:val="none" w:sz="0" w:space="0" w:color="auto"/>
      </w:divBdr>
    </w:div>
    <w:div w:id="1816873454">
      <w:bodyDiv w:val="1"/>
      <w:marLeft w:val="0"/>
      <w:marRight w:val="0"/>
      <w:marTop w:val="0"/>
      <w:marBottom w:val="0"/>
      <w:divBdr>
        <w:top w:val="none" w:sz="0" w:space="0" w:color="auto"/>
        <w:left w:val="none" w:sz="0" w:space="0" w:color="auto"/>
        <w:bottom w:val="none" w:sz="0" w:space="0" w:color="auto"/>
        <w:right w:val="none" w:sz="0" w:space="0" w:color="auto"/>
      </w:divBdr>
    </w:div>
    <w:div w:id="1828015749">
      <w:bodyDiv w:val="1"/>
      <w:marLeft w:val="0"/>
      <w:marRight w:val="0"/>
      <w:marTop w:val="0"/>
      <w:marBottom w:val="0"/>
      <w:divBdr>
        <w:top w:val="none" w:sz="0" w:space="0" w:color="auto"/>
        <w:left w:val="none" w:sz="0" w:space="0" w:color="auto"/>
        <w:bottom w:val="none" w:sz="0" w:space="0" w:color="auto"/>
        <w:right w:val="none" w:sz="0" w:space="0" w:color="auto"/>
      </w:divBdr>
    </w:div>
    <w:div w:id="1874071548">
      <w:bodyDiv w:val="1"/>
      <w:marLeft w:val="0"/>
      <w:marRight w:val="0"/>
      <w:marTop w:val="0"/>
      <w:marBottom w:val="0"/>
      <w:divBdr>
        <w:top w:val="none" w:sz="0" w:space="0" w:color="auto"/>
        <w:left w:val="none" w:sz="0" w:space="0" w:color="auto"/>
        <w:bottom w:val="none" w:sz="0" w:space="0" w:color="auto"/>
        <w:right w:val="none" w:sz="0" w:space="0" w:color="auto"/>
      </w:divBdr>
    </w:div>
    <w:div w:id="1898664937">
      <w:bodyDiv w:val="1"/>
      <w:marLeft w:val="0"/>
      <w:marRight w:val="0"/>
      <w:marTop w:val="0"/>
      <w:marBottom w:val="0"/>
      <w:divBdr>
        <w:top w:val="none" w:sz="0" w:space="0" w:color="auto"/>
        <w:left w:val="none" w:sz="0" w:space="0" w:color="auto"/>
        <w:bottom w:val="none" w:sz="0" w:space="0" w:color="auto"/>
        <w:right w:val="none" w:sz="0" w:space="0" w:color="auto"/>
      </w:divBdr>
    </w:div>
    <w:div w:id="2017539356">
      <w:bodyDiv w:val="1"/>
      <w:marLeft w:val="0"/>
      <w:marRight w:val="0"/>
      <w:marTop w:val="0"/>
      <w:marBottom w:val="0"/>
      <w:divBdr>
        <w:top w:val="none" w:sz="0" w:space="0" w:color="auto"/>
        <w:left w:val="none" w:sz="0" w:space="0" w:color="auto"/>
        <w:bottom w:val="none" w:sz="0" w:space="0" w:color="auto"/>
        <w:right w:val="none" w:sz="0" w:space="0" w:color="auto"/>
      </w:divBdr>
    </w:div>
    <w:div w:id="2057854026">
      <w:bodyDiv w:val="1"/>
      <w:marLeft w:val="0"/>
      <w:marRight w:val="0"/>
      <w:marTop w:val="0"/>
      <w:marBottom w:val="0"/>
      <w:divBdr>
        <w:top w:val="none" w:sz="0" w:space="0" w:color="auto"/>
        <w:left w:val="none" w:sz="0" w:space="0" w:color="auto"/>
        <w:bottom w:val="none" w:sz="0" w:space="0" w:color="auto"/>
        <w:right w:val="none" w:sz="0" w:space="0" w:color="auto"/>
      </w:divBdr>
    </w:div>
    <w:div w:id="207692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4281</Words>
  <Characters>26115</Characters>
  <Application>Microsoft Office Word</Application>
  <DocSecurity>0</DocSecurity>
  <Lines>217</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Aabo Würtz</dc:creator>
  <cp:keywords/>
  <dc:description>2024073814  - pkt. 4.2, 4.4, 4.8. 6.4</dc:description>
  <cp:lastModifiedBy>Janni Kim Ekwall Weihrauch</cp:lastModifiedBy>
  <cp:revision>4</cp:revision>
  <cp:lastPrinted>2012-08-22T08:53:00Z</cp:lastPrinted>
  <dcterms:created xsi:type="dcterms:W3CDTF">2026-06-03T11:33:00Z</dcterms:created>
  <dcterms:modified xsi:type="dcterms:W3CDTF">2026-06-03T11:39:00Z</dcterms:modified>
</cp:coreProperties>
</file>