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FDF17" w14:textId="41FB6338" w:rsidR="009260DE" w:rsidRPr="00C84483" w:rsidRDefault="0021526C" w:rsidP="00C52F9A">
      <w:pPr>
        <w:rPr>
          <w:b/>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5BC7D21A" wp14:editId="1BD41B0B">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0B7E4D2D" w14:textId="0C1A4AE2"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C52F9A">
        <w:rPr>
          <w:szCs w:val="24"/>
        </w:rPr>
        <w:t>30. oktober 2025</w:t>
      </w:r>
    </w:p>
    <w:p w14:paraId="07637D56" w14:textId="77777777" w:rsidR="009260DE" w:rsidRPr="00C84483" w:rsidRDefault="009260DE" w:rsidP="009260DE">
      <w:pPr>
        <w:pStyle w:val="Titel"/>
        <w:tabs>
          <w:tab w:val="left" w:pos="8222"/>
        </w:tabs>
        <w:jc w:val="left"/>
        <w:rPr>
          <w:b w:val="0"/>
          <w:szCs w:val="24"/>
        </w:rPr>
      </w:pPr>
    </w:p>
    <w:p w14:paraId="1F80028C" w14:textId="641A3688" w:rsidR="0033687D" w:rsidRPr="00C84483" w:rsidRDefault="0033687D" w:rsidP="009260DE">
      <w:pPr>
        <w:pStyle w:val="Titel"/>
        <w:jc w:val="left"/>
        <w:rPr>
          <w:b w:val="0"/>
          <w:szCs w:val="24"/>
        </w:rPr>
      </w:pPr>
    </w:p>
    <w:p w14:paraId="411E5E89" w14:textId="77777777" w:rsidR="009260DE" w:rsidRPr="00C84483" w:rsidRDefault="009260DE" w:rsidP="009260DE">
      <w:pPr>
        <w:pStyle w:val="Titel"/>
        <w:jc w:val="left"/>
        <w:rPr>
          <w:b w:val="0"/>
          <w:szCs w:val="24"/>
        </w:rPr>
      </w:pPr>
    </w:p>
    <w:p w14:paraId="451D8BCE" w14:textId="77777777" w:rsidR="009260DE" w:rsidRPr="00C84483" w:rsidRDefault="009260DE" w:rsidP="009260DE">
      <w:pPr>
        <w:jc w:val="center"/>
        <w:rPr>
          <w:b/>
          <w:sz w:val="24"/>
          <w:szCs w:val="24"/>
        </w:rPr>
      </w:pPr>
      <w:r w:rsidRPr="00C84483">
        <w:rPr>
          <w:b/>
          <w:sz w:val="24"/>
          <w:szCs w:val="24"/>
        </w:rPr>
        <w:t>PRODUKTRESUMÉ</w:t>
      </w:r>
    </w:p>
    <w:p w14:paraId="1989361B" w14:textId="77777777" w:rsidR="009260DE" w:rsidRPr="00C84483" w:rsidRDefault="009260DE" w:rsidP="009260DE">
      <w:pPr>
        <w:jc w:val="center"/>
        <w:rPr>
          <w:b/>
          <w:sz w:val="24"/>
          <w:szCs w:val="24"/>
        </w:rPr>
      </w:pPr>
    </w:p>
    <w:p w14:paraId="3FED5C3C" w14:textId="77777777" w:rsidR="009260DE" w:rsidRDefault="009260DE" w:rsidP="009260DE">
      <w:pPr>
        <w:jc w:val="center"/>
        <w:rPr>
          <w:b/>
          <w:sz w:val="24"/>
          <w:szCs w:val="24"/>
        </w:rPr>
      </w:pPr>
      <w:r w:rsidRPr="00C84483">
        <w:rPr>
          <w:b/>
          <w:sz w:val="24"/>
          <w:szCs w:val="24"/>
        </w:rPr>
        <w:t>for</w:t>
      </w:r>
    </w:p>
    <w:p w14:paraId="0FF84D01" w14:textId="77777777" w:rsidR="000B058C" w:rsidRPr="00C84483" w:rsidRDefault="000B058C" w:rsidP="009260DE">
      <w:pPr>
        <w:jc w:val="center"/>
        <w:rPr>
          <w:b/>
          <w:sz w:val="24"/>
          <w:szCs w:val="24"/>
        </w:rPr>
      </w:pPr>
    </w:p>
    <w:p w14:paraId="43AEE5B9" w14:textId="06D52647" w:rsidR="009260DE" w:rsidRPr="00C84483" w:rsidRDefault="00831588" w:rsidP="009260DE">
      <w:pPr>
        <w:jc w:val="center"/>
        <w:rPr>
          <w:b/>
          <w:sz w:val="24"/>
          <w:szCs w:val="24"/>
        </w:rPr>
      </w:pPr>
      <w:proofErr w:type="spellStart"/>
      <w:r>
        <w:rPr>
          <w:b/>
          <w:sz w:val="24"/>
          <w:szCs w:val="24"/>
        </w:rPr>
        <w:t>Prasugrel</w:t>
      </w:r>
      <w:proofErr w:type="spellEnd"/>
      <w:r>
        <w:rPr>
          <w:b/>
          <w:sz w:val="24"/>
          <w:szCs w:val="24"/>
        </w:rPr>
        <w:t xml:space="preserve"> "</w:t>
      </w:r>
      <w:r w:rsidR="00C52F9A">
        <w:rPr>
          <w:b/>
          <w:sz w:val="24"/>
          <w:szCs w:val="24"/>
        </w:rPr>
        <w:t>G.L. Pharma</w:t>
      </w:r>
      <w:r>
        <w:rPr>
          <w:b/>
          <w:sz w:val="24"/>
          <w:szCs w:val="24"/>
        </w:rPr>
        <w:t>", filmovertrukne tabletter</w:t>
      </w:r>
    </w:p>
    <w:p w14:paraId="27AFB330" w14:textId="77777777" w:rsidR="009260DE" w:rsidRPr="00C84483" w:rsidRDefault="009260DE" w:rsidP="009260DE">
      <w:pPr>
        <w:jc w:val="both"/>
        <w:rPr>
          <w:sz w:val="24"/>
          <w:szCs w:val="24"/>
        </w:rPr>
      </w:pPr>
    </w:p>
    <w:p w14:paraId="1A7A0F22" w14:textId="77777777" w:rsidR="009260DE" w:rsidRPr="00C84483" w:rsidRDefault="009260DE" w:rsidP="009260DE">
      <w:pPr>
        <w:jc w:val="both"/>
        <w:rPr>
          <w:sz w:val="24"/>
          <w:szCs w:val="24"/>
        </w:rPr>
      </w:pPr>
    </w:p>
    <w:p w14:paraId="57A344E5"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2D96F237" w14:textId="0F926847" w:rsidR="009260DE" w:rsidRPr="00C84483" w:rsidRDefault="00E85B2D" w:rsidP="009260DE">
      <w:pPr>
        <w:tabs>
          <w:tab w:val="left" w:pos="851"/>
        </w:tabs>
        <w:ind w:left="851"/>
        <w:rPr>
          <w:sz w:val="24"/>
          <w:szCs w:val="24"/>
        </w:rPr>
      </w:pPr>
      <w:r>
        <w:rPr>
          <w:sz w:val="24"/>
          <w:szCs w:val="24"/>
        </w:rPr>
        <w:t>33359</w:t>
      </w:r>
    </w:p>
    <w:p w14:paraId="12D6E679" w14:textId="77777777" w:rsidR="009260DE" w:rsidRPr="00C84483" w:rsidRDefault="009260DE" w:rsidP="009260DE">
      <w:pPr>
        <w:tabs>
          <w:tab w:val="left" w:pos="851"/>
        </w:tabs>
        <w:ind w:left="851"/>
        <w:rPr>
          <w:sz w:val="24"/>
          <w:szCs w:val="24"/>
        </w:rPr>
      </w:pPr>
    </w:p>
    <w:p w14:paraId="5954762A"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18460AAB" w14:textId="7C01AF76" w:rsidR="009260DE" w:rsidRPr="00C84483" w:rsidRDefault="00E85B2D" w:rsidP="009260DE">
      <w:pPr>
        <w:tabs>
          <w:tab w:val="left" w:pos="851"/>
        </w:tabs>
        <w:ind w:left="851"/>
        <w:rPr>
          <w:sz w:val="24"/>
          <w:szCs w:val="24"/>
        </w:rPr>
      </w:pPr>
      <w:proofErr w:type="spellStart"/>
      <w:r>
        <w:rPr>
          <w:sz w:val="24"/>
          <w:szCs w:val="24"/>
        </w:rPr>
        <w:t>Prasugrel</w:t>
      </w:r>
      <w:proofErr w:type="spellEnd"/>
      <w:r>
        <w:rPr>
          <w:sz w:val="24"/>
          <w:szCs w:val="24"/>
        </w:rPr>
        <w:t xml:space="preserve"> "</w:t>
      </w:r>
      <w:r w:rsidR="00C52F9A">
        <w:rPr>
          <w:sz w:val="24"/>
          <w:szCs w:val="24"/>
        </w:rPr>
        <w:t>G.L. Pharma</w:t>
      </w:r>
      <w:r>
        <w:rPr>
          <w:sz w:val="24"/>
          <w:szCs w:val="24"/>
        </w:rPr>
        <w:t>"</w:t>
      </w:r>
    </w:p>
    <w:p w14:paraId="5213FAB1" w14:textId="77777777" w:rsidR="009260DE" w:rsidRPr="00C84483" w:rsidRDefault="009260DE" w:rsidP="009260DE">
      <w:pPr>
        <w:tabs>
          <w:tab w:val="left" w:pos="851"/>
        </w:tabs>
        <w:ind w:left="851"/>
        <w:rPr>
          <w:sz w:val="24"/>
          <w:szCs w:val="24"/>
        </w:rPr>
      </w:pPr>
    </w:p>
    <w:p w14:paraId="63853775"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185D8666" w14:textId="77777777" w:rsidR="00E85B2D" w:rsidRDefault="00E85B2D" w:rsidP="00E85B2D">
      <w:pPr>
        <w:tabs>
          <w:tab w:val="left" w:pos="851"/>
        </w:tabs>
        <w:ind w:left="851"/>
        <w:rPr>
          <w:i/>
          <w:iCs/>
          <w:sz w:val="24"/>
          <w:szCs w:val="24"/>
        </w:rPr>
      </w:pPr>
    </w:p>
    <w:p w14:paraId="77CD2DA9" w14:textId="572727B4" w:rsidR="00E85B2D" w:rsidRPr="00C52F9A" w:rsidRDefault="00E85B2D" w:rsidP="00E85B2D">
      <w:pPr>
        <w:tabs>
          <w:tab w:val="left" w:pos="851"/>
        </w:tabs>
        <w:ind w:left="851"/>
        <w:rPr>
          <w:iCs/>
          <w:sz w:val="24"/>
          <w:szCs w:val="24"/>
          <w:u w:val="single"/>
          <w:lang w:val="en-US"/>
        </w:rPr>
      </w:pPr>
      <w:r w:rsidRPr="00C52F9A">
        <w:rPr>
          <w:iCs/>
          <w:sz w:val="24"/>
          <w:szCs w:val="24"/>
          <w:u w:val="single"/>
          <w:lang w:val="en-US"/>
        </w:rPr>
        <w:t xml:space="preserve">Prasugrel </w:t>
      </w:r>
      <w:r w:rsidR="00C52F9A" w:rsidRPr="00C52F9A">
        <w:rPr>
          <w:iCs/>
          <w:sz w:val="24"/>
          <w:szCs w:val="24"/>
          <w:u w:val="single"/>
          <w:lang w:val="en-US"/>
        </w:rPr>
        <w:t>"G.L. Pharma"</w:t>
      </w:r>
      <w:r w:rsidRPr="00C52F9A">
        <w:rPr>
          <w:iCs/>
          <w:sz w:val="24"/>
          <w:szCs w:val="24"/>
          <w:u w:val="single"/>
          <w:lang w:val="en-US"/>
        </w:rPr>
        <w:t xml:space="preserve"> 5 mg</w:t>
      </w:r>
    </w:p>
    <w:p w14:paraId="155DAB53" w14:textId="77777777" w:rsidR="00E85B2D" w:rsidRPr="00E85B2D" w:rsidRDefault="00E85B2D" w:rsidP="00E85B2D">
      <w:pPr>
        <w:tabs>
          <w:tab w:val="left" w:pos="851"/>
        </w:tabs>
        <w:ind w:left="851"/>
        <w:rPr>
          <w:sz w:val="24"/>
          <w:szCs w:val="24"/>
        </w:rPr>
      </w:pPr>
      <w:r w:rsidRPr="00E85B2D">
        <w:rPr>
          <w:sz w:val="24"/>
          <w:szCs w:val="24"/>
        </w:rPr>
        <w:t xml:space="preserve">Hver tablet indeholder 5 mg </w:t>
      </w:r>
      <w:proofErr w:type="spellStart"/>
      <w:r w:rsidRPr="00E85B2D">
        <w:rPr>
          <w:sz w:val="24"/>
          <w:szCs w:val="24"/>
        </w:rPr>
        <w:t>prasugrel</w:t>
      </w:r>
      <w:proofErr w:type="spellEnd"/>
      <w:r w:rsidRPr="00E85B2D">
        <w:rPr>
          <w:sz w:val="24"/>
          <w:szCs w:val="24"/>
        </w:rPr>
        <w:t>.</w:t>
      </w:r>
    </w:p>
    <w:p w14:paraId="45825D9A" w14:textId="77777777" w:rsidR="00E85B2D" w:rsidRPr="00E85B2D" w:rsidRDefault="00E85B2D" w:rsidP="00E85B2D">
      <w:pPr>
        <w:tabs>
          <w:tab w:val="left" w:pos="851"/>
        </w:tabs>
        <w:ind w:left="851"/>
        <w:rPr>
          <w:sz w:val="24"/>
          <w:szCs w:val="24"/>
        </w:rPr>
      </w:pPr>
    </w:p>
    <w:p w14:paraId="354DBD9B" w14:textId="43F30ADD" w:rsidR="00E85B2D" w:rsidRPr="00E85B2D" w:rsidRDefault="00E85B2D" w:rsidP="00E85B2D">
      <w:pPr>
        <w:tabs>
          <w:tab w:val="left" w:pos="851"/>
        </w:tabs>
        <w:ind w:left="851"/>
        <w:rPr>
          <w:i/>
          <w:sz w:val="24"/>
          <w:szCs w:val="24"/>
        </w:rPr>
      </w:pPr>
      <w:r w:rsidRPr="00E85B2D">
        <w:rPr>
          <w:i/>
          <w:sz w:val="24"/>
          <w:szCs w:val="24"/>
        </w:rPr>
        <w:t>Hjælpestoffer med kendt virkning</w:t>
      </w:r>
    </w:p>
    <w:p w14:paraId="026FA2ED" w14:textId="77777777" w:rsidR="00E85B2D" w:rsidRPr="00E85B2D" w:rsidRDefault="00E85B2D" w:rsidP="00E85B2D">
      <w:pPr>
        <w:tabs>
          <w:tab w:val="left" w:pos="851"/>
        </w:tabs>
        <w:ind w:left="851"/>
        <w:rPr>
          <w:sz w:val="24"/>
          <w:szCs w:val="24"/>
        </w:rPr>
      </w:pPr>
      <w:r w:rsidRPr="00E85B2D">
        <w:rPr>
          <w:sz w:val="24"/>
          <w:szCs w:val="24"/>
        </w:rPr>
        <w:t xml:space="preserve">Hver tablet indeholder 56,69 mg </w:t>
      </w:r>
      <w:proofErr w:type="spellStart"/>
      <w:r w:rsidRPr="00E85B2D">
        <w:rPr>
          <w:sz w:val="24"/>
          <w:szCs w:val="24"/>
        </w:rPr>
        <w:t>lactosemonohydrat</w:t>
      </w:r>
      <w:proofErr w:type="spellEnd"/>
      <w:r w:rsidRPr="00E85B2D">
        <w:rPr>
          <w:sz w:val="24"/>
          <w:szCs w:val="24"/>
        </w:rPr>
        <w:t xml:space="preserve"> og 0,18 mg </w:t>
      </w:r>
      <w:proofErr w:type="spellStart"/>
      <w:r w:rsidRPr="00E85B2D">
        <w:rPr>
          <w:sz w:val="24"/>
          <w:szCs w:val="24"/>
        </w:rPr>
        <w:t>saccharose</w:t>
      </w:r>
      <w:proofErr w:type="spellEnd"/>
      <w:r w:rsidRPr="00E85B2D">
        <w:rPr>
          <w:sz w:val="24"/>
          <w:szCs w:val="24"/>
        </w:rPr>
        <w:t>.</w:t>
      </w:r>
    </w:p>
    <w:p w14:paraId="0FCA19BE" w14:textId="77777777" w:rsidR="00E85B2D" w:rsidRPr="00E85B2D" w:rsidRDefault="00E85B2D" w:rsidP="00E85B2D">
      <w:pPr>
        <w:tabs>
          <w:tab w:val="left" w:pos="851"/>
        </w:tabs>
        <w:ind w:left="851"/>
        <w:rPr>
          <w:sz w:val="24"/>
          <w:szCs w:val="24"/>
        </w:rPr>
      </w:pPr>
    </w:p>
    <w:p w14:paraId="574A57FB" w14:textId="51F1BD63" w:rsidR="00E85B2D" w:rsidRPr="00C52F9A" w:rsidRDefault="00E85B2D" w:rsidP="00E85B2D">
      <w:pPr>
        <w:tabs>
          <w:tab w:val="left" w:pos="851"/>
        </w:tabs>
        <w:ind w:left="851"/>
        <w:rPr>
          <w:iCs/>
          <w:sz w:val="24"/>
          <w:szCs w:val="24"/>
          <w:u w:val="single"/>
          <w:lang w:val="en-US"/>
        </w:rPr>
      </w:pPr>
      <w:r w:rsidRPr="00C52F9A">
        <w:rPr>
          <w:iCs/>
          <w:sz w:val="24"/>
          <w:szCs w:val="24"/>
          <w:u w:val="single"/>
          <w:lang w:val="en-US"/>
        </w:rPr>
        <w:t xml:space="preserve">Prasugrel </w:t>
      </w:r>
      <w:r w:rsidR="00C52F9A" w:rsidRPr="00C52F9A">
        <w:rPr>
          <w:iCs/>
          <w:sz w:val="24"/>
          <w:szCs w:val="24"/>
          <w:u w:val="single"/>
          <w:lang w:val="en-US"/>
        </w:rPr>
        <w:t>"G.L. Pharma"</w:t>
      </w:r>
      <w:r w:rsidRPr="00C52F9A">
        <w:rPr>
          <w:iCs/>
          <w:sz w:val="24"/>
          <w:szCs w:val="24"/>
          <w:u w:val="single"/>
          <w:lang w:val="en-US"/>
        </w:rPr>
        <w:t xml:space="preserve"> 10 mg</w:t>
      </w:r>
    </w:p>
    <w:p w14:paraId="5A1E0D60" w14:textId="77777777" w:rsidR="00E85B2D" w:rsidRPr="00E85B2D" w:rsidRDefault="00E85B2D" w:rsidP="00E85B2D">
      <w:pPr>
        <w:tabs>
          <w:tab w:val="left" w:pos="851"/>
        </w:tabs>
        <w:ind w:left="851"/>
        <w:rPr>
          <w:sz w:val="24"/>
          <w:szCs w:val="24"/>
        </w:rPr>
      </w:pPr>
      <w:r w:rsidRPr="00E85B2D">
        <w:rPr>
          <w:sz w:val="24"/>
          <w:szCs w:val="24"/>
        </w:rPr>
        <w:t xml:space="preserve">Hver tablet indeholder 10 mg </w:t>
      </w:r>
      <w:proofErr w:type="spellStart"/>
      <w:r w:rsidRPr="00E85B2D">
        <w:rPr>
          <w:sz w:val="24"/>
          <w:szCs w:val="24"/>
        </w:rPr>
        <w:t>prasugrel</w:t>
      </w:r>
      <w:proofErr w:type="spellEnd"/>
      <w:r w:rsidRPr="00E85B2D">
        <w:rPr>
          <w:sz w:val="24"/>
          <w:szCs w:val="24"/>
        </w:rPr>
        <w:t>.</w:t>
      </w:r>
    </w:p>
    <w:p w14:paraId="4DF409DF" w14:textId="77777777" w:rsidR="00E85B2D" w:rsidRPr="00E85B2D" w:rsidRDefault="00E85B2D" w:rsidP="00E85B2D">
      <w:pPr>
        <w:tabs>
          <w:tab w:val="left" w:pos="851"/>
        </w:tabs>
        <w:ind w:left="851"/>
        <w:rPr>
          <w:sz w:val="24"/>
          <w:szCs w:val="24"/>
        </w:rPr>
      </w:pPr>
    </w:p>
    <w:p w14:paraId="262B7C5E" w14:textId="08EC9047" w:rsidR="00E85B2D" w:rsidRPr="00E85B2D" w:rsidRDefault="00E85B2D" w:rsidP="00E85B2D">
      <w:pPr>
        <w:tabs>
          <w:tab w:val="left" w:pos="851"/>
        </w:tabs>
        <w:ind w:left="851"/>
        <w:rPr>
          <w:i/>
          <w:sz w:val="24"/>
          <w:szCs w:val="24"/>
        </w:rPr>
      </w:pPr>
      <w:r w:rsidRPr="00E85B2D">
        <w:rPr>
          <w:i/>
          <w:sz w:val="24"/>
          <w:szCs w:val="24"/>
        </w:rPr>
        <w:t>Hjælpestoffer med kendt virkning</w:t>
      </w:r>
    </w:p>
    <w:p w14:paraId="6D4ED925" w14:textId="77777777" w:rsidR="00E85B2D" w:rsidRPr="00E85B2D" w:rsidRDefault="00E85B2D" w:rsidP="00E85B2D">
      <w:pPr>
        <w:tabs>
          <w:tab w:val="left" w:pos="851"/>
        </w:tabs>
        <w:ind w:left="851"/>
        <w:rPr>
          <w:sz w:val="24"/>
          <w:szCs w:val="24"/>
        </w:rPr>
      </w:pPr>
      <w:r w:rsidRPr="00E85B2D">
        <w:rPr>
          <w:sz w:val="24"/>
          <w:szCs w:val="24"/>
        </w:rPr>
        <w:t xml:space="preserve">Hver tablet indeholder 111,38 mg </w:t>
      </w:r>
      <w:proofErr w:type="spellStart"/>
      <w:r w:rsidRPr="00E85B2D">
        <w:rPr>
          <w:sz w:val="24"/>
          <w:szCs w:val="24"/>
        </w:rPr>
        <w:t>lactosemonohydrat</w:t>
      </w:r>
      <w:proofErr w:type="spellEnd"/>
      <w:r w:rsidRPr="00E85B2D">
        <w:rPr>
          <w:sz w:val="24"/>
          <w:szCs w:val="24"/>
        </w:rPr>
        <w:t xml:space="preserve"> og 0,36 mg </w:t>
      </w:r>
      <w:proofErr w:type="spellStart"/>
      <w:r w:rsidRPr="00E85B2D">
        <w:rPr>
          <w:sz w:val="24"/>
          <w:szCs w:val="24"/>
        </w:rPr>
        <w:t>saccharose</w:t>
      </w:r>
      <w:proofErr w:type="spellEnd"/>
      <w:r w:rsidRPr="00E85B2D">
        <w:rPr>
          <w:sz w:val="24"/>
          <w:szCs w:val="24"/>
        </w:rPr>
        <w:t>.</w:t>
      </w:r>
    </w:p>
    <w:p w14:paraId="04ED46B9" w14:textId="77777777" w:rsidR="00E85B2D" w:rsidRPr="00E85B2D" w:rsidRDefault="00E85B2D" w:rsidP="00E85B2D">
      <w:pPr>
        <w:tabs>
          <w:tab w:val="left" w:pos="851"/>
        </w:tabs>
        <w:ind w:left="851"/>
        <w:rPr>
          <w:sz w:val="24"/>
          <w:szCs w:val="24"/>
        </w:rPr>
      </w:pPr>
    </w:p>
    <w:p w14:paraId="1DBED870" w14:textId="77777777" w:rsidR="00E85B2D" w:rsidRPr="00E85B2D" w:rsidRDefault="00E85B2D" w:rsidP="00E85B2D">
      <w:pPr>
        <w:tabs>
          <w:tab w:val="left" w:pos="851"/>
        </w:tabs>
        <w:ind w:left="851"/>
        <w:rPr>
          <w:sz w:val="24"/>
          <w:szCs w:val="24"/>
        </w:rPr>
      </w:pPr>
      <w:r w:rsidRPr="00E85B2D">
        <w:rPr>
          <w:sz w:val="24"/>
          <w:szCs w:val="24"/>
        </w:rPr>
        <w:t>Alle hjælpestoffer er anført under pkt. 6.1.</w:t>
      </w:r>
    </w:p>
    <w:p w14:paraId="01D0DD61" w14:textId="77777777" w:rsidR="009260DE" w:rsidRPr="00C84483" w:rsidRDefault="009260DE" w:rsidP="009260DE">
      <w:pPr>
        <w:tabs>
          <w:tab w:val="left" w:pos="851"/>
        </w:tabs>
        <w:ind w:left="851"/>
        <w:rPr>
          <w:sz w:val="24"/>
          <w:szCs w:val="24"/>
        </w:rPr>
      </w:pPr>
    </w:p>
    <w:p w14:paraId="44C994B3"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3FCB85FB" w14:textId="21A78ABD" w:rsidR="00E85B2D" w:rsidRPr="00E85B2D" w:rsidRDefault="00E85B2D" w:rsidP="00E85B2D">
      <w:pPr>
        <w:tabs>
          <w:tab w:val="left" w:pos="851"/>
        </w:tabs>
        <w:ind w:left="851"/>
        <w:rPr>
          <w:sz w:val="24"/>
          <w:szCs w:val="24"/>
        </w:rPr>
      </w:pPr>
      <w:r w:rsidRPr="00E85B2D">
        <w:rPr>
          <w:sz w:val="24"/>
          <w:szCs w:val="24"/>
        </w:rPr>
        <w:t>Filmovertruk</w:t>
      </w:r>
      <w:r>
        <w:rPr>
          <w:sz w:val="24"/>
          <w:szCs w:val="24"/>
        </w:rPr>
        <w:t>ne tabletter</w:t>
      </w:r>
      <w:r w:rsidRPr="00E85B2D">
        <w:rPr>
          <w:sz w:val="24"/>
          <w:szCs w:val="24"/>
        </w:rPr>
        <w:t xml:space="preserve"> </w:t>
      </w:r>
    </w:p>
    <w:p w14:paraId="7DDFB9C8" w14:textId="77777777" w:rsidR="00E85B2D" w:rsidRPr="00E85B2D" w:rsidRDefault="00E85B2D" w:rsidP="00E85B2D">
      <w:pPr>
        <w:tabs>
          <w:tab w:val="left" w:pos="851"/>
        </w:tabs>
        <w:ind w:left="851"/>
        <w:rPr>
          <w:sz w:val="24"/>
          <w:szCs w:val="24"/>
        </w:rPr>
      </w:pPr>
    </w:p>
    <w:p w14:paraId="0AE7386D" w14:textId="0EA7E6E6" w:rsidR="00E85B2D" w:rsidRPr="00C52F9A" w:rsidRDefault="00E85B2D" w:rsidP="00E85B2D">
      <w:pPr>
        <w:tabs>
          <w:tab w:val="left" w:pos="851"/>
        </w:tabs>
        <w:ind w:left="851"/>
        <w:rPr>
          <w:iCs/>
          <w:sz w:val="24"/>
          <w:szCs w:val="24"/>
          <w:u w:val="single"/>
          <w:lang w:val="en-US"/>
        </w:rPr>
      </w:pPr>
      <w:r w:rsidRPr="00C52F9A">
        <w:rPr>
          <w:iCs/>
          <w:sz w:val="24"/>
          <w:szCs w:val="24"/>
          <w:u w:val="single"/>
          <w:lang w:val="en-US"/>
        </w:rPr>
        <w:t xml:space="preserve">Prasugrel </w:t>
      </w:r>
      <w:r w:rsidR="00C52F9A" w:rsidRPr="00C52F9A">
        <w:rPr>
          <w:iCs/>
          <w:sz w:val="24"/>
          <w:szCs w:val="24"/>
          <w:u w:val="single"/>
          <w:lang w:val="en-US"/>
        </w:rPr>
        <w:t>"G.L. Pharma"</w:t>
      </w:r>
      <w:r w:rsidRPr="00C52F9A">
        <w:rPr>
          <w:iCs/>
          <w:sz w:val="24"/>
          <w:szCs w:val="24"/>
          <w:u w:val="single"/>
          <w:lang w:val="en-US"/>
        </w:rPr>
        <w:t xml:space="preserve"> 5 mg</w:t>
      </w:r>
    </w:p>
    <w:p w14:paraId="636C705B" w14:textId="57759F53" w:rsidR="00E85B2D" w:rsidRPr="00E85B2D" w:rsidRDefault="00E85B2D" w:rsidP="00E85B2D">
      <w:pPr>
        <w:tabs>
          <w:tab w:val="left" w:pos="851"/>
        </w:tabs>
        <w:ind w:left="851"/>
        <w:rPr>
          <w:sz w:val="24"/>
          <w:szCs w:val="24"/>
        </w:rPr>
      </w:pPr>
      <w:r w:rsidRPr="00E85B2D">
        <w:rPr>
          <w:sz w:val="24"/>
          <w:szCs w:val="24"/>
        </w:rPr>
        <w:t>Gul, aflang (ca. 10,5 mm</w:t>
      </w:r>
      <w:r>
        <w:rPr>
          <w:sz w:val="24"/>
          <w:szCs w:val="24"/>
        </w:rPr>
        <w:t>×</w:t>
      </w:r>
      <w:r w:rsidRPr="00E85B2D">
        <w:rPr>
          <w:sz w:val="24"/>
          <w:szCs w:val="24"/>
        </w:rPr>
        <w:t xml:space="preserve">5,3 mm), </w:t>
      </w:r>
      <w:proofErr w:type="spellStart"/>
      <w:r w:rsidRPr="00E85B2D">
        <w:rPr>
          <w:sz w:val="24"/>
          <w:szCs w:val="24"/>
        </w:rPr>
        <w:t>bikonvekse</w:t>
      </w:r>
      <w:proofErr w:type="spellEnd"/>
      <w:r w:rsidRPr="00E85B2D">
        <w:rPr>
          <w:sz w:val="24"/>
          <w:szCs w:val="24"/>
        </w:rPr>
        <w:t xml:space="preserve"> tabletter præget med "F1" på den ene side. </w:t>
      </w:r>
    </w:p>
    <w:p w14:paraId="521F4D31" w14:textId="77777777" w:rsidR="00E85B2D" w:rsidRPr="00E85B2D" w:rsidRDefault="00E85B2D" w:rsidP="00E85B2D">
      <w:pPr>
        <w:tabs>
          <w:tab w:val="left" w:pos="851"/>
        </w:tabs>
        <w:ind w:left="851"/>
        <w:rPr>
          <w:sz w:val="24"/>
          <w:szCs w:val="24"/>
        </w:rPr>
      </w:pPr>
    </w:p>
    <w:p w14:paraId="15E12D7D" w14:textId="0BEF3CAF" w:rsidR="00E85B2D" w:rsidRPr="00C52F9A" w:rsidRDefault="00E85B2D" w:rsidP="00E85B2D">
      <w:pPr>
        <w:tabs>
          <w:tab w:val="left" w:pos="851"/>
        </w:tabs>
        <w:ind w:left="851"/>
        <w:rPr>
          <w:iCs/>
          <w:sz w:val="24"/>
          <w:szCs w:val="24"/>
          <w:u w:val="single"/>
          <w:lang w:val="en-US"/>
        </w:rPr>
      </w:pPr>
      <w:r w:rsidRPr="00C52F9A">
        <w:rPr>
          <w:iCs/>
          <w:sz w:val="24"/>
          <w:szCs w:val="24"/>
          <w:u w:val="single"/>
          <w:lang w:val="en-US"/>
        </w:rPr>
        <w:t xml:space="preserve">Prasugrel </w:t>
      </w:r>
      <w:r w:rsidR="00C52F9A" w:rsidRPr="00C52F9A">
        <w:rPr>
          <w:iCs/>
          <w:sz w:val="24"/>
          <w:szCs w:val="24"/>
          <w:u w:val="single"/>
          <w:lang w:val="en-US"/>
        </w:rPr>
        <w:t>"G.L. Pharma"</w:t>
      </w:r>
      <w:r w:rsidRPr="00C52F9A">
        <w:rPr>
          <w:iCs/>
          <w:sz w:val="24"/>
          <w:szCs w:val="24"/>
          <w:u w:val="single"/>
          <w:lang w:val="en-US"/>
        </w:rPr>
        <w:t xml:space="preserve"> 10 mg</w:t>
      </w:r>
    </w:p>
    <w:p w14:paraId="7A9AE255" w14:textId="01AD794B" w:rsidR="00E85B2D" w:rsidRPr="00E85B2D" w:rsidRDefault="00E85B2D" w:rsidP="00E85B2D">
      <w:pPr>
        <w:tabs>
          <w:tab w:val="left" w:pos="851"/>
        </w:tabs>
        <w:ind w:left="851"/>
        <w:rPr>
          <w:sz w:val="24"/>
          <w:szCs w:val="24"/>
        </w:rPr>
      </w:pPr>
      <w:r w:rsidRPr="00E85B2D">
        <w:rPr>
          <w:sz w:val="24"/>
          <w:szCs w:val="24"/>
        </w:rPr>
        <w:t>Orange, aflang (ca. 13,3 mm</w:t>
      </w:r>
      <w:r>
        <w:rPr>
          <w:sz w:val="24"/>
          <w:szCs w:val="24"/>
        </w:rPr>
        <w:t>×</w:t>
      </w:r>
      <w:r w:rsidRPr="00E85B2D">
        <w:rPr>
          <w:sz w:val="24"/>
          <w:szCs w:val="24"/>
        </w:rPr>
        <w:t xml:space="preserve">6,8 mm), </w:t>
      </w:r>
      <w:proofErr w:type="spellStart"/>
      <w:r w:rsidRPr="00E85B2D">
        <w:rPr>
          <w:sz w:val="24"/>
          <w:szCs w:val="24"/>
        </w:rPr>
        <w:t>bikonvekse</w:t>
      </w:r>
      <w:proofErr w:type="spellEnd"/>
      <w:r w:rsidRPr="00E85B2D">
        <w:rPr>
          <w:sz w:val="24"/>
          <w:szCs w:val="24"/>
        </w:rPr>
        <w:t xml:space="preserve"> tabletter præget med "F2" på den ene side. </w:t>
      </w:r>
    </w:p>
    <w:p w14:paraId="1D5275B2" w14:textId="77777777" w:rsidR="009260DE" w:rsidRPr="00C84483" w:rsidRDefault="009260DE" w:rsidP="009260DE">
      <w:pPr>
        <w:tabs>
          <w:tab w:val="left" w:pos="851"/>
        </w:tabs>
        <w:ind w:left="851"/>
        <w:rPr>
          <w:sz w:val="24"/>
          <w:szCs w:val="24"/>
        </w:rPr>
      </w:pPr>
    </w:p>
    <w:p w14:paraId="7F79F105" w14:textId="609123C6" w:rsidR="00E11E3E" w:rsidRDefault="00E11E3E">
      <w:pPr>
        <w:rPr>
          <w:sz w:val="24"/>
          <w:szCs w:val="24"/>
        </w:rPr>
      </w:pPr>
      <w:r>
        <w:rPr>
          <w:sz w:val="24"/>
          <w:szCs w:val="24"/>
        </w:rPr>
        <w:lastRenderedPageBreak/>
        <w:br w:type="page"/>
      </w:r>
    </w:p>
    <w:p w14:paraId="3B163F77" w14:textId="77777777" w:rsidR="009260DE" w:rsidRPr="00C84483" w:rsidRDefault="009260DE" w:rsidP="009260DE">
      <w:pPr>
        <w:tabs>
          <w:tab w:val="left" w:pos="851"/>
        </w:tabs>
        <w:ind w:left="851"/>
        <w:rPr>
          <w:sz w:val="24"/>
          <w:szCs w:val="24"/>
        </w:rPr>
      </w:pPr>
    </w:p>
    <w:p w14:paraId="04205856"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67E9971C" w14:textId="77777777" w:rsidR="009260DE" w:rsidRPr="00C84483" w:rsidRDefault="009260DE" w:rsidP="009260DE">
      <w:pPr>
        <w:tabs>
          <w:tab w:val="left" w:pos="851"/>
        </w:tabs>
        <w:ind w:left="851"/>
        <w:rPr>
          <w:b/>
          <w:sz w:val="24"/>
          <w:szCs w:val="24"/>
        </w:rPr>
      </w:pPr>
    </w:p>
    <w:p w14:paraId="0756EC09"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12A18DD4" w14:textId="04C493E5" w:rsidR="00E85B2D" w:rsidRPr="00E85B2D" w:rsidRDefault="00E85B2D" w:rsidP="00E85B2D">
      <w:pPr>
        <w:tabs>
          <w:tab w:val="left" w:pos="851"/>
        </w:tabs>
        <w:ind w:left="851"/>
        <w:rPr>
          <w:sz w:val="24"/>
          <w:szCs w:val="24"/>
        </w:rPr>
      </w:pPr>
      <w:proofErr w:type="spellStart"/>
      <w:r w:rsidRPr="00E85B2D">
        <w:rPr>
          <w:sz w:val="24"/>
          <w:szCs w:val="24"/>
        </w:rPr>
        <w:t>Prasugrel</w:t>
      </w:r>
      <w:proofErr w:type="spellEnd"/>
      <w:r w:rsidRPr="00E85B2D">
        <w:rPr>
          <w:sz w:val="24"/>
          <w:szCs w:val="24"/>
        </w:rPr>
        <w:t xml:space="preserve"> </w:t>
      </w:r>
      <w:r w:rsidR="00C52F9A">
        <w:rPr>
          <w:sz w:val="24"/>
          <w:szCs w:val="24"/>
        </w:rPr>
        <w:t>"G.L. Pharma"</w:t>
      </w:r>
      <w:r w:rsidRPr="00E85B2D">
        <w:rPr>
          <w:sz w:val="24"/>
          <w:szCs w:val="24"/>
        </w:rPr>
        <w:t xml:space="preserve"> er i kombination med acetylsalicylsyre (ASA) indiceret til forebyggelse af </w:t>
      </w:r>
      <w:proofErr w:type="spellStart"/>
      <w:r w:rsidRPr="00E85B2D">
        <w:rPr>
          <w:sz w:val="24"/>
          <w:szCs w:val="24"/>
        </w:rPr>
        <w:t>aterotrombotiske</w:t>
      </w:r>
      <w:proofErr w:type="spellEnd"/>
      <w:r w:rsidRPr="00E85B2D">
        <w:rPr>
          <w:sz w:val="24"/>
          <w:szCs w:val="24"/>
        </w:rPr>
        <w:t xml:space="preserve"> hændelser hos voksne patienter med akut </w:t>
      </w:r>
      <w:proofErr w:type="spellStart"/>
      <w:r w:rsidRPr="00E85B2D">
        <w:rPr>
          <w:sz w:val="24"/>
          <w:szCs w:val="24"/>
        </w:rPr>
        <w:t>koronarsyndrom</w:t>
      </w:r>
      <w:proofErr w:type="spellEnd"/>
      <w:r w:rsidRPr="00E85B2D">
        <w:rPr>
          <w:sz w:val="24"/>
          <w:szCs w:val="24"/>
        </w:rPr>
        <w:t xml:space="preserve"> (dvs. ustabil angina, myokardieinfarkt uden elevation af ST-segment [UA/NSTEMI] eller myokardieinfarkt [STEMI] med ST-segment elevation, som gennemgår primær eller forsinket </w:t>
      </w:r>
      <w:proofErr w:type="spellStart"/>
      <w:r w:rsidRPr="00E85B2D">
        <w:rPr>
          <w:sz w:val="24"/>
          <w:szCs w:val="24"/>
        </w:rPr>
        <w:t>perkutan</w:t>
      </w:r>
      <w:proofErr w:type="spellEnd"/>
      <w:r w:rsidRPr="00E85B2D">
        <w:rPr>
          <w:sz w:val="24"/>
          <w:szCs w:val="24"/>
        </w:rPr>
        <w:t xml:space="preserve"> </w:t>
      </w:r>
      <w:proofErr w:type="spellStart"/>
      <w:r w:rsidRPr="00E85B2D">
        <w:rPr>
          <w:sz w:val="24"/>
          <w:szCs w:val="24"/>
        </w:rPr>
        <w:t>koronarintervention</w:t>
      </w:r>
      <w:proofErr w:type="spellEnd"/>
      <w:r w:rsidRPr="00E85B2D">
        <w:rPr>
          <w:sz w:val="24"/>
          <w:szCs w:val="24"/>
        </w:rPr>
        <w:t xml:space="preserve"> (PCI).</w:t>
      </w:r>
    </w:p>
    <w:p w14:paraId="5ACABEAD" w14:textId="77777777" w:rsidR="00E85B2D" w:rsidRPr="00E85B2D" w:rsidRDefault="00E85B2D" w:rsidP="00E85B2D">
      <w:pPr>
        <w:tabs>
          <w:tab w:val="left" w:pos="851"/>
        </w:tabs>
        <w:ind w:left="851"/>
        <w:rPr>
          <w:sz w:val="24"/>
          <w:szCs w:val="24"/>
        </w:rPr>
      </w:pPr>
    </w:p>
    <w:p w14:paraId="2F01E9AF" w14:textId="77777777" w:rsidR="00E85B2D" w:rsidRPr="00E85B2D" w:rsidRDefault="00E85B2D" w:rsidP="00E85B2D">
      <w:pPr>
        <w:tabs>
          <w:tab w:val="left" w:pos="851"/>
        </w:tabs>
        <w:ind w:left="851"/>
        <w:rPr>
          <w:sz w:val="24"/>
          <w:szCs w:val="24"/>
        </w:rPr>
      </w:pPr>
      <w:r w:rsidRPr="00E85B2D">
        <w:rPr>
          <w:sz w:val="24"/>
          <w:szCs w:val="24"/>
        </w:rPr>
        <w:t>For yderligere information henvises til pkt. 5.1.</w:t>
      </w:r>
    </w:p>
    <w:p w14:paraId="0847DBE8" w14:textId="77777777" w:rsidR="009260DE" w:rsidRPr="00C84483" w:rsidRDefault="009260DE" w:rsidP="009260DE">
      <w:pPr>
        <w:tabs>
          <w:tab w:val="left" w:pos="851"/>
        </w:tabs>
        <w:ind w:left="851"/>
        <w:rPr>
          <w:sz w:val="24"/>
          <w:szCs w:val="24"/>
        </w:rPr>
      </w:pPr>
    </w:p>
    <w:p w14:paraId="47CC143E"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5B5480F2" w14:textId="77777777" w:rsidR="00E85B2D" w:rsidRPr="00E85B2D" w:rsidRDefault="00E85B2D" w:rsidP="00E85B2D">
      <w:pPr>
        <w:tabs>
          <w:tab w:val="left" w:pos="851"/>
        </w:tabs>
        <w:ind w:left="851"/>
        <w:rPr>
          <w:sz w:val="24"/>
          <w:szCs w:val="24"/>
        </w:rPr>
      </w:pPr>
    </w:p>
    <w:p w14:paraId="53E3A4DF" w14:textId="77777777" w:rsidR="00E85B2D" w:rsidRPr="00E85B2D" w:rsidRDefault="00E85B2D" w:rsidP="00E85B2D">
      <w:pPr>
        <w:tabs>
          <w:tab w:val="left" w:pos="851"/>
        </w:tabs>
        <w:ind w:left="851"/>
        <w:rPr>
          <w:sz w:val="24"/>
          <w:szCs w:val="24"/>
          <w:u w:val="single"/>
        </w:rPr>
      </w:pPr>
      <w:r w:rsidRPr="00E85B2D">
        <w:rPr>
          <w:sz w:val="24"/>
          <w:szCs w:val="24"/>
          <w:u w:val="single"/>
        </w:rPr>
        <w:t>Dosering</w:t>
      </w:r>
    </w:p>
    <w:p w14:paraId="5F38DA7F" w14:textId="77777777" w:rsidR="00E85B2D" w:rsidRPr="00E85B2D" w:rsidRDefault="00E85B2D" w:rsidP="00E85B2D">
      <w:pPr>
        <w:tabs>
          <w:tab w:val="left" w:pos="851"/>
        </w:tabs>
        <w:ind w:left="851"/>
        <w:rPr>
          <w:sz w:val="24"/>
          <w:szCs w:val="24"/>
        </w:rPr>
      </w:pPr>
    </w:p>
    <w:p w14:paraId="23233206" w14:textId="77777777" w:rsidR="00E85B2D" w:rsidRPr="00E85B2D" w:rsidRDefault="00E85B2D" w:rsidP="00E85B2D">
      <w:pPr>
        <w:tabs>
          <w:tab w:val="left" w:pos="851"/>
        </w:tabs>
        <w:ind w:left="851"/>
        <w:rPr>
          <w:i/>
          <w:iCs/>
          <w:sz w:val="24"/>
          <w:szCs w:val="24"/>
        </w:rPr>
      </w:pPr>
      <w:r w:rsidRPr="00E85B2D">
        <w:rPr>
          <w:i/>
          <w:iCs/>
          <w:sz w:val="24"/>
          <w:szCs w:val="24"/>
        </w:rPr>
        <w:t>Voksne</w:t>
      </w:r>
    </w:p>
    <w:p w14:paraId="1842DBA3" w14:textId="77777777" w:rsidR="00E85B2D" w:rsidRPr="00E85B2D" w:rsidRDefault="00E85B2D" w:rsidP="00E85B2D">
      <w:pPr>
        <w:tabs>
          <w:tab w:val="left" w:pos="851"/>
        </w:tabs>
        <w:ind w:left="851"/>
        <w:rPr>
          <w:sz w:val="24"/>
          <w:szCs w:val="24"/>
        </w:rPr>
      </w:pPr>
      <w:proofErr w:type="spellStart"/>
      <w:r w:rsidRPr="00E85B2D">
        <w:rPr>
          <w:sz w:val="24"/>
          <w:szCs w:val="24"/>
        </w:rPr>
        <w:t>Prasugrelbehandling</w:t>
      </w:r>
      <w:proofErr w:type="spellEnd"/>
      <w:r w:rsidRPr="00E85B2D">
        <w:rPr>
          <w:sz w:val="24"/>
          <w:szCs w:val="24"/>
        </w:rPr>
        <w:t xml:space="preserve"> bør initieres med en enkelt 60 mg </w:t>
      </w:r>
      <w:proofErr w:type="spellStart"/>
      <w:r w:rsidRPr="00E85B2D">
        <w:rPr>
          <w:sz w:val="24"/>
          <w:szCs w:val="24"/>
        </w:rPr>
        <w:t>loadingdosis</w:t>
      </w:r>
      <w:proofErr w:type="spellEnd"/>
      <w:r w:rsidRPr="00E85B2D">
        <w:rPr>
          <w:sz w:val="24"/>
          <w:szCs w:val="24"/>
        </w:rPr>
        <w:t xml:space="preserve"> og derpå fortsættes med 10 mg én gang daglig. Hos UA/NSTEMI-patienter, hvor </w:t>
      </w:r>
      <w:proofErr w:type="spellStart"/>
      <w:r w:rsidRPr="00E85B2D">
        <w:rPr>
          <w:sz w:val="24"/>
          <w:szCs w:val="24"/>
        </w:rPr>
        <w:t>koronarangiografi</w:t>
      </w:r>
      <w:proofErr w:type="spellEnd"/>
      <w:r w:rsidRPr="00E85B2D">
        <w:rPr>
          <w:sz w:val="24"/>
          <w:szCs w:val="24"/>
        </w:rPr>
        <w:t xml:space="preserve"> udføres indenfor 48 timer efter indlæggelse, skal </w:t>
      </w:r>
      <w:proofErr w:type="spellStart"/>
      <w:r w:rsidRPr="00E85B2D">
        <w:rPr>
          <w:sz w:val="24"/>
          <w:szCs w:val="24"/>
        </w:rPr>
        <w:t>loadingdosis</w:t>
      </w:r>
      <w:proofErr w:type="spellEnd"/>
      <w:r w:rsidRPr="00E85B2D">
        <w:rPr>
          <w:sz w:val="24"/>
          <w:szCs w:val="24"/>
        </w:rPr>
        <w:t xml:space="preserve"> først indgives på tidspunktet for PCI (se pkt. 4.4, pkt. 4.8 og pkt. 5.1).</w:t>
      </w:r>
    </w:p>
    <w:p w14:paraId="57F0AC51" w14:textId="77777777" w:rsidR="00E85B2D" w:rsidRPr="00E85B2D" w:rsidRDefault="00E85B2D" w:rsidP="00E85B2D">
      <w:pPr>
        <w:tabs>
          <w:tab w:val="left" w:pos="851"/>
        </w:tabs>
        <w:ind w:left="851"/>
        <w:rPr>
          <w:sz w:val="24"/>
          <w:szCs w:val="24"/>
        </w:rPr>
      </w:pPr>
      <w:r w:rsidRPr="00E85B2D">
        <w:rPr>
          <w:sz w:val="24"/>
          <w:szCs w:val="24"/>
        </w:rPr>
        <w:t xml:space="preserve">De patienter, der tager </w:t>
      </w:r>
      <w:proofErr w:type="spellStart"/>
      <w:r w:rsidRPr="00E85B2D">
        <w:rPr>
          <w:sz w:val="24"/>
          <w:szCs w:val="24"/>
        </w:rPr>
        <w:t>prasugrel</w:t>
      </w:r>
      <w:proofErr w:type="spellEnd"/>
      <w:r w:rsidRPr="00E85B2D">
        <w:rPr>
          <w:sz w:val="24"/>
          <w:szCs w:val="24"/>
        </w:rPr>
        <w:t>, bør også tage ASA dagligt (75 mg til 325 mg).</w:t>
      </w:r>
    </w:p>
    <w:p w14:paraId="470F90CB" w14:textId="77777777" w:rsidR="00E85B2D" w:rsidRPr="00E85B2D" w:rsidRDefault="00E85B2D" w:rsidP="00E85B2D">
      <w:pPr>
        <w:tabs>
          <w:tab w:val="left" w:pos="851"/>
        </w:tabs>
        <w:ind w:left="851"/>
        <w:rPr>
          <w:sz w:val="24"/>
          <w:szCs w:val="24"/>
        </w:rPr>
      </w:pPr>
    </w:p>
    <w:p w14:paraId="3B328EC4" w14:textId="77777777" w:rsidR="00E85B2D" w:rsidRPr="00E85B2D" w:rsidRDefault="00E85B2D" w:rsidP="00E85B2D">
      <w:pPr>
        <w:tabs>
          <w:tab w:val="left" w:pos="851"/>
        </w:tabs>
        <w:ind w:left="851"/>
        <w:rPr>
          <w:sz w:val="24"/>
          <w:szCs w:val="24"/>
        </w:rPr>
      </w:pPr>
      <w:r w:rsidRPr="00E85B2D">
        <w:rPr>
          <w:sz w:val="24"/>
          <w:szCs w:val="24"/>
        </w:rPr>
        <w:t xml:space="preserve">Hos patienter med akut </w:t>
      </w:r>
      <w:proofErr w:type="spellStart"/>
      <w:r w:rsidRPr="00E85B2D">
        <w:rPr>
          <w:sz w:val="24"/>
          <w:szCs w:val="24"/>
        </w:rPr>
        <w:t>koronarsyndrom</w:t>
      </w:r>
      <w:proofErr w:type="spellEnd"/>
      <w:r w:rsidRPr="00E85B2D">
        <w:rPr>
          <w:sz w:val="24"/>
          <w:szCs w:val="24"/>
        </w:rPr>
        <w:t xml:space="preserve"> (AKS), som gennemgår PCI, kan for tidlig </w:t>
      </w:r>
      <w:proofErr w:type="spellStart"/>
      <w:r w:rsidRPr="00E85B2D">
        <w:rPr>
          <w:sz w:val="24"/>
          <w:szCs w:val="24"/>
        </w:rPr>
        <w:t>seponering</w:t>
      </w:r>
      <w:proofErr w:type="spellEnd"/>
      <w:r w:rsidRPr="00E85B2D">
        <w:rPr>
          <w:sz w:val="24"/>
          <w:szCs w:val="24"/>
        </w:rPr>
        <w:t xml:space="preserve"> af enhver </w:t>
      </w:r>
      <w:proofErr w:type="spellStart"/>
      <w:r w:rsidRPr="00E85B2D">
        <w:rPr>
          <w:sz w:val="24"/>
          <w:szCs w:val="24"/>
        </w:rPr>
        <w:t>trombocytfunktionshæmmer</w:t>
      </w:r>
      <w:proofErr w:type="spellEnd"/>
      <w:r w:rsidRPr="00E85B2D">
        <w:rPr>
          <w:sz w:val="24"/>
          <w:szCs w:val="24"/>
        </w:rPr>
        <w:t xml:space="preserve"> inklusive </w:t>
      </w:r>
      <w:proofErr w:type="spellStart"/>
      <w:r w:rsidRPr="00E85B2D">
        <w:rPr>
          <w:sz w:val="24"/>
          <w:szCs w:val="24"/>
        </w:rPr>
        <w:t>prasugrel</w:t>
      </w:r>
      <w:proofErr w:type="spellEnd"/>
      <w:r w:rsidRPr="00E85B2D">
        <w:rPr>
          <w:sz w:val="24"/>
          <w:szCs w:val="24"/>
        </w:rPr>
        <w:t xml:space="preserve">, resultere i en øget risiko for trombose, myokardieinfarkt eller død som følge af patientens tilgrundliggende sygdom. En behandling i op til 12 måneder tilrådes, medmindre </w:t>
      </w:r>
      <w:proofErr w:type="spellStart"/>
      <w:r w:rsidRPr="00E85B2D">
        <w:rPr>
          <w:sz w:val="24"/>
          <w:szCs w:val="24"/>
        </w:rPr>
        <w:t>seponering</w:t>
      </w:r>
      <w:proofErr w:type="spellEnd"/>
      <w:r w:rsidRPr="00E85B2D">
        <w:rPr>
          <w:sz w:val="24"/>
          <w:szCs w:val="24"/>
        </w:rPr>
        <w:t xml:space="preserve"> af </w:t>
      </w:r>
      <w:proofErr w:type="spellStart"/>
      <w:r w:rsidRPr="00E85B2D">
        <w:rPr>
          <w:sz w:val="24"/>
          <w:szCs w:val="24"/>
        </w:rPr>
        <w:t>prasugrel</w:t>
      </w:r>
      <w:proofErr w:type="spellEnd"/>
      <w:r w:rsidRPr="00E85B2D">
        <w:rPr>
          <w:sz w:val="24"/>
          <w:szCs w:val="24"/>
        </w:rPr>
        <w:t xml:space="preserve"> er klinisk indiceret (se pkt. 4.4 og pkt. 5.1).</w:t>
      </w:r>
    </w:p>
    <w:p w14:paraId="1D9BD8EF" w14:textId="77777777" w:rsidR="00E85B2D" w:rsidRPr="00E85B2D" w:rsidRDefault="00E85B2D" w:rsidP="00E85B2D">
      <w:pPr>
        <w:tabs>
          <w:tab w:val="left" w:pos="851"/>
        </w:tabs>
        <w:ind w:left="851"/>
        <w:rPr>
          <w:sz w:val="24"/>
          <w:szCs w:val="24"/>
        </w:rPr>
      </w:pPr>
    </w:p>
    <w:p w14:paraId="7EDE1998" w14:textId="77777777" w:rsidR="00E85B2D" w:rsidRPr="00E85B2D" w:rsidRDefault="00E85B2D" w:rsidP="00E85B2D">
      <w:pPr>
        <w:tabs>
          <w:tab w:val="left" w:pos="851"/>
        </w:tabs>
        <w:ind w:left="851"/>
        <w:rPr>
          <w:i/>
          <w:iCs/>
          <w:sz w:val="24"/>
          <w:szCs w:val="24"/>
        </w:rPr>
      </w:pPr>
      <w:r w:rsidRPr="00E85B2D">
        <w:rPr>
          <w:i/>
          <w:iCs/>
          <w:sz w:val="24"/>
          <w:szCs w:val="24"/>
        </w:rPr>
        <w:t>Patienter ≥ 75 år</w:t>
      </w:r>
    </w:p>
    <w:p w14:paraId="2988D514" w14:textId="77777777" w:rsidR="00E85B2D" w:rsidRPr="00E85B2D" w:rsidRDefault="00E85B2D" w:rsidP="00E85B2D">
      <w:pPr>
        <w:tabs>
          <w:tab w:val="left" w:pos="851"/>
        </w:tabs>
        <w:ind w:left="851"/>
        <w:rPr>
          <w:sz w:val="24"/>
          <w:szCs w:val="24"/>
        </w:rPr>
      </w:pPr>
      <w:proofErr w:type="spellStart"/>
      <w:r w:rsidRPr="00E85B2D">
        <w:rPr>
          <w:sz w:val="24"/>
          <w:szCs w:val="24"/>
        </w:rPr>
        <w:t>Prasugrel</w:t>
      </w:r>
      <w:proofErr w:type="spellEnd"/>
      <w:r w:rsidRPr="00E85B2D">
        <w:rPr>
          <w:sz w:val="24"/>
          <w:szCs w:val="24"/>
        </w:rPr>
        <w:t xml:space="preserve"> bør normalt ikke anvendes til patienter ≥ 75 år. Hvis behandling skønnes nødvendig til patienter i aldersgruppen ≥ 75 år, efter at den ordinerende læge har foretaget en omhyggelig individuel vurdering af fordele/risici (se pkt. 4.4), bør det ordineres som en </w:t>
      </w:r>
      <w:proofErr w:type="spellStart"/>
      <w:r w:rsidRPr="00E85B2D">
        <w:rPr>
          <w:sz w:val="24"/>
          <w:szCs w:val="24"/>
        </w:rPr>
        <w:t>loadingdosis</w:t>
      </w:r>
      <w:proofErr w:type="spellEnd"/>
      <w:r w:rsidRPr="00E85B2D">
        <w:rPr>
          <w:sz w:val="24"/>
          <w:szCs w:val="24"/>
        </w:rPr>
        <w:t xml:space="preserve"> på 60 mg efterfulgt af en lavere vedligeholdelsesdosis på 5 mg. Patienter ≥ 75 år har større følsomhed overfor blødning og højere eksponering for den aktive metabolit af </w:t>
      </w:r>
      <w:proofErr w:type="spellStart"/>
      <w:r w:rsidRPr="00E85B2D">
        <w:rPr>
          <w:sz w:val="24"/>
          <w:szCs w:val="24"/>
        </w:rPr>
        <w:t>prasugrel</w:t>
      </w:r>
      <w:proofErr w:type="spellEnd"/>
      <w:r w:rsidRPr="00E85B2D">
        <w:rPr>
          <w:sz w:val="24"/>
          <w:szCs w:val="24"/>
        </w:rPr>
        <w:t xml:space="preserve"> (se pkt. 4.4, pkt. 4.8, pkt. 5.1 og pkt. 5.2).</w:t>
      </w:r>
    </w:p>
    <w:p w14:paraId="016339A9" w14:textId="77777777" w:rsidR="00E85B2D" w:rsidRPr="00E85B2D" w:rsidRDefault="00E85B2D" w:rsidP="00E85B2D">
      <w:pPr>
        <w:tabs>
          <w:tab w:val="left" w:pos="851"/>
        </w:tabs>
        <w:ind w:left="851"/>
        <w:rPr>
          <w:iCs/>
          <w:sz w:val="24"/>
          <w:szCs w:val="24"/>
        </w:rPr>
      </w:pPr>
    </w:p>
    <w:p w14:paraId="56A7B041" w14:textId="77777777" w:rsidR="00E85B2D" w:rsidRPr="00E85B2D" w:rsidRDefault="00E85B2D" w:rsidP="00E85B2D">
      <w:pPr>
        <w:tabs>
          <w:tab w:val="left" w:pos="851"/>
        </w:tabs>
        <w:ind w:left="851"/>
        <w:rPr>
          <w:i/>
          <w:iCs/>
          <w:sz w:val="24"/>
          <w:szCs w:val="24"/>
        </w:rPr>
      </w:pPr>
      <w:r w:rsidRPr="00E85B2D">
        <w:rPr>
          <w:i/>
          <w:iCs/>
          <w:sz w:val="24"/>
          <w:szCs w:val="24"/>
        </w:rPr>
        <w:t>Patienter med vægt &lt;60 kg</w:t>
      </w:r>
    </w:p>
    <w:p w14:paraId="7A219FBA" w14:textId="77777777" w:rsidR="00E85B2D" w:rsidRPr="00E85B2D" w:rsidRDefault="00E85B2D" w:rsidP="00E85B2D">
      <w:pPr>
        <w:tabs>
          <w:tab w:val="left" w:pos="851"/>
        </w:tabs>
        <w:ind w:left="851"/>
        <w:rPr>
          <w:sz w:val="24"/>
          <w:szCs w:val="24"/>
        </w:rPr>
      </w:pPr>
      <w:proofErr w:type="spellStart"/>
      <w:r w:rsidRPr="00E85B2D">
        <w:rPr>
          <w:sz w:val="24"/>
          <w:szCs w:val="24"/>
        </w:rPr>
        <w:t>Prasugrel</w:t>
      </w:r>
      <w:proofErr w:type="spellEnd"/>
      <w:r w:rsidRPr="00E85B2D">
        <w:rPr>
          <w:sz w:val="24"/>
          <w:szCs w:val="24"/>
        </w:rPr>
        <w:t xml:space="preserve"> bør gives som en enkelt 60 mg </w:t>
      </w:r>
      <w:proofErr w:type="spellStart"/>
      <w:r w:rsidRPr="00E85B2D">
        <w:rPr>
          <w:sz w:val="24"/>
          <w:szCs w:val="24"/>
        </w:rPr>
        <w:t>loadingdosis</w:t>
      </w:r>
      <w:proofErr w:type="spellEnd"/>
      <w:r w:rsidRPr="00E85B2D">
        <w:rPr>
          <w:sz w:val="24"/>
          <w:szCs w:val="24"/>
        </w:rPr>
        <w:t xml:space="preserve"> og derpå fortsættes med en dosis på 5 mg én gang dagligt. 10 mg som vedligeholdelsesdosis bør ikke anvendes. Dette skyldes en forøget eksponering for den aktive metabolit af </w:t>
      </w:r>
      <w:proofErr w:type="spellStart"/>
      <w:r w:rsidRPr="00E85B2D">
        <w:rPr>
          <w:sz w:val="24"/>
          <w:szCs w:val="24"/>
        </w:rPr>
        <w:t>prasugrel</w:t>
      </w:r>
      <w:proofErr w:type="spellEnd"/>
      <w:r w:rsidRPr="00E85B2D">
        <w:rPr>
          <w:sz w:val="24"/>
          <w:szCs w:val="24"/>
        </w:rPr>
        <w:t xml:space="preserve"> og en øget blødningsrisiko hos patienter med legemsvægt &lt;60 kg, når der gives en dosis på 10 mg én gang dagligt sammenlignet med patienter ≥60 kg (se pkt. 4.4, pkt. 4.8 og pkt. 5.2).</w:t>
      </w:r>
    </w:p>
    <w:p w14:paraId="76F9A05F" w14:textId="77777777" w:rsidR="00E85B2D" w:rsidRPr="00E85B2D" w:rsidRDefault="00E85B2D" w:rsidP="00E85B2D">
      <w:pPr>
        <w:tabs>
          <w:tab w:val="left" w:pos="851"/>
        </w:tabs>
        <w:ind w:left="851"/>
        <w:rPr>
          <w:iCs/>
          <w:sz w:val="24"/>
          <w:szCs w:val="24"/>
        </w:rPr>
      </w:pPr>
    </w:p>
    <w:p w14:paraId="618A5BD0" w14:textId="77777777" w:rsidR="00E85B2D" w:rsidRPr="00E85B2D" w:rsidRDefault="00E85B2D" w:rsidP="00E85B2D">
      <w:pPr>
        <w:tabs>
          <w:tab w:val="left" w:pos="851"/>
        </w:tabs>
        <w:ind w:left="851"/>
        <w:rPr>
          <w:i/>
          <w:iCs/>
          <w:sz w:val="24"/>
          <w:szCs w:val="24"/>
        </w:rPr>
      </w:pPr>
      <w:r w:rsidRPr="00E85B2D">
        <w:rPr>
          <w:i/>
          <w:iCs/>
          <w:sz w:val="24"/>
          <w:szCs w:val="24"/>
        </w:rPr>
        <w:t>Nedsat nyrefunktion</w:t>
      </w:r>
    </w:p>
    <w:p w14:paraId="13F12BC8" w14:textId="77777777" w:rsidR="00E85B2D" w:rsidRPr="00E85B2D" w:rsidRDefault="00E85B2D" w:rsidP="00E85B2D">
      <w:pPr>
        <w:tabs>
          <w:tab w:val="left" w:pos="851"/>
        </w:tabs>
        <w:ind w:left="851"/>
        <w:rPr>
          <w:sz w:val="24"/>
          <w:szCs w:val="24"/>
        </w:rPr>
      </w:pPr>
      <w:r w:rsidRPr="00E85B2D">
        <w:rPr>
          <w:sz w:val="24"/>
          <w:szCs w:val="24"/>
        </w:rPr>
        <w:t>Det er ikke nødvendigt at justere dosis hos patienter med nedsat nyrefunktion, herunder patienter med nyresygdom i slutstadiet (se pkt. 5.2). Der er begrænset terapeutisk erfaring hos patienter med nedsat nyrefunktion (se pkt. 4.4).</w:t>
      </w:r>
    </w:p>
    <w:p w14:paraId="26295CBE" w14:textId="5F8D9E95" w:rsidR="00E11E3E" w:rsidRDefault="00E11E3E">
      <w:pPr>
        <w:rPr>
          <w:iCs/>
          <w:sz w:val="24"/>
          <w:szCs w:val="24"/>
        </w:rPr>
      </w:pPr>
      <w:r>
        <w:rPr>
          <w:iCs/>
          <w:sz w:val="24"/>
          <w:szCs w:val="24"/>
        </w:rPr>
        <w:br w:type="page"/>
      </w:r>
    </w:p>
    <w:p w14:paraId="5709989D" w14:textId="77777777" w:rsidR="00E85B2D" w:rsidRPr="00E85B2D" w:rsidRDefault="00E85B2D" w:rsidP="00E85B2D">
      <w:pPr>
        <w:tabs>
          <w:tab w:val="left" w:pos="851"/>
        </w:tabs>
        <w:ind w:left="851"/>
        <w:rPr>
          <w:iCs/>
          <w:sz w:val="24"/>
          <w:szCs w:val="24"/>
        </w:rPr>
      </w:pPr>
    </w:p>
    <w:p w14:paraId="1BD7AAA2" w14:textId="77777777" w:rsidR="00E85B2D" w:rsidRPr="00E85B2D" w:rsidRDefault="00E85B2D" w:rsidP="00E85B2D">
      <w:pPr>
        <w:tabs>
          <w:tab w:val="left" w:pos="851"/>
        </w:tabs>
        <w:ind w:left="851"/>
        <w:rPr>
          <w:i/>
          <w:iCs/>
          <w:sz w:val="24"/>
          <w:szCs w:val="24"/>
        </w:rPr>
      </w:pPr>
      <w:r w:rsidRPr="00E85B2D">
        <w:rPr>
          <w:i/>
          <w:iCs/>
          <w:sz w:val="24"/>
          <w:szCs w:val="24"/>
        </w:rPr>
        <w:t>Nedsat leverfunktion</w:t>
      </w:r>
    </w:p>
    <w:p w14:paraId="3BB9D8E0" w14:textId="31AD77D1" w:rsidR="00E85B2D" w:rsidRPr="00E85B2D" w:rsidRDefault="00E85B2D" w:rsidP="00E85B2D">
      <w:pPr>
        <w:tabs>
          <w:tab w:val="left" w:pos="851"/>
        </w:tabs>
        <w:ind w:left="851"/>
        <w:rPr>
          <w:sz w:val="24"/>
          <w:szCs w:val="24"/>
        </w:rPr>
      </w:pPr>
      <w:r w:rsidRPr="00E85B2D">
        <w:rPr>
          <w:sz w:val="24"/>
          <w:szCs w:val="24"/>
        </w:rPr>
        <w:lastRenderedPageBreak/>
        <w:t xml:space="preserve">Der er ikke nødvendigt at justere dosis hos patienter med mild til moderat nedsat leverfunktion (Child </w:t>
      </w:r>
      <w:proofErr w:type="spellStart"/>
      <w:r w:rsidRPr="00E85B2D">
        <w:rPr>
          <w:sz w:val="24"/>
          <w:szCs w:val="24"/>
        </w:rPr>
        <w:t>Pugh</w:t>
      </w:r>
      <w:proofErr w:type="spellEnd"/>
      <w:r w:rsidRPr="00E85B2D">
        <w:rPr>
          <w:sz w:val="24"/>
          <w:szCs w:val="24"/>
        </w:rPr>
        <w:t xml:space="preserve">-klasse A og B) (se pkt. 5.2). Der er begrænset terapeutisk erfaring hos patienter med mild til moderat </w:t>
      </w:r>
      <w:proofErr w:type="spellStart"/>
      <w:r w:rsidRPr="00E85B2D">
        <w:rPr>
          <w:sz w:val="24"/>
          <w:szCs w:val="24"/>
        </w:rPr>
        <w:t>hepatisk</w:t>
      </w:r>
      <w:proofErr w:type="spellEnd"/>
      <w:r w:rsidRPr="00E85B2D">
        <w:rPr>
          <w:sz w:val="24"/>
          <w:szCs w:val="24"/>
        </w:rPr>
        <w:t xml:space="preserve"> leverinsufficiens (se pkt. 4.4). </w:t>
      </w:r>
      <w:proofErr w:type="spellStart"/>
      <w:r w:rsidRPr="00E85B2D">
        <w:rPr>
          <w:sz w:val="24"/>
          <w:szCs w:val="24"/>
        </w:rPr>
        <w:t>Prasugrel</w:t>
      </w:r>
      <w:proofErr w:type="spellEnd"/>
      <w:r w:rsidRPr="00E85B2D">
        <w:rPr>
          <w:sz w:val="24"/>
          <w:szCs w:val="24"/>
        </w:rPr>
        <w:t xml:space="preserve"> er kontraindiceret til patienter med svært nedsat leverfunktion (Child </w:t>
      </w:r>
      <w:proofErr w:type="spellStart"/>
      <w:r w:rsidRPr="00E85B2D">
        <w:rPr>
          <w:sz w:val="24"/>
          <w:szCs w:val="24"/>
        </w:rPr>
        <w:t>Pugh</w:t>
      </w:r>
      <w:proofErr w:type="spellEnd"/>
      <w:r w:rsidR="00E11E3E">
        <w:rPr>
          <w:sz w:val="24"/>
          <w:szCs w:val="24"/>
        </w:rPr>
        <w:t>-</w:t>
      </w:r>
      <w:r w:rsidRPr="00E85B2D">
        <w:rPr>
          <w:sz w:val="24"/>
          <w:szCs w:val="24"/>
        </w:rPr>
        <w:t>klasse C).</w:t>
      </w:r>
    </w:p>
    <w:p w14:paraId="63C1E2EA" w14:textId="77777777" w:rsidR="00E85B2D" w:rsidRPr="00E85B2D" w:rsidRDefault="00E85B2D" w:rsidP="00E85B2D">
      <w:pPr>
        <w:tabs>
          <w:tab w:val="left" w:pos="851"/>
        </w:tabs>
        <w:ind w:left="851"/>
        <w:rPr>
          <w:sz w:val="24"/>
          <w:szCs w:val="24"/>
        </w:rPr>
      </w:pPr>
    </w:p>
    <w:p w14:paraId="202B072C" w14:textId="77777777" w:rsidR="00E85B2D" w:rsidRPr="00E85B2D" w:rsidRDefault="00E85B2D" w:rsidP="00E85B2D">
      <w:pPr>
        <w:tabs>
          <w:tab w:val="left" w:pos="851"/>
        </w:tabs>
        <w:ind w:left="851"/>
        <w:rPr>
          <w:i/>
          <w:sz w:val="24"/>
          <w:szCs w:val="24"/>
        </w:rPr>
      </w:pPr>
      <w:r w:rsidRPr="00E85B2D">
        <w:rPr>
          <w:i/>
          <w:iCs/>
          <w:sz w:val="24"/>
          <w:szCs w:val="24"/>
        </w:rPr>
        <w:t>Pædiatrisk population</w:t>
      </w:r>
    </w:p>
    <w:p w14:paraId="2DBEE67F" w14:textId="77777777" w:rsidR="00E85B2D" w:rsidRPr="00E85B2D" w:rsidRDefault="00E85B2D" w:rsidP="00E85B2D">
      <w:pPr>
        <w:tabs>
          <w:tab w:val="left" w:pos="851"/>
        </w:tabs>
        <w:ind w:left="851"/>
        <w:rPr>
          <w:sz w:val="24"/>
          <w:szCs w:val="24"/>
        </w:rPr>
      </w:pPr>
      <w:r w:rsidRPr="00E85B2D">
        <w:rPr>
          <w:sz w:val="24"/>
          <w:szCs w:val="24"/>
        </w:rPr>
        <w:t xml:space="preserve">Sikkerhed og virkning af </w:t>
      </w:r>
      <w:proofErr w:type="spellStart"/>
      <w:r w:rsidRPr="00E85B2D">
        <w:rPr>
          <w:sz w:val="24"/>
          <w:szCs w:val="24"/>
        </w:rPr>
        <w:t>prasugrel</w:t>
      </w:r>
      <w:proofErr w:type="spellEnd"/>
      <w:r w:rsidRPr="00E85B2D">
        <w:rPr>
          <w:sz w:val="24"/>
          <w:szCs w:val="24"/>
        </w:rPr>
        <w:t xml:space="preserve"> hos børn under 18 år er ikke klarlagt. Tilgængelige data vedrørende børn med seglcelleanæmi er begrænsede (se pkt. 5.1).</w:t>
      </w:r>
    </w:p>
    <w:p w14:paraId="0F9D62DE" w14:textId="77777777" w:rsidR="00E85B2D" w:rsidRPr="00E85B2D" w:rsidRDefault="00E85B2D" w:rsidP="00E85B2D">
      <w:pPr>
        <w:tabs>
          <w:tab w:val="left" w:pos="851"/>
        </w:tabs>
        <w:ind w:left="851"/>
        <w:rPr>
          <w:iCs/>
          <w:sz w:val="24"/>
          <w:szCs w:val="24"/>
        </w:rPr>
      </w:pPr>
    </w:p>
    <w:p w14:paraId="23E69220" w14:textId="77777777" w:rsidR="00E85B2D" w:rsidRPr="00E85B2D" w:rsidRDefault="00E85B2D" w:rsidP="00E85B2D">
      <w:pPr>
        <w:tabs>
          <w:tab w:val="left" w:pos="851"/>
        </w:tabs>
        <w:ind w:left="851"/>
        <w:rPr>
          <w:iCs/>
          <w:sz w:val="24"/>
          <w:szCs w:val="24"/>
          <w:u w:val="single"/>
        </w:rPr>
      </w:pPr>
      <w:r w:rsidRPr="00E85B2D">
        <w:rPr>
          <w:iCs/>
          <w:sz w:val="24"/>
          <w:szCs w:val="24"/>
          <w:u w:val="single"/>
        </w:rPr>
        <w:t>Administration</w:t>
      </w:r>
    </w:p>
    <w:p w14:paraId="5F80A74C" w14:textId="00BFDBA9" w:rsidR="00E85B2D" w:rsidRPr="00E85B2D" w:rsidRDefault="00E85B2D" w:rsidP="00E85B2D">
      <w:pPr>
        <w:tabs>
          <w:tab w:val="left" w:pos="851"/>
        </w:tabs>
        <w:ind w:left="851"/>
        <w:rPr>
          <w:sz w:val="24"/>
          <w:szCs w:val="24"/>
        </w:rPr>
      </w:pPr>
      <w:proofErr w:type="spellStart"/>
      <w:r w:rsidRPr="00E85B2D">
        <w:rPr>
          <w:sz w:val="24"/>
          <w:szCs w:val="24"/>
        </w:rPr>
        <w:t>Prasugrel</w:t>
      </w:r>
      <w:proofErr w:type="spellEnd"/>
      <w:r w:rsidRPr="00E85B2D">
        <w:rPr>
          <w:sz w:val="24"/>
          <w:szCs w:val="24"/>
        </w:rPr>
        <w:t xml:space="preserve"> </w:t>
      </w:r>
      <w:r w:rsidR="00C52F9A">
        <w:rPr>
          <w:sz w:val="24"/>
          <w:szCs w:val="24"/>
        </w:rPr>
        <w:t>"G.L. Pharma"</w:t>
      </w:r>
      <w:r w:rsidRPr="00E85B2D">
        <w:rPr>
          <w:sz w:val="24"/>
          <w:szCs w:val="24"/>
        </w:rPr>
        <w:t xml:space="preserve"> er til oral brug. Det kan administreres med eller uden føde. Administration af 60 mg </w:t>
      </w:r>
      <w:proofErr w:type="spellStart"/>
      <w:r w:rsidRPr="00E85B2D">
        <w:rPr>
          <w:sz w:val="24"/>
          <w:szCs w:val="24"/>
        </w:rPr>
        <w:t>prasugrel</w:t>
      </w:r>
      <w:proofErr w:type="spellEnd"/>
      <w:r w:rsidRPr="00E85B2D">
        <w:rPr>
          <w:sz w:val="24"/>
          <w:szCs w:val="24"/>
        </w:rPr>
        <w:t xml:space="preserve"> </w:t>
      </w:r>
      <w:proofErr w:type="spellStart"/>
      <w:r w:rsidRPr="00E85B2D">
        <w:rPr>
          <w:sz w:val="24"/>
          <w:szCs w:val="24"/>
        </w:rPr>
        <w:t>loadingdosis</w:t>
      </w:r>
      <w:proofErr w:type="spellEnd"/>
      <w:r w:rsidRPr="00E85B2D">
        <w:rPr>
          <w:sz w:val="24"/>
          <w:szCs w:val="24"/>
        </w:rPr>
        <w:t xml:space="preserve"> ved faste kan give den hurtigst indsættende virkning (se pkt. 5.2). </w:t>
      </w:r>
      <w:bookmarkStart w:id="1" w:name="_Hlk145335314"/>
      <w:r w:rsidRPr="00E85B2D">
        <w:rPr>
          <w:sz w:val="24"/>
          <w:szCs w:val="24"/>
        </w:rPr>
        <w:t>Undgå at knuse eller knække tabletten.</w:t>
      </w:r>
      <w:bookmarkEnd w:id="1"/>
    </w:p>
    <w:p w14:paraId="34438984" w14:textId="77777777" w:rsidR="009260DE" w:rsidRPr="00C84483" w:rsidRDefault="009260DE" w:rsidP="009260DE">
      <w:pPr>
        <w:tabs>
          <w:tab w:val="left" w:pos="851"/>
        </w:tabs>
        <w:ind w:left="851"/>
        <w:rPr>
          <w:sz w:val="24"/>
          <w:szCs w:val="24"/>
        </w:rPr>
      </w:pPr>
    </w:p>
    <w:p w14:paraId="1DFF51F7"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22FBBEED" w14:textId="77777777" w:rsidR="00E85B2D" w:rsidRPr="00E85B2D" w:rsidRDefault="00E85B2D" w:rsidP="00E85B2D">
      <w:pPr>
        <w:tabs>
          <w:tab w:val="left" w:pos="851"/>
        </w:tabs>
        <w:ind w:left="851"/>
        <w:rPr>
          <w:sz w:val="24"/>
          <w:szCs w:val="24"/>
        </w:rPr>
      </w:pPr>
      <w:r w:rsidRPr="00E85B2D">
        <w:rPr>
          <w:sz w:val="24"/>
          <w:szCs w:val="24"/>
        </w:rPr>
        <w:t xml:space="preserve">Overfølsomhed over for det aktive stof eller over for et eller flere af hjælpestofferne anført i pkt. 6.1. </w:t>
      </w:r>
    </w:p>
    <w:p w14:paraId="2ED85EEB" w14:textId="77777777" w:rsidR="00E85B2D" w:rsidRPr="00E85B2D" w:rsidRDefault="00E85B2D" w:rsidP="00E85B2D">
      <w:pPr>
        <w:tabs>
          <w:tab w:val="left" w:pos="851"/>
        </w:tabs>
        <w:ind w:left="851"/>
        <w:rPr>
          <w:sz w:val="24"/>
          <w:szCs w:val="24"/>
        </w:rPr>
      </w:pPr>
      <w:r w:rsidRPr="00E85B2D">
        <w:rPr>
          <w:sz w:val="24"/>
          <w:szCs w:val="24"/>
        </w:rPr>
        <w:t>Aktiv patologisk blødning.</w:t>
      </w:r>
    </w:p>
    <w:p w14:paraId="3DBE2886" w14:textId="77777777" w:rsidR="00E85B2D" w:rsidRPr="00E85B2D" w:rsidRDefault="00E85B2D" w:rsidP="00E85B2D">
      <w:pPr>
        <w:tabs>
          <w:tab w:val="left" w:pos="851"/>
        </w:tabs>
        <w:ind w:left="851"/>
        <w:rPr>
          <w:sz w:val="24"/>
          <w:szCs w:val="24"/>
        </w:rPr>
      </w:pPr>
      <w:r w:rsidRPr="00E85B2D">
        <w:rPr>
          <w:sz w:val="24"/>
          <w:szCs w:val="24"/>
        </w:rPr>
        <w:t xml:space="preserve">Tidligere tilfælde af slagtilfælde eller transitorisk iskæmisk attak (TIA). </w:t>
      </w:r>
    </w:p>
    <w:p w14:paraId="43257DA3" w14:textId="77777777" w:rsidR="00E85B2D" w:rsidRPr="00E85B2D" w:rsidRDefault="00E85B2D" w:rsidP="00E85B2D">
      <w:pPr>
        <w:tabs>
          <w:tab w:val="left" w:pos="851"/>
        </w:tabs>
        <w:ind w:left="851"/>
        <w:rPr>
          <w:sz w:val="24"/>
          <w:szCs w:val="24"/>
        </w:rPr>
      </w:pPr>
      <w:r w:rsidRPr="00E85B2D">
        <w:rPr>
          <w:sz w:val="24"/>
          <w:szCs w:val="24"/>
        </w:rPr>
        <w:t xml:space="preserve">Svært nedsat leverfunktion (Child </w:t>
      </w:r>
      <w:proofErr w:type="spellStart"/>
      <w:r w:rsidRPr="00E85B2D">
        <w:rPr>
          <w:sz w:val="24"/>
          <w:szCs w:val="24"/>
        </w:rPr>
        <w:t>Pugh</w:t>
      </w:r>
      <w:proofErr w:type="spellEnd"/>
      <w:r w:rsidRPr="00E85B2D">
        <w:rPr>
          <w:sz w:val="24"/>
          <w:szCs w:val="24"/>
        </w:rPr>
        <w:t>-klasse C).</w:t>
      </w:r>
    </w:p>
    <w:p w14:paraId="5A3E23A8" w14:textId="77777777" w:rsidR="009260DE" w:rsidRPr="00C84483" w:rsidRDefault="009260DE" w:rsidP="009260DE">
      <w:pPr>
        <w:tabs>
          <w:tab w:val="left" w:pos="851"/>
        </w:tabs>
        <w:ind w:left="851"/>
        <w:rPr>
          <w:sz w:val="24"/>
          <w:szCs w:val="24"/>
        </w:rPr>
      </w:pPr>
    </w:p>
    <w:p w14:paraId="1CEABD33"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7FE641AF" w14:textId="77777777" w:rsidR="00E85B2D" w:rsidRPr="00E85B2D" w:rsidRDefault="00E85B2D" w:rsidP="00E85B2D">
      <w:pPr>
        <w:tabs>
          <w:tab w:val="left" w:pos="851"/>
        </w:tabs>
        <w:ind w:left="851"/>
        <w:rPr>
          <w:sz w:val="24"/>
          <w:szCs w:val="24"/>
        </w:rPr>
      </w:pPr>
    </w:p>
    <w:p w14:paraId="3F72D92D" w14:textId="77777777" w:rsidR="00E85B2D" w:rsidRPr="00E85B2D" w:rsidRDefault="00E85B2D" w:rsidP="00E85B2D">
      <w:pPr>
        <w:tabs>
          <w:tab w:val="left" w:pos="851"/>
        </w:tabs>
        <w:ind w:left="851"/>
        <w:rPr>
          <w:i/>
          <w:iCs/>
          <w:sz w:val="24"/>
          <w:szCs w:val="24"/>
        </w:rPr>
      </w:pPr>
      <w:r w:rsidRPr="00E85B2D">
        <w:rPr>
          <w:i/>
          <w:iCs/>
          <w:sz w:val="24"/>
          <w:szCs w:val="24"/>
        </w:rPr>
        <w:t>Blødningsrisiko</w:t>
      </w:r>
    </w:p>
    <w:p w14:paraId="34025DE7" w14:textId="77777777" w:rsidR="00E85B2D" w:rsidRPr="00E85B2D" w:rsidRDefault="00E85B2D" w:rsidP="00E85B2D">
      <w:pPr>
        <w:tabs>
          <w:tab w:val="left" w:pos="851"/>
        </w:tabs>
        <w:ind w:left="851"/>
        <w:rPr>
          <w:sz w:val="24"/>
          <w:szCs w:val="24"/>
          <w:lang w:val="en-GB"/>
        </w:rPr>
      </w:pPr>
      <w:r w:rsidRPr="00E85B2D">
        <w:rPr>
          <w:sz w:val="24"/>
          <w:szCs w:val="24"/>
        </w:rPr>
        <w:t xml:space="preserve">I det kliniske fase 3-studie (TRITON) omfattede hovedeksklusionskriterierne en øget risiko for blødning, anæmi, </w:t>
      </w:r>
      <w:proofErr w:type="spellStart"/>
      <w:r w:rsidRPr="00E85B2D">
        <w:rPr>
          <w:sz w:val="24"/>
          <w:szCs w:val="24"/>
        </w:rPr>
        <w:t>trombocytopeni</w:t>
      </w:r>
      <w:proofErr w:type="spellEnd"/>
      <w:r w:rsidRPr="00E85B2D">
        <w:rPr>
          <w:sz w:val="24"/>
          <w:szCs w:val="24"/>
        </w:rPr>
        <w:t xml:space="preserve"> og tidligere patologiske </w:t>
      </w:r>
      <w:proofErr w:type="spellStart"/>
      <w:r w:rsidRPr="00E85B2D">
        <w:rPr>
          <w:sz w:val="24"/>
          <w:szCs w:val="24"/>
        </w:rPr>
        <w:t>intrakranielle</w:t>
      </w:r>
      <w:proofErr w:type="spellEnd"/>
      <w:r w:rsidRPr="00E85B2D">
        <w:rPr>
          <w:sz w:val="24"/>
          <w:szCs w:val="24"/>
        </w:rPr>
        <w:t xml:space="preserve"> fund. De patienter med akut </w:t>
      </w:r>
      <w:proofErr w:type="spellStart"/>
      <w:r w:rsidRPr="00E85B2D">
        <w:rPr>
          <w:sz w:val="24"/>
          <w:szCs w:val="24"/>
        </w:rPr>
        <w:t>koronarsyndrom</w:t>
      </w:r>
      <w:proofErr w:type="spellEnd"/>
      <w:r w:rsidRPr="00E85B2D">
        <w:rPr>
          <w:sz w:val="24"/>
          <w:szCs w:val="24"/>
        </w:rPr>
        <w:t xml:space="preserve">, som gennemgik PCI og blev behandlet med </w:t>
      </w:r>
      <w:proofErr w:type="spellStart"/>
      <w:r w:rsidRPr="00E85B2D">
        <w:rPr>
          <w:sz w:val="24"/>
          <w:szCs w:val="24"/>
        </w:rPr>
        <w:t>prasugrel</w:t>
      </w:r>
      <w:proofErr w:type="spellEnd"/>
      <w:r w:rsidRPr="00E85B2D">
        <w:rPr>
          <w:sz w:val="24"/>
          <w:szCs w:val="24"/>
        </w:rPr>
        <w:t xml:space="preserve"> og ASA, viste en øget risiko for større og mindre blødning i henhold til TIMI-klassifikationssystemet. Brugen af </w:t>
      </w:r>
      <w:proofErr w:type="spellStart"/>
      <w:r w:rsidRPr="00E85B2D">
        <w:rPr>
          <w:sz w:val="24"/>
          <w:szCs w:val="24"/>
        </w:rPr>
        <w:t>prasugrel</w:t>
      </w:r>
      <w:proofErr w:type="spellEnd"/>
      <w:r w:rsidRPr="00E85B2D">
        <w:rPr>
          <w:sz w:val="24"/>
          <w:szCs w:val="24"/>
        </w:rPr>
        <w:t xml:space="preserve"> til patienter med øget risiko for blødning bør derfor kun overvejes, når fordelene i form af forebyggelse af iskæmiske tilfælde vurderes at opveje risikoen for alvorlige blødninger. Denne overvejelse vedrører især følgende patienter:</w:t>
      </w:r>
    </w:p>
    <w:p w14:paraId="59D9367E" w14:textId="77777777" w:rsidR="00E85B2D" w:rsidRPr="00E85B2D" w:rsidRDefault="00E85B2D" w:rsidP="00E85B2D">
      <w:pPr>
        <w:numPr>
          <w:ilvl w:val="0"/>
          <w:numId w:val="6"/>
        </w:numPr>
        <w:tabs>
          <w:tab w:val="left" w:pos="851"/>
        </w:tabs>
        <w:ind w:left="1134" w:hanging="283"/>
        <w:rPr>
          <w:sz w:val="24"/>
          <w:szCs w:val="24"/>
          <w:lang w:val="en-US"/>
        </w:rPr>
      </w:pPr>
      <w:r w:rsidRPr="00E85B2D">
        <w:rPr>
          <w:sz w:val="24"/>
          <w:szCs w:val="24"/>
        </w:rPr>
        <w:t>≥ 75 år (se nedenfor).</w:t>
      </w:r>
    </w:p>
    <w:p w14:paraId="7D0C55DD" w14:textId="77777777" w:rsidR="00E85B2D" w:rsidRPr="00E85B2D" w:rsidRDefault="00E85B2D" w:rsidP="00E85B2D">
      <w:pPr>
        <w:numPr>
          <w:ilvl w:val="0"/>
          <w:numId w:val="6"/>
        </w:numPr>
        <w:tabs>
          <w:tab w:val="left" w:pos="851"/>
        </w:tabs>
        <w:ind w:left="1134" w:hanging="283"/>
        <w:rPr>
          <w:sz w:val="24"/>
          <w:szCs w:val="24"/>
        </w:rPr>
      </w:pPr>
      <w:r w:rsidRPr="00E85B2D">
        <w:rPr>
          <w:sz w:val="24"/>
          <w:szCs w:val="24"/>
        </w:rPr>
        <w:t xml:space="preserve">med en tendens til at bløde (f.eks. på grund af nyligt traume, nylig kirurgi, nylig eller tilbagevendende </w:t>
      </w:r>
      <w:proofErr w:type="spellStart"/>
      <w:r w:rsidRPr="00E85B2D">
        <w:rPr>
          <w:sz w:val="24"/>
          <w:szCs w:val="24"/>
        </w:rPr>
        <w:t>gastrointestinal</w:t>
      </w:r>
      <w:proofErr w:type="spellEnd"/>
      <w:r w:rsidRPr="00E85B2D">
        <w:rPr>
          <w:sz w:val="24"/>
          <w:szCs w:val="24"/>
        </w:rPr>
        <w:t xml:space="preserve"> blødning eller aktiv mavesårssygdom)</w:t>
      </w:r>
    </w:p>
    <w:p w14:paraId="5D46F42C" w14:textId="77777777" w:rsidR="00E85B2D" w:rsidRPr="00E85B2D" w:rsidRDefault="00E85B2D" w:rsidP="00E85B2D">
      <w:pPr>
        <w:numPr>
          <w:ilvl w:val="0"/>
          <w:numId w:val="6"/>
        </w:numPr>
        <w:tabs>
          <w:tab w:val="left" w:pos="851"/>
        </w:tabs>
        <w:ind w:left="1134" w:hanging="283"/>
        <w:rPr>
          <w:sz w:val="24"/>
          <w:szCs w:val="24"/>
          <w:lang w:val="en-US"/>
        </w:rPr>
      </w:pPr>
      <w:r w:rsidRPr="00E85B2D">
        <w:rPr>
          <w:sz w:val="24"/>
          <w:szCs w:val="24"/>
        </w:rPr>
        <w:t>med legemsvægt &lt;60 kg (se pkt. 4.2 og 4.8). 10 mg vedligeholdelsesdosis frarådes til disse patienter. Der bør anvendes en vedligeholdelsesdosis på 5 mg.</w:t>
      </w:r>
    </w:p>
    <w:p w14:paraId="0612239D" w14:textId="77777777" w:rsidR="00E85B2D" w:rsidRPr="00E85B2D" w:rsidRDefault="00E85B2D" w:rsidP="00E85B2D">
      <w:pPr>
        <w:numPr>
          <w:ilvl w:val="0"/>
          <w:numId w:val="6"/>
        </w:numPr>
        <w:tabs>
          <w:tab w:val="left" w:pos="851"/>
        </w:tabs>
        <w:ind w:left="1134" w:hanging="283"/>
        <w:rPr>
          <w:sz w:val="24"/>
          <w:szCs w:val="24"/>
        </w:rPr>
      </w:pPr>
      <w:r w:rsidRPr="00E85B2D">
        <w:rPr>
          <w:sz w:val="24"/>
          <w:szCs w:val="24"/>
        </w:rPr>
        <w:t xml:space="preserve">ved samtidig administration af lægemidler, som kan øge blødningsrisikoen, herunder orale </w:t>
      </w:r>
      <w:proofErr w:type="spellStart"/>
      <w:r w:rsidRPr="00E85B2D">
        <w:rPr>
          <w:sz w:val="24"/>
          <w:szCs w:val="24"/>
        </w:rPr>
        <w:t>antikoagulantia</w:t>
      </w:r>
      <w:proofErr w:type="spellEnd"/>
      <w:r w:rsidRPr="00E85B2D">
        <w:rPr>
          <w:sz w:val="24"/>
          <w:szCs w:val="24"/>
        </w:rPr>
        <w:t xml:space="preserve">, </w:t>
      </w:r>
      <w:proofErr w:type="spellStart"/>
      <w:r w:rsidRPr="00E85B2D">
        <w:rPr>
          <w:sz w:val="24"/>
          <w:szCs w:val="24"/>
        </w:rPr>
        <w:t>clopidogrel</w:t>
      </w:r>
      <w:proofErr w:type="spellEnd"/>
      <w:r w:rsidRPr="00E85B2D">
        <w:rPr>
          <w:sz w:val="24"/>
          <w:szCs w:val="24"/>
        </w:rPr>
        <w:t>, non-</w:t>
      </w:r>
      <w:proofErr w:type="spellStart"/>
      <w:r w:rsidRPr="00E85B2D">
        <w:rPr>
          <w:sz w:val="24"/>
          <w:szCs w:val="24"/>
        </w:rPr>
        <w:t>steroide</w:t>
      </w:r>
      <w:proofErr w:type="spellEnd"/>
      <w:r w:rsidRPr="00E85B2D">
        <w:rPr>
          <w:sz w:val="24"/>
          <w:szCs w:val="24"/>
        </w:rPr>
        <w:t xml:space="preserve"> antiinflammatoriske lægemidler (</w:t>
      </w:r>
      <w:proofErr w:type="spellStart"/>
      <w:r w:rsidRPr="00E85B2D">
        <w:rPr>
          <w:sz w:val="24"/>
          <w:szCs w:val="24"/>
        </w:rPr>
        <w:t>NSAIDs</w:t>
      </w:r>
      <w:proofErr w:type="spellEnd"/>
      <w:r w:rsidRPr="00E85B2D">
        <w:rPr>
          <w:sz w:val="24"/>
          <w:szCs w:val="24"/>
        </w:rPr>
        <w:t xml:space="preserve">) og </w:t>
      </w:r>
      <w:proofErr w:type="spellStart"/>
      <w:r w:rsidRPr="00E85B2D">
        <w:rPr>
          <w:sz w:val="24"/>
          <w:szCs w:val="24"/>
        </w:rPr>
        <w:t>fibrinolytika</w:t>
      </w:r>
      <w:proofErr w:type="spellEnd"/>
      <w:r w:rsidRPr="00E85B2D">
        <w:rPr>
          <w:sz w:val="24"/>
          <w:szCs w:val="24"/>
        </w:rPr>
        <w:t>.</w:t>
      </w:r>
    </w:p>
    <w:p w14:paraId="00ECF988" w14:textId="77777777" w:rsidR="00E85B2D" w:rsidRPr="00E85B2D" w:rsidRDefault="00E85B2D" w:rsidP="00E85B2D">
      <w:pPr>
        <w:tabs>
          <w:tab w:val="left" w:pos="851"/>
        </w:tabs>
        <w:ind w:left="851"/>
        <w:rPr>
          <w:sz w:val="24"/>
          <w:szCs w:val="24"/>
        </w:rPr>
      </w:pPr>
    </w:p>
    <w:p w14:paraId="1E2D926D" w14:textId="77777777" w:rsidR="00E85B2D" w:rsidRPr="00E85B2D" w:rsidRDefault="00E85B2D" w:rsidP="00E85B2D">
      <w:pPr>
        <w:tabs>
          <w:tab w:val="left" w:pos="851"/>
        </w:tabs>
        <w:ind w:left="851"/>
        <w:rPr>
          <w:sz w:val="24"/>
          <w:szCs w:val="24"/>
        </w:rPr>
      </w:pPr>
      <w:r w:rsidRPr="00E85B2D">
        <w:rPr>
          <w:sz w:val="24"/>
          <w:szCs w:val="24"/>
        </w:rPr>
        <w:t xml:space="preserve">Hvis det er nødvendigt at ophæve </w:t>
      </w:r>
      <w:proofErr w:type="spellStart"/>
      <w:r w:rsidRPr="00E85B2D">
        <w:rPr>
          <w:sz w:val="24"/>
          <w:szCs w:val="24"/>
        </w:rPr>
        <w:t>prasugrels</w:t>
      </w:r>
      <w:proofErr w:type="spellEnd"/>
      <w:r w:rsidRPr="00E85B2D">
        <w:rPr>
          <w:sz w:val="24"/>
          <w:szCs w:val="24"/>
        </w:rPr>
        <w:t xml:space="preserve"> farmakologiske virkning hos patienter med aktiv blødning, kan transfusion af blodplader være hensigtsmæssig.</w:t>
      </w:r>
    </w:p>
    <w:p w14:paraId="55572608" w14:textId="77777777" w:rsidR="00E85B2D" w:rsidRPr="00E85B2D" w:rsidRDefault="00E85B2D" w:rsidP="00E85B2D">
      <w:pPr>
        <w:tabs>
          <w:tab w:val="left" w:pos="851"/>
        </w:tabs>
        <w:ind w:left="851"/>
        <w:rPr>
          <w:sz w:val="24"/>
          <w:szCs w:val="24"/>
        </w:rPr>
      </w:pPr>
    </w:p>
    <w:p w14:paraId="0B5ADC5C" w14:textId="77777777" w:rsidR="00E85B2D" w:rsidRPr="00E85B2D" w:rsidRDefault="00E85B2D" w:rsidP="00E85B2D">
      <w:pPr>
        <w:tabs>
          <w:tab w:val="left" w:pos="851"/>
        </w:tabs>
        <w:ind w:left="851"/>
        <w:rPr>
          <w:sz w:val="24"/>
          <w:szCs w:val="24"/>
        </w:rPr>
      </w:pPr>
      <w:r w:rsidRPr="00E85B2D">
        <w:rPr>
          <w:sz w:val="24"/>
          <w:szCs w:val="24"/>
        </w:rPr>
        <w:t xml:space="preserve">Brugen af </w:t>
      </w:r>
      <w:proofErr w:type="spellStart"/>
      <w:r w:rsidRPr="00E85B2D">
        <w:rPr>
          <w:sz w:val="24"/>
          <w:szCs w:val="24"/>
        </w:rPr>
        <w:t>prasugrel</w:t>
      </w:r>
      <w:proofErr w:type="spellEnd"/>
      <w:r w:rsidRPr="00E85B2D">
        <w:rPr>
          <w:sz w:val="24"/>
          <w:szCs w:val="24"/>
        </w:rPr>
        <w:t xml:space="preserve"> til patienter ≥ 75 år frarådes i almindelighed og bør kun foretages med forsigtighed, efter at en omhyggelig individuel fordel/</w:t>
      </w:r>
      <w:proofErr w:type="spellStart"/>
      <w:r w:rsidRPr="00E85B2D">
        <w:rPr>
          <w:sz w:val="24"/>
          <w:szCs w:val="24"/>
        </w:rPr>
        <w:t>risiko-vurdering</w:t>
      </w:r>
      <w:proofErr w:type="spellEnd"/>
      <w:r w:rsidRPr="00E85B2D">
        <w:rPr>
          <w:sz w:val="24"/>
          <w:szCs w:val="24"/>
        </w:rPr>
        <w:t xml:space="preserve"> af den ordinerende læge indikerer, at fordelene ved forebyggelse af iskæmiske tilfælde opvejer risikoen for alvorlige blødninger. I det kliniske fase 3-forsøg havde disse patienter større risiko for blødning, herunder letal blødning, sammenlignet med patienter &lt;75 år. Hvis det ordineres, bør der anvendes en mindre vedligeholdelsesdosis på 5 mg. 10 mg vedligeholdelsesdosis frarådes (se pkt. 4.2 og pkt. 4.8).</w:t>
      </w:r>
    </w:p>
    <w:p w14:paraId="37C47051" w14:textId="77777777" w:rsidR="00E85B2D" w:rsidRPr="00E85B2D" w:rsidRDefault="00E85B2D" w:rsidP="00E85B2D">
      <w:pPr>
        <w:tabs>
          <w:tab w:val="left" w:pos="851"/>
        </w:tabs>
        <w:ind w:left="851"/>
        <w:rPr>
          <w:sz w:val="24"/>
          <w:szCs w:val="24"/>
        </w:rPr>
      </w:pPr>
    </w:p>
    <w:p w14:paraId="0615A46D" w14:textId="67B77FB7" w:rsidR="00E85B2D" w:rsidRPr="00E85B2D" w:rsidRDefault="00E85B2D" w:rsidP="00E85B2D">
      <w:pPr>
        <w:tabs>
          <w:tab w:val="left" w:pos="851"/>
        </w:tabs>
        <w:ind w:left="851"/>
        <w:rPr>
          <w:sz w:val="24"/>
          <w:szCs w:val="24"/>
        </w:rPr>
      </w:pPr>
      <w:r w:rsidRPr="00E85B2D">
        <w:rPr>
          <w:sz w:val="24"/>
          <w:szCs w:val="24"/>
        </w:rPr>
        <w:t xml:space="preserve">Den terapeutiske erfaring med </w:t>
      </w:r>
      <w:proofErr w:type="spellStart"/>
      <w:r w:rsidRPr="00E85B2D">
        <w:rPr>
          <w:sz w:val="24"/>
          <w:szCs w:val="24"/>
        </w:rPr>
        <w:t>prasugrel</w:t>
      </w:r>
      <w:proofErr w:type="spellEnd"/>
      <w:r w:rsidRPr="00E85B2D">
        <w:rPr>
          <w:sz w:val="24"/>
          <w:szCs w:val="24"/>
        </w:rPr>
        <w:t xml:space="preserve"> til patienter med nedsat nyrefunktion (herunder ERSD/terminal nyreinsufficiens) og til patienter med moderat nedsat leverfunktion er begrænset. Disse patienter har muligvis øget blødningsrisiko. </w:t>
      </w:r>
      <w:proofErr w:type="spellStart"/>
      <w:r w:rsidRPr="00E85B2D">
        <w:rPr>
          <w:sz w:val="24"/>
          <w:szCs w:val="24"/>
        </w:rPr>
        <w:t>Prasugrel</w:t>
      </w:r>
      <w:proofErr w:type="spellEnd"/>
      <w:r w:rsidRPr="00E85B2D">
        <w:rPr>
          <w:sz w:val="24"/>
          <w:szCs w:val="24"/>
        </w:rPr>
        <w:t xml:space="preserve"> bør derfor anvendes med forsigtighed til disse patienter.</w:t>
      </w:r>
    </w:p>
    <w:p w14:paraId="0751AAA4" w14:textId="77777777" w:rsidR="00E85B2D" w:rsidRPr="00E85B2D" w:rsidRDefault="00E85B2D" w:rsidP="00E85B2D">
      <w:pPr>
        <w:tabs>
          <w:tab w:val="left" w:pos="851"/>
        </w:tabs>
        <w:ind w:left="851"/>
        <w:rPr>
          <w:sz w:val="24"/>
          <w:szCs w:val="24"/>
        </w:rPr>
      </w:pPr>
    </w:p>
    <w:p w14:paraId="630BFC2A" w14:textId="77777777" w:rsidR="00E85B2D" w:rsidRPr="00E85B2D" w:rsidRDefault="00E85B2D" w:rsidP="00E85B2D">
      <w:pPr>
        <w:tabs>
          <w:tab w:val="left" w:pos="851"/>
        </w:tabs>
        <w:ind w:left="851"/>
        <w:rPr>
          <w:sz w:val="24"/>
          <w:szCs w:val="24"/>
        </w:rPr>
      </w:pPr>
      <w:r w:rsidRPr="00E85B2D">
        <w:rPr>
          <w:sz w:val="24"/>
          <w:szCs w:val="24"/>
        </w:rPr>
        <w:t xml:space="preserve">Patienter i behandling med </w:t>
      </w:r>
      <w:proofErr w:type="spellStart"/>
      <w:r w:rsidRPr="00E85B2D">
        <w:rPr>
          <w:sz w:val="24"/>
          <w:szCs w:val="24"/>
        </w:rPr>
        <w:t>prasugrel</w:t>
      </w:r>
      <w:proofErr w:type="spellEnd"/>
      <w:r w:rsidRPr="00E85B2D">
        <w:rPr>
          <w:sz w:val="24"/>
          <w:szCs w:val="24"/>
        </w:rPr>
        <w:t xml:space="preserve"> (i kombination med ASA) bør informeres om, at det kan tage længere tid end normalt at standse blødninger, og at de bør kontakte deres læge ved enhver usædvanlig blødning (sted og varighed).</w:t>
      </w:r>
    </w:p>
    <w:p w14:paraId="5DD5C600" w14:textId="77777777" w:rsidR="00E85B2D" w:rsidRPr="00E85B2D" w:rsidRDefault="00E85B2D" w:rsidP="00E85B2D">
      <w:pPr>
        <w:tabs>
          <w:tab w:val="left" w:pos="851"/>
        </w:tabs>
        <w:ind w:left="851"/>
        <w:rPr>
          <w:sz w:val="24"/>
          <w:szCs w:val="24"/>
        </w:rPr>
      </w:pPr>
    </w:p>
    <w:p w14:paraId="6D19D9AB" w14:textId="77777777" w:rsidR="00E85B2D" w:rsidRPr="00E85B2D" w:rsidRDefault="00E85B2D" w:rsidP="00E85B2D">
      <w:pPr>
        <w:tabs>
          <w:tab w:val="left" w:pos="851"/>
        </w:tabs>
        <w:ind w:left="851"/>
        <w:rPr>
          <w:i/>
          <w:iCs/>
          <w:sz w:val="24"/>
          <w:szCs w:val="24"/>
        </w:rPr>
      </w:pPr>
      <w:r w:rsidRPr="00E85B2D">
        <w:rPr>
          <w:i/>
          <w:iCs/>
          <w:sz w:val="24"/>
          <w:szCs w:val="24"/>
        </w:rPr>
        <w:t xml:space="preserve">Blødningsrisiko forbundet med tidspunktet for </w:t>
      </w:r>
      <w:proofErr w:type="spellStart"/>
      <w:r w:rsidRPr="00E85B2D">
        <w:rPr>
          <w:i/>
          <w:iCs/>
          <w:sz w:val="24"/>
          <w:szCs w:val="24"/>
        </w:rPr>
        <w:t>loadingdosis</w:t>
      </w:r>
      <w:proofErr w:type="spellEnd"/>
      <w:r w:rsidRPr="00E85B2D">
        <w:rPr>
          <w:i/>
          <w:iCs/>
          <w:sz w:val="24"/>
          <w:szCs w:val="24"/>
        </w:rPr>
        <w:t xml:space="preserve"> for NSTEMI-patienter</w:t>
      </w:r>
    </w:p>
    <w:p w14:paraId="13C07600" w14:textId="77777777" w:rsidR="00E85B2D" w:rsidRPr="00E85B2D" w:rsidRDefault="00E85B2D" w:rsidP="00E85B2D">
      <w:pPr>
        <w:tabs>
          <w:tab w:val="left" w:pos="851"/>
        </w:tabs>
        <w:ind w:left="851"/>
        <w:rPr>
          <w:sz w:val="24"/>
          <w:szCs w:val="24"/>
        </w:rPr>
      </w:pPr>
      <w:r w:rsidRPr="00E85B2D">
        <w:rPr>
          <w:sz w:val="24"/>
          <w:szCs w:val="24"/>
        </w:rPr>
        <w:t xml:space="preserve">I et klinisk studie med NSTEMI-patienter (ACCOAST-studiet), hvor </w:t>
      </w:r>
      <w:proofErr w:type="spellStart"/>
      <w:r w:rsidRPr="00E85B2D">
        <w:rPr>
          <w:sz w:val="24"/>
          <w:szCs w:val="24"/>
        </w:rPr>
        <w:t>koronarangiografi</w:t>
      </w:r>
      <w:proofErr w:type="spellEnd"/>
      <w:r w:rsidRPr="00E85B2D">
        <w:rPr>
          <w:sz w:val="24"/>
          <w:szCs w:val="24"/>
        </w:rPr>
        <w:t xml:space="preserve"> var planlagt udført indenfor 2 til 48 timer efter </w:t>
      </w:r>
      <w:proofErr w:type="spellStart"/>
      <w:r w:rsidRPr="00E85B2D">
        <w:rPr>
          <w:sz w:val="24"/>
          <w:szCs w:val="24"/>
        </w:rPr>
        <w:t>randomisering</w:t>
      </w:r>
      <w:proofErr w:type="spellEnd"/>
      <w:r w:rsidRPr="00E85B2D">
        <w:rPr>
          <w:sz w:val="24"/>
          <w:szCs w:val="24"/>
        </w:rPr>
        <w:t xml:space="preserve">, øgede indgivelse af en </w:t>
      </w:r>
      <w:proofErr w:type="spellStart"/>
      <w:r w:rsidRPr="00E85B2D">
        <w:rPr>
          <w:sz w:val="24"/>
          <w:szCs w:val="24"/>
        </w:rPr>
        <w:t>prasugrel-loadingdosis</w:t>
      </w:r>
      <w:proofErr w:type="spellEnd"/>
      <w:r w:rsidRPr="00E85B2D">
        <w:rPr>
          <w:sz w:val="24"/>
          <w:szCs w:val="24"/>
        </w:rPr>
        <w:t xml:space="preserve"> gennemsnitlig 4 timer før </w:t>
      </w:r>
      <w:proofErr w:type="spellStart"/>
      <w:r w:rsidRPr="00E85B2D">
        <w:rPr>
          <w:sz w:val="24"/>
          <w:szCs w:val="24"/>
        </w:rPr>
        <w:t>koronarangiografi</w:t>
      </w:r>
      <w:proofErr w:type="spellEnd"/>
      <w:r w:rsidRPr="00E85B2D">
        <w:rPr>
          <w:sz w:val="24"/>
          <w:szCs w:val="24"/>
        </w:rPr>
        <w:t xml:space="preserve"> risikoen for større eller mindre blødninger i forbindelse med indgrebet sammenlignet med indgivelse af </w:t>
      </w:r>
      <w:proofErr w:type="spellStart"/>
      <w:r w:rsidRPr="00E85B2D">
        <w:rPr>
          <w:sz w:val="24"/>
          <w:szCs w:val="24"/>
        </w:rPr>
        <w:t>prasugrel-loadingdosis</w:t>
      </w:r>
      <w:proofErr w:type="spellEnd"/>
      <w:r w:rsidRPr="00E85B2D">
        <w:rPr>
          <w:sz w:val="24"/>
          <w:szCs w:val="24"/>
        </w:rPr>
        <w:t xml:space="preserve"> på tidspunktet for PCI. </w:t>
      </w:r>
      <w:proofErr w:type="spellStart"/>
      <w:r w:rsidRPr="00E85B2D">
        <w:rPr>
          <w:sz w:val="24"/>
          <w:szCs w:val="24"/>
        </w:rPr>
        <w:t>Loadingdosis</w:t>
      </w:r>
      <w:proofErr w:type="spellEnd"/>
      <w:r w:rsidRPr="00E85B2D">
        <w:rPr>
          <w:sz w:val="24"/>
          <w:szCs w:val="24"/>
        </w:rPr>
        <w:t xml:space="preserve"> skal derfor indgives på tidspunktet for PCI hos UA/NSTEMI-patienter, hvor </w:t>
      </w:r>
      <w:proofErr w:type="spellStart"/>
      <w:r w:rsidRPr="00E85B2D">
        <w:rPr>
          <w:sz w:val="24"/>
          <w:szCs w:val="24"/>
        </w:rPr>
        <w:t>koronarangiografi</w:t>
      </w:r>
      <w:proofErr w:type="spellEnd"/>
      <w:r w:rsidRPr="00E85B2D">
        <w:rPr>
          <w:sz w:val="24"/>
          <w:szCs w:val="24"/>
        </w:rPr>
        <w:t xml:space="preserve"> udføres indenfor 48 timer efter indlæggelse (se pkt. 4.2, pkt. 4.8 og pkt. 5.1).</w:t>
      </w:r>
    </w:p>
    <w:p w14:paraId="597BA1A9" w14:textId="77777777" w:rsidR="00E85B2D" w:rsidRPr="00E85B2D" w:rsidRDefault="00E85B2D" w:rsidP="00E85B2D">
      <w:pPr>
        <w:tabs>
          <w:tab w:val="left" w:pos="851"/>
        </w:tabs>
        <w:ind w:left="851"/>
        <w:rPr>
          <w:sz w:val="24"/>
          <w:szCs w:val="24"/>
        </w:rPr>
      </w:pPr>
    </w:p>
    <w:p w14:paraId="76F5AB0E" w14:textId="77777777" w:rsidR="00E85B2D" w:rsidRPr="00E85B2D" w:rsidRDefault="00E85B2D" w:rsidP="00E85B2D">
      <w:pPr>
        <w:tabs>
          <w:tab w:val="left" w:pos="851"/>
        </w:tabs>
        <w:ind w:left="851"/>
        <w:rPr>
          <w:i/>
          <w:iCs/>
          <w:sz w:val="24"/>
          <w:szCs w:val="24"/>
        </w:rPr>
      </w:pPr>
      <w:r w:rsidRPr="00E85B2D">
        <w:rPr>
          <w:i/>
          <w:iCs/>
          <w:sz w:val="24"/>
          <w:szCs w:val="24"/>
        </w:rPr>
        <w:t>Kirurgi</w:t>
      </w:r>
    </w:p>
    <w:p w14:paraId="49B0300C" w14:textId="77777777" w:rsidR="00E85B2D" w:rsidRPr="00E85B2D" w:rsidRDefault="00E85B2D" w:rsidP="00E85B2D">
      <w:pPr>
        <w:tabs>
          <w:tab w:val="left" w:pos="851"/>
        </w:tabs>
        <w:ind w:left="851"/>
        <w:rPr>
          <w:sz w:val="24"/>
          <w:szCs w:val="24"/>
        </w:rPr>
      </w:pPr>
      <w:r w:rsidRPr="00E85B2D">
        <w:rPr>
          <w:sz w:val="24"/>
          <w:szCs w:val="24"/>
        </w:rPr>
        <w:t xml:space="preserve">Patienterne bør rådes til at informere læger og tandlæger om, at de tager </w:t>
      </w:r>
      <w:proofErr w:type="spellStart"/>
      <w:r w:rsidRPr="00E85B2D">
        <w:rPr>
          <w:sz w:val="24"/>
          <w:szCs w:val="24"/>
        </w:rPr>
        <w:t>prasugrel</w:t>
      </w:r>
      <w:proofErr w:type="spellEnd"/>
      <w:r w:rsidRPr="00E85B2D">
        <w:rPr>
          <w:sz w:val="24"/>
          <w:szCs w:val="24"/>
        </w:rPr>
        <w:t xml:space="preserve">, før nogen form for kirurgi planlægges, og før noget nyt lægemiddel tages. Hvis en patient skal have foretaget </w:t>
      </w:r>
      <w:proofErr w:type="spellStart"/>
      <w:r w:rsidRPr="00E85B2D">
        <w:rPr>
          <w:sz w:val="24"/>
          <w:szCs w:val="24"/>
        </w:rPr>
        <w:t>elektiv</w:t>
      </w:r>
      <w:proofErr w:type="spellEnd"/>
      <w:r w:rsidRPr="00E85B2D">
        <w:rPr>
          <w:sz w:val="24"/>
          <w:szCs w:val="24"/>
        </w:rPr>
        <w:t xml:space="preserve"> kirurgi, og </w:t>
      </w:r>
      <w:proofErr w:type="spellStart"/>
      <w:r w:rsidRPr="00E85B2D">
        <w:rPr>
          <w:sz w:val="24"/>
          <w:szCs w:val="24"/>
        </w:rPr>
        <w:t>antitrombotisk</w:t>
      </w:r>
      <w:proofErr w:type="spellEnd"/>
      <w:r w:rsidRPr="00E85B2D">
        <w:rPr>
          <w:sz w:val="24"/>
          <w:szCs w:val="24"/>
        </w:rPr>
        <w:t xml:space="preserve"> virkning ikke er ønskelig, bør </w:t>
      </w:r>
      <w:proofErr w:type="spellStart"/>
      <w:r w:rsidRPr="00E85B2D">
        <w:rPr>
          <w:sz w:val="24"/>
          <w:szCs w:val="24"/>
        </w:rPr>
        <w:t>prasugrel</w:t>
      </w:r>
      <w:proofErr w:type="spellEnd"/>
      <w:r w:rsidRPr="00E85B2D">
        <w:rPr>
          <w:sz w:val="24"/>
          <w:szCs w:val="24"/>
        </w:rPr>
        <w:t xml:space="preserve"> seponeres mindst 7 dage forud for indgrebet. Hos de patienter, som gennemgår CABG-kirurgi indenfor 7 dage efter </w:t>
      </w:r>
      <w:proofErr w:type="spellStart"/>
      <w:r w:rsidRPr="00E85B2D">
        <w:rPr>
          <w:sz w:val="24"/>
          <w:szCs w:val="24"/>
        </w:rPr>
        <w:t>seponering</w:t>
      </w:r>
      <w:proofErr w:type="spellEnd"/>
      <w:r w:rsidRPr="00E85B2D">
        <w:rPr>
          <w:sz w:val="24"/>
          <w:szCs w:val="24"/>
        </w:rPr>
        <w:t xml:space="preserve"> af </w:t>
      </w:r>
      <w:proofErr w:type="spellStart"/>
      <w:r w:rsidRPr="00E85B2D">
        <w:rPr>
          <w:sz w:val="24"/>
          <w:szCs w:val="24"/>
        </w:rPr>
        <w:t>prasugrel</w:t>
      </w:r>
      <w:proofErr w:type="spellEnd"/>
      <w:r w:rsidRPr="00E85B2D">
        <w:rPr>
          <w:sz w:val="24"/>
          <w:szCs w:val="24"/>
        </w:rPr>
        <w:t xml:space="preserve"> (se pkt. 4.8), kan der forekomme øget hyppighed (tredobbelt) og sværhedsgrad af blødning. Fordele og risici ved </w:t>
      </w:r>
      <w:proofErr w:type="spellStart"/>
      <w:r w:rsidRPr="00E85B2D">
        <w:rPr>
          <w:sz w:val="24"/>
          <w:szCs w:val="24"/>
        </w:rPr>
        <w:t>prasugrel</w:t>
      </w:r>
      <w:proofErr w:type="spellEnd"/>
      <w:r w:rsidRPr="00E85B2D">
        <w:rPr>
          <w:sz w:val="24"/>
          <w:szCs w:val="24"/>
        </w:rPr>
        <w:t xml:space="preserve"> bør overvejes omhyggeligt for de patienter, hvor den </w:t>
      </w:r>
      <w:proofErr w:type="spellStart"/>
      <w:r w:rsidRPr="00E85B2D">
        <w:rPr>
          <w:sz w:val="24"/>
          <w:szCs w:val="24"/>
        </w:rPr>
        <w:t>koronare</w:t>
      </w:r>
      <w:proofErr w:type="spellEnd"/>
      <w:r w:rsidRPr="00E85B2D">
        <w:rPr>
          <w:sz w:val="24"/>
          <w:szCs w:val="24"/>
        </w:rPr>
        <w:t xml:space="preserve"> anatomi ikke er defineret og akut CABG er en mulighed.</w:t>
      </w:r>
    </w:p>
    <w:p w14:paraId="07300EDC" w14:textId="77777777" w:rsidR="00E85B2D" w:rsidRPr="00E85B2D" w:rsidRDefault="00E85B2D" w:rsidP="00E85B2D">
      <w:pPr>
        <w:tabs>
          <w:tab w:val="left" w:pos="851"/>
        </w:tabs>
        <w:ind w:left="851"/>
        <w:rPr>
          <w:sz w:val="24"/>
          <w:szCs w:val="24"/>
        </w:rPr>
      </w:pPr>
    </w:p>
    <w:p w14:paraId="59B6C0DF" w14:textId="77777777" w:rsidR="00E85B2D" w:rsidRPr="00E85B2D" w:rsidRDefault="00E85B2D" w:rsidP="00E85B2D">
      <w:pPr>
        <w:tabs>
          <w:tab w:val="left" w:pos="851"/>
        </w:tabs>
        <w:ind w:left="851"/>
        <w:rPr>
          <w:i/>
          <w:iCs/>
          <w:sz w:val="24"/>
          <w:szCs w:val="24"/>
        </w:rPr>
      </w:pPr>
      <w:r w:rsidRPr="00E85B2D">
        <w:rPr>
          <w:i/>
          <w:iCs/>
          <w:sz w:val="24"/>
          <w:szCs w:val="24"/>
        </w:rPr>
        <w:t xml:space="preserve">Overfølsomhed herunder </w:t>
      </w:r>
      <w:proofErr w:type="spellStart"/>
      <w:r w:rsidRPr="00E85B2D">
        <w:rPr>
          <w:i/>
          <w:iCs/>
          <w:sz w:val="24"/>
          <w:szCs w:val="24"/>
        </w:rPr>
        <w:t>angioødem</w:t>
      </w:r>
      <w:proofErr w:type="spellEnd"/>
    </w:p>
    <w:p w14:paraId="531218A2" w14:textId="77777777" w:rsidR="00E85B2D" w:rsidRPr="00E85B2D" w:rsidRDefault="00E85B2D" w:rsidP="00E85B2D">
      <w:pPr>
        <w:tabs>
          <w:tab w:val="left" w:pos="851"/>
        </w:tabs>
        <w:ind w:left="851"/>
        <w:rPr>
          <w:sz w:val="24"/>
          <w:szCs w:val="24"/>
        </w:rPr>
      </w:pPr>
      <w:r w:rsidRPr="00E85B2D">
        <w:rPr>
          <w:sz w:val="24"/>
          <w:szCs w:val="24"/>
        </w:rPr>
        <w:t xml:space="preserve">Der er indberettet overfølsomhedsreaktioner, herunder </w:t>
      </w:r>
      <w:proofErr w:type="spellStart"/>
      <w:r w:rsidRPr="00E85B2D">
        <w:rPr>
          <w:sz w:val="24"/>
          <w:szCs w:val="24"/>
        </w:rPr>
        <w:t>angioødem</w:t>
      </w:r>
      <w:proofErr w:type="spellEnd"/>
      <w:r w:rsidRPr="00E85B2D">
        <w:rPr>
          <w:sz w:val="24"/>
          <w:szCs w:val="24"/>
        </w:rPr>
        <w:t xml:space="preserve">, hos patienter i behandling med </w:t>
      </w:r>
      <w:proofErr w:type="spellStart"/>
      <w:r w:rsidRPr="00E85B2D">
        <w:rPr>
          <w:sz w:val="24"/>
          <w:szCs w:val="24"/>
        </w:rPr>
        <w:t>prasugrel</w:t>
      </w:r>
      <w:proofErr w:type="spellEnd"/>
      <w:r w:rsidRPr="00E85B2D">
        <w:rPr>
          <w:sz w:val="24"/>
          <w:szCs w:val="24"/>
        </w:rPr>
        <w:t xml:space="preserve">, inklusive patienter med overfølsomhedsreaktioner over for </w:t>
      </w:r>
      <w:proofErr w:type="spellStart"/>
      <w:r w:rsidRPr="00E85B2D">
        <w:rPr>
          <w:sz w:val="24"/>
          <w:szCs w:val="24"/>
        </w:rPr>
        <w:t>clopidogrel</w:t>
      </w:r>
      <w:proofErr w:type="spellEnd"/>
      <w:r w:rsidRPr="00E85B2D">
        <w:rPr>
          <w:sz w:val="24"/>
          <w:szCs w:val="24"/>
        </w:rPr>
        <w:t xml:space="preserve"> i anamnesen. Det anbefales at monitorere for tegn på overfølsomhed hos patienter med allergi over for </w:t>
      </w:r>
      <w:proofErr w:type="spellStart"/>
      <w:r w:rsidRPr="00E85B2D">
        <w:rPr>
          <w:sz w:val="24"/>
          <w:szCs w:val="24"/>
        </w:rPr>
        <w:t>thienopyridiner</w:t>
      </w:r>
      <w:proofErr w:type="spellEnd"/>
      <w:r w:rsidRPr="00E85B2D">
        <w:rPr>
          <w:sz w:val="24"/>
          <w:szCs w:val="24"/>
        </w:rPr>
        <w:t xml:space="preserve"> (se pkt. 4.8).</w:t>
      </w:r>
    </w:p>
    <w:p w14:paraId="7847CEB9" w14:textId="77777777" w:rsidR="00E85B2D" w:rsidRPr="00E85B2D" w:rsidRDefault="00E85B2D" w:rsidP="00E85B2D">
      <w:pPr>
        <w:tabs>
          <w:tab w:val="left" w:pos="851"/>
        </w:tabs>
        <w:ind w:left="851"/>
        <w:rPr>
          <w:sz w:val="24"/>
          <w:szCs w:val="24"/>
        </w:rPr>
      </w:pPr>
    </w:p>
    <w:p w14:paraId="75D2812C" w14:textId="77777777" w:rsidR="00E85B2D" w:rsidRPr="00E85B2D" w:rsidRDefault="00E85B2D" w:rsidP="00E85B2D">
      <w:pPr>
        <w:tabs>
          <w:tab w:val="left" w:pos="851"/>
        </w:tabs>
        <w:ind w:left="851"/>
        <w:rPr>
          <w:i/>
          <w:iCs/>
          <w:sz w:val="24"/>
          <w:szCs w:val="24"/>
        </w:rPr>
      </w:pPr>
      <w:proofErr w:type="spellStart"/>
      <w:r w:rsidRPr="00E85B2D">
        <w:rPr>
          <w:i/>
          <w:iCs/>
          <w:sz w:val="24"/>
          <w:szCs w:val="24"/>
        </w:rPr>
        <w:t>Trombotisk</w:t>
      </w:r>
      <w:proofErr w:type="spellEnd"/>
      <w:r w:rsidRPr="00E85B2D">
        <w:rPr>
          <w:i/>
          <w:iCs/>
          <w:sz w:val="24"/>
          <w:szCs w:val="24"/>
        </w:rPr>
        <w:t xml:space="preserve"> </w:t>
      </w:r>
      <w:proofErr w:type="spellStart"/>
      <w:r w:rsidRPr="00E85B2D">
        <w:rPr>
          <w:i/>
          <w:iCs/>
          <w:sz w:val="24"/>
          <w:szCs w:val="24"/>
        </w:rPr>
        <w:t>trombocytopenisk</w:t>
      </w:r>
      <w:proofErr w:type="spellEnd"/>
      <w:r w:rsidRPr="00E85B2D">
        <w:rPr>
          <w:i/>
          <w:iCs/>
          <w:sz w:val="24"/>
          <w:szCs w:val="24"/>
        </w:rPr>
        <w:t xml:space="preserve"> </w:t>
      </w:r>
      <w:proofErr w:type="spellStart"/>
      <w:r w:rsidRPr="00E85B2D">
        <w:rPr>
          <w:i/>
          <w:iCs/>
          <w:sz w:val="24"/>
          <w:szCs w:val="24"/>
        </w:rPr>
        <w:t>purpura</w:t>
      </w:r>
      <w:proofErr w:type="spellEnd"/>
      <w:r w:rsidRPr="00E85B2D">
        <w:rPr>
          <w:i/>
          <w:iCs/>
          <w:sz w:val="24"/>
          <w:szCs w:val="24"/>
        </w:rPr>
        <w:t xml:space="preserve"> (TTP)</w:t>
      </w:r>
    </w:p>
    <w:p w14:paraId="27B25977" w14:textId="77777777" w:rsidR="00E85B2D" w:rsidRPr="00E85B2D" w:rsidRDefault="00E85B2D" w:rsidP="00E85B2D">
      <w:pPr>
        <w:tabs>
          <w:tab w:val="left" w:pos="851"/>
        </w:tabs>
        <w:ind w:left="851"/>
        <w:rPr>
          <w:sz w:val="24"/>
          <w:szCs w:val="24"/>
        </w:rPr>
      </w:pPr>
      <w:r w:rsidRPr="00E85B2D">
        <w:rPr>
          <w:sz w:val="24"/>
          <w:szCs w:val="24"/>
        </w:rPr>
        <w:t xml:space="preserve">Der er indberettet TTP ved brug af </w:t>
      </w:r>
      <w:proofErr w:type="spellStart"/>
      <w:r w:rsidRPr="00E85B2D">
        <w:rPr>
          <w:sz w:val="24"/>
          <w:szCs w:val="24"/>
        </w:rPr>
        <w:t>prasugrel</w:t>
      </w:r>
      <w:proofErr w:type="spellEnd"/>
      <w:r w:rsidRPr="00E85B2D">
        <w:rPr>
          <w:sz w:val="24"/>
          <w:szCs w:val="24"/>
        </w:rPr>
        <w:t>. TTP er en kritisk tilstand og kræver øjeblikkelig behandling.</w:t>
      </w:r>
    </w:p>
    <w:p w14:paraId="001EF40A" w14:textId="77777777" w:rsidR="00E85B2D" w:rsidRPr="00E85B2D" w:rsidRDefault="00E85B2D" w:rsidP="00E85B2D">
      <w:pPr>
        <w:tabs>
          <w:tab w:val="left" w:pos="851"/>
        </w:tabs>
        <w:ind w:left="851"/>
        <w:rPr>
          <w:sz w:val="24"/>
          <w:szCs w:val="24"/>
        </w:rPr>
      </w:pPr>
    </w:p>
    <w:p w14:paraId="3E84D3E3" w14:textId="77777777" w:rsidR="00E85B2D" w:rsidRPr="00E85B2D" w:rsidRDefault="00E85B2D" w:rsidP="00E85B2D">
      <w:pPr>
        <w:tabs>
          <w:tab w:val="left" w:pos="851"/>
        </w:tabs>
        <w:ind w:left="851"/>
        <w:rPr>
          <w:i/>
          <w:iCs/>
          <w:sz w:val="24"/>
          <w:szCs w:val="24"/>
        </w:rPr>
      </w:pPr>
      <w:r w:rsidRPr="00E85B2D">
        <w:rPr>
          <w:i/>
          <w:iCs/>
          <w:sz w:val="24"/>
          <w:szCs w:val="24"/>
        </w:rPr>
        <w:t>Morfin og andre opioider</w:t>
      </w:r>
    </w:p>
    <w:p w14:paraId="08C18469" w14:textId="77777777" w:rsidR="00E85B2D" w:rsidRPr="00E85B2D" w:rsidRDefault="00E85B2D" w:rsidP="00E85B2D">
      <w:pPr>
        <w:tabs>
          <w:tab w:val="left" w:pos="851"/>
        </w:tabs>
        <w:ind w:left="851"/>
        <w:rPr>
          <w:sz w:val="24"/>
          <w:szCs w:val="24"/>
        </w:rPr>
      </w:pPr>
      <w:r w:rsidRPr="00E85B2D">
        <w:rPr>
          <w:sz w:val="24"/>
          <w:szCs w:val="24"/>
        </w:rPr>
        <w:t xml:space="preserve">Der er set reduceret effekt af </w:t>
      </w:r>
      <w:proofErr w:type="spellStart"/>
      <w:r w:rsidRPr="00E85B2D">
        <w:rPr>
          <w:sz w:val="24"/>
          <w:szCs w:val="24"/>
        </w:rPr>
        <w:t>prasugrel</w:t>
      </w:r>
      <w:proofErr w:type="spellEnd"/>
      <w:r w:rsidRPr="00E85B2D">
        <w:rPr>
          <w:sz w:val="24"/>
          <w:szCs w:val="24"/>
        </w:rPr>
        <w:t xml:space="preserve"> hos patienter, hvor </w:t>
      </w:r>
      <w:proofErr w:type="spellStart"/>
      <w:r w:rsidRPr="00E85B2D">
        <w:rPr>
          <w:sz w:val="24"/>
          <w:szCs w:val="24"/>
        </w:rPr>
        <w:t>prasugrel</w:t>
      </w:r>
      <w:proofErr w:type="spellEnd"/>
      <w:r w:rsidRPr="00E85B2D">
        <w:rPr>
          <w:sz w:val="24"/>
          <w:szCs w:val="24"/>
        </w:rPr>
        <w:t xml:space="preserve"> og morfin er administreret samtidigt (se pkt. 4.5).</w:t>
      </w:r>
    </w:p>
    <w:p w14:paraId="030162F3" w14:textId="77777777" w:rsidR="00E85B2D" w:rsidRPr="00E85B2D" w:rsidRDefault="00E85B2D" w:rsidP="00E85B2D">
      <w:pPr>
        <w:tabs>
          <w:tab w:val="left" w:pos="851"/>
        </w:tabs>
        <w:ind w:left="851"/>
        <w:rPr>
          <w:sz w:val="24"/>
          <w:szCs w:val="24"/>
        </w:rPr>
      </w:pPr>
    </w:p>
    <w:p w14:paraId="673DBD98" w14:textId="3D459CE9" w:rsidR="00E85B2D" w:rsidRPr="00E85B2D" w:rsidRDefault="00E85B2D" w:rsidP="00E85B2D">
      <w:pPr>
        <w:tabs>
          <w:tab w:val="left" w:pos="851"/>
        </w:tabs>
        <w:ind w:left="851"/>
        <w:rPr>
          <w:i/>
          <w:iCs/>
          <w:sz w:val="24"/>
          <w:szCs w:val="24"/>
        </w:rPr>
      </w:pPr>
      <w:proofErr w:type="spellStart"/>
      <w:r w:rsidRPr="00E85B2D">
        <w:rPr>
          <w:i/>
          <w:iCs/>
          <w:sz w:val="24"/>
          <w:szCs w:val="24"/>
        </w:rPr>
        <w:t>Prasugrel</w:t>
      </w:r>
      <w:proofErr w:type="spellEnd"/>
      <w:r w:rsidRPr="00E85B2D">
        <w:rPr>
          <w:i/>
          <w:iCs/>
          <w:sz w:val="24"/>
          <w:szCs w:val="24"/>
        </w:rPr>
        <w:t xml:space="preserve"> </w:t>
      </w:r>
      <w:r w:rsidR="00C52F9A">
        <w:rPr>
          <w:i/>
          <w:iCs/>
          <w:sz w:val="24"/>
          <w:szCs w:val="24"/>
        </w:rPr>
        <w:t>"G.L. Pharma"</w:t>
      </w:r>
      <w:r w:rsidRPr="00E85B2D">
        <w:rPr>
          <w:i/>
          <w:iCs/>
          <w:sz w:val="24"/>
          <w:szCs w:val="24"/>
        </w:rPr>
        <w:t xml:space="preserve"> indeholder </w:t>
      </w:r>
      <w:proofErr w:type="spellStart"/>
      <w:r w:rsidRPr="00E85B2D">
        <w:rPr>
          <w:i/>
          <w:iCs/>
          <w:sz w:val="24"/>
          <w:szCs w:val="24"/>
        </w:rPr>
        <w:t>lactose</w:t>
      </w:r>
      <w:proofErr w:type="spellEnd"/>
    </w:p>
    <w:p w14:paraId="469F6EB3" w14:textId="77777777" w:rsidR="00E85B2D" w:rsidRPr="00E85B2D" w:rsidRDefault="00E85B2D" w:rsidP="00E85B2D">
      <w:pPr>
        <w:tabs>
          <w:tab w:val="left" w:pos="851"/>
        </w:tabs>
        <w:ind w:left="851"/>
        <w:rPr>
          <w:sz w:val="24"/>
          <w:szCs w:val="24"/>
        </w:rPr>
      </w:pPr>
      <w:r w:rsidRPr="00E85B2D">
        <w:rPr>
          <w:sz w:val="24"/>
          <w:szCs w:val="24"/>
        </w:rPr>
        <w:t xml:space="preserve">Bør ikke anvendes til patienter med hereditær </w:t>
      </w:r>
      <w:proofErr w:type="spellStart"/>
      <w:r w:rsidRPr="00E85B2D">
        <w:rPr>
          <w:sz w:val="24"/>
          <w:szCs w:val="24"/>
        </w:rPr>
        <w:t>galactoseintolerans</w:t>
      </w:r>
      <w:proofErr w:type="spellEnd"/>
      <w:r w:rsidRPr="00E85B2D">
        <w:rPr>
          <w:sz w:val="24"/>
          <w:szCs w:val="24"/>
        </w:rPr>
        <w:t xml:space="preserve">, total </w:t>
      </w:r>
      <w:proofErr w:type="spellStart"/>
      <w:r w:rsidRPr="00E85B2D">
        <w:rPr>
          <w:sz w:val="24"/>
          <w:szCs w:val="24"/>
        </w:rPr>
        <w:t>lactasemangel</w:t>
      </w:r>
      <w:proofErr w:type="spellEnd"/>
      <w:r w:rsidRPr="00E85B2D">
        <w:rPr>
          <w:sz w:val="24"/>
          <w:szCs w:val="24"/>
        </w:rPr>
        <w:t xml:space="preserve"> eller </w:t>
      </w:r>
      <w:proofErr w:type="spellStart"/>
      <w:r w:rsidRPr="00E85B2D">
        <w:rPr>
          <w:sz w:val="24"/>
          <w:szCs w:val="24"/>
        </w:rPr>
        <w:t>glucose</w:t>
      </w:r>
      <w:proofErr w:type="spellEnd"/>
      <w:r w:rsidRPr="00E85B2D">
        <w:rPr>
          <w:sz w:val="24"/>
          <w:szCs w:val="24"/>
        </w:rPr>
        <w:t>/</w:t>
      </w:r>
      <w:proofErr w:type="spellStart"/>
      <w:r w:rsidRPr="00E85B2D">
        <w:rPr>
          <w:sz w:val="24"/>
          <w:szCs w:val="24"/>
        </w:rPr>
        <w:t>galactosemalabsorption</w:t>
      </w:r>
      <w:proofErr w:type="spellEnd"/>
      <w:r w:rsidRPr="00E85B2D">
        <w:rPr>
          <w:sz w:val="24"/>
          <w:szCs w:val="24"/>
        </w:rPr>
        <w:t xml:space="preserve">. </w:t>
      </w:r>
    </w:p>
    <w:p w14:paraId="6D66AAE2" w14:textId="66DA4C03" w:rsidR="00E11E3E" w:rsidRDefault="00E11E3E">
      <w:pPr>
        <w:rPr>
          <w:sz w:val="24"/>
          <w:szCs w:val="24"/>
        </w:rPr>
      </w:pPr>
      <w:r>
        <w:rPr>
          <w:sz w:val="24"/>
          <w:szCs w:val="24"/>
        </w:rPr>
        <w:br w:type="page"/>
      </w:r>
    </w:p>
    <w:p w14:paraId="5FA30D0B" w14:textId="77777777" w:rsidR="00E85B2D" w:rsidRPr="00E85B2D" w:rsidRDefault="00E85B2D" w:rsidP="00E85B2D">
      <w:pPr>
        <w:tabs>
          <w:tab w:val="left" w:pos="851"/>
        </w:tabs>
        <w:ind w:left="851"/>
        <w:rPr>
          <w:sz w:val="24"/>
          <w:szCs w:val="24"/>
        </w:rPr>
      </w:pPr>
    </w:p>
    <w:p w14:paraId="16B6827C" w14:textId="74570E62" w:rsidR="00E85B2D" w:rsidRPr="00E85B2D" w:rsidRDefault="00E85B2D" w:rsidP="00E85B2D">
      <w:pPr>
        <w:tabs>
          <w:tab w:val="left" w:pos="851"/>
        </w:tabs>
        <w:ind w:left="851"/>
        <w:rPr>
          <w:i/>
          <w:iCs/>
          <w:sz w:val="24"/>
          <w:szCs w:val="24"/>
        </w:rPr>
      </w:pPr>
      <w:proofErr w:type="spellStart"/>
      <w:r w:rsidRPr="00E85B2D">
        <w:rPr>
          <w:i/>
          <w:iCs/>
          <w:sz w:val="24"/>
          <w:szCs w:val="24"/>
        </w:rPr>
        <w:t>Prasugrel</w:t>
      </w:r>
      <w:proofErr w:type="spellEnd"/>
      <w:r w:rsidRPr="00E85B2D">
        <w:rPr>
          <w:i/>
          <w:iCs/>
          <w:sz w:val="24"/>
          <w:szCs w:val="24"/>
        </w:rPr>
        <w:t xml:space="preserve"> </w:t>
      </w:r>
      <w:r w:rsidR="00C52F9A">
        <w:rPr>
          <w:i/>
          <w:iCs/>
          <w:sz w:val="24"/>
          <w:szCs w:val="24"/>
        </w:rPr>
        <w:t>"G.L. Pharma"</w:t>
      </w:r>
      <w:r w:rsidRPr="00E85B2D">
        <w:rPr>
          <w:i/>
          <w:iCs/>
          <w:sz w:val="24"/>
          <w:szCs w:val="24"/>
        </w:rPr>
        <w:t xml:space="preserve"> indeholder </w:t>
      </w:r>
      <w:proofErr w:type="spellStart"/>
      <w:r w:rsidRPr="00E85B2D">
        <w:rPr>
          <w:i/>
          <w:iCs/>
          <w:sz w:val="24"/>
          <w:szCs w:val="24"/>
        </w:rPr>
        <w:t>saccharose</w:t>
      </w:r>
      <w:proofErr w:type="spellEnd"/>
    </w:p>
    <w:p w14:paraId="72B8958D" w14:textId="77777777" w:rsidR="00E85B2D" w:rsidRPr="00E85B2D" w:rsidRDefault="00E85B2D" w:rsidP="00E85B2D">
      <w:pPr>
        <w:tabs>
          <w:tab w:val="left" w:pos="851"/>
        </w:tabs>
        <w:ind w:left="851"/>
        <w:rPr>
          <w:sz w:val="24"/>
          <w:szCs w:val="24"/>
        </w:rPr>
      </w:pPr>
      <w:r w:rsidRPr="00E85B2D">
        <w:rPr>
          <w:sz w:val="24"/>
          <w:szCs w:val="24"/>
        </w:rPr>
        <w:t xml:space="preserve">Bør ikke anvendes til patienter med hereditær </w:t>
      </w:r>
      <w:proofErr w:type="spellStart"/>
      <w:r w:rsidRPr="00E85B2D">
        <w:rPr>
          <w:sz w:val="24"/>
          <w:szCs w:val="24"/>
        </w:rPr>
        <w:t>fructoseintolerans</w:t>
      </w:r>
      <w:proofErr w:type="spellEnd"/>
      <w:r w:rsidRPr="00E85B2D">
        <w:rPr>
          <w:sz w:val="24"/>
          <w:szCs w:val="24"/>
        </w:rPr>
        <w:t xml:space="preserve">, </w:t>
      </w:r>
      <w:proofErr w:type="spellStart"/>
      <w:r w:rsidRPr="00E85B2D">
        <w:rPr>
          <w:sz w:val="24"/>
          <w:szCs w:val="24"/>
        </w:rPr>
        <w:t>glucose</w:t>
      </w:r>
      <w:proofErr w:type="spellEnd"/>
      <w:r w:rsidRPr="00E85B2D">
        <w:rPr>
          <w:sz w:val="24"/>
          <w:szCs w:val="24"/>
        </w:rPr>
        <w:t>/</w:t>
      </w:r>
      <w:proofErr w:type="spellStart"/>
      <w:r w:rsidRPr="00E85B2D">
        <w:rPr>
          <w:sz w:val="24"/>
          <w:szCs w:val="24"/>
        </w:rPr>
        <w:t>galactosemalabsorption</w:t>
      </w:r>
      <w:proofErr w:type="spellEnd"/>
      <w:r w:rsidRPr="00E85B2D">
        <w:rPr>
          <w:sz w:val="24"/>
          <w:szCs w:val="24"/>
        </w:rPr>
        <w:t xml:space="preserve"> og </w:t>
      </w:r>
      <w:proofErr w:type="spellStart"/>
      <w:r w:rsidRPr="00E85B2D">
        <w:rPr>
          <w:sz w:val="24"/>
          <w:szCs w:val="24"/>
        </w:rPr>
        <w:t>sucraseisomaltasemangel</w:t>
      </w:r>
      <w:proofErr w:type="spellEnd"/>
      <w:r w:rsidRPr="00E85B2D">
        <w:rPr>
          <w:sz w:val="24"/>
          <w:szCs w:val="24"/>
        </w:rPr>
        <w:t xml:space="preserve">. </w:t>
      </w:r>
    </w:p>
    <w:p w14:paraId="560CE78E" w14:textId="77777777" w:rsidR="00E85B2D" w:rsidRPr="00E85B2D" w:rsidRDefault="00E85B2D" w:rsidP="00E85B2D">
      <w:pPr>
        <w:tabs>
          <w:tab w:val="left" w:pos="851"/>
        </w:tabs>
        <w:ind w:left="851"/>
        <w:rPr>
          <w:sz w:val="24"/>
          <w:szCs w:val="24"/>
        </w:rPr>
      </w:pPr>
    </w:p>
    <w:p w14:paraId="0AE70651" w14:textId="1DDBF911" w:rsidR="00E85B2D" w:rsidRPr="00E85B2D" w:rsidRDefault="00E85B2D" w:rsidP="00E85B2D">
      <w:pPr>
        <w:tabs>
          <w:tab w:val="left" w:pos="851"/>
        </w:tabs>
        <w:ind w:left="851"/>
        <w:rPr>
          <w:i/>
          <w:iCs/>
          <w:sz w:val="24"/>
          <w:szCs w:val="24"/>
        </w:rPr>
      </w:pPr>
      <w:proofErr w:type="spellStart"/>
      <w:r w:rsidRPr="00E85B2D">
        <w:rPr>
          <w:i/>
          <w:iCs/>
          <w:sz w:val="24"/>
          <w:szCs w:val="24"/>
        </w:rPr>
        <w:t>Prasugrel</w:t>
      </w:r>
      <w:proofErr w:type="spellEnd"/>
      <w:r w:rsidRPr="00E85B2D">
        <w:rPr>
          <w:i/>
          <w:iCs/>
          <w:sz w:val="24"/>
          <w:szCs w:val="24"/>
        </w:rPr>
        <w:t xml:space="preserve"> </w:t>
      </w:r>
      <w:r w:rsidR="00C52F9A">
        <w:rPr>
          <w:i/>
          <w:iCs/>
          <w:sz w:val="24"/>
          <w:szCs w:val="24"/>
        </w:rPr>
        <w:t>"G.L. Pharma"</w:t>
      </w:r>
      <w:r w:rsidRPr="00E85B2D">
        <w:rPr>
          <w:i/>
          <w:iCs/>
          <w:sz w:val="24"/>
          <w:szCs w:val="24"/>
        </w:rPr>
        <w:t xml:space="preserve"> indeholder natrium</w:t>
      </w:r>
    </w:p>
    <w:p w14:paraId="5BEA0BB8" w14:textId="77777777" w:rsidR="00E85B2D" w:rsidRPr="00E85B2D" w:rsidRDefault="00E85B2D" w:rsidP="00E85B2D">
      <w:pPr>
        <w:tabs>
          <w:tab w:val="left" w:pos="851"/>
        </w:tabs>
        <w:ind w:left="851"/>
        <w:rPr>
          <w:sz w:val="24"/>
          <w:szCs w:val="24"/>
        </w:rPr>
      </w:pPr>
      <w:r w:rsidRPr="00E85B2D">
        <w:rPr>
          <w:sz w:val="24"/>
          <w:szCs w:val="24"/>
        </w:rPr>
        <w:t>Dette lægemiddel indeholder mindre end 1 mmol natrium (23 mg) pr. tablet, dvs. det er i det væsentlige natriumfrit.</w:t>
      </w:r>
    </w:p>
    <w:p w14:paraId="7C388AF2" w14:textId="77777777" w:rsidR="009260DE" w:rsidRPr="00C84483" w:rsidRDefault="009260DE" w:rsidP="009260DE">
      <w:pPr>
        <w:tabs>
          <w:tab w:val="left" w:pos="851"/>
        </w:tabs>
        <w:ind w:left="851"/>
        <w:rPr>
          <w:sz w:val="24"/>
          <w:szCs w:val="24"/>
        </w:rPr>
      </w:pPr>
    </w:p>
    <w:p w14:paraId="20375722"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3B43D284" w14:textId="77777777" w:rsidR="00D21C07" w:rsidRPr="00D21C07" w:rsidRDefault="00D21C07" w:rsidP="00D21C07">
      <w:pPr>
        <w:tabs>
          <w:tab w:val="left" w:pos="851"/>
        </w:tabs>
        <w:ind w:left="851"/>
        <w:rPr>
          <w:sz w:val="24"/>
          <w:szCs w:val="24"/>
        </w:rPr>
      </w:pPr>
    </w:p>
    <w:p w14:paraId="33EFF8AE" w14:textId="77777777" w:rsidR="00D21C07" w:rsidRPr="00D21C07" w:rsidRDefault="00D21C07" w:rsidP="00D21C07">
      <w:pPr>
        <w:tabs>
          <w:tab w:val="left" w:pos="851"/>
        </w:tabs>
        <w:ind w:left="851"/>
        <w:rPr>
          <w:sz w:val="24"/>
          <w:szCs w:val="24"/>
          <w:u w:val="single"/>
        </w:rPr>
      </w:pPr>
      <w:proofErr w:type="spellStart"/>
      <w:r w:rsidRPr="00D21C07">
        <w:rPr>
          <w:sz w:val="24"/>
          <w:szCs w:val="24"/>
          <w:u w:val="single"/>
        </w:rPr>
        <w:t>Warfarin</w:t>
      </w:r>
      <w:proofErr w:type="spellEnd"/>
    </w:p>
    <w:p w14:paraId="1824062D" w14:textId="77777777" w:rsidR="00D21C07" w:rsidRPr="00D21C07" w:rsidRDefault="00D21C07" w:rsidP="00D21C07">
      <w:pPr>
        <w:tabs>
          <w:tab w:val="left" w:pos="851"/>
        </w:tabs>
        <w:ind w:left="851"/>
        <w:rPr>
          <w:sz w:val="24"/>
          <w:szCs w:val="24"/>
        </w:rPr>
      </w:pPr>
      <w:r w:rsidRPr="00D21C07">
        <w:rPr>
          <w:sz w:val="24"/>
          <w:szCs w:val="24"/>
        </w:rPr>
        <w:t xml:space="preserve">Administration af </w:t>
      </w:r>
      <w:proofErr w:type="spellStart"/>
      <w:r w:rsidRPr="00D21C07">
        <w:rPr>
          <w:sz w:val="24"/>
          <w:szCs w:val="24"/>
        </w:rPr>
        <w:t>prasugrel</w:t>
      </w:r>
      <w:proofErr w:type="spellEnd"/>
      <w:r w:rsidRPr="00D21C07">
        <w:rPr>
          <w:sz w:val="24"/>
          <w:szCs w:val="24"/>
        </w:rPr>
        <w:t xml:space="preserve"> samtidigt med andre </w:t>
      </w:r>
      <w:proofErr w:type="spellStart"/>
      <w:r w:rsidRPr="00D21C07">
        <w:rPr>
          <w:sz w:val="24"/>
          <w:szCs w:val="24"/>
        </w:rPr>
        <w:t>kumarinderivater</w:t>
      </w:r>
      <w:proofErr w:type="spellEnd"/>
      <w:r w:rsidRPr="00D21C07">
        <w:rPr>
          <w:sz w:val="24"/>
          <w:szCs w:val="24"/>
        </w:rPr>
        <w:t xml:space="preserve"> end </w:t>
      </w:r>
      <w:proofErr w:type="spellStart"/>
      <w:r w:rsidRPr="00D21C07">
        <w:rPr>
          <w:sz w:val="24"/>
          <w:szCs w:val="24"/>
        </w:rPr>
        <w:t>warfarin</w:t>
      </w:r>
      <w:proofErr w:type="spellEnd"/>
      <w:r w:rsidRPr="00D21C07">
        <w:rPr>
          <w:sz w:val="24"/>
          <w:szCs w:val="24"/>
        </w:rPr>
        <w:t xml:space="preserve"> er ikke blevet undersøgt. På grund af muligheden for øget risiko for blødning, bør </w:t>
      </w:r>
      <w:proofErr w:type="spellStart"/>
      <w:r w:rsidRPr="00D21C07">
        <w:rPr>
          <w:sz w:val="24"/>
          <w:szCs w:val="24"/>
        </w:rPr>
        <w:t>warfarin</w:t>
      </w:r>
      <w:proofErr w:type="spellEnd"/>
      <w:r w:rsidRPr="00D21C07">
        <w:rPr>
          <w:sz w:val="24"/>
          <w:szCs w:val="24"/>
        </w:rPr>
        <w:t xml:space="preserve"> (eller andre </w:t>
      </w:r>
      <w:proofErr w:type="spellStart"/>
      <w:r w:rsidRPr="00D21C07">
        <w:rPr>
          <w:sz w:val="24"/>
          <w:szCs w:val="24"/>
        </w:rPr>
        <w:t>coumarinderivater</w:t>
      </w:r>
      <w:proofErr w:type="spellEnd"/>
      <w:r w:rsidRPr="00D21C07">
        <w:rPr>
          <w:sz w:val="24"/>
          <w:szCs w:val="24"/>
        </w:rPr>
        <w:t xml:space="preserve">) og </w:t>
      </w:r>
      <w:proofErr w:type="spellStart"/>
      <w:r w:rsidRPr="00D21C07">
        <w:rPr>
          <w:sz w:val="24"/>
          <w:szCs w:val="24"/>
        </w:rPr>
        <w:t>prasugrel</w:t>
      </w:r>
      <w:proofErr w:type="spellEnd"/>
      <w:r w:rsidRPr="00D21C07">
        <w:rPr>
          <w:sz w:val="24"/>
          <w:szCs w:val="24"/>
        </w:rPr>
        <w:t xml:space="preserve"> administreres samtidigt med forsigtighed (se pkt. 4.4).</w:t>
      </w:r>
    </w:p>
    <w:p w14:paraId="390DB375" w14:textId="77777777" w:rsidR="00D21C07" w:rsidRPr="00D21C07" w:rsidRDefault="00D21C07" w:rsidP="00D21C07">
      <w:pPr>
        <w:tabs>
          <w:tab w:val="left" w:pos="851"/>
        </w:tabs>
        <w:ind w:left="851"/>
        <w:rPr>
          <w:sz w:val="24"/>
          <w:szCs w:val="24"/>
        </w:rPr>
      </w:pPr>
    </w:p>
    <w:p w14:paraId="5DAA5170" w14:textId="77777777" w:rsidR="00D21C07" w:rsidRPr="00D21C07" w:rsidRDefault="00D21C07" w:rsidP="00D21C07">
      <w:pPr>
        <w:tabs>
          <w:tab w:val="left" w:pos="851"/>
        </w:tabs>
        <w:ind w:left="851"/>
        <w:rPr>
          <w:sz w:val="24"/>
          <w:szCs w:val="24"/>
          <w:u w:val="single"/>
        </w:rPr>
      </w:pPr>
      <w:r w:rsidRPr="00D21C07">
        <w:rPr>
          <w:sz w:val="24"/>
          <w:szCs w:val="24"/>
          <w:u w:val="single"/>
        </w:rPr>
        <w:t>Ikke-</w:t>
      </w:r>
      <w:proofErr w:type="spellStart"/>
      <w:r w:rsidRPr="00D21C07">
        <w:rPr>
          <w:sz w:val="24"/>
          <w:szCs w:val="24"/>
          <w:u w:val="single"/>
        </w:rPr>
        <w:t>steroide</w:t>
      </w:r>
      <w:proofErr w:type="spellEnd"/>
      <w:r w:rsidRPr="00D21C07">
        <w:rPr>
          <w:sz w:val="24"/>
          <w:szCs w:val="24"/>
          <w:u w:val="single"/>
        </w:rPr>
        <w:t xml:space="preserve"> antiinflammatoriske lægemidler (</w:t>
      </w:r>
      <w:proofErr w:type="spellStart"/>
      <w:r w:rsidRPr="00D21C07">
        <w:rPr>
          <w:sz w:val="24"/>
          <w:szCs w:val="24"/>
          <w:u w:val="single"/>
        </w:rPr>
        <w:t>NSAIDs</w:t>
      </w:r>
      <w:proofErr w:type="spellEnd"/>
      <w:r w:rsidRPr="00D21C07">
        <w:rPr>
          <w:sz w:val="24"/>
          <w:szCs w:val="24"/>
          <w:u w:val="single"/>
        </w:rPr>
        <w:t>)</w:t>
      </w:r>
    </w:p>
    <w:p w14:paraId="6A032FE5" w14:textId="77777777" w:rsidR="00D21C07" w:rsidRPr="00D21C07" w:rsidRDefault="00D21C07" w:rsidP="00D21C07">
      <w:pPr>
        <w:tabs>
          <w:tab w:val="left" w:pos="851"/>
        </w:tabs>
        <w:ind w:left="851"/>
        <w:rPr>
          <w:sz w:val="24"/>
          <w:szCs w:val="24"/>
        </w:rPr>
      </w:pPr>
      <w:r w:rsidRPr="00D21C07">
        <w:rPr>
          <w:sz w:val="24"/>
          <w:szCs w:val="24"/>
        </w:rPr>
        <w:t xml:space="preserve">Administration samtidigt med vedvarende behandling med </w:t>
      </w:r>
      <w:proofErr w:type="spellStart"/>
      <w:r w:rsidRPr="00D21C07">
        <w:rPr>
          <w:sz w:val="24"/>
          <w:szCs w:val="24"/>
        </w:rPr>
        <w:t>NSAIDs</w:t>
      </w:r>
      <w:proofErr w:type="spellEnd"/>
      <w:r w:rsidRPr="00D21C07">
        <w:rPr>
          <w:sz w:val="24"/>
          <w:szCs w:val="24"/>
        </w:rPr>
        <w:t xml:space="preserve"> er ikke undersøgt. På grund af muligheden for øget blødningsrisiko bør kombinationen af vedvarende behandling med </w:t>
      </w:r>
      <w:proofErr w:type="spellStart"/>
      <w:r w:rsidRPr="00D21C07">
        <w:rPr>
          <w:sz w:val="24"/>
          <w:szCs w:val="24"/>
        </w:rPr>
        <w:t>NSAIDs</w:t>
      </w:r>
      <w:proofErr w:type="spellEnd"/>
      <w:r w:rsidRPr="00D21C07">
        <w:rPr>
          <w:sz w:val="24"/>
          <w:szCs w:val="24"/>
        </w:rPr>
        <w:t xml:space="preserve"> (inklusive COX-2 </w:t>
      </w:r>
      <w:proofErr w:type="spellStart"/>
      <w:r w:rsidRPr="00D21C07">
        <w:rPr>
          <w:sz w:val="24"/>
          <w:szCs w:val="24"/>
        </w:rPr>
        <w:t>hæmmere</w:t>
      </w:r>
      <w:proofErr w:type="spellEnd"/>
      <w:r w:rsidRPr="00D21C07">
        <w:rPr>
          <w:sz w:val="24"/>
          <w:szCs w:val="24"/>
        </w:rPr>
        <w:t xml:space="preserve">) og </w:t>
      </w:r>
      <w:proofErr w:type="spellStart"/>
      <w:r w:rsidRPr="00D21C07">
        <w:rPr>
          <w:sz w:val="24"/>
          <w:szCs w:val="24"/>
        </w:rPr>
        <w:t>prasugrel</w:t>
      </w:r>
      <w:proofErr w:type="spellEnd"/>
      <w:r w:rsidRPr="00D21C07">
        <w:rPr>
          <w:sz w:val="24"/>
          <w:szCs w:val="24"/>
        </w:rPr>
        <w:t xml:space="preserve"> administreres med forsigtighed (se pkt. 4.4).</w:t>
      </w:r>
    </w:p>
    <w:p w14:paraId="175147D9" w14:textId="77777777" w:rsidR="00D21C07" w:rsidRPr="00D21C07" w:rsidRDefault="00D21C07" w:rsidP="00D21C07">
      <w:pPr>
        <w:tabs>
          <w:tab w:val="left" w:pos="851"/>
        </w:tabs>
        <w:ind w:left="851"/>
        <w:rPr>
          <w:sz w:val="24"/>
          <w:szCs w:val="24"/>
        </w:rPr>
      </w:pPr>
    </w:p>
    <w:p w14:paraId="243E19A3" w14:textId="77777777" w:rsidR="00D21C07" w:rsidRPr="00D21C07" w:rsidRDefault="00D21C07" w:rsidP="00D21C07">
      <w:pPr>
        <w:tabs>
          <w:tab w:val="left" w:pos="851"/>
        </w:tabs>
        <w:ind w:left="851"/>
        <w:rPr>
          <w:sz w:val="24"/>
          <w:szCs w:val="24"/>
        </w:rPr>
      </w:pPr>
      <w:proofErr w:type="spellStart"/>
      <w:r w:rsidRPr="00D21C07">
        <w:rPr>
          <w:sz w:val="24"/>
          <w:szCs w:val="24"/>
        </w:rPr>
        <w:t>Prasugrel</w:t>
      </w:r>
      <w:proofErr w:type="spellEnd"/>
      <w:r w:rsidRPr="00D21C07">
        <w:rPr>
          <w:sz w:val="24"/>
          <w:szCs w:val="24"/>
        </w:rPr>
        <w:t xml:space="preserve"> kan administreres samtidigt med lægemidler, som </w:t>
      </w:r>
      <w:proofErr w:type="spellStart"/>
      <w:r w:rsidRPr="00D21C07">
        <w:rPr>
          <w:sz w:val="24"/>
          <w:szCs w:val="24"/>
        </w:rPr>
        <w:t>metaboliseres</w:t>
      </w:r>
      <w:proofErr w:type="spellEnd"/>
      <w:r w:rsidRPr="00D21C07">
        <w:rPr>
          <w:sz w:val="24"/>
          <w:szCs w:val="24"/>
        </w:rPr>
        <w:t xml:space="preserve"> af </w:t>
      </w:r>
      <w:proofErr w:type="spellStart"/>
      <w:r w:rsidRPr="00D21C07">
        <w:rPr>
          <w:sz w:val="24"/>
          <w:szCs w:val="24"/>
        </w:rPr>
        <w:t>cytokrom</w:t>
      </w:r>
      <w:proofErr w:type="spellEnd"/>
      <w:r w:rsidRPr="00D21C07">
        <w:rPr>
          <w:sz w:val="24"/>
          <w:szCs w:val="24"/>
        </w:rPr>
        <w:t xml:space="preserve"> P450-enzymer (inklusive </w:t>
      </w:r>
      <w:proofErr w:type="spellStart"/>
      <w:r w:rsidRPr="00D21C07">
        <w:rPr>
          <w:sz w:val="24"/>
          <w:szCs w:val="24"/>
        </w:rPr>
        <w:t>statiner</w:t>
      </w:r>
      <w:proofErr w:type="spellEnd"/>
      <w:r w:rsidRPr="00D21C07">
        <w:rPr>
          <w:sz w:val="24"/>
          <w:szCs w:val="24"/>
        </w:rPr>
        <w:t xml:space="preserve">), eller lægemidler, som inducerer eller inhiberer </w:t>
      </w:r>
      <w:proofErr w:type="spellStart"/>
      <w:r w:rsidRPr="00D21C07">
        <w:rPr>
          <w:sz w:val="24"/>
          <w:szCs w:val="24"/>
        </w:rPr>
        <w:t>cytokrom</w:t>
      </w:r>
      <w:proofErr w:type="spellEnd"/>
      <w:r w:rsidRPr="00D21C07">
        <w:rPr>
          <w:sz w:val="24"/>
          <w:szCs w:val="24"/>
        </w:rPr>
        <w:t xml:space="preserve"> P450-enzymer. </w:t>
      </w:r>
      <w:proofErr w:type="spellStart"/>
      <w:r w:rsidRPr="00D21C07">
        <w:rPr>
          <w:sz w:val="24"/>
          <w:szCs w:val="24"/>
        </w:rPr>
        <w:t>prasugrel</w:t>
      </w:r>
      <w:proofErr w:type="spellEnd"/>
      <w:r w:rsidRPr="00D21C07">
        <w:rPr>
          <w:sz w:val="24"/>
          <w:szCs w:val="24"/>
        </w:rPr>
        <w:t xml:space="preserve"> kan ligeledes administreres samtidigt med ASA, </w:t>
      </w:r>
      <w:proofErr w:type="spellStart"/>
      <w:r w:rsidRPr="00D21C07">
        <w:rPr>
          <w:sz w:val="24"/>
          <w:szCs w:val="24"/>
        </w:rPr>
        <w:t>heparin</w:t>
      </w:r>
      <w:proofErr w:type="spellEnd"/>
      <w:r w:rsidRPr="00D21C07">
        <w:rPr>
          <w:sz w:val="24"/>
          <w:szCs w:val="24"/>
        </w:rPr>
        <w:t xml:space="preserve">, </w:t>
      </w:r>
      <w:proofErr w:type="spellStart"/>
      <w:r w:rsidRPr="00D21C07">
        <w:rPr>
          <w:sz w:val="24"/>
          <w:szCs w:val="24"/>
        </w:rPr>
        <w:t>digoxin</w:t>
      </w:r>
      <w:proofErr w:type="spellEnd"/>
      <w:r w:rsidRPr="00D21C07">
        <w:rPr>
          <w:sz w:val="24"/>
          <w:szCs w:val="24"/>
        </w:rPr>
        <w:t xml:space="preserve"> og lægemidler, som øger mavens pH, inklusive </w:t>
      </w:r>
      <w:proofErr w:type="spellStart"/>
      <w:r w:rsidRPr="00D21C07">
        <w:rPr>
          <w:sz w:val="24"/>
          <w:szCs w:val="24"/>
        </w:rPr>
        <w:t>protonpumpehæmmere</w:t>
      </w:r>
      <w:proofErr w:type="spellEnd"/>
      <w:r w:rsidRPr="00D21C07">
        <w:rPr>
          <w:sz w:val="24"/>
          <w:szCs w:val="24"/>
        </w:rPr>
        <w:t xml:space="preserve"> og H2-blokkere. Selv om der ikke er udført specifikke interaktionsforsøg, har </w:t>
      </w:r>
      <w:proofErr w:type="spellStart"/>
      <w:r w:rsidRPr="00D21C07">
        <w:rPr>
          <w:sz w:val="24"/>
          <w:szCs w:val="24"/>
        </w:rPr>
        <w:t>prasugrel</w:t>
      </w:r>
      <w:proofErr w:type="spellEnd"/>
      <w:r w:rsidRPr="00D21C07">
        <w:rPr>
          <w:sz w:val="24"/>
          <w:szCs w:val="24"/>
        </w:rPr>
        <w:t xml:space="preserve"> været administreret samtidigt i det kliniske fase 3-forsøg med lavmolekylært </w:t>
      </w:r>
      <w:proofErr w:type="spellStart"/>
      <w:r w:rsidRPr="00D21C07">
        <w:rPr>
          <w:sz w:val="24"/>
          <w:szCs w:val="24"/>
        </w:rPr>
        <w:t>heparin</w:t>
      </w:r>
      <w:proofErr w:type="spellEnd"/>
      <w:r w:rsidRPr="00D21C07">
        <w:rPr>
          <w:sz w:val="24"/>
          <w:szCs w:val="24"/>
        </w:rPr>
        <w:t xml:space="preserve">, </w:t>
      </w:r>
      <w:proofErr w:type="spellStart"/>
      <w:r w:rsidRPr="00D21C07">
        <w:rPr>
          <w:sz w:val="24"/>
          <w:szCs w:val="24"/>
        </w:rPr>
        <w:t>bivalirudin</w:t>
      </w:r>
      <w:proofErr w:type="spellEnd"/>
      <w:r w:rsidRPr="00D21C07">
        <w:rPr>
          <w:sz w:val="24"/>
          <w:szCs w:val="24"/>
        </w:rPr>
        <w:t xml:space="preserve"> og GP </w:t>
      </w:r>
      <w:proofErr w:type="spellStart"/>
      <w:r w:rsidRPr="00D21C07">
        <w:rPr>
          <w:sz w:val="24"/>
          <w:szCs w:val="24"/>
        </w:rPr>
        <w:t>IIb</w:t>
      </w:r>
      <w:proofErr w:type="spellEnd"/>
      <w:r w:rsidRPr="00D21C07">
        <w:rPr>
          <w:sz w:val="24"/>
          <w:szCs w:val="24"/>
        </w:rPr>
        <w:t>/</w:t>
      </w:r>
      <w:proofErr w:type="spellStart"/>
      <w:r w:rsidRPr="00D21C07">
        <w:rPr>
          <w:sz w:val="24"/>
          <w:szCs w:val="24"/>
        </w:rPr>
        <w:t>IIIa</w:t>
      </w:r>
      <w:proofErr w:type="spellEnd"/>
      <w:r w:rsidRPr="00D21C07">
        <w:rPr>
          <w:sz w:val="24"/>
          <w:szCs w:val="24"/>
        </w:rPr>
        <w:t xml:space="preserve">-inhibitorer (der foreligger ingen information om den anvendte type GP </w:t>
      </w:r>
      <w:proofErr w:type="spellStart"/>
      <w:r w:rsidRPr="00D21C07">
        <w:rPr>
          <w:sz w:val="24"/>
          <w:szCs w:val="24"/>
        </w:rPr>
        <w:t>IIb</w:t>
      </w:r>
      <w:proofErr w:type="spellEnd"/>
      <w:r w:rsidRPr="00D21C07">
        <w:rPr>
          <w:sz w:val="24"/>
          <w:szCs w:val="24"/>
        </w:rPr>
        <w:t>/</w:t>
      </w:r>
      <w:proofErr w:type="spellStart"/>
      <w:r w:rsidRPr="00D21C07">
        <w:rPr>
          <w:sz w:val="24"/>
          <w:szCs w:val="24"/>
        </w:rPr>
        <w:t>IIIa</w:t>
      </w:r>
      <w:proofErr w:type="spellEnd"/>
      <w:r w:rsidRPr="00D21C07">
        <w:rPr>
          <w:sz w:val="24"/>
          <w:szCs w:val="24"/>
        </w:rPr>
        <w:t>-inhibitor) uden tegn på klinisk signifikante uønskede interaktioner.</w:t>
      </w:r>
    </w:p>
    <w:p w14:paraId="7D6A58D4" w14:textId="77777777" w:rsidR="00D21C07" w:rsidRPr="00D21C07" w:rsidRDefault="00D21C07" w:rsidP="00D21C07">
      <w:pPr>
        <w:tabs>
          <w:tab w:val="left" w:pos="851"/>
        </w:tabs>
        <w:ind w:left="851"/>
        <w:rPr>
          <w:sz w:val="24"/>
          <w:szCs w:val="24"/>
        </w:rPr>
      </w:pPr>
    </w:p>
    <w:p w14:paraId="73DEBC51" w14:textId="77777777" w:rsidR="00D21C07" w:rsidRPr="00D21C07" w:rsidRDefault="00D21C07" w:rsidP="00D21C07">
      <w:pPr>
        <w:tabs>
          <w:tab w:val="left" w:pos="851"/>
        </w:tabs>
        <w:ind w:left="851"/>
        <w:rPr>
          <w:sz w:val="24"/>
          <w:szCs w:val="24"/>
          <w:u w:val="single"/>
        </w:rPr>
      </w:pPr>
      <w:r w:rsidRPr="00D21C07">
        <w:rPr>
          <w:sz w:val="24"/>
          <w:szCs w:val="24"/>
          <w:u w:val="single"/>
        </w:rPr>
        <w:t xml:space="preserve">Virkninger af andre lægemidler på </w:t>
      </w:r>
      <w:proofErr w:type="spellStart"/>
      <w:r w:rsidRPr="00D21C07">
        <w:rPr>
          <w:sz w:val="24"/>
          <w:szCs w:val="24"/>
          <w:u w:val="single"/>
        </w:rPr>
        <w:t>prasugrel</w:t>
      </w:r>
      <w:proofErr w:type="spellEnd"/>
      <w:r w:rsidRPr="00D21C07">
        <w:rPr>
          <w:sz w:val="24"/>
          <w:szCs w:val="24"/>
          <w:u w:val="single"/>
        </w:rPr>
        <w:t xml:space="preserve"> </w:t>
      </w:r>
    </w:p>
    <w:p w14:paraId="42EB60A5" w14:textId="77777777" w:rsidR="00D21C07" w:rsidRPr="00D21C07" w:rsidRDefault="00D21C07" w:rsidP="00D21C07">
      <w:pPr>
        <w:tabs>
          <w:tab w:val="left" w:pos="851"/>
        </w:tabs>
        <w:ind w:left="851"/>
        <w:rPr>
          <w:sz w:val="24"/>
          <w:szCs w:val="24"/>
        </w:rPr>
      </w:pPr>
    </w:p>
    <w:p w14:paraId="5AE75F19" w14:textId="77777777" w:rsidR="00D21C07" w:rsidRPr="00D21C07" w:rsidRDefault="00D21C07" w:rsidP="00D21C07">
      <w:pPr>
        <w:tabs>
          <w:tab w:val="left" w:pos="851"/>
        </w:tabs>
        <w:ind w:left="851"/>
        <w:rPr>
          <w:i/>
          <w:iCs/>
          <w:sz w:val="24"/>
          <w:szCs w:val="24"/>
        </w:rPr>
      </w:pPr>
      <w:r w:rsidRPr="00D21C07">
        <w:rPr>
          <w:i/>
          <w:iCs/>
          <w:sz w:val="24"/>
          <w:szCs w:val="24"/>
        </w:rPr>
        <w:t>Acetylsalicylsyre</w:t>
      </w:r>
    </w:p>
    <w:p w14:paraId="79383505" w14:textId="77777777" w:rsidR="00D21C07" w:rsidRPr="00D21C07" w:rsidRDefault="00D21C07" w:rsidP="00D21C07">
      <w:pPr>
        <w:tabs>
          <w:tab w:val="left" w:pos="851"/>
        </w:tabs>
        <w:ind w:left="851"/>
        <w:rPr>
          <w:sz w:val="24"/>
          <w:szCs w:val="24"/>
        </w:rPr>
      </w:pPr>
      <w:proofErr w:type="spellStart"/>
      <w:r w:rsidRPr="00D21C07">
        <w:rPr>
          <w:sz w:val="24"/>
          <w:szCs w:val="24"/>
        </w:rPr>
        <w:t>Prasugrel</w:t>
      </w:r>
      <w:proofErr w:type="spellEnd"/>
      <w:r w:rsidRPr="00D21C07">
        <w:rPr>
          <w:sz w:val="24"/>
          <w:szCs w:val="24"/>
        </w:rPr>
        <w:t xml:space="preserve"> er beregnet til at blive administreret samtidigt med acetylsalicylsyre (ASA). Demonstrationen af </w:t>
      </w:r>
      <w:proofErr w:type="spellStart"/>
      <w:r w:rsidRPr="00D21C07">
        <w:rPr>
          <w:sz w:val="24"/>
          <w:szCs w:val="24"/>
        </w:rPr>
        <w:t>prasugrels</w:t>
      </w:r>
      <w:proofErr w:type="spellEnd"/>
      <w:r w:rsidRPr="00D21C07">
        <w:rPr>
          <w:sz w:val="24"/>
          <w:szCs w:val="24"/>
        </w:rPr>
        <w:t xml:space="preserve"> effekt og sikkerhed stammer fra patienter i samtidig behandling med ASA, selv om der er mulighed for en </w:t>
      </w:r>
      <w:proofErr w:type="spellStart"/>
      <w:r w:rsidRPr="00D21C07">
        <w:rPr>
          <w:sz w:val="24"/>
          <w:szCs w:val="24"/>
        </w:rPr>
        <w:t>farmakodynamisk</w:t>
      </w:r>
      <w:proofErr w:type="spellEnd"/>
      <w:r w:rsidRPr="00D21C07">
        <w:rPr>
          <w:sz w:val="24"/>
          <w:szCs w:val="24"/>
        </w:rPr>
        <w:t xml:space="preserve"> interaktion med ASA, som kan medføre en øget blødningsrisiko.</w:t>
      </w:r>
    </w:p>
    <w:p w14:paraId="7C56F314" w14:textId="77777777" w:rsidR="00D21C07" w:rsidRPr="00D21C07" w:rsidRDefault="00D21C07" w:rsidP="00D21C07">
      <w:pPr>
        <w:tabs>
          <w:tab w:val="left" w:pos="851"/>
        </w:tabs>
        <w:ind w:left="851"/>
        <w:rPr>
          <w:sz w:val="24"/>
          <w:szCs w:val="24"/>
        </w:rPr>
      </w:pPr>
    </w:p>
    <w:p w14:paraId="2EB8469F" w14:textId="77777777" w:rsidR="00D21C07" w:rsidRPr="00D21C07" w:rsidRDefault="00D21C07" w:rsidP="00D21C07">
      <w:pPr>
        <w:tabs>
          <w:tab w:val="left" w:pos="851"/>
        </w:tabs>
        <w:ind w:left="851"/>
        <w:rPr>
          <w:i/>
          <w:iCs/>
          <w:sz w:val="24"/>
          <w:szCs w:val="24"/>
        </w:rPr>
      </w:pPr>
      <w:proofErr w:type="spellStart"/>
      <w:r w:rsidRPr="00D21C07">
        <w:rPr>
          <w:i/>
          <w:iCs/>
          <w:sz w:val="24"/>
          <w:szCs w:val="24"/>
        </w:rPr>
        <w:t>Heparin</w:t>
      </w:r>
      <w:proofErr w:type="spellEnd"/>
    </w:p>
    <w:p w14:paraId="6E79FB14" w14:textId="77777777" w:rsidR="00D21C07" w:rsidRPr="00D21C07" w:rsidRDefault="00D21C07" w:rsidP="00D21C07">
      <w:pPr>
        <w:tabs>
          <w:tab w:val="left" w:pos="851"/>
        </w:tabs>
        <w:ind w:left="851"/>
        <w:rPr>
          <w:sz w:val="24"/>
          <w:szCs w:val="24"/>
        </w:rPr>
      </w:pPr>
      <w:r w:rsidRPr="00D21C07">
        <w:rPr>
          <w:sz w:val="24"/>
          <w:szCs w:val="24"/>
        </w:rPr>
        <w:t xml:space="preserve">En enkelt intravenøs </w:t>
      </w:r>
      <w:proofErr w:type="spellStart"/>
      <w:r w:rsidRPr="00D21C07">
        <w:rPr>
          <w:sz w:val="24"/>
          <w:szCs w:val="24"/>
        </w:rPr>
        <w:t>bolusdosis</w:t>
      </w:r>
      <w:proofErr w:type="spellEnd"/>
      <w:r w:rsidRPr="00D21C07">
        <w:rPr>
          <w:sz w:val="24"/>
          <w:szCs w:val="24"/>
        </w:rPr>
        <w:t xml:space="preserve"> af </w:t>
      </w:r>
      <w:proofErr w:type="spellStart"/>
      <w:r w:rsidRPr="00D21C07">
        <w:rPr>
          <w:sz w:val="24"/>
          <w:szCs w:val="24"/>
        </w:rPr>
        <w:t>ufraktioneret</w:t>
      </w:r>
      <w:proofErr w:type="spellEnd"/>
      <w:r w:rsidRPr="00D21C07">
        <w:rPr>
          <w:sz w:val="24"/>
          <w:szCs w:val="24"/>
        </w:rPr>
        <w:t xml:space="preserve"> </w:t>
      </w:r>
      <w:proofErr w:type="spellStart"/>
      <w:r w:rsidRPr="00D21C07">
        <w:rPr>
          <w:sz w:val="24"/>
          <w:szCs w:val="24"/>
        </w:rPr>
        <w:t>heparin</w:t>
      </w:r>
      <w:proofErr w:type="spellEnd"/>
      <w:r w:rsidRPr="00D21C07">
        <w:rPr>
          <w:sz w:val="24"/>
          <w:szCs w:val="24"/>
        </w:rPr>
        <w:t xml:space="preserve"> (100 U/kg) forandrede ikke signifikant den </w:t>
      </w:r>
      <w:proofErr w:type="spellStart"/>
      <w:r w:rsidRPr="00D21C07">
        <w:rPr>
          <w:sz w:val="24"/>
          <w:szCs w:val="24"/>
        </w:rPr>
        <w:t>prasugrelmedierede</w:t>
      </w:r>
      <w:proofErr w:type="spellEnd"/>
      <w:r w:rsidRPr="00D21C07">
        <w:rPr>
          <w:sz w:val="24"/>
          <w:szCs w:val="24"/>
        </w:rPr>
        <w:t xml:space="preserve"> hæmning af blodpladeaggregering. Ligeledes ændrede </w:t>
      </w:r>
      <w:proofErr w:type="spellStart"/>
      <w:r w:rsidRPr="00D21C07">
        <w:rPr>
          <w:sz w:val="24"/>
          <w:szCs w:val="24"/>
        </w:rPr>
        <w:t>prasugrel</w:t>
      </w:r>
      <w:proofErr w:type="spellEnd"/>
      <w:r w:rsidRPr="00D21C07">
        <w:rPr>
          <w:sz w:val="24"/>
          <w:szCs w:val="24"/>
        </w:rPr>
        <w:t xml:space="preserve"> ikke </w:t>
      </w:r>
      <w:proofErr w:type="gramStart"/>
      <w:r w:rsidRPr="00D21C07">
        <w:rPr>
          <w:sz w:val="24"/>
          <w:szCs w:val="24"/>
        </w:rPr>
        <w:t>signifikant virkningen</w:t>
      </w:r>
      <w:proofErr w:type="gramEnd"/>
      <w:r w:rsidRPr="00D21C07">
        <w:rPr>
          <w:sz w:val="24"/>
          <w:szCs w:val="24"/>
        </w:rPr>
        <w:t xml:space="preserve"> af </w:t>
      </w:r>
      <w:proofErr w:type="spellStart"/>
      <w:r w:rsidRPr="00D21C07">
        <w:rPr>
          <w:sz w:val="24"/>
          <w:szCs w:val="24"/>
        </w:rPr>
        <w:t>heparin</w:t>
      </w:r>
      <w:proofErr w:type="spellEnd"/>
      <w:r w:rsidRPr="00D21C07">
        <w:rPr>
          <w:sz w:val="24"/>
          <w:szCs w:val="24"/>
        </w:rPr>
        <w:t xml:space="preserve"> på koagulationsmålinger. Begge lægemidler kan derfor administreres samtidigt. Der er en mulig øget blødningsrisiko, når </w:t>
      </w:r>
      <w:proofErr w:type="spellStart"/>
      <w:r w:rsidRPr="00D21C07">
        <w:rPr>
          <w:sz w:val="24"/>
          <w:szCs w:val="24"/>
        </w:rPr>
        <w:t>prasugrel</w:t>
      </w:r>
      <w:proofErr w:type="spellEnd"/>
      <w:r w:rsidRPr="00D21C07">
        <w:rPr>
          <w:sz w:val="24"/>
          <w:szCs w:val="24"/>
        </w:rPr>
        <w:t xml:space="preserve"> administreres i kombination med </w:t>
      </w:r>
      <w:proofErr w:type="spellStart"/>
      <w:r w:rsidRPr="00D21C07">
        <w:rPr>
          <w:sz w:val="24"/>
          <w:szCs w:val="24"/>
        </w:rPr>
        <w:t>heparin</w:t>
      </w:r>
      <w:proofErr w:type="spellEnd"/>
      <w:r w:rsidRPr="00D21C07">
        <w:rPr>
          <w:sz w:val="24"/>
          <w:szCs w:val="24"/>
        </w:rPr>
        <w:t>.</w:t>
      </w:r>
    </w:p>
    <w:p w14:paraId="58A22CBE" w14:textId="77777777" w:rsidR="00D21C07" w:rsidRPr="00D21C07" w:rsidRDefault="00D21C07" w:rsidP="00D21C07">
      <w:pPr>
        <w:tabs>
          <w:tab w:val="left" w:pos="851"/>
        </w:tabs>
        <w:ind w:left="851"/>
        <w:rPr>
          <w:sz w:val="24"/>
          <w:szCs w:val="24"/>
        </w:rPr>
      </w:pPr>
    </w:p>
    <w:p w14:paraId="609B663D" w14:textId="77777777" w:rsidR="00D21C07" w:rsidRPr="00D21C07" w:rsidRDefault="00D21C07" w:rsidP="00D21C07">
      <w:pPr>
        <w:tabs>
          <w:tab w:val="left" w:pos="851"/>
        </w:tabs>
        <w:ind w:left="851"/>
        <w:rPr>
          <w:i/>
          <w:iCs/>
          <w:sz w:val="24"/>
          <w:szCs w:val="24"/>
        </w:rPr>
      </w:pPr>
      <w:proofErr w:type="spellStart"/>
      <w:r w:rsidRPr="00D21C07">
        <w:rPr>
          <w:i/>
          <w:iCs/>
          <w:sz w:val="24"/>
          <w:szCs w:val="24"/>
        </w:rPr>
        <w:t>Statiner</w:t>
      </w:r>
      <w:proofErr w:type="spellEnd"/>
    </w:p>
    <w:p w14:paraId="44AE1D9B" w14:textId="77777777" w:rsidR="00D21C07" w:rsidRPr="00D21C07" w:rsidRDefault="00D21C07" w:rsidP="00D21C07">
      <w:pPr>
        <w:tabs>
          <w:tab w:val="left" w:pos="851"/>
        </w:tabs>
        <w:ind w:left="851"/>
        <w:rPr>
          <w:sz w:val="24"/>
          <w:szCs w:val="24"/>
        </w:rPr>
      </w:pPr>
      <w:proofErr w:type="spellStart"/>
      <w:r w:rsidRPr="00D21C07">
        <w:rPr>
          <w:sz w:val="24"/>
          <w:szCs w:val="24"/>
        </w:rPr>
        <w:t>Atorvastatin</w:t>
      </w:r>
      <w:proofErr w:type="spellEnd"/>
      <w:r w:rsidRPr="00D21C07">
        <w:rPr>
          <w:sz w:val="24"/>
          <w:szCs w:val="24"/>
        </w:rPr>
        <w:t xml:space="preserve"> (80 mg dagligt) ændrede ikke </w:t>
      </w:r>
      <w:proofErr w:type="spellStart"/>
      <w:r w:rsidRPr="00D21C07">
        <w:rPr>
          <w:sz w:val="24"/>
          <w:szCs w:val="24"/>
        </w:rPr>
        <w:t>prasugrels</w:t>
      </w:r>
      <w:proofErr w:type="spellEnd"/>
      <w:r w:rsidRPr="00D21C07">
        <w:rPr>
          <w:sz w:val="24"/>
          <w:szCs w:val="24"/>
        </w:rPr>
        <w:t xml:space="preserve"> farmakokinetik og dets hæmning af blodpladeaggregering. </w:t>
      </w:r>
      <w:proofErr w:type="spellStart"/>
      <w:r w:rsidRPr="00D21C07">
        <w:rPr>
          <w:sz w:val="24"/>
          <w:szCs w:val="24"/>
        </w:rPr>
        <w:t>Statiner</w:t>
      </w:r>
      <w:proofErr w:type="spellEnd"/>
      <w:r w:rsidRPr="00D21C07">
        <w:rPr>
          <w:sz w:val="24"/>
          <w:szCs w:val="24"/>
        </w:rPr>
        <w:t xml:space="preserve">, som er substrater af CYP3A, forventes derfor ikke at have en virkning på </w:t>
      </w:r>
      <w:proofErr w:type="spellStart"/>
      <w:r w:rsidRPr="00D21C07">
        <w:rPr>
          <w:sz w:val="24"/>
          <w:szCs w:val="24"/>
        </w:rPr>
        <w:t>prasugrels</w:t>
      </w:r>
      <w:proofErr w:type="spellEnd"/>
      <w:r w:rsidRPr="00D21C07">
        <w:rPr>
          <w:sz w:val="24"/>
          <w:szCs w:val="24"/>
        </w:rPr>
        <w:t xml:space="preserve"> farmakokinetik eller dets hæmning af blodpladeaggregering.</w:t>
      </w:r>
    </w:p>
    <w:p w14:paraId="66B2AF47" w14:textId="77777777" w:rsidR="00D21C07" w:rsidRPr="00D21C07" w:rsidRDefault="00D21C07" w:rsidP="00D21C07">
      <w:pPr>
        <w:tabs>
          <w:tab w:val="left" w:pos="851"/>
        </w:tabs>
        <w:ind w:left="851"/>
        <w:rPr>
          <w:sz w:val="24"/>
          <w:szCs w:val="24"/>
        </w:rPr>
      </w:pPr>
    </w:p>
    <w:p w14:paraId="6FFB2D2D" w14:textId="77777777" w:rsidR="00D21C07" w:rsidRPr="00D21C07" w:rsidRDefault="00D21C07" w:rsidP="00D21C07">
      <w:pPr>
        <w:tabs>
          <w:tab w:val="left" w:pos="851"/>
        </w:tabs>
        <w:ind w:left="851"/>
        <w:rPr>
          <w:i/>
          <w:iCs/>
          <w:sz w:val="24"/>
          <w:szCs w:val="24"/>
        </w:rPr>
      </w:pPr>
      <w:r w:rsidRPr="00D21C07">
        <w:rPr>
          <w:i/>
          <w:iCs/>
          <w:sz w:val="24"/>
          <w:szCs w:val="24"/>
        </w:rPr>
        <w:t>Lægemidler, der øger mavens pH</w:t>
      </w:r>
    </w:p>
    <w:p w14:paraId="12011741" w14:textId="0D3845CD" w:rsidR="00D21C07" w:rsidRPr="00D21C07" w:rsidRDefault="00D21C07" w:rsidP="00D21C07">
      <w:pPr>
        <w:tabs>
          <w:tab w:val="left" w:pos="851"/>
        </w:tabs>
        <w:ind w:left="851"/>
        <w:rPr>
          <w:i/>
          <w:iCs/>
          <w:sz w:val="24"/>
          <w:szCs w:val="24"/>
        </w:rPr>
      </w:pPr>
      <w:r w:rsidRPr="00D21C07">
        <w:rPr>
          <w:sz w:val="24"/>
          <w:szCs w:val="24"/>
        </w:rPr>
        <w:t xml:space="preserve">Daglig samtidig administration af </w:t>
      </w:r>
      <w:proofErr w:type="spellStart"/>
      <w:r w:rsidRPr="00D21C07">
        <w:rPr>
          <w:sz w:val="24"/>
          <w:szCs w:val="24"/>
        </w:rPr>
        <w:t>ranitidin</w:t>
      </w:r>
      <w:proofErr w:type="spellEnd"/>
      <w:r w:rsidRPr="00D21C07">
        <w:rPr>
          <w:sz w:val="24"/>
          <w:szCs w:val="24"/>
        </w:rPr>
        <w:t xml:space="preserve"> (en H2-blokker) eller </w:t>
      </w:r>
      <w:proofErr w:type="spellStart"/>
      <w:r w:rsidRPr="00D21C07">
        <w:rPr>
          <w:sz w:val="24"/>
          <w:szCs w:val="24"/>
        </w:rPr>
        <w:t>lansoprazol</w:t>
      </w:r>
      <w:proofErr w:type="spellEnd"/>
      <w:r w:rsidRPr="00D21C07">
        <w:rPr>
          <w:sz w:val="24"/>
          <w:szCs w:val="24"/>
        </w:rPr>
        <w:t xml:space="preserve"> (en protonpumpehæmmer) ændrede ikke AUC og </w:t>
      </w:r>
      <w:proofErr w:type="spellStart"/>
      <w:r w:rsidRPr="00D21C07">
        <w:rPr>
          <w:sz w:val="24"/>
          <w:szCs w:val="24"/>
        </w:rPr>
        <w:t>T</w:t>
      </w:r>
      <w:r w:rsidRPr="00C52F9A">
        <w:rPr>
          <w:sz w:val="24"/>
          <w:szCs w:val="24"/>
          <w:vertAlign w:val="subscript"/>
        </w:rPr>
        <w:t>max</w:t>
      </w:r>
      <w:proofErr w:type="spellEnd"/>
      <w:r w:rsidRPr="00D21C07">
        <w:rPr>
          <w:sz w:val="24"/>
          <w:szCs w:val="24"/>
        </w:rPr>
        <w:t xml:space="preserve"> for </w:t>
      </w:r>
      <w:proofErr w:type="spellStart"/>
      <w:r w:rsidRPr="00D21C07">
        <w:rPr>
          <w:sz w:val="24"/>
          <w:szCs w:val="24"/>
        </w:rPr>
        <w:t>prasugrels</w:t>
      </w:r>
      <w:proofErr w:type="spellEnd"/>
      <w:r w:rsidRPr="00D21C07">
        <w:rPr>
          <w:sz w:val="24"/>
          <w:szCs w:val="24"/>
        </w:rPr>
        <w:t xml:space="preserve"> aktive metabolit, men formindskede </w:t>
      </w:r>
      <w:proofErr w:type="spellStart"/>
      <w:r w:rsidRPr="00D21C07">
        <w:rPr>
          <w:sz w:val="24"/>
          <w:szCs w:val="24"/>
        </w:rPr>
        <w:t>C</w:t>
      </w:r>
      <w:r w:rsidRPr="00C52F9A">
        <w:rPr>
          <w:sz w:val="24"/>
          <w:szCs w:val="24"/>
          <w:vertAlign w:val="subscript"/>
        </w:rPr>
        <w:t>max</w:t>
      </w:r>
      <w:proofErr w:type="spellEnd"/>
      <w:r w:rsidRPr="00D21C07">
        <w:rPr>
          <w:sz w:val="24"/>
          <w:szCs w:val="24"/>
        </w:rPr>
        <w:t xml:space="preserve"> med henholdsvis 14 % og 29 %. I det kliniske fase 3-forsøg blev </w:t>
      </w:r>
      <w:proofErr w:type="spellStart"/>
      <w:r w:rsidRPr="00D21C07">
        <w:rPr>
          <w:sz w:val="24"/>
          <w:szCs w:val="24"/>
        </w:rPr>
        <w:t>prasugrel</w:t>
      </w:r>
      <w:proofErr w:type="spellEnd"/>
      <w:r w:rsidRPr="00D21C07">
        <w:rPr>
          <w:sz w:val="24"/>
          <w:szCs w:val="24"/>
        </w:rPr>
        <w:t xml:space="preserve"> administreret uden hensyn til samtidig administration af en protonpumpe</w:t>
      </w:r>
      <w:r w:rsidR="00E11E3E">
        <w:rPr>
          <w:sz w:val="24"/>
          <w:szCs w:val="24"/>
        </w:rPr>
        <w:softHyphen/>
      </w:r>
      <w:r w:rsidRPr="00D21C07">
        <w:rPr>
          <w:sz w:val="24"/>
          <w:szCs w:val="24"/>
        </w:rPr>
        <w:t xml:space="preserve">hæmmer eller H2-blokker. Administration af 60 mg </w:t>
      </w:r>
      <w:proofErr w:type="spellStart"/>
      <w:r w:rsidRPr="00D21C07">
        <w:rPr>
          <w:sz w:val="24"/>
          <w:szCs w:val="24"/>
        </w:rPr>
        <w:t>prasugrel</w:t>
      </w:r>
      <w:proofErr w:type="spellEnd"/>
      <w:r w:rsidRPr="00D21C07">
        <w:rPr>
          <w:sz w:val="24"/>
          <w:szCs w:val="24"/>
        </w:rPr>
        <w:t xml:space="preserve"> </w:t>
      </w:r>
      <w:proofErr w:type="spellStart"/>
      <w:r w:rsidRPr="00D21C07">
        <w:rPr>
          <w:sz w:val="24"/>
          <w:szCs w:val="24"/>
        </w:rPr>
        <w:t>loadingdosis</w:t>
      </w:r>
      <w:proofErr w:type="spellEnd"/>
      <w:r w:rsidRPr="00D21C07">
        <w:rPr>
          <w:sz w:val="24"/>
          <w:szCs w:val="24"/>
        </w:rPr>
        <w:t xml:space="preserve"> uden samtidig brug af </w:t>
      </w:r>
      <w:proofErr w:type="spellStart"/>
      <w:r w:rsidRPr="00D21C07">
        <w:rPr>
          <w:sz w:val="24"/>
          <w:szCs w:val="24"/>
        </w:rPr>
        <w:t>protonpumpehæmmere</w:t>
      </w:r>
      <w:proofErr w:type="spellEnd"/>
      <w:r w:rsidRPr="00D21C07">
        <w:rPr>
          <w:sz w:val="24"/>
          <w:szCs w:val="24"/>
        </w:rPr>
        <w:t xml:space="preserve"> kan give den hurtigst indsættende virkning.</w:t>
      </w:r>
    </w:p>
    <w:p w14:paraId="4EE5CE7C" w14:textId="77777777" w:rsidR="00D21C07" w:rsidRPr="00D21C07" w:rsidRDefault="00D21C07" w:rsidP="00D21C07">
      <w:pPr>
        <w:tabs>
          <w:tab w:val="left" w:pos="851"/>
        </w:tabs>
        <w:ind w:left="851"/>
        <w:rPr>
          <w:i/>
          <w:iCs/>
          <w:sz w:val="24"/>
          <w:szCs w:val="24"/>
        </w:rPr>
      </w:pPr>
    </w:p>
    <w:p w14:paraId="612F5BE3" w14:textId="77777777" w:rsidR="00D21C07" w:rsidRPr="00D21C07" w:rsidRDefault="00D21C07" w:rsidP="00D21C07">
      <w:pPr>
        <w:tabs>
          <w:tab w:val="left" w:pos="851"/>
        </w:tabs>
        <w:ind w:left="851"/>
        <w:rPr>
          <w:iCs/>
          <w:sz w:val="24"/>
          <w:szCs w:val="24"/>
        </w:rPr>
      </w:pPr>
      <w:proofErr w:type="spellStart"/>
      <w:r w:rsidRPr="00D21C07">
        <w:rPr>
          <w:i/>
          <w:iCs/>
          <w:sz w:val="24"/>
          <w:szCs w:val="24"/>
        </w:rPr>
        <w:t>Hæmmere</w:t>
      </w:r>
      <w:proofErr w:type="spellEnd"/>
      <w:r w:rsidRPr="00D21C07">
        <w:rPr>
          <w:i/>
          <w:iCs/>
          <w:sz w:val="24"/>
          <w:szCs w:val="24"/>
        </w:rPr>
        <w:t xml:space="preserve"> af CYP3A</w:t>
      </w:r>
    </w:p>
    <w:p w14:paraId="70E5026E" w14:textId="77777777" w:rsidR="00D21C07" w:rsidRPr="00D21C07" w:rsidRDefault="00D21C07" w:rsidP="00D21C07">
      <w:pPr>
        <w:tabs>
          <w:tab w:val="left" w:pos="851"/>
        </w:tabs>
        <w:ind w:left="851"/>
        <w:rPr>
          <w:sz w:val="24"/>
          <w:szCs w:val="24"/>
        </w:rPr>
      </w:pPr>
      <w:proofErr w:type="spellStart"/>
      <w:r w:rsidRPr="00D21C07">
        <w:rPr>
          <w:sz w:val="24"/>
          <w:szCs w:val="24"/>
        </w:rPr>
        <w:t>Ketoconazol</w:t>
      </w:r>
      <w:proofErr w:type="spellEnd"/>
      <w:r w:rsidRPr="00D21C07">
        <w:rPr>
          <w:sz w:val="24"/>
          <w:szCs w:val="24"/>
        </w:rPr>
        <w:t xml:space="preserve"> (400 mg dagligt), en selektiv og potent hæmmer af CYP3A4 og CYP3A5, påvirkede ikke den </w:t>
      </w:r>
      <w:proofErr w:type="spellStart"/>
      <w:r w:rsidRPr="00D21C07">
        <w:rPr>
          <w:sz w:val="24"/>
          <w:szCs w:val="24"/>
        </w:rPr>
        <w:t>prasugrelmedierede</w:t>
      </w:r>
      <w:proofErr w:type="spellEnd"/>
      <w:r w:rsidRPr="00D21C07">
        <w:rPr>
          <w:sz w:val="24"/>
          <w:szCs w:val="24"/>
        </w:rPr>
        <w:t xml:space="preserve"> hæmning af blodpladeaggregering eller AUC og </w:t>
      </w:r>
      <w:proofErr w:type="spellStart"/>
      <w:r w:rsidRPr="00D21C07">
        <w:rPr>
          <w:sz w:val="24"/>
          <w:szCs w:val="24"/>
        </w:rPr>
        <w:t>T</w:t>
      </w:r>
      <w:r w:rsidRPr="00E11E3E">
        <w:rPr>
          <w:sz w:val="24"/>
          <w:szCs w:val="24"/>
          <w:vertAlign w:val="subscript"/>
        </w:rPr>
        <w:t>max</w:t>
      </w:r>
      <w:proofErr w:type="spellEnd"/>
      <w:r w:rsidRPr="00D21C07">
        <w:rPr>
          <w:sz w:val="24"/>
          <w:szCs w:val="24"/>
        </w:rPr>
        <w:t xml:space="preserve"> for </w:t>
      </w:r>
      <w:proofErr w:type="spellStart"/>
      <w:r w:rsidRPr="00D21C07">
        <w:rPr>
          <w:sz w:val="24"/>
          <w:szCs w:val="24"/>
        </w:rPr>
        <w:t>prasugrels</w:t>
      </w:r>
      <w:proofErr w:type="spellEnd"/>
      <w:r w:rsidRPr="00D21C07">
        <w:rPr>
          <w:sz w:val="24"/>
          <w:szCs w:val="24"/>
        </w:rPr>
        <w:t xml:space="preserve"> aktive metabolit, men formindskede </w:t>
      </w:r>
      <w:proofErr w:type="spellStart"/>
      <w:r w:rsidRPr="00D21C07">
        <w:rPr>
          <w:sz w:val="24"/>
          <w:szCs w:val="24"/>
        </w:rPr>
        <w:t>C</w:t>
      </w:r>
      <w:r w:rsidRPr="00C52F9A">
        <w:rPr>
          <w:sz w:val="24"/>
          <w:szCs w:val="24"/>
          <w:vertAlign w:val="subscript"/>
        </w:rPr>
        <w:t>max</w:t>
      </w:r>
      <w:proofErr w:type="spellEnd"/>
      <w:r w:rsidRPr="00D21C07">
        <w:rPr>
          <w:sz w:val="24"/>
          <w:szCs w:val="24"/>
        </w:rPr>
        <w:t xml:space="preserve"> med 34 % til 46 %. CYP3A-hæmmere, såsom </w:t>
      </w:r>
      <w:proofErr w:type="spellStart"/>
      <w:r w:rsidRPr="00D21C07">
        <w:rPr>
          <w:sz w:val="24"/>
          <w:szCs w:val="24"/>
        </w:rPr>
        <w:t>azolsvampemidler</w:t>
      </w:r>
      <w:proofErr w:type="spellEnd"/>
      <w:r w:rsidRPr="00D21C07">
        <w:rPr>
          <w:sz w:val="24"/>
          <w:szCs w:val="24"/>
        </w:rPr>
        <w:t>, HIV-</w:t>
      </w:r>
      <w:proofErr w:type="spellStart"/>
      <w:r w:rsidRPr="00D21C07">
        <w:rPr>
          <w:sz w:val="24"/>
          <w:szCs w:val="24"/>
        </w:rPr>
        <w:t>proteasehæmmere</w:t>
      </w:r>
      <w:proofErr w:type="spellEnd"/>
      <w:r w:rsidRPr="00D21C07">
        <w:rPr>
          <w:sz w:val="24"/>
          <w:szCs w:val="24"/>
        </w:rPr>
        <w:t xml:space="preserve">, </w:t>
      </w:r>
      <w:proofErr w:type="spellStart"/>
      <w:r w:rsidRPr="00D21C07">
        <w:rPr>
          <w:sz w:val="24"/>
          <w:szCs w:val="24"/>
        </w:rPr>
        <w:t>clarithromycin</w:t>
      </w:r>
      <w:proofErr w:type="spellEnd"/>
      <w:r w:rsidRPr="00D21C07">
        <w:rPr>
          <w:sz w:val="24"/>
          <w:szCs w:val="24"/>
        </w:rPr>
        <w:t xml:space="preserve">, </w:t>
      </w:r>
      <w:proofErr w:type="spellStart"/>
      <w:r w:rsidRPr="00D21C07">
        <w:rPr>
          <w:sz w:val="24"/>
          <w:szCs w:val="24"/>
        </w:rPr>
        <w:t>telithromycin</w:t>
      </w:r>
      <w:proofErr w:type="spellEnd"/>
      <w:r w:rsidRPr="00D21C07">
        <w:rPr>
          <w:sz w:val="24"/>
          <w:szCs w:val="24"/>
        </w:rPr>
        <w:t xml:space="preserve">, </w:t>
      </w:r>
      <w:proofErr w:type="spellStart"/>
      <w:r w:rsidRPr="00D21C07">
        <w:rPr>
          <w:sz w:val="24"/>
          <w:szCs w:val="24"/>
        </w:rPr>
        <w:t>verapamil</w:t>
      </w:r>
      <w:proofErr w:type="spellEnd"/>
      <w:r w:rsidRPr="00D21C07">
        <w:rPr>
          <w:sz w:val="24"/>
          <w:szCs w:val="24"/>
        </w:rPr>
        <w:t xml:space="preserve">, </w:t>
      </w:r>
      <w:proofErr w:type="spellStart"/>
      <w:r w:rsidRPr="00D21C07">
        <w:rPr>
          <w:sz w:val="24"/>
          <w:szCs w:val="24"/>
        </w:rPr>
        <w:t>diltiazem</w:t>
      </w:r>
      <w:proofErr w:type="spellEnd"/>
      <w:r w:rsidRPr="00D21C07">
        <w:rPr>
          <w:sz w:val="24"/>
          <w:szCs w:val="24"/>
        </w:rPr>
        <w:t xml:space="preserve">, </w:t>
      </w:r>
      <w:proofErr w:type="spellStart"/>
      <w:r w:rsidRPr="00D21C07">
        <w:rPr>
          <w:sz w:val="24"/>
          <w:szCs w:val="24"/>
        </w:rPr>
        <w:t>indinavir</w:t>
      </w:r>
      <w:proofErr w:type="spellEnd"/>
      <w:r w:rsidRPr="00D21C07">
        <w:rPr>
          <w:sz w:val="24"/>
          <w:szCs w:val="24"/>
        </w:rPr>
        <w:t xml:space="preserve">, </w:t>
      </w:r>
      <w:proofErr w:type="spellStart"/>
      <w:r w:rsidRPr="00D21C07">
        <w:rPr>
          <w:sz w:val="24"/>
          <w:szCs w:val="24"/>
        </w:rPr>
        <w:t>ciprofloxacin</w:t>
      </w:r>
      <w:proofErr w:type="spellEnd"/>
      <w:r w:rsidRPr="00D21C07">
        <w:rPr>
          <w:sz w:val="24"/>
          <w:szCs w:val="24"/>
        </w:rPr>
        <w:t xml:space="preserve"> og grapefrugtjuice, forventes ikke at have en signifikant virkning på den aktive metabolits farmakokinetik.</w:t>
      </w:r>
    </w:p>
    <w:p w14:paraId="1C9B368A" w14:textId="77777777" w:rsidR="00D21C07" w:rsidRPr="00D21C07" w:rsidRDefault="00D21C07" w:rsidP="00D21C07">
      <w:pPr>
        <w:tabs>
          <w:tab w:val="left" w:pos="851"/>
        </w:tabs>
        <w:ind w:left="851"/>
        <w:rPr>
          <w:sz w:val="24"/>
          <w:szCs w:val="24"/>
        </w:rPr>
      </w:pPr>
    </w:p>
    <w:p w14:paraId="09881A49" w14:textId="77777777" w:rsidR="00D21C07" w:rsidRPr="00D21C07" w:rsidRDefault="00D21C07" w:rsidP="00D21C07">
      <w:pPr>
        <w:tabs>
          <w:tab w:val="left" w:pos="851"/>
        </w:tabs>
        <w:ind w:left="851"/>
        <w:rPr>
          <w:i/>
          <w:iCs/>
          <w:sz w:val="24"/>
          <w:szCs w:val="24"/>
        </w:rPr>
      </w:pPr>
      <w:r w:rsidRPr="00D21C07">
        <w:rPr>
          <w:i/>
          <w:iCs/>
          <w:sz w:val="24"/>
          <w:szCs w:val="24"/>
        </w:rPr>
        <w:t xml:space="preserve">Induktorer af P450 </w:t>
      </w:r>
      <w:proofErr w:type="spellStart"/>
      <w:r w:rsidRPr="00D21C07">
        <w:rPr>
          <w:i/>
          <w:iCs/>
          <w:sz w:val="24"/>
          <w:szCs w:val="24"/>
        </w:rPr>
        <w:t>cytokromer</w:t>
      </w:r>
      <w:proofErr w:type="spellEnd"/>
    </w:p>
    <w:p w14:paraId="4565274E" w14:textId="77777777" w:rsidR="00D21C07" w:rsidRPr="00D21C07" w:rsidRDefault="00D21C07" w:rsidP="00D21C07">
      <w:pPr>
        <w:tabs>
          <w:tab w:val="left" w:pos="851"/>
        </w:tabs>
        <w:ind w:left="851"/>
        <w:rPr>
          <w:sz w:val="24"/>
          <w:szCs w:val="24"/>
        </w:rPr>
      </w:pPr>
      <w:proofErr w:type="spellStart"/>
      <w:r w:rsidRPr="00D21C07">
        <w:rPr>
          <w:sz w:val="24"/>
          <w:szCs w:val="24"/>
        </w:rPr>
        <w:t>Rifampicin</w:t>
      </w:r>
      <w:proofErr w:type="spellEnd"/>
      <w:r w:rsidRPr="00D21C07">
        <w:rPr>
          <w:sz w:val="24"/>
          <w:szCs w:val="24"/>
        </w:rPr>
        <w:t xml:space="preserve"> (600 mg dagligt), en potent inducer af CYP3A og CYP2B6, og en inducer af CYP2C9, CYP2C19 og CYP2C8, ændrede ikke signifikant </w:t>
      </w:r>
      <w:proofErr w:type="spellStart"/>
      <w:r w:rsidRPr="00D21C07">
        <w:rPr>
          <w:sz w:val="24"/>
          <w:szCs w:val="24"/>
        </w:rPr>
        <w:t>prasugrels</w:t>
      </w:r>
      <w:proofErr w:type="spellEnd"/>
      <w:r w:rsidRPr="00D21C07">
        <w:rPr>
          <w:sz w:val="24"/>
          <w:szCs w:val="24"/>
        </w:rPr>
        <w:t xml:space="preserve"> farmakokinetik. Kendte CYP3A induktorer såsom </w:t>
      </w:r>
      <w:proofErr w:type="spellStart"/>
      <w:r w:rsidRPr="00D21C07">
        <w:rPr>
          <w:sz w:val="24"/>
          <w:szCs w:val="24"/>
        </w:rPr>
        <w:t>rifampicin</w:t>
      </w:r>
      <w:proofErr w:type="spellEnd"/>
      <w:r w:rsidRPr="00D21C07">
        <w:rPr>
          <w:sz w:val="24"/>
          <w:szCs w:val="24"/>
        </w:rPr>
        <w:t xml:space="preserve">, </w:t>
      </w:r>
      <w:proofErr w:type="spellStart"/>
      <w:r w:rsidRPr="00D21C07">
        <w:rPr>
          <w:sz w:val="24"/>
          <w:szCs w:val="24"/>
        </w:rPr>
        <w:t>carbamazepin</w:t>
      </w:r>
      <w:proofErr w:type="spellEnd"/>
      <w:r w:rsidRPr="00D21C07">
        <w:rPr>
          <w:sz w:val="24"/>
          <w:szCs w:val="24"/>
        </w:rPr>
        <w:t xml:space="preserve"> og andre induktorer af P450 </w:t>
      </w:r>
      <w:proofErr w:type="spellStart"/>
      <w:r w:rsidRPr="00D21C07">
        <w:rPr>
          <w:sz w:val="24"/>
          <w:szCs w:val="24"/>
        </w:rPr>
        <w:t>cytokromer</w:t>
      </w:r>
      <w:proofErr w:type="spellEnd"/>
      <w:r w:rsidRPr="00D21C07">
        <w:rPr>
          <w:sz w:val="24"/>
          <w:szCs w:val="24"/>
        </w:rPr>
        <w:t xml:space="preserve"> forventes derfor ikke at have signifikant virkning på den aktive metabolits farmakokinetik.</w:t>
      </w:r>
    </w:p>
    <w:p w14:paraId="54A1AB6F" w14:textId="77777777" w:rsidR="00D21C07" w:rsidRPr="00D21C07" w:rsidRDefault="00D21C07" w:rsidP="00D21C07">
      <w:pPr>
        <w:tabs>
          <w:tab w:val="left" w:pos="851"/>
        </w:tabs>
        <w:ind w:left="851"/>
        <w:rPr>
          <w:sz w:val="24"/>
          <w:szCs w:val="24"/>
        </w:rPr>
      </w:pPr>
    </w:p>
    <w:p w14:paraId="593AA1D5" w14:textId="77777777" w:rsidR="00D21C07" w:rsidRPr="00D21C07" w:rsidRDefault="00D21C07" w:rsidP="00D21C07">
      <w:pPr>
        <w:tabs>
          <w:tab w:val="left" w:pos="851"/>
        </w:tabs>
        <w:ind w:left="851"/>
        <w:rPr>
          <w:i/>
          <w:iCs/>
          <w:sz w:val="24"/>
          <w:szCs w:val="24"/>
        </w:rPr>
      </w:pPr>
      <w:r w:rsidRPr="00D21C07">
        <w:rPr>
          <w:i/>
          <w:iCs/>
          <w:sz w:val="24"/>
          <w:szCs w:val="24"/>
        </w:rPr>
        <w:t>Morfin og andre opioider</w:t>
      </w:r>
    </w:p>
    <w:p w14:paraId="395F406C" w14:textId="77777777" w:rsidR="00D21C07" w:rsidRPr="00D21C07" w:rsidRDefault="00D21C07" w:rsidP="00D21C07">
      <w:pPr>
        <w:tabs>
          <w:tab w:val="left" w:pos="851"/>
        </w:tabs>
        <w:ind w:left="851"/>
        <w:rPr>
          <w:sz w:val="24"/>
          <w:szCs w:val="24"/>
        </w:rPr>
      </w:pPr>
      <w:r w:rsidRPr="00D21C07">
        <w:rPr>
          <w:sz w:val="24"/>
          <w:szCs w:val="24"/>
        </w:rPr>
        <w:t xml:space="preserve">Der er observeret en forsinket og nedsat eksponering af orale P2Y12-inhibitorer, inklusive </w:t>
      </w:r>
      <w:proofErr w:type="spellStart"/>
      <w:r w:rsidRPr="00D21C07">
        <w:rPr>
          <w:sz w:val="24"/>
          <w:szCs w:val="24"/>
        </w:rPr>
        <w:t>prasugrel</w:t>
      </w:r>
      <w:proofErr w:type="spellEnd"/>
      <w:r w:rsidRPr="00D21C07">
        <w:rPr>
          <w:sz w:val="24"/>
          <w:szCs w:val="24"/>
        </w:rPr>
        <w:t xml:space="preserve"> og dets aktive metabolit, hos patienter med akut </w:t>
      </w:r>
      <w:proofErr w:type="spellStart"/>
      <w:r w:rsidRPr="00D21C07">
        <w:rPr>
          <w:sz w:val="24"/>
          <w:szCs w:val="24"/>
        </w:rPr>
        <w:t>koronarsyndrom</w:t>
      </w:r>
      <w:proofErr w:type="spellEnd"/>
      <w:r w:rsidRPr="00D21C07">
        <w:rPr>
          <w:sz w:val="24"/>
          <w:szCs w:val="24"/>
        </w:rPr>
        <w:t xml:space="preserve"> behandlet med morfin. Denne interaktion kan være relateret til nedsat </w:t>
      </w:r>
      <w:proofErr w:type="spellStart"/>
      <w:r w:rsidRPr="00D21C07">
        <w:rPr>
          <w:sz w:val="24"/>
          <w:szCs w:val="24"/>
        </w:rPr>
        <w:t>gastrointestinal</w:t>
      </w:r>
      <w:proofErr w:type="spellEnd"/>
      <w:r w:rsidRPr="00D21C07">
        <w:rPr>
          <w:sz w:val="24"/>
          <w:szCs w:val="24"/>
        </w:rPr>
        <w:t xml:space="preserve"> </w:t>
      </w:r>
      <w:proofErr w:type="spellStart"/>
      <w:r w:rsidRPr="00D21C07">
        <w:rPr>
          <w:sz w:val="24"/>
          <w:szCs w:val="24"/>
        </w:rPr>
        <w:t>motilitet</w:t>
      </w:r>
      <w:proofErr w:type="spellEnd"/>
      <w:r w:rsidRPr="00D21C07">
        <w:rPr>
          <w:sz w:val="24"/>
          <w:szCs w:val="24"/>
        </w:rPr>
        <w:t xml:space="preserve"> og gælde for andre opioider. Den kliniske relevans er ukendt, men data indikerer en mulig reduceret effekt af </w:t>
      </w:r>
      <w:proofErr w:type="spellStart"/>
      <w:r w:rsidRPr="00D21C07">
        <w:rPr>
          <w:sz w:val="24"/>
          <w:szCs w:val="24"/>
        </w:rPr>
        <w:t>prasugrel</w:t>
      </w:r>
      <w:proofErr w:type="spellEnd"/>
      <w:r w:rsidRPr="00D21C07">
        <w:rPr>
          <w:sz w:val="24"/>
          <w:szCs w:val="24"/>
        </w:rPr>
        <w:t xml:space="preserve"> hos patienter, hvor </w:t>
      </w:r>
      <w:proofErr w:type="spellStart"/>
      <w:r w:rsidRPr="00D21C07">
        <w:rPr>
          <w:sz w:val="24"/>
          <w:szCs w:val="24"/>
        </w:rPr>
        <w:t>prasugrel</w:t>
      </w:r>
      <w:proofErr w:type="spellEnd"/>
      <w:r w:rsidRPr="00D21C07">
        <w:rPr>
          <w:sz w:val="24"/>
          <w:szCs w:val="24"/>
        </w:rPr>
        <w:t xml:space="preserve"> og morfin administreres samtidigt. For patienter med akut </w:t>
      </w:r>
      <w:proofErr w:type="spellStart"/>
      <w:r w:rsidRPr="00D21C07">
        <w:rPr>
          <w:sz w:val="24"/>
          <w:szCs w:val="24"/>
        </w:rPr>
        <w:t>koronarsyndrom</w:t>
      </w:r>
      <w:proofErr w:type="spellEnd"/>
      <w:r w:rsidRPr="00D21C07">
        <w:rPr>
          <w:sz w:val="24"/>
          <w:szCs w:val="24"/>
        </w:rPr>
        <w:t>, hos hvem morfin ikke kan tilbageholdes og hurtig P2Y12-hæmning vurderes at være afgørende, kan brug af en parenteral P2Y12-inhibitor overvejes.</w:t>
      </w:r>
    </w:p>
    <w:p w14:paraId="1637331F" w14:textId="77777777" w:rsidR="00D21C07" w:rsidRPr="00D21C07" w:rsidRDefault="00D21C07" w:rsidP="00D21C07">
      <w:pPr>
        <w:tabs>
          <w:tab w:val="left" w:pos="851"/>
        </w:tabs>
        <w:ind w:left="851"/>
        <w:rPr>
          <w:sz w:val="24"/>
          <w:szCs w:val="24"/>
        </w:rPr>
      </w:pPr>
    </w:p>
    <w:p w14:paraId="5EB0F577" w14:textId="77777777" w:rsidR="00D21C07" w:rsidRPr="00D21C07" w:rsidRDefault="00D21C07" w:rsidP="00D21C07">
      <w:pPr>
        <w:tabs>
          <w:tab w:val="left" w:pos="851"/>
        </w:tabs>
        <w:ind w:left="851"/>
        <w:rPr>
          <w:sz w:val="24"/>
          <w:szCs w:val="24"/>
          <w:u w:val="single"/>
        </w:rPr>
      </w:pPr>
      <w:proofErr w:type="spellStart"/>
      <w:r w:rsidRPr="00D21C07">
        <w:rPr>
          <w:sz w:val="24"/>
          <w:szCs w:val="24"/>
          <w:u w:val="single"/>
        </w:rPr>
        <w:t>Prasugrels</w:t>
      </w:r>
      <w:proofErr w:type="spellEnd"/>
      <w:r w:rsidRPr="00D21C07">
        <w:rPr>
          <w:sz w:val="24"/>
          <w:szCs w:val="24"/>
          <w:u w:val="single"/>
        </w:rPr>
        <w:t xml:space="preserve"> virkninger på andre lægemidler</w:t>
      </w:r>
    </w:p>
    <w:p w14:paraId="45C5C1D4" w14:textId="77777777" w:rsidR="00D21C07" w:rsidRPr="00D21C07" w:rsidRDefault="00D21C07" w:rsidP="00D21C07">
      <w:pPr>
        <w:tabs>
          <w:tab w:val="left" w:pos="851"/>
        </w:tabs>
        <w:ind w:left="851"/>
        <w:rPr>
          <w:i/>
          <w:iCs/>
          <w:sz w:val="24"/>
          <w:szCs w:val="24"/>
        </w:rPr>
      </w:pPr>
      <w:proofErr w:type="spellStart"/>
      <w:r w:rsidRPr="00D21C07">
        <w:rPr>
          <w:i/>
          <w:iCs/>
          <w:sz w:val="24"/>
          <w:szCs w:val="24"/>
        </w:rPr>
        <w:t>Digoxin</w:t>
      </w:r>
      <w:proofErr w:type="spellEnd"/>
    </w:p>
    <w:p w14:paraId="4EA9B58F" w14:textId="77777777" w:rsidR="00D21C07" w:rsidRPr="00D21C07" w:rsidRDefault="00D21C07" w:rsidP="00D21C07">
      <w:pPr>
        <w:tabs>
          <w:tab w:val="left" w:pos="851"/>
        </w:tabs>
        <w:ind w:left="851"/>
        <w:rPr>
          <w:sz w:val="24"/>
          <w:szCs w:val="24"/>
        </w:rPr>
      </w:pPr>
      <w:proofErr w:type="spellStart"/>
      <w:r w:rsidRPr="00D21C07">
        <w:rPr>
          <w:sz w:val="24"/>
          <w:szCs w:val="24"/>
        </w:rPr>
        <w:t>Prasugrel</w:t>
      </w:r>
      <w:proofErr w:type="spellEnd"/>
      <w:r w:rsidRPr="00D21C07">
        <w:rPr>
          <w:sz w:val="24"/>
          <w:szCs w:val="24"/>
        </w:rPr>
        <w:t xml:space="preserve"> har ingen klinisk signifikant effekt på </w:t>
      </w:r>
      <w:proofErr w:type="spellStart"/>
      <w:r w:rsidRPr="00D21C07">
        <w:rPr>
          <w:sz w:val="24"/>
          <w:szCs w:val="24"/>
        </w:rPr>
        <w:t>digoxins</w:t>
      </w:r>
      <w:proofErr w:type="spellEnd"/>
      <w:r w:rsidRPr="00D21C07">
        <w:rPr>
          <w:sz w:val="24"/>
          <w:szCs w:val="24"/>
        </w:rPr>
        <w:t xml:space="preserve"> farmakokinetik.</w:t>
      </w:r>
    </w:p>
    <w:p w14:paraId="5FA71D18" w14:textId="77777777" w:rsidR="00D21C07" w:rsidRPr="00D21C07" w:rsidRDefault="00D21C07" w:rsidP="00D21C07">
      <w:pPr>
        <w:tabs>
          <w:tab w:val="left" w:pos="851"/>
        </w:tabs>
        <w:ind w:left="851"/>
        <w:rPr>
          <w:sz w:val="24"/>
          <w:szCs w:val="24"/>
        </w:rPr>
      </w:pPr>
    </w:p>
    <w:p w14:paraId="2913FC02" w14:textId="77777777" w:rsidR="00D21C07" w:rsidRPr="00D21C07" w:rsidRDefault="00D21C07" w:rsidP="00D21C07">
      <w:pPr>
        <w:tabs>
          <w:tab w:val="left" w:pos="851"/>
        </w:tabs>
        <w:ind w:left="851"/>
        <w:rPr>
          <w:i/>
          <w:iCs/>
          <w:sz w:val="24"/>
          <w:szCs w:val="24"/>
        </w:rPr>
      </w:pPr>
      <w:r w:rsidRPr="00D21C07">
        <w:rPr>
          <w:i/>
          <w:iCs/>
          <w:sz w:val="24"/>
          <w:szCs w:val="24"/>
        </w:rPr>
        <w:t xml:space="preserve">Lægemidler, som </w:t>
      </w:r>
      <w:proofErr w:type="spellStart"/>
      <w:r w:rsidRPr="00D21C07">
        <w:rPr>
          <w:i/>
          <w:iCs/>
          <w:sz w:val="24"/>
          <w:szCs w:val="24"/>
        </w:rPr>
        <w:t>metaboliseres</w:t>
      </w:r>
      <w:proofErr w:type="spellEnd"/>
      <w:r w:rsidRPr="00D21C07">
        <w:rPr>
          <w:i/>
          <w:iCs/>
          <w:sz w:val="24"/>
          <w:szCs w:val="24"/>
        </w:rPr>
        <w:t xml:space="preserve"> af CYP2C9</w:t>
      </w:r>
    </w:p>
    <w:p w14:paraId="7EB7ADD7" w14:textId="77777777" w:rsidR="00D21C07" w:rsidRPr="00D21C07" w:rsidRDefault="00D21C07" w:rsidP="00D21C07">
      <w:pPr>
        <w:tabs>
          <w:tab w:val="left" w:pos="851"/>
        </w:tabs>
        <w:ind w:left="851"/>
        <w:rPr>
          <w:sz w:val="24"/>
          <w:szCs w:val="24"/>
        </w:rPr>
      </w:pPr>
      <w:proofErr w:type="spellStart"/>
      <w:r w:rsidRPr="00D21C07">
        <w:rPr>
          <w:sz w:val="24"/>
          <w:szCs w:val="24"/>
        </w:rPr>
        <w:t>Prasugrel</w:t>
      </w:r>
      <w:proofErr w:type="spellEnd"/>
      <w:r w:rsidRPr="00D21C07">
        <w:rPr>
          <w:sz w:val="24"/>
          <w:szCs w:val="24"/>
        </w:rPr>
        <w:t xml:space="preserve"> hæmmer ikke CYP2C9, eftersom det ikke påvirker S-</w:t>
      </w:r>
      <w:proofErr w:type="spellStart"/>
      <w:r w:rsidRPr="00D21C07">
        <w:rPr>
          <w:sz w:val="24"/>
          <w:szCs w:val="24"/>
        </w:rPr>
        <w:t>warfarins</w:t>
      </w:r>
      <w:proofErr w:type="spellEnd"/>
      <w:r w:rsidRPr="00D21C07">
        <w:rPr>
          <w:sz w:val="24"/>
          <w:szCs w:val="24"/>
        </w:rPr>
        <w:t xml:space="preserve"> farmakokinetik. På grund af muligheden for øget blødningsrisiko bør der udvises forsigtighed ved samtidig administration af </w:t>
      </w:r>
      <w:proofErr w:type="spellStart"/>
      <w:r w:rsidRPr="00D21C07">
        <w:rPr>
          <w:sz w:val="24"/>
          <w:szCs w:val="24"/>
        </w:rPr>
        <w:t>warfarin</w:t>
      </w:r>
      <w:proofErr w:type="spellEnd"/>
      <w:r w:rsidRPr="00D21C07">
        <w:rPr>
          <w:sz w:val="24"/>
          <w:szCs w:val="24"/>
        </w:rPr>
        <w:t xml:space="preserve"> og </w:t>
      </w:r>
      <w:proofErr w:type="spellStart"/>
      <w:r w:rsidRPr="00D21C07">
        <w:rPr>
          <w:sz w:val="24"/>
          <w:szCs w:val="24"/>
        </w:rPr>
        <w:t>prasugrel</w:t>
      </w:r>
      <w:proofErr w:type="spellEnd"/>
      <w:r w:rsidRPr="00D21C07">
        <w:rPr>
          <w:sz w:val="24"/>
          <w:szCs w:val="24"/>
        </w:rPr>
        <w:t xml:space="preserve"> (se pkt. 4.4).</w:t>
      </w:r>
    </w:p>
    <w:p w14:paraId="67951E7E" w14:textId="77777777" w:rsidR="00D21C07" w:rsidRPr="00D21C07" w:rsidRDefault="00D21C07" w:rsidP="00D21C07">
      <w:pPr>
        <w:tabs>
          <w:tab w:val="left" w:pos="851"/>
        </w:tabs>
        <w:ind w:left="851"/>
        <w:rPr>
          <w:sz w:val="24"/>
          <w:szCs w:val="24"/>
        </w:rPr>
      </w:pPr>
    </w:p>
    <w:p w14:paraId="5EBFBEAF" w14:textId="77777777" w:rsidR="00D21C07" w:rsidRPr="00D21C07" w:rsidRDefault="00D21C07" w:rsidP="00D21C07">
      <w:pPr>
        <w:tabs>
          <w:tab w:val="left" w:pos="851"/>
        </w:tabs>
        <w:ind w:left="851"/>
        <w:rPr>
          <w:i/>
          <w:iCs/>
          <w:sz w:val="24"/>
          <w:szCs w:val="24"/>
        </w:rPr>
      </w:pPr>
      <w:r w:rsidRPr="00D21C07">
        <w:rPr>
          <w:i/>
          <w:iCs/>
          <w:sz w:val="24"/>
          <w:szCs w:val="24"/>
        </w:rPr>
        <w:t xml:space="preserve">Lægemidler, som </w:t>
      </w:r>
      <w:proofErr w:type="spellStart"/>
      <w:r w:rsidRPr="00D21C07">
        <w:rPr>
          <w:i/>
          <w:iCs/>
          <w:sz w:val="24"/>
          <w:szCs w:val="24"/>
        </w:rPr>
        <w:t>metaboliseres</w:t>
      </w:r>
      <w:proofErr w:type="spellEnd"/>
      <w:r w:rsidRPr="00D21C07">
        <w:rPr>
          <w:i/>
          <w:iCs/>
          <w:sz w:val="24"/>
          <w:szCs w:val="24"/>
        </w:rPr>
        <w:t xml:space="preserve"> af CYP2B6</w:t>
      </w:r>
    </w:p>
    <w:p w14:paraId="7D032386" w14:textId="77777777" w:rsidR="00D21C07" w:rsidRPr="00D21C07" w:rsidRDefault="00D21C07" w:rsidP="00D21C07">
      <w:pPr>
        <w:tabs>
          <w:tab w:val="left" w:pos="851"/>
        </w:tabs>
        <w:ind w:left="851"/>
        <w:rPr>
          <w:sz w:val="24"/>
          <w:szCs w:val="24"/>
        </w:rPr>
      </w:pPr>
      <w:proofErr w:type="spellStart"/>
      <w:r w:rsidRPr="00D21C07">
        <w:rPr>
          <w:sz w:val="24"/>
          <w:szCs w:val="24"/>
        </w:rPr>
        <w:t>Prasugrel</w:t>
      </w:r>
      <w:proofErr w:type="spellEnd"/>
      <w:r w:rsidRPr="00D21C07">
        <w:rPr>
          <w:sz w:val="24"/>
          <w:szCs w:val="24"/>
        </w:rPr>
        <w:t xml:space="preserve"> er en svag inhibitor af CYP2B6. </w:t>
      </w:r>
      <w:proofErr w:type="spellStart"/>
      <w:r w:rsidRPr="00D21C07">
        <w:rPr>
          <w:sz w:val="24"/>
          <w:szCs w:val="24"/>
        </w:rPr>
        <w:t>Prasugrel</w:t>
      </w:r>
      <w:proofErr w:type="spellEnd"/>
      <w:r w:rsidRPr="00D21C07">
        <w:rPr>
          <w:sz w:val="24"/>
          <w:szCs w:val="24"/>
        </w:rPr>
        <w:t xml:space="preserve"> formindskede eksponeringen for </w:t>
      </w:r>
      <w:proofErr w:type="spellStart"/>
      <w:r w:rsidRPr="00D21C07">
        <w:rPr>
          <w:sz w:val="24"/>
          <w:szCs w:val="24"/>
        </w:rPr>
        <w:t>hydroxybupropion</w:t>
      </w:r>
      <w:proofErr w:type="spellEnd"/>
      <w:r w:rsidRPr="00D21C07">
        <w:rPr>
          <w:sz w:val="24"/>
          <w:szCs w:val="24"/>
        </w:rPr>
        <w:t xml:space="preserve">, en CYP2B6-medieret metabolit af </w:t>
      </w:r>
      <w:proofErr w:type="spellStart"/>
      <w:r w:rsidRPr="00D21C07">
        <w:rPr>
          <w:sz w:val="24"/>
          <w:szCs w:val="24"/>
        </w:rPr>
        <w:t>bupropion</w:t>
      </w:r>
      <w:proofErr w:type="spellEnd"/>
      <w:r w:rsidRPr="00D21C07">
        <w:rPr>
          <w:sz w:val="24"/>
          <w:szCs w:val="24"/>
        </w:rPr>
        <w:t xml:space="preserve">, med 23 % hos raske forsøgspersoner. Denne virkning er sandsynligvis kun af klinisk interesse, når </w:t>
      </w:r>
      <w:proofErr w:type="spellStart"/>
      <w:r w:rsidRPr="00D21C07">
        <w:rPr>
          <w:sz w:val="24"/>
          <w:szCs w:val="24"/>
        </w:rPr>
        <w:t>prasugrel</w:t>
      </w:r>
      <w:proofErr w:type="spellEnd"/>
      <w:r w:rsidRPr="00D21C07">
        <w:rPr>
          <w:sz w:val="24"/>
          <w:szCs w:val="24"/>
        </w:rPr>
        <w:t xml:space="preserve"> administreres samtidigt med lægemidler, hvor CYP2B6 er den eneste metaboliske vej, og hvor det terapeutiske vindue er smalt (f.eks. </w:t>
      </w:r>
      <w:proofErr w:type="spellStart"/>
      <w:r w:rsidRPr="00D21C07">
        <w:rPr>
          <w:sz w:val="24"/>
          <w:szCs w:val="24"/>
        </w:rPr>
        <w:t>cyclophosphamid</w:t>
      </w:r>
      <w:proofErr w:type="spellEnd"/>
      <w:r w:rsidRPr="00D21C07">
        <w:rPr>
          <w:sz w:val="24"/>
          <w:szCs w:val="24"/>
        </w:rPr>
        <w:t xml:space="preserve">, </w:t>
      </w:r>
      <w:proofErr w:type="spellStart"/>
      <w:r w:rsidRPr="00D21C07">
        <w:rPr>
          <w:sz w:val="24"/>
          <w:szCs w:val="24"/>
        </w:rPr>
        <w:t>efavirenz</w:t>
      </w:r>
      <w:proofErr w:type="spellEnd"/>
      <w:r w:rsidRPr="00D21C07">
        <w:rPr>
          <w:sz w:val="24"/>
          <w:szCs w:val="24"/>
        </w:rPr>
        <w:t>).</w:t>
      </w:r>
    </w:p>
    <w:p w14:paraId="4F4161E1" w14:textId="42DA850A" w:rsidR="00E11E3E" w:rsidRDefault="00E11E3E">
      <w:pPr>
        <w:rPr>
          <w:sz w:val="24"/>
          <w:szCs w:val="24"/>
        </w:rPr>
      </w:pPr>
      <w:r>
        <w:rPr>
          <w:sz w:val="24"/>
          <w:szCs w:val="24"/>
        </w:rPr>
        <w:br w:type="page"/>
      </w:r>
    </w:p>
    <w:p w14:paraId="542EB9FB" w14:textId="77777777" w:rsidR="009260DE" w:rsidRPr="00C84483" w:rsidRDefault="009260DE" w:rsidP="009260DE">
      <w:pPr>
        <w:tabs>
          <w:tab w:val="left" w:pos="851"/>
        </w:tabs>
        <w:ind w:left="851"/>
        <w:rPr>
          <w:sz w:val="24"/>
          <w:szCs w:val="24"/>
        </w:rPr>
      </w:pPr>
    </w:p>
    <w:p w14:paraId="2C6B6B86"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0F47E2EB" w14:textId="77777777" w:rsidR="00D21C07" w:rsidRPr="00D21C07" w:rsidRDefault="00D21C07" w:rsidP="00D21C07">
      <w:pPr>
        <w:tabs>
          <w:tab w:val="left" w:pos="851"/>
        </w:tabs>
        <w:ind w:left="851"/>
        <w:rPr>
          <w:sz w:val="24"/>
          <w:szCs w:val="24"/>
        </w:rPr>
      </w:pPr>
      <w:r w:rsidRPr="00D21C07">
        <w:rPr>
          <w:sz w:val="24"/>
          <w:szCs w:val="24"/>
        </w:rPr>
        <w:t xml:space="preserve">Der er ikke udført kliniske forsøg med gravide eller ammende kvinder. </w:t>
      </w:r>
    </w:p>
    <w:p w14:paraId="53D91A0D" w14:textId="77777777" w:rsidR="00D21C07" w:rsidRPr="00D21C07" w:rsidRDefault="00D21C07" w:rsidP="00D21C07">
      <w:pPr>
        <w:tabs>
          <w:tab w:val="left" w:pos="851"/>
        </w:tabs>
        <w:ind w:left="851"/>
        <w:rPr>
          <w:sz w:val="24"/>
          <w:szCs w:val="24"/>
        </w:rPr>
      </w:pPr>
    </w:p>
    <w:p w14:paraId="4AC945E8" w14:textId="77777777" w:rsidR="00D21C07" w:rsidRPr="00D21C07" w:rsidRDefault="00D21C07" w:rsidP="00D21C07">
      <w:pPr>
        <w:tabs>
          <w:tab w:val="left" w:pos="851"/>
        </w:tabs>
        <w:ind w:left="851"/>
        <w:rPr>
          <w:sz w:val="24"/>
          <w:szCs w:val="24"/>
        </w:rPr>
      </w:pPr>
      <w:r w:rsidRPr="00D21C07">
        <w:rPr>
          <w:sz w:val="24"/>
          <w:szCs w:val="24"/>
          <w:u w:val="single"/>
        </w:rPr>
        <w:t>Graviditet</w:t>
      </w:r>
    </w:p>
    <w:p w14:paraId="268B9F50" w14:textId="77777777" w:rsidR="00D21C07" w:rsidRPr="00D21C07" w:rsidRDefault="00D21C07" w:rsidP="00D21C07">
      <w:pPr>
        <w:tabs>
          <w:tab w:val="left" w:pos="851"/>
        </w:tabs>
        <w:ind w:left="851"/>
        <w:rPr>
          <w:sz w:val="24"/>
          <w:szCs w:val="24"/>
        </w:rPr>
      </w:pPr>
      <w:r w:rsidRPr="00D21C07">
        <w:rPr>
          <w:sz w:val="24"/>
          <w:szCs w:val="24"/>
        </w:rPr>
        <w:t xml:space="preserve">Dyreforsøg indikerer ikke direkte skadelige virkninger på drægtighed, embryoets/fostrets udvikling, fødslen eller den </w:t>
      </w:r>
      <w:proofErr w:type="spellStart"/>
      <w:r w:rsidRPr="00D21C07">
        <w:rPr>
          <w:sz w:val="24"/>
          <w:szCs w:val="24"/>
        </w:rPr>
        <w:t>postnatale</w:t>
      </w:r>
      <w:proofErr w:type="spellEnd"/>
      <w:r w:rsidRPr="00D21C07">
        <w:rPr>
          <w:sz w:val="24"/>
          <w:szCs w:val="24"/>
        </w:rPr>
        <w:t xml:space="preserve"> udvikling (se pkt. 5.3). </w:t>
      </w:r>
    </w:p>
    <w:p w14:paraId="556B8538" w14:textId="77777777" w:rsidR="00D21C07" w:rsidRPr="00D21C07" w:rsidRDefault="00D21C07" w:rsidP="00D21C07">
      <w:pPr>
        <w:tabs>
          <w:tab w:val="left" w:pos="851"/>
        </w:tabs>
        <w:ind w:left="851"/>
        <w:rPr>
          <w:sz w:val="24"/>
          <w:szCs w:val="24"/>
        </w:rPr>
      </w:pPr>
      <w:r w:rsidRPr="00D21C07">
        <w:rPr>
          <w:sz w:val="24"/>
          <w:szCs w:val="24"/>
        </w:rPr>
        <w:t xml:space="preserve">Eftersom reproduktionsforsøg hos dyr ikke altid kan forudsige det humane respons, bør </w:t>
      </w:r>
      <w:proofErr w:type="spellStart"/>
      <w:r w:rsidRPr="00D21C07">
        <w:rPr>
          <w:sz w:val="24"/>
          <w:szCs w:val="24"/>
        </w:rPr>
        <w:t>Efient</w:t>
      </w:r>
      <w:proofErr w:type="spellEnd"/>
      <w:r w:rsidRPr="00D21C07">
        <w:rPr>
          <w:sz w:val="24"/>
          <w:szCs w:val="24"/>
        </w:rPr>
        <w:t xml:space="preserve"> kun anvendes under graviditet, hvis den potentielle fordel for moderen opvejer den potentielle risiko for fostret.</w:t>
      </w:r>
    </w:p>
    <w:p w14:paraId="4A5EC46C" w14:textId="77777777" w:rsidR="00D21C07" w:rsidRPr="00D21C07" w:rsidRDefault="00D21C07" w:rsidP="00D21C07">
      <w:pPr>
        <w:tabs>
          <w:tab w:val="left" w:pos="851"/>
        </w:tabs>
        <w:ind w:left="851"/>
        <w:rPr>
          <w:sz w:val="24"/>
          <w:szCs w:val="24"/>
        </w:rPr>
      </w:pPr>
    </w:p>
    <w:p w14:paraId="30A23D26" w14:textId="77777777" w:rsidR="00D21C07" w:rsidRPr="00D21C07" w:rsidRDefault="00D21C07" w:rsidP="00D21C07">
      <w:pPr>
        <w:tabs>
          <w:tab w:val="left" w:pos="851"/>
        </w:tabs>
        <w:ind w:left="851"/>
        <w:rPr>
          <w:sz w:val="24"/>
          <w:szCs w:val="24"/>
          <w:u w:val="single"/>
        </w:rPr>
      </w:pPr>
      <w:r w:rsidRPr="00D21C07">
        <w:rPr>
          <w:sz w:val="24"/>
          <w:szCs w:val="24"/>
          <w:u w:val="single"/>
        </w:rPr>
        <w:t>Amning</w:t>
      </w:r>
    </w:p>
    <w:p w14:paraId="5B10B372" w14:textId="77777777" w:rsidR="00D21C07" w:rsidRPr="00D21C07" w:rsidRDefault="00D21C07" w:rsidP="00D21C07">
      <w:pPr>
        <w:tabs>
          <w:tab w:val="left" w:pos="851"/>
        </w:tabs>
        <w:ind w:left="851"/>
        <w:rPr>
          <w:sz w:val="24"/>
          <w:szCs w:val="24"/>
        </w:rPr>
      </w:pPr>
      <w:r w:rsidRPr="00D21C07">
        <w:rPr>
          <w:sz w:val="24"/>
          <w:szCs w:val="24"/>
        </w:rPr>
        <w:t xml:space="preserve">Det vides ikke, om </w:t>
      </w:r>
      <w:proofErr w:type="spellStart"/>
      <w:r w:rsidRPr="00D21C07">
        <w:rPr>
          <w:sz w:val="24"/>
          <w:szCs w:val="24"/>
        </w:rPr>
        <w:t>prasugrel</w:t>
      </w:r>
      <w:proofErr w:type="spellEnd"/>
      <w:r w:rsidRPr="00D21C07">
        <w:rPr>
          <w:sz w:val="24"/>
          <w:szCs w:val="24"/>
        </w:rPr>
        <w:t xml:space="preserve"> udskilles i modermælk hos mennesker. Dyreforsøg har vist udskillelse af </w:t>
      </w:r>
      <w:proofErr w:type="spellStart"/>
      <w:r w:rsidRPr="00D21C07">
        <w:rPr>
          <w:sz w:val="24"/>
          <w:szCs w:val="24"/>
        </w:rPr>
        <w:t>prasugrel</w:t>
      </w:r>
      <w:proofErr w:type="spellEnd"/>
      <w:r w:rsidRPr="00D21C07">
        <w:rPr>
          <w:sz w:val="24"/>
          <w:szCs w:val="24"/>
        </w:rPr>
        <w:t xml:space="preserve"> i modermælk. Brugen af </w:t>
      </w:r>
      <w:proofErr w:type="spellStart"/>
      <w:r w:rsidRPr="00D21C07">
        <w:rPr>
          <w:sz w:val="24"/>
          <w:szCs w:val="24"/>
        </w:rPr>
        <w:t>prasugrel</w:t>
      </w:r>
      <w:proofErr w:type="spellEnd"/>
      <w:r w:rsidRPr="00D21C07">
        <w:rPr>
          <w:sz w:val="24"/>
          <w:szCs w:val="24"/>
        </w:rPr>
        <w:t xml:space="preserve"> under amning frarådes.</w:t>
      </w:r>
    </w:p>
    <w:p w14:paraId="2AC0F1AF" w14:textId="77777777" w:rsidR="00D21C07" w:rsidRPr="00D21C07" w:rsidRDefault="00D21C07" w:rsidP="00D21C07">
      <w:pPr>
        <w:tabs>
          <w:tab w:val="left" w:pos="851"/>
        </w:tabs>
        <w:ind w:left="851"/>
        <w:rPr>
          <w:sz w:val="24"/>
          <w:szCs w:val="24"/>
          <w:u w:val="single"/>
        </w:rPr>
      </w:pPr>
    </w:p>
    <w:p w14:paraId="4704952D" w14:textId="77777777" w:rsidR="00D21C07" w:rsidRPr="00D21C07" w:rsidRDefault="00D21C07" w:rsidP="00D21C07">
      <w:pPr>
        <w:tabs>
          <w:tab w:val="left" w:pos="851"/>
        </w:tabs>
        <w:ind w:left="851"/>
        <w:rPr>
          <w:sz w:val="24"/>
          <w:szCs w:val="24"/>
          <w:u w:val="single"/>
        </w:rPr>
      </w:pPr>
      <w:r w:rsidRPr="00D21C07">
        <w:rPr>
          <w:sz w:val="24"/>
          <w:szCs w:val="24"/>
          <w:u w:val="single"/>
        </w:rPr>
        <w:t>Fertilitet</w:t>
      </w:r>
    </w:p>
    <w:p w14:paraId="15DBA795" w14:textId="77777777" w:rsidR="00D21C07" w:rsidRPr="00D21C07" w:rsidRDefault="00D21C07" w:rsidP="00D21C07">
      <w:pPr>
        <w:tabs>
          <w:tab w:val="left" w:pos="851"/>
        </w:tabs>
        <w:ind w:left="851"/>
        <w:rPr>
          <w:sz w:val="24"/>
          <w:szCs w:val="24"/>
        </w:rPr>
      </w:pPr>
      <w:proofErr w:type="spellStart"/>
      <w:r w:rsidRPr="00D21C07">
        <w:rPr>
          <w:sz w:val="24"/>
          <w:szCs w:val="24"/>
        </w:rPr>
        <w:t>Prasugrel</w:t>
      </w:r>
      <w:proofErr w:type="spellEnd"/>
      <w:r w:rsidRPr="00D21C07">
        <w:rPr>
          <w:sz w:val="24"/>
          <w:szCs w:val="24"/>
        </w:rPr>
        <w:t xml:space="preserve"> har ingen virkning på fertilitet hos han- og hunrotter ved orale doser op til en eksponering på 240 gange den anbefalede daglige vedligeholdelsesdosis hos mennesker (baseret på mg/m²).</w:t>
      </w:r>
    </w:p>
    <w:p w14:paraId="5CC418DC" w14:textId="77777777" w:rsidR="009260DE" w:rsidRPr="00C84483" w:rsidRDefault="009260DE" w:rsidP="009260DE">
      <w:pPr>
        <w:tabs>
          <w:tab w:val="left" w:pos="851"/>
        </w:tabs>
        <w:ind w:left="851"/>
        <w:rPr>
          <w:sz w:val="24"/>
          <w:szCs w:val="24"/>
        </w:rPr>
      </w:pPr>
    </w:p>
    <w:p w14:paraId="69FA8530"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66FBF7AC" w14:textId="77777777" w:rsidR="00C52F9A" w:rsidRDefault="00C52F9A" w:rsidP="00D21C07">
      <w:pPr>
        <w:tabs>
          <w:tab w:val="left" w:pos="851"/>
        </w:tabs>
        <w:ind w:left="851"/>
        <w:rPr>
          <w:sz w:val="24"/>
          <w:szCs w:val="24"/>
        </w:rPr>
      </w:pPr>
      <w:r>
        <w:rPr>
          <w:sz w:val="24"/>
          <w:szCs w:val="24"/>
        </w:rPr>
        <w:t>Ikke mærkning.</w:t>
      </w:r>
    </w:p>
    <w:p w14:paraId="5618F609" w14:textId="38065BC9" w:rsidR="00D21C07" w:rsidRPr="00D21C07" w:rsidRDefault="00D21C07" w:rsidP="00D21C07">
      <w:pPr>
        <w:tabs>
          <w:tab w:val="left" w:pos="851"/>
        </w:tabs>
        <w:ind w:left="851"/>
        <w:rPr>
          <w:sz w:val="24"/>
          <w:szCs w:val="24"/>
        </w:rPr>
      </w:pPr>
      <w:proofErr w:type="spellStart"/>
      <w:r w:rsidRPr="00D21C07">
        <w:rPr>
          <w:sz w:val="24"/>
          <w:szCs w:val="24"/>
        </w:rPr>
        <w:t>Prasugrel</w:t>
      </w:r>
      <w:proofErr w:type="spellEnd"/>
      <w:r w:rsidRPr="00D21C07">
        <w:rPr>
          <w:sz w:val="24"/>
          <w:szCs w:val="24"/>
        </w:rPr>
        <w:t xml:space="preserve"> forventes ikke at have nogen eller ubetydelig indflydelse på evnen til at føre motorkøretøj og betjene maskiner.</w:t>
      </w:r>
    </w:p>
    <w:p w14:paraId="53F572A6" w14:textId="77777777" w:rsidR="009260DE" w:rsidRPr="00C84483" w:rsidRDefault="009260DE" w:rsidP="009260DE">
      <w:pPr>
        <w:tabs>
          <w:tab w:val="left" w:pos="851"/>
        </w:tabs>
        <w:ind w:left="851"/>
        <w:rPr>
          <w:sz w:val="24"/>
          <w:szCs w:val="24"/>
        </w:rPr>
      </w:pPr>
    </w:p>
    <w:p w14:paraId="0A3C280B"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3EEDBA88" w14:textId="77777777" w:rsidR="00D21C07" w:rsidRDefault="00D21C07" w:rsidP="00D21C07">
      <w:pPr>
        <w:pStyle w:val="Brdtekst"/>
        <w:ind w:left="851"/>
        <w:rPr>
          <w:i w:val="0"/>
          <w:color w:val="auto"/>
          <w:sz w:val="24"/>
          <w:szCs w:val="24"/>
          <w:u w:val="single"/>
          <w:lang w:val="da-DK"/>
        </w:rPr>
      </w:pPr>
    </w:p>
    <w:p w14:paraId="637688CC" w14:textId="0C449AA7" w:rsidR="00D21C07" w:rsidRPr="00D21C07" w:rsidRDefault="00D21C07" w:rsidP="00D21C07">
      <w:pPr>
        <w:pStyle w:val="Brdtekst"/>
        <w:ind w:left="851"/>
        <w:rPr>
          <w:i w:val="0"/>
          <w:color w:val="auto"/>
          <w:sz w:val="24"/>
          <w:szCs w:val="24"/>
          <w:u w:val="single"/>
          <w:lang w:val="da-DK"/>
        </w:rPr>
      </w:pPr>
      <w:r w:rsidRPr="00D21C07">
        <w:rPr>
          <w:i w:val="0"/>
          <w:color w:val="auto"/>
          <w:sz w:val="24"/>
          <w:szCs w:val="24"/>
          <w:u w:val="single"/>
          <w:lang w:val="da-DK"/>
        </w:rPr>
        <w:t>Resumé af sikkerhedsprofilen</w:t>
      </w:r>
    </w:p>
    <w:p w14:paraId="556AF690" w14:textId="77777777" w:rsidR="00D21C07" w:rsidRPr="00D21C07" w:rsidRDefault="00D21C07" w:rsidP="00D21C07">
      <w:pPr>
        <w:pStyle w:val="Brdtekst"/>
        <w:ind w:left="851"/>
        <w:rPr>
          <w:i w:val="0"/>
          <w:color w:val="auto"/>
          <w:sz w:val="24"/>
          <w:szCs w:val="24"/>
          <w:lang w:val="da-DK"/>
        </w:rPr>
      </w:pPr>
      <w:r w:rsidRPr="00D21C07">
        <w:rPr>
          <w:i w:val="0"/>
          <w:color w:val="auto"/>
          <w:sz w:val="24"/>
          <w:szCs w:val="24"/>
          <w:lang w:val="da-DK"/>
        </w:rPr>
        <w:t xml:space="preserve">Sikkerheden hos patienter med akut </w:t>
      </w:r>
      <w:proofErr w:type="spellStart"/>
      <w:r w:rsidRPr="00D21C07">
        <w:rPr>
          <w:i w:val="0"/>
          <w:color w:val="auto"/>
          <w:sz w:val="24"/>
          <w:szCs w:val="24"/>
          <w:lang w:val="da-DK"/>
        </w:rPr>
        <w:t>koronarsyndrom</w:t>
      </w:r>
      <w:proofErr w:type="spellEnd"/>
      <w:r w:rsidRPr="00D21C07">
        <w:rPr>
          <w:i w:val="0"/>
          <w:color w:val="auto"/>
          <w:sz w:val="24"/>
          <w:szCs w:val="24"/>
          <w:lang w:val="da-DK"/>
        </w:rPr>
        <w:t xml:space="preserve">, som gennemgik PCI, blev evalueret i et </w:t>
      </w:r>
      <w:proofErr w:type="spellStart"/>
      <w:r w:rsidRPr="00D21C07">
        <w:rPr>
          <w:i w:val="0"/>
          <w:color w:val="auto"/>
          <w:sz w:val="24"/>
          <w:szCs w:val="24"/>
          <w:lang w:val="da-DK"/>
        </w:rPr>
        <w:t>clopidogrelkontrolleret</w:t>
      </w:r>
      <w:proofErr w:type="spellEnd"/>
      <w:r w:rsidRPr="00D21C07">
        <w:rPr>
          <w:i w:val="0"/>
          <w:color w:val="auto"/>
          <w:sz w:val="24"/>
          <w:szCs w:val="24"/>
          <w:lang w:val="da-DK"/>
        </w:rPr>
        <w:t xml:space="preserve"> forsøg (TRITON). I forsøget blev 6741 patienter behandlet med </w:t>
      </w:r>
      <w:proofErr w:type="spellStart"/>
      <w:r w:rsidRPr="00D21C07">
        <w:rPr>
          <w:i w:val="0"/>
          <w:color w:val="auto"/>
          <w:sz w:val="24"/>
          <w:szCs w:val="24"/>
          <w:lang w:val="da-DK"/>
        </w:rPr>
        <w:t>prasugrel</w:t>
      </w:r>
      <w:proofErr w:type="spellEnd"/>
      <w:r w:rsidRPr="00D21C07">
        <w:rPr>
          <w:i w:val="0"/>
          <w:color w:val="auto"/>
          <w:sz w:val="24"/>
          <w:szCs w:val="24"/>
          <w:lang w:val="da-DK"/>
        </w:rPr>
        <w:t xml:space="preserve"> (60 mg </w:t>
      </w:r>
      <w:proofErr w:type="spellStart"/>
      <w:r w:rsidRPr="00D21C07">
        <w:rPr>
          <w:i w:val="0"/>
          <w:color w:val="auto"/>
          <w:sz w:val="24"/>
          <w:szCs w:val="24"/>
          <w:lang w:val="da-DK"/>
        </w:rPr>
        <w:t>loadingdosis</w:t>
      </w:r>
      <w:proofErr w:type="spellEnd"/>
      <w:r w:rsidRPr="00D21C07">
        <w:rPr>
          <w:i w:val="0"/>
          <w:color w:val="auto"/>
          <w:sz w:val="24"/>
          <w:szCs w:val="24"/>
          <w:lang w:val="da-DK"/>
        </w:rPr>
        <w:t xml:space="preserve"> og 10 mg én gang dagligt som vedligeholdelsesdosis) i gennemsnitligt 14,5 måneder (5802 patienter blev behandlet i mere end 6 måneder, 4136 patienter blev behandlet i mere end 1 år). Procenten for </w:t>
      </w:r>
      <w:proofErr w:type="spellStart"/>
      <w:r w:rsidRPr="00D21C07">
        <w:rPr>
          <w:i w:val="0"/>
          <w:color w:val="auto"/>
          <w:sz w:val="24"/>
          <w:szCs w:val="24"/>
          <w:lang w:val="da-DK"/>
        </w:rPr>
        <w:t>seponering</w:t>
      </w:r>
      <w:proofErr w:type="spellEnd"/>
      <w:r w:rsidRPr="00D21C07">
        <w:rPr>
          <w:i w:val="0"/>
          <w:color w:val="auto"/>
          <w:sz w:val="24"/>
          <w:szCs w:val="24"/>
          <w:lang w:val="da-DK"/>
        </w:rPr>
        <w:t xml:space="preserve"> af forsøgslægemidler på grund af bivirkninger var 7,2 % for </w:t>
      </w:r>
      <w:proofErr w:type="spellStart"/>
      <w:r w:rsidRPr="00D21C07">
        <w:rPr>
          <w:i w:val="0"/>
          <w:color w:val="auto"/>
          <w:sz w:val="24"/>
          <w:szCs w:val="24"/>
          <w:lang w:val="da-DK"/>
        </w:rPr>
        <w:t>prasugrel</w:t>
      </w:r>
      <w:proofErr w:type="spellEnd"/>
      <w:r w:rsidRPr="00D21C07">
        <w:rPr>
          <w:i w:val="0"/>
          <w:color w:val="auto"/>
          <w:sz w:val="24"/>
          <w:szCs w:val="24"/>
          <w:lang w:val="da-DK"/>
        </w:rPr>
        <w:t xml:space="preserve"> og 6,3 % for </w:t>
      </w:r>
      <w:proofErr w:type="spellStart"/>
      <w:r w:rsidRPr="00D21C07">
        <w:rPr>
          <w:i w:val="0"/>
          <w:color w:val="auto"/>
          <w:sz w:val="24"/>
          <w:szCs w:val="24"/>
          <w:lang w:val="da-DK"/>
        </w:rPr>
        <w:t>clopidogrel</w:t>
      </w:r>
      <w:proofErr w:type="spellEnd"/>
      <w:r w:rsidRPr="00D21C07">
        <w:rPr>
          <w:i w:val="0"/>
          <w:color w:val="auto"/>
          <w:sz w:val="24"/>
          <w:szCs w:val="24"/>
          <w:lang w:val="da-DK"/>
        </w:rPr>
        <w:t xml:space="preserve">. Af disse var blødning den mest almindelige bivirkning for begge lægemidler, som førte til </w:t>
      </w:r>
      <w:proofErr w:type="spellStart"/>
      <w:r w:rsidRPr="00D21C07">
        <w:rPr>
          <w:i w:val="0"/>
          <w:color w:val="auto"/>
          <w:sz w:val="24"/>
          <w:szCs w:val="24"/>
          <w:lang w:val="da-DK"/>
        </w:rPr>
        <w:t>seponering</w:t>
      </w:r>
      <w:proofErr w:type="spellEnd"/>
      <w:r w:rsidRPr="00D21C07">
        <w:rPr>
          <w:i w:val="0"/>
          <w:color w:val="auto"/>
          <w:sz w:val="24"/>
          <w:szCs w:val="24"/>
          <w:lang w:val="da-DK"/>
        </w:rPr>
        <w:t xml:space="preserve"> af forsøgsmedicinen (2,5 % for </w:t>
      </w:r>
      <w:proofErr w:type="spellStart"/>
      <w:r w:rsidRPr="00D21C07">
        <w:rPr>
          <w:i w:val="0"/>
          <w:color w:val="auto"/>
          <w:sz w:val="24"/>
          <w:szCs w:val="24"/>
          <w:lang w:val="da-DK"/>
        </w:rPr>
        <w:t>prasugrel</w:t>
      </w:r>
      <w:proofErr w:type="spellEnd"/>
      <w:r w:rsidRPr="00D21C07">
        <w:rPr>
          <w:i w:val="0"/>
          <w:color w:val="auto"/>
          <w:sz w:val="24"/>
          <w:szCs w:val="24"/>
          <w:lang w:val="da-DK"/>
        </w:rPr>
        <w:t xml:space="preserve"> og 1,4 % for </w:t>
      </w:r>
      <w:proofErr w:type="spellStart"/>
      <w:r w:rsidRPr="00D21C07">
        <w:rPr>
          <w:i w:val="0"/>
          <w:color w:val="auto"/>
          <w:sz w:val="24"/>
          <w:szCs w:val="24"/>
          <w:lang w:val="da-DK"/>
        </w:rPr>
        <w:t>clopidogrel</w:t>
      </w:r>
      <w:proofErr w:type="spellEnd"/>
      <w:r w:rsidRPr="00D21C07">
        <w:rPr>
          <w:i w:val="0"/>
          <w:color w:val="auto"/>
          <w:sz w:val="24"/>
          <w:szCs w:val="24"/>
          <w:lang w:val="da-DK"/>
        </w:rPr>
        <w:t>).</w:t>
      </w:r>
    </w:p>
    <w:p w14:paraId="0381E734" w14:textId="77777777" w:rsidR="00D21C07" w:rsidRPr="00D21C07" w:rsidRDefault="00D21C07" w:rsidP="00D21C07">
      <w:pPr>
        <w:pStyle w:val="Brdtekst"/>
        <w:ind w:left="851"/>
        <w:rPr>
          <w:i w:val="0"/>
          <w:color w:val="auto"/>
          <w:sz w:val="24"/>
          <w:szCs w:val="24"/>
          <w:lang w:val="da-DK"/>
        </w:rPr>
      </w:pPr>
    </w:p>
    <w:p w14:paraId="298F7728" w14:textId="77777777" w:rsidR="00D21C07" w:rsidRPr="00D21C07" w:rsidRDefault="00D21C07" w:rsidP="00D21C07">
      <w:pPr>
        <w:pStyle w:val="Brdtekst"/>
        <w:ind w:left="851"/>
        <w:rPr>
          <w:i w:val="0"/>
          <w:color w:val="auto"/>
          <w:sz w:val="24"/>
          <w:szCs w:val="24"/>
          <w:u w:val="single"/>
          <w:lang w:val="da-DK"/>
        </w:rPr>
      </w:pPr>
      <w:r w:rsidRPr="00D21C07">
        <w:rPr>
          <w:i w:val="0"/>
          <w:color w:val="auto"/>
          <w:sz w:val="24"/>
          <w:szCs w:val="24"/>
          <w:u w:val="single"/>
          <w:lang w:val="da-DK"/>
        </w:rPr>
        <w:t>Blødning</w:t>
      </w:r>
    </w:p>
    <w:p w14:paraId="7FDAF505" w14:textId="77777777" w:rsidR="00D21C07" w:rsidRPr="00D21C07" w:rsidRDefault="00D21C07" w:rsidP="00D21C07">
      <w:pPr>
        <w:ind w:left="851"/>
        <w:rPr>
          <w:i/>
          <w:iCs/>
          <w:sz w:val="24"/>
          <w:szCs w:val="24"/>
        </w:rPr>
      </w:pPr>
      <w:r w:rsidRPr="00D21C07">
        <w:rPr>
          <w:sz w:val="24"/>
          <w:szCs w:val="24"/>
        </w:rPr>
        <w:t>Ikke-CABG (</w:t>
      </w:r>
      <w:proofErr w:type="spellStart"/>
      <w:r w:rsidRPr="00D21C07">
        <w:rPr>
          <w:sz w:val="24"/>
          <w:szCs w:val="24"/>
        </w:rPr>
        <w:t>koronar</w:t>
      </w:r>
      <w:proofErr w:type="spellEnd"/>
      <w:r w:rsidRPr="00D21C07">
        <w:rPr>
          <w:sz w:val="24"/>
          <w:szCs w:val="24"/>
        </w:rPr>
        <w:t xml:space="preserve"> bypass kirurgi) relateret blødning</w:t>
      </w:r>
    </w:p>
    <w:p w14:paraId="0DF6C990" w14:textId="48B4F1F0" w:rsidR="00D21C07" w:rsidRPr="00D21C07" w:rsidRDefault="00D21C07" w:rsidP="00D21C07">
      <w:pPr>
        <w:pStyle w:val="Brdtekst"/>
        <w:ind w:left="851"/>
        <w:rPr>
          <w:i w:val="0"/>
          <w:color w:val="auto"/>
          <w:sz w:val="24"/>
          <w:szCs w:val="24"/>
          <w:lang w:val="da-DK"/>
        </w:rPr>
      </w:pPr>
      <w:r w:rsidRPr="00D21C07">
        <w:rPr>
          <w:i w:val="0"/>
          <w:color w:val="auto"/>
          <w:sz w:val="24"/>
          <w:szCs w:val="24"/>
          <w:lang w:val="da-DK"/>
        </w:rPr>
        <w:t xml:space="preserve">Frekvensen af patienter, som i TRITON fik en ikke-CABG-relateret blødning, er vist i tabel 1. </w:t>
      </w:r>
      <w:proofErr w:type="spellStart"/>
      <w:r w:rsidRPr="00D21C07">
        <w:rPr>
          <w:i w:val="0"/>
          <w:color w:val="auto"/>
          <w:sz w:val="24"/>
          <w:szCs w:val="24"/>
          <w:lang w:val="da-DK"/>
        </w:rPr>
        <w:t>Incidensen</w:t>
      </w:r>
      <w:proofErr w:type="spellEnd"/>
      <w:r w:rsidRPr="00D21C07">
        <w:rPr>
          <w:i w:val="0"/>
          <w:color w:val="auto"/>
          <w:sz w:val="24"/>
          <w:szCs w:val="24"/>
          <w:lang w:val="da-DK"/>
        </w:rPr>
        <w:t xml:space="preserve"> af ikke-CABG-relateret TIMI større blødning, inklusive livstruende og letale blødninger, samt TIMI mindre blødning, var statistisk signifikant højere hos de forsøgspersoner, der blev behandlet med </w:t>
      </w:r>
      <w:proofErr w:type="spellStart"/>
      <w:r w:rsidRPr="00D21C07">
        <w:rPr>
          <w:i w:val="0"/>
          <w:color w:val="auto"/>
          <w:sz w:val="24"/>
          <w:szCs w:val="24"/>
          <w:lang w:val="da-DK"/>
        </w:rPr>
        <w:t>prasugrel</w:t>
      </w:r>
      <w:proofErr w:type="spellEnd"/>
      <w:r w:rsidRPr="00D21C07">
        <w:rPr>
          <w:i w:val="0"/>
          <w:color w:val="auto"/>
          <w:sz w:val="24"/>
          <w:szCs w:val="24"/>
          <w:lang w:val="da-DK"/>
        </w:rPr>
        <w:t xml:space="preserve"> sammenlignet med </w:t>
      </w:r>
      <w:proofErr w:type="spellStart"/>
      <w:r w:rsidRPr="00D21C07">
        <w:rPr>
          <w:i w:val="0"/>
          <w:color w:val="auto"/>
          <w:sz w:val="24"/>
          <w:szCs w:val="24"/>
          <w:lang w:val="da-DK"/>
        </w:rPr>
        <w:t>clopidogrel</w:t>
      </w:r>
      <w:proofErr w:type="spellEnd"/>
      <w:r w:rsidRPr="00D21C07">
        <w:rPr>
          <w:i w:val="0"/>
          <w:color w:val="auto"/>
          <w:sz w:val="24"/>
          <w:szCs w:val="24"/>
          <w:lang w:val="da-DK"/>
        </w:rPr>
        <w:t xml:space="preserve"> hos UA/NSTEMI- og Total AKS-populationerne. Der blev ikke set nogen signifikant forskel i STEMI-populationen. Det mest almindelige sted for spontan blødning var mave-tarm</w:t>
      </w:r>
      <w:r w:rsidR="00E11E3E">
        <w:rPr>
          <w:i w:val="0"/>
          <w:color w:val="auto"/>
          <w:sz w:val="24"/>
          <w:szCs w:val="24"/>
          <w:lang w:val="da-DK"/>
        </w:rPr>
        <w:t>-</w:t>
      </w:r>
      <w:r w:rsidRPr="00D21C07">
        <w:rPr>
          <w:i w:val="0"/>
          <w:color w:val="auto"/>
          <w:sz w:val="24"/>
          <w:szCs w:val="24"/>
          <w:lang w:val="da-DK"/>
        </w:rPr>
        <w:t xml:space="preserve">kanalen (1,7 % med </w:t>
      </w:r>
      <w:proofErr w:type="spellStart"/>
      <w:r w:rsidRPr="00D21C07">
        <w:rPr>
          <w:i w:val="0"/>
          <w:color w:val="auto"/>
          <w:sz w:val="24"/>
          <w:szCs w:val="24"/>
          <w:lang w:val="da-DK"/>
        </w:rPr>
        <w:t>prasugrel</w:t>
      </w:r>
      <w:proofErr w:type="spellEnd"/>
      <w:r w:rsidRPr="00D21C07">
        <w:rPr>
          <w:i w:val="0"/>
          <w:color w:val="auto"/>
          <w:sz w:val="24"/>
          <w:szCs w:val="24"/>
          <w:lang w:val="da-DK"/>
        </w:rPr>
        <w:t xml:space="preserve"> og 1,3 % med </w:t>
      </w:r>
      <w:proofErr w:type="spellStart"/>
      <w:r w:rsidRPr="00D21C07">
        <w:rPr>
          <w:i w:val="0"/>
          <w:color w:val="auto"/>
          <w:sz w:val="24"/>
          <w:szCs w:val="24"/>
          <w:lang w:val="da-DK"/>
        </w:rPr>
        <w:t>clopidogrel</w:t>
      </w:r>
      <w:proofErr w:type="spellEnd"/>
      <w:r w:rsidRPr="00D21C07">
        <w:rPr>
          <w:i w:val="0"/>
          <w:color w:val="auto"/>
          <w:sz w:val="24"/>
          <w:szCs w:val="24"/>
          <w:lang w:val="da-DK"/>
        </w:rPr>
        <w:t xml:space="preserve">). Det mest hyppige sted for provokeret blødning var det arterielle indstikssted (1,3 % med </w:t>
      </w:r>
      <w:proofErr w:type="spellStart"/>
      <w:r w:rsidRPr="00D21C07">
        <w:rPr>
          <w:i w:val="0"/>
          <w:color w:val="auto"/>
          <w:sz w:val="24"/>
          <w:szCs w:val="24"/>
          <w:lang w:val="da-DK"/>
        </w:rPr>
        <w:t>prasugrel</w:t>
      </w:r>
      <w:proofErr w:type="spellEnd"/>
      <w:r w:rsidRPr="00D21C07">
        <w:rPr>
          <w:i w:val="0"/>
          <w:color w:val="auto"/>
          <w:sz w:val="24"/>
          <w:szCs w:val="24"/>
          <w:lang w:val="da-DK"/>
        </w:rPr>
        <w:t xml:space="preserve"> og 1,2 % med </w:t>
      </w:r>
      <w:proofErr w:type="spellStart"/>
      <w:r w:rsidRPr="00D21C07">
        <w:rPr>
          <w:i w:val="0"/>
          <w:color w:val="auto"/>
          <w:sz w:val="24"/>
          <w:szCs w:val="24"/>
          <w:lang w:val="da-DK"/>
        </w:rPr>
        <w:t>clopidogrel</w:t>
      </w:r>
      <w:proofErr w:type="spellEnd"/>
      <w:r w:rsidRPr="00D21C07">
        <w:rPr>
          <w:i w:val="0"/>
          <w:color w:val="auto"/>
          <w:sz w:val="24"/>
          <w:szCs w:val="24"/>
          <w:lang w:val="da-DK"/>
        </w:rPr>
        <w:t>).</w:t>
      </w:r>
    </w:p>
    <w:p w14:paraId="13F271EF" w14:textId="60B24FDD" w:rsidR="00E11E3E" w:rsidRDefault="00E11E3E">
      <w:pPr>
        <w:rPr>
          <w:sz w:val="24"/>
          <w:szCs w:val="24"/>
        </w:rPr>
      </w:pPr>
      <w:r>
        <w:rPr>
          <w:i/>
          <w:sz w:val="24"/>
          <w:szCs w:val="24"/>
        </w:rPr>
        <w:br w:type="page"/>
      </w:r>
    </w:p>
    <w:p w14:paraId="33AEBCA9" w14:textId="77777777" w:rsidR="00D21C07" w:rsidRPr="00D21C07" w:rsidRDefault="00D21C07" w:rsidP="00D21C07">
      <w:pPr>
        <w:pStyle w:val="Brdtekst"/>
        <w:ind w:left="851"/>
        <w:rPr>
          <w:i w:val="0"/>
          <w:color w:val="auto"/>
          <w:sz w:val="24"/>
          <w:szCs w:val="24"/>
          <w:lang w:val="da-DK"/>
        </w:rPr>
      </w:pPr>
    </w:p>
    <w:p w14:paraId="302BD235" w14:textId="77777777" w:rsidR="00D21C07" w:rsidRPr="00C52F9A" w:rsidRDefault="00D21C07" w:rsidP="00C52F9A">
      <w:pPr>
        <w:rPr>
          <w:b/>
          <w:i/>
          <w:sz w:val="24"/>
          <w:szCs w:val="24"/>
        </w:rPr>
      </w:pPr>
      <w:r w:rsidRPr="00C52F9A">
        <w:rPr>
          <w:b/>
          <w:sz w:val="24"/>
          <w:szCs w:val="24"/>
        </w:rPr>
        <w:t>Tabel 1:</w:t>
      </w:r>
      <w:r w:rsidRPr="00C52F9A">
        <w:rPr>
          <w:b/>
          <w:sz w:val="24"/>
          <w:szCs w:val="24"/>
        </w:rPr>
        <w:tab/>
      </w:r>
      <w:proofErr w:type="spellStart"/>
      <w:r w:rsidRPr="00C52F9A">
        <w:rPr>
          <w:b/>
          <w:sz w:val="24"/>
          <w:szCs w:val="24"/>
        </w:rPr>
        <w:t>Incidencen</w:t>
      </w:r>
      <w:proofErr w:type="spellEnd"/>
      <w:r w:rsidRPr="00C52F9A">
        <w:rPr>
          <w:b/>
          <w:sz w:val="24"/>
          <w:szCs w:val="24"/>
        </w:rPr>
        <w:t xml:space="preserve"> af ikke-CABG-relateret </w:t>
      </w:r>
      <w:proofErr w:type="spellStart"/>
      <w:r w:rsidRPr="00C52F9A">
        <w:rPr>
          <w:b/>
          <w:sz w:val="24"/>
          <w:szCs w:val="24"/>
        </w:rPr>
        <w:t>blødning</w:t>
      </w:r>
      <w:r w:rsidRPr="00C52F9A">
        <w:rPr>
          <w:b/>
          <w:sz w:val="24"/>
          <w:szCs w:val="24"/>
          <w:vertAlign w:val="superscript"/>
        </w:rPr>
        <w:t>a</w:t>
      </w:r>
      <w:proofErr w:type="spellEnd"/>
      <w:r w:rsidRPr="00C52F9A">
        <w:rPr>
          <w:b/>
          <w:sz w:val="24"/>
          <w:szCs w:val="24"/>
        </w:rPr>
        <w:t xml:space="preserve"> (% patienter)</w:t>
      </w:r>
    </w:p>
    <w:p w14:paraId="1C2C09B5" w14:textId="77777777" w:rsidR="00D21C07" w:rsidRPr="00C52F9A" w:rsidRDefault="00D21C07" w:rsidP="00C52F9A">
      <w:pPr>
        <w:rPr>
          <w:b/>
          <w:sz w:val="24"/>
          <w:szCs w:val="24"/>
        </w:rPr>
      </w:pPr>
    </w:p>
    <w:tbl>
      <w:tblPr>
        <w:tblW w:w="5000" w:type="pct"/>
        <w:tblCellMar>
          <w:left w:w="10" w:type="dxa"/>
          <w:right w:w="10" w:type="dxa"/>
        </w:tblCellMar>
        <w:tblLook w:val="01E0" w:firstRow="1" w:lastRow="1" w:firstColumn="1" w:lastColumn="1" w:noHBand="0" w:noVBand="0"/>
      </w:tblPr>
      <w:tblGrid>
        <w:gridCol w:w="1414"/>
        <w:gridCol w:w="1272"/>
        <w:gridCol w:w="1464"/>
        <w:gridCol w:w="1272"/>
        <w:gridCol w:w="1462"/>
        <w:gridCol w:w="1272"/>
        <w:gridCol w:w="1462"/>
      </w:tblGrid>
      <w:tr w:rsidR="00D21C07" w14:paraId="3E6A801D" w14:textId="77777777" w:rsidTr="00C52F9A">
        <w:trPr>
          <w:trHeight w:val="282"/>
          <w:tblHeader/>
        </w:trPr>
        <w:tc>
          <w:tcPr>
            <w:tcW w:w="670" w:type="pct"/>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07D1F0C" w14:textId="77777777" w:rsidR="00D21C07" w:rsidRDefault="00D21C07" w:rsidP="00E11E3E">
            <w:pPr>
              <w:pStyle w:val="TableParagraph"/>
              <w:ind w:left="122"/>
              <w:rPr>
                <w:b/>
                <w:bCs/>
                <w:lang w:val="da-DK"/>
              </w:rPr>
            </w:pPr>
          </w:p>
          <w:p w14:paraId="3B1CF556" w14:textId="77777777" w:rsidR="00D21C07" w:rsidRDefault="00D21C07" w:rsidP="00E11E3E">
            <w:pPr>
              <w:pStyle w:val="TableParagraph"/>
              <w:ind w:left="122"/>
              <w:rPr>
                <w:b/>
                <w:bCs/>
              </w:rPr>
            </w:pPr>
            <w:r>
              <w:rPr>
                <w:b/>
                <w:bCs/>
                <w:lang w:val="da-DK"/>
              </w:rPr>
              <w:t>Hændelse</w:t>
            </w:r>
          </w:p>
        </w:tc>
        <w:tc>
          <w:tcPr>
            <w:tcW w:w="1444" w:type="pct"/>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60FCC63F" w14:textId="77777777" w:rsidR="00D21C07" w:rsidRDefault="00D21C07" w:rsidP="00E11E3E">
            <w:pPr>
              <w:pStyle w:val="TableParagraph"/>
              <w:ind w:left="108"/>
              <w:jc w:val="center"/>
              <w:rPr>
                <w:b/>
                <w:bCs/>
              </w:rPr>
            </w:pPr>
            <w:r>
              <w:rPr>
                <w:b/>
                <w:bCs/>
                <w:lang w:val="da-DK"/>
              </w:rPr>
              <w:t>Alle AKS</w:t>
            </w:r>
          </w:p>
        </w:tc>
        <w:tc>
          <w:tcPr>
            <w:tcW w:w="1443" w:type="pct"/>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5C4E4F34" w14:textId="77777777" w:rsidR="00D21C07" w:rsidRDefault="00D21C07" w:rsidP="00E11E3E">
            <w:pPr>
              <w:pStyle w:val="TableParagraph"/>
              <w:ind w:left="108"/>
              <w:jc w:val="center"/>
              <w:rPr>
                <w:b/>
                <w:bCs/>
              </w:rPr>
            </w:pPr>
            <w:r>
              <w:rPr>
                <w:b/>
                <w:bCs/>
                <w:lang w:val="da-DK"/>
              </w:rPr>
              <w:t>UA/NSTEMI</w:t>
            </w:r>
          </w:p>
        </w:tc>
        <w:tc>
          <w:tcPr>
            <w:tcW w:w="1443" w:type="pct"/>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43416272" w14:textId="77777777" w:rsidR="00D21C07" w:rsidRDefault="00D21C07" w:rsidP="00E11E3E">
            <w:pPr>
              <w:pStyle w:val="TableParagraph"/>
              <w:ind w:left="108"/>
              <w:jc w:val="center"/>
              <w:rPr>
                <w:b/>
                <w:bCs/>
              </w:rPr>
            </w:pPr>
            <w:r>
              <w:rPr>
                <w:b/>
                <w:bCs/>
                <w:lang w:val="da-DK"/>
              </w:rPr>
              <w:t>STEMI</w:t>
            </w:r>
          </w:p>
        </w:tc>
      </w:tr>
      <w:tr w:rsidR="00D21C07" w14:paraId="58172C0A" w14:textId="77777777" w:rsidTr="00C52F9A">
        <w:trPr>
          <w:trHeight w:val="786"/>
          <w:tblHeader/>
        </w:trPr>
        <w:tc>
          <w:tcPr>
            <w:tcW w:w="670" w:type="pct"/>
            <w:vMerge/>
            <w:tcBorders>
              <w:top w:val="single" w:sz="8" w:space="0" w:color="000000"/>
              <w:left w:val="single" w:sz="8" w:space="0" w:color="000000"/>
              <w:bottom w:val="single" w:sz="8" w:space="0" w:color="000000"/>
              <w:right w:val="single" w:sz="8" w:space="0" w:color="000000"/>
            </w:tcBorders>
            <w:vAlign w:val="center"/>
            <w:hideMark/>
          </w:tcPr>
          <w:p w14:paraId="16C1A411" w14:textId="77777777" w:rsidR="00D21C07" w:rsidRDefault="00D21C07" w:rsidP="00E11E3E">
            <w:pPr>
              <w:ind w:left="122"/>
              <w:rPr>
                <w:b/>
                <w:bCs/>
                <w:sz w:val="22"/>
                <w:szCs w:val="22"/>
                <w:lang w:val="en-US"/>
              </w:rPr>
            </w:pPr>
          </w:p>
        </w:tc>
        <w:tc>
          <w:tcPr>
            <w:tcW w:w="672"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1DBFD740" w14:textId="77777777" w:rsidR="00D21C07" w:rsidRDefault="00D21C07" w:rsidP="00E11E3E">
            <w:pPr>
              <w:pStyle w:val="TableParagraph"/>
              <w:ind w:left="108"/>
              <w:jc w:val="center"/>
              <w:rPr>
                <w:b/>
                <w:bCs/>
              </w:rPr>
            </w:pPr>
            <w:proofErr w:type="spellStart"/>
            <w:r>
              <w:rPr>
                <w:b/>
                <w:bCs/>
                <w:lang w:val="da-DK"/>
              </w:rPr>
              <w:t>Prasugrel</w:t>
            </w:r>
            <w:r>
              <w:rPr>
                <w:b/>
                <w:bCs/>
                <w:vertAlign w:val="superscript"/>
                <w:lang w:val="da-DK"/>
              </w:rPr>
              <w:t>b</w:t>
            </w:r>
            <w:proofErr w:type="spellEnd"/>
            <w:r>
              <w:rPr>
                <w:b/>
                <w:bCs/>
                <w:lang w:val="da-DK"/>
              </w:rPr>
              <w:t xml:space="preserve"> + ASA</w:t>
            </w:r>
          </w:p>
          <w:p w14:paraId="63B17921" w14:textId="77777777" w:rsidR="00D21C07" w:rsidRDefault="00D21C07" w:rsidP="00E11E3E">
            <w:pPr>
              <w:pStyle w:val="TableParagraph"/>
              <w:ind w:left="108"/>
              <w:jc w:val="center"/>
              <w:rPr>
                <w:b/>
                <w:bCs/>
              </w:rPr>
            </w:pPr>
            <w:r>
              <w:rPr>
                <w:b/>
                <w:bCs/>
                <w:lang w:val="da-DK"/>
              </w:rPr>
              <w:t>(N=6741)</w:t>
            </w:r>
          </w:p>
        </w:tc>
        <w:tc>
          <w:tcPr>
            <w:tcW w:w="772"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2A80E0C0" w14:textId="77777777" w:rsidR="00D21C07" w:rsidRDefault="00D21C07" w:rsidP="00E11E3E">
            <w:pPr>
              <w:pStyle w:val="TableParagraph"/>
              <w:ind w:left="108"/>
              <w:jc w:val="center"/>
              <w:rPr>
                <w:b/>
                <w:bCs/>
              </w:rPr>
            </w:pPr>
            <w:proofErr w:type="spellStart"/>
            <w:r>
              <w:rPr>
                <w:b/>
                <w:bCs/>
                <w:lang w:val="da-DK"/>
              </w:rPr>
              <w:t>Clopidogrel</w:t>
            </w:r>
            <w:r>
              <w:rPr>
                <w:b/>
                <w:bCs/>
                <w:vertAlign w:val="superscript"/>
                <w:lang w:val="da-DK"/>
              </w:rPr>
              <w:t>b</w:t>
            </w:r>
            <w:proofErr w:type="spellEnd"/>
            <w:r>
              <w:rPr>
                <w:b/>
                <w:bCs/>
                <w:lang w:val="da-DK"/>
              </w:rPr>
              <w:t xml:space="preserve"> + ASA (N=6716)</w:t>
            </w:r>
          </w:p>
        </w:tc>
        <w:tc>
          <w:tcPr>
            <w:tcW w:w="672"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2D3ADF99" w14:textId="77777777" w:rsidR="00D21C07" w:rsidRDefault="00D21C07" w:rsidP="00E11E3E">
            <w:pPr>
              <w:pStyle w:val="TableParagraph"/>
              <w:ind w:left="108"/>
              <w:jc w:val="center"/>
              <w:rPr>
                <w:b/>
                <w:bCs/>
              </w:rPr>
            </w:pPr>
            <w:proofErr w:type="spellStart"/>
            <w:r>
              <w:rPr>
                <w:b/>
                <w:bCs/>
                <w:lang w:val="da-DK"/>
              </w:rPr>
              <w:t>Prasugrel</w:t>
            </w:r>
            <w:r>
              <w:rPr>
                <w:b/>
                <w:bCs/>
                <w:vertAlign w:val="superscript"/>
                <w:lang w:val="da-DK"/>
              </w:rPr>
              <w:t>b</w:t>
            </w:r>
            <w:proofErr w:type="spellEnd"/>
            <w:r>
              <w:rPr>
                <w:b/>
                <w:bCs/>
                <w:lang w:val="da-DK"/>
              </w:rPr>
              <w:t xml:space="preserve"> + ASA</w:t>
            </w:r>
          </w:p>
          <w:p w14:paraId="46A0ACC0" w14:textId="77777777" w:rsidR="00D21C07" w:rsidRDefault="00D21C07" w:rsidP="00E11E3E">
            <w:pPr>
              <w:pStyle w:val="TableParagraph"/>
              <w:ind w:left="108"/>
              <w:jc w:val="center"/>
              <w:rPr>
                <w:b/>
                <w:bCs/>
              </w:rPr>
            </w:pPr>
            <w:r>
              <w:rPr>
                <w:b/>
                <w:bCs/>
                <w:lang w:val="da-DK"/>
              </w:rPr>
              <w:t>(N=5001)</w:t>
            </w:r>
          </w:p>
        </w:tc>
        <w:tc>
          <w:tcPr>
            <w:tcW w:w="770"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1D10161F" w14:textId="77777777" w:rsidR="00D21C07" w:rsidRDefault="00D21C07" w:rsidP="00E11E3E">
            <w:pPr>
              <w:pStyle w:val="TableParagraph"/>
              <w:ind w:left="108"/>
              <w:jc w:val="center"/>
              <w:rPr>
                <w:b/>
                <w:bCs/>
              </w:rPr>
            </w:pPr>
            <w:proofErr w:type="spellStart"/>
            <w:r>
              <w:rPr>
                <w:b/>
                <w:bCs/>
                <w:lang w:val="da-DK"/>
              </w:rPr>
              <w:t>Clopidogrel</w:t>
            </w:r>
            <w:r>
              <w:rPr>
                <w:b/>
                <w:bCs/>
                <w:vertAlign w:val="superscript"/>
                <w:lang w:val="da-DK"/>
              </w:rPr>
              <w:t>b</w:t>
            </w:r>
            <w:proofErr w:type="spellEnd"/>
            <w:r>
              <w:rPr>
                <w:b/>
                <w:bCs/>
                <w:lang w:val="da-DK"/>
              </w:rPr>
              <w:t xml:space="preserve"> + ASA (N=4980)</w:t>
            </w:r>
          </w:p>
        </w:tc>
        <w:tc>
          <w:tcPr>
            <w:tcW w:w="672"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0D2D6AF9" w14:textId="77777777" w:rsidR="00D21C07" w:rsidRDefault="00D21C07" w:rsidP="00E11E3E">
            <w:pPr>
              <w:pStyle w:val="TableParagraph"/>
              <w:ind w:left="108"/>
              <w:jc w:val="center"/>
              <w:rPr>
                <w:b/>
                <w:bCs/>
              </w:rPr>
            </w:pPr>
            <w:proofErr w:type="spellStart"/>
            <w:r>
              <w:rPr>
                <w:b/>
                <w:bCs/>
                <w:lang w:val="da-DK"/>
              </w:rPr>
              <w:t>Prasugrel</w:t>
            </w:r>
            <w:r>
              <w:rPr>
                <w:b/>
                <w:bCs/>
                <w:vertAlign w:val="superscript"/>
                <w:lang w:val="da-DK"/>
              </w:rPr>
              <w:t>b</w:t>
            </w:r>
            <w:proofErr w:type="spellEnd"/>
            <w:r>
              <w:rPr>
                <w:b/>
                <w:bCs/>
                <w:lang w:val="da-DK"/>
              </w:rPr>
              <w:t xml:space="preserve"> + ASA</w:t>
            </w:r>
          </w:p>
          <w:p w14:paraId="226D7F6B" w14:textId="77777777" w:rsidR="00D21C07" w:rsidRDefault="00D21C07" w:rsidP="00E11E3E">
            <w:pPr>
              <w:pStyle w:val="TableParagraph"/>
              <w:ind w:left="108"/>
              <w:jc w:val="center"/>
              <w:rPr>
                <w:b/>
                <w:bCs/>
              </w:rPr>
            </w:pPr>
            <w:r>
              <w:rPr>
                <w:b/>
                <w:bCs/>
                <w:lang w:val="da-DK"/>
              </w:rPr>
              <w:t>(N=1740)</w:t>
            </w:r>
          </w:p>
        </w:tc>
        <w:tc>
          <w:tcPr>
            <w:tcW w:w="771"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5DBDDEBF" w14:textId="77777777" w:rsidR="00D21C07" w:rsidRDefault="00D21C07" w:rsidP="00E11E3E">
            <w:pPr>
              <w:pStyle w:val="TableParagraph"/>
              <w:ind w:left="108"/>
              <w:jc w:val="center"/>
              <w:rPr>
                <w:b/>
                <w:bCs/>
              </w:rPr>
            </w:pPr>
            <w:proofErr w:type="spellStart"/>
            <w:r>
              <w:rPr>
                <w:b/>
                <w:bCs/>
                <w:lang w:val="da-DK"/>
              </w:rPr>
              <w:t>Clopidogrel</w:t>
            </w:r>
            <w:r>
              <w:rPr>
                <w:b/>
                <w:bCs/>
                <w:vertAlign w:val="superscript"/>
                <w:lang w:val="da-DK"/>
              </w:rPr>
              <w:t>b</w:t>
            </w:r>
            <w:proofErr w:type="spellEnd"/>
            <w:r>
              <w:rPr>
                <w:b/>
                <w:bCs/>
                <w:lang w:val="da-DK"/>
              </w:rPr>
              <w:t xml:space="preserve"> + ASA (N=1736)</w:t>
            </w:r>
          </w:p>
        </w:tc>
      </w:tr>
      <w:tr w:rsidR="00D21C07" w14:paraId="7E25D753" w14:textId="77777777" w:rsidTr="00C52F9A">
        <w:trPr>
          <w:trHeight w:val="534"/>
        </w:trPr>
        <w:tc>
          <w:tcPr>
            <w:tcW w:w="670" w:type="pct"/>
            <w:tcBorders>
              <w:top w:val="single" w:sz="8" w:space="0" w:color="000000"/>
              <w:left w:val="single" w:sz="8" w:space="0" w:color="000000"/>
              <w:bottom w:val="single" w:sz="8" w:space="0" w:color="000000"/>
              <w:right w:val="single" w:sz="8" w:space="0" w:color="000000"/>
            </w:tcBorders>
            <w:hideMark/>
          </w:tcPr>
          <w:p w14:paraId="0C014FA2" w14:textId="77777777" w:rsidR="00D21C07" w:rsidRDefault="00D21C07" w:rsidP="00E11E3E">
            <w:pPr>
              <w:pStyle w:val="TableParagraph"/>
              <w:ind w:left="122"/>
            </w:pPr>
            <w:r>
              <w:rPr>
                <w:lang w:val="da-DK"/>
              </w:rPr>
              <w:t xml:space="preserve">TIMI større </w:t>
            </w:r>
            <w:proofErr w:type="spellStart"/>
            <w:r>
              <w:rPr>
                <w:lang w:val="da-DK"/>
              </w:rPr>
              <w:t>blødning</w:t>
            </w:r>
            <w:r>
              <w:rPr>
                <w:vertAlign w:val="superscript"/>
                <w:lang w:val="da-DK"/>
              </w:rPr>
              <w:t>c</w:t>
            </w:r>
            <w:proofErr w:type="spellEnd"/>
          </w:p>
        </w:tc>
        <w:tc>
          <w:tcPr>
            <w:tcW w:w="672" w:type="pct"/>
            <w:tcBorders>
              <w:top w:val="single" w:sz="8" w:space="0" w:color="000000"/>
              <w:left w:val="single" w:sz="8" w:space="0" w:color="000000"/>
              <w:bottom w:val="single" w:sz="8" w:space="0" w:color="000000"/>
              <w:right w:val="single" w:sz="8" w:space="0" w:color="000000"/>
            </w:tcBorders>
            <w:vAlign w:val="center"/>
            <w:hideMark/>
          </w:tcPr>
          <w:p w14:paraId="29589EB8" w14:textId="77777777" w:rsidR="00D21C07" w:rsidRDefault="00D21C07" w:rsidP="00E11E3E">
            <w:pPr>
              <w:pStyle w:val="TableParagraph"/>
              <w:ind w:left="108"/>
              <w:jc w:val="center"/>
            </w:pPr>
            <w:r>
              <w:rPr>
                <w:lang w:val="da-DK"/>
              </w:rPr>
              <w:t>2,2</w:t>
            </w:r>
          </w:p>
        </w:tc>
        <w:tc>
          <w:tcPr>
            <w:tcW w:w="772" w:type="pct"/>
            <w:tcBorders>
              <w:top w:val="single" w:sz="8" w:space="0" w:color="000000"/>
              <w:left w:val="single" w:sz="8" w:space="0" w:color="000000"/>
              <w:bottom w:val="single" w:sz="8" w:space="0" w:color="000000"/>
              <w:right w:val="single" w:sz="8" w:space="0" w:color="000000"/>
            </w:tcBorders>
            <w:vAlign w:val="center"/>
            <w:hideMark/>
          </w:tcPr>
          <w:p w14:paraId="47CDBA68" w14:textId="77777777" w:rsidR="00D21C07" w:rsidRDefault="00D21C07" w:rsidP="00E11E3E">
            <w:pPr>
              <w:pStyle w:val="TableParagraph"/>
              <w:ind w:left="108" w:hanging="451"/>
              <w:jc w:val="center"/>
            </w:pPr>
            <w:r>
              <w:rPr>
                <w:lang w:val="da-DK"/>
              </w:rPr>
              <w:t>1,7</w:t>
            </w:r>
          </w:p>
        </w:tc>
        <w:tc>
          <w:tcPr>
            <w:tcW w:w="672" w:type="pct"/>
            <w:tcBorders>
              <w:top w:val="single" w:sz="8" w:space="0" w:color="000000"/>
              <w:left w:val="single" w:sz="8" w:space="0" w:color="000000"/>
              <w:bottom w:val="single" w:sz="8" w:space="0" w:color="000000"/>
              <w:right w:val="single" w:sz="8" w:space="0" w:color="000000"/>
            </w:tcBorders>
            <w:vAlign w:val="center"/>
            <w:hideMark/>
          </w:tcPr>
          <w:p w14:paraId="3A74FF26" w14:textId="77777777" w:rsidR="00D21C07" w:rsidRDefault="00D21C07" w:rsidP="00E11E3E">
            <w:pPr>
              <w:pStyle w:val="TableParagraph"/>
              <w:ind w:left="108"/>
              <w:jc w:val="center"/>
            </w:pPr>
            <w:r>
              <w:rPr>
                <w:lang w:val="da-DK"/>
              </w:rPr>
              <w:t>2,2</w:t>
            </w:r>
          </w:p>
        </w:tc>
        <w:tc>
          <w:tcPr>
            <w:tcW w:w="770" w:type="pct"/>
            <w:tcBorders>
              <w:top w:val="single" w:sz="8" w:space="0" w:color="000000"/>
              <w:left w:val="single" w:sz="8" w:space="0" w:color="000000"/>
              <w:bottom w:val="single" w:sz="8" w:space="0" w:color="000000"/>
              <w:right w:val="single" w:sz="8" w:space="0" w:color="000000"/>
            </w:tcBorders>
            <w:vAlign w:val="center"/>
            <w:hideMark/>
          </w:tcPr>
          <w:p w14:paraId="356D26B4" w14:textId="77777777" w:rsidR="00D21C07" w:rsidRDefault="00D21C07" w:rsidP="00E11E3E">
            <w:pPr>
              <w:pStyle w:val="TableParagraph"/>
              <w:ind w:left="108"/>
              <w:jc w:val="center"/>
            </w:pPr>
            <w:r>
              <w:rPr>
                <w:lang w:val="da-DK"/>
              </w:rPr>
              <w:t>1,6</w:t>
            </w:r>
          </w:p>
        </w:tc>
        <w:tc>
          <w:tcPr>
            <w:tcW w:w="672" w:type="pct"/>
            <w:tcBorders>
              <w:top w:val="single" w:sz="8" w:space="0" w:color="000000"/>
              <w:left w:val="single" w:sz="8" w:space="0" w:color="000000"/>
              <w:bottom w:val="single" w:sz="8" w:space="0" w:color="000000"/>
              <w:right w:val="single" w:sz="8" w:space="0" w:color="000000"/>
            </w:tcBorders>
            <w:vAlign w:val="center"/>
            <w:hideMark/>
          </w:tcPr>
          <w:p w14:paraId="37728F53" w14:textId="77777777" w:rsidR="00D21C07" w:rsidRDefault="00D21C07" w:rsidP="00E11E3E">
            <w:pPr>
              <w:pStyle w:val="TableParagraph"/>
              <w:ind w:left="108"/>
              <w:jc w:val="center"/>
            </w:pPr>
            <w:r>
              <w:rPr>
                <w:lang w:val="da-DK"/>
              </w:rPr>
              <w:t>2,2</w:t>
            </w:r>
          </w:p>
        </w:tc>
        <w:tc>
          <w:tcPr>
            <w:tcW w:w="771" w:type="pct"/>
            <w:tcBorders>
              <w:top w:val="single" w:sz="8" w:space="0" w:color="000000"/>
              <w:left w:val="single" w:sz="8" w:space="0" w:color="000000"/>
              <w:bottom w:val="single" w:sz="8" w:space="0" w:color="000000"/>
              <w:right w:val="single" w:sz="8" w:space="0" w:color="000000"/>
            </w:tcBorders>
            <w:vAlign w:val="center"/>
            <w:hideMark/>
          </w:tcPr>
          <w:p w14:paraId="40F12504" w14:textId="77777777" w:rsidR="00D21C07" w:rsidRDefault="00D21C07" w:rsidP="00E11E3E">
            <w:pPr>
              <w:pStyle w:val="TableParagraph"/>
              <w:ind w:left="108" w:hanging="454"/>
              <w:jc w:val="center"/>
            </w:pPr>
            <w:r>
              <w:rPr>
                <w:lang w:val="da-DK"/>
              </w:rPr>
              <w:t>2,0</w:t>
            </w:r>
          </w:p>
        </w:tc>
      </w:tr>
      <w:tr w:rsidR="00D21C07" w14:paraId="33DF14B9" w14:textId="77777777" w:rsidTr="00C52F9A">
        <w:trPr>
          <w:trHeight w:val="532"/>
        </w:trPr>
        <w:tc>
          <w:tcPr>
            <w:tcW w:w="670" w:type="pct"/>
            <w:tcBorders>
              <w:top w:val="single" w:sz="8" w:space="0" w:color="000000"/>
              <w:left w:val="single" w:sz="8" w:space="0" w:color="000000"/>
              <w:bottom w:val="single" w:sz="8" w:space="0" w:color="000000"/>
              <w:right w:val="single" w:sz="8" w:space="0" w:color="000000"/>
            </w:tcBorders>
            <w:hideMark/>
          </w:tcPr>
          <w:p w14:paraId="0CC2994B" w14:textId="77777777" w:rsidR="00D21C07" w:rsidRDefault="00D21C07" w:rsidP="00E11E3E">
            <w:pPr>
              <w:pStyle w:val="TableParagraph"/>
              <w:ind w:left="122"/>
            </w:pPr>
            <w:proofErr w:type="spellStart"/>
            <w:r>
              <w:rPr>
                <w:lang w:val="da-DK"/>
              </w:rPr>
              <w:t>Livstruende</w:t>
            </w:r>
            <w:r>
              <w:rPr>
                <w:vertAlign w:val="superscript"/>
                <w:lang w:val="da-DK"/>
              </w:rPr>
              <w:t>d</w:t>
            </w:r>
            <w:proofErr w:type="spellEnd"/>
          </w:p>
        </w:tc>
        <w:tc>
          <w:tcPr>
            <w:tcW w:w="672" w:type="pct"/>
            <w:tcBorders>
              <w:top w:val="single" w:sz="8" w:space="0" w:color="000000"/>
              <w:left w:val="single" w:sz="8" w:space="0" w:color="000000"/>
              <w:bottom w:val="single" w:sz="8" w:space="0" w:color="000000"/>
              <w:right w:val="single" w:sz="8" w:space="0" w:color="000000"/>
            </w:tcBorders>
            <w:vAlign w:val="center"/>
            <w:hideMark/>
          </w:tcPr>
          <w:p w14:paraId="207F9BC1" w14:textId="77777777" w:rsidR="00D21C07" w:rsidRDefault="00D21C07" w:rsidP="00E11E3E">
            <w:pPr>
              <w:pStyle w:val="TableParagraph"/>
              <w:ind w:left="108"/>
              <w:jc w:val="center"/>
            </w:pPr>
            <w:r>
              <w:rPr>
                <w:lang w:val="da-DK"/>
              </w:rPr>
              <w:t>1,3</w:t>
            </w:r>
          </w:p>
        </w:tc>
        <w:tc>
          <w:tcPr>
            <w:tcW w:w="772" w:type="pct"/>
            <w:tcBorders>
              <w:top w:val="single" w:sz="8" w:space="0" w:color="000000"/>
              <w:left w:val="single" w:sz="8" w:space="0" w:color="000000"/>
              <w:bottom w:val="single" w:sz="8" w:space="0" w:color="000000"/>
              <w:right w:val="single" w:sz="8" w:space="0" w:color="000000"/>
            </w:tcBorders>
            <w:vAlign w:val="center"/>
            <w:hideMark/>
          </w:tcPr>
          <w:p w14:paraId="5A86F5DB" w14:textId="77777777" w:rsidR="00D21C07" w:rsidRDefault="00D21C07" w:rsidP="00E11E3E">
            <w:pPr>
              <w:pStyle w:val="TableParagraph"/>
              <w:ind w:left="108" w:hanging="451"/>
              <w:jc w:val="center"/>
            </w:pPr>
            <w:r>
              <w:rPr>
                <w:lang w:val="da-DK"/>
              </w:rPr>
              <w:t>0,8</w:t>
            </w:r>
          </w:p>
        </w:tc>
        <w:tc>
          <w:tcPr>
            <w:tcW w:w="672" w:type="pct"/>
            <w:tcBorders>
              <w:top w:val="single" w:sz="8" w:space="0" w:color="000000"/>
              <w:left w:val="single" w:sz="8" w:space="0" w:color="000000"/>
              <w:bottom w:val="single" w:sz="8" w:space="0" w:color="000000"/>
              <w:right w:val="single" w:sz="8" w:space="0" w:color="000000"/>
            </w:tcBorders>
            <w:vAlign w:val="center"/>
            <w:hideMark/>
          </w:tcPr>
          <w:p w14:paraId="0692BBFD" w14:textId="77777777" w:rsidR="00D21C07" w:rsidRDefault="00D21C07" w:rsidP="00E11E3E">
            <w:pPr>
              <w:pStyle w:val="TableParagraph"/>
              <w:ind w:left="108"/>
              <w:jc w:val="center"/>
            </w:pPr>
            <w:r>
              <w:rPr>
                <w:lang w:val="da-DK"/>
              </w:rPr>
              <w:t>1,3</w:t>
            </w:r>
          </w:p>
        </w:tc>
        <w:tc>
          <w:tcPr>
            <w:tcW w:w="770" w:type="pct"/>
            <w:tcBorders>
              <w:top w:val="single" w:sz="8" w:space="0" w:color="000000"/>
              <w:left w:val="single" w:sz="8" w:space="0" w:color="000000"/>
              <w:bottom w:val="single" w:sz="8" w:space="0" w:color="000000"/>
              <w:right w:val="single" w:sz="8" w:space="0" w:color="000000"/>
            </w:tcBorders>
            <w:vAlign w:val="center"/>
            <w:hideMark/>
          </w:tcPr>
          <w:p w14:paraId="46427BD4" w14:textId="77777777" w:rsidR="00D21C07" w:rsidRDefault="00D21C07" w:rsidP="00E11E3E">
            <w:pPr>
              <w:pStyle w:val="TableParagraph"/>
              <w:ind w:left="108"/>
              <w:jc w:val="center"/>
            </w:pPr>
            <w:r>
              <w:rPr>
                <w:lang w:val="da-DK"/>
              </w:rPr>
              <w:t>0,8</w:t>
            </w:r>
          </w:p>
        </w:tc>
        <w:tc>
          <w:tcPr>
            <w:tcW w:w="672" w:type="pct"/>
            <w:tcBorders>
              <w:top w:val="single" w:sz="8" w:space="0" w:color="000000"/>
              <w:left w:val="single" w:sz="8" w:space="0" w:color="000000"/>
              <w:bottom w:val="single" w:sz="8" w:space="0" w:color="000000"/>
              <w:right w:val="single" w:sz="8" w:space="0" w:color="000000"/>
            </w:tcBorders>
            <w:vAlign w:val="center"/>
            <w:hideMark/>
          </w:tcPr>
          <w:p w14:paraId="7F954037" w14:textId="77777777" w:rsidR="00D21C07" w:rsidRDefault="00D21C07" w:rsidP="00E11E3E">
            <w:pPr>
              <w:pStyle w:val="TableParagraph"/>
              <w:ind w:left="108"/>
              <w:jc w:val="center"/>
            </w:pPr>
            <w:r>
              <w:rPr>
                <w:lang w:val="da-DK"/>
              </w:rPr>
              <w:t>1,2</w:t>
            </w:r>
          </w:p>
        </w:tc>
        <w:tc>
          <w:tcPr>
            <w:tcW w:w="771" w:type="pct"/>
            <w:tcBorders>
              <w:top w:val="single" w:sz="8" w:space="0" w:color="000000"/>
              <w:left w:val="single" w:sz="8" w:space="0" w:color="000000"/>
              <w:bottom w:val="single" w:sz="8" w:space="0" w:color="000000"/>
              <w:right w:val="single" w:sz="8" w:space="0" w:color="000000"/>
            </w:tcBorders>
            <w:vAlign w:val="center"/>
            <w:hideMark/>
          </w:tcPr>
          <w:p w14:paraId="1BCD73C5" w14:textId="77777777" w:rsidR="00D21C07" w:rsidRDefault="00D21C07" w:rsidP="00E11E3E">
            <w:pPr>
              <w:pStyle w:val="TableParagraph"/>
              <w:ind w:left="108" w:hanging="454"/>
              <w:jc w:val="center"/>
            </w:pPr>
            <w:r>
              <w:rPr>
                <w:lang w:val="da-DK"/>
              </w:rPr>
              <w:t>1,0</w:t>
            </w:r>
          </w:p>
        </w:tc>
      </w:tr>
      <w:tr w:rsidR="00D21C07" w14:paraId="524DD38B" w14:textId="77777777" w:rsidTr="00C52F9A">
        <w:trPr>
          <w:trHeight w:val="283"/>
        </w:trPr>
        <w:tc>
          <w:tcPr>
            <w:tcW w:w="670" w:type="pct"/>
            <w:tcBorders>
              <w:top w:val="single" w:sz="8" w:space="0" w:color="000000"/>
              <w:left w:val="single" w:sz="8" w:space="0" w:color="000000"/>
              <w:bottom w:val="single" w:sz="8" w:space="0" w:color="000000"/>
              <w:right w:val="single" w:sz="8" w:space="0" w:color="000000"/>
            </w:tcBorders>
            <w:hideMark/>
          </w:tcPr>
          <w:p w14:paraId="102AD3FA" w14:textId="77777777" w:rsidR="00D21C07" w:rsidRDefault="00D21C07" w:rsidP="00E11E3E">
            <w:pPr>
              <w:pStyle w:val="TableParagraph"/>
              <w:ind w:left="122"/>
            </w:pPr>
            <w:r>
              <w:rPr>
                <w:lang w:val="da-DK"/>
              </w:rPr>
              <w:t>Letal</w:t>
            </w:r>
          </w:p>
        </w:tc>
        <w:tc>
          <w:tcPr>
            <w:tcW w:w="672" w:type="pct"/>
            <w:tcBorders>
              <w:top w:val="single" w:sz="8" w:space="0" w:color="000000"/>
              <w:left w:val="single" w:sz="8" w:space="0" w:color="000000"/>
              <w:bottom w:val="single" w:sz="8" w:space="0" w:color="000000"/>
              <w:right w:val="single" w:sz="8" w:space="0" w:color="000000"/>
            </w:tcBorders>
            <w:vAlign w:val="center"/>
            <w:hideMark/>
          </w:tcPr>
          <w:p w14:paraId="5612DE55" w14:textId="77777777" w:rsidR="00D21C07" w:rsidRDefault="00D21C07" w:rsidP="00E11E3E">
            <w:pPr>
              <w:pStyle w:val="TableParagraph"/>
              <w:ind w:left="108"/>
              <w:jc w:val="center"/>
            </w:pPr>
            <w:r>
              <w:rPr>
                <w:lang w:val="da-DK"/>
              </w:rPr>
              <w:t>0,3</w:t>
            </w:r>
          </w:p>
        </w:tc>
        <w:tc>
          <w:tcPr>
            <w:tcW w:w="772" w:type="pct"/>
            <w:tcBorders>
              <w:top w:val="single" w:sz="8" w:space="0" w:color="000000"/>
              <w:left w:val="single" w:sz="8" w:space="0" w:color="000000"/>
              <w:bottom w:val="single" w:sz="8" w:space="0" w:color="000000"/>
              <w:right w:val="single" w:sz="8" w:space="0" w:color="000000"/>
            </w:tcBorders>
            <w:vAlign w:val="center"/>
            <w:hideMark/>
          </w:tcPr>
          <w:p w14:paraId="2CE84BC8" w14:textId="77777777" w:rsidR="00D21C07" w:rsidRDefault="00D21C07" w:rsidP="00E11E3E">
            <w:pPr>
              <w:pStyle w:val="TableParagraph"/>
              <w:ind w:left="108" w:hanging="451"/>
              <w:jc w:val="center"/>
            </w:pPr>
            <w:r>
              <w:rPr>
                <w:lang w:val="da-DK"/>
              </w:rPr>
              <w:t>0,1</w:t>
            </w:r>
          </w:p>
        </w:tc>
        <w:tc>
          <w:tcPr>
            <w:tcW w:w="672" w:type="pct"/>
            <w:tcBorders>
              <w:top w:val="single" w:sz="8" w:space="0" w:color="000000"/>
              <w:left w:val="single" w:sz="8" w:space="0" w:color="000000"/>
              <w:bottom w:val="single" w:sz="8" w:space="0" w:color="000000"/>
              <w:right w:val="single" w:sz="8" w:space="0" w:color="000000"/>
            </w:tcBorders>
            <w:vAlign w:val="center"/>
            <w:hideMark/>
          </w:tcPr>
          <w:p w14:paraId="66AFF685" w14:textId="77777777" w:rsidR="00D21C07" w:rsidRDefault="00D21C07" w:rsidP="00E11E3E">
            <w:pPr>
              <w:pStyle w:val="TableParagraph"/>
              <w:ind w:left="108"/>
              <w:jc w:val="center"/>
            </w:pPr>
            <w:r>
              <w:rPr>
                <w:lang w:val="da-DK"/>
              </w:rPr>
              <w:t>0,3</w:t>
            </w:r>
          </w:p>
        </w:tc>
        <w:tc>
          <w:tcPr>
            <w:tcW w:w="770" w:type="pct"/>
            <w:tcBorders>
              <w:top w:val="single" w:sz="8" w:space="0" w:color="000000"/>
              <w:left w:val="single" w:sz="8" w:space="0" w:color="000000"/>
              <w:bottom w:val="single" w:sz="8" w:space="0" w:color="000000"/>
              <w:right w:val="single" w:sz="8" w:space="0" w:color="000000"/>
            </w:tcBorders>
            <w:vAlign w:val="center"/>
            <w:hideMark/>
          </w:tcPr>
          <w:p w14:paraId="0791355F" w14:textId="77777777" w:rsidR="00D21C07" w:rsidRDefault="00D21C07" w:rsidP="00E11E3E">
            <w:pPr>
              <w:pStyle w:val="TableParagraph"/>
              <w:ind w:left="108"/>
              <w:jc w:val="center"/>
            </w:pPr>
            <w:r>
              <w:rPr>
                <w:lang w:val="da-DK"/>
              </w:rPr>
              <w:t>0,1</w:t>
            </w:r>
          </w:p>
        </w:tc>
        <w:tc>
          <w:tcPr>
            <w:tcW w:w="672" w:type="pct"/>
            <w:tcBorders>
              <w:top w:val="single" w:sz="8" w:space="0" w:color="000000"/>
              <w:left w:val="single" w:sz="8" w:space="0" w:color="000000"/>
              <w:bottom w:val="single" w:sz="8" w:space="0" w:color="000000"/>
              <w:right w:val="single" w:sz="8" w:space="0" w:color="000000"/>
            </w:tcBorders>
            <w:vAlign w:val="center"/>
            <w:hideMark/>
          </w:tcPr>
          <w:p w14:paraId="68B923F3" w14:textId="77777777" w:rsidR="00D21C07" w:rsidRDefault="00D21C07" w:rsidP="00E11E3E">
            <w:pPr>
              <w:pStyle w:val="TableParagraph"/>
              <w:ind w:left="108"/>
              <w:jc w:val="center"/>
            </w:pPr>
            <w:r>
              <w:rPr>
                <w:lang w:val="da-DK"/>
              </w:rPr>
              <w:t>0,4</w:t>
            </w:r>
          </w:p>
        </w:tc>
        <w:tc>
          <w:tcPr>
            <w:tcW w:w="771" w:type="pct"/>
            <w:tcBorders>
              <w:top w:val="single" w:sz="8" w:space="0" w:color="000000"/>
              <w:left w:val="single" w:sz="8" w:space="0" w:color="000000"/>
              <w:bottom w:val="single" w:sz="8" w:space="0" w:color="000000"/>
              <w:right w:val="single" w:sz="8" w:space="0" w:color="000000"/>
            </w:tcBorders>
            <w:vAlign w:val="center"/>
            <w:hideMark/>
          </w:tcPr>
          <w:p w14:paraId="21A50216" w14:textId="77777777" w:rsidR="00D21C07" w:rsidRDefault="00D21C07" w:rsidP="00E11E3E">
            <w:pPr>
              <w:pStyle w:val="TableParagraph"/>
              <w:ind w:left="108" w:hanging="454"/>
              <w:jc w:val="center"/>
            </w:pPr>
            <w:r>
              <w:rPr>
                <w:lang w:val="da-DK"/>
              </w:rPr>
              <w:t>0,1</w:t>
            </w:r>
          </w:p>
        </w:tc>
      </w:tr>
      <w:tr w:rsidR="00D21C07" w14:paraId="666A0A89" w14:textId="77777777" w:rsidTr="00C52F9A">
        <w:trPr>
          <w:trHeight w:val="534"/>
        </w:trPr>
        <w:tc>
          <w:tcPr>
            <w:tcW w:w="670" w:type="pct"/>
            <w:tcBorders>
              <w:top w:val="single" w:sz="8" w:space="0" w:color="000000"/>
              <w:left w:val="single" w:sz="8" w:space="0" w:color="000000"/>
              <w:bottom w:val="single" w:sz="8" w:space="0" w:color="000000"/>
              <w:right w:val="single" w:sz="8" w:space="0" w:color="000000"/>
            </w:tcBorders>
            <w:hideMark/>
          </w:tcPr>
          <w:p w14:paraId="0EB95543" w14:textId="77777777" w:rsidR="00D21C07" w:rsidRDefault="00D21C07" w:rsidP="00E11E3E">
            <w:pPr>
              <w:pStyle w:val="TableParagraph"/>
              <w:ind w:left="122"/>
            </w:pPr>
            <w:r>
              <w:rPr>
                <w:lang w:val="da-DK"/>
              </w:rPr>
              <w:t xml:space="preserve">Symptomatisk </w:t>
            </w:r>
            <w:proofErr w:type="spellStart"/>
            <w:r>
              <w:rPr>
                <w:lang w:val="da-DK"/>
              </w:rPr>
              <w:t>ICH</w:t>
            </w:r>
            <w:r>
              <w:rPr>
                <w:vertAlign w:val="superscript"/>
                <w:lang w:val="da-DK"/>
              </w:rPr>
              <w:t>e</w:t>
            </w:r>
            <w:proofErr w:type="spellEnd"/>
          </w:p>
        </w:tc>
        <w:tc>
          <w:tcPr>
            <w:tcW w:w="672" w:type="pct"/>
            <w:tcBorders>
              <w:top w:val="single" w:sz="8" w:space="0" w:color="000000"/>
              <w:left w:val="single" w:sz="8" w:space="0" w:color="000000"/>
              <w:bottom w:val="single" w:sz="8" w:space="0" w:color="000000"/>
              <w:right w:val="single" w:sz="8" w:space="0" w:color="000000"/>
            </w:tcBorders>
            <w:vAlign w:val="center"/>
            <w:hideMark/>
          </w:tcPr>
          <w:p w14:paraId="7708B60A" w14:textId="77777777" w:rsidR="00D21C07" w:rsidRDefault="00D21C07" w:rsidP="00E11E3E">
            <w:pPr>
              <w:pStyle w:val="TableParagraph"/>
              <w:ind w:left="108"/>
              <w:jc w:val="center"/>
            </w:pPr>
            <w:r>
              <w:rPr>
                <w:lang w:val="da-DK"/>
              </w:rPr>
              <w:t>0,3</w:t>
            </w:r>
          </w:p>
        </w:tc>
        <w:tc>
          <w:tcPr>
            <w:tcW w:w="772" w:type="pct"/>
            <w:tcBorders>
              <w:top w:val="single" w:sz="8" w:space="0" w:color="000000"/>
              <w:left w:val="single" w:sz="8" w:space="0" w:color="000000"/>
              <w:bottom w:val="single" w:sz="8" w:space="0" w:color="000000"/>
              <w:right w:val="single" w:sz="8" w:space="0" w:color="000000"/>
            </w:tcBorders>
            <w:vAlign w:val="center"/>
            <w:hideMark/>
          </w:tcPr>
          <w:p w14:paraId="243CA182" w14:textId="77777777" w:rsidR="00D21C07" w:rsidRDefault="00D21C07" w:rsidP="00E11E3E">
            <w:pPr>
              <w:pStyle w:val="TableParagraph"/>
              <w:ind w:left="108" w:hanging="451"/>
              <w:jc w:val="center"/>
            </w:pPr>
            <w:r>
              <w:rPr>
                <w:lang w:val="da-DK"/>
              </w:rPr>
              <w:t>0,3</w:t>
            </w:r>
          </w:p>
        </w:tc>
        <w:tc>
          <w:tcPr>
            <w:tcW w:w="672" w:type="pct"/>
            <w:tcBorders>
              <w:top w:val="single" w:sz="8" w:space="0" w:color="000000"/>
              <w:left w:val="single" w:sz="8" w:space="0" w:color="000000"/>
              <w:bottom w:val="single" w:sz="8" w:space="0" w:color="000000"/>
              <w:right w:val="single" w:sz="8" w:space="0" w:color="000000"/>
            </w:tcBorders>
            <w:vAlign w:val="center"/>
            <w:hideMark/>
          </w:tcPr>
          <w:p w14:paraId="450CC614" w14:textId="77777777" w:rsidR="00D21C07" w:rsidRDefault="00D21C07" w:rsidP="00E11E3E">
            <w:pPr>
              <w:pStyle w:val="TableParagraph"/>
              <w:ind w:left="108"/>
              <w:jc w:val="center"/>
            </w:pPr>
            <w:r>
              <w:rPr>
                <w:lang w:val="da-DK"/>
              </w:rPr>
              <w:t>0,3</w:t>
            </w:r>
          </w:p>
        </w:tc>
        <w:tc>
          <w:tcPr>
            <w:tcW w:w="770" w:type="pct"/>
            <w:tcBorders>
              <w:top w:val="single" w:sz="8" w:space="0" w:color="000000"/>
              <w:left w:val="single" w:sz="8" w:space="0" w:color="000000"/>
              <w:bottom w:val="single" w:sz="8" w:space="0" w:color="000000"/>
              <w:right w:val="single" w:sz="8" w:space="0" w:color="000000"/>
            </w:tcBorders>
            <w:vAlign w:val="center"/>
            <w:hideMark/>
          </w:tcPr>
          <w:p w14:paraId="1617BC8B" w14:textId="77777777" w:rsidR="00D21C07" w:rsidRDefault="00D21C07" w:rsidP="00E11E3E">
            <w:pPr>
              <w:pStyle w:val="TableParagraph"/>
              <w:ind w:left="108"/>
              <w:jc w:val="center"/>
            </w:pPr>
            <w:r>
              <w:rPr>
                <w:lang w:val="da-DK"/>
              </w:rPr>
              <w:t>0,3</w:t>
            </w:r>
          </w:p>
        </w:tc>
        <w:tc>
          <w:tcPr>
            <w:tcW w:w="672" w:type="pct"/>
            <w:tcBorders>
              <w:top w:val="single" w:sz="8" w:space="0" w:color="000000"/>
              <w:left w:val="single" w:sz="8" w:space="0" w:color="000000"/>
              <w:bottom w:val="single" w:sz="8" w:space="0" w:color="000000"/>
              <w:right w:val="single" w:sz="8" w:space="0" w:color="000000"/>
            </w:tcBorders>
            <w:vAlign w:val="center"/>
            <w:hideMark/>
          </w:tcPr>
          <w:p w14:paraId="27A8DAB8" w14:textId="77777777" w:rsidR="00D21C07" w:rsidRDefault="00D21C07" w:rsidP="00E11E3E">
            <w:pPr>
              <w:pStyle w:val="TableParagraph"/>
              <w:ind w:left="108"/>
              <w:jc w:val="center"/>
            </w:pPr>
            <w:r>
              <w:rPr>
                <w:lang w:val="da-DK"/>
              </w:rPr>
              <w:t>0,2</w:t>
            </w:r>
          </w:p>
        </w:tc>
        <w:tc>
          <w:tcPr>
            <w:tcW w:w="771" w:type="pct"/>
            <w:tcBorders>
              <w:top w:val="single" w:sz="8" w:space="0" w:color="000000"/>
              <w:left w:val="single" w:sz="8" w:space="0" w:color="000000"/>
              <w:bottom w:val="single" w:sz="8" w:space="0" w:color="000000"/>
              <w:right w:val="single" w:sz="8" w:space="0" w:color="000000"/>
            </w:tcBorders>
            <w:vAlign w:val="center"/>
            <w:hideMark/>
          </w:tcPr>
          <w:p w14:paraId="13DB7D7E" w14:textId="77777777" w:rsidR="00D21C07" w:rsidRDefault="00D21C07" w:rsidP="00E11E3E">
            <w:pPr>
              <w:pStyle w:val="TableParagraph"/>
              <w:ind w:left="108" w:hanging="454"/>
              <w:jc w:val="center"/>
            </w:pPr>
            <w:r>
              <w:rPr>
                <w:lang w:val="da-DK"/>
              </w:rPr>
              <w:t>0,2</w:t>
            </w:r>
          </w:p>
        </w:tc>
      </w:tr>
      <w:tr w:rsidR="00D21C07" w14:paraId="04FFC165" w14:textId="77777777" w:rsidTr="00C52F9A">
        <w:trPr>
          <w:trHeight w:val="534"/>
        </w:trPr>
        <w:tc>
          <w:tcPr>
            <w:tcW w:w="670" w:type="pct"/>
            <w:tcBorders>
              <w:top w:val="single" w:sz="8" w:space="0" w:color="000000"/>
              <w:left w:val="single" w:sz="8" w:space="0" w:color="000000"/>
              <w:bottom w:val="single" w:sz="8" w:space="0" w:color="000000"/>
              <w:right w:val="single" w:sz="8" w:space="0" w:color="000000"/>
            </w:tcBorders>
            <w:hideMark/>
          </w:tcPr>
          <w:p w14:paraId="0D2319B7" w14:textId="77777777" w:rsidR="00D21C07" w:rsidRDefault="00D21C07" w:rsidP="00E11E3E">
            <w:pPr>
              <w:pStyle w:val="TableParagraph"/>
              <w:ind w:left="122"/>
            </w:pPr>
            <w:r>
              <w:rPr>
                <w:lang w:val="da-DK"/>
              </w:rPr>
              <w:t>Behov for inotroper</w:t>
            </w:r>
          </w:p>
        </w:tc>
        <w:tc>
          <w:tcPr>
            <w:tcW w:w="672" w:type="pct"/>
            <w:tcBorders>
              <w:top w:val="single" w:sz="8" w:space="0" w:color="000000"/>
              <w:left w:val="single" w:sz="8" w:space="0" w:color="000000"/>
              <w:bottom w:val="single" w:sz="8" w:space="0" w:color="000000"/>
              <w:right w:val="single" w:sz="8" w:space="0" w:color="000000"/>
            </w:tcBorders>
            <w:vAlign w:val="center"/>
            <w:hideMark/>
          </w:tcPr>
          <w:p w14:paraId="169E4332" w14:textId="77777777" w:rsidR="00D21C07" w:rsidRDefault="00D21C07" w:rsidP="00E11E3E">
            <w:pPr>
              <w:pStyle w:val="TableParagraph"/>
              <w:ind w:left="108"/>
              <w:jc w:val="center"/>
            </w:pPr>
            <w:r>
              <w:rPr>
                <w:lang w:val="da-DK"/>
              </w:rPr>
              <w:t>0,3</w:t>
            </w:r>
          </w:p>
        </w:tc>
        <w:tc>
          <w:tcPr>
            <w:tcW w:w="772" w:type="pct"/>
            <w:tcBorders>
              <w:top w:val="single" w:sz="8" w:space="0" w:color="000000"/>
              <w:left w:val="single" w:sz="8" w:space="0" w:color="000000"/>
              <w:bottom w:val="single" w:sz="8" w:space="0" w:color="000000"/>
              <w:right w:val="single" w:sz="8" w:space="0" w:color="000000"/>
            </w:tcBorders>
            <w:vAlign w:val="center"/>
            <w:hideMark/>
          </w:tcPr>
          <w:p w14:paraId="5084941A" w14:textId="77777777" w:rsidR="00D21C07" w:rsidRDefault="00D21C07" w:rsidP="00E11E3E">
            <w:pPr>
              <w:pStyle w:val="TableParagraph"/>
              <w:ind w:left="108" w:hanging="451"/>
              <w:jc w:val="center"/>
            </w:pPr>
            <w:r>
              <w:rPr>
                <w:lang w:val="da-DK"/>
              </w:rPr>
              <w:t>0,1</w:t>
            </w:r>
          </w:p>
        </w:tc>
        <w:tc>
          <w:tcPr>
            <w:tcW w:w="672" w:type="pct"/>
            <w:tcBorders>
              <w:top w:val="single" w:sz="8" w:space="0" w:color="000000"/>
              <w:left w:val="single" w:sz="8" w:space="0" w:color="000000"/>
              <w:bottom w:val="single" w:sz="8" w:space="0" w:color="000000"/>
              <w:right w:val="single" w:sz="8" w:space="0" w:color="000000"/>
            </w:tcBorders>
            <w:vAlign w:val="center"/>
            <w:hideMark/>
          </w:tcPr>
          <w:p w14:paraId="09329977" w14:textId="77777777" w:rsidR="00D21C07" w:rsidRDefault="00D21C07" w:rsidP="00E11E3E">
            <w:pPr>
              <w:pStyle w:val="TableParagraph"/>
              <w:ind w:left="108"/>
              <w:jc w:val="center"/>
            </w:pPr>
            <w:r>
              <w:rPr>
                <w:lang w:val="da-DK"/>
              </w:rPr>
              <w:t>0,3</w:t>
            </w:r>
          </w:p>
        </w:tc>
        <w:tc>
          <w:tcPr>
            <w:tcW w:w="770" w:type="pct"/>
            <w:tcBorders>
              <w:top w:val="single" w:sz="8" w:space="0" w:color="000000"/>
              <w:left w:val="single" w:sz="8" w:space="0" w:color="000000"/>
              <w:bottom w:val="single" w:sz="8" w:space="0" w:color="000000"/>
              <w:right w:val="single" w:sz="8" w:space="0" w:color="000000"/>
            </w:tcBorders>
            <w:vAlign w:val="center"/>
            <w:hideMark/>
          </w:tcPr>
          <w:p w14:paraId="753632E8" w14:textId="77777777" w:rsidR="00D21C07" w:rsidRDefault="00D21C07" w:rsidP="00E11E3E">
            <w:pPr>
              <w:pStyle w:val="TableParagraph"/>
              <w:ind w:left="108"/>
              <w:jc w:val="center"/>
            </w:pPr>
            <w:r>
              <w:rPr>
                <w:lang w:val="da-DK"/>
              </w:rPr>
              <w:t>0,1</w:t>
            </w:r>
          </w:p>
        </w:tc>
        <w:tc>
          <w:tcPr>
            <w:tcW w:w="672" w:type="pct"/>
            <w:tcBorders>
              <w:top w:val="single" w:sz="8" w:space="0" w:color="000000"/>
              <w:left w:val="single" w:sz="8" w:space="0" w:color="000000"/>
              <w:bottom w:val="single" w:sz="8" w:space="0" w:color="000000"/>
              <w:right w:val="single" w:sz="8" w:space="0" w:color="000000"/>
            </w:tcBorders>
            <w:vAlign w:val="center"/>
            <w:hideMark/>
          </w:tcPr>
          <w:p w14:paraId="3B4BF5D4" w14:textId="77777777" w:rsidR="00D21C07" w:rsidRDefault="00D21C07" w:rsidP="00E11E3E">
            <w:pPr>
              <w:pStyle w:val="TableParagraph"/>
              <w:ind w:left="108"/>
              <w:jc w:val="center"/>
            </w:pPr>
            <w:r>
              <w:rPr>
                <w:lang w:val="da-DK"/>
              </w:rPr>
              <w:t>0,3</w:t>
            </w:r>
          </w:p>
        </w:tc>
        <w:tc>
          <w:tcPr>
            <w:tcW w:w="771" w:type="pct"/>
            <w:tcBorders>
              <w:top w:val="single" w:sz="8" w:space="0" w:color="000000"/>
              <w:left w:val="single" w:sz="8" w:space="0" w:color="000000"/>
              <w:bottom w:val="single" w:sz="8" w:space="0" w:color="000000"/>
              <w:right w:val="single" w:sz="8" w:space="0" w:color="000000"/>
            </w:tcBorders>
            <w:vAlign w:val="center"/>
            <w:hideMark/>
          </w:tcPr>
          <w:p w14:paraId="6C22901E" w14:textId="77777777" w:rsidR="00D21C07" w:rsidRDefault="00D21C07" w:rsidP="00E11E3E">
            <w:pPr>
              <w:pStyle w:val="TableParagraph"/>
              <w:ind w:left="108" w:hanging="454"/>
              <w:jc w:val="center"/>
            </w:pPr>
            <w:r>
              <w:rPr>
                <w:lang w:val="da-DK"/>
              </w:rPr>
              <w:t>0,2</w:t>
            </w:r>
          </w:p>
        </w:tc>
      </w:tr>
      <w:tr w:rsidR="00D21C07" w14:paraId="3FF77339" w14:textId="77777777" w:rsidTr="00C52F9A">
        <w:trPr>
          <w:trHeight w:val="786"/>
        </w:trPr>
        <w:tc>
          <w:tcPr>
            <w:tcW w:w="670" w:type="pct"/>
            <w:tcBorders>
              <w:top w:val="single" w:sz="8" w:space="0" w:color="000000"/>
              <w:left w:val="single" w:sz="8" w:space="0" w:color="000000"/>
              <w:bottom w:val="single" w:sz="8" w:space="0" w:color="000000"/>
              <w:right w:val="single" w:sz="8" w:space="0" w:color="000000"/>
            </w:tcBorders>
            <w:hideMark/>
          </w:tcPr>
          <w:p w14:paraId="62AAE1C8" w14:textId="77777777" w:rsidR="00D21C07" w:rsidRDefault="00D21C07" w:rsidP="00E11E3E">
            <w:pPr>
              <w:pStyle w:val="TableParagraph"/>
              <w:ind w:left="122"/>
            </w:pPr>
            <w:r>
              <w:rPr>
                <w:lang w:val="da-DK"/>
              </w:rPr>
              <w:t>Behov for kirurgisk indgreb</w:t>
            </w:r>
          </w:p>
        </w:tc>
        <w:tc>
          <w:tcPr>
            <w:tcW w:w="672" w:type="pct"/>
            <w:tcBorders>
              <w:top w:val="single" w:sz="8" w:space="0" w:color="000000"/>
              <w:left w:val="single" w:sz="8" w:space="0" w:color="000000"/>
              <w:bottom w:val="single" w:sz="8" w:space="0" w:color="000000"/>
              <w:right w:val="single" w:sz="8" w:space="0" w:color="000000"/>
            </w:tcBorders>
            <w:vAlign w:val="center"/>
          </w:tcPr>
          <w:p w14:paraId="50A4A84C" w14:textId="77777777" w:rsidR="00D21C07" w:rsidRDefault="00D21C07" w:rsidP="00E11E3E">
            <w:pPr>
              <w:pStyle w:val="TableParagraph"/>
              <w:ind w:left="108"/>
              <w:jc w:val="center"/>
            </w:pPr>
          </w:p>
          <w:p w14:paraId="57D94200" w14:textId="77777777" w:rsidR="00D21C07" w:rsidRDefault="00D21C07" w:rsidP="00E11E3E">
            <w:pPr>
              <w:pStyle w:val="TableParagraph"/>
              <w:ind w:left="108"/>
              <w:jc w:val="center"/>
            </w:pPr>
            <w:r>
              <w:rPr>
                <w:lang w:val="da-DK"/>
              </w:rPr>
              <w:t>0,3</w:t>
            </w:r>
          </w:p>
        </w:tc>
        <w:tc>
          <w:tcPr>
            <w:tcW w:w="772" w:type="pct"/>
            <w:tcBorders>
              <w:top w:val="single" w:sz="8" w:space="0" w:color="000000"/>
              <w:left w:val="single" w:sz="8" w:space="0" w:color="000000"/>
              <w:bottom w:val="single" w:sz="8" w:space="0" w:color="000000"/>
              <w:right w:val="single" w:sz="8" w:space="0" w:color="000000"/>
            </w:tcBorders>
            <w:vAlign w:val="center"/>
          </w:tcPr>
          <w:p w14:paraId="44C5E466" w14:textId="77777777" w:rsidR="00D21C07" w:rsidRDefault="00D21C07" w:rsidP="00E11E3E">
            <w:pPr>
              <w:pStyle w:val="TableParagraph"/>
              <w:ind w:left="108" w:hanging="451"/>
              <w:jc w:val="center"/>
            </w:pPr>
          </w:p>
          <w:p w14:paraId="76D7F431" w14:textId="77777777" w:rsidR="00D21C07" w:rsidRDefault="00D21C07" w:rsidP="00E11E3E">
            <w:pPr>
              <w:pStyle w:val="TableParagraph"/>
              <w:ind w:left="108" w:hanging="451"/>
              <w:jc w:val="center"/>
            </w:pPr>
            <w:r>
              <w:rPr>
                <w:lang w:val="da-DK"/>
              </w:rPr>
              <w:t>0,3</w:t>
            </w:r>
          </w:p>
        </w:tc>
        <w:tc>
          <w:tcPr>
            <w:tcW w:w="672" w:type="pct"/>
            <w:tcBorders>
              <w:top w:val="single" w:sz="8" w:space="0" w:color="000000"/>
              <w:left w:val="single" w:sz="8" w:space="0" w:color="000000"/>
              <w:bottom w:val="single" w:sz="8" w:space="0" w:color="000000"/>
              <w:right w:val="single" w:sz="8" w:space="0" w:color="000000"/>
            </w:tcBorders>
            <w:vAlign w:val="center"/>
          </w:tcPr>
          <w:p w14:paraId="55C00585" w14:textId="77777777" w:rsidR="00D21C07" w:rsidRDefault="00D21C07" w:rsidP="00E11E3E">
            <w:pPr>
              <w:pStyle w:val="TableParagraph"/>
              <w:ind w:left="108"/>
              <w:jc w:val="center"/>
            </w:pPr>
          </w:p>
          <w:p w14:paraId="42A093C3" w14:textId="77777777" w:rsidR="00D21C07" w:rsidRDefault="00D21C07" w:rsidP="00E11E3E">
            <w:pPr>
              <w:pStyle w:val="TableParagraph"/>
              <w:ind w:left="108"/>
              <w:jc w:val="center"/>
            </w:pPr>
            <w:r>
              <w:rPr>
                <w:lang w:val="da-DK"/>
              </w:rPr>
              <w:t>0,3</w:t>
            </w:r>
          </w:p>
        </w:tc>
        <w:tc>
          <w:tcPr>
            <w:tcW w:w="770" w:type="pct"/>
            <w:tcBorders>
              <w:top w:val="single" w:sz="8" w:space="0" w:color="000000"/>
              <w:left w:val="single" w:sz="8" w:space="0" w:color="000000"/>
              <w:bottom w:val="single" w:sz="8" w:space="0" w:color="000000"/>
              <w:right w:val="single" w:sz="8" w:space="0" w:color="000000"/>
            </w:tcBorders>
            <w:vAlign w:val="center"/>
          </w:tcPr>
          <w:p w14:paraId="25516E84" w14:textId="77777777" w:rsidR="00D21C07" w:rsidRDefault="00D21C07" w:rsidP="00E11E3E">
            <w:pPr>
              <w:pStyle w:val="TableParagraph"/>
              <w:ind w:left="108"/>
              <w:jc w:val="center"/>
            </w:pPr>
          </w:p>
          <w:p w14:paraId="40098D27" w14:textId="77777777" w:rsidR="00D21C07" w:rsidRDefault="00D21C07" w:rsidP="00E11E3E">
            <w:pPr>
              <w:pStyle w:val="TableParagraph"/>
              <w:ind w:left="108"/>
              <w:jc w:val="center"/>
            </w:pPr>
            <w:r>
              <w:rPr>
                <w:lang w:val="da-DK"/>
              </w:rPr>
              <w:t>0,3</w:t>
            </w:r>
          </w:p>
        </w:tc>
        <w:tc>
          <w:tcPr>
            <w:tcW w:w="672" w:type="pct"/>
            <w:tcBorders>
              <w:top w:val="single" w:sz="8" w:space="0" w:color="000000"/>
              <w:left w:val="single" w:sz="8" w:space="0" w:color="000000"/>
              <w:bottom w:val="single" w:sz="8" w:space="0" w:color="000000"/>
              <w:right w:val="single" w:sz="8" w:space="0" w:color="000000"/>
            </w:tcBorders>
            <w:vAlign w:val="center"/>
          </w:tcPr>
          <w:p w14:paraId="4978EAC8" w14:textId="77777777" w:rsidR="00D21C07" w:rsidRDefault="00D21C07" w:rsidP="00E11E3E">
            <w:pPr>
              <w:pStyle w:val="TableParagraph"/>
              <w:ind w:left="108"/>
              <w:jc w:val="center"/>
            </w:pPr>
          </w:p>
          <w:p w14:paraId="3ED3DDC9" w14:textId="77777777" w:rsidR="00D21C07" w:rsidRDefault="00D21C07" w:rsidP="00E11E3E">
            <w:pPr>
              <w:pStyle w:val="TableParagraph"/>
              <w:ind w:left="108"/>
              <w:jc w:val="center"/>
            </w:pPr>
            <w:r>
              <w:rPr>
                <w:lang w:val="da-DK"/>
              </w:rPr>
              <w:t>0,1</w:t>
            </w:r>
          </w:p>
        </w:tc>
        <w:tc>
          <w:tcPr>
            <w:tcW w:w="771" w:type="pct"/>
            <w:tcBorders>
              <w:top w:val="single" w:sz="8" w:space="0" w:color="000000"/>
              <w:left w:val="single" w:sz="8" w:space="0" w:color="000000"/>
              <w:bottom w:val="single" w:sz="8" w:space="0" w:color="000000"/>
              <w:right w:val="single" w:sz="8" w:space="0" w:color="000000"/>
            </w:tcBorders>
            <w:vAlign w:val="center"/>
          </w:tcPr>
          <w:p w14:paraId="60F04DC5" w14:textId="77777777" w:rsidR="00D21C07" w:rsidRDefault="00D21C07" w:rsidP="00E11E3E">
            <w:pPr>
              <w:pStyle w:val="TableParagraph"/>
              <w:ind w:left="108" w:hanging="454"/>
              <w:jc w:val="center"/>
            </w:pPr>
          </w:p>
          <w:p w14:paraId="7DE47207" w14:textId="77777777" w:rsidR="00D21C07" w:rsidRDefault="00D21C07" w:rsidP="00E11E3E">
            <w:pPr>
              <w:pStyle w:val="TableParagraph"/>
              <w:ind w:left="108" w:hanging="454"/>
              <w:jc w:val="center"/>
            </w:pPr>
            <w:r>
              <w:rPr>
                <w:lang w:val="da-DK"/>
              </w:rPr>
              <w:t>0,2</w:t>
            </w:r>
          </w:p>
        </w:tc>
      </w:tr>
      <w:tr w:rsidR="00D21C07" w14:paraId="770E1F15" w14:textId="77777777" w:rsidTr="00C52F9A">
        <w:trPr>
          <w:trHeight w:val="786"/>
        </w:trPr>
        <w:tc>
          <w:tcPr>
            <w:tcW w:w="670" w:type="pct"/>
            <w:tcBorders>
              <w:top w:val="single" w:sz="8" w:space="0" w:color="000000"/>
              <w:left w:val="single" w:sz="8" w:space="0" w:color="000000"/>
              <w:bottom w:val="single" w:sz="8" w:space="0" w:color="000000"/>
              <w:right w:val="single" w:sz="8" w:space="0" w:color="000000"/>
            </w:tcBorders>
            <w:hideMark/>
          </w:tcPr>
          <w:p w14:paraId="130C3524" w14:textId="77777777" w:rsidR="00D21C07" w:rsidRDefault="00D21C07" w:rsidP="00E11E3E">
            <w:pPr>
              <w:pStyle w:val="TableParagraph"/>
              <w:ind w:left="122"/>
            </w:pPr>
            <w:r>
              <w:rPr>
                <w:lang w:val="da-DK"/>
              </w:rPr>
              <w:t>Behov for transfusion</w:t>
            </w:r>
          </w:p>
          <w:p w14:paraId="565F5AFA" w14:textId="77777777" w:rsidR="00D21C07" w:rsidRDefault="00D21C07" w:rsidP="00E11E3E">
            <w:pPr>
              <w:pStyle w:val="TableParagraph"/>
              <w:ind w:left="122"/>
            </w:pPr>
            <w:r>
              <w:rPr>
                <w:lang w:val="da-DK"/>
              </w:rPr>
              <w:t>(≥4 enheder)</w:t>
            </w:r>
          </w:p>
        </w:tc>
        <w:tc>
          <w:tcPr>
            <w:tcW w:w="672" w:type="pct"/>
            <w:tcBorders>
              <w:top w:val="single" w:sz="8" w:space="0" w:color="000000"/>
              <w:left w:val="single" w:sz="8" w:space="0" w:color="000000"/>
              <w:bottom w:val="single" w:sz="8" w:space="0" w:color="000000"/>
              <w:right w:val="single" w:sz="8" w:space="0" w:color="000000"/>
            </w:tcBorders>
            <w:vAlign w:val="center"/>
          </w:tcPr>
          <w:p w14:paraId="23320BCD" w14:textId="77777777" w:rsidR="00D21C07" w:rsidRDefault="00D21C07" w:rsidP="00E11E3E">
            <w:pPr>
              <w:pStyle w:val="TableParagraph"/>
              <w:ind w:left="108"/>
              <w:jc w:val="center"/>
            </w:pPr>
          </w:p>
          <w:p w14:paraId="51FB8F4A" w14:textId="77777777" w:rsidR="00D21C07" w:rsidRDefault="00D21C07" w:rsidP="00E11E3E">
            <w:pPr>
              <w:pStyle w:val="TableParagraph"/>
              <w:ind w:left="108"/>
              <w:jc w:val="center"/>
            </w:pPr>
            <w:r>
              <w:rPr>
                <w:lang w:val="da-DK"/>
              </w:rPr>
              <w:t>0,7</w:t>
            </w:r>
          </w:p>
        </w:tc>
        <w:tc>
          <w:tcPr>
            <w:tcW w:w="772" w:type="pct"/>
            <w:tcBorders>
              <w:top w:val="single" w:sz="8" w:space="0" w:color="000000"/>
              <w:left w:val="single" w:sz="8" w:space="0" w:color="000000"/>
              <w:bottom w:val="single" w:sz="8" w:space="0" w:color="000000"/>
              <w:right w:val="single" w:sz="8" w:space="0" w:color="000000"/>
            </w:tcBorders>
            <w:vAlign w:val="center"/>
          </w:tcPr>
          <w:p w14:paraId="3AB4DF3A" w14:textId="77777777" w:rsidR="00D21C07" w:rsidRDefault="00D21C07" w:rsidP="00E11E3E">
            <w:pPr>
              <w:pStyle w:val="TableParagraph"/>
              <w:ind w:left="108" w:hanging="451"/>
              <w:jc w:val="center"/>
            </w:pPr>
          </w:p>
          <w:p w14:paraId="47E489A3" w14:textId="77777777" w:rsidR="00D21C07" w:rsidRDefault="00D21C07" w:rsidP="00E11E3E">
            <w:pPr>
              <w:pStyle w:val="TableParagraph"/>
              <w:ind w:left="108" w:hanging="451"/>
              <w:jc w:val="center"/>
            </w:pPr>
            <w:r>
              <w:rPr>
                <w:lang w:val="da-DK"/>
              </w:rPr>
              <w:t>0,5</w:t>
            </w:r>
          </w:p>
        </w:tc>
        <w:tc>
          <w:tcPr>
            <w:tcW w:w="672" w:type="pct"/>
            <w:tcBorders>
              <w:top w:val="single" w:sz="8" w:space="0" w:color="000000"/>
              <w:left w:val="single" w:sz="8" w:space="0" w:color="000000"/>
              <w:bottom w:val="single" w:sz="8" w:space="0" w:color="000000"/>
              <w:right w:val="single" w:sz="8" w:space="0" w:color="000000"/>
            </w:tcBorders>
            <w:vAlign w:val="center"/>
          </w:tcPr>
          <w:p w14:paraId="25811CB1" w14:textId="77777777" w:rsidR="00D21C07" w:rsidRDefault="00D21C07" w:rsidP="00E11E3E">
            <w:pPr>
              <w:pStyle w:val="TableParagraph"/>
              <w:ind w:left="108"/>
              <w:jc w:val="center"/>
            </w:pPr>
          </w:p>
          <w:p w14:paraId="65366A0C" w14:textId="77777777" w:rsidR="00D21C07" w:rsidRDefault="00D21C07" w:rsidP="00E11E3E">
            <w:pPr>
              <w:pStyle w:val="TableParagraph"/>
              <w:ind w:left="108"/>
              <w:jc w:val="center"/>
            </w:pPr>
            <w:r>
              <w:rPr>
                <w:lang w:val="da-DK"/>
              </w:rPr>
              <w:t>0,6</w:t>
            </w:r>
          </w:p>
        </w:tc>
        <w:tc>
          <w:tcPr>
            <w:tcW w:w="770" w:type="pct"/>
            <w:tcBorders>
              <w:top w:val="single" w:sz="8" w:space="0" w:color="000000"/>
              <w:left w:val="single" w:sz="8" w:space="0" w:color="000000"/>
              <w:bottom w:val="single" w:sz="8" w:space="0" w:color="000000"/>
              <w:right w:val="single" w:sz="8" w:space="0" w:color="000000"/>
            </w:tcBorders>
            <w:vAlign w:val="center"/>
          </w:tcPr>
          <w:p w14:paraId="738F2D97" w14:textId="77777777" w:rsidR="00D21C07" w:rsidRDefault="00D21C07" w:rsidP="00E11E3E">
            <w:pPr>
              <w:pStyle w:val="TableParagraph"/>
              <w:ind w:left="108"/>
              <w:jc w:val="center"/>
            </w:pPr>
          </w:p>
          <w:p w14:paraId="56D4F4E3" w14:textId="77777777" w:rsidR="00D21C07" w:rsidRDefault="00D21C07" w:rsidP="00E11E3E">
            <w:pPr>
              <w:pStyle w:val="TableParagraph"/>
              <w:ind w:left="108"/>
              <w:jc w:val="center"/>
            </w:pPr>
            <w:r>
              <w:rPr>
                <w:lang w:val="da-DK"/>
              </w:rPr>
              <w:t>0,3</w:t>
            </w:r>
          </w:p>
        </w:tc>
        <w:tc>
          <w:tcPr>
            <w:tcW w:w="672" w:type="pct"/>
            <w:tcBorders>
              <w:top w:val="single" w:sz="8" w:space="0" w:color="000000"/>
              <w:left w:val="single" w:sz="8" w:space="0" w:color="000000"/>
              <w:bottom w:val="single" w:sz="8" w:space="0" w:color="000000"/>
              <w:right w:val="single" w:sz="8" w:space="0" w:color="000000"/>
            </w:tcBorders>
            <w:vAlign w:val="center"/>
          </w:tcPr>
          <w:p w14:paraId="42C38C32" w14:textId="77777777" w:rsidR="00D21C07" w:rsidRDefault="00D21C07" w:rsidP="00E11E3E">
            <w:pPr>
              <w:pStyle w:val="TableParagraph"/>
              <w:ind w:left="108"/>
              <w:jc w:val="center"/>
            </w:pPr>
          </w:p>
          <w:p w14:paraId="62E62AEF" w14:textId="77777777" w:rsidR="00D21C07" w:rsidRDefault="00D21C07" w:rsidP="00E11E3E">
            <w:pPr>
              <w:pStyle w:val="TableParagraph"/>
              <w:ind w:left="108"/>
              <w:jc w:val="center"/>
            </w:pPr>
            <w:r>
              <w:rPr>
                <w:lang w:val="da-DK"/>
              </w:rPr>
              <w:t>0,8</w:t>
            </w:r>
          </w:p>
        </w:tc>
        <w:tc>
          <w:tcPr>
            <w:tcW w:w="771" w:type="pct"/>
            <w:tcBorders>
              <w:top w:val="single" w:sz="8" w:space="0" w:color="000000"/>
              <w:left w:val="single" w:sz="8" w:space="0" w:color="000000"/>
              <w:bottom w:val="single" w:sz="8" w:space="0" w:color="000000"/>
              <w:right w:val="single" w:sz="8" w:space="0" w:color="000000"/>
            </w:tcBorders>
            <w:vAlign w:val="center"/>
          </w:tcPr>
          <w:p w14:paraId="330A0BAF" w14:textId="77777777" w:rsidR="00D21C07" w:rsidRDefault="00D21C07" w:rsidP="00E11E3E">
            <w:pPr>
              <w:pStyle w:val="TableParagraph"/>
              <w:ind w:left="108" w:hanging="454"/>
              <w:jc w:val="center"/>
            </w:pPr>
          </w:p>
          <w:p w14:paraId="236F11E4" w14:textId="77777777" w:rsidR="00D21C07" w:rsidRDefault="00D21C07" w:rsidP="00E11E3E">
            <w:pPr>
              <w:pStyle w:val="TableParagraph"/>
              <w:ind w:left="108" w:hanging="454"/>
              <w:jc w:val="center"/>
            </w:pPr>
            <w:r>
              <w:rPr>
                <w:lang w:val="da-DK"/>
              </w:rPr>
              <w:t>0,8</w:t>
            </w:r>
          </w:p>
        </w:tc>
      </w:tr>
      <w:tr w:rsidR="00D21C07" w14:paraId="168CA8FF" w14:textId="77777777" w:rsidTr="00C52F9A">
        <w:trPr>
          <w:trHeight w:val="534"/>
        </w:trPr>
        <w:tc>
          <w:tcPr>
            <w:tcW w:w="670" w:type="pct"/>
            <w:tcBorders>
              <w:top w:val="single" w:sz="8" w:space="0" w:color="000000"/>
              <w:left w:val="single" w:sz="8" w:space="0" w:color="000000"/>
              <w:bottom w:val="single" w:sz="8" w:space="0" w:color="000000"/>
              <w:right w:val="single" w:sz="8" w:space="0" w:color="000000"/>
            </w:tcBorders>
            <w:hideMark/>
          </w:tcPr>
          <w:p w14:paraId="73CB5EDD" w14:textId="77777777" w:rsidR="00D21C07" w:rsidRDefault="00D21C07" w:rsidP="00E11E3E">
            <w:pPr>
              <w:pStyle w:val="TableParagraph"/>
              <w:ind w:left="122"/>
            </w:pPr>
            <w:r>
              <w:rPr>
                <w:lang w:val="da-DK"/>
              </w:rPr>
              <w:t xml:space="preserve">TIMI mindre </w:t>
            </w:r>
            <w:proofErr w:type="spellStart"/>
            <w:r>
              <w:rPr>
                <w:lang w:val="da-DK"/>
              </w:rPr>
              <w:t>blødning</w:t>
            </w:r>
            <w:r>
              <w:rPr>
                <w:vertAlign w:val="superscript"/>
                <w:lang w:val="da-DK"/>
              </w:rPr>
              <w:t>f</w:t>
            </w:r>
            <w:proofErr w:type="spellEnd"/>
          </w:p>
        </w:tc>
        <w:tc>
          <w:tcPr>
            <w:tcW w:w="672" w:type="pct"/>
            <w:tcBorders>
              <w:top w:val="single" w:sz="8" w:space="0" w:color="000000"/>
              <w:left w:val="single" w:sz="8" w:space="0" w:color="000000"/>
              <w:bottom w:val="single" w:sz="8" w:space="0" w:color="000000"/>
              <w:right w:val="single" w:sz="8" w:space="0" w:color="000000"/>
            </w:tcBorders>
            <w:vAlign w:val="center"/>
            <w:hideMark/>
          </w:tcPr>
          <w:p w14:paraId="5C033666" w14:textId="77777777" w:rsidR="00D21C07" w:rsidRDefault="00D21C07" w:rsidP="00E11E3E">
            <w:pPr>
              <w:pStyle w:val="TableParagraph"/>
              <w:ind w:left="108"/>
              <w:jc w:val="center"/>
            </w:pPr>
            <w:r>
              <w:rPr>
                <w:lang w:val="da-DK"/>
              </w:rPr>
              <w:t>2,4</w:t>
            </w:r>
          </w:p>
        </w:tc>
        <w:tc>
          <w:tcPr>
            <w:tcW w:w="772" w:type="pct"/>
            <w:tcBorders>
              <w:top w:val="single" w:sz="8" w:space="0" w:color="000000"/>
              <w:left w:val="single" w:sz="8" w:space="0" w:color="000000"/>
              <w:bottom w:val="single" w:sz="8" w:space="0" w:color="000000"/>
              <w:right w:val="single" w:sz="8" w:space="0" w:color="000000"/>
            </w:tcBorders>
            <w:vAlign w:val="center"/>
            <w:hideMark/>
          </w:tcPr>
          <w:p w14:paraId="024AD979" w14:textId="77777777" w:rsidR="00D21C07" w:rsidRDefault="00D21C07" w:rsidP="00E11E3E">
            <w:pPr>
              <w:pStyle w:val="TableParagraph"/>
              <w:ind w:left="108" w:hanging="451"/>
              <w:jc w:val="center"/>
            </w:pPr>
            <w:r>
              <w:rPr>
                <w:lang w:val="da-DK"/>
              </w:rPr>
              <w:t>1,9</w:t>
            </w:r>
          </w:p>
        </w:tc>
        <w:tc>
          <w:tcPr>
            <w:tcW w:w="672" w:type="pct"/>
            <w:tcBorders>
              <w:top w:val="single" w:sz="8" w:space="0" w:color="000000"/>
              <w:left w:val="single" w:sz="8" w:space="0" w:color="000000"/>
              <w:bottom w:val="single" w:sz="8" w:space="0" w:color="000000"/>
              <w:right w:val="single" w:sz="8" w:space="0" w:color="000000"/>
            </w:tcBorders>
            <w:vAlign w:val="center"/>
            <w:hideMark/>
          </w:tcPr>
          <w:p w14:paraId="0C85B873" w14:textId="77777777" w:rsidR="00D21C07" w:rsidRDefault="00D21C07" w:rsidP="00E11E3E">
            <w:pPr>
              <w:pStyle w:val="TableParagraph"/>
              <w:ind w:left="108"/>
              <w:jc w:val="center"/>
            </w:pPr>
            <w:r>
              <w:rPr>
                <w:lang w:val="da-DK"/>
              </w:rPr>
              <w:t>2,3</w:t>
            </w:r>
          </w:p>
        </w:tc>
        <w:tc>
          <w:tcPr>
            <w:tcW w:w="770" w:type="pct"/>
            <w:tcBorders>
              <w:top w:val="single" w:sz="8" w:space="0" w:color="000000"/>
              <w:left w:val="single" w:sz="8" w:space="0" w:color="000000"/>
              <w:bottom w:val="single" w:sz="8" w:space="0" w:color="000000"/>
              <w:right w:val="single" w:sz="8" w:space="0" w:color="000000"/>
            </w:tcBorders>
            <w:vAlign w:val="center"/>
            <w:hideMark/>
          </w:tcPr>
          <w:p w14:paraId="0101BDD2" w14:textId="77777777" w:rsidR="00D21C07" w:rsidRDefault="00D21C07" w:rsidP="00E11E3E">
            <w:pPr>
              <w:pStyle w:val="TableParagraph"/>
              <w:ind w:left="108"/>
              <w:jc w:val="center"/>
            </w:pPr>
            <w:r>
              <w:rPr>
                <w:lang w:val="da-DK"/>
              </w:rPr>
              <w:t>1,6</w:t>
            </w:r>
          </w:p>
        </w:tc>
        <w:tc>
          <w:tcPr>
            <w:tcW w:w="672" w:type="pct"/>
            <w:tcBorders>
              <w:top w:val="single" w:sz="8" w:space="0" w:color="000000"/>
              <w:left w:val="single" w:sz="8" w:space="0" w:color="000000"/>
              <w:bottom w:val="single" w:sz="8" w:space="0" w:color="000000"/>
              <w:right w:val="single" w:sz="8" w:space="0" w:color="000000"/>
            </w:tcBorders>
            <w:vAlign w:val="center"/>
            <w:hideMark/>
          </w:tcPr>
          <w:p w14:paraId="3ADBC193" w14:textId="77777777" w:rsidR="00D21C07" w:rsidRDefault="00D21C07" w:rsidP="00E11E3E">
            <w:pPr>
              <w:pStyle w:val="TableParagraph"/>
              <w:ind w:left="108"/>
              <w:jc w:val="center"/>
            </w:pPr>
            <w:r>
              <w:rPr>
                <w:lang w:val="da-DK"/>
              </w:rPr>
              <w:t>2,7</w:t>
            </w:r>
          </w:p>
        </w:tc>
        <w:tc>
          <w:tcPr>
            <w:tcW w:w="771" w:type="pct"/>
            <w:tcBorders>
              <w:top w:val="single" w:sz="8" w:space="0" w:color="000000"/>
              <w:left w:val="single" w:sz="8" w:space="0" w:color="000000"/>
              <w:bottom w:val="single" w:sz="8" w:space="0" w:color="000000"/>
              <w:right w:val="single" w:sz="8" w:space="0" w:color="000000"/>
            </w:tcBorders>
            <w:vAlign w:val="center"/>
            <w:hideMark/>
          </w:tcPr>
          <w:p w14:paraId="1B9DFA01" w14:textId="77777777" w:rsidR="00D21C07" w:rsidRDefault="00D21C07" w:rsidP="00E11E3E">
            <w:pPr>
              <w:pStyle w:val="TableParagraph"/>
              <w:ind w:left="108" w:hanging="454"/>
              <w:jc w:val="center"/>
            </w:pPr>
            <w:r>
              <w:rPr>
                <w:lang w:val="da-DK"/>
              </w:rPr>
              <w:t>2,6</w:t>
            </w:r>
          </w:p>
        </w:tc>
      </w:tr>
    </w:tbl>
    <w:p w14:paraId="2D3BEDB1" w14:textId="77777777" w:rsidR="00D21C07" w:rsidRPr="00D21C07" w:rsidRDefault="00D21C07" w:rsidP="00C52F9A">
      <w:pPr>
        <w:pStyle w:val="Listeafsnit"/>
        <w:numPr>
          <w:ilvl w:val="0"/>
          <w:numId w:val="7"/>
        </w:numPr>
        <w:tabs>
          <w:tab w:val="clear" w:pos="0"/>
        </w:tabs>
        <w:ind w:left="284" w:hanging="284"/>
        <w:rPr>
          <w:sz w:val="20"/>
          <w:szCs w:val="20"/>
          <w:lang w:val="da-DK"/>
        </w:rPr>
      </w:pPr>
      <w:r w:rsidRPr="00D21C07">
        <w:rPr>
          <w:sz w:val="20"/>
          <w:szCs w:val="20"/>
          <w:lang w:val="da-DK"/>
        </w:rPr>
        <w:t xml:space="preserve">Hændelser, der er bedømt centralt og defineret efter </w:t>
      </w:r>
      <w:proofErr w:type="spellStart"/>
      <w:r w:rsidRPr="00D21C07">
        <w:rPr>
          <w:sz w:val="20"/>
          <w:szCs w:val="20"/>
          <w:lang w:val="da-DK"/>
        </w:rPr>
        <w:t>Thrombolysis</w:t>
      </w:r>
      <w:proofErr w:type="spellEnd"/>
      <w:r w:rsidRPr="00D21C07">
        <w:rPr>
          <w:sz w:val="20"/>
          <w:szCs w:val="20"/>
          <w:lang w:val="da-DK"/>
        </w:rPr>
        <w:t xml:space="preserve"> in </w:t>
      </w:r>
      <w:proofErr w:type="spellStart"/>
      <w:r w:rsidRPr="00D21C07">
        <w:rPr>
          <w:sz w:val="20"/>
          <w:szCs w:val="20"/>
          <w:lang w:val="da-DK"/>
        </w:rPr>
        <w:t>Myocardial</w:t>
      </w:r>
      <w:proofErr w:type="spellEnd"/>
      <w:r w:rsidRPr="00D21C07">
        <w:rPr>
          <w:sz w:val="20"/>
          <w:szCs w:val="20"/>
          <w:lang w:val="da-DK"/>
        </w:rPr>
        <w:t xml:space="preserve"> </w:t>
      </w:r>
      <w:proofErr w:type="spellStart"/>
      <w:r w:rsidRPr="00D21C07">
        <w:rPr>
          <w:sz w:val="20"/>
          <w:szCs w:val="20"/>
          <w:lang w:val="da-DK"/>
        </w:rPr>
        <w:t>Infarction</w:t>
      </w:r>
      <w:proofErr w:type="spellEnd"/>
      <w:r w:rsidRPr="00D21C07">
        <w:rPr>
          <w:sz w:val="20"/>
          <w:szCs w:val="20"/>
          <w:lang w:val="da-DK"/>
        </w:rPr>
        <w:t xml:space="preserve"> (TIMI) </w:t>
      </w:r>
      <w:proofErr w:type="spellStart"/>
      <w:r w:rsidRPr="00D21C07">
        <w:rPr>
          <w:sz w:val="20"/>
          <w:szCs w:val="20"/>
          <w:lang w:val="da-DK"/>
        </w:rPr>
        <w:t>Study</w:t>
      </w:r>
      <w:proofErr w:type="spellEnd"/>
      <w:r w:rsidRPr="00D21C07">
        <w:rPr>
          <w:sz w:val="20"/>
          <w:szCs w:val="20"/>
          <w:lang w:val="da-DK"/>
        </w:rPr>
        <w:t xml:space="preserve"> Group-kriterierne.</w:t>
      </w:r>
    </w:p>
    <w:p w14:paraId="6F1A7BD6" w14:textId="77777777" w:rsidR="00D21C07" w:rsidRPr="00D21C07" w:rsidRDefault="00D21C07" w:rsidP="00C52F9A">
      <w:pPr>
        <w:pStyle w:val="Listeafsnit"/>
        <w:numPr>
          <w:ilvl w:val="0"/>
          <w:numId w:val="7"/>
        </w:numPr>
        <w:tabs>
          <w:tab w:val="clear" w:pos="0"/>
        </w:tabs>
        <w:ind w:left="284" w:hanging="284"/>
        <w:rPr>
          <w:sz w:val="20"/>
          <w:szCs w:val="20"/>
          <w:lang w:val="da-DK"/>
        </w:rPr>
      </w:pPr>
      <w:r w:rsidRPr="00D21C07">
        <w:rPr>
          <w:sz w:val="20"/>
          <w:szCs w:val="20"/>
          <w:lang w:val="da-DK"/>
        </w:rPr>
        <w:t>Andre standardbehandlinger blev anvendt efter relevans.</w:t>
      </w:r>
    </w:p>
    <w:p w14:paraId="660DA718" w14:textId="77777777" w:rsidR="00D21C07" w:rsidRPr="00D21C07" w:rsidRDefault="00D21C07" w:rsidP="00C52F9A">
      <w:pPr>
        <w:pStyle w:val="Listeafsnit"/>
        <w:numPr>
          <w:ilvl w:val="0"/>
          <w:numId w:val="7"/>
        </w:numPr>
        <w:tabs>
          <w:tab w:val="clear" w:pos="0"/>
        </w:tabs>
        <w:ind w:left="284" w:hanging="284"/>
        <w:rPr>
          <w:sz w:val="20"/>
          <w:szCs w:val="20"/>
          <w:lang w:val="da-DK"/>
        </w:rPr>
      </w:pPr>
      <w:r w:rsidRPr="00D21C07">
        <w:rPr>
          <w:sz w:val="20"/>
          <w:szCs w:val="20"/>
          <w:lang w:val="da-DK"/>
        </w:rPr>
        <w:t xml:space="preserve">Enhver </w:t>
      </w:r>
      <w:proofErr w:type="spellStart"/>
      <w:r w:rsidRPr="00D21C07">
        <w:rPr>
          <w:sz w:val="20"/>
          <w:szCs w:val="20"/>
          <w:lang w:val="da-DK"/>
        </w:rPr>
        <w:t>intrakraniel</w:t>
      </w:r>
      <w:proofErr w:type="spellEnd"/>
      <w:r w:rsidRPr="00D21C07">
        <w:rPr>
          <w:sz w:val="20"/>
          <w:szCs w:val="20"/>
          <w:lang w:val="da-DK"/>
        </w:rPr>
        <w:t xml:space="preserve"> blødning eller enhver klinisk tydelig blødning, der er forbundet med et fald i hæmoglobin ≥ 5 g/dl.</w:t>
      </w:r>
    </w:p>
    <w:p w14:paraId="34D0225B" w14:textId="77777777" w:rsidR="00D21C07" w:rsidRPr="00D21C07" w:rsidRDefault="00D21C07" w:rsidP="00C52F9A">
      <w:pPr>
        <w:pStyle w:val="Listeafsnit"/>
        <w:numPr>
          <w:ilvl w:val="0"/>
          <w:numId w:val="7"/>
        </w:numPr>
        <w:tabs>
          <w:tab w:val="clear" w:pos="0"/>
        </w:tabs>
        <w:ind w:left="284" w:hanging="284"/>
        <w:rPr>
          <w:sz w:val="20"/>
          <w:szCs w:val="20"/>
        </w:rPr>
      </w:pPr>
      <w:r w:rsidRPr="00D21C07">
        <w:rPr>
          <w:sz w:val="20"/>
          <w:szCs w:val="20"/>
          <w:lang w:val="da-DK"/>
        </w:rPr>
        <w:t>Livstruende blødning hører under TIMI større blødning og inkluderer de typer, der er anført nedenfor. Patienterne kan tælles i mere end en række.</w:t>
      </w:r>
    </w:p>
    <w:p w14:paraId="2FC2C058" w14:textId="77777777" w:rsidR="00D21C07" w:rsidRPr="00D21C07" w:rsidRDefault="00D21C07" w:rsidP="00C52F9A">
      <w:pPr>
        <w:pStyle w:val="Listeafsnit"/>
        <w:numPr>
          <w:ilvl w:val="0"/>
          <w:numId w:val="7"/>
        </w:numPr>
        <w:tabs>
          <w:tab w:val="clear" w:pos="0"/>
        </w:tabs>
        <w:ind w:left="284" w:hanging="284"/>
        <w:rPr>
          <w:sz w:val="20"/>
          <w:szCs w:val="20"/>
        </w:rPr>
      </w:pPr>
      <w:r w:rsidRPr="00D21C07">
        <w:rPr>
          <w:sz w:val="20"/>
          <w:szCs w:val="20"/>
          <w:lang w:val="da-DK"/>
        </w:rPr>
        <w:t xml:space="preserve">ICH = </w:t>
      </w:r>
      <w:proofErr w:type="spellStart"/>
      <w:r w:rsidRPr="00D21C07">
        <w:rPr>
          <w:sz w:val="20"/>
          <w:szCs w:val="20"/>
          <w:lang w:val="da-DK"/>
        </w:rPr>
        <w:t>intrakraniel</w:t>
      </w:r>
      <w:proofErr w:type="spellEnd"/>
      <w:r w:rsidRPr="00D21C07">
        <w:rPr>
          <w:sz w:val="20"/>
          <w:szCs w:val="20"/>
          <w:lang w:val="da-DK"/>
        </w:rPr>
        <w:t xml:space="preserve"> blødning.</w:t>
      </w:r>
    </w:p>
    <w:p w14:paraId="5D59CE27" w14:textId="77777777" w:rsidR="00D21C07" w:rsidRPr="00D21C07" w:rsidRDefault="00D21C07" w:rsidP="00C52F9A">
      <w:pPr>
        <w:pStyle w:val="Listeafsnit"/>
        <w:numPr>
          <w:ilvl w:val="0"/>
          <w:numId w:val="7"/>
        </w:numPr>
        <w:tabs>
          <w:tab w:val="clear" w:pos="0"/>
        </w:tabs>
        <w:ind w:left="284" w:hanging="284"/>
        <w:rPr>
          <w:sz w:val="20"/>
          <w:szCs w:val="20"/>
          <w:lang w:val="da-DK"/>
        </w:rPr>
      </w:pPr>
      <w:r w:rsidRPr="00D21C07">
        <w:rPr>
          <w:sz w:val="20"/>
          <w:szCs w:val="20"/>
          <w:lang w:val="da-DK"/>
        </w:rPr>
        <w:t>Klinisk tydelig blødning, der er forbundet med et fald i hæmoglobin ≥ 3 g/dl, men &lt;5 g/dl.</w:t>
      </w:r>
    </w:p>
    <w:p w14:paraId="5946945E" w14:textId="77777777" w:rsidR="00D21C07" w:rsidRDefault="00D21C07" w:rsidP="00C52F9A">
      <w:pPr>
        <w:ind w:left="851"/>
      </w:pPr>
    </w:p>
    <w:p w14:paraId="03B6D110" w14:textId="77777777" w:rsidR="00D21C07" w:rsidRPr="00D21C07" w:rsidRDefault="00D21C07" w:rsidP="00C52F9A">
      <w:pPr>
        <w:ind w:left="851"/>
        <w:rPr>
          <w:sz w:val="24"/>
          <w:szCs w:val="24"/>
          <w:u w:val="single"/>
        </w:rPr>
      </w:pPr>
      <w:r w:rsidRPr="00D21C07">
        <w:rPr>
          <w:sz w:val="24"/>
          <w:szCs w:val="24"/>
          <w:u w:val="single"/>
        </w:rPr>
        <w:t>Patienter ≥ 75 år</w:t>
      </w:r>
    </w:p>
    <w:p w14:paraId="177F1068" w14:textId="77777777" w:rsidR="00D21C07" w:rsidRPr="00D21C07" w:rsidRDefault="00D21C07" w:rsidP="00C52F9A">
      <w:pPr>
        <w:ind w:left="851"/>
        <w:rPr>
          <w:sz w:val="24"/>
          <w:szCs w:val="24"/>
        </w:rPr>
      </w:pPr>
      <w:r w:rsidRPr="00D21C07">
        <w:rPr>
          <w:sz w:val="24"/>
          <w:szCs w:val="24"/>
        </w:rPr>
        <w:t>Andelen af ikke-CABG-relaterede større eller mindre blødninger (TIMI):</w:t>
      </w:r>
    </w:p>
    <w:p w14:paraId="00A5251A" w14:textId="77777777" w:rsidR="00D21C07" w:rsidRDefault="00D21C07" w:rsidP="00C52F9A">
      <w:pPr>
        <w:ind w:left="851"/>
      </w:pPr>
    </w:p>
    <w:tbl>
      <w:tblPr>
        <w:tblW w:w="5000" w:type="pct"/>
        <w:tblCellMar>
          <w:left w:w="10" w:type="dxa"/>
          <w:right w:w="10" w:type="dxa"/>
        </w:tblCellMar>
        <w:tblLook w:val="01E0" w:firstRow="1" w:lastRow="1" w:firstColumn="1" w:lastColumn="1" w:noHBand="0" w:noVBand="0"/>
      </w:tblPr>
      <w:tblGrid>
        <w:gridCol w:w="3210"/>
        <w:gridCol w:w="3199"/>
        <w:gridCol w:w="3209"/>
      </w:tblGrid>
      <w:tr w:rsidR="00D21C07" w14:paraId="2684342C" w14:textId="77777777" w:rsidTr="00C52F9A">
        <w:trPr>
          <w:trHeight w:val="282"/>
        </w:trPr>
        <w:tc>
          <w:tcPr>
            <w:tcW w:w="16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5A8CF637" w14:textId="77777777" w:rsidR="00D21C07" w:rsidRDefault="00D21C07">
            <w:pPr>
              <w:pStyle w:val="TableParagraph"/>
            </w:pPr>
            <w:r>
              <w:rPr>
                <w:lang w:val="da-DK"/>
              </w:rPr>
              <w:t>Alder</w:t>
            </w:r>
          </w:p>
        </w:tc>
        <w:tc>
          <w:tcPr>
            <w:tcW w:w="166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6CCE766B" w14:textId="77777777" w:rsidR="00D21C07" w:rsidRDefault="00D21C07">
            <w:pPr>
              <w:pStyle w:val="TableParagraph"/>
            </w:pPr>
            <w:proofErr w:type="spellStart"/>
            <w:r>
              <w:rPr>
                <w:lang w:val="da-DK"/>
              </w:rPr>
              <w:t>Prasugrel</w:t>
            </w:r>
            <w:proofErr w:type="spellEnd"/>
            <w:r>
              <w:rPr>
                <w:lang w:val="da-DK"/>
              </w:rPr>
              <w:t xml:space="preserve"> </w:t>
            </w:r>
            <w:r>
              <w:rPr>
                <w:b/>
                <w:bCs/>
                <w:lang w:val="da-DK"/>
              </w:rPr>
              <w:t>10 mg</w:t>
            </w:r>
          </w:p>
        </w:tc>
        <w:tc>
          <w:tcPr>
            <w:tcW w:w="1668"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47A1D564" w14:textId="77777777" w:rsidR="00D21C07" w:rsidRDefault="00D21C07">
            <w:pPr>
              <w:pStyle w:val="TableParagraph"/>
            </w:pPr>
            <w:proofErr w:type="spellStart"/>
            <w:r>
              <w:rPr>
                <w:lang w:val="da-DK"/>
              </w:rPr>
              <w:t>Clopidogrel</w:t>
            </w:r>
            <w:proofErr w:type="spellEnd"/>
            <w:r>
              <w:rPr>
                <w:lang w:val="da-DK"/>
              </w:rPr>
              <w:t xml:space="preserve"> 75 mg</w:t>
            </w:r>
          </w:p>
        </w:tc>
      </w:tr>
      <w:tr w:rsidR="00D21C07" w14:paraId="3E35FF0B" w14:textId="77777777" w:rsidTr="00C52F9A">
        <w:trPr>
          <w:trHeight w:val="280"/>
        </w:trPr>
        <w:tc>
          <w:tcPr>
            <w:tcW w:w="1669" w:type="pct"/>
            <w:tcBorders>
              <w:top w:val="single" w:sz="8" w:space="0" w:color="000000"/>
              <w:left w:val="single" w:sz="8" w:space="0" w:color="000000"/>
              <w:bottom w:val="single" w:sz="8" w:space="0" w:color="000000"/>
              <w:right w:val="single" w:sz="8" w:space="0" w:color="000000"/>
            </w:tcBorders>
            <w:hideMark/>
          </w:tcPr>
          <w:p w14:paraId="38D24377" w14:textId="77777777" w:rsidR="00D21C07" w:rsidRDefault="00D21C07">
            <w:pPr>
              <w:pStyle w:val="TableParagraph"/>
            </w:pPr>
            <w:r>
              <w:rPr>
                <w:lang w:val="da-DK"/>
              </w:rPr>
              <w:t>≥75 år (N=</w:t>
            </w:r>
            <w:proofErr w:type="gramStart"/>
            <w:r>
              <w:rPr>
                <w:lang w:val="da-DK"/>
              </w:rPr>
              <w:t>1785)*</w:t>
            </w:r>
            <w:proofErr w:type="gramEnd"/>
          </w:p>
        </w:tc>
        <w:tc>
          <w:tcPr>
            <w:tcW w:w="1663" w:type="pct"/>
            <w:tcBorders>
              <w:top w:val="single" w:sz="8" w:space="0" w:color="000000"/>
              <w:left w:val="single" w:sz="8" w:space="0" w:color="000000"/>
              <w:bottom w:val="single" w:sz="8" w:space="0" w:color="000000"/>
              <w:right w:val="single" w:sz="8" w:space="0" w:color="000000"/>
            </w:tcBorders>
            <w:hideMark/>
          </w:tcPr>
          <w:p w14:paraId="75731102" w14:textId="77777777" w:rsidR="00D21C07" w:rsidRDefault="00D21C07">
            <w:pPr>
              <w:pStyle w:val="TableParagraph"/>
            </w:pPr>
            <w:r>
              <w:rPr>
                <w:lang w:val="da-DK"/>
              </w:rPr>
              <w:t>9,0 % (1,0 % dødelige)</w:t>
            </w:r>
          </w:p>
        </w:tc>
        <w:tc>
          <w:tcPr>
            <w:tcW w:w="1668" w:type="pct"/>
            <w:tcBorders>
              <w:top w:val="single" w:sz="8" w:space="0" w:color="000000"/>
              <w:left w:val="single" w:sz="8" w:space="0" w:color="000000"/>
              <w:bottom w:val="single" w:sz="8" w:space="0" w:color="000000"/>
              <w:right w:val="single" w:sz="8" w:space="0" w:color="000000"/>
            </w:tcBorders>
            <w:hideMark/>
          </w:tcPr>
          <w:p w14:paraId="5A605F54" w14:textId="77777777" w:rsidR="00D21C07" w:rsidRDefault="00D21C07">
            <w:pPr>
              <w:pStyle w:val="TableParagraph"/>
            </w:pPr>
            <w:r>
              <w:rPr>
                <w:lang w:val="da-DK"/>
              </w:rPr>
              <w:t>6,9 % (0,1 % dødelige)</w:t>
            </w:r>
          </w:p>
        </w:tc>
      </w:tr>
      <w:tr w:rsidR="00D21C07" w14:paraId="4A2CD68E" w14:textId="77777777" w:rsidTr="00C52F9A">
        <w:trPr>
          <w:trHeight w:val="282"/>
        </w:trPr>
        <w:tc>
          <w:tcPr>
            <w:tcW w:w="1669" w:type="pct"/>
            <w:tcBorders>
              <w:top w:val="single" w:sz="8" w:space="0" w:color="000000"/>
              <w:left w:val="single" w:sz="8" w:space="0" w:color="000000"/>
              <w:bottom w:val="single" w:sz="8" w:space="0" w:color="000000"/>
              <w:right w:val="single" w:sz="8" w:space="0" w:color="000000"/>
            </w:tcBorders>
            <w:hideMark/>
          </w:tcPr>
          <w:p w14:paraId="3886278E" w14:textId="77777777" w:rsidR="00D21C07" w:rsidRDefault="00D21C07">
            <w:pPr>
              <w:pStyle w:val="TableParagraph"/>
            </w:pPr>
            <w:r>
              <w:rPr>
                <w:lang w:val="da-DK"/>
              </w:rPr>
              <w:t>≥75 år (N=11.</w:t>
            </w:r>
            <w:proofErr w:type="gramStart"/>
            <w:r>
              <w:rPr>
                <w:lang w:val="da-DK"/>
              </w:rPr>
              <w:t>672)*</w:t>
            </w:r>
            <w:proofErr w:type="gramEnd"/>
          </w:p>
        </w:tc>
        <w:tc>
          <w:tcPr>
            <w:tcW w:w="1663" w:type="pct"/>
            <w:tcBorders>
              <w:top w:val="single" w:sz="8" w:space="0" w:color="000000"/>
              <w:left w:val="single" w:sz="8" w:space="0" w:color="000000"/>
              <w:bottom w:val="single" w:sz="8" w:space="0" w:color="000000"/>
              <w:right w:val="single" w:sz="8" w:space="0" w:color="000000"/>
            </w:tcBorders>
            <w:hideMark/>
          </w:tcPr>
          <w:p w14:paraId="0DA85545" w14:textId="77777777" w:rsidR="00D21C07" w:rsidRDefault="00D21C07">
            <w:pPr>
              <w:pStyle w:val="TableParagraph"/>
            </w:pPr>
            <w:r>
              <w:rPr>
                <w:lang w:val="da-DK"/>
              </w:rPr>
              <w:t>3,8 % (0,2 % dødelige)</w:t>
            </w:r>
          </w:p>
        </w:tc>
        <w:tc>
          <w:tcPr>
            <w:tcW w:w="1668" w:type="pct"/>
            <w:tcBorders>
              <w:top w:val="single" w:sz="8" w:space="0" w:color="000000"/>
              <w:left w:val="single" w:sz="8" w:space="0" w:color="000000"/>
              <w:bottom w:val="single" w:sz="8" w:space="0" w:color="000000"/>
              <w:right w:val="single" w:sz="8" w:space="0" w:color="000000"/>
            </w:tcBorders>
            <w:hideMark/>
          </w:tcPr>
          <w:p w14:paraId="0DDBF403" w14:textId="77777777" w:rsidR="00D21C07" w:rsidRDefault="00D21C07">
            <w:pPr>
              <w:pStyle w:val="TableParagraph"/>
            </w:pPr>
            <w:r>
              <w:rPr>
                <w:lang w:val="da-DK"/>
              </w:rPr>
              <w:t>2,9 % (0,1 % dødelige)</w:t>
            </w:r>
          </w:p>
        </w:tc>
      </w:tr>
      <w:tr w:rsidR="00D21C07" w14:paraId="0B8CA11F" w14:textId="77777777" w:rsidTr="00C52F9A">
        <w:trPr>
          <w:trHeight w:val="280"/>
        </w:trPr>
        <w:tc>
          <w:tcPr>
            <w:tcW w:w="1669" w:type="pct"/>
            <w:tcBorders>
              <w:top w:val="single" w:sz="8" w:space="0" w:color="000000"/>
              <w:left w:val="single" w:sz="8" w:space="0" w:color="000000"/>
              <w:bottom w:val="single" w:sz="8" w:space="0" w:color="000000"/>
              <w:right w:val="single" w:sz="8" w:space="0" w:color="000000"/>
            </w:tcBorders>
            <w:hideMark/>
          </w:tcPr>
          <w:p w14:paraId="352FD9A8" w14:textId="77777777" w:rsidR="00D21C07" w:rsidRDefault="00D21C07">
            <w:pPr>
              <w:pStyle w:val="TableParagraph"/>
            </w:pPr>
            <w:r>
              <w:rPr>
                <w:lang w:val="da-DK"/>
              </w:rPr>
              <w:t>≥75 år (N=</w:t>
            </w:r>
            <w:proofErr w:type="gramStart"/>
            <w:r>
              <w:rPr>
                <w:lang w:val="da-DK"/>
              </w:rPr>
              <w:t>7180)*</w:t>
            </w:r>
            <w:proofErr w:type="gramEnd"/>
            <w:r>
              <w:rPr>
                <w:lang w:val="da-DK"/>
              </w:rPr>
              <w:t>*</w:t>
            </w:r>
          </w:p>
        </w:tc>
        <w:tc>
          <w:tcPr>
            <w:tcW w:w="1663" w:type="pct"/>
            <w:tcBorders>
              <w:top w:val="single" w:sz="8" w:space="0" w:color="000000"/>
              <w:left w:val="single" w:sz="8" w:space="0" w:color="000000"/>
              <w:bottom w:val="single" w:sz="8" w:space="0" w:color="000000"/>
              <w:right w:val="single" w:sz="8" w:space="0" w:color="000000"/>
            </w:tcBorders>
            <w:hideMark/>
          </w:tcPr>
          <w:p w14:paraId="07BDD43B" w14:textId="77777777" w:rsidR="00D21C07" w:rsidRDefault="00D21C07">
            <w:pPr>
              <w:pStyle w:val="TableParagraph"/>
            </w:pPr>
            <w:r>
              <w:rPr>
                <w:lang w:val="da-DK"/>
              </w:rPr>
              <w:t xml:space="preserve">2,0 % (0,1 % </w:t>
            </w:r>
            <w:proofErr w:type="gramStart"/>
            <w:r>
              <w:rPr>
                <w:lang w:val="da-DK"/>
              </w:rPr>
              <w:t>dødelige)</w:t>
            </w:r>
            <w:r>
              <w:rPr>
                <w:vertAlign w:val="superscript"/>
                <w:lang w:val="da-DK"/>
              </w:rPr>
              <w:t>a</w:t>
            </w:r>
            <w:proofErr w:type="gramEnd"/>
          </w:p>
        </w:tc>
        <w:tc>
          <w:tcPr>
            <w:tcW w:w="1668" w:type="pct"/>
            <w:tcBorders>
              <w:top w:val="single" w:sz="8" w:space="0" w:color="000000"/>
              <w:left w:val="single" w:sz="8" w:space="0" w:color="000000"/>
              <w:bottom w:val="single" w:sz="8" w:space="0" w:color="000000"/>
              <w:right w:val="single" w:sz="8" w:space="0" w:color="000000"/>
            </w:tcBorders>
            <w:hideMark/>
          </w:tcPr>
          <w:p w14:paraId="188398E1" w14:textId="77777777" w:rsidR="00D21C07" w:rsidRDefault="00D21C07">
            <w:pPr>
              <w:pStyle w:val="TableParagraph"/>
            </w:pPr>
            <w:r>
              <w:rPr>
                <w:lang w:val="da-DK"/>
              </w:rPr>
              <w:t>1,3 % (0,1 % dødelige)</w:t>
            </w:r>
          </w:p>
        </w:tc>
      </w:tr>
      <w:tr w:rsidR="00D21C07" w14:paraId="14992145" w14:textId="77777777" w:rsidTr="00C52F9A">
        <w:trPr>
          <w:trHeight w:val="282"/>
        </w:trPr>
        <w:tc>
          <w:tcPr>
            <w:tcW w:w="1669" w:type="pct"/>
            <w:tcBorders>
              <w:top w:val="single" w:sz="8" w:space="0" w:color="000000"/>
              <w:left w:val="single" w:sz="8" w:space="0" w:color="000000"/>
              <w:bottom w:val="single" w:sz="8" w:space="0" w:color="000000"/>
              <w:right w:val="single" w:sz="8" w:space="0" w:color="000000"/>
            </w:tcBorders>
          </w:tcPr>
          <w:p w14:paraId="2D0DCA46" w14:textId="77777777" w:rsidR="00D21C07" w:rsidRDefault="00D21C07">
            <w:pPr>
              <w:pStyle w:val="TableParagraph"/>
              <w:ind w:left="0"/>
            </w:pPr>
          </w:p>
        </w:tc>
        <w:tc>
          <w:tcPr>
            <w:tcW w:w="166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0515B91F" w14:textId="77777777" w:rsidR="00D21C07" w:rsidRDefault="00D21C07">
            <w:pPr>
              <w:pStyle w:val="TableParagraph"/>
            </w:pPr>
            <w:proofErr w:type="spellStart"/>
            <w:r>
              <w:rPr>
                <w:lang w:val="da-DK"/>
              </w:rPr>
              <w:t>Prasugrel</w:t>
            </w:r>
            <w:proofErr w:type="spellEnd"/>
            <w:r>
              <w:rPr>
                <w:lang w:val="da-DK"/>
              </w:rPr>
              <w:t xml:space="preserve"> </w:t>
            </w:r>
            <w:r>
              <w:rPr>
                <w:b/>
                <w:bCs/>
                <w:lang w:val="da-DK"/>
              </w:rPr>
              <w:t>5 mg</w:t>
            </w:r>
          </w:p>
        </w:tc>
        <w:tc>
          <w:tcPr>
            <w:tcW w:w="1668"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2D6B9E00" w14:textId="77777777" w:rsidR="00D21C07" w:rsidRDefault="00D21C07">
            <w:pPr>
              <w:pStyle w:val="TableParagraph"/>
            </w:pPr>
            <w:proofErr w:type="spellStart"/>
            <w:r>
              <w:rPr>
                <w:lang w:val="da-DK"/>
              </w:rPr>
              <w:t>Clopidogrel</w:t>
            </w:r>
            <w:proofErr w:type="spellEnd"/>
            <w:r>
              <w:rPr>
                <w:lang w:val="da-DK"/>
              </w:rPr>
              <w:t xml:space="preserve"> 75 mg</w:t>
            </w:r>
          </w:p>
        </w:tc>
      </w:tr>
      <w:tr w:rsidR="00D21C07" w14:paraId="1829AFAD" w14:textId="77777777" w:rsidTr="00C52F9A">
        <w:trPr>
          <w:trHeight w:val="280"/>
        </w:trPr>
        <w:tc>
          <w:tcPr>
            <w:tcW w:w="1669" w:type="pct"/>
            <w:tcBorders>
              <w:top w:val="single" w:sz="8" w:space="0" w:color="000000"/>
              <w:left w:val="single" w:sz="8" w:space="0" w:color="000000"/>
              <w:bottom w:val="single" w:sz="8" w:space="0" w:color="000000"/>
              <w:right w:val="single" w:sz="8" w:space="0" w:color="000000"/>
            </w:tcBorders>
            <w:hideMark/>
          </w:tcPr>
          <w:p w14:paraId="519E218B" w14:textId="77777777" w:rsidR="00D21C07" w:rsidRDefault="00D21C07">
            <w:pPr>
              <w:pStyle w:val="TableParagraph"/>
            </w:pPr>
            <w:r>
              <w:rPr>
                <w:lang w:val="da-DK"/>
              </w:rPr>
              <w:t>≥75 år (N=</w:t>
            </w:r>
            <w:proofErr w:type="gramStart"/>
            <w:r>
              <w:rPr>
                <w:lang w:val="da-DK"/>
              </w:rPr>
              <w:t>2060)*</w:t>
            </w:r>
            <w:proofErr w:type="gramEnd"/>
            <w:r>
              <w:rPr>
                <w:lang w:val="da-DK"/>
              </w:rPr>
              <w:t>*</w:t>
            </w:r>
          </w:p>
        </w:tc>
        <w:tc>
          <w:tcPr>
            <w:tcW w:w="1663" w:type="pct"/>
            <w:tcBorders>
              <w:top w:val="single" w:sz="8" w:space="0" w:color="000000"/>
              <w:left w:val="single" w:sz="8" w:space="0" w:color="000000"/>
              <w:bottom w:val="single" w:sz="8" w:space="0" w:color="000000"/>
              <w:right w:val="single" w:sz="8" w:space="0" w:color="000000"/>
            </w:tcBorders>
            <w:hideMark/>
          </w:tcPr>
          <w:p w14:paraId="3A79A44B" w14:textId="77777777" w:rsidR="00D21C07" w:rsidRDefault="00D21C07">
            <w:pPr>
              <w:pStyle w:val="TableParagraph"/>
            </w:pPr>
            <w:r>
              <w:rPr>
                <w:lang w:val="da-DK"/>
              </w:rPr>
              <w:t>2,6 % (0,3 % dødelige)</w:t>
            </w:r>
          </w:p>
        </w:tc>
        <w:tc>
          <w:tcPr>
            <w:tcW w:w="1668" w:type="pct"/>
            <w:tcBorders>
              <w:top w:val="single" w:sz="8" w:space="0" w:color="000000"/>
              <w:left w:val="single" w:sz="8" w:space="0" w:color="000000"/>
              <w:bottom w:val="single" w:sz="8" w:space="0" w:color="000000"/>
              <w:right w:val="single" w:sz="8" w:space="0" w:color="000000"/>
            </w:tcBorders>
            <w:hideMark/>
          </w:tcPr>
          <w:p w14:paraId="67A0A012" w14:textId="77777777" w:rsidR="00D21C07" w:rsidRDefault="00D21C07">
            <w:pPr>
              <w:pStyle w:val="TableParagraph"/>
            </w:pPr>
            <w:r>
              <w:rPr>
                <w:lang w:val="da-DK"/>
              </w:rPr>
              <w:t>3,0 % (0,5 % dødelige)</w:t>
            </w:r>
          </w:p>
        </w:tc>
      </w:tr>
    </w:tbl>
    <w:p w14:paraId="0849B53A" w14:textId="1F474732" w:rsidR="00D21C07" w:rsidRDefault="00D21C07" w:rsidP="00D93A6A">
      <w:pPr>
        <w:pStyle w:val="Listeafsnit"/>
        <w:numPr>
          <w:ilvl w:val="0"/>
          <w:numId w:val="8"/>
        </w:numPr>
        <w:tabs>
          <w:tab w:val="left" w:pos="284"/>
        </w:tabs>
        <w:ind w:left="284" w:hanging="284"/>
        <w:rPr>
          <w:sz w:val="20"/>
          <w:szCs w:val="20"/>
          <w:lang w:val="da-DK"/>
        </w:rPr>
      </w:pPr>
      <w:r w:rsidRPr="00D93A6A">
        <w:rPr>
          <w:sz w:val="20"/>
          <w:szCs w:val="20"/>
          <w:lang w:val="da-DK"/>
        </w:rPr>
        <w:t>TRITON-studiet, hvor AKS-patienterne gennemgik PCI</w:t>
      </w:r>
    </w:p>
    <w:p w14:paraId="16FA1521" w14:textId="0D42768F" w:rsidR="00D21C07" w:rsidRPr="00D93A6A" w:rsidRDefault="00D21C07" w:rsidP="00D93A6A">
      <w:pPr>
        <w:tabs>
          <w:tab w:val="left" w:pos="284"/>
        </w:tabs>
        <w:ind w:left="284" w:hanging="284"/>
        <w:rPr>
          <w:sz w:val="20"/>
        </w:rPr>
      </w:pPr>
      <w:r w:rsidRPr="00D93A6A">
        <w:rPr>
          <w:sz w:val="20"/>
        </w:rPr>
        <w:t>**</w:t>
      </w:r>
      <w:r w:rsidR="00D93A6A">
        <w:rPr>
          <w:sz w:val="20"/>
        </w:rPr>
        <w:tab/>
      </w:r>
      <w:r w:rsidRPr="00D93A6A">
        <w:rPr>
          <w:sz w:val="20"/>
        </w:rPr>
        <w:t>TRILOGY-AKS-studiet, hvor patienterne ikke gennemgik PCI (se 5.1):</w:t>
      </w:r>
      <w:r w:rsidR="00D93A6A">
        <w:rPr>
          <w:sz w:val="20"/>
        </w:rPr>
        <w:t xml:space="preserve"> </w:t>
      </w:r>
      <w:r w:rsidRPr="00D93A6A">
        <w:rPr>
          <w:sz w:val="20"/>
        </w:rPr>
        <w:t xml:space="preserve">10 mg </w:t>
      </w:r>
      <w:proofErr w:type="spellStart"/>
      <w:r w:rsidRPr="00D93A6A">
        <w:rPr>
          <w:sz w:val="20"/>
        </w:rPr>
        <w:t>prasugrel</w:t>
      </w:r>
      <w:proofErr w:type="spellEnd"/>
      <w:r w:rsidRPr="00D93A6A">
        <w:rPr>
          <w:sz w:val="20"/>
        </w:rPr>
        <w:t xml:space="preserve">; 5 mg </w:t>
      </w:r>
      <w:proofErr w:type="spellStart"/>
      <w:r w:rsidRPr="00D93A6A">
        <w:rPr>
          <w:sz w:val="20"/>
        </w:rPr>
        <w:t>prasugrel</w:t>
      </w:r>
      <w:proofErr w:type="spellEnd"/>
      <w:r w:rsidRPr="00D93A6A">
        <w:rPr>
          <w:sz w:val="20"/>
        </w:rPr>
        <w:t xml:space="preserve"> hvis &lt;60 kg</w:t>
      </w:r>
    </w:p>
    <w:p w14:paraId="0ADB541A" w14:textId="04BA2B6B" w:rsidR="00E11E3E" w:rsidRDefault="00E11E3E">
      <w:pPr>
        <w:rPr>
          <w:sz w:val="24"/>
          <w:szCs w:val="24"/>
        </w:rPr>
      </w:pPr>
      <w:r>
        <w:rPr>
          <w:i/>
          <w:sz w:val="24"/>
          <w:szCs w:val="24"/>
        </w:rPr>
        <w:br w:type="page"/>
      </w:r>
    </w:p>
    <w:p w14:paraId="7520629D" w14:textId="77777777" w:rsidR="00D21C07" w:rsidRPr="00C52F9A" w:rsidRDefault="00D21C07" w:rsidP="00C52F9A">
      <w:pPr>
        <w:pStyle w:val="Brdtekst"/>
        <w:ind w:left="851"/>
        <w:rPr>
          <w:i w:val="0"/>
          <w:color w:val="auto"/>
          <w:sz w:val="24"/>
          <w:szCs w:val="24"/>
          <w:lang w:val="da-DK"/>
        </w:rPr>
      </w:pPr>
    </w:p>
    <w:p w14:paraId="65E9B483" w14:textId="77777777" w:rsidR="00D21C07" w:rsidRPr="00C52F9A" w:rsidRDefault="00D21C07" w:rsidP="00C52F9A">
      <w:pPr>
        <w:ind w:left="851"/>
        <w:rPr>
          <w:i/>
          <w:sz w:val="24"/>
          <w:szCs w:val="24"/>
          <w:u w:val="single"/>
        </w:rPr>
      </w:pPr>
      <w:r w:rsidRPr="00C52F9A">
        <w:rPr>
          <w:sz w:val="24"/>
          <w:szCs w:val="24"/>
          <w:u w:val="single"/>
        </w:rPr>
        <w:t>Patienter &lt;60 kg</w:t>
      </w:r>
    </w:p>
    <w:p w14:paraId="51BEF8FB" w14:textId="77777777" w:rsidR="00D21C07" w:rsidRPr="00C52F9A" w:rsidRDefault="00D21C07" w:rsidP="00C52F9A">
      <w:pPr>
        <w:ind w:left="851"/>
        <w:rPr>
          <w:i/>
          <w:sz w:val="24"/>
          <w:szCs w:val="24"/>
        </w:rPr>
      </w:pPr>
      <w:r w:rsidRPr="00C52F9A">
        <w:rPr>
          <w:sz w:val="24"/>
          <w:szCs w:val="24"/>
        </w:rPr>
        <w:t>Andelen af ikke-CABG-relaterede større eller mindre blødninger (TIMI):</w:t>
      </w:r>
    </w:p>
    <w:p w14:paraId="26628489" w14:textId="77777777" w:rsidR="00D21C07" w:rsidRPr="00C52F9A" w:rsidRDefault="00D21C07" w:rsidP="00C52F9A">
      <w:pPr>
        <w:ind w:left="851"/>
        <w:rPr>
          <w:i/>
          <w:sz w:val="24"/>
          <w:szCs w:val="24"/>
        </w:rPr>
      </w:pPr>
    </w:p>
    <w:tbl>
      <w:tblPr>
        <w:tblW w:w="5000" w:type="pct"/>
        <w:tblCellMar>
          <w:left w:w="10" w:type="dxa"/>
          <w:right w:w="10" w:type="dxa"/>
        </w:tblCellMar>
        <w:tblLook w:val="01E0" w:firstRow="1" w:lastRow="1" w:firstColumn="1" w:lastColumn="1" w:noHBand="0" w:noVBand="0"/>
      </w:tblPr>
      <w:tblGrid>
        <w:gridCol w:w="3210"/>
        <w:gridCol w:w="3199"/>
        <w:gridCol w:w="3209"/>
      </w:tblGrid>
      <w:tr w:rsidR="00D21C07" w14:paraId="7220B4EF" w14:textId="77777777" w:rsidTr="00C52F9A">
        <w:trPr>
          <w:trHeight w:val="280"/>
        </w:trPr>
        <w:tc>
          <w:tcPr>
            <w:tcW w:w="16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2C833CF5" w14:textId="77777777" w:rsidR="00D21C07" w:rsidRDefault="00D21C07">
            <w:pPr>
              <w:pStyle w:val="TableParagraph"/>
            </w:pPr>
            <w:r>
              <w:rPr>
                <w:lang w:val="da-DK"/>
              </w:rPr>
              <w:t>Vægt</w:t>
            </w:r>
          </w:p>
        </w:tc>
        <w:tc>
          <w:tcPr>
            <w:tcW w:w="166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41C65DE4" w14:textId="77777777" w:rsidR="00D21C07" w:rsidRDefault="00D21C07">
            <w:pPr>
              <w:pStyle w:val="TableParagraph"/>
            </w:pPr>
            <w:proofErr w:type="spellStart"/>
            <w:r>
              <w:rPr>
                <w:lang w:val="da-DK"/>
              </w:rPr>
              <w:t>Prasugrel</w:t>
            </w:r>
            <w:proofErr w:type="spellEnd"/>
            <w:r>
              <w:rPr>
                <w:lang w:val="da-DK"/>
              </w:rPr>
              <w:t xml:space="preserve"> </w:t>
            </w:r>
            <w:r>
              <w:rPr>
                <w:b/>
                <w:bCs/>
                <w:lang w:val="da-DK"/>
              </w:rPr>
              <w:t>10 mg</w:t>
            </w:r>
          </w:p>
        </w:tc>
        <w:tc>
          <w:tcPr>
            <w:tcW w:w="1668"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720CDA54" w14:textId="77777777" w:rsidR="00D21C07" w:rsidRDefault="00D21C07">
            <w:pPr>
              <w:pStyle w:val="TableParagraph"/>
            </w:pPr>
            <w:proofErr w:type="spellStart"/>
            <w:r>
              <w:rPr>
                <w:lang w:val="da-DK"/>
              </w:rPr>
              <w:t>Clopidogrel</w:t>
            </w:r>
            <w:proofErr w:type="spellEnd"/>
            <w:r>
              <w:rPr>
                <w:lang w:val="da-DK"/>
              </w:rPr>
              <w:t xml:space="preserve"> 75 mg</w:t>
            </w:r>
          </w:p>
        </w:tc>
      </w:tr>
      <w:tr w:rsidR="00D21C07" w14:paraId="4C91B577" w14:textId="77777777" w:rsidTr="00C52F9A">
        <w:trPr>
          <w:trHeight w:val="280"/>
        </w:trPr>
        <w:tc>
          <w:tcPr>
            <w:tcW w:w="1669" w:type="pct"/>
            <w:tcBorders>
              <w:top w:val="single" w:sz="8" w:space="0" w:color="000000"/>
              <w:left w:val="single" w:sz="8" w:space="0" w:color="000000"/>
              <w:bottom w:val="single" w:sz="8" w:space="0" w:color="000000"/>
              <w:right w:val="single" w:sz="8" w:space="0" w:color="000000"/>
            </w:tcBorders>
            <w:hideMark/>
          </w:tcPr>
          <w:p w14:paraId="6BCA2EBB" w14:textId="77777777" w:rsidR="00D21C07" w:rsidRDefault="00D21C07">
            <w:pPr>
              <w:pStyle w:val="TableParagraph"/>
            </w:pPr>
            <w:r>
              <w:rPr>
                <w:lang w:val="da-DK"/>
              </w:rPr>
              <w:t>&lt;60 kg (N=</w:t>
            </w:r>
            <w:proofErr w:type="gramStart"/>
            <w:r>
              <w:rPr>
                <w:lang w:val="da-DK"/>
              </w:rPr>
              <w:t>664)*</w:t>
            </w:r>
            <w:proofErr w:type="gramEnd"/>
          </w:p>
        </w:tc>
        <w:tc>
          <w:tcPr>
            <w:tcW w:w="1663" w:type="pct"/>
            <w:tcBorders>
              <w:top w:val="single" w:sz="8" w:space="0" w:color="000000"/>
              <w:left w:val="single" w:sz="8" w:space="0" w:color="000000"/>
              <w:bottom w:val="single" w:sz="8" w:space="0" w:color="000000"/>
              <w:right w:val="single" w:sz="8" w:space="0" w:color="000000"/>
            </w:tcBorders>
            <w:hideMark/>
          </w:tcPr>
          <w:p w14:paraId="466FAA27" w14:textId="77777777" w:rsidR="00D21C07" w:rsidRDefault="00D21C07">
            <w:pPr>
              <w:pStyle w:val="TableParagraph"/>
            </w:pPr>
            <w:r>
              <w:rPr>
                <w:lang w:val="da-DK"/>
              </w:rPr>
              <w:t>10,1 % (0 % dødelige)</w:t>
            </w:r>
          </w:p>
        </w:tc>
        <w:tc>
          <w:tcPr>
            <w:tcW w:w="1668" w:type="pct"/>
            <w:tcBorders>
              <w:top w:val="single" w:sz="8" w:space="0" w:color="000000"/>
              <w:left w:val="single" w:sz="8" w:space="0" w:color="000000"/>
              <w:bottom w:val="single" w:sz="8" w:space="0" w:color="000000"/>
              <w:right w:val="single" w:sz="8" w:space="0" w:color="000000"/>
            </w:tcBorders>
            <w:hideMark/>
          </w:tcPr>
          <w:p w14:paraId="44DF7B80" w14:textId="77777777" w:rsidR="00D21C07" w:rsidRDefault="00D21C07">
            <w:pPr>
              <w:pStyle w:val="TableParagraph"/>
            </w:pPr>
            <w:r>
              <w:rPr>
                <w:lang w:val="da-DK"/>
              </w:rPr>
              <w:t>6,5 % (0,3 % dødelige)</w:t>
            </w:r>
          </w:p>
        </w:tc>
      </w:tr>
      <w:tr w:rsidR="00D21C07" w14:paraId="5CB9F580" w14:textId="77777777" w:rsidTr="00C52F9A">
        <w:trPr>
          <w:trHeight w:val="282"/>
        </w:trPr>
        <w:tc>
          <w:tcPr>
            <w:tcW w:w="1669" w:type="pct"/>
            <w:tcBorders>
              <w:top w:val="single" w:sz="8" w:space="0" w:color="000000"/>
              <w:left w:val="single" w:sz="8" w:space="0" w:color="000000"/>
              <w:bottom w:val="single" w:sz="8" w:space="0" w:color="000000"/>
              <w:right w:val="single" w:sz="8" w:space="0" w:color="000000"/>
            </w:tcBorders>
            <w:hideMark/>
          </w:tcPr>
          <w:p w14:paraId="0CEB7984" w14:textId="77777777" w:rsidR="00D21C07" w:rsidRDefault="00D21C07">
            <w:pPr>
              <w:pStyle w:val="TableParagraph"/>
            </w:pPr>
            <w:r>
              <w:rPr>
                <w:lang w:val="da-DK"/>
              </w:rPr>
              <w:t>≥60 kg (N=12.</w:t>
            </w:r>
            <w:proofErr w:type="gramStart"/>
            <w:r>
              <w:rPr>
                <w:lang w:val="da-DK"/>
              </w:rPr>
              <w:t>672)*</w:t>
            </w:r>
            <w:proofErr w:type="gramEnd"/>
          </w:p>
        </w:tc>
        <w:tc>
          <w:tcPr>
            <w:tcW w:w="1663" w:type="pct"/>
            <w:tcBorders>
              <w:top w:val="single" w:sz="8" w:space="0" w:color="000000"/>
              <w:left w:val="single" w:sz="8" w:space="0" w:color="000000"/>
              <w:bottom w:val="single" w:sz="8" w:space="0" w:color="000000"/>
              <w:right w:val="single" w:sz="8" w:space="0" w:color="000000"/>
            </w:tcBorders>
            <w:hideMark/>
          </w:tcPr>
          <w:p w14:paraId="40A163EB" w14:textId="77777777" w:rsidR="00D21C07" w:rsidRDefault="00D21C07">
            <w:pPr>
              <w:pStyle w:val="TableParagraph"/>
            </w:pPr>
            <w:r>
              <w:rPr>
                <w:lang w:val="da-DK"/>
              </w:rPr>
              <w:t>4,2 % (0,3 % dødelige)</w:t>
            </w:r>
          </w:p>
        </w:tc>
        <w:tc>
          <w:tcPr>
            <w:tcW w:w="1668" w:type="pct"/>
            <w:tcBorders>
              <w:top w:val="single" w:sz="8" w:space="0" w:color="000000"/>
              <w:left w:val="single" w:sz="8" w:space="0" w:color="000000"/>
              <w:bottom w:val="single" w:sz="8" w:space="0" w:color="000000"/>
              <w:right w:val="single" w:sz="8" w:space="0" w:color="000000"/>
            </w:tcBorders>
            <w:hideMark/>
          </w:tcPr>
          <w:p w14:paraId="0A82F33C" w14:textId="77777777" w:rsidR="00D21C07" w:rsidRDefault="00D21C07">
            <w:pPr>
              <w:pStyle w:val="TableParagraph"/>
            </w:pPr>
            <w:r>
              <w:rPr>
                <w:lang w:val="da-DK"/>
              </w:rPr>
              <w:t>3,3 % (0,1 % dødelige)</w:t>
            </w:r>
          </w:p>
        </w:tc>
      </w:tr>
      <w:tr w:rsidR="00D21C07" w14:paraId="6D8D0931" w14:textId="77777777" w:rsidTr="00C52F9A">
        <w:trPr>
          <w:trHeight w:val="280"/>
        </w:trPr>
        <w:tc>
          <w:tcPr>
            <w:tcW w:w="1669" w:type="pct"/>
            <w:tcBorders>
              <w:top w:val="single" w:sz="8" w:space="0" w:color="000000"/>
              <w:left w:val="single" w:sz="8" w:space="0" w:color="000000"/>
              <w:bottom w:val="single" w:sz="8" w:space="0" w:color="000000"/>
              <w:right w:val="single" w:sz="8" w:space="0" w:color="000000"/>
            </w:tcBorders>
            <w:hideMark/>
          </w:tcPr>
          <w:p w14:paraId="650C0BE2" w14:textId="77777777" w:rsidR="00D21C07" w:rsidRDefault="00D21C07">
            <w:pPr>
              <w:pStyle w:val="TableParagraph"/>
            </w:pPr>
            <w:r>
              <w:rPr>
                <w:lang w:val="da-DK"/>
              </w:rPr>
              <w:t>≥60 kg (N=</w:t>
            </w:r>
            <w:proofErr w:type="gramStart"/>
            <w:r>
              <w:rPr>
                <w:lang w:val="da-DK"/>
              </w:rPr>
              <w:t>7845)*</w:t>
            </w:r>
            <w:proofErr w:type="gramEnd"/>
            <w:r>
              <w:rPr>
                <w:lang w:val="da-DK"/>
              </w:rPr>
              <w:t>*</w:t>
            </w:r>
          </w:p>
        </w:tc>
        <w:tc>
          <w:tcPr>
            <w:tcW w:w="1663" w:type="pct"/>
            <w:tcBorders>
              <w:top w:val="single" w:sz="8" w:space="0" w:color="000000"/>
              <w:left w:val="single" w:sz="8" w:space="0" w:color="000000"/>
              <w:bottom w:val="single" w:sz="8" w:space="0" w:color="000000"/>
              <w:right w:val="single" w:sz="8" w:space="0" w:color="000000"/>
            </w:tcBorders>
            <w:hideMark/>
          </w:tcPr>
          <w:p w14:paraId="1A30DBE2" w14:textId="77777777" w:rsidR="00D21C07" w:rsidRDefault="00D21C07">
            <w:pPr>
              <w:pStyle w:val="TableParagraph"/>
            </w:pPr>
            <w:r>
              <w:rPr>
                <w:lang w:val="da-DK"/>
              </w:rPr>
              <w:t>2,2 % (0,2 % dødelige)</w:t>
            </w:r>
          </w:p>
        </w:tc>
        <w:tc>
          <w:tcPr>
            <w:tcW w:w="1668" w:type="pct"/>
            <w:tcBorders>
              <w:top w:val="single" w:sz="8" w:space="0" w:color="000000"/>
              <w:left w:val="single" w:sz="8" w:space="0" w:color="000000"/>
              <w:bottom w:val="single" w:sz="8" w:space="0" w:color="000000"/>
              <w:right w:val="single" w:sz="8" w:space="0" w:color="000000"/>
            </w:tcBorders>
            <w:hideMark/>
          </w:tcPr>
          <w:p w14:paraId="5F702D77" w14:textId="77777777" w:rsidR="00D21C07" w:rsidRDefault="00D21C07">
            <w:pPr>
              <w:pStyle w:val="TableParagraph"/>
            </w:pPr>
            <w:r>
              <w:rPr>
                <w:lang w:val="da-DK"/>
              </w:rPr>
              <w:t>1,6 % (0,2 % dødelige)</w:t>
            </w:r>
          </w:p>
        </w:tc>
      </w:tr>
      <w:tr w:rsidR="00D21C07" w14:paraId="5BAA2BD1" w14:textId="77777777" w:rsidTr="00C52F9A">
        <w:trPr>
          <w:trHeight w:val="282"/>
        </w:trPr>
        <w:tc>
          <w:tcPr>
            <w:tcW w:w="1669" w:type="pct"/>
            <w:tcBorders>
              <w:top w:val="single" w:sz="8" w:space="0" w:color="000000"/>
              <w:left w:val="single" w:sz="8" w:space="0" w:color="000000"/>
              <w:bottom w:val="single" w:sz="8" w:space="0" w:color="000000"/>
              <w:right w:val="single" w:sz="8" w:space="0" w:color="000000"/>
            </w:tcBorders>
          </w:tcPr>
          <w:p w14:paraId="56A68A45" w14:textId="77777777" w:rsidR="00D21C07" w:rsidRDefault="00D21C07">
            <w:pPr>
              <w:pStyle w:val="TableParagraph"/>
              <w:ind w:left="0"/>
            </w:pPr>
          </w:p>
        </w:tc>
        <w:tc>
          <w:tcPr>
            <w:tcW w:w="166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4E136171" w14:textId="77777777" w:rsidR="00D21C07" w:rsidRDefault="00D21C07">
            <w:pPr>
              <w:pStyle w:val="TableParagraph"/>
            </w:pPr>
            <w:proofErr w:type="spellStart"/>
            <w:r>
              <w:rPr>
                <w:lang w:val="da-DK"/>
              </w:rPr>
              <w:t>Prasugrel</w:t>
            </w:r>
            <w:proofErr w:type="spellEnd"/>
            <w:r>
              <w:rPr>
                <w:lang w:val="da-DK"/>
              </w:rPr>
              <w:t xml:space="preserve"> </w:t>
            </w:r>
            <w:r>
              <w:rPr>
                <w:b/>
                <w:bCs/>
                <w:lang w:val="da-DK"/>
              </w:rPr>
              <w:t>5 mg</w:t>
            </w:r>
          </w:p>
        </w:tc>
        <w:tc>
          <w:tcPr>
            <w:tcW w:w="1668"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588E06DD" w14:textId="77777777" w:rsidR="00D21C07" w:rsidRDefault="00D21C07">
            <w:pPr>
              <w:pStyle w:val="TableParagraph"/>
            </w:pPr>
            <w:proofErr w:type="spellStart"/>
            <w:r>
              <w:rPr>
                <w:lang w:val="da-DK"/>
              </w:rPr>
              <w:t>Clopidogrel</w:t>
            </w:r>
            <w:proofErr w:type="spellEnd"/>
            <w:r>
              <w:rPr>
                <w:lang w:val="da-DK"/>
              </w:rPr>
              <w:t xml:space="preserve"> 75 mg</w:t>
            </w:r>
          </w:p>
        </w:tc>
      </w:tr>
      <w:tr w:rsidR="00D21C07" w14:paraId="37543EDE" w14:textId="77777777" w:rsidTr="00C52F9A">
        <w:trPr>
          <w:trHeight w:val="280"/>
        </w:trPr>
        <w:tc>
          <w:tcPr>
            <w:tcW w:w="1669" w:type="pct"/>
            <w:tcBorders>
              <w:top w:val="single" w:sz="8" w:space="0" w:color="000000"/>
              <w:left w:val="single" w:sz="8" w:space="0" w:color="000000"/>
              <w:bottom w:val="single" w:sz="8" w:space="0" w:color="000000"/>
              <w:right w:val="single" w:sz="8" w:space="0" w:color="000000"/>
            </w:tcBorders>
            <w:hideMark/>
          </w:tcPr>
          <w:p w14:paraId="2A5FE178" w14:textId="77777777" w:rsidR="00D21C07" w:rsidRDefault="00D21C07">
            <w:pPr>
              <w:pStyle w:val="TableParagraph"/>
            </w:pPr>
            <w:r>
              <w:rPr>
                <w:lang w:val="da-DK"/>
              </w:rPr>
              <w:t>&lt;60 kg (N=</w:t>
            </w:r>
            <w:proofErr w:type="gramStart"/>
            <w:r>
              <w:rPr>
                <w:lang w:val="da-DK"/>
              </w:rPr>
              <w:t>1391)*</w:t>
            </w:r>
            <w:proofErr w:type="gramEnd"/>
            <w:r>
              <w:rPr>
                <w:lang w:val="da-DK"/>
              </w:rPr>
              <w:t>*</w:t>
            </w:r>
          </w:p>
        </w:tc>
        <w:tc>
          <w:tcPr>
            <w:tcW w:w="1663" w:type="pct"/>
            <w:tcBorders>
              <w:top w:val="single" w:sz="8" w:space="0" w:color="000000"/>
              <w:left w:val="single" w:sz="8" w:space="0" w:color="000000"/>
              <w:bottom w:val="single" w:sz="8" w:space="0" w:color="000000"/>
              <w:right w:val="single" w:sz="8" w:space="0" w:color="000000"/>
            </w:tcBorders>
            <w:hideMark/>
          </w:tcPr>
          <w:p w14:paraId="3B598BB1" w14:textId="77777777" w:rsidR="00D21C07" w:rsidRDefault="00D21C07">
            <w:pPr>
              <w:pStyle w:val="TableParagraph"/>
            </w:pPr>
            <w:r>
              <w:rPr>
                <w:lang w:val="da-DK"/>
              </w:rPr>
              <w:t>1,4 % (0,1 % dødelige)</w:t>
            </w:r>
          </w:p>
        </w:tc>
        <w:tc>
          <w:tcPr>
            <w:tcW w:w="1668" w:type="pct"/>
            <w:tcBorders>
              <w:top w:val="single" w:sz="8" w:space="0" w:color="000000"/>
              <w:left w:val="single" w:sz="8" w:space="0" w:color="000000"/>
              <w:bottom w:val="single" w:sz="8" w:space="0" w:color="000000"/>
              <w:right w:val="single" w:sz="8" w:space="0" w:color="000000"/>
            </w:tcBorders>
            <w:hideMark/>
          </w:tcPr>
          <w:p w14:paraId="7550C9A2" w14:textId="77777777" w:rsidR="00D21C07" w:rsidRDefault="00D21C07">
            <w:pPr>
              <w:pStyle w:val="TableParagraph"/>
            </w:pPr>
            <w:r>
              <w:rPr>
                <w:lang w:val="da-DK"/>
              </w:rPr>
              <w:t>2,2 % (0,3 % dødelige)</w:t>
            </w:r>
          </w:p>
        </w:tc>
      </w:tr>
    </w:tbl>
    <w:p w14:paraId="3736ACFB" w14:textId="77777777" w:rsidR="00D21C07" w:rsidRPr="00D93A6A" w:rsidRDefault="00D21C07" w:rsidP="00D93A6A">
      <w:pPr>
        <w:pStyle w:val="Listeafsnit"/>
        <w:numPr>
          <w:ilvl w:val="0"/>
          <w:numId w:val="8"/>
        </w:numPr>
        <w:tabs>
          <w:tab w:val="left" w:pos="284"/>
        </w:tabs>
        <w:ind w:left="284" w:hanging="284"/>
        <w:rPr>
          <w:sz w:val="20"/>
          <w:szCs w:val="20"/>
          <w:lang w:val="da-DK"/>
        </w:rPr>
      </w:pPr>
      <w:r w:rsidRPr="00D93A6A">
        <w:rPr>
          <w:sz w:val="20"/>
          <w:szCs w:val="20"/>
          <w:lang w:val="da-DK"/>
        </w:rPr>
        <w:t>TRITON-studiet, hvor AKS-patienterne gennemgik PCI</w:t>
      </w:r>
    </w:p>
    <w:p w14:paraId="4796EE14" w14:textId="39E2A0B6" w:rsidR="00D21C07" w:rsidRPr="00D93A6A" w:rsidRDefault="00D21C07" w:rsidP="00D93A6A">
      <w:pPr>
        <w:tabs>
          <w:tab w:val="left" w:pos="284"/>
        </w:tabs>
        <w:ind w:left="284" w:hanging="284"/>
        <w:rPr>
          <w:sz w:val="20"/>
        </w:rPr>
      </w:pPr>
      <w:r w:rsidRPr="00D93A6A">
        <w:rPr>
          <w:sz w:val="20"/>
        </w:rPr>
        <w:t>**</w:t>
      </w:r>
      <w:r w:rsidR="00D93A6A">
        <w:rPr>
          <w:sz w:val="20"/>
        </w:rPr>
        <w:tab/>
      </w:r>
      <w:r w:rsidRPr="00D93A6A">
        <w:rPr>
          <w:sz w:val="20"/>
        </w:rPr>
        <w:t>TRILOGY-AKS-studiet, hvor patienterne ikke gennemgik PCI (se 5.1):</w:t>
      </w:r>
    </w:p>
    <w:p w14:paraId="04384764" w14:textId="77777777" w:rsidR="00D21C07" w:rsidRPr="00D93A6A" w:rsidRDefault="00D21C07" w:rsidP="00D93A6A">
      <w:pPr>
        <w:pStyle w:val="Listeafsnit"/>
        <w:numPr>
          <w:ilvl w:val="0"/>
          <w:numId w:val="9"/>
        </w:numPr>
        <w:tabs>
          <w:tab w:val="left" w:pos="284"/>
        </w:tabs>
        <w:ind w:left="284" w:hanging="284"/>
        <w:rPr>
          <w:sz w:val="20"/>
          <w:szCs w:val="20"/>
          <w:lang w:val="da-DK"/>
        </w:rPr>
      </w:pPr>
      <w:r w:rsidRPr="00D93A6A">
        <w:rPr>
          <w:sz w:val="20"/>
          <w:szCs w:val="20"/>
          <w:lang w:val="da-DK"/>
        </w:rPr>
        <w:t xml:space="preserve">10 mg </w:t>
      </w:r>
      <w:proofErr w:type="spellStart"/>
      <w:r w:rsidRPr="00D93A6A">
        <w:rPr>
          <w:sz w:val="20"/>
          <w:szCs w:val="20"/>
          <w:lang w:val="da-DK"/>
        </w:rPr>
        <w:t>prasugrel</w:t>
      </w:r>
      <w:proofErr w:type="spellEnd"/>
      <w:r w:rsidRPr="00D93A6A">
        <w:rPr>
          <w:sz w:val="20"/>
          <w:szCs w:val="20"/>
          <w:lang w:val="da-DK"/>
        </w:rPr>
        <w:t xml:space="preserve">; 5 mg </w:t>
      </w:r>
      <w:proofErr w:type="spellStart"/>
      <w:r w:rsidRPr="00D93A6A">
        <w:rPr>
          <w:sz w:val="20"/>
          <w:szCs w:val="20"/>
          <w:lang w:val="da-DK"/>
        </w:rPr>
        <w:t>prasugrel</w:t>
      </w:r>
      <w:proofErr w:type="spellEnd"/>
      <w:r w:rsidRPr="00D93A6A">
        <w:rPr>
          <w:sz w:val="20"/>
          <w:szCs w:val="20"/>
          <w:lang w:val="da-DK"/>
        </w:rPr>
        <w:t xml:space="preserve"> hvis ≥ 75 år</w:t>
      </w:r>
    </w:p>
    <w:p w14:paraId="7E177DCC" w14:textId="77777777" w:rsidR="00D21C07" w:rsidRPr="00D21C07" w:rsidRDefault="00D21C07" w:rsidP="00D21C07">
      <w:pPr>
        <w:pStyle w:val="Brdtekst"/>
        <w:ind w:left="851"/>
        <w:rPr>
          <w:i w:val="0"/>
          <w:color w:val="auto"/>
          <w:sz w:val="24"/>
          <w:szCs w:val="24"/>
          <w:lang w:val="da-DK"/>
        </w:rPr>
      </w:pPr>
    </w:p>
    <w:p w14:paraId="6641FD55" w14:textId="77777777" w:rsidR="00D21C07" w:rsidRPr="00D21C07" w:rsidRDefault="00D21C07" w:rsidP="00D21C07">
      <w:pPr>
        <w:pStyle w:val="Brdtekst"/>
        <w:ind w:left="851"/>
        <w:rPr>
          <w:i w:val="0"/>
          <w:color w:val="auto"/>
          <w:sz w:val="24"/>
          <w:szCs w:val="24"/>
          <w:u w:val="single"/>
          <w:lang w:val="da-DK"/>
        </w:rPr>
      </w:pPr>
      <w:r w:rsidRPr="00D21C07">
        <w:rPr>
          <w:i w:val="0"/>
          <w:color w:val="auto"/>
          <w:sz w:val="24"/>
          <w:szCs w:val="24"/>
          <w:u w:val="single"/>
          <w:lang w:val="da-DK"/>
        </w:rPr>
        <w:t>Patienter ≥60 kg og &lt;75 år</w:t>
      </w:r>
    </w:p>
    <w:p w14:paraId="0CA09A65" w14:textId="77777777" w:rsidR="00D21C07" w:rsidRPr="00D21C07" w:rsidRDefault="00D21C07" w:rsidP="00D21C07">
      <w:pPr>
        <w:pStyle w:val="Brdtekst"/>
        <w:ind w:left="851"/>
        <w:rPr>
          <w:i w:val="0"/>
          <w:color w:val="auto"/>
          <w:sz w:val="24"/>
          <w:szCs w:val="24"/>
          <w:lang w:val="da-DK"/>
        </w:rPr>
      </w:pPr>
      <w:r w:rsidRPr="00D21C07">
        <w:rPr>
          <w:i w:val="0"/>
          <w:color w:val="auto"/>
          <w:sz w:val="24"/>
          <w:szCs w:val="24"/>
          <w:lang w:val="da-DK"/>
        </w:rPr>
        <w:t xml:space="preserve">Hos patienter ≥ 60 kg og &lt;75 år var andelen af ikke-CABG-relaterede TIMI større eller mindre blødning 3,6 % for </w:t>
      </w:r>
      <w:proofErr w:type="spellStart"/>
      <w:r w:rsidRPr="00D21C07">
        <w:rPr>
          <w:i w:val="0"/>
          <w:color w:val="auto"/>
          <w:sz w:val="24"/>
          <w:szCs w:val="24"/>
          <w:lang w:val="da-DK"/>
        </w:rPr>
        <w:t>prasugrel</w:t>
      </w:r>
      <w:proofErr w:type="spellEnd"/>
      <w:r w:rsidRPr="00D21C07">
        <w:rPr>
          <w:i w:val="0"/>
          <w:color w:val="auto"/>
          <w:sz w:val="24"/>
          <w:szCs w:val="24"/>
          <w:lang w:val="da-DK"/>
        </w:rPr>
        <w:t xml:space="preserve"> og 2,8 % for </w:t>
      </w:r>
      <w:proofErr w:type="spellStart"/>
      <w:r w:rsidRPr="00D21C07">
        <w:rPr>
          <w:i w:val="0"/>
          <w:color w:val="auto"/>
          <w:sz w:val="24"/>
          <w:szCs w:val="24"/>
          <w:lang w:val="da-DK"/>
        </w:rPr>
        <w:t>clopidogrel</w:t>
      </w:r>
      <w:proofErr w:type="spellEnd"/>
      <w:r w:rsidRPr="00D21C07">
        <w:rPr>
          <w:i w:val="0"/>
          <w:color w:val="auto"/>
          <w:sz w:val="24"/>
          <w:szCs w:val="24"/>
          <w:lang w:val="da-DK"/>
        </w:rPr>
        <w:t xml:space="preserve">. Procenterne for letal blødning var 0,2 % for </w:t>
      </w:r>
      <w:proofErr w:type="spellStart"/>
      <w:r w:rsidRPr="00D21C07">
        <w:rPr>
          <w:i w:val="0"/>
          <w:color w:val="auto"/>
          <w:sz w:val="24"/>
          <w:szCs w:val="24"/>
          <w:lang w:val="da-DK"/>
        </w:rPr>
        <w:t>prasugrel</w:t>
      </w:r>
      <w:proofErr w:type="spellEnd"/>
      <w:r w:rsidRPr="00D21C07">
        <w:rPr>
          <w:i w:val="0"/>
          <w:color w:val="auto"/>
          <w:sz w:val="24"/>
          <w:szCs w:val="24"/>
          <w:lang w:val="da-DK"/>
        </w:rPr>
        <w:t xml:space="preserve"> og 0,1 % for </w:t>
      </w:r>
      <w:proofErr w:type="spellStart"/>
      <w:r w:rsidRPr="00D21C07">
        <w:rPr>
          <w:i w:val="0"/>
          <w:color w:val="auto"/>
          <w:sz w:val="24"/>
          <w:szCs w:val="24"/>
          <w:lang w:val="da-DK"/>
        </w:rPr>
        <w:t>clopidogrel</w:t>
      </w:r>
      <w:proofErr w:type="spellEnd"/>
      <w:r w:rsidRPr="00D21C07">
        <w:rPr>
          <w:i w:val="0"/>
          <w:color w:val="auto"/>
          <w:sz w:val="24"/>
          <w:szCs w:val="24"/>
          <w:lang w:val="da-DK"/>
        </w:rPr>
        <w:t>.</w:t>
      </w:r>
    </w:p>
    <w:p w14:paraId="084FD97B" w14:textId="77777777" w:rsidR="00D21C07" w:rsidRPr="00D21C07" w:rsidRDefault="00D21C07" w:rsidP="00D21C07">
      <w:pPr>
        <w:pStyle w:val="Brdtekst"/>
        <w:ind w:left="851"/>
        <w:rPr>
          <w:i w:val="0"/>
          <w:color w:val="auto"/>
          <w:sz w:val="24"/>
          <w:szCs w:val="24"/>
          <w:lang w:val="da-DK"/>
        </w:rPr>
      </w:pPr>
    </w:p>
    <w:p w14:paraId="7A56ED6A" w14:textId="77777777" w:rsidR="00D21C07" w:rsidRPr="00D21C07" w:rsidRDefault="00D21C07" w:rsidP="00D21C07">
      <w:pPr>
        <w:pStyle w:val="Brdtekst"/>
        <w:ind w:left="851"/>
        <w:rPr>
          <w:i w:val="0"/>
          <w:color w:val="auto"/>
          <w:sz w:val="24"/>
          <w:szCs w:val="24"/>
          <w:u w:val="single"/>
          <w:lang w:val="da-DK"/>
        </w:rPr>
      </w:pPr>
      <w:r w:rsidRPr="00D21C07">
        <w:rPr>
          <w:i w:val="0"/>
          <w:color w:val="auto"/>
          <w:sz w:val="24"/>
          <w:szCs w:val="24"/>
          <w:u w:val="single"/>
          <w:lang w:val="da-DK"/>
        </w:rPr>
        <w:t>CABG-relateret blødning</w:t>
      </w:r>
    </w:p>
    <w:p w14:paraId="73DF0260" w14:textId="77777777" w:rsidR="00D21C07" w:rsidRPr="00D21C07" w:rsidRDefault="00D21C07" w:rsidP="00D21C07">
      <w:pPr>
        <w:pStyle w:val="Brdtekst"/>
        <w:ind w:left="851"/>
        <w:rPr>
          <w:i w:val="0"/>
          <w:color w:val="auto"/>
          <w:sz w:val="24"/>
          <w:szCs w:val="24"/>
          <w:lang w:val="da-DK"/>
        </w:rPr>
      </w:pPr>
      <w:r w:rsidRPr="00D21C07">
        <w:rPr>
          <w:i w:val="0"/>
          <w:color w:val="auto"/>
          <w:sz w:val="24"/>
          <w:szCs w:val="24"/>
          <w:lang w:val="da-DK"/>
        </w:rPr>
        <w:t xml:space="preserve">I det kliniske fase 3-forsøg gennemgik 437 patienter CABG i løbet af forsøget. Af disse patienter var andelen af CABG-relaterede TIMI større eller mindre blødninger 14,1 % for </w:t>
      </w:r>
      <w:proofErr w:type="spellStart"/>
      <w:r w:rsidRPr="00D21C07">
        <w:rPr>
          <w:i w:val="0"/>
          <w:color w:val="auto"/>
          <w:sz w:val="24"/>
          <w:szCs w:val="24"/>
          <w:lang w:val="da-DK"/>
        </w:rPr>
        <w:t>prasugrelgruppen</w:t>
      </w:r>
      <w:proofErr w:type="spellEnd"/>
      <w:r w:rsidRPr="00D21C07">
        <w:rPr>
          <w:i w:val="0"/>
          <w:color w:val="auto"/>
          <w:sz w:val="24"/>
          <w:szCs w:val="24"/>
          <w:lang w:val="da-DK"/>
        </w:rPr>
        <w:t xml:space="preserve"> og 4,5 % i </w:t>
      </w:r>
      <w:proofErr w:type="spellStart"/>
      <w:r w:rsidRPr="00D21C07">
        <w:rPr>
          <w:i w:val="0"/>
          <w:color w:val="auto"/>
          <w:sz w:val="24"/>
          <w:szCs w:val="24"/>
          <w:lang w:val="da-DK"/>
        </w:rPr>
        <w:t>clopidogrelgruppen</w:t>
      </w:r>
      <w:proofErr w:type="spellEnd"/>
      <w:r w:rsidRPr="00D21C07">
        <w:rPr>
          <w:i w:val="0"/>
          <w:color w:val="auto"/>
          <w:sz w:val="24"/>
          <w:szCs w:val="24"/>
          <w:lang w:val="da-DK"/>
        </w:rPr>
        <w:t xml:space="preserve">. Hos de forsøgspersoner, der blev behandlet med </w:t>
      </w:r>
      <w:proofErr w:type="spellStart"/>
      <w:r w:rsidRPr="00D21C07">
        <w:rPr>
          <w:i w:val="0"/>
          <w:color w:val="auto"/>
          <w:sz w:val="24"/>
          <w:szCs w:val="24"/>
          <w:lang w:val="da-DK"/>
        </w:rPr>
        <w:t>prasugrel</w:t>
      </w:r>
      <w:proofErr w:type="spellEnd"/>
      <w:r w:rsidRPr="00D21C07">
        <w:rPr>
          <w:i w:val="0"/>
          <w:color w:val="auto"/>
          <w:sz w:val="24"/>
          <w:szCs w:val="24"/>
          <w:lang w:val="da-DK"/>
        </w:rPr>
        <w:t xml:space="preserve">, varede den højere risiko for blødningstilfælde i op til 7 dage efter den seneste dosis af forsøgsmedicin. For de patienter, som fik deres </w:t>
      </w:r>
      <w:proofErr w:type="spellStart"/>
      <w:r w:rsidRPr="00D21C07">
        <w:rPr>
          <w:i w:val="0"/>
          <w:color w:val="auto"/>
          <w:sz w:val="24"/>
          <w:szCs w:val="24"/>
          <w:lang w:val="da-DK"/>
        </w:rPr>
        <w:t>thienopyridin</w:t>
      </w:r>
      <w:proofErr w:type="spellEnd"/>
      <w:r w:rsidRPr="00D21C07">
        <w:rPr>
          <w:i w:val="0"/>
          <w:color w:val="auto"/>
          <w:sz w:val="24"/>
          <w:szCs w:val="24"/>
          <w:lang w:val="da-DK"/>
        </w:rPr>
        <w:t xml:space="preserve"> indenfor 3 dage før CABG, var hyppighederne af TIMI større eller mindre blødninger 26,7 % (12 af 45 patienter) i </w:t>
      </w:r>
      <w:proofErr w:type="spellStart"/>
      <w:r w:rsidRPr="00D21C07">
        <w:rPr>
          <w:i w:val="0"/>
          <w:color w:val="auto"/>
          <w:sz w:val="24"/>
          <w:szCs w:val="24"/>
          <w:lang w:val="da-DK"/>
        </w:rPr>
        <w:t>prasugrelgruppen</w:t>
      </w:r>
      <w:proofErr w:type="spellEnd"/>
      <w:r w:rsidRPr="00D21C07">
        <w:rPr>
          <w:i w:val="0"/>
          <w:color w:val="auto"/>
          <w:sz w:val="24"/>
          <w:szCs w:val="24"/>
          <w:lang w:val="da-DK"/>
        </w:rPr>
        <w:t xml:space="preserve"> sammenlignet med 5,0 % (3 af 60 patienter) i </w:t>
      </w:r>
      <w:proofErr w:type="spellStart"/>
      <w:r w:rsidRPr="00D21C07">
        <w:rPr>
          <w:i w:val="0"/>
          <w:color w:val="auto"/>
          <w:sz w:val="24"/>
          <w:szCs w:val="24"/>
          <w:lang w:val="da-DK"/>
        </w:rPr>
        <w:t>clopidogrelgruppen</w:t>
      </w:r>
      <w:proofErr w:type="spellEnd"/>
      <w:r w:rsidRPr="00D21C07">
        <w:rPr>
          <w:i w:val="0"/>
          <w:color w:val="auto"/>
          <w:sz w:val="24"/>
          <w:szCs w:val="24"/>
          <w:lang w:val="da-DK"/>
        </w:rPr>
        <w:t xml:space="preserve">. For de patienter, som fik deres sidste dosis af </w:t>
      </w:r>
      <w:proofErr w:type="spellStart"/>
      <w:r w:rsidRPr="00D21C07">
        <w:rPr>
          <w:i w:val="0"/>
          <w:color w:val="auto"/>
          <w:sz w:val="24"/>
          <w:szCs w:val="24"/>
          <w:lang w:val="da-DK"/>
        </w:rPr>
        <w:t>thienopyridin</w:t>
      </w:r>
      <w:proofErr w:type="spellEnd"/>
      <w:r w:rsidRPr="00D21C07">
        <w:rPr>
          <w:i w:val="0"/>
          <w:color w:val="auto"/>
          <w:sz w:val="24"/>
          <w:szCs w:val="24"/>
          <w:lang w:val="da-DK"/>
        </w:rPr>
        <w:t xml:space="preserve"> indenfor 4 til 7 dage før CABG, faldt hyppighederne til 11,3 % (9 af 80 patienter) i </w:t>
      </w:r>
      <w:proofErr w:type="spellStart"/>
      <w:r w:rsidRPr="00D21C07">
        <w:rPr>
          <w:i w:val="0"/>
          <w:color w:val="auto"/>
          <w:sz w:val="24"/>
          <w:szCs w:val="24"/>
          <w:lang w:val="da-DK"/>
        </w:rPr>
        <w:t>prasugrelgruppen</w:t>
      </w:r>
      <w:proofErr w:type="spellEnd"/>
      <w:r w:rsidRPr="00D21C07">
        <w:rPr>
          <w:i w:val="0"/>
          <w:color w:val="auto"/>
          <w:sz w:val="24"/>
          <w:szCs w:val="24"/>
          <w:lang w:val="da-DK"/>
        </w:rPr>
        <w:t xml:space="preserve"> og 3,4 % (3 af 89 patienter) i </w:t>
      </w:r>
      <w:proofErr w:type="spellStart"/>
      <w:r w:rsidRPr="00D21C07">
        <w:rPr>
          <w:i w:val="0"/>
          <w:color w:val="auto"/>
          <w:sz w:val="24"/>
          <w:szCs w:val="24"/>
          <w:lang w:val="da-DK"/>
        </w:rPr>
        <w:t>clopidogrelgruppen</w:t>
      </w:r>
      <w:proofErr w:type="spellEnd"/>
      <w:r w:rsidRPr="00D21C07">
        <w:rPr>
          <w:i w:val="0"/>
          <w:color w:val="auto"/>
          <w:sz w:val="24"/>
          <w:szCs w:val="24"/>
          <w:lang w:val="da-DK"/>
        </w:rPr>
        <w:t xml:space="preserve">. Ved CABG senere end 7 dage efter </w:t>
      </w:r>
      <w:proofErr w:type="spellStart"/>
      <w:r w:rsidRPr="00D21C07">
        <w:rPr>
          <w:i w:val="0"/>
          <w:color w:val="auto"/>
          <w:sz w:val="24"/>
          <w:szCs w:val="24"/>
          <w:lang w:val="da-DK"/>
        </w:rPr>
        <w:t>seponering</w:t>
      </w:r>
      <w:proofErr w:type="spellEnd"/>
      <w:r w:rsidRPr="00D21C07">
        <w:rPr>
          <w:i w:val="0"/>
          <w:color w:val="auto"/>
          <w:sz w:val="24"/>
          <w:szCs w:val="24"/>
          <w:lang w:val="da-DK"/>
        </w:rPr>
        <w:t xml:space="preserve"> var de observerede hyppigheder af CABG-relateret blødning ens mellem behandlingsgrupperne (se pkt. 4.4).</w:t>
      </w:r>
    </w:p>
    <w:p w14:paraId="4D6B1B47" w14:textId="77777777" w:rsidR="00D21C07" w:rsidRPr="00D21C07" w:rsidRDefault="00D21C07" w:rsidP="00D21C07">
      <w:pPr>
        <w:pStyle w:val="Brdtekst"/>
        <w:ind w:left="851"/>
        <w:rPr>
          <w:i w:val="0"/>
          <w:color w:val="auto"/>
          <w:sz w:val="24"/>
          <w:szCs w:val="24"/>
          <w:u w:val="single"/>
          <w:lang w:val="da-DK"/>
        </w:rPr>
      </w:pPr>
    </w:p>
    <w:p w14:paraId="21025D1E" w14:textId="77777777" w:rsidR="00D21C07" w:rsidRPr="00D21C07" w:rsidRDefault="00D21C07" w:rsidP="00D21C07">
      <w:pPr>
        <w:pStyle w:val="Brdtekst"/>
        <w:ind w:left="851"/>
        <w:rPr>
          <w:i w:val="0"/>
          <w:color w:val="auto"/>
          <w:sz w:val="24"/>
          <w:szCs w:val="24"/>
          <w:u w:val="single"/>
          <w:lang w:val="da-DK"/>
        </w:rPr>
      </w:pPr>
      <w:r w:rsidRPr="00D21C07">
        <w:rPr>
          <w:i w:val="0"/>
          <w:color w:val="auto"/>
          <w:sz w:val="24"/>
          <w:szCs w:val="24"/>
          <w:u w:val="single"/>
          <w:lang w:val="da-DK"/>
        </w:rPr>
        <w:t xml:space="preserve">Blødningsrisiko forbundet med tidspunktet for </w:t>
      </w:r>
      <w:proofErr w:type="spellStart"/>
      <w:r w:rsidRPr="00D21C07">
        <w:rPr>
          <w:i w:val="0"/>
          <w:color w:val="auto"/>
          <w:sz w:val="24"/>
          <w:szCs w:val="24"/>
          <w:u w:val="single"/>
          <w:lang w:val="da-DK"/>
        </w:rPr>
        <w:t>loadingdosis</w:t>
      </w:r>
      <w:proofErr w:type="spellEnd"/>
      <w:r w:rsidRPr="00D21C07">
        <w:rPr>
          <w:i w:val="0"/>
          <w:color w:val="auto"/>
          <w:sz w:val="24"/>
          <w:szCs w:val="24"/>
          <w:u w:val="single"/>
          <w:lang w:val="da-DK"/>
        </w:rPr>
        <w:t xml:space="preserve"> for NSTEMI-patienter</w:t>
      </w:r>
    </w:p>
    <w:p w14:paraId="72BB1812" w14:textId="5CC21A38" w:rsidR="00D21C07" w:rsidRPr="00D21C07" w:rsidRDefault="00D21C07" w:rsidP="00D21C07">
      <w:pPr>
        <w:pStyle w:val="Brdtekst"/>
        <w:ind w:left="851"/>
        <w:rPr>
          <w:i w:val="0"/>
          <w:color w:val="auto"/>
          <w:sz w:val="24"/>
          <w:szCs w:val="24"/>
          <w:lang w:val="da-DK"/>
        </w:rPr>
      </w:pPr>
      <w:r w:rsidRPr="00D21C07">
        <w:rPr>
          <w:i w:val="0"/>
          <w:color w:val="auto"/>
          <w:sz w:val="24"/>
          <w:szCs w:val="24"/>
          <w:lang w:val="da-DK"/>
        </w:rPr>
        <w:t xml:space="preserve">I et klinisk studie med NSTEMI-patienter (ACCOAST-studiet), hvor </w:t>
      </w:r>
      <w:proofErr w:type="spellStart"/>
      <w:r w:rsidRPr="00D21C07">
        <w:rPr>
          <w:i w:val="0"/>
          <w:color w:val="auto"/>
          <w:sz w:val="24"/>
          <w:szCs w:val="24"/>
          <w:lang w:val="da-DK"/>
        </w:rPr>
        <w:t>koronarangiografi</w:t>
      </w:r>
      <w:proofErr w:type="spellEnd"/>
      <w:r w:rsidRPr="00D21C07">
        <w:rPr>
          <w:i w:val="0"/>
          <w:color w:val="auto"/>
          <w:sz w:val="24"/>
          <w:szCs w:val="24"/>
          <w:lang w:val="da-DK"/>
        </w:rPr>
        <w:t xml:space="preserve"> var planlagt udført indenfor 2 til 48 timer efter </w:t>
      </w:r>
      <w:proofErr w:type="spellStart"/>
      <w:r w:rsidRPr="00D21C07">
        <w:rPr>
          <w:i w:val="0"/>
          <w:color w:val="auto"/>
          <w:sz w:val="24"/>
          <w:szCs w:val="24"/>
          <w:lang w:val="da-DK"/>
        </w:rPr>
        <w:t>randomisering</w:t>
      </w:r>
      <w:proofErr w:type="spellEnd"/>
      <w:r w:rsidRPr="00D21C07">
        <w:rPr>
          <w:i w:val="0"/>
          <w:color w:val="auto"/>
          <w:sz w:val="24"/>
          <w:szCs w:val="24"/>
          <w:lang w:val="da-DK"/>
        </w:rPr>
        <w:t xml:space="preserve">, havde de patienter, som fik en 30 mg </w:t>
      </w:r>
      <w:proofErr w:type="spellStart"/>
      <w:r w:rsidRPr="00D21C07">
        <w:rPr>
          <w:i w:val="0"/>
          <w:color w:val="auto"/>
          <w:sz w:val="24"/>
          <w:szCs w:val="24"/>
          <w:lang w:val="da-DK"/>
        </w:rPr>
        <w:t>loadingdosis</w:t>
      </w:r>
      <w:proofErr w:type="spellEnd"/>
      <w:r w:rsidRPr="00D21C07">
        <w:rPr>
          <w:i w:val="0"/>
          <w:color w:val="auto"/>
          <w:sz w:val="24"/>
          <w:szCs w:val="24"/>
          <w:lang w:val="da-DK"/>
        </w:rPr>
        <w:t xml:space="preserve"> gennemsnitlig 4 timer før </w:t>
      </w:r>
      <w:proofErr w:type="spellStart"/>
      <w:r w:rsidRPr="00D21C07">
        <w:rPr>
          <w:i w:val="0"/>
          <w:color w:val="auto"/>
          <w:sz w:val="24"/>
          <w:szCs w:val="24"/>
          <w:lang w:val="da-DK"/>
        </w:rPr>
        <w:t>koronarangiografi</w:t>
      </w:r>
      <w:proofErr w:type="spellEnd"/>
      <w:r w:rsidRPr="00D21C07">
        <w:rPr>
          <w:i w:val="0"/>
          <w:color w:val="auto"/>
          <w:sz w:val="24"/>
          <w:szCs w:val="24"/>
          <w:lang w:val="da-DK"/>
        </w:rPr>
        <w:t xml:space="preserve"> efterfulgt af en 30 mg </w:t>
      </w:r>
      <w:proofErr w:type="spellStart"/>
      <w:r w:rsidRPr="00D21C07">
        <w:rPr>
          <w:i w:val="0"/>
          <w:color w:val="auto"/>
          <w:sz w:val="24"/>
          <w:szCs w:val="24"/>
          <w:lang w:val="da-DK"/>
        </w:rPr>
        <w:t>loadingdosis</w:t>
      </w:r>
      <w:proofErr w:type="spellEnd"/>
      <w:r w:rsidRPr="00D21C07">
        <w:rPr>
          <w:i w:val="0"/>
          <w:color w:val="auto"/>
          <w:sz w:val="24"/>
          <w:szCs w:val="24"/>
          <w:lang w:val="da-DK"/>
        </w:rPr>
        <w:t xml:space="preserve"> på tidspunktet for PCI, en øget risiko for ikke-CABG blødning i forbindelse med indgrebet og ingen yderligere fordele sammenlignet med de patienter, som fik en 60</w:t>
      </w:r>
      <w:r w:rsidR="00E11E3E">
        <w:rPr>
          <w:i w:val="0"/>
          <w:color w:val="auto"/>
          <w:sz w:val="24"/>
          <w:szCs w:val="24"/>
          <w:lang w:val="da-DK"/>
        </w:rPr>
        <w:t> </w:t>
      </w:r>
      <w:r w:rsidRPr="00D21C07">
        <w:rPr>
          <w:i w:val="0"/>
          <w:color w:val="auto"/>
          <w:sz w:val="24"/>
          <w:szCs w:val="24"/>
          <w:lang w:val="da-DK"/>
        </w:rPr>
        <w:t xml:space="preserve">mg </w:t>
      </w:r>
      <w:proofErr w:type="spellStart"/>
      <w:r w:rsidRPr="00D21C07">
        <w:rPr>
          <w:i w:val="0"/>
          <w:color w:val="auto"/>
          <w:sz w:val="24"/>
          <w:szCs w:val="24"/>
          <w:lang w:val="da-DK"/>
        </w:rPr>
        <w:t>loadingdosis</w:t>
      </w:r>
      <w:proofErr w:type="spellEnd"/>
      <w:r w:rsidRPr="00D21C07">
        <w:rPr>
          <w:i w:val="0"/>
          <w:color w:val="auto"/>
          <w:sz w:val="24"/>
          <w:szCs w:val="24"/>
          <w:lang w:val="da-DK"/>
        </w:rPr>
        <w:t xml:space="preserve"> på tidspunktet for PCI (se pkt. 4.2 og pkt. 4.4).</w:t>
      </w:r>
    </w:p>
    <w:p w14:paraId="0E975205" w14:textId="77777777" w:rsidR="00D21C07" w:rsidRPr="00D21C07" w:rsidRDefault="00D21C07" w:rsidP="00D21C07">
      <w:pPr>
        <w:pStyle w:val="Brdtekst"/>
        <w:ind w:left="851"/>
        <w:rPr>
          <w:i w:val="0"/>
          <w:color w:val="auto"/>
          <w:sz w:val="24"/>
          <w:szCs w:val="24"/>
          <w:lang w:val="da-DK"/>
        </w:rPr>
      </w:pPr>
      <w:r w:rsidRPr="00D21C07">
        <w:rPr>
          <w:i w:val="0"/>
          <w:color w:val="auto"/>
          <w:sz w:val="24"/>
          <w:szCs w:val="24"/>
          <w:lang w:val="da-DK"/>
        </w:rPr>
        <w:t>Hyppighederne for ikke-CABG-relateret TIMI-blødning indenfor 7 dage var følgende:</w:t>
      </w:r>
    </w:p>
    <w:p w14:paraId="5E323772" w14:textId="77777777" w:rsidR="00D21C07" w:rsidRDefault="00D21C07" w:rsidP="00D21C07">
      <w:pPr>
        <w:pStyle w:val="Brdtekst"/>
        <w:rPr>
          <w:i w:val="0"/>
          <w:color w:val="auto"/>
          <w:szCs w:val="22"/>
          <w:lang w:val="da-DK"/>
        </w:rPr>
      </w:pPr>
    </w:p>
    <w:tbl>
      <w:tblPr>
        <w:tblW w:w="5000" w:type="pct"/>
        <w:tblCellMar>
          <w:left w:w="10" w:type="dxa"/>
          <w:right w:w="10" w:type="dxa"/>
        </w:tblCellMar>
        <w:tblLook w:val="01E0" w:firstRow="1" w:lastRow="1" w:firstColumn="1" w:lastColumn="1" w:noHBand="0" w:noVBand="0"/>
      </w:tblPr>
      <w:tblGrid>
        <w:gridCol w:w="3631"/>
        <w:gridCol w:w="3007"/>
        <w:gridCol w:w="2980"/>
      </w:tblGrid>
      <w:tr w:rsidR="00D21C07" w14:paraId="1BB9248E" w14:textId="77777777" w:rsidTr="00C52F9A">
        <w:trPr>
          <w:trHeight w:val="534"/>
        </w:trPr>
        <w:tc>
          <w:tcPr>
            <w:tcW w:w="1888"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47860201" w14:textId="77777777" w:rsidR="00D21C07" w:rsidRDefault="00D21C07" w:rsidP="00E11E3E">
            <w:pPr>
              <w:pStyle w:val="TableParagraph"/>
              <w:ind w:right="86"/>
              <w:jc w:val="center"/>
            </w:pPr>
            <w:r>
              <w:rPr>
                <w:lang w:val="da-DK"/>
              </w:rPr>
              <w:t>Bivirkning</w:t>
            </w:r>
          </w:p>
        </w:tc>
        <w:tc>
          <w:tcPr>
            <w:tcW w:w="156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7B07C849" w14:textId="77777777" w:rsidR="00D21C07" w:rsidRDefault="00D21C07" w:rsidP="00E11E3E">
            <w:pPr>
              <w:pStyle w:val="TableParagraph"/>
              <w:ind w:left="235" w:right="86"/>
              <w:jc w:val="center"/>
            </w:pPr>
            <w:proofErr w:type="spellStart"/>
            <w:r>
              <w:rPr>
                <w:lang w:val="da-DK"/>
              </w:rPr>
              <w:t>Prasugrel</w:t>
            </w:r>
            <w:proofErr w:type="spellEnd"/>
            <w:r>
              <w:rPr>
                <w:lang w:val="da-DK"/>
              </w:rPr>
              <w:t xml:space="preserve"> før </w:t>
            </w:r>
            <w:proofErr w:type="spellStart"/>
            <w:r>
              <w:rPr>
                <w:lang w:val="da-DK"/>
              </w:rPr>
              <w:t>koronarangiografi</w:t>
            </w:r>
            <w:proofErr w:type="spellEnd"/>
            <w:r>
              <w:rPr>
                <w:lang w:val="da-DK"/>
              </w:rPr>
              <w:t xml:space="preserve"> (N=2037) %</w:t>
            </w:r>
          </w:p>
        </w:tc>
        <w:tc>
          <w:tcPr>
            <w:tcW w:w="154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749B963F" w14:textId="77777777" w:rsidR="00D21C07" w:rsidRDefault="00D21C07" w:rsidP="00E11E3E">
            <w:pPr>
              <w:pStyle w:val="TableParagraph"/>
              <w:ind w:left="0" w:right="86" w:hanging="164"/>
              <w:jc w:val="center"/>
              <w:rPr>
                <w:lang w:val="da-DK"/>
              </w:rPr>
            </w:pPr>
            <w:proofErr w:type="spellStart"/>
            <w:r>
              <w:rPr>
                <w:lang w:val="da-DK"/>
              </w:rPr>
              <w:t>Prasugrel</w:t>
            </w:r>
            <w:proofErr w:type="spellEnd"/>
            <w:r>
              <w:rPr>
                <w:lang w:val="da-DK"/>
              </w:rPr>
              <w:t xml:space="preserve"> på tidspunktet</w:t>
            </w:r>
          </w:p>
          <w:p w14:paraId="0FDFE74D" w14:textId="77777777" w:rsidR="00D21C07" w:rsidRDefault="00D21C07" w:rsidP="00E11E3E">
            <w:pPr>
              <w:pStyle w:val="TableParagraph"/>
              <w:ind w:left="0" w:right="86" w:hanging="164"/>
              <w:jc w:val="center"/>
              <w:rPr>
                <w:lang w:val="da-DK"/>
              </w:rPr>
            </w:pPr>
            <w:r>
              <w:rPr>
                <w:lang w:val="da-DK"/>
              </w:rPr>
              <w:t xml:space="preserve">for </w:t>
            </w:r>
            <w:proofErr w:type="spellStart"/>
            <w:r>
              <w:rPr>
                <w:lang w:val="da-DK"/>
              </w:rPr>
              <w:t>PCI</w:t>
            </w:r>
            <w:r>
              <w:rPr>
                <w:vertAlign w:val="superscript"/>
                <w:lang w:val="da-DK"/>
              </w:rPr>
              <w:t>a</w:t>
            </w:r>
            <w:proofErr w:type="spellEnd"/>
            <w:r>
              <w:rPr>
                <w:lang w:val="da-DK"/>
              </w:rPr>
              <w:t xml:space="preserve"> (N=1996) %</w:t>
            </w:r>
          </w:p>
        </w:tc>
      </w:tr>
      <w:tr w:rsidR="00D21C07" w14:paraId="78F8DA65" w14:textId="77777777" w:rsidTr="00C52F9A">
        <w:trPr>
          <w:trHeight w:val="282"/>
        </w:trPr>
        <w:tc>
          <w:tcPr>
            <w:tcW w:w="1888" w:type="pct"/>
            <w:tcBorders>
              <w:top w:val="single" w:sz="8" w:space="0" w:color="000000"/>
              <w:left w:val="single" w:sz="8" w:space="0" w:color="000000"/>
              <w:bottom w:val="single" w:sz="8" w:space="0" w:color="000000"/>
              <w:right w:val="single" w:sz="8" w:space="0" w:color="000000"/>
            </w:tcBorders>
            <w:hideMark/>
          </w:tcPr>
          <w:p w14:paraId="28BC1C2D" w14:textId="77777777" w:rsidR="00D21C07" w:rsidRDefault="00D21C07" w:rsidP="00E11E3E">
            <w:pPr>
              <w:pStyle w:val="TableParagraph"/>
              <w:ind w:right="86"/>
            </w:pPr>
            <w:r>
              <w:rPr>
                <w:lang w:val="da-DK"/>
              </w:rPr>
              <w:t xml:space="preserve">TIMI større </w:t>
            </w:r>
            <w:proofErr w:type="spellStart"/>
            <w:r>
              <w:rPr>
                <w:lang w:val="da-DK"/>
              </w:rPr>
              <w:t>blødning</w:t>
            </w:r>
            <w:r>
              <w:rPr>
                <w:vertAlign w:val="superscript"/>
                <w:lang w:val="da-DK"/>
              </w:rPr>
              <w:t>b</w:t>
            </w:r>
            <w:proofErr w:type="spellEnd"/>
          </w:p>
        </w:tc>
        <w:tc>
          <w:tcPr>
            <w:tcW w:w="1563" w:type="pct"/>
            <w:tcBorders>
              <w:top w:val="single" w:sz="8" w:space="0" w:color="000000"/>
              <w:left w:val="single" w:sz="8" w:space="0" w:color="000000"/>
              <w:bottom w:val="single" w:sz="8" w:space="0" w:color="000000"/>
              <w:right w:val="single" w:sz="8" w:space="0" w:color="000000"/>
            </w:tcBorders>
            <w:hideMark/>
          </w:tcPr>
          <w:p w14:paraId="5391B3DA" w14:textId="77777777" w:rsidR="00D21C07" w:rsidRDefault="00D21C07" w:rsidP="00E11E3E">
            <w:pPr>
              <w:pStyle w:val="TableParagraph"/>
              <w:ind w:left="1040" w:right="86" w:hanging="1068"/>
              <w:jc w:val="center"/>
            </w:pPr>
            <w:r>
              <w:rPr>
                <w:lang w:val="da-DK"/>
              </w:rPr>
              <w:t>1,3</w:t>
            </w:r>
          </w:p>
        </w:tc>
        <w:tc>
          <w:tcPr>
            <w:tcW w:w="1549" w:type="pct"/>
            <w:tcBorders>
              <w:top w:val="single" w:sz="8" w:space="0" w:color="000000"/>
              <w:left w:val="single" w:sz="8" w:space="0" w:color="000000"/>
              <w:bottom w:val="single" w:sz="8" w:space="0" w:color="000000"/>
              <w:right w:val="single" w:sz="8" w:space="0" w:color="000000"/>
            </w:tcBorders>
            <w:hideMark/>
          </w:tcPr>
          <w:p w14:paraId="17AD934E" w14:textId="77777777" w:rsidR="00D21C07" w:rsidRDefault="00D21C07" w:rsidP="00E11E3E">
            <w:pPr>
              <w:pStyle w:val="TableParagraph"/>
              <w:ind w:left="1254" w:right="86" w:hanging="1277"/>
              <w:jc w:val="center"/>
            </w:pPr>
            <w:r>
              <w:rPr>
                <w:lang w:val="da-DK"/>
              </w:rPr>
              <w:t>0,5</w:t>
            </w:r>
          </w:p>
        </w:tc>
      </w:tr>
      <w:tr w:rsidR="00D21C07" w14:paraId="7E4A42FC" w14:textId="77777777" w:rsidTr="00C52F9A">
        <w:trPr>
          <w:trHeight w:val="280"/>
        </w:trPr>
        <w:tc>
          <w:tcPr>
            <w:tcW w:w="1888" w:type="pct"/>
            <w:tcBorders>
              <w:top w:val="single" w:sz="8" w:space="0" w:color="000000"/>
              <w:left w:val="single" w:sz="8" w:space="0" w:color="000000"/>
              <w:bottom w:val="single" w:sz="8" w:space="0" w:color="000000"/>
              <w:right w:val="single" w:sz="8" w:space="0" w:color="000000"/>
            </w:tcBorders>
            <w:hideMark/>
          </w:tcPr>
          <w:p w14:paraId="7DDF4455" w14:textId="77777777" w:rsidR="00D21C07" w:rsidRDefault="00D21C07" w:rsidP="00E11E3E">
            <w:pPr>
              <w:pStyle w:val="TableParagraph"/>
              <w:ind w:right="86"/>
            </w:pPr>
            <w:proofErr w:type="spellStart"/>
            <w:r>
              <w:rPr>
                <w:lang w:val="da-DK"/>
              </w:rPr>
              <w:t>Livstruende</w:t>
            </w:r>
            <w:r>
              <w:rPr>
                <w:vertAlign w:val="superscript"/>
                <w:lang w:val="da-DK"/>
              </w:rPr>
              <w:t>c</w:t>
            </w:r>
            <w:proofErr w:type="spellEnd"/>
          </w:p>
        </w:tc>
        <w:tc>
          <w:tcPr>
            <w:tcW w:w="1563" w:type="pct"/>
            <w:tcBorders>
              <w:top w:val="single" w:sz="8" w:space="0" w:color="000000"/>
              <w:left w:val="single" w:sz="8" w:space="0" w:color="000000"/>
              <w:bottom w:val="single" w:sz="8" w:space="0" w:color="000000"/>
              <w:right w:val="single" w:sz="8" w:space="0" w:color="000000"/>
            </w:tcBorders>
            <w:hideMark/>
          </w:tcPr>
          <w:p w14:paraId="794D6397" w14:textId="77777777" w:rsidR="00D21C07" w:rsidRDefault="00D21C07" w:rsidP="00E11E3E">
            <w:pPr>
              <w:pStyle w:val="TableParagraph"/>
              <w:ind w:left="1040" w:right="86" w:hanging="1068"/>
              <w:jc w:val="center"/>
            </w:pPr>
            <w:r>
              <w:rPr>
                <w:lang w:val="da-DK"/>
              </w:rPr>
              <w:t>0,8</w:t>
            </w:r>
          </w:p>
        </w:tc>
        <w:tc>
          <w:tcPr>
            <w:tcW w:w="1549" w:type="pct"/>
            <w:tcBorders>
              <w:top w:val="single" w:sz="8" w:space="0" w:color="000000"/>
              <w:left w:val="single" w:sz="8" w:space="0" w:color="000000"/>
              <w:bottom w:val="single" w:sz="8" w:space="0" w:color="000000"/>
              <w:right w:val="single" w:sz="8" w:space="0" w:color="000000"/>
            </w:tcBorders>
            <w:hideMark/>
          </w:tcPr>
          <w:p w14:paraId="28F29BA8" w14:textId="77777777" w:rsidR="00D21C07" w:rsidRDefault="00D21C07" w:rsidP="00E11E3E">
            <w:pPr>
              <w:pStyle w:val="TableParagraph"/>
              <w:ind w:left="1254" w:right="86" w:hanging="1277"/>
              <w:jc w:val="center"/>
            </w:pPr>
            <w:r>
              <w:rPr>
                <w:lang w:val="da-DK"/>
              </w:rPr>
              <w:t>0,2</w:t>
            </w:r>
          </w:p>
        </w:tc>
      </w:tr>
      <w:tr w:rsidR="00D21C07" w14:paraId="0D2A0C8F" w14:textId="77777777" w:rsidTr="00C52F9A">
        <w:trPr>
          <w:trHeight w:val="280"/>
        </w:trPr>
        <w:tc>
          <w:tcPr>
            <w:tcW w:w="1888" w:type="pct"/>
            <w:tcBorders>
              <w:top w:val="single" w:sz="8" w:space="0" w:color="000000"/>
              <w:left w:val="single" w:sz="8" w:space="0" w:color="000000"/>
              <w:bottom w:val="single" w:sz="8" w:space="0" w:color="000000"/>
              <w:right w:val="single" w:sz="8" w:space="0" w:color="000000"/>
            </w:tcBorders>
            <w:hideMark/>
          </w:tcPr>
          <w:p w14:paraId="01F8BE47" w14:textId="77777777" w:rsidR="00D21C07" w:rsidRDefault="00D21C07" w:rsidP="00E11E3E">
            <w:pPr>
              <w:pStyle w:val="TableParagraph"/>
              <w:ind w:right="86"/>
            </w:pPr>
            <w:r>
              <w:rPr>
                <w:lang w:val="da-DK"/>
              </w:rPr>
              <w:t>Letal</w:t>
            </w:r>
          </w:p>
        </w:tc>
        <w:tc>
          <w:tcPr>
            <w:tcW w:w="1563" w:type="pct"/>
            <w:tcBorders>
              <w:top w:val="single" w:sz="8" w:space="0" w:color="000000"/>
              <w:left w:val="single" w:sz="8" w:space="0" w:color="000000"/>
              <w:bottom w:val="single" w:sz="8" w:space="0" w:color="000000"/>
              <w:right w:val="single" w:sz="8" w:space="0" w:color="000000"/>
            </w:tcBorders>
            <w:hideMark/>
          </w:tcPr>
          <w:p w14:paraId="3EA85FAB" w14:textId="77777777" w:rsidR="00D21C07" w:rsidRDefault="00D21C07" w:rsidP="00E11E3E">
            <w:pPr>
              <w:pStyle w:val="TableParagraph"/>
              <w:ind w:left="1040" w:right="86" w:hanging="1068"/>
              <w:jc w:val="center"/>
            </w:pPr>
            <w:r>
              <w:rPr>
                <w:lang w:val="da-DK"/>
              </w:rPr>
              <w:t>0,1</w:t>
            </w:r>
          </w:p>
        </w:tc>
        <w:tc>
          <w:tcPr>
            <w:tcW w:w="1549" w:type="pct"/>
            <w:tcBorders>
              <w:top w:val="single" w:sz="8" w:space="0" w:color="000000"/>
              <w:left w:val="single" w:sz="8" w:space="0" w:color="000000"/>
              <w:bottom w:val="single" w:sz="8" w:space="0" w:color="000000"/>
              <w:right w:val="single" w:sz="8" w:space="0" w:color="000000"/>
            </w:tcBorders>
            <w:hideMark/>
          </w:tcPr>
          <w:p w14:paraId="5C6AED9A" w14:textId="77777777" w:rsidR="00D21C07" w:rsidRDefault="00D21C07" w:rsidP="00E11E3E">
            <w:pPr>
              <w:pStyle w:val="TableParagraph"/>
              <w:ind w:left="1254" w:right="86" w:hanging="1277"/>
              <w:jc w:val="center"/>
            </w:pPr>
            <w:r>
              <w:rPr>
                <w:lang w:val="da-DK"/>
              </w:rPr>
              <w:t>0,0</w:t>
            </w:r>
          </w:p>
        </w:tc>
      </w:tr>
      <w:tr w:rsidR="00D21C07" w14:paraId="5C5F7F35" w14:textId="77777777" w:rsidTr="00C52F9A">
        <w:trPr>
          <w:trHeight w:val="282"/>
        </w:trPr>
        <w:tc>
          <w:tcPr>
            <w:tcW w:w="1888" w:type="pct"/>
            <w:tcBorders>
              <w:top w:val="single" w:sz="8" w:space="0" w:color="000000"/>
              <w:left w:val="single" w:sz="8" w:space="0" w:color="000000"/>
              <w:bottom w:val="single" w:sz="8" w:space="0" w:color="000000"/>
              <w:right w:val="single" w:sz="8" w:space="0" w:color="000000"/>
            </w:tcBorders>
            <w:hideMark/>
          </w:tcPr>
          <w:p w14:paraId="213074BC" w14:textId="77777777" w:rsidR="00D21C07" w:rsidRDefault="00D21C07" w:rsidP="00E11E3E">
            <w:pPr>
              <w:pStyle w:val="TableParagraph"/>
              <w:ind w:right="86"/>
            </w:pPr>
            <w:r>
              <w:rPr>
                <w:lang w:val="da-DK"/>
              </w:rPr>
              <w:t xml:space="preserve">Symptomatisk </w:t>
            </w:r>
            <w:proofErr w:type="spellStart"/>
            <w:r>
              <w:rPr>
                <w:lang w:val="da-DK"/>
              </w:rPr>
              <w:t>ICH</w:t>
            </w:r>
            <w:r>
              <w:rPr>
                <w:vertAlign w:val="superscript"/>
                <w:lang w:val="da-DK"/>
              </w:rPr>
              <w:t>d</w:t>
            </w:r>
            <w:proofErr w:type="spellEnd"/>
          </w:p>
        </w:tc>
        <w:tc>
          <w:tcPr>
            <w:tcW w:w="1563" w:type="pct"/>
            <w:tcBorders>
              <w:top w:val="single" w:sz="8" w:space="0" w:color="000000"/>
              <w:left w:val="single" w:sz="8" w:space="0" w:color="000000"/>
              <w:bottom w:val="single" w:sz="8" w:space="0" w:color="000000"/>
              <w:right w:val="single" w:sz="8" w:space="0" w:color="000000"/>
            </w:tcBorders>
            <w:hideMark/>
          </w:tcPr>
          <w:p w14:paraId="5AFB1F45" w14:textId="77777777" w:rsidR="00D21C07" w:rsidRDefault="00D21C07" w:rsidP="00E11E3E">
            <w:pPr>
              <w:pStyle w:val="TableParagraph"/>
              <w:ind w:left="1040" w:right="86" w:hanging="1068"/>
              <w:jc w:val="center"/>
            </w:pPr>
            <w:r>
              <w:rPr>
                <w:lang w:val="da-DK"/>
              </w:rPr>
              <w:t>0,0</w:t>
            </w:r>
          </w:p>
        </w:tc>
        <w:tc>
          <w:tcPr>
            <w:tcW w:w="1549" w:type="pct"/>
            <w:tcBorders>
              <w:top w:val="single" w:sz="8" w:space="0" w:color="000000"/>
              <w:left w:val="single" w:sz="8" w:space="0" w:color="000000"/>
              <w:bottom w:val="single" w:sz="8" w:space="0" w:color="000000"/>
              <w:right w:val="single" w:sz="8" w:space="0" w:color="000000"/>
            </w:tcBorders>
            <w:hideMark/>
          </w:tcPr>
          <w:p w14:paraId="6EEB8523" w14:textId="77777777" w:rsidR="00D21C07" w:rsidRDefault="00D21C07" w:rsidP="00E11E3E">
            <w:pPr>
              <w:pStyle w:val="TableParagraph"/>
              <w:ind w:left="1254" w:right="86" w:hanging="1277"/>
              <w:jc w:val="center"/>
            </w:pPr>
            <w:r>
              <w:rPr>
                <w:lang w:val="da-DK"/>
              </w:rPr>
              <w:t>0,0</w:t>
            </w:r>
          </w:p>
        </w:tc>
      </w:tr>
      <w:tr w:rsidR="00D21C07" w14:paraId="3204BF45" w14:textId="77777777" w:rsidTr="00C52F9A">
        <w:trPr>
          <w:trHeight w:val="280"/>
        </w:trPr>
        <w:tc>
          <w:tcPr>
            <w:tcW w:w="1888" w:type="pct"/>
            <w:tcBorders>
              <w:top w:val="single" w:sz="8" w:space="0" w:color="000000"/>
              <w:left w:val="single" w:sz="8" w:space="0" w:color="000000"/>
              <w:bottom w:val="single" w:sz="8" w:space="0" w:color="000000"/>
              <w:right w:val="single" w:sz="8" w:space="0" w:color="000000"/>
            </w:tcBorders>
            <w:hideMark/>
          </w:tcPr>
          <w:p w14:paraId="569FF8E2" w14:textId="77777777" w:rsidR="00D21C07" w:rsidRDefault="00D21C07" w:rsidP="00E11E3E">
            <w:pPr>
              <w:pStyle w:val="TableParagraph"/>
              <w:ind w:right="86"/>
            </w:pPr>
            <w:r>
              <w:rPr>
                <w:lang w:val="da-DK"/>
              </w:rPr>
              <w:t>Behov for inotroper</w:t>
            </w:r>
          </w:p>
        </w:tc>
        <w:tc>
          <w:tcPr>
            <w:tcW w:w="1563" w:type="pct"/>
            <w:tcBorders>
              <w:top w:val="single" w:sz="8" w:space="0" w:color="000000"/>
              <w:left w:val="single" w:sz="8" w:space="0" w:color="000000"/>
              <w:bottom w:val="single" w:sz="8" w:space="0" w:color="000000"/>
              <w:right w:val="single" w:sz="8" w:space="0" w:color="000000"/>
            </w:tcBorders>
            <w:hideMark/>
          </w:tcPr>
          <w:p w14:paraId="521BCDC4" w14:textId="77777777" w:rsidR="00D21C07" w:rsidRDefault="00D21C07" w:rsidP="00E11E3E">
            <w:pPr>
              <w:pStyle w:val="TableParagraph"/>
              <w:ind w:left="1040" w:right="86" w:hanging="1068"/>
              <w:jc w:val="center"/>
            </w:pPr>
            <w:r>
              <w:rPr>
                <w:lang w:val="da-DK"/>
              </w:rPr>
              <w:t>0,3</w:t>
            </w:r>
          </w:p>
        </w:tc>
        <w:tc>
          <w:tcPr>
            <w:tcW w:w="1549" w:type="pct"/>
            <w:tcBorders>
              <w:top w:val="single" w:sz="8" w:space="0" w:color="000000"/>
              <w:left w:val="single" w:sz="8" w:space="0" w:color="000000"/>
              <w:bottom w:val="single" w:sz="8" w:space="0" w:color="000000"/>
              <w:right w:val="single" w:sz="8" w:space="0" w:color="000000"/>
            </w:tcBorders>
            <w:hideMark/>
          </w:tcPr>
          <w:p w14:paraId="0FB1C5FA" w14:textId="77777777" w:rsidR="00D21C07" w:rsidRDefault="00D21C07" w:rsidP="00E11E3E">
            <w:pPr>
              <w:pStyle w:val="TableParagraph"/>
              <w:ind w:left="1254" w:right="86" w:hanging="1277"/>
              <w:jc w:val="center"/>
            </w:pPr>
            <w:r>
              <w:rPr>
                <w:lang w:val="da-DK"/>
              </w:rPr>
              <w:t>0,2</w:t>
            </w:r>
          </w:p>
        </w:tc>
      </w:tr>
      <w:tr w:rsidR="00D21C07" w14:paraId="6C5F220A" w14:textId="77777777" w:rsidTr="00C52F9A">
        <w:trPr>
          <w:trHeight w:val="282"/>
        </w:trPr>
        <w:tc>
          <w:tcPr>
            <w:tcW w:w="1888" w:type="pct"/>
            <w:tcBorders>
              <w:top w:val="single" w:sz="8" w:space="0" w:color="000000"/>
              <w:left w:val="single" w:sz="8" w:space="0" w:color="000000"/>
              <w:bottom w:val="single" w:sz="8" w:space="0" w:color="000000"/>
              <w:right w:val="single" w:sz="8" w:space="0" w:color="000000"/>
            </w:tcBorders>
            <w:hideMark/>
          </w:tcPr>
          <w:p w14:paraId="7B2A7D6C" w14:textId="77777777" w:rsidR="00D21C07" w:rsidRDefault="00D21C07" w:rsidP="00E11E3E">
            <w:pPr>
              <w:pStyle w:val="TableParagraph"/>
              <w:ind w:right="86"/>
            </w:pPr>
            <w:r>
              <w:rPr>
                <w:lang w:val="da-DK"/>
              </w:rPr>
              <w:t>Behov for kirurgisk indgreb</w:t>
            </w:r>
          </w:p>
        </w:tc>
        <w:tc>
          <w:tcPr>
            <w:tcW w:w="1563" w:type="pct"/>
            <w:tcBorders>
              <w:top w:val="single" w:sz="8" w:space="0" w:color="000000"/>
              <w:left w:val="single" w:sz="8" w:space="0" w:color="000000"/>
              <w:bottom w:val="single" w:sz="8" w:space="0" w:color="000000"/>
              <w:right w:val="single" w:sz="8" w:space="0" w:color="000000"/>
            </w:tcBorders>
            <w:hideMark/>
          </w:tcPr>
          <w:p w14:paraId="281AA3C1" w14:textId="77777777" w:rsidR="00D21C07" w:rsidRDefault="00D21C07" w:rsidP="00E11E3E">
            <w:pPr>
              <w:pStyle w:val="TableParagraph"/>
              <w:ind w:left="1040" w:right="86" w:hanging="1068"/>
              <w:jc w:val="center"/>
            </w:pPr>
            <w:r>
              <w:rPr>
                <w:lang w:val="da-DK"/>
              </w:rPr>
              <w:t>0,4</w:t>
            </w:r>
          </w:p>
        </w:tc>
        <w:tc>
          <w:tcPr>
            <w:tcW w:w="1549" w:type="pct"/>
            <w:tcBorders>
              <w:top w:val="single" w:sz="8" w:space="0" w:color="000000"/>
              <w:left w:val="single" w:sz="8" w:space="0" w:color="000000"/>
              <w:bottom w:val="single" w:sz="8" w:space="0" w:color="000000"/>
              <w:right w:val="single" w:sz="8" w:space="0" w:color="000000"/>
            </w:tcBorders>
            <w:hideMark/>
          </w:tcPr>
          <w:p w14:paraId="2108DEFC" w14:textId="77777777" w:rsidR="00D21C07" w:rsidRDefault="00D21C07" w:rsidP="00E11E3E">
            <w:pPr>
              <w:pStyle w:val="TableParagraph"/>
              <w:ind w:left="1254" w:right="86" w:hanging="1277"/>
              <w:jc w:val="center"/>
            </w:pPr>
            <w:r>
              <w:rPr>
                <w:lang w:val="da-DK"/>
              </w:rPr>
              <w:t>0,1</w:t>
            </w:r>
          </w:p>
        </w:tc>
      </w:tr>
      <w:tr w:rsidR="00D21C07" w14:paraId="3CC73236" w14:textId="77777777" w:rsidTr="00C52F9A">
        <w:trPr>
          <w:trHeight w:val="280"/>
        </w:trPr>
        <w:tc>
          <w:tcPr>
            <w:tcW w:w="1888" w:type="pct"/>
            <w:tcBorders>
              <w:top w:val="single" w:sz="8" w:space="0" w:color="000000"/>
              <w:left w:val="single" w:sz="8" w:space="0" w:color="000000"/>
              <w:bottom w:val="single" w:sz="8" w:space="0" w:color="000000"/>
              <w:right w:val="single" w:sz="8" w:space="0" w:color="000000"/>
            </w:tcBorders>
            <w:hideMark/>
          </w:tcPr>
          <w:p w14:paraId="18A9D830" w14:textId="77777777" w:rsidR="00D21C07" w:rsidRDefault="00D21C07" w:rsidP="00E11E3E">
            <w:pPr>
              <w:pStyle w:val="TableParagraph"/>
              <w:ind w:right="86"/>
            </w:pPr>
            <w:r>
              <w:rPr>
                <w:lang w:val="da-DK"/>
              </w:rPr>
              <w:t>Transfusion (≥ 4 enheder) påkrævet</w:t>
            </w:r>
          </w:p>
        </w:tc>
        <w:tc>
          <w:tcPr>
            <w:tcW w:w="1563" w:type="pct"/>
            <w:tcBorders>
              <w:top w:val="single" w:sz="8" w:space="0" w:color="000000"/>
              <w:left w:val="single" w:sz="8" w:space="0" w:color="000000"/>
              <w:bottom w:val="single" w:sz="8" w:space="0" w:color="000000"/>
              <w:right w:val="single" w:sz="8" w:space="0" w:color="000000"/>
            </w:tcBorders>
            <w:hideMark/>
          </w:tcPr>
          <w:p w14:paraId="46D77B56" w14:textId="77777777" w:rsidR="00D21C07" w:rsidRDefault="00D21C07" w:rsidP="00E11E3E">
            <w:pPr>
              <w:pStyle w:val="TableParagraph"/>
              <w:ind w:left="1040" w:right="86" w:hanging="1068"/>
              <w:jc w:val="center"/>
            </w:pPr>
            <w:r>
              <w:rPr>
                <w:lang w:val="da-DK"/>
              </w:rPr>
              <w:t>0,3</w:t>
            </w:r>
          </w:p>
        </w:tc>
        <w:tc>
          <w:tcPr>
            <w:tcW w:w="1549" w:type="pct"/>
            <w:tcBorders>
              <w:top w:val="single" w:sz="8" w:space="0" w:color="000000"/>
              <w:left w:val="single" w:sz="8" w:space="0" w:color="000000"/>
              <w:bottom w:val="single" w:sz="8" w:space="0" w:color="000000"/>
              <w:right w:val="single" w:sz="8" w:space="0" w:color="000000"/>
            </w:tcBorders>
            <w:hideMark/>
          </w:tcPr>
          <w:p w14:paraId="53A35A2C" w14:textId="77777777" w:rsidR="00D21C07" w:rsidRDefault="00D21C07" w:rsidP="00E11E3E">
            <w:pPr>
              <w:pStyle w:val="TableParagraph"/>
              <w:ind w:left="1254" w:right="86" w:hanging="1277"/>
              <w:jc w:val="center"/>
            </w:pPr>
            <w:r>
              <w:rPr>
                <w:lang w:val="da-DK"/>
              </w:rPr>
              <w:t>0,1</w:t>
            </w:r>
          </w:p>
        </w:tc>
      </w:tr>
      <w:tr w:rsidR="00D21C07" w14:paraId="02D3F9D0" w14:textId="77777777" w:rsidTr="00C52F9A">
        <w:trPr>
          <w:trHeight w:val="282"/>
        </w:trPr>
        <w:tc>
          <w:tcPr>
            <w:tcW w:w="1888" w:type="pct"/>
            <w:tcBorders>
              <w:top w:val="single" w:sz="8" w:space="0" w:color="000000"/>
              <w:left w:val="single" w:sz="8" w:space="0" w:color="000000"/>
              <w:bottom w:val="single" w:sz="8" w:space="0" w:color="000000"/>
              <w:right w:val="single" w:sz="8" w:space="0" w:color="000000"/>
            </w:tcBorders>
            <w:hideMark/>
          </w:tcPr>
          <w:p w14:paraId="40DE0E7E" w14:textId="77777777" w:rsidR="00D21C07" w:rsidRDefault="00D21C07" w:rsidP="00E11E3E">
            <w:pPr>
              <w:pStyle w:val="TableParagraph"/>
              <w:ind w:right="86"/>
            </w:pPr>
            <w:r>
              <w:rPr>
                <w:lang w:val="da-DK"/>
              </w:rPr>
              <w:t xml:space="preserve">TIMI mindre </w:t>
            </w:r>
            <w:proofErr w:type="spellStart"/>
            <w:r>
              <w:rPr>
                <w:lang w:val="da-DK"/>
              </w:rPr>
              <w:t>blødning</w:t>
            </w:r>
            <w:r>
              <w:rPr>
                <w:vertAlign w:val="superscript"/>
                <w:lang w:val="da-DK"/>
              </w:rPr>
              <w:t>e</w:t>
            </w:r>
            <w:proofErr w:type="spellEnd"/>
          </w:p>
        </w:tc>
        <w:tc>
          <w:tcPr>
            <w:tcW w:w="1563" w:type="pct"/>
            <w:tcBorders>
              <w:top w:val="single" w:sz="8" w:space="0" w:color="000000"/>
              <w:left w:val="single" w:sz="8" w:space="0" w:color="000000"/>
              <w:bottom w:val="single" w:sz="8" w:space="0" w:color="000000"/>
              <w:right w:val="single" w:sz="8" w:space="0" w:color="000000"/>
            </w:tcBorders>
            <w:hideMark/>
          </w:tcPr>
          <w:p w14:paraId="21DEDF8D" w14:textId="77777777" w:rsidR="00D21C07" w:rsidRDefault="00D21C07" w:rsidP="00E11E3E">
            <w:pPr>
              <w:pStyle w:val="TableParagraph"/>
              <w:ind w:left="1040" w:right="86" w:hanging="1068"/>
              <w:jc w:val="center"/>
            </w:pPr>
            <w:r>
              <w:rPr>
                <w:lang w:val="da-DK"/>
              </w:rPr>
              <w:t>1,7</w:t>
            </w:r>
          </w:p>
        </w:tc>
        <w:tc>
          <w:tcPr>
            <w:tcW w:w="1549" w:type="pct"/>
            <w:tcBorders>
              <w:top w:val="single" w:sz="8" w:space="0" w:color="000000"/>
              <w:left w:val="single" w:sz="8" w:space="0" w:color="000000"/>
              <w:bottom w:val="single" w:sz="8" w:space="0" w:color="000000"/>
              <w:right w:val="single" w:sz="8" w:space="0" w:color="000000"/>
            </w:tcBorders>
            <w:hideMark/>
          </w:tcPr>
          <w:p w14:paraId="7E32EDA6" w14:textId="77777777" w:rsidR="00D21C07" w:rsidRDefault="00D21C07" w:rsidP="00E11E3E">
            <w:pPr>
              <w:pStyle w:val="TableParagraph"/>
              <w:ind w:left="1254" w:right="86" w:hanging="1277"/>
              <w:jc w:val="center"/>
            </w:pPr>
            <w:r>
              <w:rPr>
                <w:lang w:val="da-DK"/>
              </w:rPr>
              <w:t>0,6</w:t>
            </w:r>
          </w:p>
        </w:tc>
      </w:tr>
    </w:tbl>
    <w:p w14:paraId="7892F560" w14:textId="77777777" w:rsidR="00D21C07" w:rsidRPr="00D93A6A" w:rsidRDefault="00D21C07" w:rsidP="00D93A6A">
      <w:pPr>
        <w:pStyle w:val="Listeafsnit"/>
        <w:numPr>
          <w:ilvl w:val="0"/>
          <w:numId w:val="10"/>
        </w:numPr>
        <w:tabs>
          <w:tab w:val="left" w:pos="284"/>
        </w:tabs>
        <w:ind w:left="284" w:hanging="284"/>
        <w:rPr>
          <w:sz w:val="20"/>
          <w:szCs w:val="20"/>
          <w:lang w:val="da-DK"/>
        </w:rPr>
      </w:pPr>
      <w:r w:rsidRPr="00D93A6A">
        <w:rPr>
          <w:sz w:val="20"/>
          <w:szCs w:val="20"/>
          <w:lang w:val="da-DK"/>
        </w:rPr>
        <w:t xml:space="preserve">Andre standardbehandlinger blev anvendt efter relevans. Protokollen for det kliniske studie foreskrev, at alle patienter fik acetylsalicylsyre og en daglig vedligeholdelsesdosis af </w:t>
      </w:r>
      <w:proofErr w:type="spellStart"/>
      <w:r w:rsidRPr="00D93A6A">
        <w:rPr>
          <w:sz w:val="20"/>
          <w:szCs w:val="20"/>
          <w:lang w:val="da-DK"/>
        </w:rPr>
        <w:t>prasugrel</w:t>
      </w:r>
      <w:proofErr w:type="spellEnd"/>
      <w:r w:rsidRPr="00D93A6A">
        <w:rPr>
          <w:sz w:val="20"/>
          <w:szCs w:val="20"/>
          <w:lang w:val="da-DK"/>
        </w:rPr>
        <w:t>.</w:t>
      </w:r>
    </w:p>
    <w:p w14:paraId="38DC6CD8" w14:textId="379AE435" w:rsidR="00D21C07" w:rsidRPr="00D93A6A" w:rsidRDefault="00D21C07" w:rsidP="00D93A6A">
      <w:pPr>
        <w:pStyle w:val="Listeafsnit"/>
        <w:numPr>
          <w:ilvl w:val="0"/>
          <w:numId w:val="10"/>
        </w:numPr>
        <w:tabs>
          <w:tab w:val="left" w:pos="284"/>
        </w:tabs>
        <w:ind w:left="284" w:hanging="284"/>
        <w:rPr>
          <w:sz w:val="20"/>
          <w:szCs w:val="20"/>
          <w:lang w:val="da-DK"/>
        </w:rPr>
      </w:pPr>
      <w:r w:rsidRPr="00D93A6A">
        <w:rPr>
          <w:sz w:val="20"/>
          <w:szCs w:val="20"/>
          <w:lang w:val="da-DK"/>
        </w:rPr>
        <w:t xml:space="preserve">Enhver </w:t>
      </w:r>
      <w:proofErr w:type="spellStart"/>
      <w:r w:rsidRPr="00D93A6A">
        <w:rPr>
          <w:sz w:val="20"/>
          <w:szCs w:val="20"/>
          <w:lang w:val="da-DK"/>
        </w:rPr>
        <w:t>intrakraniel</w:t>
      </w:r>
      <w:proofErr w:type="spellEnd"/>
      <w:r w:rsidRPr="00D93A6A">
        <w:rPr>
          <w:sz w:val="20"/>
          <w:szCs w:val="20"/>
          <w:lang w:val="da-DK"/>
        </w:rPr>
        <w:t xml:space="preserve"> blødning eller enhver klinisk tydelig blødning, der er forbundet med et fald i hæmoglobin ≥</w:t>
      </w:r>
      <w:r w:rsidR="00E11E3E">
        <w:rPr>
          <w:sz w:val="20"/>
          <w:szCs w:val="20"/>
          <w:lang w:val="da-DK"/>
        </w:rPr>
        <w:t> </w:t>
      </w:r>
      <w:r w:rsidRPr="00D93A6A">
        <w:rPr>
          <w:sz w:val="20"/>
          <w:szCs w:val="20"/>
          <w:lang w:val="da-DK"/>
        </w:rPr>
        <w:t>5</w:t>
      </w:r>
      <w:r w:rsidR="00E11E3E">
        <w:rPr>
          <w:sz w:val="20"/>
          <w:szCs w:val="20"/>
          <w:lang w:val="da-DK"/>
        </w:rPr>
        <w:t> </w:t>
      </w:r>
      <w:r w:rsidRPr="00D93A6A">
        <w:rPr>
          <w:sz w:val="20"/>
          <w:szCs w:val="20"/>
          <w:lang w:val="da-DK"/>
        </w:rPr>
        <w:t>g/dl.</w:t>
      </w:r>
    </w:p>
    <w:p w14:paraId="7B4875CE" w14:textId="77777777" w:rsidR="00D21C07" w:rsidRPr="00D93A6A" w:rsidRDefault="00D21C07" w:rsidP="00D93A6A">
      <w:pPr>
        <w:pStyle w:val="Listeafsnit"/>
        <w:numPr>
          <w:ilvl w:val="0"/>
          <w:numId w:val="10"/>
        </w:numPr>
        <w:tabs>
          <w:tab w:val="left" w:pos="284"/>
        </w:tabs>
        <w:ind w:left="284" w:hanging="284"/>
        <w:rPr>
          <w:sz w:val="20"/>
          <w:szCs w:val="20"/>
          <w:lang w:val="da-DK"/>
        </w:rPr>
      </w:pPr>
      <w:r w:rsidRPr="00D93A6A">
        <w:rPr>
          <w:sz w:val="20"/>
          <w:szCs w:val="20"/>
          <w:lang w:val="da-DK"/>
        </w:rPr>
        <w:t>Livstruende er en undergruppe af TIMI større blødning og inkluderer de indrykkede typer nedenunder. Patienterne kan være talt med i mere end en række.</w:t>
      </w:r>
    </w:p>
    <w:p w14:paraId="25DC49C9" w14:textId="77777777" w:rsidR="00D21C07" w:rsidRPr="00D93A6A" w:rsidRDefault="00D21C07" w:rsidP="00D93A6A">
      <w:pPr>
        <w:pStyle w:val="Listeafsnit"/>
        <w:numPr>
          <w:ilvl w:val="0"/>
          <w:numId w:val="10"/>
        </w:numPr>
        <w:tabs>
          <w:tab w:val="left" w:pos="284"/>
        </w:tabs>
        <w:ind w:left="284" w:hanging="284"/>
        <w:rPr>
          <w:sz w:val="20"/>
          <w:szCs w:val="20"/>
        </w:rPr>
      </w:pPr>
      <w:r w:rsidRPr="00D93A6A">
        <w:rPr>
          <w:sz w:val="20"/>
          <w:szCs w:val="20"/>
          <w:lang w:val="da-DK"/>
        </w:rPr>
        <w:t xml:space="preserve">ICH = </w:t>
      </w:r>
      <w:proofErr w:type="spellStart"/>
      <w:r w:rsidRPr="00D93A6A">
        <w:rPr>
          <w:sz w:val="20"/>
          <w:szCs w:val="20"/>
          <w:lang w:val="da-DK"/>
        </w:rPr>
        <w:t>intrakraniel</w:t>
      </w:r>
      <w:proofErr w:type="spellEnd"/>
      <w:r w:rsidRPr="00D93A6A">
        <w:rPr>
          <w:sz w:val="20"/>
          <w:szCs w:val="20"/>
          <w:lang w:val="da-DK"/>
        </w:rPr>
        <w:t xml:space="preserve"> blødning.</w:t>
      </w:r>
    </w:p>
    <w:p w14:paraId="0F0777DE" w14:textId="77777777" w:rsidR="00D21C07" w:rsidRPr="00D93A6A" w:rsidRDefault="00D21C07" w:rsidP="00D93A6A">
      <w:pPr>
        <w:pStyle w:val="Listeafsnit"/>
        <w:numPr>
          <w:ilvl w:val="0"/>
          <w:numId w:val="10"/>
        </w:numPr>
        <w:tabs>
          <w:tab w:val="left" w:pos="284"/>
        </w:tabs>
        <w:ind w:left="284" w:hanging="284"/>
        <w:rPr>
          <w:sz w:val="20"/>
          <w:szCs w:val="20"/>
          <w:lang w:val="da-DK"/>
        </w:rPr>
      </w:pPr>
      <w:r w:rsidRPr="00D93A6A">
        <w:rPr>
          <w:sz w:val="20"/>
          <w:szCs w:val="20"/>
          <w:lang w:val="da-DK"/>
        </w:rPr>
        <w:t>Klinisk tydelig blødning, der er forbundet med et fald i hæmoglobin ≥3 g/dl, men &lt;5 g/dl.</w:t>
      </w:r>
    </w:p>
    <w:p w14:paraId="2C8E3CF1" w14:textId="77777777" w:rsidR="00D21C07" w:rsidRPr="00D21C07" w:rsidRDefault="00D21C07" w:rsidP="00D21C07">
      <w:pPr>
        <w:pStyle w:val="Brdtekst"/>
        <w:ind w:left="851"/>
        <w:rPr>
          <w:i w:val="0"/>
          <w:color w:val="auto"/>
          <w:sz w:val="24"/>
          <w:szCs w:val="24"/>
          <w:lang w:val="da-DK"/>
        </w:rPr>
      </w:pPr>
    </w:p>
    <w:p w14:paraId="67C4B35A" w14:textId="77777777" w:rsidR="00D21C07" w:rsidRPr="00D21C07" w:rsidRDefault="00D21C07" w:rsidP="00D21C07">
      <w:pPr>
        <w:pStyle w:val="Brdtekst"/>
        <w:ind w:left="851"/>
        <w:rPr>
          <w:i w:val="0"/>
          <w:color w:val="auto"/>
          <w:sz w:val="24"/>
          <w:szCs w:val="24"/>
          <w:u w:val="single"/>
          <w:lang w:val="da-DK"/>
        </w:rPr>
      </w:pPr>
      <w:r w:rsidRPr="00D21C07">
        <w:rPr>
          <w:i w:val="0"/>
          <w:color w:val="auto"/>
          <w:sz w:val="24"/>
          <w:szCs w:val="24"/>
          <w:u w:val="single"/>
          <w:lang w:val="da-DK"/>
        </w:rPr>
        <w:t>Resumé af bivirkninger i tabelform</w:t>
      </w:r>
    </w:p>
    <w:p w14:paraId="002180AE" w14:textId="77777777" w:rsidR="00D21C07" w:rsidRPr="00D21C07" w:rsidRDefault="00D21C07" w:rsidP="00D21C07">
      <w:pPr>
        <w:pStyle w:val="Brdtekst"/>
        <w:ind w:left="851"/>
        <w:rPr>
          <w:i w:val="0"/>
          <w:color w:val="auto"/>
          <w:sz w:val="24"/>
          <w:szCs w:val="24"/>
          <w:lang w:val="da-DK"/>
        </w:rPr>
      </w:pPr>
      <w:r w:rsidRPr="00D21C07">
        <w:rPr>
          <w:i w:val="0"/>
          <w:color w:val="auto"/>
          <w:sz w:val="24"/>
          <w:szCs w:val="24"/>
          <w:lang w:val="da-DK"/>
        </w:rPr>
        <w:t xml:space="preserve">Tabel 2 opsummerer </w:t>
      </w:r>
      <w:proofErr w:type="spellStart"/>
      <w:r w:rsidRPr="00D21C07">
        <w:rPr>
          <w:i w:val="0"/>
          <w:color w:val="auto"/>
          <w:sz w:val="24"/>
          <w:szCs w:val="24"/>
          <w:lang w:val="da-DK"/>
        </w:rPr>
        <w:t>hæmoragiske</w:t>
      </w:r>
      <w:proofErr w:type="spellEnd"/>
      <w:r w:rsidRPr="00D21C07">
        <w:rPr>
          <w:i w:val="0"/>
          <w:color w:val="auto"/>
          <w:sz w:val="24"/>
          <w:szCs w:val="24"/>
          <w:lang w:val="da-DK"/>
        </w:rPr>
        <w:t xml:space="preserve"> og non-</w:t>
      </w:r>
      <w:proofErr w:type="spellStart"/>
      <w:r w:rsidRPr="00D21C07">
        <w:rPr>
          <w:i w:val="0"/>
          <w:color w:val="auto"/>
          <w:sz w:val="24"/>
          <w:szCs w:val="24"/>
          <w:lang w:val="da-DK"/>
        </w:rPr>
        <w:t>hæmoragiske</w:t>
      </w:r>
      <w:proofErr w:type="spellEnd"/>
      <w:r w:rsidRPr="00D21C07">
        <w:rPr>
          <w:i w:val="0"/>
          <w:color w:val="auto"/>
          <w:sz w:val="24"/>
          <w:szCs w:val="24"/>
          <w:lang w:val="da-DK"/>
        </w:rPr>
        <w:t xml:space="preserve"> bivirkninger i TRITON samt spontane indberetninger, klassificeret efter hyppighed og organklasse. Hyppigheder er defineret som følger:</w:t>
      </w:r>
    </w:p>
    <w:p w14:paraId="205245CA" w14:textId="77777777" w:rsidR="00D21C07" w:rsidRPr="00D21C07" w:rsidRDefault="00D21C07" w:rsidP="00D21C07">
      <w:pPr>
        <w:pStyle w:val="Brdtekst"/>
        <w:ind w:left="851"/>
        <w:rPr>
          <w:i w:val="0"/>
          <w:color w:val="auto"/>
          <w:sz w:val="24"/>
          <w:szCs w:val="24"/>
          <w:lang w:val="da-DK"/>
        </w:rPr>
      </w:pPr>
    </w:p>
    <w:p w14:paraId="0F4C212A" w14:textId="77777777" w:rsidR="00D21C07" w:rsidRPr="00D21C07" w:rsidRDefault="00D21C07" w:rsidP="00D21C07">
      <w:pPr>
        <w:pStyle w:val="Brdtekst"/>
        <w:ind w:left="851"/>
        <w:rPr>
          <w:i w:val="0"/>
          <w:color w:val="auto"/>
          <w:sz w:val="24"/>
          <w:szCs w:val="24"/>
          <w:lang w:val="da-DK"/>
        </w:rPr>
      </w:pPr>
      <w:r w:rsidRPr="00D21C07">
        <w:rPr>
          <w:i w:val="0"/>
          <w:color w:val="auto"/>
          <w:sz w:val="24"/>
          <w:szCs w:val="24"/>
          <w:lang w:val="da-DK"/>
        </w:rPr>
        <w:t>Meget almindelig (≥1/10), almindelig (≥1/100 til &lt;1/10), ikke almindelig (≥1/1.000 til &lt;1/100), sjælden (≥1/10.000 til &lt;1/1.000), meget sjælden (&lt;1/10.000), ikke kendt (kan ikke estimeres ud fra forhåndenværende data).</w:t>
      </w:r>
    </w:p>
    <w:p w14:paraId="76A114C2" w14:textId="77777777" w:rsidR="00D21C07" w:rsidRDefault="00D21C07" w:rsidP="00D21C07">
      <w:pPr>
        <w:pStyle w:val="Brdtekst"/>
        <w:rPr>
          <w:b/>
          <w:bCs/>
          <w:i w:val="0"/>
          <w:color w:val="auto"/>
          <w:szCs w:val="22"/>
          <w:lang w:val="da-DK"/>
        </w:rPr>
      </w:pPr>
    </w:p>
    <w:p w14:paraId="1CA641C7" w14:textId="77777777" w:rsidR="00D21C07" w:rsidRPr="00D21C07" w:rsidRDefault="00D21C07" w:rsidP="00D21C07">
      <w:pPr>
        <w:pStyle w:val="Brdtekst"/>
        <w:rPr>
          <w:b/>
          <w:bCs/>
          <w:i w:val="0"/>
          <w:color w:val="auto"/>
          <w:sz w:val="24"/>
          <w:szCs w:val="24"/>
          <w:lang w:val="da-DK"/>
        </w:rPr>
      </w:pPr>
      <w:r w:rsidRPr="00D21C07">
        <w:rPr>
          <w:b/>
          <w:bCs/>
          <w:i w:val="0"/>
          <w:color w:val="auto"/>
          <w:sz w:val="24"/>
          <w:szCs w:val="24"/>
          <w:lang w:val="da-DK"/>
        </w:rPr>
        <w:t>Tabel 2:</w:t>
      </w:r>
      <w:r w:rsidRPr="00D21C07">
        <w:rPr>
          <w:b/>
          <w:bCs/>
          <w:i w:val="0"/>
          <w:color w:val="auto"/>
          <w:sz w:val="24"/>
          <w:szCs w:val="24"/>
          <w:lang w:val="da-DK"/>
        </w:rPr>
        <w:tab/>
      </w:r>
      <w:proofErr w:type="spellStart"/>
      <w:r w:rsidRPr="00D21C07">
        <w:rPr>
          <w:b/>
          <w:bCs/>
          <w:i w:val="0"/>
          <w:color w:val="auto"/>
          <w:sz w:val="24"/>
          <w:szCs w:val="24"/>
          <w:lang w:val="da-DK"/>
        </w:rPr>
        <w:t>Hæmoragiske</w:t>
      </w:r>
      <w:proofErr w:type="spellEnd"/>
      <w:r w:rsidRPr="00D21C07">
        <w:rPr>
          <w:b/>
          <w:bCs/>
          <w:i w:val="0"/>
          <w:color w:val="auto"/>
          <w:sz w:val="24"/>
          <w:szCs w:val="24"/>
          <w:lang w:val="da-DK"/>
        </w:rPr>
        <w:t xml:space="preserve"> og non-</w:t>
      </w:r>
      <w:proofErr w:type="spellStart"/>
      <w:r w:rsidRPr="00D21C07">
        <w:rPr>
          <w:b/>
          <w:bCs/>
          <w:i w:val="0"/>
          <w:color w:val="auto"/>
          <w:sz w:val="24"/>
          <w:szCs w:val="24"/>
          <w:lang w:val="da-DK"/>
        </w:rPr>
        <w:t>hæmoragiske</w:t>
      </w:r>
      <w:proofErr w:type="spellEnd"/>
      <w:r w:rsidRPr="00D21C07">
        <w:rPr>
          <w:b/>
          <w:bCs/>
          <w:i w:val="0"/>
          <w:color w:val="auto"/>
          <w:sz w:val="24"/>
          <w:szCs w:val="24"/>
          <w:lang w:val="da-DK"/>
        </w:rPr>
        <w:t xml:space="preserve"> bivirkninger</w:t>
      </w:r>
    </w:p>
    <w:tbl>
      <w:tblPr>
        <w:tblpPr w:leftFromText="141" w:rightFromText="141" w:vertAnchor="text" w:horzAnchor="margin" w:tblpY="144"/>
        <w:tblW w:w="5000" w:type="pct"/>
        <w:tblCellMar>
          <w:left w:w="10" w:type="dxa"/>
          <w:right w:w="10" w:type="dxa"/>
        </w:tblCellMar>
        <w:tblLook w:val="01E0" w:firstRow="1" w:lastRow="1" w:firstColumn="1" w:lastColumn="1" w:noHBand="0" w:noVBand="0"/>
      </w:tblPr>
      <w:tblGrid>
        <w:gridCol w:w="1874"/>
        <w:gridCol w:w="1862"/>
        <w:gridCol w:w="1883"/>
        <w:gridCol w:w="2031"/>
        <w:gridCol w:w="1968"/>
      </w:tblGrid>
      <w:tr w:rsidR="00D21C07" w14:paraId="2B477425" w14:textId="77777777" w:rsidTr="00C52F9A">
        <w:trPr>
          <w:trHeight w:val="535"/>
          <w:tblHeader/>
        </w:trPr>
        <w:tc>
          <w:tcPr>
            <w:tcW w:w="974"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313626F7" w14:textId="77777777" w:rsidR="00D21C07" w:rsidRPr="00E11E3E" w:rsidRDefault="00D21C07" w:rsidP="00E11E3E">
            <w:pPr>
              <w:pStyle w:val="TableParagraph"/>
              <w:ind w:left="122" w:right="27"/>
              <w:jc w:val="center"/>
              <w:rPr>
                <w:b/>
                <w:bCs/>
              </w:rPr>
            </w:pPr>
            <w:r w:rsidRPr="00E11E3E">
              <w:rPr>
                <w:b/>
                <w:bCs/>
                <w:lang w:val="da-DK"/>
              </w:rPr>
              <w:t>Organklasse</w:t>
            </w:r>
          </w:p>
        </w:tc>
        <w:tc>
          <w:tcPr>
            <w:tcW w:w="968"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0581AA00" w14:textId="77777777" w:rsidR="00D21C07" w:rsidRPr="00E11E3E" w:rsidRDefault="00D21C07" w:rsidP="00E11E3E">
            <w:pPr>
              <w:pStyle w:val="TableParagraph"/>
              <w:ind w:left="122" w:right="27"/>
              <w:jc w:val="center"/>
              <w:rPr>
                <w:b/>
                <w:bCs/>
              </w:rPr>
            </w:pPr>
            <w:r w:rsidRPr="00E11E3E">
              <w:rPr>
                <w:b/>
                <w:bCs/>
                <w:lang w:val="da-DK"/>
              </w:rPr>
              <w:t>Almindelig</w:t>
            </w:r>
          </w:p>
        </w:tc>
        <w:tc>
          <w:tcPr>
            <w:tcW w:w="97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5A63746D" w14:textId="77777777" w:rsidR="00D21C07" w:rsidRPr="00E11E3E" w:rsidRDefault="00D21C07" w:rsidP="00E11E3E">
            <w:pPr>
              <w:pStyle w:val="TableParagraph"/>
              <w:ind w:left="122" w:right="27"/>
              <w:jc w:val="center"/>
              <w:rPr>
                <w:b/>
                <w:bCs/>
              </w:rPr>
            </w:pPr>
            <w:r w:rsidRPr="00E11E3E">
              <w:rPr>
                <w:b/>
                <w:bCs/>
                <w:lang w:val="da-DK"/>
              </w:rPr>
              <w:t>Ikke almindelig</w:t>
            </w:r>
          </w:p>
        </w:tc>
        <w:tc>
          <w:tcPr>
            <w:tcW w:w="1056"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34765CCE" w14:textId="77777777" w:rsidR="00D21C07" w:rsidRPr="00E11E3E" w:rsidRDefault="00D21C07" w:rsidP="00E11E3E">
            <w:pPr>
              <w:pStyle w:val="TableParagraph"/>
              <w:ind w:left="122" w:right="27"/>
              <w:jc w:val="center"/>
              <w:rPr>
                <w:b/>
                <w:bCs/>
              </w:rPr>
            </w:pPr>
            <w:r w:rsidRPr="00E11E3E">
              <w:rPr>
                <w:b/>
                <w:bCs/>
                <w:lang w:val="da-DK"/>
              </w:rPr>
              <w:t>Sjælden</w:t>
            </w:r>
          </w:p>
        </w:tc>
        <w:tc>
          <w:tcPr>
            <w:tcW w:w="1024"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3BD31132" w14:textId="77777777" w:rsidR="00D21C07" w:rsidRPr="00E11E3E" w:rsidRDefault="00D21C07" w:rsidP="00E11E3E">
            <w:pPr>
              <w:pStyle w:val="TableParagraph"/>
              <w:ind w:left="122" w:right="27"/>
              <w:jc w:val="center"/>
              <w:rPr>
                <w:b/>
                <w:bCs/>
              </w:rPr>
            </w:pPr>
            <w:r w:rsidRPr="00E11E3E">
              <w:rPr>
                <w:b/>
                <w:bCs/>
                <w:lang w:val="da-DK"/>
              </w:rPr>
              <w:t>Ikke kendt</w:t>
            </w:r>
          </w:p>
        </w:tc>
      </w:tr>
      <w:tr w:rsidR="00D21C07" w14:paraId="2A4BD3FF" w14:textId="77777777" w:rsidTr="00C52F9A">
        <w:trPr>
          <w:trHeight w:val="1038"/>
        </w:trPr>
        <w:tc>
          <w:tcPr>
            <w:tcW w:w="974"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6F3F8622" w14:textId="77777777" w:rsidR="00D21C07" w:rsidRPr="00E11E3E" w:rsidRDefault="00D21C07" w:rsidP="00E11E3E">
            <w:pPr>
              <w:pStyle w:val="TableParagraph"/>
              <w:ind w:left="122" w:right="27"/>
              <w:rPr>
                <w:i/>
                <w:iCs/>
              </w:rPr>
            </w:pPr>
            <w:r w:rsidRPr="00E11E3E">
              <w:rPr>
                <w:i/>
                <w:iCs/>
                <w:lang w:val="da-DK"/>
              </w:rPr>
              <w:t>Blod og lymfesystem</w:t>
            </w:r>
          </w:p>
        </w:tc>
        <w:tc>
          <w:tcPr>
            <w:tcW w:w="968" w:type="pct"/>
            <w:tcBorders>
              <w:top w:val="single" w:sz="8" w:space="0" w:color="000000"/>
              <w:left w:val="single" w:sz="8" w:space="0" w:color="000000"/>
              <w:bottom w:val="single" w:sz="8" w:space="0" w:color="000000"/>
              <w:right w:val="single" w:sz="8" w:space="0" w:color="000000"/>
            </w:tcBorders>
          </w:tcPr>
          <w:p w14:paraId="7309A642" w14:textId="77777777" w:rsidR="00D21C07" w:rsidRPr="00E11E3E" w:rsidRDefault="00D21C07" w:rsidP="00E11E3E">
            <w:pPr>
              <w:pStyle w:val="TableParagraph"/>
              <w:ind w:left="122" w:right="27"/>
            </w:pPr>
          </w:p>
          <w:p w14:paraId="543C1EFF" w14:textId="77777777" w:rsidR="00D21C07" w:rsidRPr="00E11E3E" w:rsidRDefault="00D21C07" w:rsidP="00E11E3E">
            <w:pPr>
              <w:pStyle w:val="TableParagraph"/>
              <w:ind w:left="122" w:right="27"/>
            </w:pPr>
            <w:r w:rsidRPr="00E11E3E">
              <w:rPr>
                <w:lang w:val="da-DK"/>
              </w:rPr>
              <w:t>Anæmi</w:t>
            </w:r>
          </w:p>
        </w:tc>
        <w:tc>
          <w:tcPr>
            <w:tcW w:w="979" w:type="pct"/>
            <w:tcBorders>
              <w:top w:val="single" w:sz="8" w:space="0" w:color="000000"/>
              <w:left w:val="single" w:sz="8" w:space="0" w:color="000000"/>
              <w:bottom w:val="single" w:sz="8" w:space="0" w:color="000000"/>
              <w:right w:val="single" w:sz="8" w:space="0" w:color="000000"/>
            </w:tcBorders>
          </w:tcPr>
          <w:p w14:paraId="217E0191" w14:textId="77777777" w:rsidR="00D21C07" w:rsidRPr="00E11E3E" w:rsidRDefault="00D21C07" w:rsidP="00E11E3E">
            <w:pPr>
              <w:pStyle w:val="TableParagraph"/>
              <w:ind w:left="122" w:right="27"/>
            </w:pPr>
          </w:p>
        </w:tc>
        <w:tc>
          <w:tcPr>
            <w:tcW w:w="1056" w:type="pct"/>
            <w:tcBorders>
              <w:top w:val="single" w:sz="8" w:space="0" w:color="000000"/>
              <w:left w:val="single" w:sz="8" w:space="0" w:color="000000"/>
              <w:bottom w:val="single" w:sz="8" w:space="0" w:color="000000"/>
              <w:right w:val="single" w:sz="8" w:space="0" w:color="000000"/>
            </w:tcBorders>
          </w:tcPr>
          <w:p w14:paraId="7A0EE4D9" w14:textId="77777777" w:rsidR="00D21C07" w:rsidRPr="00E11E3E" w:rsidRDefault="00D21C07" w:rsidP="00E11E3E">
            <w:pPr>
              <w:pStyle w:val="TableParagraph"/>
              <w:ind w:left="122" w:right="27"/>
            </w:pPr>
          </w:p>
          <w:p w14:paraId="286E5C7C" w14:textId="77777777" w:rsidR="00D21C07" w:rsidRPr="00E11E3E" w:rsidRDefault="00D21C07" w:rsidP="00E11E3E">
            <w:pPr>
              <w:pStyle w:val="TableParagraph"/>
              <w:ind w:left="122" w:right="27"/>
            </w:pPr>
            <w:proofErr w:type="spellStart"/>
            <w:r w:rsidRPr="00E11E3E">
              <w:rPr>
                <w:lang w:val="da-DK"/>
              </w:rPr>
              <w:t>Trombocytopeni</w:t>
            </w:r>
            <w:proofErr w:type="spellEnd"/>
          </w:p>
        </w:tc>
        <w:tc>
          <w:tcPr>
            <w:tcW w:w="1024" w:type="pct"/>
            <w:tcBorders>
              <w:top w:val="single" w:sz="8" w:space="0" w:color="000000"/>
              <w:left w:val="single" w:sz="8" w:space="0" w:color="000000"/>
              <w:bottom w:val="single" w:sz="8" w:space="0" w:color="000000"/>
              <w:right w:val="single" w:sz="8" w:space="0" w:color="000000"/>
            </w:tcBorders>
            <w:hideMark/>
          </w:tcPr>
          <w:p w14:paraId="779500C7" w14:textId="092144BA" w:rsidR="00D21C07" w:rsidRPr="00E11E3E" w:rsidRDefault="00D21C07" w:rsidP="00E11E3E">
            <w:pPr>
              <w:pStyle w:val="TableParagraph"/>
              <w:ind w:left="122" w:right="27"/>
              <w:rPr>
                <w:lang w:val="da-DK"/>
              </w:rPr>
            </w:pPr>
            <w:proofErr w:type="spellStart"/>
            <w:r w:rsidRPr="00E11E3E">
              <w:rPr>
                <w:lang w:val="da-DK"/>
              </w:rPr>
              <w:t>Trombotisk</w:t>
            </w:r>
            <w:proofErr w:type="spellEnd"/>
            <w:r w:rsidRPr="00E11E3E">
              <w:rPr>
                <w:lang w:val="da-DK"/>
              </w:rPr>
              <w:t xml:space="preserve"> </w:t>
            </w:r>
            <w:proofErr w:type="spellStart"/>
            <w:r w:rsidRPr="00E11E3E">
              <w:rPr>
                <w:lang w:val="da-DK"/>
              </w:rPr>
              <w:t>trombocytopenisk</w:t>
            </w:r>
            <w:proofErr w:type="spellEnd"/>
            <w:r w:rsidRPr="00E11E3E">
              <w:rPr>
                <w:lang w:val="da-DK"/>
              </w:rPr>
              <w:t xml:space="preserve"> </w:t>
            </w:r>
            <w:proofErr w:type="spellStart"/>
            <w:r w:rsidRPr="00E11E3E">
              <w:rPr>
                <w:lang w:val="da-DK"/>
              </w:rPr>
              <w:t>purpura</w:t>
            </w:r>
            <w:proofErr w:type="spellEnd"/>
            <w:r w:rsidRPr="00E11E3E">
              <w:rPr>
                <w:lang w:val="da-DK"/>
              </w:rPr>
              <w:t xml:space="preserve"> (TTP) – se pkt. 4.4</w:t>
            </w:r>
          </w:p>
        </w:tc>
      </w:tr>
      <w:tr w:rsidR="00D21C07" w14:paraId="5E420CA4" w14:textId="77777777" w:rsidTr="00C52F9A">
        <w:trPr>
          <w:trHeight w:val="788"/>
        </w:trPr>
        <w:tc>
          <w:tcPr>
            <w:tcW w:w="974"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3A10A14C" w14:textId="77777777" w:rsidR="00D21C07" w:rsidRPr="00E11E3E" w:rsidRDefault="00D21C07" w:rsidP="00E11E3E">
            <w:pPr>
              <w:pStyle w:val="TableParagraph"/>
              <w:ind w:left="122" w:right="27"/>
              <w:rPr>
                <w:i/>
                <w:iCs/>
              </w:rPr>
            </w:pPr>
            <w:r w:rsidRPr="00E11E3E">
              <w:rPr>
                <w:i/>
                <w:iCs/>
                <w:lang w:val="da-DK"/>
              </w:rPr>
              <w:t>Immunsystemet</w:t>
            </w:r>
          </w:p>
        </w:tc>
        <w:tc>
          <w:tcPr>
            <w:tcW w:w="968" w:type="pct"/>
            <w:tcBorders>
              <w:top w:val="single" w:sz="8" w:space="0" w:color="000000"/>
              <w:left w:val="single" w:sz="8" w:space="0" w:color="000000"/>
              <w:bottom w:val="single" w:sz="8" w:space="0" w:color="000000"/>
              <w:right w:val="single" w:sz="8" w:space="0" w:color="000000"/>
            </w:tcBorders>
          </w:tcPr>
          <w:p w14:paraId="2B08BB46" w14:textId="77777777" w:rsidR="00D21C07" w:rsidRPr="00E11E3E" w:rsidRDefault="00D21C07" w:rsidP="00E11E3E">
            <w:pPr>
              <w:pStyle w:val="TableParagraph"/>
              <w:ind w:left="122" w:right="27"/>
            </w:pPr>
          </w:p>
        </w:tc>
        <w:tc>
          <w:tcPr>
            <w:tcW w:w="979" w:type="pct"/>
            <w:tcBorders>
              <w:top w:val="single" w:sz="8" w:space="0" w:color="000000"/>
              <w:left w:val="single" w:sz="8" w:space="0" w:color="000000"/>
              <w:bottom w:val="single" w:sz="8" w:space="0" w:color="000000"/>
              <w:right w:val="single" w:sz="8" w:space="0" w:color="000000"/>
            </w:tcBorders>
            <w:hideMark/>
          </w:tcPr>
          <w:p w14:paraId="09053E08" w14:textId="77777777" w:rsidR="00D21C07" w:rsidRPr="00E11E3E" w:rsidRDefault="00D21C07" w:rsidP="00E11E3E">
            <w:pPr>
              <w:pStyle w:val="TableParagraph"/>
              <w:ind w:left="122" w:right="27"/>
            </w:pPr>
            <w:r w:rsidRPr="00E11E3E">
              <w:rPr>
                <w:lang w:val="da-DK"/>
              </w:rPr>
              <w:t xml:space="preserve">Overfølsomhed herunder </w:t>
            </w:r>
            <w:proofErr w:type="spellStart"/>
            <w:r w:rsidRPr="00E11E3E">
              <w:rPr>
                <w:lang w:val="da-DK"/>
              </w:rPr>
              <w:t>angioødem</w:t>
            </w:r>
            <w:proofErr w:type="spellEnd"/>
          </w:p>
        </w:tc>
        <w:tc>
          <w:tcPr>
            <w:tcW w:w="1056" w:type="pct"/>
            <w:tcBorders>
              <w:top w:val="single" w:sz="8" w:space="0" w:color="000000"/>
              <w:left w:val="single" w:sz="8" w:space="0" w:color="000000"/>
              <w:bottom w:val="single" w:sz="8" w:space="0" w:color="000000"/>
              <w:right w:val="single" w:sz="8" w:space="0" w:color="000000"/>
            </w:tcBorders>
          </w:tcPr>
          <w:p w14:paraId="292964F7" w14:textId="77777777" w:rsidR="00D21C07" w:rsidRPr="00E11E3E" w:rsidRDefault="00D21C07" w:rsidP="00E11E3E">
            <w:pPr>
              <w:pStyle w:val="TableParagraph"/>
              <w:ind w:left="122" w:right="27"/>
            </w:pPr>
          </w:p>
        </w:tc>
        <w:tc>
          <w:tcPr>
            <w:tcW w:w="1024" w:type="pct"/>
            <w:tcBorders>
              <w:top w:val="single" w:sz="8" w:space="0" w:color="000000"/>
              <w:left w:val="single" w:sz="8" w:space="0" w:color="000000"/>
              <w:bottom w:val="single" w:sz="8" w:space="0" w:color="000000"/>
              <w:right w:val="single" w:sz="8" w:space="0" w:color="000000"/>
            </w:tcBorders>
          </w:tcPr>
          <w:p w14:paraId="34132A14" w14:textId="77777777" w:rsidR="00D21C07" w:rsidRPr="00E11E3E" w:rsidRDefault="00D21C07" w:rsidP="00E11E3E">
            <w:pPr>
              <w:pStyle w:val="TableParagraph"/>
              <w:ind w:left="122" w:right="27"/>
            </w:pPr>
          </w:p>
        </w:tc>
      </w:tr>
      <w:tr w:rsidR="00D21C07" w14:paraId="64B57FD0" w14:textId="77777777" w:rsidTr="00C52F9A">
        <w:trPr>
          <w:trHeight w:val="788"/>
        </w:trPr>
        <w:tc>
          <w:tcPr>
            <w:tcW w:w="974"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26EBE571" w14:textId="77777777" w:rsidR="00D21C07" w:rsidRPr="00E11E3E" w:rsidRDefault="00D21C07" w:rsidP="00E11E3E">
            <w:pPr>
              <w:pStyle w:val="TableParagraph"/>
              <w:ind w:left="122" w:right="27"/>
              <w:rPr>
                <w:i/>
                <w:iCs/>
              </w:rPr>
            </w:pPr>
            <w:r w:rsidRPr="00E11E3E">
              <w:rPr>
                <w:i/>
                <w:iCs/>
                <w:lang w:val="da-DK"/>
              </w:rPr>
              <w:t>Øjne</w:t>
            </w:r>
          </w:p>
        </w:tc>
        <w:tc>
          <w:tcPr>
            <w:tcW w:w="968" w:type="pct"/>
            <w:tcBorders>
              <w:top w:val="single" w:sz="8" w:space="0" w:color="000000"/>
              <w:left w:val="single" w:sz="8" w:space="0" w:color="000000"/>
              <w:bottom w:val="single" w:sz="8" w:space="0" w:color="000000"/>
              <w:right w:val="single" w:sz="8" w:space="0" w:color="000000"/>
            </w:tcBorders>
          </w:tcPr>
          <w:p w14:paraId="42CDEF2D" w14:textId="77777777" w:rsidR="00D21C07" w:rsidRPr="00E11E3E" w:rsidRDefault="00D21C07" w:rsidP="00E11E3E">
            <w:pPr>
              <w:pStyle w:val="TableParagraph"/>
              <w:ind w:left="122" w:right="27"/>
            </w:pPr>
          </w:p>
        </w:tc>
        <w:tc>
          <w:tcPr>
            <w:tcW w:w="979" w:type="pct"/>
            <w:tcBorders>
              <w:top w:val="single" w:sz="8" w:space="0" w:color="000000"/>
              <w:left w:val="single" w:sz="8" w:space="0" w:color="000000"/>
              <w:bottom w:val="single" w:sz="8" w:space="0" w:color="000000"/>
              <w:right w:val="single" w:sz="8" w:space="0" w:color="000000"/>
            </w:tcBorders>
            <w:hideMark/>
          </w:tcPr>
          <w:p w14:paraId="715D63FE" w14:textId="77777777" w:rsidR="00D21C07" w:rsidRPr="00E11E3E" w:rsidRDefault="00D21C07" w:rsidP="00E11E3E">
            <w:pPr>
              <w:pStyle w:val="TableParagraph"/>
              <w:ind w:left="122" w:right="27"/>
            </w:pPr>
            <w:r w:rsidRPr="00E11E3E">
              <w:rPr>
                <w:lang w:val="da-DK"/>
              </w:rPr>
              <w:t>Øjenblødning</w:t>
            </w:r>
          </w:p>
        </w:tc>
        <w:tc>
          <w:tcPr>
            <w:tcW w:w="1056" w:type="pct"/>
            <w:tcBorders>
              <w:top w:val="single" w:sz="8" w:space="0" w:color="000000"/>
              <w:left w:val="single" w:sz="8" w:space="0" w:color="000000"/>
              <w:bottom w:val="single" w:sz="8" w:space="0" w:color="000000"/>
              <w:right w:val="single" w:sz="8" w:space="0" w:color="000000"/>
            </w:tcBorders>
          </w:tcPr>
          <w:p w14:paraId="26D1EE87" w14:textId="77777777" w:rsidR="00D21C07" w:rsidRPr="00E11E3E" w:rsidRDefault="00D21C07" w:rsidP="00E11E3E">
            <w:pPr>
              <w:pStyle w:val="TableParagraph"/>
              <w:ind w:left="122" w:right="27"/>
            </w:pPr>
          </w:p>
        </w:tc>
        <w:tc>
          <w:tcPr>
            <w:tcW w:w="1024" w:type="pct"/>
            <w:tcBorders>
              <w:top w:val="single" w:sz="8" w:space="0" w:color="000000"/>
              <w:left w:val="single" w:sz="8" w:space="0" w:color="000000"/>
              <w:bottom w:val="single" w:sz="8" w:space="0" w:color="000000"/>
              <w:right w:val="single" w:sz="8" w:space="0" w:color="000000"/>
            </w:tcBorders>
          </w:tcPr>
          <w:p w14:paraId="5EB87035" w14:textId="77777777" w:rsidR="00D21C07" w:rsidRPr="00E11E3E" w:rsidRDefault="00D21C07" w:rsidP="00E11E3E">
            <w:pPr>
              <w:pStyle w:val="TableParagraph"/>
              <w:ind w:left="122" w:right="27"/>
            </w:pPr>
          </w:p>
        </w:tc>
      </w:tr>
      <w:tr w:rsidR="00D21C07" w14:paraId="53289710" w14:textId="77777777" w:rsidTr="00C52F9A">
        <w:trPr>
          <w:trHeight w:val="788"/>
        </w:trPr>
        <w:tc>
          <w:tcPr>
            <w:tcW w:w="974"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21F5313F" w14:textId="77777777" w:rsidR="00D21C07" w:rsidRPr="00E11E3E" w:rsidRDefault="00D21C07" w:rsidP="00E11E3E">
            <w:pPr>
              <w:pStyle w:val="TableParagraph"/>
              <w:ind w:left="122" w:right="27"/>
              <w:rPr>
                <w:i/>
                <w:iCs/>
              </w:rPr>
            </w:pPr>
            <w:proofErr w:type="spellStart"/>
            <w:r w:rsidRPr="00E11E3E">
              <w:rPr>
                <w:i/>
                <w:iCs/>
                <w:lang w:val="da-DK"/>
              </w:rPr>
              <w:t>Vaskulære</w:t>
            </w:r>
            <w:proofErr w:type="spellEnd"/>
            <w:r w:rsidRPr="00E11E3E">
              <w:rPr>
                <w:i/>
                <w:iCs/>
                <w:lang w:val="da-DK"/>
              </w:rPr>
              <w:t xml:space="preserve"> sygdomme</w:t>
            </w:r>
          </w:p>
        </w:tc>
        <w:tc>
          <w:tcPr>
            <w:tcW w:w="968" w:type="pct"/>
            <w:tcBorders>
              <w:top w:val="single" w:sz="8" w:space="0" w:color="000000"/>
              <w:left w:val="single" w:sz="8" w:space="0" w:color="000000"/>
              <w:bottom w:val="single" w:sz="8" w:space="0" w:color="000000"/>
              <w:right w:val="single" w:sz="8" w:space="0" w:color="000000"/>
            </w:tcBorders>
            <w:hideMark/>
          </w:tcPr>
          <w:p w14:paraId="566EF9D4" w14:textId="77777777" w:rsidR="00D21C07" w:rsidRPr="00E11E3E" w:rsidRDefault="00D21C07" w:rsidP="00E11E3E">
            <w:pPr>
              <w:pStyle w:val="TableParagraph"/>
              <w:ind w:left="122" w:right="27"/>
            </w:pPr>
            <w:r w:rsidRPr="00E11E3E">
              <w:rPr>
                <w:lang w:val="da-DK"/>
              </w:rPr>
              <w:t>Blodansamling</w:t>
            </w:r>
          </w:p>
        </w:tc>
        <w:tc>
          <w:tcPr>
            <w:tcW w:w="979" w:type="pct"/>
            <w:tcBorders>
              <w:top w:val="single" w:sz="8" w:space="0" w:color="000000"/>
              <w:left w:val="single" w:sz="8" w:space="0" w:color="000000"/>
              <w:bottom w:val="single" w:sz="8" w:space="0" w:color="000000"/>
              <w:right w:val="single" w:sz="8" w:space="0" w:color="000000"/>
            </w:tcBorders>
          </w:tcPr>
          <w:p w14:paraId="7A731FD7" w14:textId="77777777" w:rsidR="00D21C07" w:rsidRPr="00E11E3E" w:rsidRDefault="00D21C07" w:rsidP="00E11E3E">
            <w:pPr>
              <w:pStyle w:val="TableParagraph"/>
              <w:ind w:left="122" w:right="27"/>
            </w:pPr>
          </w:p>
        </w:tc>
        <w:tc>
          <w:tcPr>
            <w:tcW w:w="1056" w:type="pct"/>
            <w:tcBorders>
              <w:top w:val="single" w:sz="8" w:space="0" w:color="000000"/>
              <w:left w:val="single" w:sz="8" w:space="0" w:color="000000"/>
              <w:bottom w:val="single" w:sz="8" w:space="0" w:color="000000"/>
              <w:right w:val="single" w:sz="8" w:space="0" w:color="000000"/>
            </w:tcBorders>
          </w:tcPr>
          <w:p w14:paraId="2D99758A" w14:textId="77777777" w:rsidR="00D21C07" w:rsidRPr="00E11E3E" w:rsidRDefault="00D21C07" w:rsidP="00E11E3E">
            <w:pPr>
              <w:pStyle w:val="TableParagraph"/>
              <w:ind w:left="122" w:right="27"/>
            </w:pPr>
          </w:p>
        </w:tc>
        <w:tc>
          <w:tcPr>
            <w:tcW w:w="1024" w:type="pct"/>
            <w:tcBorders>
              <w:top w:val="single" w:sz="8" w:space="0" w:color="000000"/>
              <w:left w:val="single" w:sz="8" w:space="0" w:color="000000"/>
              <w:bottom w:val="single" w:sz="8" w:space="0" w:color="000000"/>
              <w:right w:val="single" w:sz="8" w:space="0" w:color="000000"/>
            </w:tcBorders>
          </w:tcPr>
          <w:p w14:paraId="733F017A" w14:textId="77777777" w:rsidR="00D21C07" w:rsidRPr="00E11E3E" w:rsidRDefault="00D21C07" w:rsidP="00E11E3E">
            <w:pPr>
              <w:pStyle w:val="TableParagraph"/>
              <w:ind w:left="122" w:right="27"/>
            </w:pPr>
          </w:p>
        </w:tc>
      </w:tr>
      <w:tr w:rsidR="00D21C07" w14:paraId="4FB23D8C" w14:textId="77777777" w:rsidTr="00C52F9A">
        <w:trPr>
          <w:trHeight w:val="788"/>
        </w:trPr>
        <w:tc>
          <w:tcPr>
            <w:tcW w:w="974"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57381076" w14:textId="77777777" w:rsidR="00D21C07" w:rsidRPr="00E11E3E" w:rsidRDefault="00D21C07" w:rsidP="00E11E3E">
            <w:pPr>
              <w:pStyle w:val="TableParagraph"/>
              <w:ind w:left="122" w:right="27"/>
              <w:rPr>
                <w:i/>
                <w:iCs/>
              </w:rPr>
            </w:pPr>
            <w:r w:rsidRPr="00E11E3E">
              <w:rPr>
                <w:i/>
                <w:iCs/>
                <w:lang w:val="da-DK"/>
              </w:rPr>
              <w:t xml:space="preserve">Luftveje, thorax og </w:t>
            </w:r>
            <w:proofErr w:type="spellStart"/>
            <w:r w:rsidRPr="00E11E3E">
              <w:rPr>
                <w:i/>
                <w:iCs/>
                <w:lang w:val="da-DK"/>
              </w:rPr>
              <w:t>mediastinum</w:t>
            </w:r>
            <w:proofErr w:type="spellEnd"/>
          </w:p>
        </w:tc>
        <w:tc>
          <w:tcPr>
            <w:tcW w:w="968" w:type="pct"/>
            <w:tcBorders>
              <w:top w:val="single" w:sz="8" w:space="0" w:color="000000"/>
              <w:left w:val="single" w:sz="8" w:space="0" w:color="000000"/>
              <w:bottom w:val="single" w:sz="8" w:space="0" w:color="000000"/>
              <w:right w:val="single" w:sz="8" w:space="0" w:color="000000"/>
            </w:tcBorders>
          </w:tcPr>
          <w:p w14:paraId="1CDC5BEE" w14:textId="77777777" w:rsidR="00D21C07" w:rsidRPr="00E11E3E" w:rsidRDefault="00D21C07" w:rsidP="00E11E3E">
            <w:pPr>
              <w:pStyle w:val="Default"/>
              <w:ind w:left="122" w:right="27"/>
              <w:rPr>
                <w:sz w:val="22"/>
                <w:szCs w:val="22"/>
                <w:lang w:val="da-DK"/>
              </w:rPr>
            </w:pPr>
            <w:r w:rsidRPr="00E11E3E">
              <w:rPr>
                <w:sz w:val="22"/>
                <w:szCs w:val="22"/>
                <w:lang w:val="da-DK"/>
              </w:rPr>
              <w:t>Næseblod</w:t>
            </w:r>
          </w:p>
          <w:p w14:paraId="4CBF83DD" w14:textId="77777777" w:rsidR="00D21C07" w:rsidRPr="00E11E3E" w:rsidRDefault="00D21C07" w:rsidP="00E11E3E">
            <w:pPr>
              <w:pStyle w:val="TableParagraph"/>
              <w:ind w:left="122" w:right="27"/>
            </w:pPr>
          </w:p>
        </w:tc>
        <w:tc>
          <w:tcPr>
            <w:tcW w:w="979" w:type="pct"/>
            <w:tcBorders>
              <w:top w:val="single" w:sz="8" w:space="0" w:color="000000"/>
              <w:left w:val="single" w:sz="8" w:space="0" w:color="000000"/>
              <w:bottom w:val="single" w:sz="8" w:space="0" w:color="000000"/>
              <w:right w:val="single" w:sz="8" w:space="0" w:color="000000"/>
            </w:tcBorders>
            <w:hideMark/>
          </w:tcPr>
          <w:p w14:paraId="6A329D49" w14:textId="77777777" w:rsidR="00D21C07" w:rsidRPr="00E11E3E" w:rsidRDefault="00D21C07" w:rsidP="00E11E3E">
            <w:pPr>
              <w:pStyle w:val="TableParagraph"/>
              <w:ind w:left="122" w:right="27"/>
            </w:pPr>
            <w:proofErr w:type="spellStart"/>
            <w:r w:rsidRPr="00E11E3E">
              <w:rPr>
                <w:lang w:val="da-DK"/>
              </w:rPr>
              <w:t>Pulmonal</w:t>
            </w:r>
            <w:proofErr w:type="spellEnd"/>
            <w:r w:rsidRPr="00E11E3E">
              <w:rPr>
                <w:lang w:val="da-DK"/>
              </w:rPr>
              <w:t xml:space="preserve"> blødning</w:t>
            </w:r>
          </w:p>
        </w:tc>
        <w:tc>
          <w:tcPr>
            <w:tcW w:w="1056" w:type="pct"/>
            <w:tcBorders>
              <w:top w:val="single" w:sz="8" w:space="0" w:color="000000"/>
              <w:left w:val="single" w:sz="8" w:space="0" w:color="000000"/>
              <w:bottom w:val="single" w:sz="8" w:space="0" w:color="000000"/>
              <w:right w:val="single" w:sz="8" w:space="0" w:color="000000"/>
            </w:tcBorders>
          </w:tcPr>
          <w:p w14:paraId="32C8D7DB" w14:textId="77777777" w:rsidR="00D21C07" w:rsidRPr="00E11E3E" w:rsidRDefault="00D21C07" w:rsidP="00E11E3E">
            <w:pPr>
              <w:pStyle w:val="TableParagraph"/>
              <w:ind w:left="122" w:right="27"/>
            </w:pPr>
          </w:p>
        </w:tc>
        <w:tc>
          <w:tcPr>
            <w:tcW w:w="1024" w:type="pct"/>
            <w:tcBorders>
              <w:top w:val="single" w:sz="8" w:space="0" w:color="000000"/>
              <w:left w:val="single" w:sz="8" w:space="0" w:color="000000"/>
              <w:bottom w:val="single" w:sz="8" w:space="0" w:color="000000"/>
              <w:right w:val="single" w:sz="8" w:space="0" w:color="000000"/>
            </w:tcBorders>
          </w:tcPr>
          <w:p w14:paraId="5E0DBA55" w14:textId="77777777" w:rsidR="00D21C07" w:rsidRPr="00E11E3E" w:rsidRDefault="00D21C07" w:rsidP="00E11E3E">
            <w:pPr>
              <w:pStyle w:val="TableParagraph"/>
              <w:ind w:left="122" w:right="27"/>
            </w:pPr>
          </w:p>
        </w:tc>
      </w:tr>
      <w:tr w:rsidR="00D21C07" w14:paraId="19E18385" w14:textId="77777777" w:rsidTr="00C52F9A">
        <w:trPr>
          <w:trHeight w:val="788"/>
        </w:trPr>
        <w:tc>
          <w:tcPr>
            <w:tcW w:w="974"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58FEDF90" w14:textId="4C319859" w:rsidR="00D21C07" w:rsidRPr="00E11E3E" w:rsidRDefault="00D21C07" w:rsidP="00E11E3E">
            <w:pPr>
              <w:pStyle w:val="TableParagraph"/>
              <w:ind w:left="122" w:right="27"/>
              <w:rPr>
                <w:i/>
                <w:iCs/>
              </w:rPr>
            </w:pPr>
            <w:r w:rsidRPr="00E11E3E">
              <w:rPr>
                <w:i/>
                <w:iCs/>
                <w:lang w:val="da-DK"/>
              </w:rPr>
              <w:t>Mave-tarm</w:t>
            </w:r>
            <w:r w:rsidR="00E11E3E" w:rsidRPr="00E11E3E">
              <w:rPr>
                <w:i/>
                <w:iCs/>
                <w:lang w:val="da-DK"/>
              </w:rPr>
              <w:t>-</w:t>
            </w:r>
            <w:r w:rsidRPr="00E11E3E">
              <w:rPr>
                <w:i/>
                <w:iCs/>
                <w:lang w:val="da-DK"/>
              </w:rPr>
              <w:t>kanalen</w:t>
            </w:r>
          </w:p>
        </w:tc>
        <w:tc>
          <w:tcPr>
            <w:tcW w:w="968" w:type="pct"/>
            <w:tcBorders>
              <w:top w:val="single" w:sz="8" w:space="0" w:color="000000"/>
              <w:left w:val="single" w:sz="8" w:space="0" w:color="000000"/>
              <w:bottom w:val="single" w:sz="8" w:space="0" w:color="000000"/>
              <w:right w:val="single" w:sz="8" w:space="0" w:color="000000"/>
            </w:tcBorders>
          </w:tcPr>
          <w:p w14:paraId="256F2D28" w14:textId="77777777" w:rsidR="00D21C07" w:rsidRPr="00E11E3E" w:rsidRDefault="00D21C07" w:rsidP="00E11E3E">
            <w:pPr>
              <w:pStyle w:val="TableParagraph"/>
              <w:ind w:left="122" w:right="27"/>
            </w:pPr>
            <w:proofErr w:type="spellStart"/>
            <w:r w:rsidRPr="00E11E3E">
              <w:rPr>
                <w:lang w:val="da-DK"/>
              </w:rPr>
              <w:t>Gastrointestinal</w:t>
            </w:r>
            <w:proofErr w:type="spellEnd"/>
            <w:r w:rsidRPr="00E11E3E">
              <w:rPr>
                <w:lang w:val="da-DK"/>
              </w:rPr>
              <w:t xml:space="preserve"> blødning</w:t>
            </w:r>
          </w:p>
        </w:tc>
        <w:tc>
          <w:tcPr>
            <w:tcW w:w="979" w:type="pct"/>
            <w:tcBorders>
              <w:top w:val="single" w:sz="8" w:space="0" w:color="000000"/>
              <w:left w:val="single" w:sz="8" w:space="0" w:color="000000"/>
              <w:bottom w:val="single" w:sz="8" w:space="0" w:color="000000"/>
              <w:right w:val="single" w:sz="8" w:space="0" w:color="000000"/>
            </w:tcBorders>
            <w:hideMark/>
          </w:tcPr>
          <w:p w14:paraId="35241533" w14:textId="77777777" w:rsidR="00D21C07" w:rsidRPr="00E11E3E" w:rsidRDefault="00D21C07" w:rsidP="00E11E3E">
            <w:pPr>
              <w:pStyle w:val="TableParagraph"/>
              <w:ind w:left="122" w:right="27"/>
              <w:rPr>
                <w:lang w:val="da-DK"/>
              </w:rPr>
            </w:pPr>
            <w:proofErr w:type="spellStart"/>
            <w:r w:rsidRPr="00E11E3E">
              <w:rPr>
                <w:lang w:val="da-DK"/>
              </w:rPr>
              <w:t>Retroperitoneal</w:t>
            </w:r>
            <w:proofErr w:type="spellEnd"/>
            <w:r w:rsidRPr="00E11E3E">
              <w:rPr>
                <w:lang w:val="da-DK"/>
              </w:rPr>
              <w:t xml:space="preserve"> blødning </w:t>
            </w:r>
            <w:proofErr w:type="spellStart"/>
            <w:r w:rsidRPr="00E11E3E">
              <w:rPr>
                <w:lang w:val="da-DK"/>
              </w:rPr>
              <w:t>Rektalblødning</w:t>
            </w:r>
            <w:proofErr w:type="spellEnd"/>
          </w:p>
          <w:p w14:paraId="444E0BCF" w14:textId="77777777" w:rsidR="00D21C07" w:rsidRPr="00E11E3E" w:rsidRDefault="00D21C07" w:rsidP="00E11E3E">
            <w:pPr>
              <w:pStyle w:val="TableParagraph"/>
              <w:ind w:left="122" w:right="27"/>
              <w:rPr>
                <w:lang w:val="da-DK"/>
              </w:rPr>
            </w:pPr>
            <w:r w:rsidRPr="00E11E3E">
              <w:rPr>
                <w:lang w:val="da-DK"/>
              </w:rPr>
              <w:t>Frisk rødt blod i afføring Tandkødsblødning</w:t>
            </w:r>
          </w:p>
        </w:tc>
        <w:tc>
          <w:tcPr>
            <w:tcW w:w="1056" w:type="pct"/>
            <w:tcBorders>
              <w:top w:val="single" w:sz="8" w:space="0" w:color="000000"/>
              <w:left w:val="single" w:sz="8" w:space="0" w:color="000000"/>
              <w:bottom w:val="single" w:sz="8" w:space="0" w:color="000000"/>
              <w:right w:val="single" w:sz="8" w:space="0" w:color="000000"/>
            </w:tcBorders>
          </w:tcPr>
          <w:p w14:paraId="0127EC94" w14:textId="77777777" w:rsidR="00D21C07" w:rsidRPr="00E11E3E" w:rsidRDefault="00D21C07" w:rsidP="00E11E3E">
            <w:pPr>
              <w:pStyle w:val="TableParagraph"/>
              <w:ind w:left="122" w:right="27"/>
              <w:rPr>
                <w:lang w:val="da-DK"/>
              </w:rPr>
            </w:pPr>
          </w:p>
        </w:tc>
        <w:tc>
          <w:tcPr>
            <w:tcW w:w="1024" w:type="pct"/>
            <w:tcBorders>
              <w:top w:val="single" w:sz="8" w:space="0" w:color="000000"/>
              <w:left w:val="single" w:sz="8" w:space="0" w:color="000000"/>
              <w:bottom w:val="single" w:sz="8" w:space="0" w:color="000000"/>
              <w:right w:val="single" w:sz="8" w:space="0" w:color="000000"/>
            </w:tcBorders>
          </w:tcPr>
          <w:p w14:paraId="73AB9E36" w14:textId="77777777" w:rsidR="00D21C07" w:rsidRPr="00E11E3E" w:rsidRDefault="00D21C07" w:rsidP="00E11E3E">
            <w:pPr>
              <w:pStyle w:val="TableParagraph"/>
              <w:ind w:left="122" w:right="27"/>
              <w:rPr>
                <w:lang w:val="da-DK"/>
              </w:rPr>
            </w:pPr>
          </w:p>
        </w:tc>
      </w:tr>
      <w:tr w:rsidR="00D21C07" w14:paraId="51180149" w14:textId="77777777" w:rsidTr="00C52F9A">
        <w:trPr>
          <w:trHeight w:val="280"/>
        </w:trPr>
        <w:tc>
          <w:tcPr>
            <w:tcW w:w="974"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7B7F34BE" w14:textId="77777777" w:rsidR="00D21C07" w:rsidRPr="00E11E3E" w:rsidRDefault="00D21C07" w:rsidP="00E11E3E">
            <w:pPr>
              <w:pStyle w:val="TableParagraph"/>
              <w:ind w:left="122" w:right="27"/>
              <w:rPr>
                <w:i/>
                <w:iCs/>
              </w:rPr>
            </w:pPr>
            <w:r w:rsidRPr="00E11E3E">
              <w:rPr>
                <w:i/>
                <w:iCs/>
                <w:lang w:val="da-DK"/>
              </w:rPr>
              <w:t>Hud og subkutant</w:t>
            </w:r>
          </w:p>
          <w:p w14:paraId="5A175C66" w14:textId="77777777" w:rsidR="00D21C07" w:rsidRPr="00E11E3E" w:rsidRDefault="00D21C07" w:rsidP="00E11E3E">
            <w:pPr>
              <w:pStyle w:val="TableParagraph"/>
              <w:ind w:left="122" w:right="27"/>
              <w:rPr>
                <w:i/>
                <w:iCs/>
              </w:rPr>
            </w:pPr>
            <w:r w:rsidRPr="00E11E3E">
              <w:rPr>
                <w:i/>
                <w:iCs/>
                <w:lang w:val="da-DK"/>
              </w:rPr>
              <w:t>væv</w:t>
            </w:r>
          </w:p>
        </w:tc>
        <w:tc>
          <w:tcPr>
            <w:tcW w:w="968" w:type="pct"/>
            <w:tcBorders>
              <w:top w:val="single" w:sz="8" w:space="0" w:color="000000"/>
              <w:left w:val="single" w:sz="8" w:space="0" w:color="000000"/>
              <w:bottom w:val="single" w:sz="8" w:space="0" w:color="000000"/>
              <w:right w:val="single" w:sz="8" w:space="0" w:color="000000"/>
            </w:tcBorders>
            <w:hideMark/>
          </w:tcPr>
          <w:p w14:paraId="4D40AD2A" w14:textId="77777777" w:rsidR="00D21C07" w:rsidRPr="00E11E3E" w:rsidRDefault="00D21C07" w:rsidP="00E11E3E">
            <w:pPr>
              <w:pStyle w:val="TableParagraph"/>
              <w:ind w:left="122" w:right="27"/>
            </w:pPr>
            <w:r w:rsidRPr="00E11E3E">
              <w:rPr>
                <w:lang w:val="da-DK"/>
              </w:rPr>
              <w:t xml:space="preserve">Udslæt </w:t>
            </w:r>
          </w:p>
          <w:p w14:paraId="4540049E" w14:textId="77777777" w:rsidR="00D21C07" w:rsidRPr="00E11E3E" w:rsidRDefault="00D21C07" w:rsidP="00E11E3E">
            <w:pPr>
              <w:pStyle w:val="TableParagraph"/>
              <w:ind w:left="122" w:right="27"/>
            </w:pPr>
            <w:proofErr w:type="spellStart"/>
            <w:r w:rsidRPr="00E11E3E">
              <w:rPr>
                <w:lang w:val="da-DK"/>
              </w:rPr>
              <w:t>Ekkymose</w:t>
            </w:r>
            <w:proofErr w:type="spellEnd"/>
          </w:p>
        </w:tc>
        <w:tc>
          <w:tcPr>
            <w:tcW w:w="979" w:type="pct"/>
            <w:tcBorders>
              <w:top w:val="single" w:sz="8" w:space="0" w:color="000000"/>
              <w:left w:val="single" w:sz="8" w:space="0" w:color="000000"/>
              <w:bottom w:val="single" w:sz="8" w:space="0" w:color="000000"/>
              <w:right w:val="single" w:sz="8" w:space="0" w:color="000000"/>
            </w:tcBorders>
          </w:tcPr>
          <w:p w14:paraId="43FDEB81" w14:textId="77777777" w:rsidR="00D21C07" w:rsidRPr="00E11E3E" w:rsidRDefault="00D21C07" w:rsidP="00E11E3E">
            <w:pPr>
              <w:pStyle w:val="TableParagraph"/>
              <w:ind w:left="122" w:right="27"/>
            </w:pPr>
          </w:p>
        </w:tc>
        <w:tc>
          <w:tcPr>
            <w:tcW w:w="1056" w:type="pct"/>
            <w:tcBorders>
              <w:top w:val="single" w:sz="8" w:space="0" w:color="000000"/>
              <w:left w:val="single" w:sz="8" w:space="0" w:color="000000"/>
              <w:bottom w:val="single" w:sz="8" w:space="0" w:color="000000"/>
              <w:right w:val="single" w:sz="8" w:space="0" w:color="000000"/>
            </w:tcBorders>
          </w:tcPr>
          <w:p w14:paraId="7F407FFD" w14:textId="77777777" w:rsidR="00D21C07" w:rsidRPr="00E11E3E" w:rsidRDefault="00D21C07" w:rsidP="00E11E3E">
            <w:pPr>
              <w:pStyle w:val="TableParagraph"/>
              <w:ind w:left="122" w:right="27"/>
            </w:pPr>
          </w:p>
        </w:tc>
        <w:tc>
          <w:tcPr>
            <w:tcW w:w="1024" w:type="pct"/>
            <w:tcBorders>
              <w:top w:val="single" w:sz="8" w:space="0" w:color="000000"/>
              <w:left w:val="single" w:sz="8" w:space="0" w:color="000000"/>
              <w:bottom w:val="single" w:sz="8" w:space="0" w:color="000000"/>
              <w:right w:val="single" w:sz="8" w:space="0" w:color="000000"/>
            </w:tcBorders>
          </w:tcPr>
          <w:p w14:paraId="687AFBBA" w14:textId="77777777" w:rsidR="00D21C07" w:rsidRPr="00E11E3E" w:rsidRDefault="00D21C07" w:rsidP="00E11E3E">
            <w:pPr>
              <w:pStyle w:val="TableParagraph"/>
              <w:ind w:left="122" w:right="27"/>
            </w:pPr>
          </w:p>
        </w:tc>
      </w:tr>
      <w:tr w:rsidR="00D21C07" w14:paraId="0D743DC8" w14:textId="77777777" w:rsidTr="00C52F9A">
        <w:trPr>
          <w:trHeight w:val="534"/>
        </w:trPr>
        <w:tc>
          <w:tcPr>
            <w:tcW w:w="974"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20F62AE2" w14:textId="77777777" w:rsidR="00D21C07" w:rsidRPr="00E11E3E" w:rsidRDefault="00D21C07" w:rsidP="00E11E3E">
            <w:pPr>
              <w:pStyle w:val="TableParagraph"/>
              <w:ind w:left="122" w:right="27"/>
              <w:rPr>
                <w:i/>
                <w:iCs/>
              </w:rPr>
            </w:pPr>
            <w:r w:rsidRPr="00E11E3E">
              <w:rPr>
                <w:i/>
                <w:iCs/>
                <w:lang w:val="da-DK"/>
              </w:rPr>
              <w:t xml:space="preserve">Nyre- og </w:t>
            </w:r>
            <w:proofErr w:type="spellStart"/>
            <w:r w:rsidRPr="00E11E3E">
              <w:rPr>
                <w:i/>
                <w:iCs/>
                <w:lang w:val="da-DK"/>
              </w:rPr>
              <w:t>urinvej</w:t>
            </w:r>
            <w:proofErr w:type="spellEnd"/>
          </w:p>
        </w:tc>
        <w:tc>
          <w:tcPr>
            <w:tcW w:w="968" w:type="pct"/>
            <w:tcBorders>
              <w:top w:val="single" w:sz="8" w:space="0" w:color="000000"/>
              <w:left w:val="single" w:sz="8" w:space="0" w:color="000000"/>
              <w:bottom w:val="single" w:sz="8" w:space="0" w:color="000000"/>
              <w:right w:val="single" w:sz="8" w:space="0" w:color="000000"/>
            </w:tcBorders>
            <w:hideMark/>
          </w:tcPr>
          <w:p w14:paraId="1ED7E005" w14:textId="77777777" w:rsidR="00D21C07" w:rsidRPr="00E11E3E" w:rsidRDefault="00D21C07" w:rsidP="00E11E3E">
            <w:pPr>
              <w:pStyle w:val="TableParagraph"/>
              <w:ind w:left="122" w:right="27"/>
            </w:pPr>
            <w:r w:rsidRPr="00E11E3E">
              <w:rPr>
                <w:lang w:val="da-DK"/>
              </w:rPr>
              <w:t>Blod i urinen</w:t>
            </w:r>
          </w:p>
        </w:tc>
        <w:tc>
          <w:tcPr>
            <w:tcW w:w="979" w:type="pct"/>
            <w:tcBorders>
              <w:top w:val="single" w:sz="8" w:space="0" w:color="000000"/>
              <w:left w:val="single" w:sz="8" w:space="0" w:color="000000"/>
              <w:bottom w:val="single" w:sz="8" w:space="0" w:color="000000"/>
              <w:right w:val="single" w:sz="8" w:space="0" w:color="000000"/>
            </w:tcBorders>
          </w:tcPr>
          <w:p w14:paraId="5AB9D0F8" w14:textId="77777777" w:rsidR="00D21C07" w:rsidRPr="00E11E3E" w:rsidRDefault="00D21C07" w:rsidP="00E11E3E">
            <w:pPr>
              <w:pStyle w:val="TableParagraph"/>
              <w:ind w:left="122" w:right="27"/>
            </w:pPr>
          </w:p>
        </w:tc>
        <w:tc>
          <w:tcPr>
            <w:tcW w:w="1056" w:type="pct"/>
            <w:tcBorders>
              <w:top w:val="single" w:sz="8" w:space="0" w:color="000000"/>
              <w:left w:val="single" w:sz="8" w:space="0" w:color="000000"/>
              <w:bottom w:val="single" w:sz="8" w:space="0" w:color="000000"/>
              <w:right w:val="single" w:sz="8" w:space="0" w:color="000000"/>
            </w:tcBorders>
          </w:tcPr>
          <w:p w14:paraId="259299EE" w14:textId="77777777" w:rsidR="00D21C07" w:rsidRPr="00E11E3E" w:rsidRDefault="00D21C07" w:rsidP="00E11E3E">
            <w:pPr>
              <w:pStyle w:val="TableParagraph"/>
              <w:ind w:left="122" w:right="27"/>
            </w:pPr>
          </w:p>
        </w:tc>
        <w:tc>
          <w:tcPr>
            <w:tcW w:w="1024" w:type="pct"/>
            <w:tcBorders>
              <w:top w:val="single" w:sz="8" w:space="0" w:color="000000"/>
              <w:left w:val="single" w:sz="8" w:space="0" w:color="000000"/>
              <w:bottom w:val="single" w:sz="8" w:space="0" w:color="000000"/>
              <w:right w:val="single" w:sz="8" w:space="0" w:color="000000"/>
            </w:tcBorders>
          </w:tcPr>
          <w:p w14:paraId="0427FF27" w14:textId="77777777" w:rsidR="00D21C07" w:rsidRPr="00E11E3E" w:rsidRDefault="00D21C07" w:rsidP="00E11E3E">
            <w:pPr>
              <w:pStyle w:val="TableParagraph"/>
              <w:ind w:left="122" w:right="27"/>
            </w:pPr>
          </w:p>
        </w:tc>
      </w:tr>
      <w:tr w:rsidR="00D21C07" w14:paraId="5721A55B" w14:textId="77777777" w:rsidTr="00C52F9A">
        <w:trPr>
          <w:trHeight w:val="534"/>
        </w:trPr>
        <w:tc>
          <w:tcPr>
            <w:tcW w:w="974"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3F72E77D" w14:textId="77777777" w:rsidR="00D21C07" w:rsidRPr="00E11E3E" w:rsidRDefault="00D21C07" w:rsidP="00E11E3E">
            <w:pPr>
              <w:pStyle w:val="TableParagraph"/>
              <w:ind w:left="122" w:right="27"/>
              <w:rPr>
                <w:i/>
                <w:iCs/>
                <w:lang w:val="da-DK"/>
              </w:rPr>
            </w:pPr>
            <w:r w:rsidRPr="00E11E3E">
              <w:rPr>
                <w:i/>
                <w:iCs/>
                <w:lang w:val="da-DK"/>
              </w:rPr>
              <w:t>Almene symptomer og reaktioner på administrations-</w:t>
            </w:r>
          </w:p>
          <w:p w14:paraId="36278B57" w14:textId="77777777" w:rsidR="00D21C07" w:rsidRPr="00E11E3E" w:rsidRDefault="00D21C07" w:rsidP="00E11E3E">
            <w:pPr>
              <w:pStyle w:val="TableParagraph"/>
              <w:ind w:left="122" w:right="27"/>
              <w:rPr>
                <w:i/>
                <w:iCs/>
              </w:rPr>
            </w:pPr>
            <w:r w:rsidRPr="00E11E3E">
              <w:rPr>
                <w:i/>
                <w:iCs/>
                <w:lang w:val="da-DK"/>
              </w:rPr>
              <w:t>stedet</w:t>
            </w:r>
          </w:p>
        </w:tc>
        <w:tc>
          <w:tcPr>
            <w:tcW w:w="968" w:type="pct"/>
            <w:tcBorders>
              <w:top w:val="single" w:sz="8" w:space="0" w:color="000000"/>
              <w:left w:val="single" w:sz="8" w:space="0" w:color="000000"/>
              <w:bottom w:val="single" w:sz="8" w:space="0" w:color="000000"/>
              <w:right w:val="single" w:sz="8" w:space="0" w:color="000000"/>
            </w:tcBorders>
            <w:hideMark/>
          </w:tcPr>
          <w:p w14:paraId="261955C9" w14:textId="77777777" w:rsidR="00D21C07" w:rsidRPr="00E11E3E" w:rsidRDefault="00D21C07" w:rsidP="00E11E3E">
            <w:pPr>
              <w:pStyle w:val="TableParagraph"/>
              <w:ind w:left="122" w:right="27"/>
              <w:rPr>
                <w:lang w:val="da-DK"/>
              </w:rPr>
            </w:pPr>
            <w:r w:rsidRPr="00E11E3E">
              <w:rPr>
                <w:lang w:val="da-DK"/>
              </w:rPr>
              <w:t>Blødning i kar ved injektionssted Blødning ved</w:t>
            </w:r>
          </w:p>
          <w:p w14:paraId="34FCB6F1" w14:textId="77777777" w:rsidR="00D21C07" w:rsidRPr="00E11E3E" w:rsidRDefault="00D21C07" w:rsidP="00E11E3E">
            <w:pPr>
              <w:pStyle w:val="TableParagraph"/>
              <w:ind w:left="122" w:right="27"/>
            </w:pPr>
            <w:r w:rsidRPr="00E11E3E">
              <w:rPr>
                <w:lang w:val="da-DK"/>
              </w:rPr>
              <w:t>injektionssted</w:t>
            </w:r>
          </w:p>
        </w:tc>
        <w:tc>
          <w:tcPr>
            <w:tcW w:w="979" w:type="pct"/>
            <w:tcBorders>
              <w:top w:val="single" w:sz="8" w:space="0" w:color="000000"/>
              <w:left w:val="single" w:sz="8" w:space="0" w:color="000000"/>
              <w:bottom w:val="single" w:sz="8" w:space="0" w:color="000000"/>
              <w:right w:val="single" w:sz="8" w:space="0" w:color="000000"/>
            </w:tcBorders>
          </w:tcPr>
          <w:p w14:paraId="5E031ADC" w14:textId="77777777" w:rsidR="00D21C07" w:rsidRPr="00E11E3E" w:rsidRDefault="00D21C07" w:rsidP="00E11E3E">
            <w:pPr>
              <w:pStyle w:val="TableParagraph"/>
              <w:ind w:left="122" w:right="27"/>
            </w:pPr>
          </w:p>
        </w:tc>
        <w:tc>
          <w:tcPr>
            <w:tcW w:w="1056" w:type="pct"/>
            <w:tcBorders>
              <w:top w:val="single" w:sz="8" w:space="0" w:color="000000"/>
              <w:left w:val="single" w:sz="8" w:space="0" w:color="000000"/>
              <w:bottom w:val="single" w:sz="8" w:space="0" w:color="000000"/>
              <w:right w:val="single" w:sz="8" w:space="0" w:color="000000"/>
            </w:tcBorders>
          </w:tcPr>
          <w:p w14:paraId="382A458F" w14:textId="77777777" w:rsidR="00D21C07" w:rsidRPr="00E11E3E" w:rsidRDefault="00D21C07" w:rsidP="00E11E3E">
            <w:pPr>
              <w:pStyle w:val="TableParagraph"/>
              <w:ind w:left="122" w:right="27"/>
            </w:pPr>
          </w:p>
        </w:tc>
        <w:tc>
          <w:tcPr>
            <w:tcW w:w="1024" w:type="pct"/>
            <w:tcBorders>
              <w:top w:val="single" w:sz="8" w:space="0" w:color="000000"/>
              <w:left w:val="single" w:sz="8" w:space="0" w:color="000000"/>
              <w:bottom w:val="single" w:sz="8" w:space="0" w:color="000000"/>
              <w:right w:val="single" w:sz="8" w:space="0" w:color="000000"/>
            </w:tcBorders>
          </w:tcPr>
          <w:p w14:paraId="48BB5E68" w14:textId="77777777" w:rsidR="00D21C07" w:rsidRPr="00E11E3E" w:rsidRDefault="00D21C07" w:rsidP="00E11E3E">
            <w:pPr>
              <w:pStyle w:val="TableParagraph"/>
              <w:ind w:left="122" w:right="27"/>
            </w:pPr>
          </w:p>
        </w:tc>
      </w:tr>
      <w:tr w:rsidR="00D21C07" w14:paraId="51E386F7" w14:textId="77777777" w:rsidTr="00C52F9A">
        <w:trPr>
          <w:trHeight w:val="1041"/>
        </w:trPr>
        <w:tc>
          <w:tcPr>
            <w:tcW w:w="974"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40D16B47" w14:textId="77777777" w:rsidR="00D21C07" w:rsidRPr="00E11E3E" w:rsidRDefault="00D21C07" w:rsidP="00E11E3E">
            <w:pPr>
              <w:pStyle w:val="TableParagraph"/>
              <w:ind w:left="122" w:right="27"/>
              <w:rPr>
                <w:i/>
                <w:iCs/>
                <w:lang w:val="da-DK"/>
              </w:rPr>
            </w:pPr>
            <w:r w:rsidRPr="00E11E3E">
              <w:rPr>
                <w:lang w:val="da-DK"/>
              </w:rPr>
              <w:t>Traumer, forgiftninger</w:t>
            </w:r>
          </w:p>
          <w:p w14:paraId="3D0D46C1" w14:textId="77777777" w:rsidR="00D21C07" w:rsidRPr="00E11E3E" w:rsidRDefault="00D21C07" w:rsidP="00E11E3E">
            <w:pPr>
              <w:pStyle w:val="TableParagraph"/>
              <w:ind w:left="122" w:right="27"/>
              <w:rPr>
                <w:i/>
                <w:iCs/>
                <w:lang w:val="da-DK"/>
              </w:rPr>
            </w:pPr>
            <w:r w:rsidRPr="00E11E3E">
              <w:rPr>
                <w:lang w:val="da-DK"/>
              </w:rPr>
              <w:t>og behandlings-komplikationer</w:t>
            </w:r>
          </w:p>
        </w:tc>
        <w:tc>
          <w:tcPr>
            <w:tcW w:w="968" w:type="pct"/>
            <w:tcBorders>
              <w:top w:val="single" w:sz="8" w:space="0" w:color="000000"/>
              <w:left w:val="single" w:sz="8" w:space="0" w:color="000000"/>
              <w:bottom w:val="single" w:sz="8" w:space="0" w:color="000000"/>
              <w:right w:val="single" w:sz="8" w:space="0" w:color="000000"/>
            </w:tcBorders>
          </w:tcPr>
          <w:p w14:paraId="214319FF" w14:textId="77777777" w:rsidR="00D21C07" w:rsidRPr="00E11E3E" w:rsidRDefault="00D21C07" w:rsidP="00E11E3E">
            <w:pPr>
              <w:pStyle w:val="TableParagraph"/>
              <w:ind w:left="122" w:right="27"/>
            </w:pPr>
            <w:r w:rsidRPr="00E11E3E">
              <w:rPr>
                <w:lang w:val="da-DK"/>
              </w:rPr>
              <w:t>Kontusion</w:t>
            </w:r>
          </w:p>
        </w:tc>
        <w:tc>
          <w:tcPr>
            <w:tcW w:w="979" w:type="pct"/>
            <w:tcBorders>
              <w:top w:val="single" w:sz="8" w:space="0" w:color="000000"/>
              <w:left w:val="single" w:sz="8" w:space="0" w:color="000000"/>
              <w:bottom w:val="single" w:sz="8" w:space="0" w:color="000000"/>
              <w:right w:val="single" w:sz="8" w:space="0" w:color="000000"/>
            </w:tcBorders>
            <w:hideMark/>
          </w:tcPr>
          <w:p w14:paraId="26491F8F" w14:textId="77777777" w:rsidR="00D21C07" w:rsidRPr="00E11E3E" w:rsidRDefault="00D21C07" w:rsidP="00E11E3E">
            <w:pPr>
              <w:pStyle w:val="TableParagraph"/>
              <w:ind w:left="122" w:right="27"/>
            </w:pPr>
            <w:r w:rsidRPr="00E11E3E">
              <w:rPr>
                <w:lang w:val="da-DK"/>
              </w:rPr>
              <w:t>Blødning efter behandling</w:t>
            </w:r>
          </w:p>
        </w:tc>
        <w:tc>
          <w:tcPr>
            <w:tcW w:w="1056" w:type="pct"/>
            <w:tcBorders>
              <w:top w:val="single" w:sz="8" w:space="0" w:color="000000"/>
              <w:left w:val="single" w:sz="8" w:space="0" w:color="000000"/>
              <w:bottom w:val="single" w:sz="8" w:space="0" w:color="000000"/>
              <w:right w:val="single" w:sz="8" w:space="0" w:color="000000"/>
            </w:tcBorders>
            <w:hideMark/>
          </w:tcPr>
          <w:p w14:paraId="5E4C7535" w14:textId="77777777" w:rsidR="00D21C07" w:rsidRPr="00E11E3E" w:rsidRDefault="00D21C07" w:rsidP="00E11E3E">
            <w:pPr>
              <w:pStyle w:val="TableParagraph"/>
              <w:ind w:left="122" w:right="27"/>
            </w:pPr>
            <w:r w:rsidRPr="00E11E3E">
              <w:rPr>
                <w:lang w:val="da-DK"/>
              </w:rPr>
              <w:t xml:space="preserve">Subkutant </w:t>
            </w:r>
            <w:proofErr w:type="spellStart"/>
            <w:r w:rsidRPr="00E11E3E">
              <w:rPr>
                <w:lang w:val="da-DK"/>
              </w:rPr>
              <w:t>hæmatom</w:t>
            </w:r>
            <w:proofErr w:type="spellEnd"/>
          </w:p>
        </w:tc>
        <w:tc>
          <w:tcPr>
            <w:tcW w:w="1024" w:type="pct"/>
            <w:tcBorders>
              <w:top w:val="single" w:sz="8" w:space="0" w:color="000000"/>
              <w:left w:val="single" w:sz="8" w:space="0" w:color="000000"/>
              <w:bottom w:val="single" w:sz="8" w:space="0" w:color="000000"/>
              <w:right w:val="single" w:sz="8" w:space="0" w:color="000000"/>
            </w:tcBorders>
          </w:tcPr>
          <w:p w14:paraId="36395E4D" w14:textId="77777777" w:rsidR="00D21C07" w:rsidRPr="00E11E3E" w:rsidRDefault="00D21C07" w:rsidP="00E11E3E">
            <w:pPr>
              <w:pStyle w:val="TableParagraph"/>
              <w:ind w:left="122" w:right="27"/>
            </w:pPr>
          </w:p>
        </w:tc>
      </w:tr>
    </w:tbl>
    <w:p w14:paraId="20BD8727" w14:textId="77777777" w:rsidR="00D21C07" w:rsidRPr="00C52F9A" w:rsidRDefault="00D21C07" w:rsidP="00C52F9A">
      <w:pPr>
        <w:ind w:left="851"/>
        <w:rPr>
          <w:sz w:val="24"/>
          <w:szCs w:val="24"/>
        </w:rPr>
      </w:pPr>
    </w:p>
    <w:p w14:paraId="21F69958" w14:textId="77777777" w:rsidR="00D21C07" w:rsidRPr="00C52F9A" w:rsidRDefault="00D21C07" w:rsidP="00C52F9A">
      <w:pPr>
        <w:ind w:left="851"/>
        <w:rPr>
          <w:sz w:val="24"/>
          <w:szCs w:val="24"/>
        </w:rPr>
      </w:pPr>
      <w:r w:rsidRPr="00C52F9A">
        <w:rPr>
          <w:sz w:val="24"/>
          <w:szCs w:val="24"/>
        </w:rPr>
        <w:t xml:space="preserve">Hos patienter med eller uden tidligere tilfælde af TIA eller slagtilfælde var </w:t>
      </w:r>
      <w:proofErr w:type="spellStart"/>
      <w:r w:rsidRPr="00C52F9A">
        <w:rPr>
          <w:sz w:val="24"/>
          <w:szCs w:val="24"/>
        </w:rPr>
        <w:t>incidensen</w:t>
      </w:r>
      <w:proofErr w:type="spellEnd"/>
      <w:r w:rsidRPr="00C52F9A">
        <w:rPr>
          <w:sz w:val="24"/>
          <w:szCs w:val="24"/>
        </w:rPr>
        <w:t xml:space="preserve"> af slagtilfælde i det kliniske fase 3-forsøg som følger (se pkt. 4.4):</w:t>
      </w:r>
    </w:p>
    <w:tbl>
      <w:tblPr>
        <w:tblpPr w:leftFromText="141" w:rightFromText="141" w:vertAnchor="text" w:horzAnchor="margin" w:tblpY="164"/>
        <w:tblW w:w="5000" w:type="pct"/>
        <w:tblCellMar>
          <w:left w:w="10" w:type="dxa"/>
          <w:right w:w="10" w:type="dxa"/>
        </w:tblCellMar>
        <w:tblLook w:val="01E0" w:firstRow="1" w:lastRow="1" w:firstColumn="1" w:lastColumn="1" w:noHBand="0" w:noVBand="0"/>
      </w:tblPr>
      <w:tblGrid>
        <w:gridCol w:w="3209"/>
        <w:gridCol w:w="3199"/>
        <w:gridCol w:w="3210"/>
      </w:tblGrid>
      <w:tr w:rsidR="00D21C07" w14:paraId="1EFFF7B1" w14:textId="77777777" w:rsidTr="00C52F9A">
        <w:trPr>
          <w:trHeight w:val="282"/>
        </w:trPr>
        <w:tc>
          <w:tcPr>
            <w:tcW w:w="1668"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0C6584F6" w14:textId="77777777" w:rsidR="00D21C07" w:rsidRDefault="00D21C07">
            <w:pPr>
              <w:pStyle w:val="TableParagraph"/>
              <w:rPr>
                <w:lang w:val="da-DK"/>
              </w:rPr>
            </w:pPr>
            <w:r>
              <w:rPr>
                <w:lang w:val="da-DK"/>
              </w:rPr>
              <w:t>Tidligere tilfælde af TIA eller slagtilfælde</w:t>
            </w:r>
          </w:p>
        </w:tc>
        <w:tc>
          <w:tcPr>
            <w:tcW w:w="166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2DAA897D" w14:textId="77777777" w:rsidR="00D21C07" w:rsidRDefault="00D21C07">
            <w:pPr>
              <w:pStyle w:val="TableParagraph"/>
            </w:pPr>
            <w:proofErr w:type="spellStart"/>
            <w:r>
              <w:rPr>
                <w:lang w:val="da-DK"/>
              </w:rPr>
              <w:t>Prasugrel</w:t>
            </w:r>
            <w:proofErr w:type="spellEnd"/>
          </w:p>
        </w:tc>
        <w:tc>
          <w:tcPr>
            <w:tcW w:w="16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02695C20" w14:textId="77777777" w:rsidR="00D21C07" w:rsidRDefault="00D21C07">
            <w:pPr>
              <w:pStyle w:val="TableParagraph"/>
              <w:ind w:left="70"/>
            </w:pPr>
            <w:proofErr w:type="spellStart"/>
            <w:r>
              <w:rPr>
                <w:lang w:val="da-DK"/>
              </w:rPr>
              <w:t>Clopidogrel</w:t>
            </w:r>
            <w:proofErr w:type="spellEnd"/>
          </w:p>
        </w:tc>
      </w:tr>
      <w:tr w:rsidR="00D21C07" w14:paraId="5F190759" w14:textId="77777777" w:rsidTr="00C52F9A">
        <w:trPr>
          <w:trHeight w:val="280"/>
        </w:trPr>
        <w:tc>
          <w:tcPr>
            <w:tcW w:w="1668" w:type="pct"/>
            <w:tcBorders>
              <w:top w:val="single" w:sz="8" w:space="0" w:color="000000"/>
              <w:left w:val="single" w:sz="8" w:space="0" w:color="000000"/>
              <w:bottom w:val="single" w:sz="8" w:space="0" w:color="000000"/>
              <w:right w:val="single" w:sz="8" w:space="0" w:color="000000"/>
            </w:tcBorders>
            <w:hideMark/>
          </w:tcPr>
          <w:p w14:paraId="5CCE0064" w14:textId="77777777" w:rsidR="00D21C07" w:rsidRDefault="00D21C07">
            <w:pPr>
              <w:pStyle w:val="TableParagraph"/>
            </w:pPr>
            <w:r>
              <w:rPr>
                <w:lang w:val="da-DK"/>
              </w:rPr>
              <w:t>Ja (N=518)</w:t>
            </w:r>
          </w:p>
        </w:tc>
        <w:tc>
          <w:tcPr>
            <w:tcW w:w="1663" w:type="pct"/>
            <w:tcBorders>
              <w:top w:val="single" w:sz="8" w:space="0" w:color="000000"/>
              <w:left w:val="single" w:sz="8" w:space="0" w:color="000000"/>
              <w:bottom w:val="single" w:sz="8" w:space="0" w:color="000000"/>
              <w:right w:val="single" w:sz="8" w:space="0" w:color="000000"/>
            </w:tcBorders>
            <w:hideMark/>
          </w:tcPr>
          <w:p w14:paraId="65F1EAEC" w14:textId="77777777" w:rsidR="00D21C07" w:rsidRDefault="00D21C07">
            <w:pPr>
              <w:pStyle w:val="TableParagraph"/>
            </w:pPr>
            <w:r>
              <w:rPr>
                <w:lang w:val="da-DK"/>
              </w:rPr>
              <w:t>6,5 % (2,3 % ICH*)</w:t>
            </w:r>
          </w:p>
        </w:tc>
        <w:tc>
          <w:tcPr>
            <w:tcW w:w="1669" w:type="pct"/>
            <w:tcBorders>
              <w:top w:val="single" w:sz="8" w:space="0" w:color="000000"/>
              <w:left w:val="single" w:sz="8" w:space="0" w:color="000000"/>
              <w:bottom w:val="single" w:sz="8" w:space="0" w:color="000000"/>
              <w:right w:val="single" w:sz="8" w:space="0" w:color="000000"/>
            </w:tcBorders>
            <w:hideMark/>
          </w:tcPr>
          <w:p w14:paraId="0CCE3D79" w14:textId="77777777" w:rsidR="00D21C07" w:rsidRDefault="00D21C07">
            <w:pPr>
              <w:pStyle w:val="TableParagraph"/>
              <w:ind w:left="70"/>
            </w:pPr>
            <w:r>
              <w:rPr>
                <w:lang w:val="da-DK"/>
              </w:rPr>
              <w:t>1,2 % (0 % ICH*)</w:t>
            </w:r>
          </w:p>
        </w:tc>
      </w:tr>
      <w:tr w:rsidR="00D21C07" w14:paraId="543ECD3A" w14:textId="77777777" w:rsidTr="00C52F9A">
        <w:trPr>
          <w:trHeight w:val="282"/>
        </w:trPr>
        <w:tc>
          <w:tcPr>
            <w:tcW w:w="1668" w:type="pct"/>
            <w:tcBorders>
              <w:top w:val="single" w:sz="8" w:space="0" w:color="000000"/>
              <w:left w:val="single" w:sz="8" w:space="0" w:color="000000"/>
              <w:bottom w:val="single" w:sz="8" w:space="0" w:color="000000"/>
              <w:right w:val="single" w:sz="8" w:space="0" w:color="000000"/>
            </w:tcBorders>
            <w:hideMark/>
          </w:tcPr>
          <w:p w14:paraId="5E3BCA9B" w14:textId="77777777" w:rsidR="00D21C07" w:rsidRDefault="00D21C07">
            <w:pPr>
              <w:pStyle w:val="TableParagraph"/>
            </w:pPr>
            <w:r>
              <w:rPr>
                <w:lang w:val="da-DK"/>
              </w:rPr>
              <w:t>Nej (N=13.090)</w:t>
            </w:r>
          </w:p>
        </w:tc>
        <w:tc>
          <w:tcPr>
            <w:tcW w:w="1663" w:type="pct"/>
            <w:tcBorders>
              <w:top w:val="single" w:sz="8" w:space="0" w:color="000000"/>
              <w:left w:val="single" w:sz="8" w:space="0" w:color="000000"/>
              <w:bottom w:val="single" w:sz="8" w:space="0" w:color="000000"/>
              <w:right w:val="single" w:sz="8" w:space="0" w:color="000000"/>
            </w:tcBorders>
            <w:hideMark/>
          </w:tcPr>
          <w:p w14:paraId="36D87E04" w14:textId="77777777" w:rsidR="00D21C07" w:rsidRDefault="00D21C07">
            <w:pPr>
              <w:pStyle w:val="TableParagraph"/>
            </w:pPr>
            <w:r>
              <w:rPr>
                <w:lang w:val="da-DK"/>
              </w:rPr>
              <w:t>0,9 % (0,2 % ICH*)</w:t>
            </w:r>
          </w:p>
        </w:tc>
        <w:tc>
          <w:tcPr>
            <w:tcW w:w="1669" w:type="pct"/>
            <w:tcBorders>
              <w:top w:val="single" w:sz="8" w:space="0" w:color="000000"/>
              <w:left w:val="single" w:sz="8" w:space="0" w:color="000000"/>
              <w:bottom w:val="single" w:sz="8" w:space="0" w:color="000000"/>
              <w:right w:val="single" w:sz="8" w:space="0" w:color="000000"/>
            </w:tcBorders>
            <w:hideMark/>
          </w:tcPr>
          <w:p w14:paraId="2A6733E6" w14:textId="77777777" w:rsidR="00D21C07" w:rsidRDefault="00D21C07">
            <w:pPr>
              <w:pStyle w:val="TableParagraph"/>
              <w:ind w:left="70"/>
            </w:pPr>
            <w:r>
              <w:rPr>
                <w:lang w:val="da-DK"/>
              </w:rPr>
              <w:t>1,0 % (0,3 % ICH*)</w:t>
            </w:r>
          </w:p>
        </w:tc>
      </w:tr>
    </w:tbl>
    <w:p w14:paraId="1E4E6378" w14:textId="77777777" w:rsidR="00D21C07" w:rsidRDefault="00D21C07" w:rsidP="00D21C07">
      <w:pPr>
        <w:tabs>
          <w:tab w:val="left" w:pos="780"/>
        </w:tabs>
        <w:rPr>
          <w:szCs w:val="22"/>
        </w:rPr>
      </w:pPr>
      <w:r>
        <w:rPr>
          <w:szCs w:val="22"/>
        </w:rPr>
        <w:t xml:space="preserve">*ICH = </w:t>
      </w:r>
      <w:proofErr w:type="spellStart"/>
      <w:r>
        <w:rPr>
          <w:szCs w:val="22"/>
        </w:rPr>
        <w:t>intrakraniel</w:t>
      </w:r>
      <w:proofErr w:type="spellEnd"/>
      <w:r>
        <w:rPr>
          <w:szCs w:val="22"/>
        </w:rPr>
        <w:t xml:space="preserve"> blødning.</w:t>
      </w:r>
    </w:p>
    <w:p w14:paraId="404AAF5C" w14:textId="77777777" w:rsidR="00D21C07" w:rsidRPr="00D21C07" w:rsidRDefault="00D21C07" w:rsidP="00D21C07">
      <w:pPr>
        <w:ind w:left="851"/>
        <w:rPr>
          <w:sz w:val="24"/>
          <w:szCs w:val="24"/>
        </w:rPr>
      </w:pPr>
    </w:p>
    <w:p w14:paraId="0C36422E" w14:textId="77777777" w:rsidR="00D21C07" w:rsidRPr="00D21C07" w:rsidRDefault="00D21C07" w:rsidP="00D21C07">
      <w:pPr>
        <w:ind w:left="851"/>
        <w:rPr>
          <w:sz w:val="24"/>
          <w:szCs w:val="24"/>
          <w:u w:val="single"/>
        </w:rPr>
      </w:pPr>
      <w:r w:rsidRPr="00D21C07">
        <w:rPr>
          <w:sz w:val="24"/>
          <w:szCs w:val="24"/>
          <w:u w:val="single"/>
        </w:rPr>
        <w:t>Indberetning af formodede bivirkninger</w:t>
      </w:r>
    </w:p>
    <w:p w14:paraId="18958574" w14:textId="77777777" w:rsidR="00D21C07" w:rsidRPr="00D21C07" w:rsidRDefault="00D21C07" w:rsidP="00D21C07">
      <w:pPr>
        <w:ind w:left="851"/>
        <w:rPr>
          <w:sz w:val="24"/>
          <w:szCs w:val="24"/>
        </w:rPr>
      </w:pPr>
      <w:r w:rsidRPr="00D21C07">
        <w:rPr>
          <w:sz w:val="24"/>
          <w:szCs w:val="24"/>
        </w:rPr>
        <w:t>Når lægemidlet er godkendt, er indberetning af formodede bivirkninger vigtig. Det muliggør løbende overvågning af benefit/</w:t>
      </w:r>
      <w:proofErr w:type="spellStart"/>
      <w:r w:rsidRPr="00D21C07">
        <w:rPr>
          <w:sz w:val="24"/>
          <w:szCs w:val="24"/>
        </w:rPr>
        <w:t>risk</w:t>
      </w:r>
      <w:proofErr w:type="spellEnd"/>
      <w:r w:rsidRPr="00D21C07">
        <w:rPr>
          <w:sz w:val="24"/>
          <w:szCs w:val="24"/>
        </w:rPr>
        <w:t xml:space="preserve">-forholdet for lægemidlet. Sundhedspersoner anmodes om at indberette alle formodede bivirkninger via: </w:t>
      </w:r>
    </w:p>
    <w:p w14:paraId="3B2D6318" w14:textId="77777777" w:rsidR="00D21C07" w:rsidRPr="00D21C07" w:rsidRDefault="00D21C07" w:rsidP="00D21C07">
      <w:pPr>
        <w:ind w:left="851"/>
        <w:rPr>
          <w:sz w:val="24"/>
          <w:szCs w:val="24"/>
        </w:rPr>
      </w:pPr>
    </w:p>
    <w:p w14:paraId="573F7326" w14:textId="77777777" w:rsidR="00D21C07" w:rsidRPr="00D21C07" w:rsidRDefault="00D21C07" w:rsidP="00D21C07">
      <w:pPr>
        <w:ind w:left="851"/>
        <w:rPr>
          <w:sz w:val="24"/>
          <w:szCs w:val="24"/>
        </w:rPr>
      </w:pPr>
      <w:r w:rsidRPr="00D21C07">
        <w:rPr>
          <w:sz w:val="24"/>
          <w:szCs w:val="24"/>
        </w:rPr>
        <w:t xml:space="preserve">Lægemiddelstyrelsen </w:t>
      </w:r>
    </w:p>
    <w:p w14:paraId="38315411" w14:textId="77777777" w:rsidR="00D21C07" w:rsidRPr="00D21C07" w:rsidRDefault="00D21C07" w:rsidP="00D21C07">
      <w:pPr>
        <w:ind w:left="851"/>
        <w:rPr>
          <w:sz w:val="24"/>
          <w:szCs w:val="24"/>
        </w:rPr>
      </w:pPr>
      <w:r w:rsidRPr="00D21C07">
        <w:rPr>
          <w:sz w:val="24"/>
          <w:szCs w:val="24"/>
        </w:rPr>
        <w:t>Axel Heides Gade 1</w:t>
      </w:r>
    </w:p>
    <w:p w14:paraId="5772F328" w14:textId="77777777" w:rsidR="00D21C07" w:rsidRPr="00D21C07" w:rsidRDefault="00D21C07" w:rsidP="00D21C07">
      <w:pPr>
        <w:ind w:left="851"/>
        <w:rPr>
          <w:sz w:val="24"/>
          <w:szCs w:val="24"/>
        </w:rPr>
      </w:pPr>
      <w:r w:rsidRPr="00D21C07">
        <w:rPr>
          <w:sz w:val="24"/>
          <w:szCs w:val="24"/>
        </w:rPr>
        <w:t>DK-2300 København S</w:t>
      </w:r>
    </w:p>
    <w:p w14:paraId="6FE71D58" w14:textId="77777777" w:rsidR="00D21C07" w:rsidRPr="00D21C07" w:rsidRDefault="00D21C07" w:rsidP="00D21C07">
      <w:pPr>
        <w:ind w:left="851"/>
        <w:rPr>
          <w:sz w:val="24"/>
          <w:szCs w:val="24"/>
        </w:rPr>
      </w:pPr>
      <w:r w:rsidRPr="00D21C07">
        <w:rPr>
          <w:sz w:val="24"/>
          <w:szCs w:val="24"/>
        </w:rPr>
        <w:t>Websted: www.meldenbivirkning.dk</w:t>
      </w:r>
    </w:p>
    <w:p w14:paraId="5CA4C13D" w14:textId="77777777" w:rsidR="009260DE" w:rsidRPr="00D21C07" w:rsidRDefault="009260DE" w:rsidP="00D21C07">
      <w:pPr>
        <w:tabs>
          <w:tab w:val="left" w:pos="851"/>
        </w:tabs>
        <w:ind w:left="851"/>
        <w:rPr>
          <w:sz w:val="24"/>
          <w:szCs w:val="24"/>
        </w:rPr>
      </w:pPr>
    </w:p>
    <w:p w14:paraId="379622DE"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58F9935F" w14:textId="77777777" w:rsidR="001D79B0" w:rsidRPr="001D79B0" w:rsidRDefault="001D79B0" w:rsidP="001D79B0">
      <w:pPr>
        <w:tabs>
          <w:tab w:val="left" w:pos="851"/>
        </w:tabs>
        <w:ind w:left="851"/>
        <w:rPr>
          <w:sz w:val="24"/>
          <w:szCs w:val="24"/>
        </w:rPr>
      </w:pPr>
      <w:r w:rsidRPr="001D79B0">
        <w:rPr>
          <w:sz w:val="24"/>
          <w:szCs w:val="24"/>
        </w:rPr>
        <w:t xml:space="preserve">Overdosering af </w:t>
      </w:r>
      <w:proofErr w:type="spellStart"/>
      <w:r w:rsidRPr="001D79B0">
        <w:rPr>
          <w:sz w:val="24"/>
          <w:szCs w:val="24"/>
        </w:rPr>
        <w:t>prasugrel</w:t>
      </w:r>
      <w:proofErr w:type="spellEnd"/>
      <w:r w:rsidRPr="001D79B0">
        <w:rPr>
          <w:sz w:val="24"/>
          <w:szCs w:val="24"/>
        </w:rPr>
        <w:t xml:space="preserve"> kan medføre forlænget blødningstid og efterfølgende blødningskomplikationer. Der er ingen tilgængelige data om en </w:t>
      </w:r>
      <w:proofErr w:type="spellStart"/>
      <w:r w:rsidRPr="001D79B0">
        <w:rPr>
          <w:sz w:val="24"/>
          <w:szCs w:val="24"/>
        </w:rPr>
        <w:t>antidot</w:t>
      </w:r>
      <w:proofErr w:type="spellEnd"/>
      <w:r w:rsidRPr="001D79B0">
        <w:rPr>
          <w:sz w:val="24"/>
          <w:szCs w:val="24"/>
        </w:rPr>
        <w:t xml:space="preserve"> til den farmakologiske effekt af </w:t>
      </w:r>
      <w:proofErr w:type="spellStart"/>
      <w:r w:rsidRPr="001D79B0">
        <w:rPr>
          <w:sz w:val="24"/>
          <w:szCs w:val="24"/>
        </w:rPr>
        <w:t>prasugrel</w:t>
      </w:r>
      <w:proofErr w:type="spellEnd"/>
      <w:r w:rsidRPr="001D79B0">
        <w:rPr>
          <w:sz w:val="24"/>
          <w:szCs w:val="24"/>
        </w:rPr>
        <w:t>. Hvis der er behov for hurtig korrektion af forlænget blødningstid, kan transfusion med blodplader og/eller andre blodprodukter dog overvejes.</w:t>
      </w:r>
    </w:p>
    <w:p w14:paraId="2C802E65" w14:textId="77777777" w:rsidR="009260DE" w:rsidRPr="00C84483" w:rsidRDefault="009260DE" w:rsidP="009260DE">
      <w:pPr>
        <w:tabs>
          <w:tab w:val="left" w:pos="851"/>
        </w:tabs>
        <w:ind w:left="851"/>
        <w:rPr>
          <w:sz w:val="24"/>
          <w:szCs w:val="24"/>
        </w:rPr>
      </w:pPr>
    </w:p>
    <w:p w14:paraId="4C80A7E4"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7EB5AF70" w14:textId="4762ABC4" w:rsidR="009260DE" w:rsidRPr="00C84483" w:rsidRDefault="001D79B0" w:rsidP="009260DE">
      <w:pPr>
        <w:tabs>
          <w:tab w:val="left" w:pos="851"/>
        </w:tabs>
        <w:ind w:left="851"/>
        <w:rPr>
          <w:sz w:val="24"/>
          <w:szCs w:val="24"/>
        </w:rPr>
      </w:pPr>
      <w:r>
        <w:rPr>
          <w:sz w:val="24"/>
          <w:szCs w:val="24"/>
        </w:rPr>
        <w:t>B</w:t>
      </w:r>
    </w:p>
    <w:p w14:paraId="1B18652F" w14:textId="77777777" w:rsidR="009260DE" w:rsidRPr="00C84483" w:rsidRDefault="009260DE" w:rsidP="009260DE">
      <w:pPr>
        <w:tabs>
          <w:tab w:val="left" w:pos="851"/>
        </w:tabs>
        <w:ind w:left="851"/>
        <w:rPr>
          <w:sz w:val="24"/>
          <w:szCs w:val="24"/>
        </w:rPr>
      </w:pPr>
    </w:p>
    <w:p w14:paraId="11EE7B8B" w14:textId="77777777" w:rsidR="009260DE" w:rsidRPr="00C84483" w:rsidRDefault="009260DE" w:rsidP="009260DE">
      <w:pPr>
        <w:tabs>
          <w:tab w:val="left" w:pos="851"/>
        </w:tabs>
        <w:ind w:left="851"/>
        <w:rPr>
          <w:sz w:val="24"/>
          <w:szCs w:val="24"/>
        </w:rPr>
      </w:pPr>
    </w:p>
    <w:p w14:paraId="05063135"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599A6A16" w14:textId="77777777" w:rsidR="009260DE" w:rsidRPr="00C84483" w:rsidRDefault="009260DE" w:rsidP="009260DE">
      <w:pPr>
        <w:tabs>
          <w:tab w:val="left" w:pos="851"/>
        </w:tabs>
        <w:ind w:left="851"/>
        <w:rPr>
          <w:sz w:val="24"/>
          <w:szCs w:val="24"/>
        </w:rPr>
      </w:pPr>
    </w:p>
    <w:p w14:paraId="13E4B1CD"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7F8D3700" w14:textId="77777777" w:rsidR="001D79B0" w:rsidRPr="001D79B0" w:rsidRDefault="001D79B0" w:rsidP="00160565">
      <w:pPr>
        <w:pStyle w:val="Brdtekst"/>
        <w:ind w:left="851"/>
        <w:rPr>
          <w:i w:val="0"/>
          <w:color w:val="auto"/>
          <w:sz w:val="24"/>
          <w:szCs w:val="24"/>
          <w:lang w:val="da-DK"/>
        </w:rPr>
      </w:pPr>
      <w:proofErr w:type="spellStart"/>
      <w:r w:rsidRPr="001D79B0">
        <w:rPr>
          <w:i w:val="0"/>
          <w:color w:val="auto"/>
          <w:sz w:val="24"/>
          <w:szCs w:val="24"/>
          <w:lang w:val="da-DK"/>
        </w:rPr>
        <w:t>Farmakoterapeutisk</w:t>
      </w:r>
      <w:proofErr w:type="spellEnd"/>
      <w:r w:rsidRPr="001D79B0">
        <w:rPr>
          <w:i w:val="0"/>
          <w:color w:val="auto"/>
          <w:sz w:val="24"/>
          <w:szCs w:val="24"/>
          <w:lang w:val="da-DK"/>
        </w:rPr>
        <w:t xml:space="preserve"> gruppe: </w:t>
      </w:r>
      <w:proofErr w:type="spellStart"/>
      <w:r w:rsidRPr="001D79B0">
        <w:rPr>
          <w:i w:val="0"/>
          <w:color w:val="auto"/>
          <w:sz w:val="24"/>
          <w:szCs w:val="24"/>
          <w:lang w:val="da-DK"/>
        </w:rPr>
        <w:t>Trombocythæmmende</w:t>
      </w:r>
      <w:proofErr w:type="spellEnd"/>
      <w:r w:rsidRPr="001D79B0">
        <w:rPr>
          <w:i w:val="0"/>
          <w:color w:val="auto"/>
          <w:sz w:val="24"/>
          <w:szCs w:val="24"/>
          <w:lang w:val="da-DK"/>
        </w:rPr>
        <w:t xml:space="preserve"> midler eksklusive </w:t>
      </w:r>
      <w:proofErr w:type="spellStart"/>
      <w:r w:rsidRPr="001D79B0">
        <w:rPr>
          <w:i w:val="0"/>
          <w:color w:val="auto"/>
          <w:sz w:val="24"/>
          <w:szCs w:val="24"/>
          <w:lang w:val="da-DK"/>
        </w:rPr>
        <w:t>heparin</w:t>
      </w:r>
      <w:proofErr w:type="spellEnd"/>
      <w:r w:rsidRPr="001D79B0">
        <w:rPr>
          <w:i w:val="0"/>
          <w:color w:val="auto"/>
          <w:sz w:val="24"/>
          <w:szCs w:val="24"/>
          <w:lang w:val="da-DK"/>
        </w:rPr>
        <w:t xml:space="preserve">, ATC-kode: B01AC22. </w:t>
      </w:r>
    </w:p>
    <w:p w14:paraId="6783FE1F" w14:textId="77777777" w:rsidR="001D79B0" w:rsidRPr="001D79B0" w:rsidRDefault="001D79B0" w:rsidP="00160565">
      <w:pPr>
        <w:pStyle w:val="Brdtekst"/>
        <w:ind w:left="851"/>
        <w:rPr>
          <w:i w:val="0"/>
          <w:color w:val="auto"/>
          <w:sz w:val="24"/>
          <w:szCs w:val="24"/>
          <w:u w:val="single"/>
          <w:lang w:val="da-DK"/>
        </w:rPr>
      </w:pPr>
    </w:p>
    <w:p w14:paraId="4DB8E6AB" w14:textId="77777777" w:rsidR="001D79B0" w:rsidRPr="001D79B0" w:rsidRDefault="001D79B0" w:rsidP="00160565">
      <w:pPr>
        <w:pStyle w:val="Brdtekst"/>
        <w:ind w:left="851"/>
        <w:rPr>
          <w:i w:val="0"/>
          <w:color w:val="auto"/>
          <w:sz w:val="24"/>
          <w:szCs w:val="24"/>
          <w:u w:val="single"/>
          <w:lang w:val="da-DK"/>
        </w:rPr>
      </w:pPr>
      <w:r w:rsidRPr="001D79B0">
        <w:rPr>
          <w:i w:val="0"/>
          <w:color w:val="auto"/>
          <w:sz w:val="24"/>
          <w:szCs w:val="24"/>
          <w:u w:val="single"/>
          <w:lang w:val="da-DK"/>
        </w:rPr>
        <w:t>Virkningsmekanisme/</w:t>
      </w:r>
      <w:proofErr w:type="spellStart"/>
      <w:r w:rsidRPr="001D79B0">
        <w:rPr>
          <w:i w:val="0"/>
          <w:color w:val="auto"/>
          <w:sz w:val="24"/>
          <w:szCs w:val="24"/>
          <w:u w:val="single"/>
          <w:lang w:val="da-DK"/>
        </w:rPr>
        <w:t>Farmakodynamiske</w:t>
      </w:r>
      <w:proofErr w:type="spellEnd"/>
      <w:r w:rsidRPr="001D79B0">
        <w:rPr>
          <w:i w:val="0"/>
          <w:color w:val="auto"/>
          <w:sz w:val="24"/>
          <w:szCs w:val="24"/>
          <w:u w:val="single"/>
          <w:lang w:val="da-DK"/>
        </w:rPr>
        <w:t xml:space="preserve"> virkning</w:t>
      </w:r>
    </w:p>
    <w:p w14:paraId="49760E2E" w14:textId="77777777" w:rsidR="001D79B0" w:rsidRPr="001D79B0" w:rsidRDefault="001D79B0" w:rsidP="00160565">
      <w:pPr>
        <w:pStyle w:val="Brdtekst"/>
        <w:ind w:left="851"/>
        <w:rPr>
          <w:i w:val="0"/>
          <w:color w:val="auto"/>
          <w:sz w:val="24"/>
          <w:szCs w:val="24"/>
          <w:lang w:val="da-DK"/>
        </w:rPr>
      </w:pPr>
      <w:proofErr w:type="spellStart"/>
      <w:r w:rsidRPr="001D79B0">
        <w:rPr>
          <w:i w:val="0"/>
          <w:color w:val="auto"/>
          <w:sz w:val="24"/>
          <w:szCs w:val="24"/>
          <w:lang w:val="da-DK"/>
        </w:rPr>
        <w:t>Prasugrel</w:t>
      </w:r>
      <w:proofErr w:type="spellEnd"/>
      <w:r w:rsidRPr="001D79B0">
        <w:rPr>
          <w:i w:val="0"/>
          <w:color w:val="auto"/>
          <w:sz w:val="24"/>
          <w:szCs w:val="24"/>
          <w:lang w:val="da-DK"/>
        </w:rPr>
        <w:t xml:space="preserve"> er en inhibitor af </w:t>
      </w:r>
      <w:proofErr w:type="spellStart"/>
      <w:r w:rsidRPr="001D79B0">
        <w:rPr>
          <w:i w:val="0"/>
          <w:color w:val="auto"/>
          <w:sz w:val="24"/>
          <w:szCs w:val="24"/>
          <w:lang w:val="da-DK"/>
        </w:rPr>
        <w:t>trombocytaktivering</w:t>
      </w:r>
      <w:proofErr w:type="spellEnd"/>
      <w:r w:rsidRPr="001D79B0">
        <w:rPr>
          <w:i w:val="0"/>
          <w:color w:val="auto"/>
          <w:sz w:val="24"/>
          <w:szCs w:val="24"/>
          <w:lang w:val="da-DK"/>
        </w:rPr>
        <w:t xml:space="preserve"> og aggregering gennem den irreversible binding af dets aktive metabolit til P2Y12-klassen af ADP-receptorer på </w:t>
      </w:r>
      <w:proofErr w:type="spellStart"/>
      <w:r w:rsidRPr="001D79B0">
        <w:rPr>
          <w:i w:val="0"/>
          <w:color w:val="auto"/>
          <w:sz w:val="24"/>
          <w:szCs w:val="24"/>
          <w:lang w:val="da-DK"/>
        </w:rPr>
        <w:t>trombocytter</w:t>
      </w:r>
      <w:proofErr w:type="spellEnd"/>
      <w:r w:rsidRPr="001D79B0">
        <w:rPr>
          <w:i w:val="0"/>
          <w:color w:val="auto"/>
          <w:sz w:val="24"/>
          <w:szCs w:val="24"/>
          <w:lang w:val="da-DK"/>
        </w:rPr>
        <w:t xml:space="preserve">. Eftersom </w:t>
      </w:r>
      <w:proofErr w:type="spellStart"/>
      <w:r w:rsidRPr="001D79B0">
        <w:rPr>
          <w:i w:val="0"/>
          <w:color w:val="auto"/>
          <w:sz w:val="24"/>
          <w:szCs w:val="24"/>
          <w:lang w:val="da-DK"/>
        </w:rPr>
        <w:t>trombocytter</w:t>
      </w:r>
      <w:proofErr w:type="spellEnd"/>
      <w:r w:rsidRPr="001D79B0">
        <w:rPr>
          <w:i w:val="0"/>
          <w:color w:val="auto"/>
          <w:sz w:val="24"/>
          <w:szCs w:val="24"/>
          <w:lang w:val="da-DK"/>
        </w:rPr>
        <w:t xml:space="preserve"> deltager i initieringen og/eller udviklingen af </w:t>
      </w:r>
      <w:proofErr w:type="spellStart"/>
      <w:r w:rsidRPr="001D79B0">
        <w:rPr>
          <w:i w:val="0"/>
          <w:color w:val="auto"/>
          <w:sz w:val="24"/>
          <w:szCs w:val="24"/>
          <w:lang w:val="da-DK"/>
        </w:rPr>
        <w:t>trombotiske</w:t>
      </w:r>
      <w:proofErr w:type="spellEnd"/>
      <w:r w:rsidRPr="001D79B0">
        <w:rPr>
          <w:i w:val="0"/>
          <w:color w:val="auto"/>
          <w:sz w:val="24"/>
          <w:szCs w:val="24"/>
          <w:lang w:val="da-DK"/>
        </w:rPr>
        <w:t xml:space="preserve"> komplikationer ved </w:t>
      </w:r>
      <w:proofErr w:type="spellStart"/>
      <w:r w:rsidRPr="001D79B0">
        <w:rPr>
          <w:i w:val="0"/>
          <w:color w:val="auto"/>
          <w:sz w:val="24"/>
          <w:szCs w:val="24"/>
          <w:lang w:val="da-DK"/>
        </w:rPr>
        <w:t>aterosklerotisk</w:t>
      </w:r>
      <w:proofErr w:type="spellEnd"/>
      <w:r w:rsidRPr="001D79B0">
        <w:rPr>
          <w:i w:val="0"/>
          <w:color w:val="auto"/>
          <w:sz w:val="24"/>
          <w:szCs w:val="24"/>
          <w:lang w:val="da-DK"/>
        </w:rPr>
        <w:t xml:space="preserve"> sygdom, kan hæmning af </w:t>
      </w:r>
      <w:proofErr w:type="spellStart"/>
      <w:r w:rsidRPr="001D79B0">
        <w:rPr>
          <w:i w:val="0"/>
          <w:color w:val="auto"/>
          <w:sz w:val="24"/>
          <w:szCs w:val="24"/>
          <w:lang w:val="da-DK"/>
        </w:rPr>
        <w:t>trombocytfunktionen</w:t>
      </w:r>
      <w:proofErr w:type="spellEnd"/>
      <w:r w:rsidRPr="001D79B0">
        <w:rPr>
          <w:i w:val="0"/>
          <w:color w:val="auto"/>
          <w:sz w:val="24"/>
          <w:szCs w:val="24"/>
          <w:lang w:val="da-DK"/>
        </w:rPr>
        <w:t xml:space="preserve"> medføre reduktion i antallet af </w:t>
      </w:r>
      <w:proofErr w:type="spellStart"/>
      <w:r w:rsidRPr="001D79B0">
        <w:rPr>
          <w:i w:val="0"/>
          <w:color w:val="auto"/>
          <w:sz w:val="24"/>
          <w:szCs w:val="24"/>
          <w:lang w:val="da-DK"/>
        </w:rPr>
        <w:t>kardiovaskulære</w:t>
      </w:r>
      <w:proofErr w:type="spellEnd"/>
      <w:r w:rsidRPr="001D79B0">
        <w:rPr>
          <w:i w:val="0"/>
          <w:color w:val="auto"/>
          <w:sz w:val="24"/>
          <w:szCs w:val="24"/>
          <w:lang w:val="da-DK"/>
        </w:rPr>
        <w:t xml:space="preserve"> tilfælde såsom død, myokardieinfarkt eller slagtilfælde.</w:t>
      </w:r>
    </w:p>
    <w:p w14:paraId="510ACF4E" w14:textId="77777777" w:rsidR="001D79B0" w:rsidRPr="001D79B0" w:rsidRDefault="001D79B0" w:rsidP="00160565">
      <w:pPr>
        <w:pStyle w:val="Brdtekst"/>
        <w:ind w:left="851"/>
        <w:rPr>
          <w:i w:val="0"/>
          <w:color w:val="auto"/>
          <w:sz w:val="24"/>
          <w:szCs w:val="24"/>
          <w:lang w:val="da-DK"/>
        </w:rPr>
      </w:pPr>
    </w:p>
    <w:p w14:paraId="26BFBFF3" w14:textId="77777777" w:rsidR="001D79B0" w:rsidRPr="001D79B0" w:rsidRDefault="001D79B0" w:rsidP="00160565">
      <w:pPr>
        <w:pStyle w:val="Brdtekst"/>
        <w:ind w:left="851"/>
        <w:rPr>
          <w:i w:val="0"/>
          <w:color w:val="auto"/>
          <w:sz w:val="24"/>
          <w:szCs w:val="24"/>
          <w:lang w:val="da-DK"/>
        </w:rPr>
      </w:pPr>
      <w:r w:rsidRPr="001D79B0">
        <w:rPr>
          <w:i w:val="0"/>
          <w:color w:val="auto"/>
          <w:sz w:val="24"/>
          <w:szCs w:val="24"/>
          <w:lang w:val="da-DK"/>
        </w:rPr>
        <w:t xml:space="preserve">Efter en </w:t>
      </w:r>
      <w:proofErr w:type="spellStart"/>
      <w:r w:rsidRPr="001D79B0">
        <w:rPr>
          <w:i w:val="0"/>
          <w:color w:val="auto"/>
          <w:sz w:val="24"/>
          <w:szCs w:val="24"/>
          <w:lang w:val="da-DK"/>
        </w:rPr>
        <w:t>loadingdosis</w:t>
      </w:r>
      <w:proofErr w:type="spellEnd"/>
      <w:r w:rsidRPr="001D79B0">
        <w:rPr>
          <w:i w:val="0"/>
          <w:color w:val="auto"/>
          <w:sz w:val="24"/>
          <w:szCs w:val="24"/>
          <w:lang w:val="da-DK"/>
        </w:rPr>
        <w:t xml:space="preserve"> på 60 mg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forekommer en hæmning af ADP-induceret </w:t>
      </w:r>
      <w:proofErr w:type="spellStart"/>
      <w:r w:rsidRPr="001D79B0">
        <w:rPr>
          <w:i w:val="0"/>
          <w:color w:val="auto"/>
          <w:sz w:val="24"/>
          <w:szCs w:val="24"/>
          <w:lang w:val="da-DK"/>
        </w:rPr>
        <w:t>trombocytaggregering</w:t>
      </w:r>
      <w:proofErr w:type="spellEnd"/>
      <w:r w:rsidRPr="001D79B0">
        <w:rPr>
          <w:i w:val="0"/>
          <w:color w:val="auto"/>
          <w:sz w:val="24"/>
          <w:szCs w:val="24"/>
          <w:lang w:val="da-DK"/>
        </w:rPr>
        <w:t xml:space="preserve"> efter 15 minutter med 5µM ADP og efter 30 minutter med 20 µM. </w:t>
      </w:r>
      <w:proofErr w:type="spellStart"/>
      <w:r w:rsidRPr="001D79B0">
        <w:rPr>
          <w:i w:val="0"/>
          <w:color w:val="auto"/>
          <w:sz w:val="24"/>
          <w:szCs w:val="24"/>
          <w:lang w:val="da-DK"/>
        </w:rPr>
        <w:t>Prasugels</w:t>
      </w:r>
      <w:proofErr w:type="spellEnd"/>
      <w:r w:rsidRPr="001D79B0">
        <w:rPr>
          <w:i w:val="0"/>
          <w:color w:val="auto"/>
          <w:sz w:val="24"/>
          <w:szCs w:val="24"/>
          <w:lang w:val="da-DK"/>
        </w:rPr>
        <w:t xml:space="preserve"> maksimale hæmning af ADP-induceret </w:t>
      </w:r>
      <w:proofErr w:type="spellStart"/>
      <w:r w:rsidRPr="001D79B0">
        <w:rPr>
          <w:i w:val="0"/>
          <w:color w:val="auto"/>
          <w:sz w:val="24"/>
          <w:szCs w:val="24"/>
          <w:lang w:val="da-DK"/>
        </w:rPr>
        <w:t>trombocytaggregering</w:t>
      </w:r>
      <w:proofErr w:type="spellEnd"/>
      <w:r w:rsidRPr="001D79B0">
        <w:rPr>
          <w:i w:val="0"/>
          <w:color w:val="auto"/>
          <w:sz w:val="24"/>
          <w:szCs w:val="24"/>
          <w:lang w:val="da-DK"/>
        </w:rPr>
        <w:t xml:space="preserve"> er 83 % med 5 µM ADP og 79 % med 20 µM ADP. I begge tilfælde blev der for 89 % af de raske forsøgspersoner og patienter med stabil aterosklerose opnået mindst 50 % hæmning af </w:t>
      </w:r>
      <w:proofErr w:type="spellStart"/>
      <w:r w:rsidRPr="001D79B0">
        <w:rPr>
          <w:i w:val="0"/>
          <w:color w:val="auto"/>
          <w:sz w:val="24"/>
          <w:szCs w:val="24"/>
          <w:lang w:val="da-DK"/>
        </w:rPr>
        <w:t>trombocytaggregering</w:t>
      </w:r>
      <w:proofErr w:type="spellEnd"/>
      <w:r w:rsidRPr="001D79B0">
        <w:rPr>
          <w:i w:val="0"/>
          <w:color w:val="auto"/>
          <w:sz w:val="24"/>
          <w:szCs w:val="24"/>
          <w:lang w:val="da-DK"/>
        </w:rPr>
        <w:t xml:space="preserve"> efter 1 time. </w:t>
      </w:r>
      <w:proofErr w:type="spellStart"/>
      <w:r w:rsidRPr="001D79B0">
        <w:rPr>
          <w:i w:val="0"/>
          <w:color w:val="auto"/>
          <w:sz w:val="24"/>
          <w:szCs w:val="24"/>
          <w:lang w:val="da-DK"/>
        </w:rPr>
        <w:t>Prasugrelmedieret</w:t>
      </w:r>
      <w:proofErr w:type="spellEnd"/>
      <w:r w:rsidRPr="001D79B0">
        <w:rPr>
          <w:i w:val="0"/>
          <w:color w:val="auto"/>
          <w:sz w:val="24"/>
          <w:szCs w:val="24"/>
          <w:lang w:val="da-DK"/>
        </w:rPr>
        <w:t xml:space="preserve"> hæmning af </w:t>
      </w:r>
      <w:proofErr w:type="spellStart"/>
      <w:r w:rsidRPr="001D79B0">
        <w:rPr>
          <w:i w:val="0"/>
          <w:color w:val="auto"/>
          <w:sz w:val="24"/>
          <w:szCs w:val="24"/>
          <w:lang w:val="da-DK"/>
        </w:rPr>
        <w:t>trombocytaggregering</w:t>
      </w:r>
      <w:proofErr w:type="spellEnd"/>
      <w:r w:rsidRPr="001D79B0">
        <w:rPr>
          <w:i w:val="0"/>
          <w:color w:val="auto"/>
          <w:sz w:val="24"/>
          <w:szCs w:val="24"/>
          <w:lang w:val="da-DK"/>
        </w:rPr>
        <w:t xml:space="preserve"> viser lav varians imellem forsøgspersonerne (9 %) og hos forsøgspersonerne (12 %) med både 5 µM og 20 µM ADP.</w:t>
      </w:r>
    </w:p>
    <w:p w14:paraId="2533943D" w14:textId="76F2F1E1" w:rsidR="001D79B0" w:rsidRPr="001D79B0" w:rsidRDefault="001D79B0" w:rsidP="00160565">
      <w:pPr>
        <w:pStyle w:val="Brdtekst"/>
        <w:ind w:left="851"/>
        <w:rPr>
          <w:i w:val="0"/>
          <w:color w:val="auto"/>
          <w:sz w:val="24"/>
          <w:szCs w:val="24"/>
          <w:lang w:val="da-DK"/>
        </w:rPr>
      </w:pPr>
      <w:r w:rsidRPr="001D79B0">
        <w:rPr>
          <w:i w:val="0"/>
          <w:color w:val="auto"/>
          <w:sz w:val="24"/>
          <w:szCs w:val="24"/>
          <w:lang w:val="da-DK"/>
        </w:rPr>
        <w:t xml:space="preserve">Den gennemsnitlige </w:t>
      </w:r>
      <w:proofErr w:type="spellStart"/>
      <w:r w:rsidRPr="001D79B0">
        <w:rPr>
          <w:i w:val="0"/>
          <w:color w:val="auto"/>
          <w:sz w:val="24"/>
          <w:szCs w:val="24"/>
          <w:lang w:val="da-DK"/>
        </w:rPr>
        <w:t>steady</w:t>
      </w:r>
      <w:proofErr w:type="spellEnd"/>
      <w:r w:rsidRPr="001D79B0">
        <w:rPr>
          <w:i w:val="0"/>
          <w:color w:val="auto"/>
          <w:sz w:val="24"/>
          <w:szCs w:val="24"/>
          <w:lang w:val="da-DK"/>
        </w:rPr>
        <w:t xml:space="preserve"> state-hæmning af </w:t>
      </w:r>
      <w:proofErr w:type="spellStart"/>
      <w:r w:rsidRPr="001D79B0">
        <w:rPr>
          <w:i w:val="0"/>
          <w:color w:val="auto"/>
          <w:sz w:val="24"/>
          <w:szCs w:val="24"/>
          <w:lang w:val="da-DK"/>
        </w:rPr>
        <w:t>trombocytaggregeringen</w:t>
      </w:r>
      <w:proofErr w:type="spellEnd"/>
      <w:r w:rsidRPr="001D79B0">
        <w:rPr>
          <w:i w:val="0"/>
          <w:color w:val="auto"/>
          <w:sz w:val="24"/>
          <w:szCs w:val="24"/>
          <w:lang w:val="da-DK"/>
        </w:rPr>
        <w:t xml:space="preserve"> var henholdsvis 74</w:t>
      </w:r>
      <w:r w:rsidR="00E11E3E">
        <w:rPr>
          <w:i w:val="0"/>
          <w:color w:val="auto"/>
          <w:sz w:val="24"/>
          <w:szCs w:val="24"/>
          <w:lang w:val="da-DK"/>
        </w:rPr>
        <w:t> </w:t>
      </w:r>
      <w:r w:rsidRPr="001D79B0">
        <w:rPr>
          <w:i w:val="0"/>
          <w:color w:val="auto"/>
          <w:sz w:val="24"/>
          <w:szCs w:val="24"/>
          <w:lang w:val="da-DK"/>
        </w:rPr>
        <w:t xml:space="preserve">% og 69 % for 5µM og 20 µM ADP og blev nået efter 3 til 5 dages administration af en vedligeholdelsesdosis på 10 mg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med en forudgående </w:t>
      </w:r>
      <w:proofErr w:type="spellStart"/>
      <w:r w:rsidRPr="001D79B0">
        <w:rPr>
          <w:i w:val="0"/>
          <w:color w:val="auto"/>
          <w:sz w:val="24"/>
          <w:szCs w:val="24"/>
          <w:lang w:val="da-DK"/>
        </w:rPr>
        <w:t>loadingdosis</w:t>
      </w:r>
      <w:proofErr w:type="spellEnd"/>
      <w:r w:rsidRPr="001D79B0">
        <w:rPr>
          <w:i w:val="0"/>
          <w:color w:val="auto"/>
          <w:sz w:val="24"/>
          <w:szCs w:val="24"/>
          <w:lang w:val="da-DK"/>
        </w:rPr>
        <w:t xml:space="preserve"> på 60 mg. Mere end 98 % af forsøgspersonerne havde ≥ 20 % hæmning af </w:t>
      </w:r>
      <w:proofErr w:type="spellStart"/>
      <w:r w:rsidRPr="001D79B0">
        <w:rPr>
          <w:i w:val="0"/>
          <w:color w:val="auto"/>
          <w:sz w:val="24"/>
          <w:szCs w:val="24"/>
          <w:lang w:val="da-DK"/>
        </w:rPr>
        <w:t>trombocytaggregering</w:t>
      </w:r>
      <w:proofErr w:type="spellEnd"/>
      <w:r w:rsidRPr="001D79B0">
        <w:rPr>
          <w:i w:val="0"/>
          <w:color w:val="auto"/>
          <w:sz w:val="24"/>
          <w:szCs w:val="24"/>
          <w:lang w:val="da-DK"/>
        </w:rPr>
        <w:t xml:space="preserve"> under vedligeholdelsesdosering.</w:t>
      </w:r>
    </w:p>
    <w:p w14:paraId="46CA9C29" w14:textId="77777777" w:rsidR="001D79B0" w:rsidRPr="001D79B0" w:rsidRDefault="001D79B0" w:rsidP="00160565">
      <w:pPr>
        <w:pStyle w:val="Brdtekst"/>
        <w:ind w:left="851"/>
        <w:rPr>
          <w:i w:val="0"/>
          <w:color w:val="auto"/>
          <w:sz w:val="24"/>
          <w:szCs w:val="24"/>
          <w:lang w:val="da-DK"/>
        </w:rPr>
      </w:pPr>
    </w:p>
    <w:p w14:paraId="5159FC17" w14:textId="61363BB9" w:rsidR="001D79B0" w:rsidRPr="00E11E3E" w:rsidRDefault="001D79B0" w:rsidP="00E11E3E">
      <w:pPr>
        <w:ind w:left="851"/>
        <w:rPr>
          <w:sz w:val="24"/>
          <w:szCs w:val="24"/>
        </w:rPr>
      </w:pPr>
      <w:r w:rsidRPr="00E11E3E">
        <w:rPr>
          <w:sz w:val="24"/>
          <w:szCs w:val="24"/>
        </w:rPr>
        <w:t xml:space="preserve">I løbet af 7 til 9 dage efter administration af en enkelt </w:t>
      </w:r>
      <w:proofErr w:type="spellStart"/>
      <w:r w:rsidRPr="00E11E3E">
        <w:rPr>
          <w:sz w:val="24"/>
          <w:szCs w:val="24"/>
        </w:rPr>
        <w:t>loadingdosis</w:t>
      </w:r>
      <w:proofErr w:type="spellEnd"/>
      <w:r w:rsidRPr="00E11E3E">
        <w:rPr>
          <w:sz w:val="24"/>
          <w:szCs w:val="24"/>
        </w:rPr>
        <w:t xml:space="preserve"> på 60 mg </w:t>
      </w:r>
      <w:proofErr w:type="spellStart"/>
      <w:r w:rsidRPr="00E11E3E">
        <w:rPr>
          <w:sz w:val="24"/>
          <w:szCs w:val="24"/>
        </w:rPr>
        <w:t>prasugrel</w:t>
      </w:r>
      <w:proofErr w:type="spellEnd"/>
      <w:r w:rsidRPr="00E11E3E">
        <w:rPr>
          <w:sz w:val="24"/>
          <w:szCs w:val="24"/>
        </w:rPr>
        <w:t xml:space="preserve"> og i løbet af 5 dage efter </w:t>
      </w:r>
      <w:proofErr w:type="spellStart"/>
      <w:r w:rsidRPr="00E11E3E">
        <w:rPr>
          <w:sz w:val="24"/>
          <w:szCs w:val="24"/>
        </w:rPr>
        <w:t>seponering</w:t>
      </w:r>
      <w:proofErr w:type="spellEnd"/>
      <w:r w:rsidRPr="00E11E3E">
        <w:rPr>
          <w:sz w:val="24"/>
          <w:szCs w:val="24"/>
        </w:rPr>
        <w:t xml:space="preserve"> af vedligeholdelsesdosis ved </w:t>
      </w:r>
      <w:proofErr w:type="spellStart"/>
      <w:r w:rsidRPr="00E11E3E">
        <w:rPr>
          <w:sz w:val="24"/>
          <w:szCs w:val="24"/>
        </w:rPr>
        <w:t>steady-state</w:t>
      </w:r>
      <w:proofErr w:type="spellEnd"/>
      <w:r w:rsidRPr="00E11E3E">
        <w:rPr>
          <w:sz w:val="24"/>
          <w:szCs w:val="24"/>
        </w:rPr>
        <w:t xml:space="preserve"> vendte </w:t>
      </w:r>
      <w:proofErr w:type="spellStart"/>
      <w:r w:rsidRPr="00E11E3E">
        <w:rPr>
          <w:sz w:val="24"/>
          <w:szCs w:val="24"/>
        </w:rPr>
        <w:t>trombocytaggregationen</w:t>
      </w:r>
      <w:proofErr w:type="spellEnd"/>
      <w:r w:rsidRPr="00E11E3E">
        <w:rPr>
          <w:sz w:val="24"/>
          <w:szCs w:val="24"/>
        </w:rPr>
        <w:t xml:space="preserve"> gradvist tilbage til baselineværdierne.</w:t>
      </w:r>
    </w:p>
    <w:p w14:paraId="0428CF35" w14:textId="77777777" w:rsidR="001D79B0" w:rsidRPr="001D79B0" w:rsidRDefault="001D79B0" w:rsidP="00160565">
      <w:pPr>
        <w:pStyle w:val="Brdtekst"/>
        <w:ind w:left="851"/>
        <w:rPr>
          <w:i w:val="0"/>
          <w:color w:val="auto"/>
          <w:sz w:val="24"/>
          <w:szCs w:val="24"/>
          <w:lang w:val="da-DK"/>
        </w:rPr>
      </w:pPr>
    </w:p>
    <w:p w14:paraId="0698847D" w14:textId="77777777" w:rsidR="00160565" w:rsidRDefault="001D79B0" w:rsidP="00160565">
      <w:pPr>
        <w:pStyle w:val="Brdtekst"/>
        <w:ind w:left="851"/>
        <w:rPr>
          <w:i w:val="0"/>
          <w:color w:val="auto"/>
          <w:sz w:val="24"/>
          <w:szCs w:val="24"/>
          <w:u w:val="single"/>
          <w:lang w:val="da-DK"/>
        </w:rPr>
      </w:pPr>
      <w:r w:rsidRPr="001D79B0">
        <w:rPr>
          <w:i w:val="0"/>
          <w:color w:val="auto"/>
          <w:sz w:val="24"/>
          <w:szCs w:val="24"/>
          <w:u w:val="single"/>
          <w:lang w:val="da-DK"/>
        </w:rPr>
        <w:t>Data om behandlingsskift</w:t>
      </w:r>
    </w:p>
    <w:p w14:paraId="2CA1D75B" w14:textId="17A3EBC4" w:rsidR="001D79B0" w:rsidRPr="001D79B0" w:rsidRDefault="001D79B0" w:rsidP="00160565">
      <w:pPr>
        <w:pStyle w:val="Brdtekst"/>
        <w:ind w:left="851"/>
        <w:rPr>
          <w:i w:val="0"/>
          <w:color w:val="auto"/>
          <w:sz w:val="24"/>
          <w:szCs w:val="24"/>
          <w:lang w:val="da-DK"/>
        </w:rPr>
      </w:pPr>
      <w:r w:rsidRPr="001D79B0">
        <w:rPr>
          <w:i w:val="0"/>
          <w:color w:val="auto"/>
          <w:sz w:val="24"/>
          <w:szCs w:val="24"/>
          <w:lang w:val="da-DK"/>
        </w:rPr>
        <w:t xml:space="preserve">Efter administration af 75 mg </w:t>
      </w:r>
      <w:proofErr w:type="spellStart"/>
      <w:r w:rsidRPr="001D79B0">
        <w:rPr>
          <w:i w:val="0"/>
          <w:color w:val="auto"/>
          <w:sz w:val="24"/>
          <w:szCs w:val="24"/>
          <w:lang w:val="da-DK"/>
        </w:rPr>
        <w:t>clopidogrel</w:t>
      </w:r>
      <w:proofErr w:type="spellEnd"/>
      <w:r w:rsidRPr="001D79B0">
        <w:rPr>
          <w:i w:val="0"/>
          <w:color w:val="auto"/>
          <w:sz w:val="24"/>
          <w:szCs w:val="24"/>
          <w:lang w:val="da-DK"/>
        </w:rPr>
        <w:t xml:space="preserve"> én gang dagligt i 10 dage, blev 40 raske forsøgspersoner skiftet til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10 mg én gang dagligt med eller uden en </w:t>
      </w:r>
      <w:proofErr w:type="spellStart"/>
      <w:r w:rsidRPr="001D79B0">
        <w:rPr>
          <w:i w:val="0"/>
          <w:color w:val="auto"/>
          <w:sz w:val="24"/>
          <w:szCs w:val="24"/>
          <w:lang w:val="da-DK"/>
        </w:rPr>
        <w:t>loadingdosis</w:t>
      </w:r>
      <w:proofErr w:type="spellEnd"/>
      <w:r w:rsidRPr="001D79B0">
        <w:rPr>
          <w:i w:val="0"/>
          <w:color w:val="auto"/>
          <w:sz w:val="24"/>
          <w:szCs w:val="24"/>
          <w:lang w:val="da-DK"/>
        </w:rPr>
        <w:t xml:space="preserve"> på 60 mg.</w:t>
      </w:r>
    </w:p>
    <w:p w14:paraId="57CF9340" w14:textId="77777777" w:rsidR="001D79B0" w:rsidRPr="001D79B0" w:rsidRDefault="001D79B0" w:rsidP="00160565">
      <w:pPr>
        <w:pStyle w:val="Brdtekst"/>
        <w:ind w:left="851"/>
        <w:rPr>
          <w:i w:val="0"/>
          <w:color w:val="auto"/>
          <w:sz w:val="24"/>
          <w:szCs w:val="24"/>
          <w:lang w:val="da-DK"/>
        </w:rPr>
      </w:pPr>
      <w:r w:rsidRPr="001D79B0">
        <w:rPr>
          <w:i w:val="0"/>
          <w:color w:val="auto"/>
          <w:sz w:val="24"/>
          <w:szCs w:val="24"/>
          <w:lang w:val="da-DK"/>
        </w:rPr>
        <w:t xml:space="preserve">Der blev observeret den samme eller højere hæmning af </w:t>
      </w:r>
      <w:proofErr w:type="spellStart"/>
      <w:r w:rsidRPr="001D79B0">
        <w:rPr>
          <w:i w:val="0"/>
          <w:color w:val="auto"/>
          <w:sz w:val="24"/>
          <w:szCs w:val="24"/>
          <w:lang w:val="da-DK"/>
        </w:rPr>
        <w:t>trombocytaggregeringen</w:t>
      </w:r>
      <w:proofErr w:type="spellEnd"/>
      <w:r w:rsidRPr="001D79B0">
        <w:rPr>
          <w:i w:val="0"/>
          <w:color w:val="auto"/>
          <w:sz w:val="24"/>
          <w:szCs w:val="24"/>
          <w:lang w:val="da-DK"/>
        </w:rPr>
        <w:t xml:space="preserve"> med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Skiftet direkte til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60 mg </w:t>
      </w:r>
      <w:proofErr w:type="spellStart"/>
      <w:r w:rsidRPr="001D79B0">
        <w:rPr>
          <w:i w:val="0"/>
          <w:color w:val="auto"/>
          <w:sz w:val="24"/>
          <w:szCs w:val="24"/>
          <w:lang w:val="da-DK"/>
        </w:rPr>
        <w:t>loadingdosis</w:t>
      </w:r>
      <w:proofErr w:type="spellEnd"/>
      <w:r w:rsidRPr="001D79B0">
        <w:rPr>
          <w:i w:val="0"/>
          <w:color w:val="auto"/>
          <w:sz w:val="24"/>
          <w:szCs w:val="24"/>
          <w:lang w:val="da-DK"/>
        </w:rPr>
        <w:t xml:space="preserve"> gav den hurtigste indtræden af højere </w:t>
      </w:r>
      <w:proofErr w:type="spellStart"/>
      <w:r w:rsidRPr="001D79B0">
        <w:rPr>
          <w:i w:val="0"/>
          <w:color w:val="auto"/>
          <w:sz w:val="24"/>
          <w:szCs w:val="24"/>
          <w:lang w:val="da-DK"/>
        </w:rPr>
        <w:t>trombocythæmning</w:t>
      </w:r>
      <w:proofErr w:type="spellEnd"/>
      <w:r w:rsidRPr="001D79B0">
        <w:rPr>
          <w:i w:val="0"/>
          <w:color w:val="auto"/>
          <w:sz w:val="24"/>
          <w:szCs w:val="24"/>
          <w:lang w:val="da-DK"/>
        </w:rPr>
        <w:t>.</w:t>
      </w:r>
    </w:p>
    <w:p w14:paraId="5150EC3E" w14:textId="77777777" w:rsidR="001D79B0" w:rsidRPr="001D79B0" w:rsidRDefault="001D79B0" w:rsidP="00160565">
      <w:pPr>
        <w:pStyle w:val="Brdtekst"/>
        <w:ind w:left="851"/>
        <w:rPr>
          <w:i w:val="0"/>
          <w:color w:val="auto"/>
          <w:sz w:val="24"/>
          <w:szCs w:val="24"/>
          <w:lang w:val="da-DK"/>
        </w:rPr>
      </w:pPr>
      <w:r w:rsidRPr="001D79B0">
        <w:rPr>
          <w:i w:val="0"/>
          <w:color w:val="auto"/>
          <w:sz w:val="24"/>
          <w:szCs w:val="24"/>
          <w:lang w:val="da-DK"/>
        </w:rPr>
        <w:t xml:space="preserve">Efter administration af en 900 mg </w:t>
      </w:r>
      <w:proofErr w:type="spellStart"/>
      <w:r w:rsidRPr="001D79B0">
        <w:rPr>
          <w:i w:val="0"/>
          <w:color w:val="auto"/>
          <w:sz w:val="24"/>
          <w:szCs w:val="24"/>
          <w:lang w:val="da-DK"/>
        </w:rPr>
        <w:t>loadingdosis</w:t>
      </w:r>
      <w:proofErr w:type="spellEnd"/>
      <w:r w:rsidRPr="001D79B0">
        <w:rPr>
          <w:i w:val="0"/>
          <w:color w:val="auto"/>
          <w:sz w:val="24"/>
          <w:szCs w:val="24"/>
          <w:lang w:val="da-DK"/>
        </w:rPr>
        <w:t xml:space="preserve"> af </w:t>
      </w:r>
      <w:proofErr w:type="spellStart"/>
      <w:r w:rsidRPr="001D79B0">
        <w:rPr>
          <w:i w:val="0"/>
          <w:color w:val="auto"/>
          <w:sz w:val="24"/>
          <w:szCs w:val="24"/>
          <w:lang w:val="da-DK"/>
        </w:rPr>
        <w:t>clopidogrel</w:t>
      </w:r>
      <w:proofErr w:type="spellEnd"/>
      <w:r w:rsidRPr="001D79B0">
        <w:rPr>
          <w:i w:val="0"/>
          <w:color w:val="auto"/>
          <w:sz w:val="24"/>
          <w:szCs w:val="24"/>
          <w:lang w:val="da-DK"/>
        </w:rPr>
        <w:t xml:space="preserve"> (med ASA), blev 56 forsøgspersoner med AKS behandlet i 14 dage med enten 10 mg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én gang dagligt eller 150 mg </w:t>
      </w:r>
      <w:proofErr w:type="spellStart"/>
      <w:r w:rsidRPr="001D79B0">
        <w:rPr>
          <w:i w:val="0"/>
          <w:color w:val="auto"/>
          <w:sz w:val="24"/>
          <w:szCs w:val="24"/>
          <w:lang w:val="da-DK"/>
        </w:rPr>
        <w:t>clopidogrel</w:t>
      </w:r>
      <w:proofErr w:type="spellEnd"/>
      <w:r w:rsidRPr="001D79B0">
        <w:rPr>
          <w:i w:val="0"/>
          <w:color w:val="auto"/>
          <w:sz w:val="24"/>
          <w:szCs w:val="24"/>
          <w:lang w:val="da-DK"/>
        </w:rPr>
        <w:t xml:space="preserve"> én gang dagligt og derpå skiftet til enten 150 mg </w:t>
      </w:r>
      <w:proofErr w:type="spellStart"/>
      <w:r w:rsidRPr="001D79B0">
        <w:rPr>
          <w:i w:val="0"/>
          <w:color w:val="auto"/>
          <w:sz w:val="24"/>
          <w:szCs w:val="24"/>
          <w:lang w:val="da-DK"/>
        </w:rPr>
        <w:t>clopidogrel</w:t>
      </w:r>
      <w:proofErr w:type="spellEnd"/>
      <w:r w:rsidRPr="001D79B0">
        <w:rPr>
          <w:i w:val="0"/>
          <w:color w:val="auto"/>
          <w:sz w:val="24"/>
          <w:szCs w:val="24"/>
          <w:lang w:val="da-DK"/>
        </w:rPr>
        <w:t xml:space="preserve"> eller 10 mg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i yderligere 14 dage. Der blev observeret højere hæmning af </w:t>
      </w:r>
      <w:proofErr w:type="spellStart"/>
      <w:r w:rsidRPr="001D79B0">
        <w:rPr>
          <w:i w:val="0"/>
          <w:color w:val="auto"/>
          <w:sz w:val="24"/>
          <w:szCs w:val="24"/>
          <w:lang w:val="da-DK"/>
        </w:rPr>
        <w:t>trombocytaggregering</w:t>
      </w:r>
      <w:proofErr w:type="spellEnd"/>
      <w:r w:rsidRPr="001D79B0">
        <w:rPr>
          <w:i w:val="0"/>
          <w:color w:val="auto"/>
          <w:sz w:val="24"/>
          <w:szCs w:val="24"/>
          <w:lang w:val="da-DK"/>
        </w:rPr>
        <w:t xml:space="preserve"> hos de patienter, som blev skiftet til 10 mg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sammenlignet med dem, som blev behandlet med 150 mg </w:t>
      </w:r>
      <w:proofErr w:type="spellStart"/>
      <w:r w:rsidRPr="001D79B0">
        <w:rPr>
          <w:i w:val="0"/>
          <w:color w:val="auto"/>
          <w:sz w:val="24"/>
          <w:szCs w:val="24"/>
          <w:lang w:val="da-DK"/>
        </w:rPr>
        <w:t>clopidogrel</w:t>
      </w:r>
      <w:proofErr w:type="spellEnd"/>
      <w:r w:rsidRPr="001D79B0">
        <w:rPr>
          <w:i w:val="0"/>
          <w:color w:val="auto"/>
          <w:sz w:val="24"/>
          <w:szCs w:val="24"/>
          <w:lang w:val="da-DK"/>
        </w:rPr>
        <w:t xml:space="preserve">. I et studie, hvor 276 AKS-patienter, der undergik PCI, blev skiftet fra en initial </w:t>
      </w:r>
      <w:proofErr w:type="spellStart"/>
      <w:r w:rsidRPr="001D79B0">
        <w:rPr>
          <w:i w:val="0"/>
          <w:color w:val="auto"/>
          <w:sz w:val="24"/>
          <w:szCs w:val="24"/>
          <w:lang w:val="da-DK"/>
        </w:rPr>
        <w:t>loadingdosis</w:t>
      </w:r>
      <w:proofErr w:type="spellEnd"/>
      <w:r w:rsidRPr="001D79B0">
        <w:rPr>
          <w:i w:val="0"/>
          <w:color w:val="auto"/>
          <w:sz w:val="24"/>
          <w:szCs w:val="24"/>
          <w:lang w:val="da-DK"/>
        </w:rPr>
        <w:t xml:space="preserve"> på 600 mg </w:t>
      </w:r>
      <w:proofErr w:type="spellStart"/>
      <w:r w:rsidRPr="001D79B0">
        <w:rPr>
          <w:i w:val="0"/>
          <w:color w:val="auto"/>
          <w:sz w:val="24"/>
          <w:szCs w:val="24"/>
          <w:lang w:val="da-DK"/>
        </w:rPr>
        <w:t>clopidogrel</w:t>
      </w:r>
      <w:proofErr w:type="spellEnd"/>
      <w:r w:rsidRPr="001D79B0">
        <w:rPr>
          <w:i w:val="0"/>
          <w:color w:val="auto"/>
          <w:sz w:val="24"/>
          <w:szCs w:val="24"/>
          <w:lang w:val="da-DK"/>
        </w:rPr>
        <w:t xml:space="preserve"> eller placebo, indgivet ved ankomst til hospitalet før </w:t>
      </w:r>
      <w:proofErr w:type="spellStart"/>
      <w:r w:rsidRPr="001D79B0">
        <w:rPr>
          <w:i w:val="0"/>
          <w:color w:val="auto"/>
          <w:sz w:val="24"/>
          <w:szCs w:val="24"/>
          <w:lang w:val="da-DK"/>
        </w:rPr>
        <w:t>koronarangiografi</w:t>
      </w:r>
      <w:proofErr w:type="spellEnd"/>
      <w:r w:rsidRPr="001D79B0">
        <w:rPr>
          <w:i w:val="0"/>
          <w:color w:val="auto"/>
          <w:sz w:val="24"/>
          <w:szCs w:val="24"/>
          <w:lang w:val="da-DK"/>
        </w:rPr>
        <w:t xml:space="preserve">, til en 60 mg </w:t>
      </w:r>
      <w:proofErr w:type="spellStart"/>
      <w:r w:rsidRPr="001D79B0">
        <w:rPr>
          <w:i w:val="0"/>
          <w:color w:val="auto"/>
          <w:sz w:val="24"/>
          <w:szCs w:val="24"/>
          <w:lang w:val="da-DK"/>
        </w:rPr>
        <w:t>loadingdosis</w:t>
      </w:r>
      <w:proofErr w:type="spellEnd"/>
      <w:r w:rsidRPr="001D79B0">
        <w:rPr>
          <w:i w:val="0"/>
          <w:color w:val="auto"/>
          <w:sz w:val="24"/>
          <w:szCs w:val="24"/>
          <w:lang w:val="da-DK"/>
        </w:rPr>
        <w:t xml:space="preserve">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indgivet på tidspunktet for </w:t>
      </w:r>
      <w:proofErr w:type="spellStart"/>
      <w:r w:rsidRPr="001D79B0">
        <w:rPr>
          <w:i w:val="0"/>
          <w:color w:val="auto"/>
          <w:sz w:val="24"/>
          <w:szCs w:val="24"/>
          <w:lang w:val="da-DK"/>
        </w:rPr>
        <w:t>perkutan</w:t>
      </w:r>
      <w:proofErr w:type="spellEnd"/>
      <w:r w:rsidRPr="001D79B0">
        <w:rPr>
          <w:i w:val="0"/>
          <w:color w:val="auto"/>
          <w:sz w:val="24"/>
          <w:szCs w:val="24"/>
          <w:lang w:val="da-DK"/>
        </w:rPr>
        <w:t xml:space="preserve"> </w:t>
      </w:r>
      <w:proofErr w:type="spellStart"/>
      <w:r w:rsidRPr="001D79B0">
        <w:rPr>
          <w:i w:val="0"/>
          <w:color w:val="auto"/>
          <w:sz w:val="24"/>
          <w:szCs w:val="24"/>
          <w:lang w:val="da-DK"/>
        </w:rPr>
        <w:t>koronar</w:t>
      </w:r>
      <w:proofErr w:type="spellEnd"/>
      <w:r w:rsidRPr="001D79B0">
        <w:rPr>
          <w:i w:val="0"/>
          <w:color w:val="auto"/>
          <w:sz w:val="24"/>
          <w:szCs w:val="24"/>
          <w:lang w:val="da-DK"/>
        </w:rPr>
        <w:t xml:space="preserve"> intervention (PCI), resulterede dette i en tilsvarende øget hæmning af </w:t>
      </w:r>
      <w:proofErr w:type="spellStart"/>
      <w:r w:rsidRPr="001D79B0">
        <w:rPr>
          <w:i w:val="0"/>
          <w:color w:val="auto"/>
          <w:sz w:val="24"/>
          <w:szCs w:val="24"/>
          <w:lang w:val="da-DK"/>
        </w:rPr>
        <w:t>trombocytaggregationen</w:t>
      </w:r>
      <w:proofErr w:type="spellEnd"/>
      <w:r w:rsidRPr="001D79B0">
        <w:rPr>
          <w:i w:val="0"/>
          <w:color w:val="auto"/>
          <w:sz w:val="24"/>
          <w:szCs w:val="24"/>
          <w:lang w:val="da-DK"/>
        </w:rPr>
        <w:t xml:space="preserve"> i de 72 timer, som studiet varede.</w:t>
      </w:r>
    </w:p>
    <w:p w14:paraId="2883F93E" w14:textId="77777777" w:rsidR="001D79B0" w:rsidRPr="001D79B0" w:rsidRDefault="001D79B0" w:rsidP="00160565">
      <w:pPr>
        <w:pStyle w:val="Brdtekst"/>
        <w:ind w:left="851"/>
        <w:rPr>
          <w:color w:val="auto"/>
          <w:sz w:val="24"/>
          <w:szCs w:val="24"/>
          <w:u w:val="single"/>
          <w:lang w:val="da-DK"/>
        </w:rPr>
      </w:pPr>
    </w:p>
    <w:p w14:paraId="69FD7685" w14:textId="77777777" w:rsidR="001D79B0" w:rsidRPr="001D79B0" w:rsidRDefault="001D79B0" w:rsidP="00160565">
      <w:pPr>
        <w:pStyle w:val="Brdtekst"/>
        <w:ind w:left="851"/>
        <w:rPr>
          <w:i w:val="0"/>
          <w:color w:val="auto"/>
          <w:sz w:val="24"/>
          <w:szCs w:val="24"/>
          <w:u w:val="single"/>
          <w:lang w:val="da-DK"/>
        </w:rPr>
      </w:pPr>
      <w:r w:rsidRPr="001D79B0">
        <w:rPr>
          <w:i w:val="0"/>
          <w:color w:val="auto"/>
          <w:sz w:val="24"/>
          <w:szCs w:val="24"/>
          <w:u w:val="single"/>
          <w:lang w:val="da-DK"/>
        </w:rPr>
        <w:t>Klinisk virkning og sikkerhed</w:t>
      </w:r>
    </w:p>
    <w:p w14:paraId="3BB8B298" w14:textId="77777777" w:rsidR="001D79B0" w:rsidRPr="001D79B0" w:rsidRDefault="001D79B0" w:rsidP="00160565">
      <w:pPr>
        <w:pStyle w:val="Brdtekst"/>
        <w:ind w:left="851"/>
        <w:rPr>
          <w:i w:val="0"/>
          <w:color w:val="auto"/>
          <w:sz w:val="24"/>
          <w:szCs w:val="24"/>
          <w:lang w:val="da-DK"/>
        </w:rPr>
      </w:pPr>
    </w:p>
    <w:p w14:paraId="37A848BC" w14:textId="77777777" w:rsidR="001D79B0" w:rsidRPr="001D79B0" w:rsidRDefault="001D79B0" w:rsidP="00160565">
      <w:pPr>
        <w:pStyle w:val="Brdtekst"/>
        <w:ind w:left="851"/>
        <w:rPr>
          <w:iCs/>
          <w:color w:val="auto"/>
          <w:sz w:val="24"/>
          <w:szCs w:val="24"/>
          <w:lang w:val="da-DK"/>
        </w:rPr>
      </w:pPr>
      <w:r w:rsidRPr="001D79B0">
        <w:rPr>
          <w:iCs/>
          <w:color w:val="auto"/>
          <w:sz w:val="24"/>
          <w:szCs w:val="24"/>
          <w:lang w:val="da-DK"/>
        </w:rPr>
        <w:t xml:space="preserve">Akut </w:t>
      </w:r>
      <w:proofErr w:type="spellStart"/>
      <w:r w:rsidRPr="001D79B0">
        <w:rPr>
          <w:iCs/>
          <w:color w:val="auto"/>
          <w:sz w:val="24"/>
          <w:szCs w:val="24"/>
          <w:lang w:val="da-DK"/>
        </w:rPr>
        <w:t>Koronarsyndrom</w:t>
      </w:r>
      <w:proofErr w:type="spellEnd"/>
      <w:r w:rsidRPr="001D79B0">
        <w:rPr>
          <w:iCs/>
          <w:color w:val="auto"/>
          <w:sz w:val="24"/>
          <w:szCs w:val="24"/>
          <w:lang w:val="da-DK"/>
        </w:rPr>
        <w:t xml:space="preserve"> (AKS)</w:t>
      </w:r>
    </w:p>
    <w:p w14:paraId="4DFB3421" w14:textId="77777777" w:rsidR="001D79B0" w:rsidRPr="001D79B0" w:rsidRDefault="001D79B0" w:rsidP="00160565">
      <w:pPr>
        <w:pStyle w:val="Brdtekst"/>
        <w:ind w:left="851"/>
        <w:rPr>
          <w:i w:val="0"/>
          <w:color w:val="auto"/>
          <w:sz w:val="24"/>
          <w:szCs w:val="24"/>
          <w:lang w:val="da-DK"/>
        </w:rPr>
      </w:pPr>
      <w:r w:rsidRPr="001D79B0">
        <w:rPr>
          <w:i w:val="0"/>
          <w:color w:val="auto"/>
          <w:sz w:val="24"/>
          <w:szCs w:val="24"/>
          <w:lang w:val="da-DK"/>
        </w:rPr>
        <w:t xml:space="preserve">Fase 3 TRITON-undersøgelsen sammenlignede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med </w:t>
      </w:r>
      <w:proofErr w:type="spellStart"/>
      <w:r w:rsidRPr="001D79B0">
        <w:rPr>
          <w:i w:val="0"/>
          <w:color w:val="auto"/>
          <w:sz w:val="24"/>
          <w:szCs w:val="24"/>
          <w:lang w:val="da-DK"/>
        </w:rPr>
        <w:t>clopidogrel</w:t>
      </w:r>
      <w:proofErr w:type="spellEnd"/>
      <w:r w:rsidRPr="001D79B0">
        <w:rPr>
          <w:i w:val="0"/>
          <w:color w:val="auto"/>
          <w:sz w:val="24"/>
          <w:szCs w:val="24"/>
          <w:lang w:val="da-DK"/>
        </w:rPr>
        <w:t>, både administreret i kombination med ASA og anden standardterapi. TRITON var et internationalt multicenter, randomiseret, dobbeltblindet, parallelgruppeforsøg med 13.608 patienter. Patienterne havde AKS med moderat til høj risiko UA, NSTEMI eller STEMI og blev behandlet med PCI.</w:t>
      </w:r>
    </w:p>
    <w:p w14:paraId="390BBC0B" w14:textId="77777777" w:rsidR="001D79B0" w:rsidRPr="001D79B0" w:rsidRDefault="001D79B0" w:rsidP="00160565">
      <w:pPr>
        <w:pStyle w:val="Brdtekst"/>
        <w:ind w:left="851"/>
        <w:rPr>
          <w:i w:val="0"/>
          <w:color w:val="auto"/>
          <w:sz w:val="24"/>
          <w:szCs w:val="24"/>
          <w:lang w:val="da-DK"/>
        </w:rPr>
      </w:pPr>
    </w:p>
    <w:p w14:paraId="1239B49C" w14:textId="12C55782" w:rsidR="001D79B0" w:rsidRPr="001D79B0" w:rsidRDefault="001D79B0" w:rsidP="00160565">
      <w:pPr>
        <w:pStyle w:val="Brdtekst"/>
        <w:ind w:left="851"/>
        <w:rPr>
          <w:i w:val="0"/>
          <w:color w:val="auto"/>
          <w:sz w:val="24"/>
          <w:szCs w:val="24"/>
          <w:lang w:val="da-DK"/>
        </w:rPr>
      </w:pPr>
      <w:r w:rsidRPr="001D79B0">
        <w:rPr>
          <w:i w:val="0"/>
          <w:color w:val="auto"/>
          <w:sz w:val="24"/>
          <w:szCs w:val="24"/>
          <w:lang w:val="da-DK"/>
        </w:rPr>
        <w:t xml:space="preserve">De patienter, som havde UA/NSTEMI med symptomer indenfor 72 timer eller STEMI med symptomer mellem 12 timer til 14 dage, blev randomiseret efter kendskab til </w:t>
      </w:r>
      <w:proofErr w:type="spellStart"/>
      <w:r w:rsidRPr="001D79B0">
        <w:rPr>
          <w:i w:val="0"/>
          <w:color w:val="auto"/>
          <w:sz w:val="24"/>
          <w:szCs w:val="24"/>
          <w:lang w:val="da-DK"/>
        </w:rPr>
        <w:t>koronaranatomi</w:t>
      </w:r>
      <w:proofErr w:type="spellEnd"/>
      <w:r w:rsidRPr="001D79B0">
        <w:rPr>
          <w:i w:val="0"/>
          <w:color w:val="auto"/>
          <w:sz w:val="24"/>
          <w:szCs w:val="24"/>
          <w:lang w:val="da-DK"/>
        </w:rPr>
        <w:t xml:space="preserve">. Patienter med STEMI med symptomer indenfor 12 timer og planlagt til primær PCI kunne </w:t>
      </w:r>
      <w:proofErr w:type="spellStart"/>
      <w:r w:rsidRPr="001D79B0">
        <w:rPr>
          <w:i w:val="0"/>
          <w:color w:val="auto"/>
          <w:sz w:val="24"/>
          <w:szCs w:val="24"/>
          <w:lang w:val="da-DK"/>
        </w:rPr>
        <w:t>randomiseres</w:t>
      </w:r>
      <w:proofErr w:type="spellEnd"/>
      <w:r w:rsidRPr="001D79B0">
        <w:rPr>
          <w:i w:val="0"/>
          <w:color w:val="auto"/>
          <w:sz w:val="24"/>
          <w:szCs w:val="24"/>
          <w:lang w:val="da-DK"/>
        </w:rPr>
        <w:t xml:space="preserve"> uden der var kendskab til </w:t>
      </w:r>
      <w:proofErr w:type="spellStart"/>
      <w:r w:rsidRPr="001D79B0">
        <w:rPr>
          <w:i w:val="0"/>
          <w:color w:val="auto"/>
          <w:sz w:val="24"/>
          <w:szCs w:val="24"/>
          <w:lang w:val="da-DK"/>
        </w:rPr>
        <w:t>koronaranatomi</w:t>
      </w:r>
      <w:proofErr w:type="spellEnd"/>
      <w:r w:rsidRPr="001D79B0">
        <w:rPr>
          <w:i w:val="0"/>
          <w:color w:val="auto"/>
          <w:sz w:val="24"/>
          <w:szCs w:val="24"/>
          <w:lang w:val="da-DK"/>
        </w:rPr>
        <w:t xml:space="preserve">. For alle patienterne kunne </w:t>
      </w:r>
      <w:proofErr w:type="spellStart"/>
      <w:r w:rsidRPr="001D79B0">
        <w:rPr>
          <w:i w:val="0"/>
          <w:color w:val="auto"/>
          <w:sz w:val="24"/>
          <w:szCs w:val="24"/>
          <w:lang w:val="da-DK"/>
        </w:rPr>
        <w:t>loadingdosis</w:t>
      </w:r>
      <w:proofErr w:type="spellEnd"/>
      <w:r w:rsidRPr="001D79B0">
        <w:rPr>
          <w:i w:val="0"/>
          <w:color w:val="auto"/>
          <w:sz w:val="24"/>
          <w:szCs w:val="24"/>
          <w:lang w:val="da-DK"/>
        </w:rPr>
        <w:t xml:space="preserve"> administreres til enhver tid mellem </w:t>
      </w:r>
      <w:proofErr w:type="spellStart"/>
      <w:r w:rsidRPr="001D79B0">
        <w:rPr>
          <w:i w:val="0"/>
          <w:color w:val="auto"/>
          <w:sz w:val="24"/>
          <w:szCs w:val="24"/>
          <w:lang w:val="da-DK"/>
        </w:rPr>
        <w:t>randomisering</w:t>
      </w:r>
      <w:proofErr w:type="spellEnd"/>
      <w:r w:rsidRPr="001D79B0">
        <w:rPr>
          <w:i w:val="0"/>
          <w:color w:val="auto"/>
          <w:sz w:val="24"/>
          <w:szCs w:val="24"/>
          <w:lang w:val="da-DK"/>
        </w:rPr>
        <w:t xml:space="preserve"> og 1</w:t>
      </w:r>
      <w:r w:rsidR="00E11E3E">
        <w:rPr>
          <w:i w:val="0"/>
          <w:color w:val="auto"/>
          <w:sz w:val="24"/>
          <w:szCs w:val="24"/>
          <w:lang w:val="da-DK"/>
        </w:rPr>
        <w:t> </w:t>
      </w:r>
      <w:r w:rsidRPr="001D79B0">
        <w:rPr>
          <w:i w:val="0"/>
          <w:color w:val="auto"/>
          <w:sz w:val="24"/>
          <w:szCs w:val="24"/>
          <w:lang w:val="da-DK"/>
        </w:rPr>
        <w:t xml:space="preserve">time efter, at patienten forlod </w:t>
      </w:r>
      <w:proofErr w:type="spellStart"/>
      <w:r w:rsidRPr="001D79B0">
        <w:rPr>
          <w:i w:val="0"/>
          <w:color w:val="auto"/>
          <w:sz w:val="24"/>
          <w:szCs w:val="24"/>
          <w:lang w:val="da-DK"/>
        </w:rPr>
        <w:t>katerisationslaboratoriet</w:t>
      </w:r>
      <w:proofErr w:type="spellEnd"/>
      <w:r w:rsidRPr="001D79B0">
        <w:rPr>
          <w:i w:val="0"/>
          <w:color w:val="auto"/>
          <w:sz w:val="24"/>
          <w:szCs w:val="24"/>
          <w:lang w:val="da-DK"/>
        </w:rPr>
        <w:t>.</w:t>
      </w:r>
    </w:p>
    <w:p w14:paraId="4AD28A81" w14:textId="77777777" w:rsidR="001D79B0" w:rsidRPr="001D79B0" w:rsidRDefault="001D79B0" w:rsidP="00160565">
      <w:pPr>
        <w:pStyle w:val="Brdtekst"/>
        <w:ind w:left="851"/>
        <w:rPr>
          <w:i w:val="0"/>
          <w:color w:val="auto"/>
          <w:sz w:val="24"/>
          <w:szCs w:val="24"/>
          <w:lang w:val="da-DK"/>
        </w:rPr>
      </w:pPr>
    </w:p>
    <w:p w14:paraId="638647EC" w14:textId="3D5D9C3D" w:rsidR="001D79B0" w:rsidRPr="001D79B0" w:rsidRDefault="001D79B0" w:rsidP="00160565">
      <w:pPr>
        <w:pStyle w:val="Brdtekst"/>
        <w:ind w:left="851"/>
        <w:rPr>
          <w:i w:val="0"/>
          <w:color w:val="auto"/>
          <w:sz w:val="24"/>
          <w:szCs w:val="24"/>
          <w:lang w:val="da-DK"/>
        </w:rPr>
      </w:pPr>
      <w:r w:rsidRPr="001D79B0">
        <w:rPr>
          <w:i w:val="0"/>
          <w:color w:val="auto"/>
          <w:sz w:val="24"/>
          <w:szCs w:val="24"/>
          <w:lang w:val="da-DK"/>
        </w:rPr>
        <w:t xml:space="preserve">De patienter, som var randomiseret til at få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(60 mg </w:t>
      </w:r>
      <w:proofErr w:type="spellStart"/>
      <w:r w:rsidRPr="001D79B0">
        <w:rPr>
          <w:i w:val="0"/>
          <w:color w:val="auto"/>
          <w:sz w:val="24"/>
          <w:szCs w:val="24"/>
          <w:lang w:val="da-DK"/>
        </w:rPr>
        <w:t>loadingdosis</w:t>
      </w:r>
      <w:proofErr w:type="spellEnd"/>
      <w:r w:rsidRPr="001D79B0">
        <w:rPr>
          <w:i w:val="0"/>
          <w:color w:val="auto"/>
          <w:sz w:val="24"/>
          <w:szCs w:val="24"/>
          <w:lang w:val="da-DK"/>
        </w:rPr>
        <w:t xml:space="preserve"> efterfulgt af 10</w:t>
      </w:r>
      <w:r w:rsidR="00E11E3E">
        <w:rPr>
          <w:i w:val="0"/>
          <w:color w:val="auto"/>
          <w:sz w:val="24"/>
          <w:szCs w:val="24"/>
          <w:lang w:val="da-DK"/>
        </w:rPr>
        <w:t> </w:t>
      </w:r>
      <w:r w:rsidRPr="001D79B0">
        <w:rPr>
          <w:i w:val="0"/>
          <w:color w:val="auto"/>
          <w:sz w:val="24"/>
          <w:szCs w:val="24"/>
          <w:lang w:val="da-DK"/>
        </w:rPr>
        <w:t xml:space="preserve">mg én gang dagligt) eller </w:t>
      </w:r>
      <w:proofErr w:type="spellStart"/>
      <w:r w:rsidRPr="001D79B0">
        <w:rPr>
          <w:i w:val="0"/>
          <w:color w:val="auto"/>
          <w:sz w:val="24"/>
          <w:szCs w:val="24"/>
          <w:lang w:val="da-DK"/>
        </w:rPr>
        <w:t>clopidogrel</w:t>
      </w:r>
      <w:proofErr w:type="spellEnd"/>
      <w:r w:rsidRPr="001D79B0">
        <w:rPr>
          <w:i w:val="0"/>
          <w:color w:val="auto"/>
          <w:sz w:val="24"/>
          <w:szCs w:val="24"/>
          <w:lang w:val="da-DK"/>
        </w:rPr>
        <w:t xml:space="preserve"> (300 mg </w:t>
      </w:r>
      <w:proofErr w:type="spellStart"/>
      <w:r w:rsidRPr="001D79B0">
        <w:rPr>
          <w:i w:val="0"/>
          <w:color w:val="auto"/>
          <w:sz w:val="24"/>
          <w:szCs w:val="24"/>
          <w:lang w:val="da-DK"/>
        </w:rPr>
        <w:t>loadingdosis</w:t>
      </w:r>
      <w:proofErr w:type="spellEnd"/>
      <w:r w:rsidRPr="001D79B0">
        <w:rPr>
          <w:i w:val="0"/>
          <w:color w:val="auto"/>
          <w:sz w:val="24"/>
          <w:szCs w:val="24"/>
          <w:lang w:val="da-DK"/>
        </w:rPr>
        <w:t xml:space="preserve"> efterfulgt af 75 mg én gang dagligt), blev behandlet i 14,5 måneder </w:t>
      </w:r>
      <w:proofErr w:type="spellStart"/>
      <w:r w:rsidRPr="001D79B0">
        <w:rPr>
          <w:i w:val="0"/>
          <w:color w:val="auto"/>
          <w:sz w:val="24"/>
          <w:szCs w:val="24"/>
          <w:lang w:val="da-DK"/>
        </w:rPr>
        <w:t>gennmsnit</w:t>
      </w:r>
      <w:proofErr w:type="spellEnd"/>
      <w:r w:rsidRPr="001D79B0">
        <w:rPr>
          <w:i w:val="0"/>
          <w:color w:val="auto"/>
          <w:sz w:val="24"/>
          <w:szCs w:val="24"/>
          <w:lang w:val="da-DK"/>
        </w:rPr>
        <w:t xml:space="preserve"> (maksimum15 måneder med er minimum på 6 måneders opfølgning). Patienterne fik også ASA (75 mg til 325 mg én gang dagligt). Enhver brug af </w:t>
      </w:r>
      <w:proofErr w:type="spellStart"/>
      <w:r w:rsidRPr="001D79B0">
        <w:rPr>
          <w:i w:val="0"/>
          <w:color w:val="auto"/>
          <w:sz w:val="24"/>
          <w:szCs w:val="24"/>
          <w:lang w:val="da-DK"/>
        </w:rPr>
        <w:t>thienopyridin</w:t>
      </w:r>
      <w:proofErr w:type="spellEnd"/>
      <w:r w:rsidRPr="001D79B0">
        <w:rPr>
          <w:i w:val="0"/>
          <w:color w:val="auto"/>
          <w:sz w:val="24"/>
          <w:szCs w:val="24"/>
          <w:lang w:val="da-DK"/>
        </w:rPr>
        <w:t xml:space="preserve"> indenfor 5 dage før inkludering var et eksklusionskriterie. Andre behandlinger såsom </w:t>
      </w:r>
      <w:proofErr w:type="spellStart"/>
      <w:r w:rsidRPr="001D79B0">
        <w:rPr>
          <w:i w:val="0"/>
          <w:color w:val="auto"/>
          <w:sz w:val="24"/>
          <w:szCs w:val="24"/>
          <w:lang w:val="da-DK"/>
        </w:rPr>
        <w:t>heparin</w:t>
      </w:r>
      <w:proofErr w:type="spellEnd"/>
      <w:r w:rsidRPr="001D79B0">
        <w:rPr>
          <w:i w:val="0"/>
          <w:color w:val="auto"/>
          <w:sz w:val="24"/>
          <w:szCs w:val="24"/>
          <w:lang w:val="da-DK"/>
        </w:rPr>
        <w:t xml:space="preserve"> og </w:t>
      </w:r>
      <w:proofErr w:type="spellStart"/>
      <w:r w:rsidRPr="001D79B0">
        <w:rPr>
          <w:i w:val="0"/>
          <w:color w:val="auto"/>
          <w:sz w:val="24"/>
          <w:szCs w:val="24"/>
          <w:lang w:val="da-DK"/>
        </w:rPr>
        <w:t>GPIIb</w:t>
      </w:r>
      <w:proofErr w:type="spellEnd"/>
      <w:r w:rsidRPr="001D79B0">
        <w:rPr>
          <w:i w:val="0"/>
          <w:color w:val="auto"/>
          <w:sz w:val="24"/>
          <w:szCs w:val="24"/>
          <w:lang w:val="da-DK"/>
        </w:rPr>
        <w:t>/</w:t>
      </w:r>
      <w:proofErr w:type="spellStart"/>
      <w:r w:rsidRPr="001D79B0">
        <w:rPr>
          <w:i w:val="0"/>
          <w:color w:val="auto"/>
          <w:sz w:val="24"/>
          <w:szCs w:val="24"/>
          <w:lang w:val="da-DK"/>
        </w:rPr>
        <w:t>IIIa</w:t>
      </w:r>
      <w:proofErr w:type="spellEnd"/>
      <w:r w:rsidRPr="001D79B0">
        <w:rPr>
          <w:i w:val="0"/>
          <w:color w:val="auto"/>
          <w:sz w:val="24"/>
          <w:szCs w:val="24"/>
          <w:lang w:val="da-DK"/>
        </w:rPr>
        <w:t>-inhibitorer blev administreret som skønnet af lægen. Omkring 40 % af patienterne (i hver behandlings</w:t>
      </w:r>
      <w:r w:rsidR="00E11E3E">
        <w:rPr>
          <w:i w:val="0"/>
          <w:color w:val="auto"/>
          <w:sz w:val="24"/>
          <w:szCs w:val="24"/>
          <w:lang w:val="da-DK"/>
        </w:rPr>
        <w:softHyphen/>
      </w:r>
      <w:r w:rsidRPr="001D79B0">
        <w:rPr>
          <w:i w:val="0"/>
          <w:color w:val="auto"/>
          <w:sz w:val="24"/>
          <w:szCs w:val="24"/>
          <w:lang w:val="da-DK"/>
        </w:rPr>
        <w:t xml:space="preserve">gruppe) fik </w:t>
      </w:r>
      <w:proofErr w:type="spellStart"/>
      <w:r w:rsidRPr="001D79B0">
        <w:rPr>
          <w:i w:val="0"/>
          <w:color w:val="auto"/>
          <w:sz w:val="24"/>
          <w:szCs w:val="24"/>
          <w:lang w:val="da-DK"/>
        </w:rPr>
        <w:t>GPIIb</w:t>
      </w:r>
      <w:proofErr w:type="spellEnd"/>
      <w:r w:rsidRPr="001D79B0">
        <w:rPr>
          <w:i w:val="0"/>
          <w:color w:val="auto"/>
          <w:sz w:val="24"/>
          <w:szCs w:val="24"/>
          <w:lang w:val="da-DK"/>
        </w:rPr>
        <w:t>/</w:t>
      </w:r>
      <w:proofErr w:type="spellStart"/>
      <w:r w:rsidRPr="001D79B0">
        <w:rPr>
          <w:i w:val="0"/>
          <w:color w:val="auto"/>
          <w:sz w:val="24"/>
          <w:szCs w:val="24"/>
          <w:lang w:val="da-DK"/>
        </w:rPr>
        <w:t>IIIa</w:t>
      </w:r>
      <w:proofErr w:type="spellEnd"/>
      <w:r w:rsidRPr="001D79B0">
        <w:rPr>
          <w:i w:val="0"/>
          <w:color w:val="auto"/>
          <w:sz w:val="24"/>
          <w:szCs w:val="24"/>
          <w:lang w:val="da-DK"/>
        </w:rPr>
        <w:t xml:space="preserve">-inhibitorer til støtte for PCI (der er ingen tilgængelig information om den anvendte type af </w:t>
      </w:r>
      <w:proofErr w:type="spellStart"/>
      <w:r w:rsidRPr="001D79B0">
        <w:rPr>
          <w:i w:val="0"/>
          <w:color w:val="auto"/>
          <w:sz w:val="24"/>
          <w:szCs w:val="24"/>
          <w:lang w:val="da-DK"/>
        </w:rPr>
        <w:t>GPIIb</w:t>
      </w:r>
      <w:proofErr w:type="spellEnd"/>
      <w:r w:rsidRPr="001D79B0">
        <w:rPr>
          <w:i w:val="0"/>
          <w:color w:val="auto"/>
          <w:sz w:val="24"/>
          <w:szCs w:val="24"/>
          <w:lang w:val="da-DK"/>
        </w:rPr>
        <w:t>/</w:t>
      </w:r>
      <w:proofErr w:type="spellStart"/>
      <w:r w:rsidRPr="001D79B0">
        <w:rPr>
          <w:i w:val="0"/>
          <w:color w:val="auto"/>
          <w:sz w:val="24"/>
          <w:szCs w:val="24"/>
          <w:lang w:val="da-DK"/>
        </w:rPr>
        <w:t>IIIa</w:t>
      </w:r>
      <w:proofErr w:type="spellEnd"/>
      <w:r w:rsidRPr="001D79B0">
        <w:rPr>
          <w:i w:val="0"/>
          <w:color w:val="auto"/>
          <w:sz w:val="24"/>
          <w:szCs w:val="24"/>
          <w:lang w:val="da-DK"/>
        </w:rPr>
        <w:t xml:space="preserve">-inhibitor). Omkring 98 % af patienterne (i hver af behandlingsgrupperne) fik </w:t>
      </w:r>
      <w:proofErr w:type="spellStart"/>
      <w:r w:rsidRPr="001D79B0">
        <w:rPr>
          <w:i w:val="0"/>
          <w:color w:val="auto"/>
          <w:sz w:val="24"/>
          <w:szCs w:val="24"/>
          <w:lang w:val="da-DK"/>
        </w:rPr>
        <w:t>antitrombiner</w:t>
      </w:r>
      <w:proofErr w:type="spellEnd"/>
      <w:r w:rsidRPr="001D79B0">
        <w:rPr>
          <w:i w:val="0"/>
          <w:color w:val="auto"/>
          <w:sz w:val="24"/>
          <w:szCs w:val="24"/>
          <w:lang w:val="da-DK"/>
        </w:rPr>
        <w:t xml:space="preserve"> (</w:t>
      </w:r>
      <w:proofErr w:type="spellStart"/>
      <w:r w:rsidRPr="001D79B0">
        <w:rPr>
          <w:i w:val="0"/>
          <w:color w:val="auto"/>
          <w:sz w:val="24"/>
          <w:szCs w:val="24"/>
          <w:lang w:val="da-DK"/>
        </w:rPr>
        <w:t>heparin</w:t>
      </w:r>
      <w:proofErr w:type="spellEnd"/>
      <w:r w:rsidRPr="001D79B0">
        <w:rPr>
          <w:i w:val="0"/>
          <w:color w:val="auto"/>
          <w:sz w:val="24"/>
          <w:szCs w:val="24"/>
          <w:lang w:val="da-DK"/>
        </w:rPr>
        <w:t xml:space="preserve">, lavmolekylært </w:t>
      </w:r>
      <w:proofErr w:type="spellStart"/>
      <w:r w:rsidRPr="001D79B0">
        <w:rPr>
          <w:i w:val="0"/>
          <w:color w:val="auto"/>
          <w:sz w:val="24"/>
          <w:szCs w:val="24"/>
          <w:lang w:val="da-DK"/>
        </w:rPr>
        <w:t>heparin</w:t>
      </w:r>
      <w:proofErr w:type="spellEnd"/>
      <w:r w:rsidRPr="001D79B0">
        <w:rPr>
          <w:i w:val="0"/>
          <w:color w:val="auto"/>
          <w:sz w:val="24"/>
          <w:szCs w:val="24"/>
          <w:lang w:val="da-DK"/>
        </w:rPr>
        <w:t xml:space="preserve">, </w:t>
      </w:r>
      <w:proofErr w:type="spellStart"/>
      <w:r w:rsidRPr="001D79B0">
        <w:rPr>
          <w:i w:val="0"/>
          <w:color w:val="auto"/>
          <w:sz w:val="24"/>
          <w:szCs w:val="24"/>
          <w:lang w:val="da-DK"/>
        </w:rPr>
        <w:t>bivalirudin</w:t>
      </w:r>
      <w:proofErr w:type="spellEnd"/>
      <w:r w:rsidRPr="001D79B0">
        <w:rPr>
          <w:i w:val="0"/>
          <w:color w:val="auto"/>
          <w:sz w:val="24"/>
          <w:szCs w:val="24"/>
          <w:lang w:val="da-DK"/>
        </w:rPr>
        <w:t xml:space="preserve"> eller andet stof) direkte til støtte for PCI.</w:t>
      </w:r>
    </w:p>
    <w:p w14:paraId="31820605" w14:textId="77777777" w:rsidR="001D79B0" w:rsidRPr="001D79B0" w:rsidRDefault="001D79B0" w:rsidP="00160565">
      <w:pPr>
        <w:pStyle w:val="Brdtekst"/>
        <w:ind w:left="851"/>
        <w:rPr>
          <w:i w:val="0"/>
          <w:color w:val="auto"/>
          <w:sz w:val="24"/>
          <w:szCs w:val="24"/>
          <w:lang w:val="da-DK"/>
        </w:rPr>
      </w:pPr>
    </w:p>
    <w:p w14:paraId="642DCD20" w14:textId="77777777" w:rsidR="001D79B0" w:rsidRPr="001D79B0" w:rsidRDefault="001D79B0" w:rsidP="00160565">
      <w:pPr>
        <w:pStyle w:val="Brdtekst"/>
        <w:ind w:left="851"/>
        <w:rPr>
          <w:i w:val="0"/>
          <w:color w:val="auto"/>
          <w:sz w:val="24"/>
          <w:szCs w:val="24"/>
          <w:lang w:val="da-DK"/>
        </w:rPr>
      </w:pPr>
      <w:r w:rsidRPr="001D79B0">
        <w:rPr>
          <w:i w:val="0"/>
          <w:color w:val="auto"/>
          <w:sz w:val="24"/>
          <w:szCs w:val="24"/>
          <w:lang w:val="da-DK"/>
        </w:rPr>
        <w:t xml:space="preserve">Forsøgets primære endepunkt var tiden til første tilfælde af </w:t>
      </w:r>
      <w:proofErr w:type="spellStart"/>
      <w:r w:rsidRPr="001D79B0">
        <w:rPr>
          <w:i w:val="0"/>
          <w:color w:val="auto"/>
          <w:sz w:val="24"/>
          <w:szCs w:val="24"/>
          <w:lang w:val="da-DK"/>
        </w:rPr>
        <w:t>kardiovaskulær</w:t>
      </w:r>
      <w:proofErr w:type="spellEnd"/>
      <w:r w:rsidRPr="001D79B0">
        <w:rPr>
          <w:i w:val="0"/>
          <w:color w:val="auto"/>
          <w:sz w:val="24"/>
          <w:szCs w:val="24"/>
          <w:lang w:val="da-DK"/>
        </w:rPr>
        <w:t xml:space="preserve"> (CV) død, ikke-letalt myokardieinfarkt (MI) eller ikke-letalt slagtilfælde. Analysen af det sammensatte endepunkt i den totale AKS-population (kombinerede UA/NSTEMI- og STEMI-kohorter) var betinget af en påvist statistisk forskel til fordel for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versus </w:t>
      </w:r>
      <w:proofErr w:type="spellStart"/>
      <w:r w:rsidRPr="001D79B0">
        <w:rPr>
          <w:i w:val="0"/>
          <w:color w:val="auto"/>
          <w:sz w:val="24"/>
          <w:szCs w:val="24"/>
          <w:lang w:val="da-DK"/>
        </w:rPr>
        <w:t>clopidogrel</w:t>
      </w:r>
      <w:proofErr w:type="spellEnd"/>
      <w:r w:rsidRPr="001D79B0">
        <w:rPr>
          <w:i w:val="0"/>
          <w:color w:val="auto"/>
          <w:sz w:val="24"/>
          <w:szCs w:val="24"/>
          <w:lang w:val="da-DK"/>
        </w:rPr>
        <w:t xml:space="preserve"> i UA/STEMI-kohorten (p &lt;0,05).</w:t>
      </w:r>
    </w:p>
    <w:p w14:paraId="4C232043" w14:textId="77777777" w:rsidR="001D79B0" w:rsidRPr="001D79B0" w:rsidRDefault="001D79B0" w:rsidP="00160565">
      <w:pPr>
        <w:pStyle w:val="Brdtekst"/>
        <w:ind w:left="851"/>
        <w:rPr>
          <w:i w:val="0"/>
          <w:color w:val="auto"/>
          <w:sz w:val="24"/>
          <w:szCs w:val="24"/>
          <w:lang w:val="da-DK"/>
        </w:rPr>
      </w:pPr>
    </w:p>
    <w:p w14:paraId="7A9989CC" w14:textId="34F9495F" w:rsidR="001D79B0" w:rsidRPr="001D79B0" w:rsidRDefault="001D79B0" w:rsidP="00160565">
      <w:pPr>
        <w:pStyle w:val="Brdtekst"/>
        <w:ind w:left="851"/>
        <w:rPr>
          <w:iCs/>
          <w:color w:val="auto"/>
          <w:sz w:val="24"/>
          <w:szCs w:val="24"/>
          <w:lang w:val="da-DK"/>
        </w:rPr>
      </w:pPr>
      <w:r w:rsidRPr="001D79B0">
        <w:rPr>
          <w:iCs/>
          <w:color w:val="auto"/>
          <w:sz w:val="24"/>
          <w:szCs w:val="24"/>
          <w:lang w:val="da-DK"/>
        </w:rPr>
        <w:t>Total AKS population</w:t>
      </w:r>
    </w:p>
    <w:p w14:paraId="41E650DE" w14:textId="654F170C" w:rsidR="001D79B0" w:rsidRPr="001D79B0" w:rsidRDefault="001D79B0" w:rsidP="00160565">
      <w:pPr>
        <w:pStyle w:val="Brdtekst"/>
        <w:ind w:left="851"/>
        <w:rPr>
          <w:i w:val="0"/>
          <w:color w:val="auto"/>
          <w:sz w:val="24"/>
          <w:szCs w:val="24"/>
          <w:lang w:val="da-DK"/>
        </w:rPr>
      </w:pPr>
      <w:r w:rsidRPr="001D79B0">
        <w:rPr>
          <w:i w:val="0"/>
          <w:color w:val="auto"/>
          <w:sz w:val="24"/>
          <w:szCs w:val="24"/>
          <w:lang w:val="da-DK"/>
        </w:rPr>
        <w:t xml:space="preserve">Sammenlignet med </w:t>
      </w:r>
      <w:proofErr w:type="spellStart"/>
      <w:r w:rsidRPr="001D79B0">
        <w:rPr>
          <w:i w:val="0"/>
          <w:color w:val="auto"/>
          <w:sz w:val="24"/>
          <w:szCs w:val="24"/>
          <w:lang w:val="da-DK"/>
        </w:rPr>
        <w:t>clopidogrel</w:t>
      </w:r>
      <w:proofErr w:type="spellEnd"/>
      <w:r w:rsidRPr="001D79B0">
        <w:rPr>
          <w:i w:val="0"/>
          <w:color w:val="auto"/>
          <w:sz w:val="24"/>
          <w:szCs w:val="24"/>
          <w:lang w:val="da-DK"/>
        </w:rPr>
        <w:t xml:space="preserve"> viste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større effekt i reduktion af det primære sammensatte endepunkt såvel som det præspecificerede sekundære endepunkt, inklusive </w:t>
      </w:r>
      <w:proofErr w:type="spellStart"/>
      <w:r w:rsidRPr="001D79B0">
        <w:rPr>
          <w:i w:val="0"/>
          <w:color w:val="auto"/>
          <w:sz w:val="24"/>
          <w:szCs w:val="24"/>
          <w:lang w:val="da-DK"/>
        </w:rPr>
        <w:t>stenttrombose</w:t>
      </w:r>
      <w:proofErr w:type="spellEnd"/>
      <w:r w:rsidR="00160565">
        <w:rPr>
          <w:i w:val="0"/>
          <w:color w:val="auto"/>
          <w:sz w:val="24"/>
          <w:szCs w:val="24"/>
          <w:lang w:val="da-DK"/>
        </w:rPr>
        <w:t xml:space="preserve"> </w:t>
      </w:r>
      <w:r w:rsidRPr="001D79B0">
        <w:rPr>
          <w:i w:val="0"/>
          <w:color w:val="auto"/>
          <w:sz w:val="24"/>
          <w:szCs w:val="24"/>
          <w:lang w:val="da-DK"/>
        </w:rPr>
        <w:t xml:space="preserve">(se tabel 3). Fordelen ved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viste sig indenfor de første 3 dage og varede ved til slutningen af forsøget. Den større effekt var ledsaget af en stigning i større blødninger (se pkt.4.4 og pkt. 4.8). Patientpopulationen bestod af 92 % kaukasiere, 26 % kvinder og 39 % ≥ 65 år.</w:t>
      </w:r>
    </w:p>
    <w:p w14:paraId="3BB91FA7" w14:textId="77777777" w:rsidR="001D79B0" w:rsidRPr="001D79B0" w:rsidRDefault="001D79B0" w:rsidP="00160565">
      <w:pPr>
        <w:pStyle w:val="Brdtekst"/>
        <w:ind w:left="851"/>
        <w:rPr>
          <w:i w:val="0"/>
          <w:color w:val="auto"/>
          <w:sz w:val="24"/>
          <w:szCs w:val="24"/>
          <w:lang w:val="da-DK"/>
        </w:rPr>
      </w:pPr>
      <w:r w:rsidRPr="001D79B0">
        <w:rPr>
          <w:i w:val="0"/>
          <w:color w:val="auto"/>
          <w:sz w:val="24"/>
          <w:szCs w:val="24"/>
          <w:lang w:val="da-DK"/>
        </w:rPr>
        <w:t xml:space="preserve">De fordele, som var forbundet med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var uafhængige af brugen af andre akutte og langtidsvirkende </w:t>
      </w:r>
      <w:proofErr w:type="spellStart"/>
      <w:r w:rsidRPr="001D79B0">
        <w:rPr>
          <w:i w:val="0"/>
          <w:color w:val="auto"/>
          <w:sz w:val="24"/>
          <w:szCs w:val="24"/>
          <w:lang w:val="da-DK"/>
        </w:rPr>
        <w:t>kardiovaskulære</w:t>
      </w:r>
      <w:proofErr w:type="spellEnd"/>
      <w:r w:rsidRPr="001D79B0">
        <w:rPr>
          <w:i w:val="0"/>
          <w:color w:val="auto"/>
          <w:sz w:val="24"/>
          <w:szCs w:val="24"/>
          <w:lang w:val="da-DK"/>
        </w:rPr>
        <w:t xml:space="preserve"> terapier, herunder </w:t>
      </w:r>
      <w:proofErr w:type="spellStart"/>
      <w:r w:rsidRPr="001D79B0">
        <w:rPr>
          <w:i w:val="0"/>
          <w:color w:val="auto"/>
          <w:sz w:val="24"/>
          <w:szCs w:val="24"/>
          <w:lang w:val="da-DK"/>
        </w:rPr>
        <w:t>heparin</w:t>
      </w:r>
      <w:proofErr w:type="spellEnd"/>
      <w:r w:rsidRPr="001D79B0">
        <w:rPr>
          <w:i w:val="0"/>
          <w:color w:val="auto"/>
          <w:sz w:val="24"/>
          <w:szCs w:val="24"/>
          <w:lang w:val="da-DK"/>
        </w:rPr>
        <w:t xml:space="preserve">/lavmolekylært </w:t>
      </w:r>
      <w:proofErr w:type="spellStart"/>
      <w:r w:rsidRPr="001D79B0">
        <w:rPr>
          <w:i w:val="0"/>
          <w:color w:val="auto"/>
          <w:sz w:val="24"/>
          <w:szCs w:val="24"/>
          <w:lang w:val="da-DK"/>
        </w:rPr>
        <w:t>heparin</w:t>
      </w:r>
      <w:proofErr w:type="spellEnd"/>
      <w:r w:rsidRPr="001D79B0">
        <w:rPr>
          <w:i w:val="0"/>
          <w:color w:val="auto"/>
          <w:sz w:val="24"/>
          <w:szCs w:val="24"/>
          <w:lang w:val="da-DK"/>
        </w:rPr>
        <w:t xml:space="preserve">, </w:t>
      </w:r>
      <w:proofErr w:type="spellStart"/>
      <w:r w:rsidRPr="001D79B0">
        <w:rPr>
          <w:i w:val="0"/>
          <w:color w:val="auto"/>
          <w:sz w:val="24"/>
          <w:szCs w:val="24"/>
          <w:lang w:val="da-DK"/>
        </w:rPr>
        <w:t>bivalirudin</w:t>
      </w:r>
      <w:proofErr w:type="spellEnd"/>
      <w:r w:rsidRPr="001D79B0">
        <w:rPr>
          <w:i w:val="0"/>
          <w:color w:val="auto"/>
          <w:sz w:val="24"/>
          <w:szCs w:val="24"/>
          <w:lang w:val="da-DK"/>
        </w:rPr>
        <w:t xml:space="preserve">, intravenøs brug af </w:t>
      </w:r>
      <w:proofErr w:type="spellStart"/>
      <w:r w:rsidRPr="001D79B0">
        <w:rPr>
          <w:i w:val="0"/>
          <w:color w:val="auto"/>
          <w:sz w:val="24"/>
          <w:szCs w:val="24"/>
          <w:lang w:val="da-DK"/>
        </w:rPr>
        <w:t>GPIIb</w:t>
      </w:r>
      <w:proofErr w:type="spellEnd"/>
      <w:r w:rsidRPr="001D79B0">
        <w:rPr>
          <w:i w:val="0"/>
          <w:color w:val="auto"/>
          <w:sz w:val="24"/>
          <w:szCs w:val="24"/>
          <w:lang w:val="da-DK"/>
        </w:rPr>
        <w:t>/</w:t>
      </w:r>
      <w:proofErr w:type="spellStart"/>
      <w:r w:rsidRPr="001D79B0">
        <w:rPr>
          <w:i w:val="0"/>
          <w:color w:val="auto"/>
          <w:sz w:val="24"/>
          <w:szCs w:val="24"/>
          <w:lang w:val="da-DK"/>
        </w:rPr>
        <w:t>IIIa</w:t>
      </w:r>
      <w:proofErr w:type="spellEnd"/>
      <w:r w:rsidRPr="001D79B0">
        <w:rPr>
          <w:i w:val="0"/>
          <w:color w:val="auto"/>
          <w:sz w:val="24"/>
          <w:szCs w:val="24"/>
          <w:lang w:val="da-DK"/>
        </w:rPr>
        <w:t xml:space="preserve">-inhibitorer, lipidsænkende lægemidler, betablokkere og </w:t>
      </w:r>
      <w:proofErr w:type="spellStart"/>
      <w:r w:rsidRPr="001D79B0">
        <w:rPr>
          <w:i w:val="0"/>
          <w:color w:val="auto"/>
          <w:sz w:val="24"/>
          <w:szCs w:val="24"/>
          <w:lang w:val="da-DK"/>
        </w:rPr>
        <w:t>angiotensinkonverterende</w:t>
      </w:r>
      <w:proofErr w:type="spellEnd"/>
      <w:r w:rsidRPr="001D79B0">
        <w:rPr>
          <w:i w:val="0"/>
          <w:color w:val="auto"/>
          <w:sz w:val="24"/>
          <w:szCs w:val="24"/>
          <w:lang w:val="da-DK"/>
        </w:rPr>
        <w:t xml:space="preserve"> </w:t>
      </w:r>
      <w:proofErr w:type="spellStart"/>
      <w:r w:rsidRPr="001D79B0">
        <w:rPr>
          <w:i w:val="0"/>
          <w:color w:val="auto"/>
          <w:sz w:val="24"/>
          <w:szCs w:val="24"/>
          <w:lang w:val="da-DK"/>
        </w:rPr>
        <w:t>enzymhæmmere</w:t>
      </w:r>
      <w:proofErr w:type="spellEnd"/>
      <w:r w:rsidRPr="001D79B0">
        <w:rPr>
          <w:i w:val="0"/>
          <w:color w:val="auto"/>
          <w:sz w:val="24"/>
          <w:szCs w:val="24"/>
          <w:lang w:val="da-DK"/>
        </w:rPr>
        <w:t xml:space="preserve">. Virkningen af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var uafhængig af den indgivne </w:t>
      </w:r>
      <w:proofErr w:type="gramStart"/>
      <w:r w:rsidRPr="001D79B0">
        <w:rPr>
          <w:i w:val="0"/>
          <w:color w:val="auto"/>
          <w:sz w:val="24"/>
          <w:szCs w:val="24"/>
          <w:lang w:val="da-DK"/>
        </w:rPr>
        <w:t>ASA dosis</w:t>
      </w:r>
      <w:proofErr w:type="gramEnd"/>
      <w:r w:rsidRPr="001D79B0">
        <w:rPr>
          <w:i w:val="0"/>
          <w:color w:val="auto"/>
          <w:sz w:val="24"/>
          <w:szCs w:val="24"/>
          <w:lang w:val="da-DK"/>
        </w:rPr>
        <w:t xml:space="preserve"> (75 mg til 325 mg én gang dagligt). Brug af orale </w:t>
      </w:r>
      <w:proofErr w:type="spellStart"/>
      <w:r w:rsidRPr="001D79B0">
        <w:rPr>
          <w:i w:val="0"/>
          <w:color w:val="auto"/>
          <w:sz w:val="24"/>
          <w:szCs w:val="24"/>
          <w:lang w:val="da-DK"/>
        </w:rPr>
        <w:t>antikoagulantia</w:t>
      </w:r>
      <w:proofErr w:type="spellEnd"/>
      <w:r w:rsidRPr="001D79B0">
        <w:rPr>
          <w:i w:val="0"/>
          <w:color w:val="auto"/>
          <w:sz w:val="24"/>
          <w:szCs w:val="24"/>
          <w:lang w:val="da-DK"/>
        </w:rPr>
        <w:t xml:space="preserve">, </w:t>
      </w:r>
      <w:proofErr w:type="spellStart"/>
      <w:r w:rsidRPr="001D79B0">
        <w:rPr>
          <w:i w:val="0"/>
          <w:color w:val="auto"/>
          <w:sz w:val="24"/>
          <w:szCs w:val="24"/>
          <w:lang w:val="da-DK"/>
        </w:rPr>
        <w:t>antitrombosemidler</w:t>
      </w:r>
      <w:proofErr w:type="spellEnd"/>
      <w:r w:rsidRPr="001D79B0">
        <w:rPr>
          <w:i w:val="0"/>
          <w:color w:val="auto"/>
          <w:sz w:val="24"/>
          <w:szCs w:val="24"/>
          <w:lang w:val="da-DK"/>
        </w:rPr>
        <w:t xml:space="preserve"> uden for forsøget og vedvarende </w:t>
      </w:r>
      <w:proofErr w:type="spellStart"/>
      <w:r w:rsidRPr="001D79B0">
        <w:rPr>
          <w:i w:val="0"/>
          <w:color w:val="auto"/>
          <w:sz w:val="24"/>
          <w:szCs w:val="24"/>
          <w:lang w:val="da-DK"/>
        </w:rPr>
        <w:t>NSAIDs</w:t>
      </w:r>
      <w:proofErr w:type="spellEnd"/>
      <w:r w:rsidRPr="001D79B0">
        <w:rPr>
          <w:i w:val="0"/>
          <w:color w:val="auto"/>
          <w:sz w:val="24"/>
          <w:szCs w:val="24"/>
          <w:lang w:val="da-DK"/>
        </w:rPr>
        <w:t xml:space="preserve"> var ikke tilladt i TRITON. I den totale AKS-population var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forbundet med en lavere </w:t>
      </w:r>
      <w:proofErr w:type="spellStart"/>
      <w:r w:rsidRPr="001D79B0">
        <w:rPr>
          <w:i w:val="0"/>
          <w:color w:val="auto"/>
          <w:sz w:val="24"/>
          <w:szCs w:val="24"/>
          <w:lang w:val="da-DK"/>
        </w:rPr>
        <w:t>incidens</w:t>
      </w:r>
      <w:proofErr w:type="spellEnd"/>
      <w:r w:rsidRPr="001D79B0">
        <w:rPr>
          <w:i w:val="0"/>
          <w:color w:val="auto"/>
          <w:sz w:val="24"/>
          <w:szCs w:val="24"/>
          <w:lang w:val="da-DK"/>
        </w:rPr>
        <w:t xml:space="preserve"> af CV død, ikke-letale MI eller ikke-letale slagtilfælde sammenlignet med </w:t>
      </w:r>
      <w:proofErr w:type="spellStart"/>
      <w:r w:rsidRPr="001D79B0">
        <w:rPr>
          <w:i w:val="0"/>
          <w:color w:val="auto"/>
          <w:sz w:val="24"/>
          <w:szCs w:val="24"/>
          <w:lang w:val="da-DK"/>
        </w:rPr>
        <w:t>clopidogrel</w:t>
      </w:r>
      <w:proofErr w:type="spellEnd"/>
      <w:r w:rsidRPr="001D79B0">
        <w:rPr>
          <w:i w:val="0"/>
          <w:color w:val="auto"/>
          <w:sz w:val="24"/>
          <w:szCs w:val="24"/>
          <w:lang w:val="da-DK"/>
        </w:rPr>
        <w:t xml:space="preserve">, uafhængigt af baseline-karakteristika såsom alder, køn, legemsvægt, geografisk region, brug af </w:t>
      </w:r>
      <w:proofErr w:type="spellStart"/>
      <w:r w:rsidRPr="001D79B0">
        <w:rPr>
          <w:i w:val="0"/>
          <w:color w:val="auto"/>
          <w:sz w:val="24"/>
          <w:szCs w:val="24"/>
          <w:lang w:val="da-DK"/>
        </w:rPr>
        <w:t>GPIIb</w:t>
      </w:r>
      <w:proofErr w:type="spellEnd"/>
      <w:r w:rsidRPr="001D79B0">
        <w:rPr>
          <w:i w:val="0"/>
          <w:color w:val="auto"/>
          <w:sz w:val="24"/>
          <w:szCs w:val="24"/>
          <w:lang w:val="da-DK"/>
        </w:rPr>
        <w:t>/</w:t>
      </w:r>
      <w:proofErr w:type="spellStart"/>
      <w:r w:rsidRPr="001D79B0">
        <w:rPr>
          <w:i w:val="0"/>
          <w:color w:val="auto"/>
          <w:sz w:val="24"/>
          <w:szCs w:val="24"/>
          <w:lang w:val="da-DK"/>
        </w:rPr>
        <w:t>IIIa</w:t>
      </w:r>
      <w:proofErr w:type="spellEnd"/>
      <w:r w:rsidRPr="001D79B0">
        <w:rPr>
          <w:i w:val="0"/>
          <w:color w:val="auto"/>
          <w:sz w:val="24"/>
          <w:szCs w:val="24"/>
          <w:lang w:val="da-DK"/>
        </w:rPr>
        <w:t xml:space="preserve">-inhibitorer og </w:t>
      </w:r>
      <w:proofErr w:type="spellStart"/>
      <w:r w:rsidRPr="001D79B0">
        <w:rPr>
          <w:i w:val="0"/>
          <w:color w:val="auto"/>
          <w:sz w:val="24"/>
          <w:szCs w:val="24"/>
          <w:lang w:val="da-DK"/>
        </w:rPr>
        <w:t>stenttype</w:t>
      </w:r>
      <w:proofErr w:type="spellEnd"/>
      <w:r w:rsidRPr="001D79B0">
        <w:rPr>
          <w:i w:val="0"/>
          <w:color w:val="auto"/>
          <w:sz w:val="24"/>
          <w:szCs w:val="24"/>
          <w:lang w:val="da-DK"/>
        </w:rPr>
        <w:t>. Fordelen skyldtes primært et signifikant fald i ikke-letale MI (se tabel 3). Forsøgspersoner med diabetes havde signifikant reduktion i det primære og alle sekundære sammensatte endepunkter.</w:t>
      </w:r>
    </w:p>
    <w:p w14:paraId="47596FAB" w14:textId="77777777" w:rsidR="001D79B0" w:rsidRPr="001D79B0" w:rsidRDefault="001D79B0" w:rsidP="00160565">
      <w:pPr>
        <w:pStyle w:val="Brdtekst"/>
        <w:ind w:left="851"/>
        <w:jc w:val="both"/>
        <w:rPr>
          <w:i w:val="0"/>
          <w:color w:val="auto"/>
          <w:sz w:val="24"/>
          <w:szCs w:val="24"/>
          <w:lang w:val="da-DK"/>
        </w:rPr>
      </w:pPr>
    </w:p>
    <w:p w14:paraId="4D1DC3E5" w14:textId="77777777" w:rsidR="001D79B0" w:rsidRPr="001D79B0" w:rsidRDefault="001D79B0" w:rsidP="00DE3E26">
      <w:pPr>
        <w:pStyle w:val="Brdtekst"/>
        <w:ind w:left="851"/>
        <w:rPr>
          <w:i w:val="0"/>
          <w:color w:val="auto"/>
          <w:sz w:val="24"/>
          <w:szCs w:val="24"/>
          <w:lang w:val="da-DK"/>
        </w:rPr>
      </w:pPr>
      <w:r w:rsidRPr="001D79B0">
        <w:rPr>
          <w:i w:val="0"/>
          <w:color w:val="auto"/>
          <w:sz w:val="24"/>
          <w:szCs w:val="24"/>
          <w:lang w:val="da-DK"/>
        </w:rPr>
        <w:t xml:space="preserve">Den observerede fordel ved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hos patienter ≥ 75 år var mindre end den, som blev observeret hos patienter &lt;75 år. Patienter ≥ 75 år havde øget risiko for blødning, inklusive letale risici (se pkt. 4.2, pkt. 4.4 og pkt. 4.8). De patienter ≥ 75 år, hos hvem fordelen ved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var mest tydelig, omfattede dem med diabetes, STEMI, højere risiko for </w:t>
      </w:r>
      <w:proofErr w:type="spellStart"/>
      <w:r w:rsidRPr="001D79B0">
        <w:rPr>
          <w:i w:val="0"/>
          <w:color w:val="auto"/>
          <w:sz w:val="24"/>
          <w:szCs w:val="24"/>
          <w:lang w:val="da-DK"/>
        </w:rPr>
        <w:t>stenttromboser</w:t>
      </w:r>
      <w:proofErr w:type="spellEnd"/>
      <w:r w:rsidRPr="001D79B0">
        <w:rPr>
          <w:i w:val="0"/>
          <w:color w:val="auto"/>
          <w:sz w:val="24"/>
          <w:szCs w:val="24"/>
          <w:lang w:val="da-DK"/>
        </w:rPr>
        <w:t xml:space="preserve"> eller tilbagevendende hændelser.</w:t>
      </w:r>
    </w:p>
    <w:p w14:paraId="7CCE0B40" w14:textId="77777777" w:rsidR="001D79B0" w:rsidRPr="001D79B0" w:rsidRDefault="001D79B0" w:rsidP="00DE3E26">
      <w:pPr>
        <w:pStyle w:val="Brdtekst"/>
        <w:ind w:left="851"/>
        <w:rPr>
          <w:i w:val="0"/>
          <w:color w:val="auto"/>
          <w:sz w:val="24"/>
          <w:szCs w:val="24"/>
          <w:lang w:val="da-DK"/>
        </w:rPr>
      </w:pPr>
    </w:p>
    <w:p w14:paraId="079283E0" w14:textId="77777777" w:rsidR="001D79B0" w:rsidRPr="001D79B0" w:rsidRDefault="001D79B0" w:rsidP="00DE3E26">
      <w:pPr>
        <w:pStyle w:val="Brdtekst"/>
        <w:ind w:left="851"/>
        <w:rPr>
          <w:i w:val="0"/>
          <w:color w:val="auto"/>
          <w:sz w:val="24"/>
          <w:szCs w:val="24"/>
          <w:lang w:val="da-DK"/>
        </w:rPr>
      </w:pPr>
      <w:r w:rsidRPr="001D79B0">
        <w:rPr>
          <w:i w:val="0"/>
          <w:color w:val="auto"/>
          <w:sz w:val="24"/>
          <w:szCs w:val="24"/>
          <w:lang w:val="da-DK"/>
        </w:rPr>
        <w:t xml:space="preserve">Der var ingen reduktion i primære sammensatte endepunktshændelser for de patienter, som havde en sygehistorie med TIA eller en sygehistorie med iskæmisk slagtilfælde mere end 3 måneder før </w:t>
      </w:r>
      <w:proofErr w:type="spellStart"/>
      <w:r w:rsidRPr="001D79B0">
        <w:rPr>
          <w:i w:val="0"/>
          <w:color w:val="auto"/>
          <w:sz w:val="24"/>
          <w:szCs w:val="24"/>
          <w:lang w:val="da-DK"/>
        </w:rPr>
        <w:t>prasugrelbehandling</w:t>
      </w:r>
      <w:proofErr w:type="spellEnd"/>
      <w:r w:rsidRPr="001D79B0">
        <w:rPr>
          <w:i w:val="0"/>
          <w:color w:val="auto"/>
          <w:sz w:val="24"/>
          <w:szCs w:val="24"/>
          <w:lang w:val="da-DK"/>
        </w:rPr>
        <w:t>.</w:t>
      </w:r>
    </w:p>
    <w:p w14:paraId="11D1E902" w14:textId="4B3F947F" w:rsidR="00E11E3E" w:rsidRDefault="00E11E3E">
      <w:pPr>
        <w:rPr>
          <w:sz w:val="24"/>
          <w:szCs w:val="24"/>
        </w:rPr>
      </w:pPr>
      <w:r>
        <w:rPr>
          <w:i/>
          <w:sz w:val="24"/>
          <w:szCs w:val="24"/>
        </w:rPr>
        <w:br w:type="page"/>
      </w:r>
    </w:p>
    <w:p w14:paraId="613098C9" w14:textId="77777777" w:rsidR="001D79B0" w:rsidRPr="001D79B0" w:rsidRDefault="001D79B0" w:rsidP="00160565">
      <w:pPr>
        <w:pStyle w:val="Brdtekst"/>
        <w:ind w:left="851"/>
        <w:rPr>
          <w:i w:val="0"/>
          <w:color w:val="auto"/>
          <w:sz w:val="24"/>
          <w:szCs w:val="24"/>
          <w:lang w:val="da-DK"/>
        </w:rPr>
      </w:pPr>
    </w:p>
    <w:p w14:paraId="31589CF0" w14:textId="77777777" w:rsidR="001D79B0" w:rsidRPr="00DE3E26" w:rsidRDefault="001D79B0" w:rsidP="00DE3E26">
      <w:pPr>
        <w:rPr>
          <w:b/>
          <w:i/>
          <w:sz w:val="24"/>
          <w:szCs w:val="24"/>
        </w:rPr>
      </w:pPr>
      <w:r w:rsidRPr="00DE3E26">
        <w:rPr>
          <w:b/>
          <w:sz w:val="24"/>
          <w:szCs w:val="24"/>
        </w:rPr>
        <w:t>Tabel 3: Patienter med endepunktshændelser i TRITON primæranalysen</w:t>
      </w:r>
    </w:p>
    <w:p w14:paraId="2F898379" w14:textId="77777777" w:rsidR="001D79B0" w:rsidRPr="00DE3E26" w:rsidRDefault="001D79B0" w:rsidP="00DE3E26">
      <w:pPr>
        <w:rPr>
          <w:b/>
          <w:sz w:val="24"/>
          <w:szCs w:val="24"/>
        </w:rPr>
      </w:pPr>
    </w:p>
    <w:tbl>
      <w:tblPr>
        <w:tblW w:w="5000" w:type="pct"/>
        <w:tblCellMar>
          <w:left w:w="5" w:type="dxa"/>
          <w:right w:w="5" w:type="dxa"/>
        </w:tblCellMar>
        <w:tblLook w:val="01E0" w:firstRow="1" w:lastRow="1" w:firstColumn="1" w:lastColumn="1" w:noHBand="0" w:noVBand="0"/>
      </w:tblPr>
      <w:tblGrid>
        <w:gridCol w:w="3752"/>
        <w:gridCol w:w="1594"/>
        <w:gridCol w:w="1359"/>
        <w:gridCol w:w="2010"/>
        <w:gridCol w:w="913"/>
      </w:tblGrid>
      <w:tr w:rsidR="001D79B0" w14:paraId="49696E70" w14:textId="77777777" w:rsidTr="00DE3E26">
        <w:trPr>
          <w:trHeight w:val="690"/>
          <w:tblHeader/>
        </w:trPr>
        <w:tc>
          <w:tcPr>
            <w:tcW w:w="19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857C18" w14:textId="77777777" w:rsidR="001D79B0" w:rsidRDefault="001D79B0">
            <w:pPr>
              <w:pStyle w:val="TableParagraph"/>
              <w:rPr>
                <w:b/>
                <w:bCs/>
                <w:lang w:val="da-DK"/>
              </w:rPr>
            </w:pPr>
          </w:p>
          <w:p w14:paraId="20F674F8" w14:textId="77777777" w:rsidR="001D79B0" w:rsidRDefault="001D79B0">
            <w:pPr>
              <w:pStyle w:val="TableParagraph"/>
              <w:rPr>
                <w:b/>
                <w:bCs/>
                <w:lang w:val="da-DK"/>
              </w:rPr>
            </w:pPr>
          </w:p>
          <w:p w14:paraId="29F2162D" w14:textId="77777777" w:rsidR="001D79B0" w:rsidRDefault="001D79B0">
            <w:pPr>
              <w:pStyle w:val="TableParagraph"/>
              <w:ind w:left="107"/>
              <w:rPr>
                <w:b/>
                <w:bCs/>
              </w:rPr>
            </w:pPr>
            <w:r>
              <w:rPr>
                <w:b/>
                <w:bCs/>
                <w:lang w:val="da-DK"/>
              </w:rPr>
              <w:t>Endepunktshændelser</w:t>
            </w:r>
          </w:p>
        </w:tc>
        <w:tc>
          <w:tcPr>
            <w:tcW w:w="8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7498C25" w14:textId="77777777" w:rsidR="001D79B0" w:rsidRDefault="001D79B0">
            <w:pPr>
              <w:pStyle w:val="TableParagraph"/>
              <w:ind w:left="154"/>
              <w:jc w:val="center"/>
              <w:rPr>
                <w:b/>
                <w:bCs/>
              </w:rPr>
            </w:pPr>
            <w:proofErr w:type="spellStart"/>
            <w:r>
              <w:rPr>
                <w:b/>
                <w:bCs/>
                <w:lang w:val="da-DK"/>
              </w:rPr>
              <w:t>Prasugrel</w:t>
            </w:r>
            <w:proofErr w:type="spellEnd"/>
          </w:p>
          <w:p w14:paraId="6B925270" w14:textId="77777777" w:rsidR="001D79B0" w:rsidRDefault="001D79B0">
            <w:pPr>
              <w:pStyle w:val="TableParagraph"/>
              <w:ind w:left="153"/>
              <w:jc w:val="center"/>
              <w:rPr>
                <w:b/>
                <w:bCs/>
              </w:rPr>
            </w:pPr>
            <w:r>
              <w:rPr>
                <w:b/>
                <w:bCs/>
                <w:lang w:val="da-DK"/>
              </w:rPr>
              <w:t>+ ASA</w:t>
            </w:r>
          </w:p>
        </w:tc>
        <w:tc>
          <w:tcPr>
            <w:tcW w:w="70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7717B36" w14:textId="77777777" w:rsidR="001D79B0" w:rsidRDefault="001D79B0">
            <w:pPr>
              <w:pStyle w:val="TableParagraph"/>
              <w:ind w:left="154"/>
              <w:jc w:val="center"/>
              <w:rPr>
                <w:b/>
                <w:bCs/>
              </w:rPr>
            </w:pPr>
            <w:proofErr w:type="spellStart"/>
            <w:r>
              <w:rPr>
                <w:b/>
                <w:bCs/>
                <w:lang w:val="da-DK"/>
              </w:rPr>
              <w:t>Clopidogrel</w:t>
            </w:r>
            <w:proofErr w:type="spellEnd"/>
          </w:p>
          <w:p w14:paraId="0790AF72" w14:textId="77777777" w:rsidR="001D79B0" w:rsidRDefault="001D79B0">
            <w:pPr>
              <w:pStyle w:val="TableParagraph"/>
              <w:ind w:left="152"/>
              <w:jc w:val="center"/>
              <w:rPr>
                <w:b/>
                <w:bCs/>
              </w:rPr>
            </w:pPr>
            <w:r>
              <w:rPr>
                <w:b/>
                <w:bCs/>
                <w:lang w:val="da-DK"/>
              </w:rPr>
              <w:t>+ASA</w:t>
            </w:r>
          </w:p>
        </w:tc>
        <w:tc>
          <w:tcPr>
            <w:tcW w:w="10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4A7604F" w14:textId="77777777" w:rsidR="001D79B0" w:rsidRDefault="001D79B0">
            <w:pPr>
              <w:pStyle w:val="TableParagraph"/>
              <w:ind w:left="-82" w:firstLine="142"/>
              <w:jc w:val="center"/>
              <w:rPr>
                <w:b/>
                <w:bCs/>
              </w:rPr>
            </w:pPr>
            <w:r>
              <w:rPr>
                <w:b/>
                <w:bCs/>
                <w:lang w:val="da-DK"/>
              </w:rPr>
              <w:t>Risikoforhold (HR) (95 % CI)</w:t>
            </w:r>
          </w:p>
        </w:tc>
        <w:tc>
          <w:tcPr>
            <w:tcW w:w="4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426A3DF" w14:textId="77777777" w:rsidR="001D79B0" w:rsidRDefault="001D79B0">
            <w:pPr>
              <w:pStyle w:val="TableParagraph"/>
              <w:ind w:left="145"/>
              <w:jc w:val="center"/>
              <w:rPr>
                <w:b/>
                <w:bCs/>
              </w:rPr>
            </w:pPr>
            <w:proofErr w:type="spellStart"/>
            <w:r>
              <w:rPr>
                <w:b/>
                <w:bCs/>
                <w:lang w:val="da-DK"/>
              </w:rPr>
              <w:t>p-værdi</w:t>
            </w:r>
            <w:proofErr w:type="spellEnd"/>
          </w:p>
        </w:tc>
      </w:tr>
      <w:tr w:rsidR="001D79B0" w14:paraId="1319854C" w14:textId="77777777" w:rsidTr="00DE3E26">
        <w:trPr>
          <w:trHeight w:val="233"/>
        </w:trPr>
        <w:tc>
          <w:tcPr>
            <w:tcW w:w="1948" w:type="pct"/>
            <w:tcBorders>
              <w:top w:val="single" w:sz="4" w:space="0" w:color="000000"/>
              <w:left w:val="single" w:sz="4" w:space="0" w:color="000000"/>
              <w:bottom w:val="nil"/>
              <w:right w:val="single" w:sz="4" w:space="0" w:color="000000"/>
            </w:tcBorders>
            <w:shd w:val="clear" w:color="auto" w:fill="F2F2F2" w:themeFill="background1" w:themeFillShade="F2"/>
          </w:tcPr>
          <w:p w14:paraId="6CBEA304" w14:textId="77777777" w:rsidR="001D79B0" w:rsidRDefault="001D79B0">
            <w:pPr>
              <w:pStyle w:val="TableParagraph"/>
            </w:pPr>
          </w:p>
        </w:tc>
        <w:tc>
          <w:tcPr>
            <w:tcW w:w="828" w:type="pct"/>
            <w:tcBorders>
              <w:top w:val="single" w:sz="4" w:space="0" w:color="000000"/>
              <w:left w:val="single" w:sz="4" w:space="0" w:color="000000"/>
              <w:bottom w:val="nil"/>
              <w:right w:val="single" w:sz="4" w:space="0" w:color="000000"/>
            </w:tcBorders>
            <w:shd w:val="clear" w:color="auto" w:fill="F2F2F2" w:themeFill="background1" w:themeFillShade="F2"/>
            <w:hideMark/>
          </w:tcPr>
          <w:p w14:paraId="6880B29B" w14:textId="77777777" w:rsidR="001D79B0" w:rsidRDefault="001D79B0">
            <w:pPr>
              <w:pStyle w:val="TableParagraph"/>
              <w:ind w:left="154"/>
              <w:jc w:val="center"/>
              <w:rPr>
                <w:b/>
                <w:bCs/>
              </w:rPr>
            </w:pPr>
            <w:r>
              <w:rPr>
                <w:b/>
                <w:bCs/>
                <w:lang w:val="da-DK"/>
              </w:rPr>
              <w:t>(N=6813)</w:t>
            </w:r>
          </w:p>
        </w:tc>
        <w:tc>
          <w:tcPr>
            <w:tcW w:w="706" w:type="pct"/>
            <w:tcBorders>
              <w:top w:val="single" w:sz="4" w:space="0" w:color="000000"/>
              <w:left w:val="single" w:sz="4" w:space="0" w:color="000000"/>
              <w:bottom w:val="nil"/>
              <w:right w:val="single" w:sz="4" w:space="0" w:color="000000"/>
            </w:tcBorders>
            <w:shd w:val="clear" w:color="auto" w:fill="F2F2F2" w:themeFill="background1" w:themeFillShade="F2"/>
            <w:hideMark/>
          </w:tcPr>
          <w:p w14:paraId="2C50E2B7" w14:textId="77777777" w:rsidR="001D79B0" w:rsidRDefault="001D79B0">
            <w:pPr>
              <w:pStyle w:val="TableParagraph"/>
              <w:ind w:left="154"/>
              <w:jc w:val="center"/>
              <w:rPr>
                <w:b/>
                <w:bCs/>
              </w:rPr>
            </w:pPr>
            <w:r>
              <w:rPr>
                <w:b/>
                <w:bCs/>
                <w:lang w:val="da-DK"/>
              </w:rPr>
              <w:t>(N=6795)</w:t>
            </w:r>
          </w:p>
        </w:tc>
        <w:tc>
          <w:tcPr>
            <w:tcW w:w="1044" w:type="pct"/>
            <w:tcBorders>
              <w:top w:val="single" w:sz="4" w:space="0" w:color="000000"/>
              <w:left w:val="single" w:sz="4" w:space="0" w:color="000000"/>
              <w:bottom w:val="nil"/>
              <w:right w:val="single" w:sz="4" w:space="0" w:color="000000"/>
            </w:tcBorders>
          </w:tcPr>
          <w:p w14:paraId="36164A5E" w14:textId="77777777" w:rsidR="001D79B0" w:rsidRDefault="001D79B0">
            <w:pPr>
              <w:pStyle w:val="TableParagraph"/>
            </w:pPr>
          </w:p>
        </w:tc>
        <w:tc>
          <w:tcPr>
            <w:tcW w:w="474" w:type="pct"/>
            <w:tcBorders>
              <w:top w:val="single" w:sz="4" w:space="0" w:color="000000"/>
              <w:left w:val="single" w:sz="4" w:space="0" w:color="000000"/>
              <w:bottom w:val="nil"/>
              <w:right w:val="single" w:sz="4" w:space="0" w:color="000000"/>
            </w:tcBorders>
          </w:tcPr>
          <w:p w14:paraId="102FC15B" w14:textId="77777777" w:rsidR="001D79B0" w:rsidRDefault="001D79B0">
            <w:pPr>
              <w:pStyle w:val="TableParagraph"/>
            </w:pPr>
          </w:p>
        </w:tc>
      </w:tr>
      <w:tr w:rsidR="001D79B0" w14:paraId="5B91853B" w14:textId="77777777" w:rsidTr="00DE3E26">
        <w:trPr>
          <w:trHeight w:val="224"/>
        </w:trPr>
        <w:tc>
          <w:tcPr>
            <w:tcW w:w="1948" w:type="pct"/>
            <w:tcBorders>
              <w:top w:val="nil"/>
              <w:left w:val="single" w:sz="4" w:space="0" w:color="000000"/>
              <w:bottom w:val="single" w:sz="4" w:space="0" w:color="000000"/>
              <w:right w:val="single" w:sz="4" w:space="0" w:color="000000"/>
            </w:tcBorders>
            <w:shd w:val="clear" w:color="auto" w:fill="F2F2F2" w:themeFill="background1" w:themeFillShade="F2"/>
            <w:hideMark/>
          </w:tcPr>
          <w:p w14:paraId="551B61CA" w14:textId="77777777" w:rsidR="001D79B0" w:rsidRDefault="001D79B0">
            <w:pPr>
              <w:pStyle w:val="TableParagraph"/>
              <w:ind w:left="107"/>
              <w:rPr>
                <w:b/>
                <w:bCs/>
              </w:rPr>
            </w:pPr>
            <w:r>
              <w:rPr>
                <w:b/>
                <w:bCs/>
                <w:lang w:val="da-DK"/>
              </w:rPr>
              <w:t>Alle AKS</w:t>
            </w:r>
          </w:p>
        </w:tc>
        <w:tc>
          <w:tcPr>
            <w:tcW w:w="828" w:type="pct"/>
            <w:tcBorders>
              <w:top w:val="nil"/>
              <w:left w:val="single" w:sz="4" w:space="0" w:color="000000"/>
              <w:bottom w:val="single" w:sz="4" w:space="0" w:color="000000"/>
              <w:right w:val="single" w:sz="4" w:space="0" w:color="000000"/>
            </w:tcBorders>
            <w:shd w:val="clear" w:color="auto" w:fill="F2F2F2" w:themeFill="background1" w:themeFillShade="F2"/>
            <w:hideMark/>
          </w:tcPr>
          <w:p w14:paraId="16837088" w14:textId="77777777" w:rsidR="001D79B0" w:rsidRDefault="001D79B0">
            <w:pPr>
              <w:pStyle w:val="TableParagraph"/>
              <w:ind w:left="3"/>
              <w:jc w:val="center"/>
              <w:rPr>
                <w:b/>
                <w:bCs/>
              </w:rPr>
            </w:pPr>
            <w:r>
              <w:rPr>
                <w:b/>
                <w:bCs/>
                <w:lang w:val="da-DK"/>
              </w:rPr>
              <w:t>%</w:t>
            </w:r>
          </w:p>
        </w:tc>
        <w:tc>
          <w:tcPr>
            <w:tcW w:w="706" w:type="pct"/>
            <w:tcBorders>
              <w:top w:val="nil"/>
              <w:left w:val="single" w:sz="4" w:space="0" w:color="000000"/>
              <w:bottom w:val="single" w:sz="4" w:space="0" w:color="000000"/>
              <w:right w:val="single" w:sz="4" w:space="0" w:color="000000"/>
            </w:tcBorders>
            <w:shd w:val="clear" w:color="auto" w:fill="F2F2F2" w:themeFill="background1" w:themeFillShade="F2"/>
            <w:hideMark/>
          </w:tcPr>
          <w:p w14:paraId="4B80C555" w14:textId="77777777" w:rsidR="001D79B0" w:rsidRDefault="001D79B0">
            <w:pPr>
              <w:pStyle w:val="TableParagraph"/>
              <w:ind w:left="2"/>
              <w:jc w:val="center"/>
              <w:rPr>
                <w:b/>
                <w:bCs/>
              </w:rPr>
            </w:pPr>
            <w:r>
              <w:rPr>
                <w:b/>
                <w:bCs/>
                <w:lang w:val="da-DK"/>
              </w:rPr>
              <w:t>%</w:t>
            </w:r>
          </w:p>
        </w:tc>
        <w:tc>
          <w:tcPr>
            <w:tcW w:w="1044" w:type="pct"/>
            <w:tcBorders>
              <w:top w:val="nil"/>
              <w:left w:val="single" w:sz="4" w:space="0" w:color="000000"/>
              <w:bottom w:val="nil"/>
              <w:right w:val="single" w:sz="4" w:space="0" w:color="000000"/>
            </w:tcBorders>
          </w:tcPr>
          <w:p w14:paraId="261F2300" w14:textId="77777777" w:rsidR="001D79B0" w:rsidRDefault="001D79B0">
            <w:pPr>
              <w:pStyle w:val="TableParagraph"/>
            </w:pPr>
          </w:p>
        </w:tc>
        <w:tc>
          <w:tcPr>
            <w:tcW w:w="474" w:type="pct"/>
            <w:tcBorders>
              <w:top w:val="nil"/>
              <w:left w:val="single" w:sz="4" w:space="0" w:color="000000"/>
              <w:bottom w:val="nil"/>
              <w:right w:val="single" w:sz="4" w:space="0" w:color="000000"/>
            </w:tcBorders>
          </w:tcPr>
          <w:p w14:paraId="138E77AB" w14:textId="77777777" w:rsidR="001D79B0" w:rsidRDefault="001D79B0">
            <w:pPr>
              <w:pStyle w:val="TableParagraph"/>
            </w:pPr>
          </w:p>
        </w:tc>
      </w:tr>
      <w:tr w:rsidR="001D79B0" w14:paraId="4947319F" w14:textId="77777777" w:rsidTr="00DE3E26">
        <w:trPr>
          <w:trHeight w:val="234"/>
        </w:trPr>
        <w:tc>
          <w:tcPr>
            <w:tcW w:w="1948" w:type="pct"/>
            <w:tcBorders>
              <w:top w:val="single" w:sz="4" w:space="0" w:color="000000"/>
              <w:left w:val="single" w:sz="4" w:space="0" w:color="000000"/>
              <w:bottom w:val="nil"/>
              <w:right w:val="single" w:sz="4" w:space="0" w:color="000000"/>
            </w:tcBorders>
            <w:hideMark/>
          </w:tcPr>
          <w:p w14:paraId="78B1056B" w14:textId="77777777" w:rsidR="001D79B0" w:rsidRDefault="001D79B0">
            <w:pPr>
              <w:pStyle w:val="TableParagraph"/>
              <w:ind w:left="107"/>
              <w:rPr>
                <w:b/>
                <w:bCs/>
              </w:rPr>
            </w:pPr>
            <w:r>
              <w:rPr>
                <w:b/>
                <w:bCs/>
                <w:lang w:val="da-DK"/>
              </w:rPr>
              <w:t>Primære sammensatte endepunktshændelser</w:t>
            </w:r>
          </w:p>
        </w:tc>
        <w:tc>
          <w:tcPr>
            <w:tcW w:w="828" w:type="pct"/>
            <w:tcBorders>
              <w:top w:val="single" w:sz="4" w:space="0" w:color="000000"/>
              <w:left w:val="single" w:sz="4" w:space="0" w:color="000000"/>
              <w:bottom w:val="nil"/>
              <w:right w:val="single" w:sz="4" w:space="0" w:color="000000"/>
            </w:tcBorders>
            <w:hideMark/>
          </w:tcPr>
          <w:p w14:paraId="3A29C3AC" w14:textId="77777777" w:rsidR="001D79B0" w:rsidRDefault="001D79B0">
            <w:pPr>
              <w:pStyle w:val="TableParagraph"/>
              <w:ind w:left="154"/>
              <w:jc w:val="center"/>
            </w:pPr>
            <w:r>
              <w:rPr>
                <w:lang w:val="da-DK"/>
              </w:rPr>
              <w:t>9,4</w:t>
            </w:r>
          </w:p>
        </w:tc>
        <w:tc>
          <w:tcPr>
            <w:tcW w:w="706" w:type="pct"/>
            <w:tcBorders>
              <w:top w:val="single" w:sz="4" w:space="0" w:color="000000"/>
              <w:left w:val="single" w:sz="4" w:space="0" w:color="000000"/>
              <w:bottom w:val="nil"/>
              <w:right w:val="single" w:sz="4" w:space="0" w:color="000000"/>
            </w:tcBorders>
            <w:hideMark/>
          </w:tcPr>
          <w:p w14:paraId="6F44633D" w14:textId="77777777" w:rsidR="001D79B0" w:rsidRDefault="001D79B0">
            <w:pPr>
              <w:pStyle w:val="TableParagraph"/>
              <w:ind w:left="153"/>
              <w:jc w:val="center"/>
            </w:pPr>
            <w:r>
              <w:rPr>
                <w:lang w:val="da-DK"/>
              </w:rPr>
              <w:t>11,5</w:t>
            </w:r>
          </w:p>
        </w:tc>
        <w:tc>
          <w:tcPr>
            <w:tcW w:w="1044" w:type="pct"/>
            <w:tcBorders>
              <w:top w:val="nil"/>
              <w:left w:val="single" w:sz="4" w:space="0" w:color="000000"/>
              <w:bottom w:val="nil"/>
              <w:right w:val="single" w:sz="4" w:space="0" w:color="000000"/>
            </w:tcBorders>
            <w:hideMark/>
          </w:tcPr>
          <w:p w14:paraId="2DA01F7C" w14:textId="77777777" w:rsidR="001D79B0" w:rsidRDefault="001D79B0">
            <w:pPr>
              <w:pStyle w:val="TableParagraph"/>
              <w:ind w:left="173" w:hanging="113"/>
            </w:pPr>
            <w:r>
              <w:rPr>
                <w:lang w:val="da-DK"/>
              </w:rPr>
              <w:t>0,812 (0,732, 0,902)</w:t>
            </w:r>
          </w:p>
        </w:tc>
        <w:tc>
          <w:tcPr>
            <w:tcW w:w="474" w:type="pct"/>
            <w:tcBorders>
              <w:top w:val="nil"/>
              <w:left w:val="single" w:sz="4" w:space="0" w:color="000000"/>
              <w:bottom w:val="nil"/>
              <w:right w:val="single" w:sz="4" w:space="0" w:color="000000"/>
            </w:tcBorders>
            <w:hideMark/>
          </w:tcPr>
          <w:p w14:paraId="72E4A97E" w14:textId="77777777" w:rsidR="001D79B0" w:rsidRDefault="001D79B0">
            <w:pPr>
              <w:pStyle w:val="TableParagraph"/>
              <w:ind w:left="144"/>
              <w:jc w:val="center"/>
            </w:pPr>
            <w:r>
              <w:rPr>
                <w:lang w:val="da-DK"/>
              </w:rPr>
              <w:t>&lt;0,001</w:t>
            </w:r>
          </w:p>
        </w:tc>
      </w:tr>
      <w:tr w:rsidR="001D79B0" w14:paraId="6008B073" w14:textId="77777777" w:rsidTr="00DE3E26">
        <w:trPr>
          <w:trHeight w:val="230"/>
        </w:trPr>
        <w:tc>
          <w:tcPr>
            <w:tcW w:w="1948" w:type="pct"/>
            <w:tcBorders>
              <w:top w:val="nil"/>
              <w:left w:val="single" w:sz="4" w:space="0" w:color="000000"/>
              <w:bottom w:val="nil"/>
              <w:right w:val="single" w:sz="4" w:space="0" w:color="000000"/>
            </w:tcBorders>
            <w:hideMark/>
          </w:tcPr>
          <w:p w14:paraId="4B477B80" w14:textId="77777777" w:rsidR="001D79B0" w:rsidRDefault="001D79B0">
            <w:pPr>
              <w:pStyle w:val="TableParagraph"/>
              <w:ind w:left="107"/>
              <w:rPr>
                <w:lang w:val="da-DK"/>
              </w:rPr>
            </w:pPr>
            <w:proofErr w:type="spellStart"/>
            <w:r>
              <w:rPr>
                <w:lang w:val="da-DK"/>
              </w:rPr>
              <w:t>Kardiovaskulær</w:t>
            </w:r>
            <w:proofErr w:type="spellEnd"/>
            <w:r>
              <w:rPr>
                <w:lang w:val="da-DK"/>
              </w:rPr>
              <w:t xml:space="preserve"> CV død, ikke-letalt MI</w:t>
            </w:r>
          </w:p>
        </w:tc>
        <w:tc>
          <w:tcPr>
            <w:tcW w:w="828" w:type="pct"/>
            <w:tcBorders>
              <w:top w:val="nil"/>
              <w:left w:val="single" w:sz="4" w:space="0" w:color="000000"/>
              <w:bottom w:val="nil"/>
              <w:right w:val="single" w:sz="4" w:space="0" w:color="000000"/>
            </w:tcBorders>
          </w:tcPr>
          <w:p w14:paraId="1059B612" w14:textId="77777777" w:rsidR="001D79B0" w:rsidRDefault="001D79B0">
            <w:pPr>
              <w:pStyle w:val="TableParagraph"/>
              <w:rPr>
                <w:lang w:val="da-DK"/>
              </w:rPr>
            </w:pPr>
          </w:p>
        </w:tc>
        <w:tc>
          <w:tcPr>
            <w:tcW w:w="706" w:type="pct"/>
            <w:tcBorders>
              <w:top w:val="nil"/>
              <w:left w:val="single" w:sz="4" w:space="0" w:color="000000"/>
              <w:bottom w:val="nil"/>
              <w:right w:val="single" w:sz="4" w:space="0" w:color="000000"/>
            </w:tcBorders>
          </w:tcPr>
          <w:p w14:paraId="5CAA7879" w14:textId="77777777" w:rsidR="001D79B0" w:rsidRDefault="001D79B0">
            <w:pPr>
              <w:pStyle w:val="TableParagraph"/>
              <w:rPr>
                <w:lang w:val="da-DK"/>
              </w:rPr>
            </w:pPr>
          </w:p>
        </w:tc>
        <w:tc>
          <w:tcPr>
            <w:tcW w:w="1044" w:type="pct"/>
            <w:tcBorders>
              <w:top w:val="nil"/>
              <w:left w:val="single" w:sz="4" w:space="0" w:color="000000"/>
              <w:bottom w:val="nil"/>
              <w:right w:val="single" w:sz="4" w:space="0" w:color="000000"/>
            </w:tcBorders>
          </w:tcPr>
          <w:p w14:paraId="12DCB30B" w14:textId="77777777" w:rsidR="001D79B0" w:rsidRDefault="001D79B0">
            <w:pPr>
              <w:pStyle w:val="TableParagraph"/>
              <w:rPr>
                <w:lang w:val="da-DK"/>
              </w:rPr>
            </w:pPr>
          </w:p>
        </w:tc>
        <w:tc>
          <w:tcPr>
            <w:tcW w:w="474" w:type="pct"/>
            <w:tcBorders>
              <w:top w:val="nil"/>
              <w:left w:val="single" w:sz="4" w:space="0" w:color="000000"/>
              <w:bottom w:val="nil"/>
              <w:right w:val="single" w:sz="4" w:space="0" w:color="000000"/>
            </w:tcBorders>
          </w:tcPr>
          <w:p w14:paraId="37CD74DA" w14:textId="77777777" w:rsidR="001D79B0" w:rsidRDefault="001D79B0">
            <w:pPr>
              <w:pStyle w:val="TableParagraph"/>
              <w:rPr>
                <w:lang w:val="da-DK"/>
              </w:rPr>
            </w:pPr>
          </w:p>
        </w:tc>
      </w:tr>
      <w:tr w:rsidR="001D79B0" w14:paraId="2CBBE929" w14:textId="77777777" w:rsidTr="00DE3E26">
        <w:trPr>
          <w:trHeight w:val="225"/>
        </w:trPr>
        <w:tc>
          <w:tcPr>
            <w:tcW w:w="1948" w:type="pct"/>
            <w:tcBorders>
              <w:top w:val="nil"/>
              <w:left w:val="single" w:sz="4" w:space="0" w:color="000000"/>
              <w:bottom w:val="single" w:sz="4" w:space="0" w:color="000000"/>
              <w:right w:val="single" w:sz="4" w:space="0" w:color="000000"/>
            </w:tcBorders>
            <w:hideMark/>
          </w:tcPr>
          <w:p w14:paraId="48662323" w14:textId="77777777" w:rsidR="001D79B0" w:rsidRDefault="001D79B0">
            <w:pPr>
              <w:pStyle w:val="TableParagraph"/>
              <w:ind w:left="107"/>
            </w:pPr>
            <w:r>
              <w:rPr>
                <w:lang w:val="da-DK"/>
              </w:rPr>
              <w:t>eller ikke-letalt slagtilfælde</w:t>
            </w:r>
          </w:p>
        </w:tc>
        <w:tc>
          <w:tcPr>
            <w:tcW w:w="828" w:type="pct"/>
            <w:tcBorders>
              <w:top w:val="nil"/>
              <w:left w:val="single" w:sz="4" w:space="0" w:color="000000"/>
              <w:bottom w:val="single" w:sz="4" w:space="0" w:color="000000"/>
              <w:right w:val="single" w:sz="4" w:space="0" w:color="000000"/>
            </w:tcBorders>
          </w:tcPr>
          <w:p w14:paraId="115EDD1E" w14:textId="77777777" w:rsidR="001D79B0" w:rsidRDefault="001D79B0">
            <w:pPr>
              <w:pStyle w:val="TableParagraph"/>
            </w:pPr>
          </w:p>
        </w:tc>
        <w:tc>
          <w:tcPr>
            <w:tcW w:w="706" w:type="pct"/>
            <w:tcBorders>
              <w:top w:val="nil"/>
              <w:left w:val="single" w:sz="4" w:space="0" w:color="000000"/>
              <w:bottom w:val="single" w:sz="4" w:space="0" w:color="000000"/>
              <w:right w:val="single" w:sz="4" w:space="0" w:color="000000"/>
            </w:tcBorders>
          </w:tcPr>
          <w:p w14:paraId="7F5594D9" w14:textId="77777777" w:rsidR="001D79B0" w:rsidRDefault="001D79B0">
            <w:pPr>
              <w:pStyle w:val="TableParagraph"/>
            </w:pPr>
          </w:p>
        </w:tc>
        <w:tc>
          <w:tcPr>
            <w:tcW w:w="1044" w:type="pct"/>
            <w:tcBorders>
              <w:top w:val="nil"/>
              <w:left w:val="single" w:sz="4" w:space="0" w:color="000000"/>
              <w:bottom w:val="single" w:sz="4" w:space="0" w:color="000000"/>
              <w:right w:val="single" w:sz="4" w:space="0" w:color="000000"/>
            </w:tcBorders>
          </w:tcPr>
          <w:p w14:paraId="113C3794" w14:textId="77777777" w:rsidR="001D79B0" w:rsidRDefault="001D79B0">
            <w:pPr>
              <w:pStyle w:val="TableParagraph"/>
            </w:pPr>
          </w:p>
        </w:tc>
        <w:tc>
          <w:tcPr>
            <w:tcW w:w="474" w:type="pct"/>
            <w:tcBorders>
              <w:top w:val="nil"/>
              <w:left w:val="single" w:sz="4" w:space="0" w:color="000000"/>
              <w:bottom w:val="single" w:sz="4" w:space="0" w:color="000000"/>
              <w:right w:val="single" w:sz="4" w:space="0" w:color="000000"/>
            </w:tcBorders>
          </w:tcPr>
          <w:p w14:paraId="4E2CEE39" w14:textId="77777777" w:rsidR="001D79B0" w:rsidRDefault="001D79B0">
            <w:pPr>
              <w:pStyle w:val="TableParagraph"/>
            </w:pPr>
          </w:p>
        </w:tc>
      </w:tr>
      <w:tr w:rsidR="001D79B0" w14:paraId="6FC32979" w14:textId="77777777" w:rsidTr="00DE3E26">
        <w:trPr>
          <w:trHeight w:val="23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FEC8550" w14:textId="77777777" w:rsidR="001D79B0" w:rsidRDefault="001D79B0">
            <w:pPr>
              <w:pStyle w:val="TableParagraph"/>
              <w:ind w:left="107"/>
              <w:rPr>
                <w:b/>
                <w:bCs/>
              </w:rPr>
            </w:pPr>
            <w:r>
              <w:rPr>
                <w:b/>
                <w:bCs/>
                <w:lang w:val="da-DK"/>
              </w:rPr>
              <w:t>Individuelle primære endepunktshændelser</w:t>
            </w:r>
          </w:p>
        </w:tc>
      </w:tr>
      <w:tr w:rsidR="001D79B0" w14:paraId="7134EC24" w14:textId="77777777" w:rsidTr="00DE3E26">
        <w:trPr>
          <w:trHeight w:val="230"/>
        </w:trPr>
        <w:tc>
          <w:tcPr>
            <w:tcW w:w="1948" w:type="pct"/>
            <w:tcBorders>
              <w:top w:val="single" w:sz="4" w:space="0" w:color="000000"/>
              <w:left w:val="single" w:sz="4" w:space="0" w:color="000000"/>
              <w:bottom w:val="single" w:sz="4" w:space="0" w:color="000000"/>
              <w:right w:val="single" w:sz="4" w:space="0" w:color="000000"/>
            </w:tcBorders>
            <w:hideMark/>
          </w:tcPr>
          <w:p w14:paraId="2D1AF7E0" w14:textId="77777777" w:rsidR="001D79B0" w:rsidRDefault="001D79B0">
            <w:pPr>
              <w:pStyle w:val="TableParagraph"/>
              <w:ind w:left="249"/>
            </w:pPr>
            <w:r>
              <w:rPr>
                <w:lang w:val="da-DK"/>
              </w:rPr>
              <w:t>CV død</w:t>
            </w:r>
          </w:p>
        </w:tc>
        <w:tc>
          <w:tcPr>
            <w:tcW w:w="828" w:type="pct"/>
            <w:tcBorders>
              <w:top w:val="single" w:sz="4" w:space="0" w:color="000000"/>
              <w:left w:val="single" w:sz="4" w:space="0" w:color="000000"/>
              <w:bottom w:val="single" w:sz="4" w:space="0" w:color="000000"/>
              <w:right w:val="single" w:sz="4" w:space="0" w:color="000000"/>
            </w:tcBorders>
            <w:hideMark/>
          </w:tcPr>
          <w:p w14:paraId="7EA41C05" w14:textId="77777777" w:rsidR="001D79B0" w:rsidRDefault="001D79B0">
            <w:pPr>
              <w:pStyle w:val="TableParagraph"/>
              <w:ind w:left="154"/>
              <w:jc w:val="center"/>
            </w:pPr>
            <w:r>
              <w:rPr>
                <w:lang w:val="da-DK"/>
              </w:rPr>
              <w:t>2,0</w:t>
            </w:r>
          </w:p>
        </w:tc>
        <w:tc>
          <w:tcPr>
            <w:tcW w:w="706" w:type="pct"/>
            <w:tcBorders>
              <w:top w:val="single" w:sz="4" w:space="0" w:color="000000"/>
              <w:left w:val="single" w:sz="4" w:space="0" w:color="000000"/>
              <w:bottom w:val="single" w:sz="4" w:space="0" w:color="000000"/>
              <w:right w:val="single" w:sz="4" w:space="0" w:color="000000"/>
            </w:tcBorders>
            <w:hideMark/>
          </w:tcPr>
          <w:p w14:paraId="78D3EF3D" w14:textId="77777777" w:rsidR="001D79B0" w:rsidRDefault="001D79B0">
            <w:pPr>
              <w:pStyle w:val="TableParagraph"/>
              <w:ind w:left="153"/>
              <w:jc w:val="center"/>
            </w:pPr>
            <w:r>
              <w:rPr>
                <w:lang w:val="da-DK"/>
              </w:rPr>
              <w:t>2,2</w:t>
            </w:r>
          </w:p>
        </w:tc>
        <w:tc>
          <w:tcPr>
            <w:tcW w:w="1044" w:type="pct"/>
            <w:tcBorders>
              <w:top w:val="single" w:sz="4" w:space="0" w:color="000000"/>
              <w:left w:val="single" w:sz="4" w:space="0" w:color="000000"/>
              <w:bottom w:val="single" w:sz="4" w:space="0" w:color="000000"/>
              <w:right w:val="single" w:sz="4" w:space="0" w:color="000000"/>
            </w:tcBorders>
            <w:hideMark/>
          </w:tcPr>
          <w:p w14:paraId="758DE813" w14:textId="77777777" w:rsidR="001D79B0" w:rsidRDefault="001D79B0">
            <w:pPr>
              <w:pStyle w:val="TableParagraph"/>
              <w:ind w:left="173" w:hanging="113"/>
            </w:pPr>
            <w:r>
              <w:rPr>
                <w:lang w:val="da-DK"/>
              </w:rPr>
              <w:t>0,886 (0,701, 1,118)</w:t>
            </w:r>
          </w:p>
        </w:tc>
        <w:tc>
          <w:tcPr>
            <w:tcW w:w="474" w:type="pct"/>
            <w:tcBorders>
              <w:top w:val="single" w:sz="4" w:space="0" w:color="000000"/>
              <w:left w:val="single" w:sz="4" w:space="0" w:color="000000"/>
              <w:bottom w:val="single" w:sz="4" w:space="0" w:color="000000"/>
              <w:right w:val="single" w:sz="4" w:space="0" w:color="000000"/>
            </w:tcBorders>
            <w:hideMark/>
          </w:tcPr>
          <w:p w14:paraId="600D16EA" w14:textId="77777777" w:rsidR="001D79B0" w:rsidRDefault="001D79B0">
            <w:pPr>
              <w:pStyle w:val="TableParagraph"/>
              <w:ind w:left="145"/>
              <w:jc w:val="center"/>
            </w:pPr>
            <w:r>
              <w:rPr>
                <w:lang w:val="da-DK"/>
              </w:rPr>
              <w:t>0,307</w:t>
            </w:r>
          </w:p>
        </w:tc>
      </w:tr>
      <w:tr w:rsidR="001D79B0" w14:paraId="50BDCAF8" w14:textId="77777777" w:rsidTr="00DE3E26">
        <w:trPr>
          <w:trHeight w:val="229"/>
        </w:trPr>
        <w:tc>
          <w:tcPr>
            <w:tcW w:w="1948" w:type="pct"/>
            <w:tcBorders>
              <w:top w:val="single" w:sz="4" w:space="0" w:color="000000"/>
              <w:left w:val="single" w:sz="4" w:space="0" w:color="000000"/>
              <w:bottom w:val="single" w:sz="4" w:space="0" w:color="000000"/>
              <w:right w:val="single" w:sz="4" w:space="0" w:color="000000"/>
            </w:tcBorders>
            <w:hideMark/>
          </w:tcPr>
          <w:p w14:paraId="165418D1" w14:textId="77777777" w:rsidR="001D79B0" w:rsidRDefault="001D79B0">
            <w:pPr>
              <w:pStyle w:val="TableParagraph"/>
              <w:ind w:left="249"/>
            </w:pPr>
            <w:r>
              <w:rPr>
                <w:lang w:val="da-DK"/>
              </w:rPr>
              <w:t>Ikke-letalt MI</w:t>
            </w:r>
          </w:p>
        </w:tc>
        <w:tc>
          <w:tcPr>
            <w:tcW w:w="828" w:type="pct"/>
            <w:tcBorders>
              <w:top w:val="single" w:sz="4" w:space="0" w:color="000000"/>
              <w:left w:val="single" w:sz="4" w:space="0" w:color="000000"/>
              <w:bottom w:val="single" w:sz="4" w:space="0" w:color="000000"/>
              <w:right w:val="single" w:sz="4" w:space="0" w:color="000000"/>
            </w:tcBorders>
            <w:hideMark/>
          </w:tcPr>
          <w:p w14:paraId="3348C798" w14:textId="77777777" w:rsidR="001D79B0" w:rsidRDefault="001D79B0">
            <w:pPr>
              <w:pStyle w:val="TableParagraph"/>
              <w:ind w:left="154"/>
              <w:jc w:val="center"/>
            </w:pPr>
            <w:r>
              <w:rPr>
                <w:lang w:val="da-DK"/>
              </w:rPr>
              <w:t>7,0</w:t>
            </w:r>
          </w:p>
        </w:tc>
        <w:tc>
          <w:tcPr>
            <w:tcW w:w="706" w:type="pct"/>
            <w:tcBorders>
              <w:top w:val="single" w:sz="4" w:space="0" w:color="000000"/>
              <w:left w:val="single" w:sz="4" w:space="0" w:color="000000"/>
              <w:bottom w:val="single" w:sz="4" w:space="0" w:color="000000"/>
              <w:right w:val="single" w:sz="4" w:space="0" w:color="000000"/>
            </w:tcBorders>
            <w:hideMark/>
          </w:tcPr>
          <w:p w14:paraId="0A1DD881" w14:textId="77777777" w:rsidR="001D79B0" w:rsidRDefault="001D79B0">
            <w:pPr>
              <w:pStyle w:val="TableParagraph"/>
              <w:ind w:left="153"/>
              <w:jc w:val="center"/>
            </w:pPr>
            <w:r>
              <w:rPr>
                <w:lang w:val="da-DK"/>
              </w:rPr>
              <w:t>9,1</w:t>
            </w:r>
          </w:p>
        </w:tc>
        <w:tc>
          <w:tcPr>
            <w:tcW w:w="1044" w:type="pct"/>
            <w:tcBorders>
              <w:top w:val="single" w:sz="4" w:space="0" w:color="000000"/>
              <w:left w:val="single" w:sz="4" w:space="0" w:color="000000"/>
              <w:bottom w:val="single" w:sz="4" w:space="0" w:color="000000"/>
              <w:right w:val="single" w:sz="4" w:space="0" w:color="000000"/>
            </w:tcBorders>
            <w:hideMark/>
          </w:tcPr>
          <w:p w14:paraId="36078EE0" w14:textId="77777777" w:rsidR="001D79B0" w:rsidRDefault="001D79B0">
            <w:pPr>
              <w:pStyle w:val="TableParagraph"/>
              <w:ind w:left="173" w:hanging="113"/>
            </w:pPr>
            <w:r>
              <w:rPr>
                <w:lang w:val="da-DK"/>
              </w:rPr>
              <w:t>0,757 (0,672, 0,853)</w:t>
            </w:r>
          </w:p>
        </w:tc>
        <w:tc>
          <w:tcPr>
            <w:tcW w:w="474" w:type="pct"/>
            <w:tcBorders>
              <w:top w:val="single" w:sz="4" w:space="0" w:color="000000"/>
              <w:left w:val="single" w:sz="4" w:space="0" w:color="000000"/>
              <w:bottom w:val="single" w:sz="4" w:space="0" w:color="000000"/>
              <w:right w:val="single" w:sz="4" w:space="0" w:color="000000"/>
            </w:tcBorders>
            <w:hideMark/>
          </w:tcPr>
          <w:p w14:paraId="5B010230" w14:textId="77777777" w:rsidR="001D79B0" w:rsidRDefault="001D79B0">
            <w:pPr>
              <w:pStyle w:val="TableParagraph"/>
              <w:ind w:left="144"/>
              <w:jc w:val="center"/>
            </w:pPr>
            <w:r>
              <w:rPr>
                <w:lang w:val="da-DK"/>
              </w:rPr>
              <w:t>&lt;0,001</w:t>
            </w:r>
          </w:p>
        </w:tc>
      </w:tr>
      <w:tr w:rsidR="001D79B0" w14:paraId="5AB107EB" w14:textId="77777777" w:rsidTr="00DE3E26">
        <w:trPr>
          <w:trHeight w:val="230"/>
        </w:trPr>
        <w:tc>
          <w:tcPr>
            <w:tcW w:w="1948" w:type="pct"/>
            <w:tcBorders>
              <w:top w:val="single" w:sz="4" w:space="0" w:color="000000"/>
              <w:left w:val="single" w:sz="4" w:space="0" w:color="000000"/>
              <w:bottom w:val="single" w:sz="4" w:space="0" w:color="000000"/>
              <w:right w:val="single" w:sz="4" w:space="0" w:color="000000"/>
            </w:tcBorders>
            <w:hideMark/>
          </w:tcPr>
          <w:p w14:paraId="1C207CA3" w14:textId="77777777" w:rsidR="001D79B0" w:rsidRDefault="001D79B0">
            <w:pPr>
              <w:pStyle w:val="TableParagraph"/>
              <w:ind w:left="249"/>
            </w:pPr>
            <w:r>
              <w:rPr>
                <w:lang w:val="da-DK"/>
              </w:rPr>
              <w:t>Ikke-letalt slagtilfælde</w:t>
            </w:r>
          </w:p>
        </w:tc>
        <w:tc>
          <w:tcPr>
            <w:tcW w:w="828" w:type="pct"/>
            <w:tcBorders>
              <w:top w:val="single" w:sz="4" w:space="0" w:color="000000"/>
              <w:left w:val="single" w:sz="4" w:space="0" w:color="000000"/>
              <w:bottom w:val="single" w:sz="4" w:space="0" w:color="000000"/>
              <w:right w:val="single" w:sz="4" w:space="0" w:color="000000"/>
            </w:tcBorders>
            <w:hideMark/>
          </w:tcPr>
          <w:p w14:paraId="255A4C50" w14:textId="77777777" w:rsidR="001D79B0" w:rsidRDefault="001D79B0">
            <w:pPr>
              <w:pStyle w:val="TableParagraph"/>
              <w:ind w:left="154"/>
              <w:jc w:val="center"/>
            </w:pPr>
            <w:r>
              <w:rPr>
                <w:lang w:val="da-DK"/>
              </w:rPr>
              <w:t>0,9</w:t>
            </w:r>
          </w:p>
        </w:tc>
        <w:tc>
          <w:tcPr>
            <w:tcW w:w="706" w:type="pct"/>
            <w:tcBorders>
              <w:top w:val="single" w:sz="4" w:space="0" w:color="000000"/>
              <w:left w:val="single" w:sz="4" w:space="0" w:color="000000"/>
              <w:bottom w:val="single" w:sz="4" w:space="0" w:color="000000"/>
              <w:right w:val="single" w:sz="4" w:space="0" w:color="000000"/>
            </w:tcBorders>
            <w:hideMark/>
          </w:tcPr>
          <w:p w14:paraId="142E5D66" w14:textId="77777777" w:rsidR="001D79B0" w:rsidRDefault="001D79B0">
            <w:pPr>
              <w:pStyle w:val="TableParagraph"/>
              <w:ind w:left="153"/>
              <w:jc w:val="center"/>
            </w:pPr>
            <w:r>
              <w:rPr>
                <w:lang w:val="da-DK"/>
              </w:rPr>
              <w:t>0,9</w:t>
            </w:r>
          </w:p>
        </w:tc>
        <w:tc>
          <w:tcPr>
            <w:tcW w:w="1044" w:type="pct"/>
            <w:tcBorders>
              <w:top w:val="single" w:sz="4" w:space="0" w:color="000000"/>
              <w:left w:val="single" w:sz="4" w:space="0" w:color="000000"/>
              <w:bottom w:val="single" w:sz="4" w:space="0" w:color="000000"/>
              <w:right w:val="single" w:sz="4" w:space="0" w:color="000000"/>
            </w:tcBorders>
            <w:hideMark/>
          </w:tcPr>
          <w:p w14:paraId="51C1DEB5" w14:textId="77777777" w:rsidR="001D79B0" w:rsidRDefault="001D79B0">
            <w:pPr>
              <w:pStyle w:val="TableParagraph"/>
              <w:ind w:left="173" w:hanging="113"/>
            </w:pPr>
            <w:r>
              <w:rPr>
                <w:lang w:val="da-DK"/>
              </w:rPr>
              <w:t>1,016 (0,712, 1,451)</w:t>
            </w:r>
          </w:p>
        </w:tc>
        <w:tc>
          <w:tcPr>
            <w:tcW w:w="474" w:type="pct"/>
            <w:tcBorders>
              <w:top w:val="single" w:sz="4" w:space="0" w:color="000000"/>
              <w:left w:val="single" w:sz="4" w:space="0" w:color="000000"/>
              <w:bottom w:val="single" w:sz="4" w:space="0" w:color="000000"/>
              <w:right w:val="single" w:sz="4" w:space="0" w:color="000000"/>
            </w:tcBorders>
            <w:hideMark/>
          </w:tcPr>
          <w:p w14:paraId="158998A1" w14:textId="77777777" w:rsidR="001D79B0" w:rsidRDefault="001D79B0">
            <w:pPr>
              <w:pStyle w:val="TableParagraph"/>
              <w:ind w:left="145"/>
              <w:jc w:val="center"/>
            </w:pPr>
            <w:r>
              <w:rPr>
                <w:lang w:val="da-DK"/>
              </w:rPr>
              <w:t>0,930</w:t>
            </w:r>
          </w:p>
        </w:tc>
      </w:tr>
      <w:tr w:rsidR="001D79B0" w14:paraId="75C85B06" w14:textId="77777777" w:rsidTr="00DE3E26">
        <w:trPr>
          <w:trHeight w:val="229"/>
        </w:trPr>
        <w:tc>
          <w:tcPr>
            <w:tcW w:w="1948" w:type="pct"/>
            <w:tcBorders>
              <w:top w:val="single" w:sz="4" w:space="0" w:color="000000"/>
              <w:left w:val="single" w:sz="4" w:space="0" w:color="000000"/>
              <w:bottom w:val="nil"/>
              <w:right w:val="single" w:sz="4" w:space="0" w:color="000000"/>
            </w:tcBorders>
            <w:shd w:val="clear" w:color="auto" w:fill="F2F2F2" w:themeFill="background1" w:themeFillShade="F2"/>
            <w:hideMark/>
          </w:tcPr>
          <w:p w14:paraId="54899B63" w14:textId="77777777" w:rsidR="001D79B0" w:rsidRDefault="001D79B0">
            <w:pPr>
              <w:pStyle w:val="TableParagraph"/>
              <w:ind w:left="107"/>
              <w:rPr>
                <w:b/>
                <w:bCs/>
              </w:rPr>
            </w:pPr>
            <w:r>
              <w:rPr>
                <w:b/>
                <w:bCs/>
                <w:lang w:val="da-DK"/>
              </w:rPr>
              <w:t>UA/NSTEMI</w:t>
            </w:r>
          </w:p>
        </w:tc>
        <w:tc>
          <w:tcPr>
            <w:tcW w:w="828" w:type="pct"/>
            <w:tcBorders>
              <w:top w:val="single" w:sz="4" w:space="0" w:color="000000"/>
              <w:left w:val="single" w:sz="4" w:space="0" w:color="000000"/>
              <w:bottom w:val="nil"/>
              <w:right w:val="single" w:sz="4" w:space="0" w:color="000000"/>
            </w:tcBorders>
            <w:shd w:val="clear" w:color="auto" w:fill="F2F2F2" w:themeFill="background1" w:themeFillShade="F2"/>
            <w:hideMark/>
          </w:tcPr>
          <w:p w14:paraId="3E1AF6B6" w14:textId="77777777" w:rsidR="001D79B0" w:rsidRDefault="001D79B0">
            <w:pPr>
              <w:pStyle w:val="TableParagraph"/>
              <w:ind w:left="154"/>
              <w:jc w:val="center"/>
              <w:rPr>
                <w:b/>
                <w:bCs/>
              </w:rPr>
            </w:pPr>
            <w:r>
              <w:rPr>
                <w:b/>
                <w:bCs/>
                <w:lang w:val="da-DK"/>
              </w:rPr>
              <w:t>(N=5044)</w:t>
            </w:r>
          </w:p>
        </w:tc>
        <w:tc>
          <w:tcPr>
            <w:tcW w:w="706" w:type="pct"/>
            <w:tcBorders>
              <w:top w:val="single" w:sz="4" w:space="0" w:color="000000"/>
              <w:left w:val="single" w:sz="4" w:space="0" w:color="000000"/>
              <w:bottom w:val="nil"/>
              <w:right w:val="single" w:sz="4" w:space="0" w:color="000000"/>
            </w:tcBorders>
            <w:shd w:val="clear" w:color="auto" w:fill="F2F2F2" w:themeFill="background1" w:themeFillShade="F2"/>
            <w:hideMark/>
          </w:tcPr>
          <w:p w14:paraId="2B77847A" w14:textId="77777777" w:rsidR="001D79B0" w:rsidRDefault="001D79B0">
            <w:pPr>
              <w:pStyle w:val="TableParagraph"/>
              <w:ind w:left="154"/>
              <w:jc w:val="center"/>
              <w:rPr>
                <w:b/>
                <w:bCs/>
              </w:rPr>
            </w:pPr>
            <w:r>
              <w:rPr>
                <w:b/>
                <w:bCs/>
                <w:lang w:val="da-DK"/>
              </w:rPr>
              <w:t>(N=5030)</w:t>
            </w:r>
          </w:p>
        </w:tc>
        <w:tc>
          <w:tcPr>
            <w:tcW w:w="1044" w:type="pct"/>
            <w:vMerge w:val="restart"/>
            <w:tcBorders>
              <w:top w:val="single" w:sz="4" w:space="0" w:color="000000"/>
              <w:left w:val="single" w:sz="4" w:space="0" w:color="000000"/>
              <w:bottom w:val="single" w:sz="4" w:space="0" w:color="000000"/>
              <w:right w:val="single" w:sz="4" w:space="0" w:color="000000"/>
            </w:tcBorders>
          </w:tcPr>
          <w:p w14:paraId="2322066D" w14:textId="77777777" w:rsidR="001D79B0" w:rsidRDefault="001D79B0">
            <w:pPr>
              <w:pStyle w:val="TableParagraph"/>
              <w:ind w:hanging="113"/>
            </w:pPr>
          </w:p>
        </w:tc>
        <w:tc>
          <w:tcPr>
            <w:tcW w:w="474" w:type="pct"/>
            <w:vMerge w:val="restart"/>
            <w:tcBorders>
              <w:top w:val="single" w:sz="4" w:space="0" w:color="000000"/>
              <w:left w:val="single" w:sz="4" w:space="0" w:color="000000"/>
              <w:bottom w:val="single" w:sz="4" w:space="0" w:color="000000"/>
              <w:right w:val="single" w:sz="4" w:space="0" w:color="000000"/>
            </w:tcBorders>
          </w:tcPr>
          <w:p w14:paraId="6B5D4FB9" w14:textId="77777777" w:rsidR="001D79B0" w:rsidRDefault="001D79B0">
            <w:pPr>
              <w:pStyle w:val="TableParagraph"/>
            </w:pPr>
          </w:p>
        </w:tc>
      </w:tr>
      <w:tr w:rsidR="001D79B0" w14:paraId="4743C4E3" w14:textId="77777777" w:rsidTr="00DE3E26">
        <w:trPr>
          <w:trHeight w:val="220"/>
        </w:trPr>
        <w:tc>
          <w:tcPr>
            <w:tcW w:w="1948" w:type="pct"/>
            <w:tcBorders>
              <w:top w:val="nil"/>
              <w:left w:val="single" w:sz="4" w:space="0" w:color="000000"/>
              <w:bottom w:val="single" w:sz="4" w:space="0" w:color="000000"/>
              <w:right w:val="single" w:sz="4" w:space="0" w:color="000000"/>
            </w:tcBorders>
            <w:shd w:val="clear" w:color="auto" w:fill="F2F2F2" w:themeFill="background1" w:themeFillShade="F2"/>
            <w:hideMark/>
          </w:tcPr>
          <w:p w14:paraId="2258E7E6" w14:textId="77777777" w:rsidR="001D79B0" w:rsidRDefault="001D79B0">
            <w:pPr>
              <w:pStyle w:val="TableParagraph"/>
              <w:ind w:left="107"/>
              <w:rPr>
                <w:b/>
                <w:bCs/>
              </w:rPr>
            </w:pPr>
            <w:r>
              <w:rPr>
                <w:b/>
                <w:bCs/>
                <w:lang w:val="da-DK"/>
              </w:rPr>
              <w:t>Primære sammensatte endepunktshændelser</w:t>
            </w:r>
          </w:p>
        </w:tc>
        <w:tc>
          <w:tcPr>
            <w:tcW w:w="828" w:type="pct"/>
            <w:tcBorders>
              <w:top w:val="nil"/>
              <w:left w:val="single" w:sz="4" w:space="0" w:color="000000"/>
              <w:bottom w:val="single" w:sz="4" w:space="0" w:color="000000"/>
              <w:right w:val="single" w:sz="4" w:space="0" w:color="000000"/>
            </w:tcBorders>
            <w:shd w:val="clear" w:color="auto" w:fill="F2F2F2" w:themeFill="background1" w:themeFillShade="F2"/>
            <w:hideMark/>
          </w:tcPr>
          <w:p w14:paraId="47C519A0" w14:textId="77777777" w:rsidR="001D79B0" w:rsidRDefault="001D79B0">
            <w:pPr>
              <w:pStyle w:val="TableParagraph"/>
              <w:ind w:left="3"/>
              <w:jc w:val="center"/>
              <w:rPr>
                <w:b/>
                <w:bCs/>
              </w:rPr>
            </w:pPr>
            <w:r>
              <w:rPr>
                <w:b/>
                <w:bCs/>
                <w:lang w:val="da-DK"/>
              </w:rPr>
              <w:t>%</w:t>
            </w:r>
          </w:p>
        </w:tc>
        <w:tc>
          <w:tcPr>
            <w:tcW w:w="706" w:type="pct"/>
            <w:tcBorders>
              <w:top w:val="nil"/>
              <w:left w:val="single" w:sz="4" w:space="0" w:color="000000"/>
              <w:bottom w:val="single" w:sz="4" w:space="0" w:color="000000"/>
              <w:right w:val="single" w:sz="4" w:space="0" w:color="000000"/>
            </w:tcBorders>
            <w:shd w:val="clear" w:color="auto" w:fill="F2F2F2" w:themeFill="background1" w:themeFillShade="F2"/>
            <w:hideMark/>
          </w:tcPr>
          <w:p w14:paraId="6F74FC5E" w14:textId="77777777" w:rsidR="001D79B0" w:rsidRDefault="001D79B0">
            <w:pPr>
              <w:pStyle w:val="TableParagraph"/>
              <w:ind w:left="2"/>
              <w:jc w:val="center"/>
              <w:rPr>
                <w:b/>
                <w:bCs/>
              </w:rPr>
            </w:pPr>
            <w:r>
              <w:rPr>
                <w:b/>
                <w:bCs/>
                <w:lang w:val="da-DK"/>
              </w:rPr>
              <w:t>%</w:t>
            </w:r>
          </w:p>
        </w:tc>
        <w:tc>
          <w:tcPr>
            <w:tcW w:w="1044" w:type="pct"/>
            <w:vMerge/>
            <w:tcBorders>
              <w:top w:val="single" w:sz="4" w:space="0" w:color="000000"/>
              <w:left w:val="single" w:sz="4" w:space="0" w:color="000000"/>
              <w:bottom w:val="single" w:sz="4" w:space="0" w:color="000000"/>
              <w:right w:val="single" w:sz="4" w:space="0" w:color="000000"/>
            </w:tcBorders>
            <w:vAlign w:val="center"/>
            <w:hideMark/>
          </w:tcPr>
          <w:p w14:paraId="76029BE7" w14:textId="77777777" w:rsidR="001D79B0" w:rsidRDefault="001D79B0">
            <w:pPr>
              <w:rPr>
                <w:sz w:val="22"/>
                <w:szCs w:val="22"/>
                <w:lang w:val="en-US"/>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5D23F390" w14:textId="77777777" w:rsidR="001D79B0" w:rsidRDefault="001D79B0">
            <w:pPr>
              <w:rPr>
                <w:sz w:val="22"/>
                <w:szCs w:val="22"/>
                <w:lang w:val="en-US"/>
              </w:rPr>
            </w:pPr>
          </w:p>
        </w:tc>
      </w:tr>
      <w:tr w:rsidR="001D79B0" w14:paraId="4CEAE95C" w14:textId="77777777" w:rsidTr="00DE3E26">
        <w:trPr>
          <w:trHeight w:val="229"/>
        </w:trPr>
        <w:tc>
          <w:tcPr>
            <w:tcW w:w="1948" w:type="pct"/>
            <w:tcBorders>
              <w:top w:val="single" w:sz="4" w:space="0" w:color="000000"/>
              <w:left w:val="single" w:sz="4" w:space="0" w:color="000000"/>
              <w:bottom w:val="single" w:sz="4" w:space="0" w:color="000000"/>
              <w:right w:val="single" w:sz="4" w:space="0" w:color="000000"/>
            </w:tcBorders>
            <w:hideMark/>
          </w:tcPr>
          <w:p w14:paraId="0DE50FAF" w14:textId="77777777" w:rsidR="001D79B0" w:rsidRDefault="001D79B0">
            <w:pPr>
              <w:pStyle w:val="TableParagraph"/>
              <w:ind w:left="107"/>
              <w:rPr>
                <w:lang w:val="da-DK"/>
              </w:rPr>
            </w:pPr>
            <w:r>
              <w:rPr>
                <w:lang w:val="da-DK"/>
              </w:rPr>
              <w:t>CV død, ikke-letalt MI eller ikke-letalt slagtilfælde</w:t>
            </w:r>
          </w:p>
        </w:tc>
        <w:tc>
          <w:tcPr>
            <w:tcW w:w="828" w:type="pct"/>
            <w:tcBorders>
              <w:top w:val="single" w:sz="4" w:space="0" w:color="000000"/>
              <w:left w:val="single" w:sz="4" w:space="0" w:color="000000"/>
              <w:bottom w:val="single" w:sz="4" w:space="0" w:color="000000"/>
              <w:right w:val="single" w:sz="4" w:space="0" w:color="000000"/>
            </w:tcBorders>
            <w:hideMark/>
          </w:tcPr>
          <w:p w14:paraId="27977089" w14:textId="77777777" w:rsidR="001D79B0" w:rsidRDefault="001D79B0">
            <w:pPr>
              <w:pStyle w:val="TableParagraph"/>
              <w:ind w:left="154"/>
              <w:jc w:val="center"/>
            </w:pPr>
            <w:r>
              <w:rPr>
                <w:lang w:val="da-DK"/>
              </w:rPr>
              <w:t>9,3</w:t>
            </w:r>
          </w:p>
        </w:tc>
        <w:tc>
          <w:tcPr>
            <w:tcW w:w="706" w:type="pct"/>
            <w:tcBorders>
              <w:top w:val="single" w:sz="4" w:space="0" w:color="000000"/>
              <w:left w:val="single" w:sz="4" w:space="0" w:color="000000"/>
              <w:bottom w:val="single" w:sz="4" w:space="0" w:color="000000"/>
              <w:right w:val="single" w:sz="4" w:space="0" w:color="000000"/>
            </w:tcBorders>
            <w:hideMark/>
          </w:tcPr>
          <w:p w14:paraId="77C507F1" w14:textId="77777777" w:rsidR="001D79B0" w:rsidRDefault="001D79B0">
            <w:pPr>
              <w:pStyle w:val="TableParagraph"/>
              <w:ind w:left="153"/>
              <w:jc w:val="center"/>
            </w:pPr>
            <w:r>
              <w:rPr>
                <w:lang w:val="da-DK"/>
              </w:rPr>
              <w:t>11,2</w:t>
            </w:r>
          </w:p>
        </w:tc>
        <w:tc>
          <w:tcPr>
            <w:tcW w:w="1044" w:type="pct"/>
            <w:tcBorders>
              <w:top w:val="single" w:sz="4" w:space="0" w:color="000000"/>
              <w:left w:val="single" w:sz="4" w:space="0" w:color="000000"/>
              <w:bottom w:val="single" w:sz="4" w:space="0" w:color="000000"/>
              <w:right w:val="single" w:sz="4" w:space="0" w:color="000000"/>
            </w:tcBorders>
            <w:hideMark/>
          </w:tcPr>
          <w:p w14:paraId="5CCE9006" w14:textId="77777777" w:rsidR="001D79B0" w:rsidRDefault="001D79B0">
            <w:pPr>
              <w:pStyle w:val="TableParagraph"/>
              <w:ind w:left="173" w:hanging="113"/>
            </w:pPr>
            <w:r>
              <w:rPr>
                <w:lang w:val="da-DK"/>
              </w:rPr>
              <w:t>0,820 (0,726, 0,927)</w:t>
            </w:r>
          </w:p>
        </w:tc>
        <w:tc>
          <w:tcPr>
            <w:tcW w:w="474" w:type="pct"/>
            <w:tcBorders>
              <w:top w:val="single" w:sz="4" w:space="0" w:color="000000"/>
              <w:left w:val="single" w:sz="4" w:space="0" w:color="000000"/>
              <w:bottom w:val="single" w:sz="4" w:space="0" w:color="000000"/>
              <w:right w:val="single" w:sz="4" w:space="0" w:color="000000"/>
            </w:tcBorders>
            <w:hideMark/>
          </w:tcPr>
          <w:p w14:paraId="7B783089" w14:textId="77777777" w:rsidR="001D79B0" w:rsidRDefault="001D79B0">
            <w:pPr>
              <w:pStyle w:val="TableParagraph"/>
              <w:ind w:left="145"/>
              <w:jc w:val="center"/>
            </w:pPr>
            <w:r>
              <w:rPr>
                <w:lang w:val="da-DK"/>
              </w:rPr>
              <w:t>0,002</w:t>
            </w:r>
          </w:p>
        </w:tc>
      </w:tr>
      <w:tr w:rsidR="001D79B0" w14:paraId="1E6C9198" w14:textId="77777777" w:rsidTr="00DE3E26">
        <w:trPr>
          <w:trHeight w:val="230"/>
        </w:trPr>
        <w:tc>
          <w:tcPr>
            <w:tcW w:w="1948" w:type="pct"/>
            <w:tcBorders>
              <w:top w:val="single" w:sz="4" w:space="0" w:color="000000"/>
              <w:left w:val="single" w:sz="4" w:space="0" w:color="000000"/>
              <w:bottom w:val="single" w:sz="4" w:space="0" w:color="000000"/>
              <w:right w:val="single" w:sz="4" w:space="0" w:color="000000"/>
            </w:tcBorders>
            <w:hideMark/>
          </w:tcPr>
          <w:p w14:paraId="6B075658" w14:textId="77777777" w:rsidR="001D79B0" w:rsidRDefault="001D79B0">
            <w:pPr>
              <w:pStyle w:val="TableParagraph"/>
              <w:ind w:left="249"/>
            </w:pPr>
            <w:r>
              <w:rPr>
                <w:lang w:val="da-DK"/>
              </w:rPr>
              <w:t>CV død</w:t>
            </w:r>
          </w:p>
        </w:tc>
        <w:tc>
          <w:tcPr>
            <w:tcW w:w="828" w:type="pct"/>
            <w:tcBorders>
              <w:top w:val="single" w:sz="4" w:space="0" w:color="000000"/>
              <w:left w:val="single" w:sz="4" w:space="0" w:color="000000"/>
              <w:bottom w:val="single" w:sz="4" w:space="0" w:color="000000"/>
              <w:right w:val="single" w:sz="4" w:space="0" w:color="000000"/>
            </w:tcBorders>
            <w:hideMark/>
          </w:tcPr>
          <w:p w14:paraId="13886BB4" w14:textId="77777777" w:rsidR="001D79B0" w:rsidRDefault="001D79B0">
            <w:pPr>
              <w:pStyle w:val="TableParagraph"/>
              <w:ind w:left="154"/>
              <w:jc w:val="center"/>
            </w:pPr>
            <w:r>
              <w:rPr>
                <w:lang w:val="da-DK"/>
              </w:rPr>
              <w:t>1,8</w:t>
            </w:r>
          </w:p>
        </w:tc>
        <w:tc>
          <w:tcPr>
            <w:tcW w:w="706" w:type="pct"/>
            <w:tcBorders>
              <w:top w:val="single" w:sz="4" w:space="0" w:color="000000"/>
              <w:left w:val="single" w:sz="4" w:space="0" w:color="000000"/>
              <w:bottom w:val="single" w:sz="4" w:space="0" w:color="000000"/>
              <w:right w:val="single" w:sz="4" w:space="0" w:color="000000"/>
            </w:tcBorders>
            <w:hideMark/>
          </w:tcPr>
          <w:p w14:paraId="73988412" w14:textId="77777777" w:rsidR="001D79B0" w:rsidRDefault="001D79B0">
            <w:pPr>
              <w:pStyle w:val="TableParagraph"/>
              <w:ind w:left="153"/>
              <w:jc w:val="center"/>
            </w:pPr>
            <w:r>
              <w:rPr>
                <w:lang w:val="da-DK"/>
              </w:rPr>
              <w:t>1,8</w:t>
            </w:r>
          </w:p>
        </w:tc>
        <w:tc>
          <w:tcPr>
            <w:tcW w:w="1044" w:type="pct"/>
            <w:tcBorders>
              <w:top w:val="single" w:sz="4" w:space="0" w:color="000000"/>
              <w:left w:val="single" w:sz="4" w:space="0" w:color="000000"/>
              <w:bottom w:val="single" w:sz="4" w:space="0" w:color="000000"/>
              <w:right w:val="single" w:sz="4" w:space="0" w:color="000000"/>
            </w:tcBorders>
            <w:hideMark/>
          </w:tcPr>
          <w:p w14:paraId="3D0FA2C5" w14:textId="77777777" w:rsidR="001D79B0" w:rsidRDefault="001D79B0">
            <w:pPr>
              <w:pStyle w:val="TableParagraph"/>
              <w:ind w:left="200" w:hanging="113"/>
            </w:pPr>
            <w:r>
              <w:rPr>
                <w:lang w:val="da-DK"/>
              </w:rPr>
              <w:t>0,979 (0,732, 1,309)</w:t>
            </w:r>
          </w:p>
        </w:tc>
        <w:tc>
          <w:tcPr>
            <w:tcW w:w="474" w:type="pct"/>
            <w:tcBorders>
              <w:top w:val="single" w:sz="4" w:space="0" w:color="000000"/>
              <w:left w:val="single" w:sz="4" w:space="0" w:color="000000"/>
              <w:bottom w:val="single" w:sz="4" w:space="0" w:color="000000"/>
              <w:right w:val="single" w:sz="4" w:space="0" w:color="000000"/>
            </w:tcBorders>
            <w:hideMark/>
          </w:tcPr>
          <w:p w14:paraId="1BE43FB4" w14:textId="77777777" w:rsidR="001D79B0" w:rsidRDefault="001D79B0">
            <w:pPr>
              <w:pStyle w:val="TableParagraph"/>
              <w:ind w:left="145"/>
              <w:jc w:val="center"/>
            </w:pPr>
            <w:r>
              <w:rPr>
                <w:lang w:val="da-DK"/>
              </w:rPr>
              <w:t>0,885</w:t>
            </w:r>
          </w:p>
        </w:tc>
      </w:tr>
      <w:tr w:rsidR="001D79B0" w14:paraId="7CCB2284" w14:textId="77777777" w:rsidTr="00DE3E26">
        <w:trPr>
          <w:trHeight w:val="230"/>
        </w:trPr>
        <w:tc>
          <w:tcPr>
            <w:tcW w:w="1948" w:type="pct"/>
            <w:tcBorders>
              <w:top w:val="single" w:sz="4" w:space="0" w:color="000000"/>
              <w:left w:val="single" w:sz="4" w:space="0" w:color="000000"/>
              <w:bottom w:val="single" w:sz="4" w:space="0" w:color="000000"/>
              <w:right w:val="single" w:sz="4" w:space="0" w:color="000000"/>
            </w:tcBorders>
            <w:hideMark/>
          </w:tcPr>
          <w:p w14:paraId="461A2659" w14:textId="77777777" w:rsidR="001D79B0" w:rsidRDefault="001D79B0">
            <w:pPr>
              <w:pStyle w:val="TableParagraph"/>
              <w:ind w:left="249"/>
            </w:pPr>
            <w:r>
              <w:rPr>
                <w:lang w:val="da-DK"/>
              </w:rPr>
              <w:t>Ikke-letalt MI</w:t>
            </w:r>
          </w:p>
        </w:tc>
        <w:tc>
          <w:tcPr>
            <w:tcW w:w="828" w:type="pct"/>
            <w:tcBorders>
              <w:top w:val="single" w:sz="4" w:space="0" w:color="000000"/>
              <w:left w:val="single" w:sz="4" w:space="0" w:color="000000"/>
              <w:bottom w:val="single" w:sz="4" w:space="0" w:color="000000"/>
              <w:right w:val="single" w:sz="4" w:space="0" w:color="000000"/>
            </w:tcBorders>
            <w:hideMark/>
          </w:tcPr>
          <w:p w14:paraId="743DEBA9" w14:textId="77777777" w:rsidR="001D79B0" w:rsidRDefault="001D79B0">
            <w:pPr>
              <w:pStyle w:val="TableParagraph"/>
              <w:ind w:left="154"/>
              <w:jc w:val="center"/>
            </w:pPr>
            <w:r>
              <w:rPr>
                <w:lang w:val="da-DK"/>
              </w:rPr>
              <w:t>7,1</w:t>
            </w:r>
          </w:p>
        </w:tc>
        <w:tc>
          <w:tcPr>
            <w:tcW w:w="706" w:type="pct"/>
            <w:tcBorders>
              <w:top w:val="single" w:sz="4" w:space="0" w:color="000000"/>
              <w:left w:val="single" w:sz="4" w:space="0" w:color="000000"/>
              <w:bottom w:val="single" w:sz="4" w:space="0" w:color="000000"/>
              <w:right w:val="single" w:sz="4" w:space="0" w:color="000000"/>
            </w:tcBorders>
            <w:hideMark/>
          </w:tcPr>
          <w:p w14:paraId="0686AF9B" w14:textId="77777777" w:rsidR="001D79B0" w:rsidRDefault="001D79B0">
            <w:pPr>
              <w:pStyle w:val="TableParagraph"/>
              <w:ind w:left="153"/>
              <w:jc w:val="center"/>
            </w:pPr>
            <w:r>
              <w:rPr>
                <w:lang w:val="da-DK"/>
              </w:rPr>
              <w:t>9,2</w:t>
            </w:r>
          </w:p>
        </w:tc>
        <w:tc>
          <w:tcPr>
            <w:tcW w:w="1044" w:type="pct"/>
            <w:tcBorders>
              <w:top w:val="single" w:sz="4" w:space="0" w:color="000000"/>
              <w:left w:val="single" w:sz="4" w:space="0" w:color="000000"/>
              <w:bottom w:val="single" w:sz="4" w:space="0" w:color="000000"/>
              <w:right w:val="single" w:sz="4" w:space="0" w:color="000000"/>
            </w:tcBorders>
            <w:hideMark/>
          </w:tcPr>
          <w:p w14:paraId="780B6E80" w14:textId="77777777" w:rsidR="001D79B0" w:rsidRDefault="001D79B0">
            <w:pPr>
              <w:pStyle w:val="TableParagraph"/>
              <w:ind w:left="200" w:hanging="113"/>
            </w:pPr>
            <w:r>
              <w:rPr>
                <w:lang w:val="da-DK"/>
              </w:rPr>
              <w:t>0,761 (0,663, 0,873)</w:t>
            </w:r>
          </w:p>
        </w:tc>
        <w:tc>
          <w:tcPr>
            <w:tcW w:w="474" w:type="pct"/>
            <w:tcBorders>
              <w:top w:val="single" w:sz="4" w:space="0" w:color="000000"/>
              <w:left w:val="single" w:sz="4" w:space="0" w:color="000000"/>
              <w:bottom w:val="single" w:sz="4" w:space="0" w:color="000000"/>
              <w:right w:val="single" w:sz="4" w:space="0" w:color="000000"/>
            </w:tcBorders>
            <w:hideMark/>
          </w:tcPr>
          <w:p w14:paraId="699B103F" w14:textId="77777777" w:rsidR="001D79B0" w:rsidRDefault="001D79B0">
            <w:pPr>
              <w:pStyle w:val="TableParagraph"/>
              <w:ind w:left="145"/>
              <w:jc w:val="center"/>
            </w:pPr>
            <w:r>
              <w:rPr>
                <w:lang w:val="da-DK"/>
              </w:rPr>
              <w:t>&lt;0,001</w:t>
            </w:r>
          </w:p>
        </w:tc>
      </w:tr>
      <w:tr w:rsidR="001D79B0" w14:paraId="09B18337" w14:textId="77777777" w:rsidTr="00DE3E26">
        <w:trPr>
          <w:trHeight w:val="229"/>
        </w:trPr>
        <w:tc>
          <w:tcPr>
            <w:tcW w:w="1948" w:type="pct"/>
            <w:tcBorders>
              <w:top w:val="single" w:sz="4" w:space="0" w:color="000000"/>
              <w:left w:val="single" w:sz="4" w:space="0" w:color="000000"/>
              <w:bottom w:val="single" w:sz="4" w:space="0" w:color="000000"/>
              <w:right w:val="single" w:sz="4" w:space="0" w:color="000000"/>
            </w:tcBorders>
            <w:hideMark/>
          </w:tcPr>
          <w:p w14:paraId="17F815CC" w14:textId="77777777" w:rsidR="001D79B0" w:rsidRDefault="001D79B0">
            <w:pPr>
              <w:pStyle w:val="TableParagraph"/>
              <w:ind w:left="249"/>
            </w:pPr>
            <w:r>
              <w:rPr>
                <w:lang w:val="da-DK"/>
              </w:rPr>
              <w:t>Ikke-letalt slagtilfælde</w:t>
            </w:r>
          </w:p>
        </w:tc>
        <w:tc>
          <w:tcPr>
            <w:tcW w:w="828" w:type="pct"/>
            <w:tcBorders>
              <w:top w:val="single" w:sz="4" w:space="0" w:color="000000"/>
              <w:left w:val="single" w:sz="4" w:space="0" w:color="000000"/>
              <w:bottom w:val="single" w:sz="4" w:space="0" w:color="000000"/>
              <w:right w:val="single" w:sz="4" w:space="0" w:color="000000"/>
            </w:tcBorders>
            <w:hideMark/>
          </w:tcPr>
          <w:p w14:paraId="2368DFB2" w14:textId="77777777" w:rsidR="001D79B0" w:rsidRDefault="001D79B0">
            <w:pPr>
              <w:pStyle w:val="TableParagraph"/>
              <w:ind w:left="154"/>
              <w:jc w:val="center"/>
            </w:pPr>
            <w:r>
              <w:rPr>
                <w:lang w:val="da-DK"/>
              </w:rPr>
              <w:t>0,8</w:t>
            </w:r>
          </w:p>
        </w:tc>
        <w:tc>
          <w:tcPr>
            <w:tcW w:w="706" w:type="pct"/>
            <w:tcBorders>
              <w:top w:val="single" w:sz="4" w:space="0" w:color="000000"/>
              <w:left w:val="single" w:sz="4" w:space="0" w:color="000000"/>
              <w:bottom w:val="single" w:sz="4" w:space="0" w:color="000000"/>
              <w:right w:val="single" w:sz="4" w:space="0" w:color="000000"/>
            </w:tcBorders>
            <w:hideMark/>
          </w:tcPr>
          <w:p w14:paraId="095A6611" w14:textId="77777777" w:rsidR="001D79B0" w:rsidRDefault="001D79B0">
            <w:pPr>
              <w:pStyle w:val="TableParagraph"/>
              <w:ind w:left="153"/>
              <w:jc w:val="center"/>
            </w:pPr>
            <w:r>
              <w:rPr>
                <w:lang w:val="da-DK"/>
              </w:rPr>
              <w:t>0,8</w:t>
            </w:r>
          </w:p>
        </w:tc>
        <w:tc>
          <w:tcPr>
            <w:tcW w:w="1044" w:type="pct"/>
            <w:tcBorders>
              <w:top w:val="single" w:sz="4" w:space="0" w:color="000000"/>
              <w:left w:val="single" w:sz="4" w:space="0" w:color="000000"/>
              <w:bottom w:val="single" w:sz="4" w:space="0" w:color="000000"/>
              <w:right w:val="single" w:sz="4" w:space="0" w:color="000000"/>
            </w:tcBorders>
            <w:hideMark/>
          </w:tcPr>
          <w:p w14:paraId="6C0A48B4" w14:textId="77777777" w:rsidR="001D79B0" w:rsidRDefault="001D79B0">
            <w:pPr>
              <w:pStyle w:val="TableParagraph"/>
              <w:ind w:left="200" w:hanging="113"/>
            </w:pPr>
            <w:r>
              <w:rPr>
                <w:lang w:val="da-DK"/>
              </w:rPr>
              <w:t>0,979 (0.633,1.513)</w:t>
            </w:r>
          </w:p>
        </w:tc>
        <w:tc>
          <w:tcPr>
            <w:tcW w:w="474" w:type="pct"/>
            <w:tcBorders>
              <w:top w:val="single" w:sz="4" w:space="0" w:color="000000"/>
              <w:left w:val="single" w:sz="4" w:space="0" w:color="000000"/>
              <w:bottom w:val="single" w:sz="4" w:space="0" w:color="000000"/>
              <w:right w:val="single" w:sz="4" w:space="0" w:color="000000"/>
            </w:tcBorders>
            <w:hideMark/>
          </w:tcPr>
          <w:p w14:paraId="619419E0" w14:textId="77777777" w:rsidR="001D79B0" w:rsidRDefault="001D79B0">
            <w:pPr>
              <w:pStyle w:val="TableParagraph"/>
              <w:ind w:left="145"/>
              <w:jc w:val="center"/>
            </w:pPr>
            <w:r>
              <w:rPr>
                <w:lang w:val="da-DK"/>
              </w:rPr>
              <w:t>0,922</w:t>
            </w:r>
          </w:p>
        </w:tc>
      </w:tr>
      <w:tr w:rsidR="001D79B0" w14:paraId="73BBDDC2" w14:textId="77777777" w:rsidTr="00DE3E26">
        <w:trPr>
          <w:trHeight w:val="230"/>
        </w:trPr>
        <w:tc>
          <w:tcPr>
            <w:tcW w:w="1948" w:type="pct"/>
            <w:tcBorders>
              <w:top w:val="single" w:sz="4" w:space="0" w:color="000000"/>
              <w:left w:val="single" w:sz="4" w:space="0" w:color="000000"/>
              <w:bottom w:val="nil"/>
              <w:right w:val="single" w:sz="4" w:space="0" w:color="000000"/>
            </w:tcBorders>
            <w:shd w:val="clear" w:color="auto" w:fill="F2F2F2" w:themeFill="background1" w:themeFillShade="F2"/>
            <w:hideMark/>
          </w:tcPr>
          <w:p w14:paraId="7A038A7A" w14:textId="77777777" w:rsidR="001D79B0" w:rsidRDefault="001D79B0">
            <w:pPr>
              <w:pStyle w:val="TableParagraph"/>
              <w:ind w:left="107"/>
              <w:rPr>
                <w:b/>
                <w:bCs/>
              </w:rPr>
            </w:pPr>
            <w:r>
              <w:rPr>
                <w:b/>
                <w:bCs/>
                <w:lang w:val="da-DK"/>
              </w:rPr>
              <w:t>STEMI</w:t>
            </w:r>
          </w:p>
        </w:tc>
        <w:tc>
          <w:tcPr>
            <w:tcW w:w="828" w:type="pct"/>
            <w:tcBorders>
              <w:top w:val="single" w:sz="4" w:space="0" w:color="000000"/>
              <w:left w:val="single" w:sz="4" w:space="0" w:color="000000"/>
              <w:bottom w:val="nil"/>
              <w:right w:val="single" w:sz="4" w:space="0" w:color="000000"/>
            </w:tcBorders>
            <w:shd w:val="clear" w:color="auto" w:fill="F2F2F2" w:themeFill="background1" w:themeFillShade="F2"/>
            <w:hideMark/>
          </w:tcPr>
          <w:p w14:paraId="74E45EAE" w14:textId="77777777" w:rsidR="001D79B0" w:rsidRDefault="001D79B0">
            <w:pPr>
              <w:pStyle w:val="TableParagraph"/>
              <w:ind w:left="154"/>
              <w:jc w:val="center"/>
              <w:rPr>
                <w:b/>
                <w:bCs/>
              </w:rPr>
            </w:pPr>
            <w:r>
              <w:rPr>
                <w:b/>
                <w:bCs/>
                <w:lang w:val="da-DK"/>
              </w:rPr>
              <w:t>(N=1769)</w:t>
            </w:r>
          </w:p>
        </w:tc>
        <w:tc>
          <w:tcPr>
            <w:tcW w:w="706" w:type="pct"/>
            <w:tcBorders>
              <w:top w:val="single" w:sz="4" w:space="0" w:color="000000"/>
              <w:left w:val="single" w:sz="4" w:space="0" w:color="000000"/>
              <w:bottom w:val="nil"/>
              <w:right w:val="single" w:sz="4" w:space="0" w:color="000000"/>
            </w:tcBorders>
            <w:shd w:val="clear" w:color="auto" w:fill="F2F2F2" w:themeFill="background1" w:themeFillShade="F2"/>
            <w:hideMark/>
          </w:tcPr>
          <w:p w14:paraId="78113CDB" w14:textId="77777777" w:rsidR="001D79B0" w:rsidRDefault="001D79B0">
            <w:pPr>
              <w:pStyle w:val="TableParagraph"/>
              <w:ind w:left="154"/>
              <w:jc w:val="center"/>
              <w:rPr>
                <w:b/>
                <w:bCs/>
              </w:rPr>
            </w:pPr>
            <w:r>
              <w:rPr>
                <w:b/>
                <w:bCs/>
                <w:lang w:val="da-DK"/>
              </w:rPr>
              <w:t>(N=1765)</w:t>
            </w:r>
          </w:p>
        </w:tc>
        <w:tc>
          <w:tcPr>
            <w:tcW w:w="1044" w:type="pct"/>
            <w:vMerge w:val="restart"/>
            <w:tcBorders>
              <w:top w:val="single" w:sz="4" w:space="0" w:color="000000"/>
              <w:left w:val="single" w:sz="4" w:space="0" w:color="000000"/>
              <w:bottom w:val="single" w:sz="4" w:space="0" w:color="000000"/>
              <w:right w:val="single" w:sz="4" w:space="0" w:color="000000"/>
            </w:tcBorders>
          </w:tcPr>
          <w:p w14:paraId="4858A34E" w14:textId="77777777" w:rsidR="001D79B0" w:rsidRDefault="001D79B0">
            <w:pPr>
              <w:pStyle w:val="TableParagraph"/>
              <w:ind w:hanging="113"/>
            </w:pPr>
          </w:p>
        </w:tc>
        <w:tc>
          <w:tcPr>
            <w:tcW w:w="474" w:type="pct"/>
            <w:vMerge w:val="restart"/>
            <w:tcBorders>
              <w:top w:val="single" w:sz="4" w:space="0" w:color="000000"/>
              <w:left w:val="single" w:sz="4" w:space="0" w:color="000000"/>
              <w:bottom w:val="single" w:sz="4" w:space="0" w:color="000000"/>
              <w:right w:val="single" w:sz="4" w:space="0" w:color="000000"/>
            </w:tcBorders>
          </w:tcPr>
          <w:p w14:paraId="0B7DCA05" w14:textId="77777777" w:rsidR="001D79B0" w:rsidRDefault="001D79B0">
            <w:pPr>
              <w:pStyle w:val="TableParagraph"/>
            </w:pPr>
          </w:p>
        </w:tc>
      </w:tr>
      <w:tr w:rsidR="001D79B0" w14:paraId="05387565" w14:textId="77777777" w:rsidTr="00DE3E26">
        <w:trPr>
          <w:trHeight w:val="220"/>
        </w:trPr>
        <w:tc>
          <w:tcPr>
            <w:tcW w:w="1948" w:type="pct"/>
            <w:tcBorders>
              <w:top w:val="nil"/>
              <w:left w:val="single" w:sz="4" w:space="0" w:color="000000"/>
              <w:bottom w:val="single" w:sz="4" w:space="0" w:color="000000"/>
              <w:right w:val="single" w:sz="4" w:space="0" w:color="000000"/>
            </w:tcBorders>
            <w:shd w:val="clear" w:color="auto" w:fill="F2F2F2" w:themeFill="background1" w:themeFillShade="F2"/>
            <w:hideMark/>
          </w:tcPr>
          <w:p w14:paraId="0937414F" w14:textId="77777777" w:rsidR="001D79B0" w:rsidRDefault="001D79B0">
            <w:pPr>
              <w:pStyle w:val="TableParagraph"/>
              <w:ind w:left="107"/>
              <w:rPr>
                <w:b/>
                <w:bCs/>
              </w:rPr>
            </w:pPr>
            <w:r>
              <w:rPr>
                <w:b/>
                <w:bCs/>
                <w:lang w:val="da-DK"/>
              </w:rPr>
              <w:t>Primære sammensatte endepunktshændelser</w:t>
            </w:r>
          </w:p>
        </w:tc>
        <w:tc>
          <w:tcPr>
            <w:tcW w:w="828" w:type="pct"/>
            <w:tcBorders>
              <w:top w:val="nil"/>
              <w:left w:val="single" w:sz="4" w:space="0" w:color="000000"/>
              <w:bottom w:val="single" w:sz="4" w:space="0" w:color="000000"/>
              <w:right w:val="single" w:sz="4" w:space="0" w:color="000000"/>
            </w:tcBorders>
            <w:shd w:val="clear" w:color="auto" w:fill="F2F2F2" w:themeFill="background1" w:themeFillShade="F2"/>
            <w:hideMark/>
          </w:tcPr>
          <w:p w14:paraId="27D1217B" w14:textId="77777777" w:rsidR="001D79B0" w:rsidRDefault="001D79B0">
            <w:pPr>
              <w:pStyle w:val="TableParagraph"/>
              <w:ind w:left="3"/>
              <w:jc w:val="center"/>
              <w:rPr>
                <w:b/>
                <w:bCs/>
              </w:rPr>
            </w:pPr>
            <w:r>
              <w:rPr>
                <w:b/>
                <w:bCs/>
                <w:lang w:val="da-DK"/>
              </w:rPr>
              <w:t>%</w:t>
            </w:r>
          </w:p>
        </w:tc>
        <w:tc>
          <w:tcPr>
            <w:tcW w:w="706" w:type="pct"/>
            <w:tcBorders>
              <w:top w:val="nil"/>
              <w:left w:val="single" w:sz="4" w:space="0" w:color="000000"/>
              <w:bottom w:val="single" w:sz="4" w:space="0" w:color="000000"/>
              <w:right w:val="single" w:sz="4" w:space="0" w:color="000000"/>
            </w:tcBorders>
            <w:shd w:val="clear" w:color="auto" w:fill="F2F2F2" w:themeFill="background1" w:themeFillShade="F2"/>
            <w:hideMark/>
          </w:tcPr>
          <w:p w14:paraId="1CFE44DA" w14:textId="77777777" w:rsidR="001D79B0" w:rsidRDefault="001D79B0">
            <w:pPr>
              <w:pStyle w:val="TableParagraph"/>
              <w:ind w:left="2"/>
              <w:jc w:val="center"/>
              <w:rPr>
                <w:b/>
                <w:bCs/>
              </w:rPr>
            </w:pPr>
            <w:r>
              <w:rPr>
                <w:b/>
                <w:bCs/>
                <w:lang w:val="da-DK"/>
              </w:rPr>
              <w:t>%</w:t>
            </w:r>
          </w:p>
        </w:tc>
        <w:tc>
          <w:tcPr>
            <w:tcW w:w="1044" w:type="pct"/>
            <w:vMerge/>
            <w:tcBorders>
              <w:top w:val="single" w:sz="4" w:space="0" w:color="000000"/>
              <w:left w:val="single" w:sz="4" w:space="0" w:color="000000"/>
              <w:bottom w:val="single" w:sz="4" w:space="0" w:color="000000"/>
              <w:right w:val="single" w:sz="4" w:space="0" w:color="000000"/>
            </w:tcBorders>
            <w:vAlign w:val="center"/>
            <w:hideMark/>
          </w:tcPr>
          <w:p w14:paraId="61A41884" w14:textId="77777777" w:rsidR="001D79B0" w:rsidRDefault="001D79B0">
            <w:pPr>
              <w:rPr>
                <w:sz w:val="22"/>
                <w:szCs w:val="22"/>
                <w:lang w:val="en-US"/>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6F4D5811" w14:textId="77777777" w:rsidR="001D79B0" w:rsidRDefault="001D79B0">
            <w:pPr>
              <w:rPr>
                <w:sz w:val="22"/>
                <w:szCs w:val="22"/>
                <w:lang w:val="en-US"/>
              </w:rPr>
            </w:pPr>
          </w:p>
        </w:tc>
      </w:tr>
      <w:tr w:rsidR="001D79B0" w14:paraId="4C7BE9BC" w14:textId="77777777" w:rsidTr="00DE3E26">
        <w:trPr>
          <w:trHeight w:val="230"/>
        </w:trPr>
        <w:tc>
          <w:tcPr>
            <w:tcW w:w="1948" w:type="pct"/>
            <w:tcBorders>
              <w:top w:val="single" w:sz="4" w:space="0" w:color="000000"/>
              <w:left w:val="single" w:sz="4" w:space="0" w:color="000000"/>
              <w:bottom w:val="single" w:sz="4" w:space="0" w:color="000000"/>
              <w:right w:val="single" w:sz="4" w:space="0" w:color="000000"/>
            </w:tcBorders>
            <w:hideMark/>
          </w:tcPr>
          <w:p w14:paraId="61FC68D9" w14:textId="77777777" w:rsidR="001D79B0" w:rsidRDefault="001D79B0">
            <w:pPr>
              <w:pStyle w:val="TableParagraph"/>
              <w:ind w:left="107"/>
              <w:rPr>
                <w:lang w:val="da-DK"/>
              </w:rPr>
            </w:pPr>
            <w:r>
              <w:rPr>
                <w:lang w:val="da-DK"/>
              </w:rPr>
              <w:t>CV død, ikke-letalt MI eller ikke-letalt slagtilfælde</w:t>
            </w:r>
          </w:p>
        </w:tc>
        <w:tc>
          <w:tcPr>
            <w:tcW w:w="828" w:type="pct"/>
            <w:tcBorders>
              <w:top w:val="single" w:sz="4" w:space="0" w:color="000000"/>
              <w:left w:val="single" w:sz="4" w:space="0" w:color="000000"/>
              <w:bottom w:val="single" w:sz="4" w:space="0" w:color="000000"/>
              <w:right w:val="single" w:sz="4" w:space="0" w:color="000000"/>
            </w:tcBorders>
            <w:hideMark/>
          </w:tcPr>
          <w:p w14:paraId="2B4F3FC6" w14:textId="77777777" w:rsidR="001D79B0" w:rsidRDefault="001D79B0">
            <w:pPr>
              <w:pStyle w:val="TableParagraph"/>
              <w:ind w:left="154"/>
              <w:jc w:val="center"/>
            </w:pPr>
            <w:r>
              <w:rPr>
                <w:lang w:val="da-DK"/>
              </w:rPr>
              <w:t>9,8</w:t>
            </w:r>
          </w:p>
        </w:tc>
        <w:tc>
          <w:tcPr>
            <w:tcW w:w="706" w:type="pct"/>
            <w:tcBorders>
              <w:top w:val="single" w:sz="4" w:space="0" w:color="000000"/>
              <w:left w:val="single" w:sz="4" w:space="0" w:color="000000"/>
              <w:bottom w:val="single" w:sz="4" w:space="0" w:color="000000"/>
              <w:right w:val="single" w:sz="4" w:space="0" w:color="000000"/>
            </w:tcBorders>
            <w:hideMark/>
          </w:tcPr>
          <w:p w14:paraId="1A4E5AD6" w14:textId="77777777" w:rsidR="001D79B0" w:rsidRDefault="001D79B0">
            <w:pPr>
              <w:pStyle w:val="TableParagraph"/>
              <w:ind w:left="153"/>
              <w:jc w:val="center"/>
            </w:pPr>
            <w:r>
              <w:rPr>
                <w:lang w:val="da-DK"/>
              </w:rPr>
              <w:t>12,2</w:t>
            </w:r>
          </w:p>
        </w:tc>
        <w:tc>
          <w:tcPr>
            <w:tcW w:w="1044" w:type="pct"/>
            <w:tcBorders>
              <w:top w:val="single" w:sz="4" w:space="0" w:color="000000"/>
              <w:left w:val="single" w:sz="4" w:space="0" w:color="000000"/>
              <w:bottom w:val="single" w:sz="4" w:space="0" w:color="000000"/>
              <w:right w:val="single" w:sz="4" w:space="0" w:color="000000"/>
            </w:tcBorders>
            <w:hideMark/>
          </w:tcPr>
          <w:p w14:paraId="4AFF774B" w14:textId="77777777" w:rsidR="001D79B0" w:rsidRDefault="001D79B0">
            <w:pPr>
              <w:pStyle w:val="TableParagraph"/>
              <w:ind w:left="173" w:hanging="113"/>
            </w:pPr>
            <w:r>
              <w:rPr>
                <w:lang w:val="da-DK"/>
              </w:rPr>
              <w:t>0,793 (0,649, 0,968)</w:t>
            </w:r>
          </w:p>
        </w:tc>
        <w:tc>
          <w:tcPr>
            <w:tcW w:w="474" w:type="pct"/>
            <w:tcBorders>
              <w:top w:val="single" w:sz="4" w:space="0" w:color="000000"/>
              <w:left w:val="single" w:sz="4" w:space="0" w:color="000000"/>
              <w:bottom w:val="single" w:sz="4" w:space="0" w:color="000000"/>
              <w:right w:val="single" w:sz="4" w:space="0" w:color="000000"/>
            </w:tcBorders>
            <w:hideMark/>
          </w:tcPr>
          <w:p w14:paraId="459050E3" w14:textId="77777777" w:rsidR="001D79B0" w:rsidRDefault="001D79B0">
            <w:pPr>
              <w:pStyle w:val="TableParagraph"/>
              <w:ind w:left="145"/>
              <w:jc w:val="center"/>
            </w:pPr>
            <w:r>
              <w:rPr>
                <w:lang w:val="da-DK"/>
              </w:rPr>
              <w:t>0,019</w:t>
            </w:r>
          </w:p>
        </w:tc>
      </w:tr>
      <w:tr w:rsidR="001D79B0" w14:paraId="666A2E33" w14:textId="77777777" w:rsidTr="00DE3E26">
        <w:trPr>
          <w:trHeight w:val="229"/>
        </w:trPr>
        <w:tc>
          <w:tcPr>
            <w:tcW w:w="1948" w:type="pct"/>
            <w:tcBorders>
              <w:top w:val="single" w:sz="4" w:space="0" w:color="000000"/>
              <w:left w:val="single" w:sz="4" w:space="0" w:color="000000"/>
              <w:bottom w:val="single" w:sz="4" w:space="0" w:color="000000"/>
              <w:right w:val="single" w:sz="4" w:space="0" w:color="000000"/>
            </w:tcBorders>
            <w:hideMark/>
          </w:tcPr>
          <w:p w14:paraId="48C29FE5" w14:textId="77777777" w:rsidR="001D79B0" w:rsidRDefault="001D79B0">
            <w:pPr>
              <w:pStyle w:val="TableParagraph"/>
              <w:ind w:left="249"/>
            </w:pPr>
            <w:r>
              <w:rPr>
                <w:lang w:val="da-DK"/>
              </w:rPr>
              <w:t>CV død</w:t>
            </w:r>
          </w:p>
        </w:tc>
        <w:tc>
          <w:tcPr>
            <w:tcW w:w="828" w:type="pct"/>
            <w:tcBorders>
              <w:top w:val="single" w:sz="4" w:space="0" w:color="000000"/>
              <w:left w:val="single" w:sz="4" w:space="0" w:color="000000"/>
              <w:bottom w:val="single" w:sz="4" w:space="0" w:color="000000"/>
              <w:right w:val="single" w:sz="4" w:space="0" w:color="000000"/>
            </w:tcBorders>
            <w:hideMark/>
          </w:tcPr>
          <w:p w14:paraId="6D7D02C8" w14:textId="77777777" w:rsidR="001D79B0" w:rsidRDefault="001D79B0">
            <w:pPr>
              <w:pStyle w:val="TableParagraph"/>
              <w:ind w:left="154"/>
              <w:jc w:val="center"/>
            </w:pPr>
            <w:r>
              <w:rPr>
                <w:lang w:val="da-DK"/>
              </w:rPr>
              <w:t>2,4</w:t>
            </w:r>
          </w:p>
        </w:tc>
        <w:tc>
          <w:tcPr>
            <w:tcW w:w="706" w:type="pct"/>
            <w:tcBorders>
              <w:top w:val="single" w:sz="4" w:space="0" w:color="000000"/>
              <w:left w:val="single" w:sz="4" w:space="0" w:color="000000"/>
              <w:bottom w:val="single" w:sz="4" w:space="0" w:color="000000"/>
              <w:right w:val="single" w:sz="4" w:space="0" w:color="000000"/>
            </w:tcBorders>
            <w:hideMark/>
          </w:tcPr>
          <w:p w14:paraId="6FE0B6C1" w14:textId="77777777" w:rsidR="001D79B0" w:rsidRDefault="001D79B0">
            <w:pPr>
              <w:pStyle w:val="TableParagraph"/>
              <w:ind w:left="153"/>
              <w:jc w:val="center"/>
            </w:pPr>
            <w:r>
              <w:rPr>
                <w:lang w:val="da-DK"/>
              </w:rPr>
              <w:t>3,3</w:t>
            </w:r>
          </w:p>
        </w:tc>
        <w:tc>
          <w:tcPr>
            <w:tcW w:w="1044" w:type="pct"/>
            <w:tcBorders>
              <w:top w:val="single" w:sz="4" w:space="0" w:color="000000"/>
              <w:left w:val="single" w:sz="4" w:space="0" w:color="000000"/>
              <w:bottom w:val="single" w:sz="4" w:space="0" w:color="000000"/>
              <w:right w:val="single" w:sz="4" w:space="0" w:color="000000"/>
            </w:tcBorders>
            <w:hideMark/>
          </w:tcPr>
          <w:p w14:paraId="1ACFECF2" w14:textId="77777777" w:rsidR="001D79B0" w:rsidRDefault="001D79B0">
            <w:pPr>
              <w:pStyle w:val="TableParagraph"/>
              <w:ind w:left="200" w:hanging="113"/>
            </w:pPr>
            <w:r>
              <w:rPr>
                <w:lang w:val="da-DK"/>
              </w:rPr>
              <w:t>0,738 (0,497, 1,094)</w:t>
            </w:r>
          </w:p>
        </w:tc>
        <w:tc>
          <w:tcPr>
            <w:tcW w:w="474" w:type="pct"/>
            <w:tcBorders>
              <w:top w:val="single" w:sz="4" w:space="0" w:color="000000"/>
              <w:left w:val="single" w:sz="4" w:space="0" w:color="000000"/>
              <w:bottom w:val="single" w:sz="4" w:space="0" w:color="000000"/>
              <w:right w:val="single" w:sz="4" w:space="0" w:color="000000"/>
            </w:tcBorders>
            <w:hideMark/>
          </w:tcPr>
          <w:p w14:paraId="35C1C9DF" w14:textId="77777777" w:rsidR="001D79B0" w:rsidRDefault="001D79B0">
            <w:pPr>
              <w:pStyle w:val="TableParagraph"/>
              <w:ind w:left="145"/>
              <w:jc w:val="center"/>
            </w:pPr>
            <w:r>
              <w:rPr>
                <w:lang w:val="da-DK"/>
              </w:rPr>
              <w:t>0,129</w:t>
            </w:r>
          </w:p>
        </w:tc>
      </w:tr>
      <w:tr w:rsidR="001D79B0" w14:paraId="358E658A" w14:textId="77777777" w:rsidTr="00DE3E26">
        <w:trPr>
          <w:trHeight w:val="230"/>
        </w:trPr>
        <w:tc>
          <w:tcPr>
            <w:tcW w:w="1948" w:type="pct"/>
            <w:tcBorders>
              <w:top w:val="single" w:sz="4" w:space="0" w:color="000000"/>
              <w:left w:val="single" w:sz="4" w:space="0" w:color="000000"/>
              <w:bottom w:val="single" w:sz="4" w:space="0" w:color="000000"/>
              <w:right w:val="single" w:sz="4" w:space="0" w:color="000000"/>
            </w:tcBorders>
            <w:hideMark/>
          </w:tcPr>
          <w:p w14:paraId="127B5197" w14:textId="77777777" w:rsidR="001D79B0" w:rsidRDefault="001D79B0">
            <w:pPr>
              <w:pStyle w:val="TableParagraph"/>
              <w:ind w:left="249"/>
            </w:pPr>
            <w:r>
              <w:rPr>
                <w:lang w:val="da-DK"/>
              </w:rPr>
              <w:t>Ikke-letalt MI</w:t>
            </w:r>
          </w:p>
        </w:tc>
        <w:tc>
          <w:tcPr>
            <w:tcW w:w="828" w:type="pct"/>
            <w:tcBorders>
              <w:top w:val="single" w:sz="4" w:space="0" w:color="000000"/>
              <w:left w:val="single" w:sz="4" w:space="0" w:color="000000"/>
              <w:bottom w:val="single" w:sz="4" w:space="0" w:color="000000"/>
              <w:right w:val="single" w:sz="4" w:space="0" w:color="000000"/>
            </w:tcBorders>
            <w:hideMark/>
          </w:tcPr>
          <w:p w14:paraId="1FF5D963" w14:textId="77777777" w:rsidR="001D79B0" w:rsidRDefault="001D79B0">
            <w:pPr>
              <w:pStyle w:val="TableParagraph"/>
              <w:ind w:left="154"/>
              <w:jc w:val="center"/>
            </w:pPr>
            <w:r>
              <w:rPr>
                <w:lang w:val="da-DK"/>
              </w:rPr>
              <w:t>6,7</w:t>
            </w:r>
          </w:p>
        </w:tc>
        <w:tc>
          <w:tcPr>
            <w:tcW w:w="706" w:type="pct"/>
            <w:tcBorders>
              <w:top w:val="single" w:sz="4" w:space="0" w:color="000000"/>
              <w:left w:val="single" w:sz="4" w:space="0" w:color="000000"/>
              <w:bottom w:val="single" w:sz="4" w:space="0" w:color="000000"/>
              <w:right w:val="single" w:sz="4" w:space="0" w:color="000000"/>
            </w:tcBorders>
            <w:hideMark/>
          </w:tcPr>
          <w:p w14:paraId="35A1620A" w14:textId="77777777" w:rsidR="001D79B0" w:rsidRDefault="001D79B0">
            <w:pPr>
              <w:pStyle w:val="TableParagraph"/>
              <w:ind w:left="153"/>
              <w:jc w:val="center"/>
            </w:pPr>
            <w:r>
              <w:rPr>
                <w:lang w:val="da-DK"/>
              </w:rPr>
              <w:t>8,8</w:t>
            </w:r>
          </w:p>
        </w:tc>
        <w:tc>
          <w:tcPr>
            <w:tcW w:w="1044" w:type="pct"/>
            <w:tcBorders>
              <w:top w:val="single" w:sz="4" w:space="0" w:color="000000"/>
              <w:left w:val="single" w:sz="4" w:space="0" w:color="000000"/>
              <w:bottom w:val="single" w:sz="4" w:space="0" w:color="000000"/>
              <w:right w:val="single" w:sz="4" w:space="0" w:color="000000"/>
            </w:tcBorders>
            <w:hideMark/>
          </w:tcPr>
          <w:p w14:paraId="0B3AE085" w14:textId="77777777" w:rsidR="001D79B0" w:rsidRDefault="001D79B0">
            <w:pPr>
              <w:pStyle w:val="TableParagraph"/>
              <w:ind w:left="200" w:hanging="113"/>
            </w:pPr>
            <w:r>
              <w:rPr>
                <w:lang w:val="da-DK"/>
              </w:rPr>
              <w:t>0,746 (0,588, 0,948)</w:t>
            </w:r>
          </w:p>
        </w:tc>
        <w:tc>
          <w:tcPr>
            <w:tcW w:w="474" w:type="pct"/>
            <w:tcBorders>
              <w:top w:val="single" w:sz="4" w:space="0" w:color="000000"/>
              <w:left w:val="single" w:sz="4" w:space="0" w:color="000000"/>
              <w:bottom w:val="single" w:sz="4" w:space="0" w:color="000000"/>
              <w:right w:val="single" w:sz="4" w:space="0" w:color="000000"/>
            </w:tcBorders>
            <w:hideMark/>
          </w:tcPr>
          <w:p w14:paraId="6CC3FB59" w14:textId="77777777" w:rsidR="001D79B0" w:rsidRDefault="001D79B0">
            <w:pPr>
              <w:pStyle w:val="TableParagraph"/>
              <w:ind w:left="145"/>
              <w:jc w:val="center"/>
            </w:pPr>
            <w:r>
              <w:rPr>
                <w:lang w:val="da-DK"/>
              </w:rPr>
              <w:t>0,016</w:t>
            </w:r>
          </w:p>
        </w:tc>
      </w:tr>
      <w:tr w:rsidR="001D79B0" w14:paraId="62144A8F" w14:textId="77777777" w:rsidTr="00DE3E26">
        <w:trPr>
          <w:trHeight w:val="230"/>
        </w:trPr>
        <w:tc>
          <w:tcPr>
            <w:tcW w:w="1948" w:type="pct"/>
            <w:tcBorders>
              <w:top w:val="single" w:sz="4" w:space="0" w:color="000000"/>
              <w:left w:val="single" w:sz="4" w:space="0" w:color="000000"/>
              <w:bottom w:val="single" w:sz="4" w:space="0" w:color="000000"/>
              <w:right w:val="single" w:sz="4" w:space="0" w:color="000000"/>
            </w:tcBorders>
            <w:hideMark/>
          </w:tcPr>
          <w:p w14:paraId="32DA41AA" w14:textId="77777777" w:rsidR="001D79B0" w:rsidRDefault="001D79B0">
            <w:pPr>
              <w:pStyle w:val="TableParagraph"/>
              <w:ind w:left="249"/>
            </w:pPr>
            <w:r>
              <w:rPr>
                <w:lang w:val="da-DK"/>
              </w:rPr>
              <w:t>Ikke-letalt slagtilfælde</w:t>
            </w:r>
          </w:p>
        </w:tc>
        <w:tc>
          <w:tcPr>
            <w:tcW w:w="828" w:type="pct"/>
            <w:tcBorders>
              <w:top w:val="single" w:sz="4" w:space="0" w:color="000000"/>
              <w:left w:val="single" w:sz="4" w:space="0" w:color="000000"/>
              <w:bottom w:val="single" w:sz="4" w:space="0" w:color="000000"/>
              <w:right w:val="single" w:sz="4" w:space="0" w:color="000000"/>
            </w:tcBorders>
            <w:hideMark/>
          </w:tcPr>
          <w:p w14:paraId="7A15EB20" w14:textId="77777777" w:rsidR="001D79B0" w:rsidRDefault="001D79B0">
            <w:pPr>
              <w:pStyle w:val="TableParagraph"/>
              <w:ind w:left="154"/>
              <w:jc w:val="center"/>
            </w:pPr>
            <w:r>
              <w:rPr>
                <w:lang w:val="da-DK"/>
              </w:rPr>
              <w:t>1,2</w:t>
            </w:r>
          </w:p>
        </w:tc>
        <w:tc>
          <w:tcPr>
            <w:tcW w:w="706" w:type="pct"/>
            <w:tcBorders>
              <w:top w:val="single" w:sz="4" w:space="0" w:color="000000"/>
              <w:left w:val="single" w:sz="4" w:space="0" w:color="000000"/>
              <w:bottom w:val="single" w:sz="4" w:space="0" w:color="000000"/>
              <w:right w:val="single" w:sz="4" w:space="0" w:color="000000"/>
            </w:tcBorders>
            <w:hideMark/>
          </w:tcPr>
          <w:p w14:paraId="35EA18B2" w14:textId="77777777" w:rsidR="001D79B0" w:rsidRDefault="001D79B0">
            <w:pPr>
              <w:pStyle w:val="TableParagraph"/>
              <w:ind w:left="153"/>
              <w:jc w:val="center"/>
            </w:pPr>
            <w:r>
              <w:rPr>
                <w:lang w:val="da-DK"/>
              </w:rPr>
              <w:t>1,1</w:t>
            </w:r>
          </w:p>
        </w:tc>
        <w:tc>
          <w:tcPr>
            <w:tcW w:w="1044" w:type="pct"/>
            <w:tcBorders>
              <w:top w:val="single" w:sz="4" w:space="0" w:color="000000"/>
              <w:left w:val="single" w:sz="4" w:space="0" w:color="000000"/>
              <w:bottom w:val="single" w:sz="4" w:space="0" w:color="000000"/>
              <w:right w:val="single" w:sz="4" w:space="0" w:color="000000"/>
            </w:tcBorders>
            <w:hideMark/>
          </w:tcPr>
          <w:p w14:paraId="70C2380E" w14:textId="77777777" w:rsidR="001D79B0" w:rsidRDefault="001D79B0">
            <w:pPr>
              <w:pStyle w:val="TableParagraph"/>
              <w:ind w:left="200" w:hanging="113"/>
            </w:pPr>
            <w:r>
              <w:rPr>
                <w:lang w:val="da-DK"/>
              </w:rPr>
              <w:t>1,097 (0.590, 2.040)</w:t>
            </w:r>
          </w:p>
        </w:tc>
        <w:tc>
          <w:tcPr>
            <w:tcW w:w="474" w:type="pct"/>
            <w:tcBorders>
              <w:top w:val="single" w:sz="4" w:space="0" w:color="000000"/>
              <w:left w:val="single" w:sz="4" w:space="0" w:color="000000"/>
              <w:bottom w:val="single" w:sz="4" w:space="0" w:color="000000"/>
              <w:right w:val="single" w:sz="4" w:space="0" w:color="000000"/>
            </w:tcBorders>
            <w:hideMark/>
          </w:tcPr>
          <w:p w14:paraId="65ED77A8" w14:textId="77777777" w:rsidR="001D79B0" w:rsidRDefault="001D79B0">
            <w:pPr>
              <w:pStyle w:val="TableParagraph"/>
              <w:ind w:left="145"/>
              <w:jc w:val="center"/>
            </w:pPr>
            <w:r>
              <w:rPr>
                <w:lang w:val="da-DK"/>
              </w:rPr>
              <w:t>0,770</w:t>
            </w:r>
          </w:p>
        </w:tc>
      </w:tr>
    </w:tbl>
    <w:p w14:paraId="3F7D4AAF" w14:textId="77777777" w:rsidR="001D79B0" w:rsidRPr="001D79B0" w:rsidRDefault="001D79B0" w:rsidP="001D79B0">
      <w:pPr>
        <w:pStyle w:val="Brdtekst"/>
        <w:ind w:left="851"/>
        <w:rPr>
          <w:i w:val="0"/>
          <w:color w:val="auto"/>
          <w:sz w:val="24"/>
          <w:szCs w:val="24"/>
        </w:rPr>
      </w:pPr>
    </w:p>
    <w:p w14:paraId="44A6E348" w14:textId="76ADA367" w:rsidR="001D79B0" w:rsidRPr="00042B48" w:rsidRDefault="001D79B0" w:rsidP="001D79B0">
      <w:pPr>
        <w:pStyle w:val="Brdtekst"/>
        <w:ind w:left="851"/>
        <w:rPr>
          <w:i w:val="0"/>
          <w:color w:val="auto"/>
          <w:sz w:val="24"/>
          <w:szCs w:val="24"/>
          <w:lang w:val="da-DK"/>
        </w:rPr>
      </w:pPr>
      <w:r w:rsidRPr="00042B48">
        <w:rPr>
          <w:i w:val="0"/>
          <w:color w:val="auto"/>
          <w:sz w:val="24"/>
          <w:szCs w:val="24"/>
          <w:lang w:val="da-DK"/>
        </w:rPr>
        <w:t xml:space="preserve">I den totale AKS-population viste en analyse af hvert af de sekundære endepunkter en signifikant fordel (p &lt;0,001) ved </w:t>
      </w:r>
      <w:proofErr w:type="spellStart"/>
      <w:r w:rsidRPr="00042B48">
        <w:rPr>
          <w:i w:val="0"/>
          <w:color w:val="auto"/>
          <w:sz w:val="24"/>
          <w:szCs w:val="24"/>
          <w:lang w:val="da-DK"/>
        </w:rPr>
        <w:t>prasugrel</w:t>
      </w:r>
      <w:proofErr w:type="spellEnd"/>
      <w:r w:rsidRPr="00042B48">
        <w:rPr>
          <w:i w:val="0"/>
          <w:color w:val="auto"/>
          <w:sz w:val="24"/>
          <w:szCs w:val="24"/>
          <w:lang w:val="da-DK"/>
        </w:rPr>
        <w:t xml:space="preserve"> sammenlignet med </w:t>
      </w:r>
      <w:proofErr w:type="spellStart"/>
      <w:r w:rsidRPr="00042B48">
        <w:rPr>
          <w:i w:val="0"/>
          <w:color w:val="auto"/>
          <w:sz w:val="24"/>
          <w:szCs w:val="24"/>
          <w:lang w:val="da-DK"/>
        </w:rPr>
        <w:t>clopidogrel</w:t>
      </w:r>
      <w:proofErr w:type="spellEnd"/>
      <w:r w:rsidRPr="00042B48">
        <w:rPr>
          <w:i w:val="0"/>
          <w:color w:val="auto"/>
          <w:sz w:val="24"/>
          <w:szCs w:val="24"/>
          <w:lang w:val="da-DK"/>
        </w:rPr>
        <w:t xml:space="preserve">. Disse inkluderede endelig eller mulig </w:t>
      </w:r>
      <w:proofErr w:type="spellStart"/>
      <w:r w:rsidRPr="00042B48">
        <w:rPr>
          <w:i w:val="0"/>
          <w:color w:val="auto"/>
          <w:sz w:val="24"/>
          <w:szCs w:val="24"/>
          <w:lang w:val="da-DK"/>
        </w:rPr>
        <w:t>stenttrombose</w:t>
      </w:r>
      <w:proofErr w:type="spellEnd"/>
      <w:r w:rsidRPr="00042B48">
        <w:rPr>
          <w:i w:val="0"/>
          <w:color w:val="auto"/>
          <w:sz w:val="24"/>
          <w:szCs w:val="24"/>
          <w:lang w:val="da-DK"/>
        </w:rPr>
        <w:t xml:space="preserve"> ved forsøgets slutning (0,9 % mod 1,8 %, HR 0,498, CI 0,364, 0,683), CV død, ikke letalt MI eller akut </w:t>
      </w:r>
      <w:proofErr w:type="spellStart"/>
      <w:r w:rsidRPr="00042B48">
        <w:rPr>
          <w:i w:val="0"/>
          <w:color w:val="auto"/>
          <w:sz w:val="24"/>
          <w:szCs w:val="24"/>
          <w:lang w:val="da-DK"/>
        </w:rPr>
        <w:t>revaskularisering</w:t>
      </w:r>
      <w:proofErr w:type="spellEnd"/>
      <w:r w:rsidRPr="00042B48">
        <w:rPr>
          <w:i w:val="0"/>
          <w:color w:val="auto"/>
          <w:sz w:val="24"/>
          <w:szCs w:val="24"/>
          <w:lang w:val="da-DK"/>
        </w:rPr>
        <w:t xml:space="preserve"> (</w:t>
      </w:r>
      <w:proofErr w:type="spellStart"/>
      <w:r w:rsidRPr="00042B48">
        <w:rPr>
          <w:i w:val="0"/>
          <w:color w:val="auto"/>
          <w:sz w:val="24"/>
          <w:szCs w:val="24"/>
          <w:lang w:val="da-DK"/>
        </w:rPr>
        <w:t>urgent</w:t>
      </w:r>
      <w:proofErr w:type="spellEnd"/>
      <w:r w:rsidRPr="00042B48">
        <w:rPr>
          <w:i w:val="0"/>
          <w:color w:val="auto"/>
          <w:sz w:val="24"/>
          <w:szCs w:val="24"/>
          <w:lang w:val="da-DK"/>
        </w:rPr>
        <w:t xml:space="preserve"> </w:t>
      </w:r>
      <w:proofErr w:type="spellStart"/>
      <w:r w:rsidRPr="00042B48">
        <w:rPr>
          <w:i w:val="0"/>
          <w:color w:val="auto"/>
          <w:sz w:val="24"/>
          <w:szCs w:val="24"/>
          <w:lang w:val="da-DK"/>
        </w:rPr>
        <w:t>target</w:t>
      </w:r>
      <w:proofErr w:type="spellEnd"/>
      <w:r w:rsidRPr="00042B48">
        <w:rPr>
          <w:i w:val="0"/>
          <w:color w:val="auto"/>
          <w:sz w:val="24"/>
          <w:szCs w:val="24"/>
          <w:lang w:val="da-DK"/>
        </w:rPr>
        <w:t xml:space="preserve"> </w:t>
      </w:r>
      <w:proofErr w:type="spellStart"/>
      <w:r w:rsidRPr="00042B48">
        <w:rPr>
          <w:i w:val="0"/>
          <w:color w:val="auto"/>
          <w:sz w:val="24"/>
          <w:szCs w:val="24"/>
          <w:lang w:val="da-DK"/>
        </w:rPr>
        <w:t>vessel</w:t>
      </w:r>
      <w:proofErr w:type="spellEnd"/>
      <w:r w:rsidRPr="00042B48">
        <w:rPr>
          <w:i w:val="0"/>
          <w:color w:val="auto"/>
          <w:sz w:val="24"/>
          <w:szCs w:val="24"/>
          <w:lang w:val="da-DK"/>
        </w:rPr>
        <w:t xml:space="preserve"> </w:t>
      </w:r>
      <w:proofErr w:type="spellStart"/>
      <w:r w:rsidRPr="00042B48">
        <w:rPr>
          <w:i w:val="0"/>
          <w:color w:val="auto"/>
          <w:sz w:val="24"/>
          <w:szCs w:val="24"/>
          <w:lang w:val="da-DK"/>
        </w:rPr>
        <w:t>revascularisation</w:t>
      </w:r>
      <w:proofErr w:type="spellEnd"/>
      <w:r w:rsidRPr="00042B48">
        <w:rPr>
          <w:i w:val="0"/>
          <w:color w:val="auto"/>
          <w:sz w:val="24"/>
          <w:szCs w:val="24"/>
          <w:lang w:val="da-DK"/>
        </w:rPr>
        <w:t>)i løbet af 30 dage (5,9 % mod 7,4 %, HR 0,784, CI 0,688, 0,894), alle dødsfald, ikke-fatalt MI eller ikke-fatalt slagtilfælde til forsøgets afslutning (10,2 % mod 12,1 %, HR 0,831, CI 0,751, 0,919), CV død, ikkeletalt MI, ikke-letalt slagtilfælde eller genindlæggelse med iskæmisk hjertesygdom ved studiets afslutning (11,7</w:t>
      </w:r>
      <w:r w:rsidR="00E11E3E">
        <w:rPr>
          <w:i w:val="0"/>
          <w:color w:val="auto"/>
          <w:sz w:val="24"/>
          <w:szCs w:val="24"/>
          <w:lang w:val="da-DK"/>
        </w:rPr>
        <w:t> </w:t>
      </w:r>
      <w:r w:rsidRPr="00042B48">
        <w:rPr>
          <w:i w:val="0"/>
          <w:color w:val="auto"/>
          <w:sz w:val="24"/>
          <w:szCs w:val="24"/>
          <w:lang w:val="da-DK"/>
        </w:rPr>
        <w:t xml:space="preserve">% mod 13,8 %, HR 0,831, CI 0,762, 0,921). Analyse af alle dødsårsager viste ingen signifikant forskel mellem </w:t>
      </w:r>
      <w:proofErr w:type="spellStart"/>
      <w:r w:rsidRPr="00042B48">
        <w:rPr>
          <w:i w:val="0"/>
          <w:color w:val="auto"/>
          <w:sz w:val="24"/>
          <w:szCs w:val="24"/>
          <w:lang w:val="da-DK"/>
        </w:rPr>
        <w:t>prasugrel</w:t>
      </w:r>
      <w:proofErr w:type="spellEnd"/>
      <w:r w:rsidRPr="00042B48">
        <w:rPr>
          <w:i w:val="0"/>
          <w:color w:val="auto"/>
          <w:sz w:val="24"/>
          <w:szCs w:val="24"/>
          <w:lang w:val="da-DK"/>
        </w:rPr>
        <w:t xml:space="preserve"> og </w:t>
      </w:r>
      <w:proofErr w:type="spellStart"/>
      <w:r w:rsidRPr="00042B48">
        <w:rPr>
          <w:i w:val="0"/>
          <w:color w:val="auto"/>
          <w:sz w:val="24"/>
          <w:szCs w:val="24"/>
          <w:lang w:val="da-DK"/>
        </w:rPr>
        <w:t>clopidogrel</w:t>
      </w:r>
      <w:proofErr w:type="spellEnd"/>
      <w:r w:rsidRPr="00042B48">
        <w:rPr>
          <w:i w:val="0"/>
          <w:color w:val="auto"/>
          <w:sz w:val="24"/>
          <w:szCs w:val="24"/>
          <w:lang w:val="da-DK"/>
        </w:rPr>
        <w:t xml:space="preserve"> i den totale AKS-population (2,76 % mod 2,90 %), i UA/NSTEMI-populationen (2,58 % mod 2,41 %) og i STEMI-populationen (3,28 % </w:t>
      </w:r>
      <w:proofErr w:type="spellStart"/>
      <w:r w:rsidRPr="00042B48">
        <w:rPr>
          <w:i w:val="0"/>
          <w:color w:val="auto"/>
          <w:sz w:val="24"/>
          <w:szCs w:val="24"/>
          <w:lang w:val="da-DK"/>
        </w:rPr>
        <w:t>vs</w:t>
      </w:r>
      <w:proofErr w:type="spellEnd"/>
      <w:r w:rsidRPr="00042B48">
        <w:rPr>
          <w:i w:val="0"/>
          <w:color w:val="auto"/>
          <w:sz w:val="24"/>
          <w:szCs w:val="24"/>
          <w:lang w:val="da-DK"/>
        </w:rPr>
        <w:t xml:space="preserve"> 4,31 %).</w:t>
      </w:r>
    </w:p>
    <w:p w14:paraId="516A147A" w14:textId="77777777" w:rsidR="001D79B0" w:rsidRPr="001D79B0" w:rsidRDefault="001D79B0" w:rsidP="001D79B0">
      <w:pPr>
        <w:pStyle w:val="Brdtekst"/>
        <w:ind w:left="851"/>
        <w:rPr>
          <w:i w:val="0"/>
          <w:color w:val="auto"/>
          <w:sz w:val="24"/>
          <w:szCs w:val="24"/>
          <w:lang w:val="da-DK"/>
        </w:rPr>
      </w:pPr>
    </w:p>
    <w:p w14:paraId="6DA0658F" w14:textId="77777777" w:rsidR="001D79B0" w:rsidRPr="001D79B0" w:rsidRDefault="001D79B0" w:rsidP="001D79B0">
      <w:pPr>
        <w:pStyle w:val="Brdtekst"/>
        <w:ind w:left="851"/>
        <w:rPr>
          <w:i w:val="0"/>
          <w:color w:val="auto"/>
          <w:sz w:val="24"/>
          <w:szCs w:val="24"/>
          <w:lang w:val="da-DK"/>
        </w:rPr>
      </w:pPr>
      <w:proofErr w:type="spellStart"/>
      <w:r w:rsidRPr="001D79B0">
        <w:rPr>
          <w:i w:val="0"/>
          <w:color w:val="auto"/>
          <w:sz w:val="24"/>
          <w:szCs w:val="24"/>
          <w:lang w:val="da-DK"/>
        </w:rPr>
        <w:t>Prasugrel</w:t>
      </w:r>
      <w:proofErr w:type="spellEnd"/>
      <w:r w:rsidRPr="001D79B0">
        <w:rPr>
          <w:i w:val="0"/>
          <w:color w:val="auto"/>
          <w:sz w:val="24"/>
          <w:szCs w:val="24"/>
          <w:lang w:val="da-DK"/>
        </w:rPr>
        <w:t xml:space="preserve"> var forbundet med en reduktion på 50 % i </w:t>
      </w:r>
      <w:proofErr w:type="spellStart"/>
      <w:r w:rsidRPr="001D79B0">
        <w:rPr>
          <w:i w:val="0"/>
          <w:color w:val="auto"/>
          <w:sz w:val="24"/>
          <w:szCs w:val="24"/>
          <w:lang w:val="da-DK"/>
        </w:rPr>
        <w:t>stenttrombose</w:t>
      </w:r>
      <w:proofErr w:type="spellEnd"/>
      <w:r w:rsidRPr="001D79B0">
        <w:rPr>
          <w:i w:val="0"/>
          <w:color w:val="auto"/>
          <w:sz w:val="24"/>
          <w:szCs w:val="24"/>
          <w:lang w:val="da-DK"/>
        </w:rPr>
        <w:t xml:space="preserve"> i løbet af opfølgningsperiodens 15 måneder. Reduktionen af </w:t>
      </w:r>
      <w:proofErr w:type="spellStart"/>
      <w:r w:rsidRPr="001D79B0">
        <w:rPr>
          <w:i w:val="0"/>
          <w:color w:val="auto"/>
          <w:sz w:val="24"/>
          <w:szCs w:val="24"/>
          <w:lang w:val="da-DK"/>
        </w:rPr>
        <w:t>stenttrombose</w:t>
      </w:r>
      <w:proofErr w:type="spellEnd"/>
      <w:r w:rsidRPr="001D79B0">
        <w:rPr>
          <w:i w:val="0"/>
          <w:color w:val="auto"/>
          <w:sz w:val="24"/>
          <w:szCs w:val="24"/>
          <w:lang w:val="da-DK"/>
        </w:rPr>
        <w:t xml:space="preserve"> med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blev observeret både tidligt og efter 30 dage for både rene </w:t>
      </w:r>
      <w:proofErr w:type="spellStart"/>
      <w:r w:rsidRPr="001D79B0">
        <w:rPr>
          <w:i w:val="0"/>
          <w:color w:val="auto"/>
          <w:sz w:val="24"/>
          <w:szCs w:val="24"/>
          <w:lang w:val="da-DK"/>
        </w:rPr>
        <w:t>metalstents</w:t>
      </w:r>
      <w:proofErr w:type="spellEnd"/>
      <w:r w:rsidRPr="001D79B0">
        <w:rPr>
          <w:i w:val="0"/>
          <w:color w:val="auto"/>
          <w:sz w:val="24"/>
          <w:szCs w:val="24"/>
          <w:lang w:val="da-DK"/>
        </w:rPr>
        <w:t xml:space="preserve"> og medicingivende </w:t>
      </w:r>
      <w:proofErr w:type="spellStart"/>
      <w:r w:rsidRPr="001D79B0">
        <w:rPr>
          <w:i w:val="0"/>
          <w:color w:val="auto"/>
          <w:sz w:val="24"/>
          <w:szCs w:val="24"/>
          <w:lang w:val="da-DK"/>
        </w:rPr>
        <w:t>stents</w:t>
      </w:r>
      <w:proofErr w:type="spellEnd"/>
      <w:r w:rsidRPr="001D79B0">
        <w:rPr>
          <w:i w:val="0"/>
          <w:color w:val="auto"/>
          <w:sz w:val="24"/>
          <w:szCs w:val="24"/>
          <w:lang w:val="da-DK"/>
        </w:rPr>
        <w:t>.</w:t>
      </w:r>
    </w:p>
    <w:p w14:paraId="3D65059A" w14:textId="77777777" w:rsidR="001D79B0" w:rsidRPr="001D79B0" w:rsidRDefault="001D79B0" w:rsidP="001D79B0">
      <w:pPr>
        <w:pStyle w:val="Brdtekst"/>
        <w:ind w:left="851"/>
        <w:rPr>
          <w:i w:val="0"/>
          <w:color w:val="auto"/>
          <w:sz w:val="24"/>
          <w:szCs w:val="24"/>
          <w:lang w:val="da-DK"/>
        </w:rPr>
      </w:pPr>
    </w:p>
    <w:p w14:paraId="6794B916" w14:textId="77777777" w:rsidR="001D79B0" w:rsidRPr="001D79B0" w:rsidRDefault="001D79B0" w:rsidP="001D79B0">
      <w:pPr>
        <w:pStyle w:val="Brdtekst"/>
        <w:ind w:left="851"/>
        <w:rPr>
          <w:i w:val="0"/>
          <w:color w:val="auto"/>
          <w:sz w:val="24"/>
          <w:szCs w:val="24"/>
          <w:lang w:val="da-DK"/>
        </w:rPr>
      </w:pPr>
      <w:r w:rsidRPr="001D79B0">
        <w:rPr>
          <w:i w:val="0"/>
          <w:color w:val="auto"/>
          <w:sz w:val="24"/>
          <w:szCs w:val="24"/>
          <w:lang w:val="da-DK"/>
        </w:rPr>
        <w:t xml:space="preserve">I en analyse af de patienter, som overlevede et iskæmisk tilfælde, blev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forbundet med en reduktion i </w:t>
      </w:r>
      <w:proofErr w:type="spellStart"/>
      <w:r w:rsidRPr="001D79B0">
        <w:rPr>
          <w:i w:val="0"/>
          <w:color w:val="auto"/>
          <w:sz w:val="24"/>
          <w:szCs w:val="24"/>
          <w:lang w:val="da-DK"/>
        </w:rPr>
        <w:t>incidensen</w:t>
      </w:r>
      <w:proofErr w:type="spellEnd"/>
      <w:r w:rsidRPr="001D79B0">
        <w:rPr>
          <w:i w:val="0"/>
          <w:color w:val="auto"/>
          <w:sz w:val="24"/>
          <w:szCs w:val="24"/>
          <w:lang w:val="da-DK"/>
        </w:rPr>
        <w:t xml:space="preserve"> af efterfølgende primære endepunktshændelser (7,8 % for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mod 11,9 % for </w:t>
      </w:r>
      <w:proofErr w:type="spellStart"/>
      <w:r w:rsidRPr="001D79B0">
        <w:rPr>
          <w:i w:val="0"/>
          <w:color w:val="auto"/>
          <w:sz w:val="24"/>
          <w:szCs w:val="24"/>
          <w:lang w:val="da-DK"/>
        </w:rPr>
        <w:t>clopidogrel</w:t>
      </w:r>
      <w:proofErr w:type="spellEnd"/>
      <w:r w:rsidRPr="001D79B0">
        <w:rPr>
          <w:i w:val="0"/>
          <w:color w:val="auto"/>
          <w:sz w:val="24"/>
          <w:szCs w:val="24"/>
          <w:lang w:val="da-DK"/>
        </w:rPr>
        <w:t>).</w:t>
      </w:r>
    </w:p>
    <w:p w14:paraId="4F8D8085" w14:textId="050F225A" w:rsidR="001D79B0" w:rsidRPr="001D79B0" w:rsidRDefault="001D79B0" w:rsidP="001D79B0">
      <w:pPr>
        <w:pStyle w:val="Brdtekst"/>
        <w:ind w:left="851"/>
        <w:rPr>
          <w:i w:val="0"/>
          <w:color w:val="auto"/>
          <w:sz w:val="24"/>
          <w:szCs w:val="24"/>
          <w:lang w:val="da-DK"/>
        </w:rPr>
      </w:pPr>
      <w:r w:rsidRPr="001D79B0">
        <w:rPr>
          <w:i w:val="0"/>
          <w:color w:val="auto"/>
          <w:sz w:val="24"/>
          <w:szCs w:val="24"/>
          <w:lang w:val="da-DK"/>
        </w:rPr>
        <w:t xml:space="preserve">I en analyse af det endepunkt, der kombinerer død uanset årsag, ikke-letalt myokardieinfarkt, ikke-letalt slagtilfælde og ikke-CABG-relateret TIMI større blødning, gav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bedre resultater end </w:t>
      </w:r>
      <w:proofErr w:type="spellStart"/>
      <w:r w:rsidRPr="001D79B0">
        <w:rPr>
          <w:i w:val="0"/>
          <w:color w:val="auto"/>
          <w:sz w:val="24"/>
          <w:szCs w:val="24"/>
          <w:lang w:val="da-DK"/>
        </w:rPr>
        <w:t>clopidogrel</w:t>
      </w:r>
      <w:proofErr w:type="spellEnd"/>
      <w:r w:rsidRPr="001D79B0">
        <w:rPr>
          <w:i w:val="0"/>
          <w:color w:val="auto"/>
          <w:sz w:val="24"/>
          <w:szCs w:val="24"/>
          <w:lang w:val="da-DK"/>
        </w:rPr>
        <w:t xml:space="preserve"> (risikoforhold 0,87, 95 %, CI 0,79 til 0,95, p</w:t>
      </w:r>
      <w:r w:rsidR="00E11E3E">
        <w:rPr>
          <w:i w:val="0"/>
          <w:color w:val="auto"/>
          <w:sz w:val="24"/>
          <w:szCs w:val="24"/>
          <w:lang w:val="da-DK"/>
        </w:rPr>
        <w:t> </w:t>
      </w:r>
      <w:r w:rsidRPr="001D79B0">
        <w:rPr>
          <w:i w:val="0"/>
          <w:color w:val="auto"/>
          <w:sz w:val="24"/>
          <w:szCs w:val="24"/>
          <w:lang w:val="da-DK"/>
        </w:rPr>
        <w:t>=</w:t>
      </w:r>
      <w:r w:rsidR="00E11E3E">
        <w:rPr>
          <w:i w:val="0"/>
          <w:color w:val="auto"/>
          <w:sz w:val="24"/>
          <w:szCs w:val="24"/>
          <w:lang w:val="da-DK"/>
        </w:rPr>
        <w:t> </w:t>
      </w:r>
      <w:r w:rsidRPr="001D79B0">
        <w:rPr>
          <w:i w:val="0"/>
          <w:color w:val="auto"/>
          <w:sz w:val="24"/>
          <w:szCs w:val="24"/>
          <w:lang w:val="da-DK"/>
        </w:rPr>
        <w:t xml:space="preserve">0,004) selvom der var øget blødning med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For hver 1000 patienter, som blev behandlet med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var der i TRITON 22 færre patienter med myokardieinfarkt og 5 flere med ikke-CABG-relateret TIMI større blødninger sammenlignet med patienter i behandling med </w:t>
      </w:r>
      <w:proofErr w:type="spellStart"/>
      <w:r w:rsidRPr="001D79B0">
        <w:rPr>
          <w:i w:val="0"/>
          <w:color w:val="auto"/>
          <w:sz w:val="24"/>
          <w:szCs w:val="24"/>
          <w:lang w:val="da-DK"/>
        </w:rPr>
        <w:t>clopidogrel</w:t>
      </w:r>
      <w:proofErr w:type="spellEnd"/>
      <w:r w:rsidRPr="001D79B0">
        <w:rPr>
          <w:i w:val="0"/>
          <w:color w:val="auto"/>
          <w:sz w:val="24"/>
          <w:szCs w:val="24"/>
          <w:lang w:val="da-DK"/>
        </w:rPr>
        <w:t>.</w:t>
      </w:r>
    </w:p>
    <w:p w14:paraId="42252E1E" w14:textId="77777777" w:rsidR="001D79B0" w:rsidRPr="001D79B0" w:rsidRDefault="001D79B0" w:rsidP="001D79B0">
      <w:pPr>
        <w:pStyle w:val="Brdtekst"/>
        <w:ind w:left="851"/>
        <w:rPr>
          <w:i w:val="0"/>
          <w:color w:val="auto"/>
          <w:sz w:val="24"/>
          <w:szCs w:val="24"/>
          <w:lang w:val="da-DK"/>
        </w:rPr>
      </w:pPr>
    </w:p>
    <w:p w14:paraId="2766FFC2" w14:textId="77777777" w:rsidR="001D79B0" w:rsidRPr="001D79B0" w:rsidRDefault="001D79B0" w:rsidP="001D79B0">
      <w:pPr>
        <w:pStyle w:val="Brdtekst"/>
        <w:ind w:left="851"/>
        <w:rPr>
          <w:color w:val="auto"/>
          <w:sz w:val="24"/>
          <w:szCs w:val="24"/>
          <w:lang w:val="da-DK"/>
        </w:rPr>
      </w:pPr>
      <w:r w:rsidRPr="001D79B0">
        <w:rPr>
          <w:i w:val="0"/>
          <w:color w:val="auto"/>
          <w:sz w:val="24"/>
          <w:szCs w:val="24"/>
          <w:lang w:val="da-DK"/>
        </w:rPr>
        <w:t xml:space="preserve">Resultater fra et </w:t>
      </w:r>
      <w:proofErr w:type="spellStart"/>
      <w:r w:rsidRPr="001D79B0">
        <w:rPr>
          <w:i w:val="0"/>
          <w:color w:val="auto"/>
          <w:sz w:val="24"/>
          <w:szCs w:val="24"/>
          <w:lang w:val="da-DK"/>
        </w:rPr>
        <w:t>farmakodynamisk</w:t>
      </w:r>
      <w:proofErr w:type="spellEnd"/>
      <w:r w:rsidRPr="001D79B0">
        <w:rPr>
          <w:i w:val="0"/>
          <w:color w:val="auto"/>
          <w:sz w:val="24"/>
          <w:szCs w:val="24"/>
          <w:lang w:val="da-DK"/>
        </w:rPr>
        <w:t>/</w:t>
      </w:r>
      <w:proofErr w:type="spellStart"/>
      <w:r w:rsidRPr="001D79B0">
        <w:rPr>
          <w:i w:val="0"/>
          <w:color w:val="auto"/>
          <w:sz w:val="24"/>
          <w:szCs w:val="24"/>
          <w:lang w:val="da-DK"/>
        </w:rPr>
        <w:t>farmakogenetisk</w:t>
      </w:r>
      <w:proofErr w:type="spellEnd"/>
      <w:r w:rsidRPr="001D79B0">
        <w:rPr>
          <w:i w:val="0"/>
          <w:color w:val="auto"/>
          <w:sz w:val="24"/>
          <w:szCs w:val="24"/>
          <w:lang w:val="da-DK"/>
        </w:rPr>
        <w:t xml:space="preserve"> studie med 720 asiatiske patienter med AKS PCI viste, at der blev opnået en bedre hæmning af </w:t>
      </w:r>
      <w:proofErr w:type="spellStart"/>
      <w:r w:rsidRPr="001D79B0">
        <w:rPr>
          <w:i w:val="0"/>
          <w:color w:val="auto"/>
          <w:sz w:val="24"/>
          <w:szCs w:val="24"/>
          <w:lang w:val="da-DK"/>
        </w:rPr>
        <w:t>trombocytfunktionen</w:t>
      </w:r>
      <w:proofErr w:type="spellEnd"/>
      <w:r w:rsidRPr="001D79B0">
        <w:rPr>
          <w:i w:val="0"/>
          <w:color w:val="auto"/>
          <w:sz w:val="24"/>
          <w:szCs w:val="24"/>
          <w:lang w:val="da-DK"/>
        </w:rPr>
        <w:t xml:space="preserve"> med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sammenlignet med </w:t>
      </w:r>
      <w:proofErr w:type="spellStart"/>
      <w:r w:rsidRPr="001D79B0">
        <w:rPr>
          <w:i w:val="0"/>
          <w:color w:val="auto"/>
          <w:sz w:val="24"/>
          <w:szCs w:val="24"/>
          <w:lang w:val="da-DK"/>
        </w:rPr>
        <w:t>clopidogrel</w:t>
      </w:r>
      <w:proofErr w:type="spellEnd"/>
      <w:r w:rsidRPr="001D79B0">
        <w:rPr>
          <w:i w:val="0"/>
          <w:color w:val="auto"/>
          <w:sz w:val="24"/>
          <w:szCs w:val="24"/>
          <w:lang w:val="da-DK"/>
        </w:rPr>
        <w:t xml:space="preserve">. Studiet viste endvidere, at 60 mg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w:t>
      </w:r>
      <w:proofErr w:type="spellStart"/>
      <w:r w:rsidRPr="001D79B0">
        <w:rPr>
          <w:i w:val="0"/>
          <w:color w:val="auto"/>
          <w:sz w:val="24"/>
          <w:szCs w:val="24"/>
          <w:lang w:val="da-DK"/>
        </w:rPr>
        <w:t>loadingdosis</w:t>
      </w:r>
      <w:proofErr w:type="spellEnd"/>
      <w:r w:rsidRPr="001D79B0">
        <w:rPr>
          <w:i w:val="0"/>
          <w:color w:val="auto"/>
          <w:sz w:val="24"/>
          <w:szCs w:val="24"/>
          <w:lang w:val="da-DK"/>
        </w:rPr>
        <w:t>/10 mg vedligeholdelsesdosis er en passende dosering til asiatiske patienter, som vejer mindst 60 kg, og som er yngre end 75 år (se pkt. 4.2).</w:t>
      </w:r>
    </w:p>
    <w:p w14:paraId="356E6B33" w14:textId="77777777" w:rsidR="001D79B0" w:rsidRPr="001D79B0" w:rsidRDefault="001D79B0" w:rsidP="001D79B0">
      <w:pPr>
        <w:pStyle w:val="Brdtekst"/>
        <w:ind w:left="851"/>
        <w:rPr>
          <w:color w:val="auto"/>
          <w:sz w:val="24"/>
          <w:szCs w:val="24"/>
          <w:lang w:val="da-DK"/>
        </w:rPr>
      </w:pPr>
      <w:r w:rsidRPr="001D79B0">
        <w:rPr>
          <w:iCs/>
          <w:color w:val="auto"/>
          <w:sz w:val="24"/>
          <w:szCs w:val="24"/>
          <w:lang w:val="da-DK"/>
        </w:rPr>
        <w:t xml:space="preserve"> </w:t>
      </w:r>
    </w:p>
    <w:p w14:paraId="6813666E" w14:textId="77777777" w:rsidR="001D79B0" w:rsidRPr="001D79B0" w:rsidRDefault="001D79B0" w:rsidP="001D79B0">
      <w:pPr>
        <w:pStyle w:val="Brdtekst"/>
        <w:ind w:left="851"/>
        <w:rPr>
          <w:i w:val="0"/>
          <w:color w:val="auto"/>
          <w:sz w:val="24"/>
          <w:szCs w:val="24"/>
          <w:lang w:val="da-DK"/>
        </w:rPr>
      </w:pPr>
      <w:r w:rsidRPr="001D79B0">
        <w:rPr>
          <w:i w:val="0"/>
          <w:color w:val="auto"/>
          <w:sz w:val="24"/>
          <w:szCs w:val="24"/>
          <w:lang w:val="da-DK"/>
        </w:rPr>
        <w:t xml:space="preserve">I et 30-måneders studie (TRILOGY–ACS) med 9.326 patienter med UA/NSTEMI AKS, behandlet medicinsk uden </w:t>
      </w:r>
      <w:proofErr w:type="spellStart"/>
      <w:r w:rsidRPr="001D79B0">
        <w:rPr>
          <w:i w:val="0"/>
          <w:color w:val="auto"/>
          <w:sz w:val="24"/>
          <w:szCs w:val="24"/>
          <w:lang w:val="da-DK"/>
        </w:rPr>
        <w:t>revaskularisering</w:t>
      </w:r>
      <w:proofErr w:type="spellEnd"/>
      <w:r w:rsidRPr="001D79B0">
        <w:rPr>
          <w:i w:val="0"/>
          <w:color w:val="auto"/>
          <w:sz w:val="24"/>
          <w:szCs w:val="24"/>
          <w:lang w:val="da-DK"/>
        </w:rPr>
        <w:t xml:space="preserve"> (ikke godkendt indikation), reducerede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ikke hyppigheden af det sammensatte endepunkt </w:t>
      </w:r>
      <w:proofErr w:type="spellStart"/>
      <w:r w:rsidRPr="001D79B0">
        <w:rPr>
          <w:i w:val="0"/>
          <w:color w:val="auto"/>
          <w:sz w:val="24"/>
          <w:szCs w:val="24"/>
          <w:lang w:val="da-DK"/>
        </w:rPr>
        <w:t>kardiovaskulær</w:t>
      </w:r>
      <w:proofErr w:type="spellEnd"/>
      <w:r w:rsidRPr="001D79B0">
        <w:rPr>
          <w:i w:val="0"/>
          <w:color w:val="auto"/>
          <w:sz w:val="24"/>
          <w:szCs w:val="24"/>
          <w:lang w:val="da-DK"/>
        </w:rPr>
        <w:t xml:space="preserve"> død, myokardieinfarkt eller apopleksi signifikant sammenlignet med </w:t>
      </w:r>
      <w:proofErr w:type="spellStart"/>
      <w:r w:rsidRPr="001D79B0">
        <w:rPr>
          <w:i w:val="0"/>
          <w:color w:val="auto"/>
          <w:sz w:val="24"/>
          <w:szCs w:val="24"/>
          <w:lang w:val="da-DK"/>
        </w:rPr>
        <w:t>clopidogrel</w:t>
      </w:r>
      <w:proofErr w:type="spellEnd"/>
      <w:r w:rsidRPr="001D79B0">
        <w:rPr>
          <w:i w:val="0"/>
          <w:color w:val="auto"/>
          <w:sz w:val="24"/>
          <w:szCs w:val="24"/>
          <w:lang w:val="da-DK"/>
        </w:rPr>
        <w:t xml:space="preserve">. Andelen af TIMI større blødning (inklusive livstruende, dødelige og ICH) var sammenlignelige hos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og </w:t>
      </w:r>
      <w:proofErr w:type="spellStart"/>
      <w:r w:rsidRPr="001D79B0">
        <w:rPr>
          <w:i w:val="0"/>
          <w:color w:val="auto"/>
          <w:sz w:val="24"/>
          <w:szCs w:val="24"/>
          <w:lang w:val="da-DK"/>
        </w:rPr>
        <w:t>clopidogrelbehandlede</w:t>
      </w:r>
      <w:proofErr w:type="spellEnd"/>
      <w:r w:rsidRPr="001D79B0">
        <w:rPr>
          <w:i w:val="0"/>
          <w:color w:val="auto"/>
          <w:sz w:val="24"/>
          <w:szCs w:val="24"/>
          <w:lang w:val="da-DK"/>
        </w:rPr>
        <w:t xml:space="preserve"> patienter. Patienter ≥ 75 år eller under 60 kg (N=3022) blev randomiseret til 5 mg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Som hos patienter &lt;75 år og ≥60 kg, som blev behandlet med 10 mg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var der ingen forskel i de </w:t>
      </w:r>
      <w:proofErr w:type="spellStart"/>
      <w:r w:rsidRPr="001D79B0">
        <w:rPr>
          <w:i w:val="0"/>
          <w:color w:val="auto"/>
          <w:sz w:val="24"/>
          <w:szCs w:val="24"/>
          <w:lang w:val="da-DK"/>
        </w:rPr>
        <w:t>kardiovaskulære</w:t>
      </w:r>
      <w:proofErr w:type="spellEnd"/>
      <w:r w:rsidRPr="001D79B0">
        <w:rPr>
          <w:i w:val="0"/>
          <w:color w:val="auto"/>
          <w:sz w:val="24"/>
          <w:szCs w:val="24"/>
          <w:lang w:val="da-DK"/>
        </w:rPr>
        <w:t xml:space="preserve"> resultater mellem 5 mg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og 75 mg </w:t>
      </w:r>
      <w:proofErr w:type="spellStart"/>
      <w:r w:rsidRPr="001D79B0">
        <w:rPr>
          <w:i w:val="0"/>
          <w:color w:val="auto"/>
          <w:sz w:val="24"/>
          <w:szCs w:val="24"/>
          <w:lang w:val="da-DK"/>
        </w:rPr>
        <w:t>clopidogrel</w:t>
      </w:r>
      <w:proofErr w:type="spellEnd"/>
      <w:r w:rsidRPr="001D79B0">
        <w:rPr>
          <w:i w:val="0"/>
          <w:color w:val="auto"/>
          <w:sz w:val="24"/>
          <w:szCs w:val="24"/>
          <w:lang w:val="da-DK"/>
        </w:rPr>
        <w:t xml:space="preserve">. Andelen af større blødning var ens hos patienter behandlet med 5 mg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og 75 mg </w:t>
      </w:r>
      <w:proofErr w:type="spellStart"/>
      <w:r w:rsidRPr="001D79B0">
        <w:rPr>
          <w:i w:val="0"/>
          <w:color w:val="auto"/>
          <w:sz w:val="24"/>
          <w:szCs w:val="24"/>
          <w:lang w:val="da-DK"/>
        </w:rPr>
        <w:t>clopidogrel</w:t>
      </w:r>
      <w:proofErr w:type="spellEnd"/>
      <w:r w:rsidRPr="001D79B0">
        <w:rPr>
          <w:i w:val="0"/>
          <w:color w:val="auto"/>
          <w:sz w:val="24"/>
          <w:szCs w:val="24"/>
          <w:lang w:val="da-DK"/>
        </w:rPr>
        <w:t xml:space="preserve">.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5 mg gav en større </w:t>
      </w:r>
      <w:proofErr w:type="spellStart"/>
      <w:r w:rsidRPr="001D79B0">
        <w:rPr>
          <w:i w:val="0"/>
          <w:color w:val="auto"/>
          <w:sz w:val="24"/>
          <w:szCs w:val="24"/>
          <w:lang w:val="da-DK"/>
        </w:rPr>
        <w:t>antitrombotisk</w:t>
      </w:r>
      <w:proofErr w:type="spellEnd"/>
      <w:r w:rsidRPr="001D79B0">
        <w:rPr>
          <w:i w:val="0"/>
          <w:color w:val="auto"/>
          <w:sz w:val="24"/>
          <w:szCs w:val="24"/>
          <w:lang w:val="da-DK"/>
        </w:rPr>
        <w:t xml:space="preserve"> effekt end </w:t>
      </w:r>
      <w:proofErr w:type="spellStart"/>
      <w:r w:rsidRPr="001D79B0">
        <w:rPr>
          <w:i w:val="0"/>
          <w:color w:val="auto"/>
          <w:sz w:val="24"/>
          <w:szCs w:val="24"/>
          <w:lang w:val="da-DK"/>
        </w:rPr>
        <w:t>clopidogrel</w:t>
      </w:r>
      <w:proofErr w:type="spellEnd"/>
      <w:r w:rsidRPr="001D79B0">
        <w:rPr>
          <w:i w:val="0"/>
          <w:color w:val="auto"/>
          <w:sz w:val="24"/>
          <w:szCs w:val="24"/>
          <w:lang w:val="da-DK"/>
        </w:rPr>
        <w:t xml:space="preserve"> 75 mg.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skal bruges med forsigtighed hos patienter ≥75 år og hos patienter, der vejer &lt;60 kg (se pkt. 4.2, pkt. 4.4 og pkt. 4.8).</w:t>
      </w:r>
    </w:p>
    <w:p w14:paraId="4B4D812C" w14:textId="77777777" w:rsidR="001D79B0" w:rsidRPr="001D79B0" w:rsidRDefault="001D79B0" w:rsidP="001D79B0">
      <w:pPr>
        <w:pStyle w:val="Brdtekst"/>
        <w:ind w:left="851"/>
        <w:rPr>
          <w:i w:val="0"/>
          <w:color w:val="auto"/>
          <w:sz w:val="24"/>
          <w:szCs w:val="24"/>
          <w:lang w:val="da-DK"/>
        </w:rPr>
      </w:pPr>
    </w:p>
    <w:p w14:paraId="77614E72" w14:textId="77777777" w:rsidR="001D79B0" w:rsidRPr="001D79B0" w:rsidRDefault="001D79B0" w:rsidP="001D79B0">
      <w:pPr>
        <w:pStyle w:val="Brdtekst"/>
        <w:ind w:left="851"/>
        <w:rPr>
          <w:i w:val="0"/>
          <w:color w:val="auto"/>
          <w:sz w:val="24"/>
          <w:szCs w:val="24"/>
          <w:lang w:val="da-DK"/>
        </w:rPr>
      </w:pPr>
      <w:r w:rsidRPr="001D79B0">
        <w:rPr>
          <w:i w:val="0"/>
          <w:color w:val="auto"/>
          <w:sz w:val="24"/>
          <w:szCs w:val="24"/>
          <w:lang w:val="da-DK"/>
        </w:rPr>
        <w:t xml:space="preserve">I et 30-dages studie (ACCOAST) med 4.033 patienter, som havde NSTEMI med forhøjet </w:t>
      </w:r>
      <w:proofErr w:type="spellStart"/>
      <w:r w:rsidRPr="001D79B0">
        <w:rPr>
          <w:i w:val="0"/>
          <w:color w:val="auto"/>
          <w:sz w:val="24"/>
          <w:szCs w:val="24"/>
          <w:lang w:val="da-DK"/>
        </w:rPr>
        <w:t>troponin</w:t>
      </w:r>
      <w:proofErr w:type="spellEnd"/>
      <w:r w:rsidRPr="001D79B0">
        <w:rPr>
          <w:i w:val="0"/>
          <w:color w:val="auto"/>
          <w:sz w:val="24"/>
          <w:szCs w:val="24"/>
          <w:lang w:val="da-DK"/>
        </w:rPr>
        <w:t xml:space="preserve">, og hvor </w:t>
      </w:r>
      <w:proofErr w:type="spellStart"/>
      <w:r w:rsidRPr="001D79B0">
        <w:rPr>
          <w:i w:val="0"/>
          <w:color w:val="auto"/>
          <w:sz w:val="24"/>
          <w:szCs w:val="24"/>
          <w:lang w:val="da-DK"/>
        </w:rPr>
        <w:t>koronarangiografi</w:t>
      </w:r>
      <w:proofErr w:type="spellEnd"/>
      <w:r w:rsidRPr="001D79B0">
        <w:rPr>
          <w:i w:val="0"/>
          <w:color w:val="auto"/>
          <w:sz w:val="24"/>
          <w:szCs w:val="24"/>
          <w:lang w:val="da-DK"/>
        </w:rPr>
        <w:t xml:space="preserve"> efterfulgt af PCI var planlagt indenfor 2 til 48 timer efter </w:t>
      </w:r>
      <w:proofErr w:type="spellStart"/>
      <w:r w:rsidRPr="001D79B0">
        <w:rPr>
          <w:i w:val="0"/>
          <w:color w:val="auto"/>
          <w:sz w:val="24"/>
          <w:szCs w:val="24"/>
          <w:lang w:val="da-DK"/>
        </w:rPr>
        <w:t>randomisering</w:t>
      </w:r>
      <w:proofErr w:type="spellEnd"/>
      <w:r w:rsidRPr="001D79B0">
        <w:rPr>
          <w:i w:val="0"/>
          <w:color w:val="auto"/>
          <w:sz w:val="24"/>
          <w:szCs w:val="24"/>
          <w:lang w:val="da-DK"/>
        </w:rPr>
        <w:t xml:space="preserve">, havde de patienter, som fik en 30 mg </w:t>
      </w:r>
      <w:proofErr w:type="spellStart"/>
      <w:r w:rsidRPr="001D79B0">
        <w:rPr>
          <w:i w:val="0"/>
          <w:color w:val="auto"/>
          <w:sz w:val="24"/>
          <w:szCs w:val="24"/>
          <w:lang w:val="da-DK"/>
        </w:rPr>
        <w:t>loadingdosis</w:t>
      </w:r>
      <w:proofErr w:type="spellEnd"/>
      <w:r w:rsidRPr="001D79B0">
        <w:rPr>
          <w:i w:val="0"/>
          <w:color w:val="auto"/>
          <w:sz w:val="24"/>
          <w:szCs w:val="24"/>
          <w:lang w:val="da-DK"/>
        </w:rPr>
        <w:t xml:space="preserve"> gennemsnitligt 4 timer før </w:t>
      </w:r>
      <w:proofErr w:type="spellStart"/>
      <w:r w:rsidRPr="001D79B0">
        <w:rPr>
          <w:i w:val="0"/>
          <w:color w:val="auto"/>
          <w:sz w:val="24"/>
          <w:szCs w:val="24"/>
          <w:lang w:val="da-DK"/>
        </w:rPr>
        <w:t>koronarangiografi</w:t>
      </w:r>
      <w:proofErr w:type="spellEnd"/>
      <w:r w:rsidRPr="001D79B0">
        <w:rPr>
          <w:i w:val="0"/>
          <w:color w:val="auto"/>
          <w:sz w:val="24"/>
          <w:szCs w:val="24"/>
          <w:lang w:val="da-DK"/>
        </w:rPr>
        <w:t xml:space="preserve"> efterfulgt af en 30 mg </w:t>
      </w:r>
      <w:proofErr w:type="spellStart"/>
      <w:r w:rsidRPr="001D79B0">
        <w:rPr>
          <w:i w:val="0"/>
          <w:color w:val="auto"/>
          <w:sz w:val="24"/>
          <w:szCs w:val="24"/>
          <w:lang w:val="da-DK"/>
        </w:rPr>
        <w:t>loadingdosis</w:t>
      </w:r>
      <w:proofErr w:type="spellEnd"/>
      <w:r w:rsidRPr="001D79B0">
        <w:rPr>
          <w:i w:val="0"/>
          <w:color w:val="auto"/>
          <w:sz w:val="24"/>
          <w:szCs w:val="24"/>
          <w:lang w:val="da-DK"/>
        </w:rPr>
        <w:t xml:space="preserve"> på tidspunktet for PCI (n=2037), en øget risiko for ikke-CABG-blødning i forbindelse med indgrebet og ingen yderligere fordele sammenlignet med de patienter, som fik en 60 mg </w:t>
      </w:r>
      <w:proofErr w:type="spellStart"/>
      <w:r w:rsidRPr="001D79B0">
        <w:rPr>
          <w:i w:val="0"/>
          <w:color w:val="auto"/>
          <w:sz w:val="24"/>
          <w:szCs w:val="24"/>
          <w:lang w:val="da-DK"/>
        </w:rPr>
        <w:t>loadingdosis</w:t>
      </w:r>
      <w:proofErr w:type="spellEnd"/>
      <w:r w:rsidRPr="001D79B0">
        <w:rPr>
          <w:i w:val="0"/>
          <w:color w:val="auto"/>
          <w:sz w:val="24"/>
          <w:szCs w:val="24"/>
          <w:lang w:val="da-DK"/>
        </w:rPr>
        <w:t xml:space="preserve"> på tidspunktet for PCI (n=1.996). Specifikt reducerede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ikke signifikant hyppigheden af det sammensatte endepunkt </w:t>
      </w:r>
      <w:proofErr w:type="spellStart"/>
      <w:r w:rsidRPr="001D79B0">
        <w:rPr>
          <w:i w:val="0"/>
          <w:color w:val="auto"/>
          <w:sz w:val="24"/>
          <w:szCs w:val="24"/>
          <w:lang w:val="da-DK"/>
        </w:rPr>
        <w:t>kardiovaskulær</w:t>
      </w:r>
      <w:proofErr w:type="spellEnd"/>
      <w:r w:rsidRPr="001D79B0">
        <w:rPr>
          <w:i w:val="0"/>
          <w:color w:val="auto"/>
          <w:sz w:val="24"/>
          <w:szCs w:val="24"/>
          <w:lang w:val="da-DK"/>
        </w:rPr>
        <w:t xml:space="preserve"> (CV) død, myokardieinfarkt (MI), apopleksi, akut </w:t>
      </w:r>
      <w:proofErr w:type="spellStart"/>
      <w:r w:rsidRPr="001D79B0">
        <w:rPr>
          <w:i w:val="0"/>
          <w:color w:val="auto"/>
          <w:sz w:val="24"/>
          <w:szCs w:val="24"/>
          <w:lang w:val="da-DK"/>
        </w:rPr>
        <w:t>revaskularisering</w:t>
      </w:r>
      <w:proofErr w:type="spellEnd"/>
      <w:r w:rsidRPr="001D79B0">
        <w:rPr>
          <w:i w:val="0"/>
          <w:color w:val="auto"/>
          <w:sz w:val="24"/>
          <w:szCs w:val="24"/>
          <w:lang w:val="da-DK"/>
        </w:rPr>
        <w:t xml:space="preserve"> (UR) eller </w:t>
      </w:r>
      <w:proofErr w:type="spellStart"/>
      <w:r w:rsidRPr="001D79B0">
        <w:rPr>
          <w:i w:val="0"/>
          <w:color w:val="auto"/>
          <w:sz w:val="24"/>
          <w:szCs w:val="24"/>
          <w:lang w:val="da-DK"/>
        </w:rPr>
        <w:t>glykoprotein</w:t>
      </w:r>
      <w:proofErr w:type="spellEnd"/>
      <w:r w:rsidRPr="001D79B0">
        <w:rPr>
          <w:i w:val="0"/>
          <w:color w:val="auto"/>
          <w:sz w:val="24"/>
          <w:szCs w:val="24"/>
          <w:lang w:val="da-DK"/>
        </w:rPr>
        <w:t xml:space="preserve"> (GP) </w:t>
      </w:r>
      <w:proofErr w:type="spellStart"/>
      <w:r w:rsidRPr="001D79B0">
        <w:rPr>
          <w:i w:val="0"/>
          <w:color w:val="auto"/>
          <w:sz w:val="24"/>
          <w:szCs w:val="24"/>
          <w:lang w:val="da-DK"/>
        </w:rPr>
        <w:t>IIb</w:t>
      </w:r>
      <w:proofErr w:type="spellEnd"/>
      <w:r w:rsidRPr="001D79B0">
        <w:rPr>
          <w:i w:val="0"/>
          <w:color w:val="auto"/>
          <w:sz w:val="24"/>
          <w:szCs w:val="24"/>
          <w:lang w:val="da-DK"/>
        </w:rPr>
        <w:t>/</w:t>
      </w:r>
      <w:proofErr w:type="spellStart"/>
      <w:r w:rsidRPr="001D79B0">
        <w:rPr>
          <w:i w:val="0"/>
          <w:color w:val="auto"/>
          <w:sz w:val="24"/>
          <w:szCs w:val="24"/>
          <w:lang w:val="da-DK"/>
        </w:rPr>
        <w:t>IIIa</w:t>
      </w:r>
      <w:proofErr w:type="spellEnd"/>
      <w:r w:rsidRPr="001D79B0">
        <w:rPr>
          <w:i w:val="0"/>
          <w:color w:val="auto"/>
          <w:sz w:val="24"/>
          <w:szCs w:val="24"/>
          <w:lang w:val="da-DK"/>
        </w:rPr>
        <w:t xml:space="preserve">-inhibitor som redningsbehandling indenfor 7 dage efter </w:t>
      </w:r>
      <w:proofErr w:type="spellStart"/>
      <w:r w:rsidRPr="001D79B0">
        <w:rPr>
          <w:i w:val="0"/>
          <w:color w:val="auto"/>
          <w:sz w:val="24"/>
          <w:szCs w:val="24"/>
          <w:lang w:val="da-DK"/>
        </w:rPr>
        <w:t>randomisering</w:t>
      </w:r>
      <w:proofErr w:type="spellEnd"/>
      <w:r w:rsidRPr="001D79B0">
        <w:rPr>
          <w:i w:val="0"/>
          <w:color w:val="auto"/>
          <w:sz w:val="24"/>
          <w:szCs w:val="24"/>
          <w:lang w:val="da-DK"/>
        </w:rPr>
        <w:t xml:space="preserve"> hos patienter, der fik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før </w:t>
      </w:r>
      <w:proofErr w:type="spellStart"/>
      <w:r w:rsidRPr="001D79B0">
        <w:rPr>
          <w:i w:val="0"/>
          <w:color w:val="auto"/>
          <w:sz w:val="24"/>
          <w:szCs w:val="24"/>
          <w:lang w:val="da-DK"/>
        </w:rPr>
        <w:t>koronarangiografi</w:t>
      </w:r>
      <w:proofErr w:type="spellEnd"/>
      <w:r w:rsidRPr="001D79B0">
        <w:rPr>
          <w:i w:val="0"/>
          <w:color w:val="auto"/>
          <w:sz w:val="24"/>
          <w:szCs w:val="24"/>
          <w:lang w:val="da-DK"/>
        </w:rPr>
        <w:t xml:space="preserve"> sammenlignet med patienter, som fik den fulde </w:t>
      </w:r>
      <w:proofErr w:type="spellStart"/>
      <w:r w:rsidRPr="001D79B0">
        <w:rPr>
          <w:i w:val="0"/>
          <w:color w:val="auto"/>
          <w:sz w:val="24"/>
          <w:szCs w:val="24"/>
          <w:lang w:val="da-DK"/>
        </w:rPr>
        <w:t>prasugrel-loadingdosis</w:t>
      </w:r>
      <w:proofErr w:type="spellEnd"/>
      <w:r w:rsidRPr="001D79B0">
        <w:rPr>
          <w:i w:val="0"/>
          <w:color w:val="auto"/>
          <w:sz w:val="24"/>
          <w:szCs w:val="24"/>
          <w:lang w:val="da-DK"/>
        </w:rPr>
        <w:t xml:space="preserve"> på tidspunktet for PCI, og hyppigheden af det væsentlige </w:t>
      </w:r>
      <w:proofErr w:type="spellStart"/>
      <w:r w:rsidRPr="001D79B0">
        <w:rPr>
          <w:i w:val="0"/>
          <w:color w:val="auto"/>
          <w:sz w:val="24"/>
          <w:szCs w:val="24"/>
          <w:lang w:val="da-DK"/>
        </w:rPr>
        <w:t>sikkerhedsmål</w:t>
      </w:r>
      <w:proofErr w:type="spellEnd"/>
      <w:r w:rsidRPr="001D79B0">
        <w:rPr>
          <w:i w:val="0"/>
          <w:color w:val="auto"/>
          <w:sz w:val="24"/>
          <w:szCs w:val="24"/>
          <w:lang w:val="da-DK"/>
        </w:rPr>
        <w:t xml:space="preserve"> for alle TIMI større blødninger (CABG- og ikke-CABG-hændelser) indenfor 7 dage efter </w:t>
      </w:r>
      <w:proofErr w:type="spellStart"/>
      <w:r w:rsidRPr="001D79B0">
        <w:rPr>
          <w:i w:val="0"/>
          <w:color w:val="auto"/>
          <w:sz w:val="24"/>
          <w:szCs w:val="24"/>
          <w:lang w:val="da-DK"/>
        </w:rPr>
        <w:t>randomisering</w:t>
      </w:r>
      <w:proofErr w:type="spellEnd"/>
      <w:r w:rsidRPr="001D79B0">
        <w:rPr>
          <w:i w:val="0"/>
          <w:color w:val="auto"/>
          <w:sz w:val="24"/>
          <w:szCs w:val="24"/>
          <w:lang w:val="da-DK"/>
        </w:rPr>
        <w:t xml:space="preserve"> for alle behandlede patienter var signifikant højere hos de patienter, som fik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før </w:t>
      </w:r>
      <w:proofErr w:type="spellStart"/>
      <w:r w:rsidRPr="001D79B0">
        <w:rPr>
          <w:i w:val="0"/>
          <w:color w:val="auto"/>
          <w:sz w:val="24"/>
          <w:szCs w:val="24"/>
          <w:lang w:val="da-DK"/>
        </w:rPr>
        <w:t>koronarangiografi</w:t>
      </w:r>
      <w:proofErr w:type="spellEnd"/>
      <w:r w:rsidRPr="001D79B0">
        <w:rPr>
          <w:i w:val="0"/>
          <w:color w:val="auto"/>
          <w:sz w:val="24"/>
          <w:szCs w:val="24"/>
          <w:lang w:val="da-DK"/>
        </w:rPr>
        <w:t xml:space="preserve"> i forhold til de patienter, som fik den fulde </w:t>
      </w:r>
      <w:proofErr w:type="spellStart"/>
      <w:r w:rsidRPr="001D79B0">
        <w:rPr>
          <w:i w:val="0"/>
          <w:color w:val="auto"/>
          <w:sz w:val="24"/>
          <w:szCs w:val="24"/>
          <w:lang w:val="da-DK"/>
        </w:rPr>
        <w:t>prasugrel-loadingdosis</w:t>
      </w:r>
      <w:proofErr w:type="spellEnd"/>
      <w:r w:rsidRPr="001D79B0">
        <w:rPr>
          <w:i w:val="0"/>
          <w:color w:val="auto"/>
          <w:sz w:val="24"/>
          <w:szCs w:val="24"/>
          <w:lang w:val="da-DK"/>
        </w:rPr>
        <w:t xml:space="preserve"> på tidspunktet for PCI. </w:t>
      </w:r>
      <w:proofErr w:type="spellStart"/>
      <w:r w:rsidRPr="001D79B0">
        <w:rPr>
          <w:i w:val="0"/>
          <w:color w:val="auto"/>
          <w:sz w:val="24"/>
          <w:szCs w:val="24"/>
          <w:lang w:val="da-DK"/>
        </w:rPr>
        <w:t>Loadingdosis</w:t>
      </w:r>
      <w:proofErr w:type="spellEnd"/>
      <w:r w:rsidRPr="001D79B0">
        <w:rPr>
          <w:i w:val="0"/>
          <w:color w:val="auto"/>
          <w:sz w:val="24"/>
          <w:szCs w:val="24"/>
          <w:lang w:val="da-DK"/>
        </w:rPr>
        <w:t xml:space="preserve"> skal derfor indgives på tidspunktet for PCI for de UA/NSTEMI-patienter, hvor </w:t>
      </w:r>
      <w:proofErr w:type="spellStart"/>
      <w:r w:rsidRPr="001D79B0">
        <w:rPr>
          <w:i w:val="0"/>
          <w:color w:val="auto"/>
          <w:sz w:val="24"/>
          <w:szCs w:val="24"/>
          <w:lang w:val="da-DK"/>
        </w:rPr>
        <w:t>koronarangiografi</w:t>
      </w:r>
      <w:proofErr w:type="spellEnd"/>
      <w:r w:rsidRPr="001D79B0">
        <w:rPr>
          <w:i w:val="0"/>
          <w:color w:val="auto"/>
          <w:sz w:val="24"/>
          <w:szCs w:val="24"/>
          <w:lang w:val="da-DK"/>
        </w:rPr>
        <w:t xml:space="preserve"> udføres indenfor 48 timer efter indlæggelse (se pkt. 4.2, pkt. 4.4 og pkt. 4.8).</w:t>
      </w:r>
    </w:p>
    <w:p w14:paraId="6B0B66F8" w14:textId="77777777" w:rsidR="001D79B0" w:rsidRPr="001D79B0" w:rsidRDefault="001D79B0" w:rsidP="001D79B0">
      <w:pPr>
        <w:pStyle w:val="Brdtekst"/>
        <w:ind w:left="851"/>
        <w:rPr>
          <w:i w:val="0"/>
          <w:color w:val="auto"/>
          <w:sz w:val="24"/>
          <w:szCs w:val="24"/>
          <w:lang w:val="da-DK"/>
        </w:rPr>
      </w:pPr>
    </w:p>
    <w:p w14:paraId="2F7A262A" w14:textId="77777777" w:rsidR="001D79B0" w:rsidRPr="001D79B0" w:rsidRDefault="001D79B0" w:rsidP="001D79B0">
      <w:pPr>
        <w:pStyle w:val="Brdtekst"/>
        <w:ind w:left="851"/>
        <w:rPr>
          <w:i w:val="0"/>
          <w:color w:val="auto"/>
          <w:sz w:val="24"/>
          <w:szCs w:val="24"/>
          <w:u w:val="single"/>
          <w:lang w:val="da-DK"/>
        </w:rPr>
      </w:pPr>
      <w:r w:rsidRPr="001D79B0">
        <w:rPr>
          <w:i w:val="0"/>
          <w:color w:val="auto"/>
          <w:sz w:val="24"/>
          <w:szCs w:val="24"/>
          <w:u w:val="single"/>
          <w:lang w:val="da-DK"/>
        </w:rPr>
        <w:t>Pædiatrisk population</w:t>
      </w:r>
    </w:p>
    <w:p w14:paraId="7C16ECA6" w14:textId="77777777" w:rsidR="001D79B0" w:rsidRPr="001D79B0" w:rsidRDefault="001D79B0" w:rsidP="001D79B0">
      <w:pPr>
        <w:pStyle w:val="Brdtekst"/>
        <w:ind w:left="851"/>
        <w:rPr>
          <w:i w:val="0"/>
          <w:color w:val="auto"/>
          <w:sz w:val="24"/>
          <w:szCs w:val="24"/>
          <w:lang w:val="da-DK"/>
        </w:rPr>
      </w:pPr>
      <w:r w:rsidRPr="001D79B0">
        <w:rPr>
          <w:i w:val="0"/>
          <w:color w:val="auto"/>
          <w:sz w:val="24"/>
          <w:szCs w:val="24"/>
          <w:lang w:val="da-DK"/>
        </w:rPr>
        <w:t xml:space="preserve">I fase III-studiet TADO blev brugen af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(n=171) </w:t>
      </w:r>
      <w:proofErr w:type="spellStart"/>
      <w:r w:rsidRPr="001D79B0">
        <w:rPr>
          <w:i w:val="0"/>
          <w:color w:val="auto"/>
          <w:sz w:val="24"/>
          <w:szCs w:val="24"/>
          <w:lang w:val="da-DK"/>
        </w:rPr>
        <w:t>vs</w:t>
      </w:r>
      <w:proofErr w:type="spellEnd"/>
      <w:r w:rsidRPr="001D79B0">
        <w:rPr>
          <w:i w:val="0"/>
          <w:color w:val="auto"/>
          <w:sz w:val="24"/>
          <w:szCs w:val="24"/>
          <w:lang w:val="da-DK"/>
        </w:rPr>
        <w:t xml:space="preserve"> placebo (n=170) undersøgt til reduktion af </w:t>
      </w:r>
      <w:proofErr w:type="spellStart"/>
      <w:r w:rsidRPr="001D79B0">
        <w:rPr>
          <w:i w:val="0"/>
          <w:color w:val="auto"/>
          <w:sz w:val="24"/>
          <w:szCs w:val="24"/>
          <w:lang w:val="da-DK"/>
        </w:rPr>
        <w:t>vaso-okklusiv</w:t>
      </w:r>
      <w:proofErr w:type="spellEnd"/>
      <w:r w:rsidRPr="001D79B0">
        <w:rPr>
          <w:i w:val="0"/>
          <w:color w:val="auto"/>
          <w:sz w:val="24"/>
          <w:szCs w:val="24"/>
          <w:lang w:val="da-DK"/>
        </w:rPr>
        <w:t xml:space="preserve"> krise hos patienter med seglcelleanæmi i alderen 2 år og op til 18 år. Studiet mødte ikke de primære eller sekundære endepunkter. Overordnet blev der ikke identificeret ny sikkerhedsinformation for </w:t>
      </w:r>
      <w:proofErr w:type="spellStart"/>
      <w:r w:rsidRPr="001D79B0">
        <w:rPr>
          <w:i w:val="0"/>
          <w:color w:val="auto"/>
          <w:sz w:val="24"/>
          <w:szCs w:val="24"/>
          <w:lang w:val="da-DK"/>
        </w:rPr>
        <w:t>prasugrel</w:t>
      </w:r>
      <w:proofErr w:type="spellEnd"/>
      <w:r w:rsidRPr="001D79B0">
        <w:rPr>
          <w:i w:val="0"/>
          <w:color w:val="auto"/>
          <w:sz w:val="24"/>
          <w:szCs w:val="24"/>
          <w:lang w:val="da-DK"/>
        </w:rPr>
        <w:t xml:space="preserve"> monoterapi i denne patientgruppe.</w:t>
      </w:r>
    </w:p>
    <w:p w14:paraId="6FC49791" w14:textId="77777777" w:rsidR="009260DE" w:rsidRPr="001D79B0" w:rsidRDefault="009260DE" w:rsidP="001D79B0">
      <w:pPr>
        <w:tabs>
          <w:tab w:val="left" w:pos="851"/>
        </w:tabs>
        <w:ind w:left="851"/>
        <w:rPr>
          <w:sz w:val="24"/>
          <w:szCs w:val="24"/>
        </w:rPr>
      </w:pPr>
    </w:p>
    <w:p w14:paraId="63F795BA"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14:paraId="7D955B0F" w14:textId="77777777" w:rsidR="007D74AA" w:rsidRPr="007D74AA" w:rsidRDefault="007D74AA" w:rsidP="007D74AA">
      <w:pPr>
        <w:tabs>
          <w:tab w:val="left" w:pos="851"/>
        </w:tabs>
        <w:ind w:left="851"/>
        <w:rPr>
          <w:sz w:val="24"/>
          <w:szCs w:val="24"/>
        </w:rPr>
      </w:pPr>
      <w:proofErr w:type="spellStart"/>
      <w:r w:rsidRPr="007D74AA">
        <w:rPr>
          <w:sz w:val="24"/>
          <w:szCs w:val="24"/>
        </w:rPr>
        <w:t>Prasugrel</w:t>
      </w:r>
      <w:proofErr w:type="spellEnd"/>
      <w:r w:rsidRPr="007D74AA">
        <w:rPr>
          <w:sz w:val="24"/>
          <w:szCs w:val="24"/>
        </w:rPr>
        <w:t xml:space="preserve"> er </w:t>
      </w:r>
      <w:proofErr w:type="gramStart"/>
      <w:r w:rsidRPr="007D74AA">
        <w:rPr>
          <w:sz w:val="24"/>
          <w:szCs w:val="24"/>
        </w:rPr>
        <w:t>et prodrug</w:t>
      </w:r>
      <w:proofErr w:type="gramEnd"/>
      <w:r w:rsidRPr="007D74AA">
        <w:rPr>
          <w:sz w:val="24"/>
          <w:szCs w:val="24"/>
        </w:rPr>
        <w:t xml:space="preserve"> og er hurtigt </w:t>
      </w:r>
      <w:proofErr w:type="spellStart"/>
      <w:r w:rsidRPr="007D74AA">
        <w:rPr>
          <w:sz w:val="24"/>
          <w:szCs w:val="24"/>
        </w:rPr>
        <w:t>metaboliseret</w:t>
      </w:r>
      <w:proofErr w:type="spellEnd"/>
      <w:r w:rsidRPr="007D74AA">
        <w:rPr>
          <w:sz w:val="24"/>
          <w:szCs w:val="24"/>
        </w:rPr>
        <w:t xml:space="preserve"> in </w:t>
      </w:r>
      <w:proofErr w:type="spellStart"/>
      <w:r w:rsidRPr="007D74AA">
        <w:rPr>
          <w:sz w:val="24"/>
          <w:szCs w:val="24"/>
        </w:rPr>
        <w:t>vivo</w:t>
      </w:r>
      <w:proofErr w:type="spellEnd"/>
      <w:r w:rsidRPr="007D74AA">
        <w:rPr>
          <w:sz w:val="24"/>
          <w:szCs w:val="24"/>
        </w:rPr>
        <w:t xml:space="preserve"> til en aktiv metabolit og inaktive metabolitter. Den aktive metabolits eksponering (AUC) har moderat til lav varians imellem forsøgspersoner (27 %) og hos forsøgspersoner (19 %). </w:t>
      </w:r>
      <w:proofErr w:type="spellStart"/>
      <w:r w:rsidRPr="007D74AA">
        <w:rPr>
          <w:sz w:val="24"/>
          <w:szCs w:val="24"/>
        </w:rPr>
        <w:t>Prasugrels</w:t>
      </w:r>
      <w:proofErr w:type="spellEnd"/>
      <w:r w:rsidRPr="007D74AA">
        <w:rPr>
          <w:sz w:val="24"/>
          <w:szCs w:val="24"/>
        </w:rPr>
        <w:t xml:space="preserve"> farmakokinetik er ens hos raske forsøgspersoner, patienter med stabil aterosklerose og patienter, som gennemgår </w:t>
      </w:r>
      <w:proofErr w:type="spellStart"/>
      <w:r w:rsidRPr="007D74AA">
        <w:rPr>
          <w:sz w:val="24"/>
          <w:szCs w:val="24"/>
        </w:rPr>
        <w:t>perkutant</w:t>
      </w:r>
      <w:proofErr w:type="spellEnd"/>
      <w:r w:rsidRPr="007D74AA">
        <w:rPr>
          <w:sz w:val="24"/>
          <w:szCs w:val="24"/>
        </w:rPr>
        <w:t xml:space="preserve"> </w:t>
      </w:r>
      <w:proofErr w:type="spellStart"/>
      <w:r w:rsidRPr="007D74AA">
        <w:rPr>
          <w:sz w:val="24"/>
          <w:szCs w:val="24"/>
        </w:rPr>
        <w:t>koronarindgreb</w:t>
      </w:r>
      <w:proofErr w:type="spellEnd"/>
      <w:r w:rsidRPr="007D74AA">
        <w:rPr>
          <w:sz w:val="24"/>
          <w:szCs w:val="24"/>
        </w:rPr>
        <w:t>.</w:t>
      </w:r>
    </w:p>
    <w:p w14:paraId="65D34E5A" w14:textId="77777777" w:rsidR="007D74AA" w:rsidRPr="007D74AA" w:rsidRDefault="007D74AA" w:rsidP="007D74AA">
      <w:pPr>
        <w:tabs>
          <w:tab w:val="left" w:pos="851"/>
        </w:tabs>
        <w:ind w:left="851"/>
        <w:rPr>
          <w:sz w:val="24"/>
          <w:szCs w:val="24"/>
        </w:rPr>
      </w:pPr>
    </w:p>
    <w:p w14:paraId="7671AEEE" w14:textId="77777777" w:rsidR="007D74AA" w:rsidRPr="007D74AA" w:rsidRDefault="007D74AA" w:rsidP="007D74AA">
      <w:pPr>
        <w:tabs>
          <w:tab w:val="left" w:pos="851"/>
        </w:tabs>
        <w:ind w:left="851"/>
        <w:rPr>
          <w:sz w:val="24"/>
          <w:szCs w:val="24"/>
          <w:u w:val="single"/>
        </w:rPr>
      </w:pPr>
      <w:r w:rsidRPr="007D74AA">
        <w:rPr>
          <w:sz w:val="24"/>
          <w:szCs w:val="24"/>
          <w:u w:val="single"/>
        </w:rPr>
        <w:t>Absorption</w:t>
      </w:r>
    </w:p>
    <w:p w14:paraId="0250D14F" w14:textId="30A57857" w:rsidR="007D74AA" w:rsidRPr="007D74AA" w:rsidRDefault="007D74AA" w:rsidP="007D74AA">
      <w:pPr>
        <w:tabs>
          <w:tab w:val="left" w:pos="851"/>
        </w:tabs>
        <w:ind w:left="851"/>
        <w:rPr>
          <w:sz w:val="24"/>
          <w:szCs w:val="24"/>
        </w:rPr>
      </w:pPr>
      <w:r w:rsidRPr="007D74AA">
        <w:rPr>
          <w:sz w:val="24"/>
          <w:szCs w:val="24"/>
        </w:rPr>
        <w:t xml:space="preserve">Absorptionen og metabolismen af </w:t>
      </w:r>
      <w:proofErr w:type="spellStart"/>
      <w:r w:rsidRPr="007D74AA">
        <w:rPr>
          <w:sz w:val="24"/>
          <w:szCs w:val="24"/>
        </w:rPr>
        <w:t>prasugrel</w:t>
      </w:r>
      <w:proofErr w:type="spellEnd"/>
      <w:r w:rsidRPr="007D74AA">
        <w:rPr>
          <w:sz w:val="24"/>
          <w:szCs w:val="24"/>
        </w:rPr>
        <w:t xml:space="preserve"> er hurtig, og maksimal plasmakoncentration (</w:t>
      </w:r>
      <w:proofErr w:type="spellStart"/>
      <w:r w:rsidRPr="007D74AA">
        <w:rPr>
          <w:sz w:val="24"/>
          <w:szCs w:val="24"/>
        </w:rPr>
        <w:t>C</w:t>
      </w:r>
      <w:r w:rsidRPr="00E11E3E">
        <w:rPr>
          <w:sz w:val="24"/>
          <w:szCs w:val="24"/>
          <w:vertAlign w:val="subscript"/>
        </w:rPr>
        <w:t>max</w:t>
      </w:r>
      <w:proofErr w:type="spellEnd"/>
      <w:r w:rsidRPr="007D74AA">
        <w:rPr>
          <w:sz w:val="24"/>
          <w:szCs w:val="24"/>
        </w:rPr>
        <w:t xml:space="preserve">) af den aktive metabolit nås på ca. 30 minutter. Den aktive metabolits eksponering (AUC) øges proportionalt over det terapeutiske dosisområde. I et forsøg med raske forsøgspersoner var AUC af den aktive metabolit upåvirket af et måltid med højt fedt- og kalorieindhold, men </w:t>
      </w:r>
      <w:proofErr w:type="spellStart"/>
      <w:r w:rsidRPr="007D74AA">
        <w:rPr>
          <w:sz w:val="24"/>
          <w:szCs w:val="24"/>
        </w:rPr>
        <w:t>C</w:t>
      </w:r>
      <w:r w:rsidRPr="00E11E3E">
        <w:rPr>
          <w:sz w:val="24"/>
          <w:szCs w:val="24"/>
          <w:vertAlign w:val="subscript"/>
        </w:rPr>
        <w:t>max</w:t>
      </w:r>
      <w:proofErr w:type="spellEnd"/>
      <w:r w:rsidRPr="007D74AA">
        <w:rPr>
          <w:sz w:val="24"/>
          <w:szCs w:val="24"/>
        </w:rPr>
        <w:t xml:space="preserve"> blev sænket med 49 %, og tiden for at nå </w:t>
      </w:r>
      <w:proofErr w:type="spellStart"/>
      <w:r w:rsidRPr="007D74AA">
        <w:rPr>
          <w:sz w:val="24"/>
          <w:szCs w:val="24"/>
        </w:rPr>
        <w:t>C</w:t>
      </w:r>
      <w:r w:rsidRPr="00E11E3E">
        <w:rPr>
          <w:sz w:val="24"/>
          <w:szCs w:val="24"/>
          <w:vertAlign w:val="subscript"/>
        </w:rPr>
        <w:t>max</w:t>
      </w:r>
      <w:proofErr w:type="spellEnd"/>
      <w:r w:rsidR="00E11E3E">
        <w:rPr>
          <w:sz w:val="24"/>
          <w:szCs w:val="24"/>
        </w:rPr>
        <w:t xml:space="preserve"> </w:t>
      </w:r>
      <w:r w:rsidRPr="007D74AA">
        <w:rPr>
          <w:sz w:val="24"/>
          <w:szCs w:val="24"/>
        </w:rPr>
        <w:t>(</w:t>
      </w:r>
      <w:proofErr w:type="spellStart"/>
      <w:r w:rsidRPr="007D74AA">
        <w:rPr>
          <w:sz w:val="24"/>
          <w:szCs w:val="24"/>
        </w:rPr>
        <w:t>T</w:t>
      </w:r>
      <w:r w:rsidRPr="00E11E3E">
        <w:rPr>
          <w:sz w:val="24"/>
          <w:szCs w:val="24"/>
          <w:vertAlign w:val="subscript"/>
        </w:rPr>
        <w:t>max</w:t>
      </w:r>
      <w:proofErr w:type="spellEnd"/>
      <w:r w:rsidRPr="007D74AA">
        <w:rPr>
          <w:sz w:val="24"/>
          <w:szCs w:val="24"/>
        </w:rPr>
        <w:t xml:space="preserve">) blev øget fra 0,5 til 1,5 time. </w:t>
      </w:r>
      <w:proofErr w:type="spellStart"/>
      <w:r w:rsidRPr="007D74AA">
        <w:rPr>
          <w:sz w:val="24"/>
          <w:szCs w:val="24"/>
        </w:rPr>
        <w:t>Prasugrel</w:t>
      </w:r>
      <w:proofErr w:type="spellEnd"/>
      <w:r w:rsidRPr="007D74AA">
        <w:rPr>
          <w:sz w:val="24"/>
          <w:szCs w:val="24"/>
        </w:rPr>
        <w:t xml:space="preserve"> blev administreret uden hensyn til føde i TRITON. </w:t>
      </w:r>
      <w:proofErr w:type="spellStart"/>
      <w:r w:rsidRPr="007D74AA">
        <w:rPr>
          <w:sz w:val="24"/>
          <w:szCs w:val="24"/>
        </w:rPr>
        <w:t>Prasugrel</w:t>
      </w:r>
      <w:proofErr w:type="spellEnd"/>
      <w:r w:rsidRPr="007D74AA">
        <w:rPr>
          <w:sz w:val="24"/>
          <w:szCs w:val="24"/>
        </w:rPr>
        <w:t xml:space="preserve"> kan derfor administreres uden hensyn til føde. Det er dog muligt, at administration af </w:t>
      </w:r>
      <w:proofErr w:type="spellStart"/>
      <w:r w:rsidRPr="007D74AA">
        <w:rPr>
          <w:sz w:val="24"/>
          <w:szCs w:val="24"/>
        </w:rPr>
        <w:t>prasugrel</w:t>
      </w:r>
      <w:proofErr w:type="spellEnd"/>
      <w:r w:rsidRPr="007D74AA">
        <w:rPr>
          <w:sz w:val="24"/>
          <w:szCs w:val="24"/>
        </w:rPr>
        <w:t xml:space="preserve"> </w:t>
      </w:r>
      <w:proofErr w:type="spellStart"/>
      <w:r w:rsidRPr="007D74AA">
        <w:rPr>
          <w:sz w:val="24"/>
          <w:szCs w:val="24"/>
        </w:rPr>
        <w:t>loadingdosis</w:t>
      </w:r>
      <w:proofErr w:type="spellEnd"/>
      <w:r w:rsidRPr="007D74AA">
        <w:rPr>
          <w:sz w:val="24"/>
          <w:szCs w:val="24"/>
        </w:rPr>
        <w:t xml:space="preserve"> under faste kan give den hurtigst indsættende virkning (se pkt. 4.2).</w:t>
      </w:r>
    </w:p>
    <w:p w14:paraId="717A6617" w14:textId="77777777" w:rsidR="007D74AA" w:rsidRPr="007D74AA" w:rsidRDefault="007D74AA" w:rsidP="007D74AA">
      <w:pPr>
        <w:tabs>
          <w:tab w:val="left" w:pos="851"/>
        </w:tabs>
        <w:ind w:left="851"/>
        <w:rPr>
          <w:sz w:val="24"/>
          <w:szCs w:val="24"/>
        </w:rPr>
      </w:pPr>
    </w:p>
    <w:p w14:paraId="7FAB6881" w14:textId="77777777" w:rsidR="007D74AA" w:rsidRPr="007D74AA" w:rsidRDefault="007D74AA" w:rsidP="007D74AA">
      <w:pPr>
        <w:tabs>
          <w:tab w:val="left" w:pos="851"/>
        </w:tabs>
        <w:ind w:left="851"/>
        <w:rPr>
          <w:sz w:val="24"/>
          <w:szCs w:val="24"/>
          <w:u w:val="single"/>
        </w:rPr>
      </w:pPr>
      <w:r w:rsidRPr="007D74AA">
        <w:rPr>
          <w:sz w:val="24"/>
          <w:szCs w:val="24"/>
          <w:u w:val="single"/>
        </w:rPr>
        <w:t>Fordeling</w:t>
      </w:r>
    </w:p>
    <w:p w14:paraId="6DD52036" w14:textId="77777777" w:rsidR="007D74AA" w:rsidRPr="007D74AA" w:rsidRDefault="007D74AA" w:rsidP="007D74AA">
      <w:pPr>
        <w:tabs>
          <w:tab w:val="left" w:pos="851"/>
        </w:tabs>
        <w:ind w:left="851"/>
        <w:rPr>
          <w:sz w:val="24"/>
          <w:szCs w:val="24"/>
        </w:rPr>
      </w:pPr>
      <w:r w:rsidRPr="007D74AA">
        <w:rPr>
          <w:sz w:val="24"/>
          <w:szCs w:val="24"/>
        </w:rPr>
        <w:t>Den aktive metabolits binding til humant serumalbumin (4 % bufferopløsning) var 98 %.</w:t>
      </w:r>
    </w:p>
    <w:p w14:paraId="2441A17E" w14:textId="77777777" w:rsidR="007D74AA" w:rsidRPr="007D74AA" w:rsidRDefault="007D74AA" w:rsidP="007D74AA">
      <w:pPr>
        <w:tabs>
          <w:tab w:val="left" w:pos="851"/>
        </w:tabs>
        <w:ind w:left="851"/>
        <w:rPr>
          <w:sz w:val="24"/>
          <w:szCs w:val="24"/>
        </w:rPr>
      </w:pPr>
    </w:p>
    <w:p w14:paraId="04DD2B94" w14:textId="77777777" w:rsidR="007D74AA" w:rsidRPr="007D74AA" w:rsidRDefault="007D74AA" w:rsidP="007D74AA">
      <w:pPr>
        <w:tabs>
          <w:tab w:val="left" w:pos="851"/>
        </w:tabs>
        <w:ind w:left="851"/>
        <w:rPr>
          <w:sz w:val="24"/>
          <w:szCs w:val="24"/>
          <w:u w:val="single"/>
        </w:rPr>
      </w:pPr>
      <w:r w:rsidRPr="007D74AA">
        <w:rPr>
          <w:sz w:val="24"/>
          <w:szCs w:val="24"/>
          <w:u w:val="single"/>
        </w:rPr>
        <w:t>Biotransformation</w:t>
      </w:r>
    </w:p>
    <w:p w14:paraId="33DD8736" w14:textId="77777777" w:rsidR="007D74AA" w:rsidRPr="007D74AA" w:rsidRDefault="007D74AA" w:rsidP="007D74AA">
      <w:pPr>
        <w:tabs>
          <w:tab w:val="left" w:pos="851"/>
        </w:tabs>
        <w:ind w:left="851"/>
        <w:rPr>
          <w:sz w:val="24"/>
          <w:szCs w:val="24"/>
        </w:rPr>
      </w:pPr>
      <w:proofErr w:type="spellStart"/>
      <w:r w:rsidRPr="007D74AA">
        <w:rPr>
          <w:sz w:val="24"/>
          <w:szCs w:val="24"/>
        </w:rPr>
        <w:t>Prasugrel</w:t>
      </w:r>
      <w:proofErr w:type="spellEnd"/>
      <w:r w:rsidRPr="007D74AA">
        <w:rPr>
          <w:sz w:val="24"/>
          <w:szCs w:val="24"/>
        </w:rPr>
        <w:t xml:space="preserve"> er ikke påvist i plasma efter oral administration. Det hydrolyseres hurtigt i tarmen til en </w:t>
      </w:r>
      <w:proofErr w:type="spellStart"/>
      <w:r w:rsidRPr="007D74AA">
        <w:rPr>
          <w:sz w:val="24"/>
          <w:szCs w:val="24"/>
        </w:rPr>
        <w:t>thiolacton</w:t>
      </w:r>
      <w:proofErr w:type="spellEnd"/>
      <w:r w:rsidRPr="007D74AA">
        <w:rPr>
          <w:sz w:val="24"/>
          <w:szCs w:val="24"/>
        </w:rPr>
        <w:t xml:space="preserve">, som et enkelt trin af </w:t>
      </w:r>
      <w:proofErr w:type="spellStart"/>
      <w:r w:rsidRPr="007D74AA">
        <w:rPr>
          <w:sz w:val="24"/>
          <w:szCs w:val="24"/>
        </w:rPr>
        <w:t>cytokrom</w:t>
      </w:r>
      <w:proofErr w:type="spellEnd"/>
      <w:r w:rsidRPr="007D74AA">
        <w:rPr>
          <w:sz w:val="24"/>
          <w:szCs w:val="24"/>
        </w:rPr>
        <w:t xml:space="preserve"> P450-metabolismen derpå omdanner til den aktive metabolit. CYP3A4 og CYP2B6 er de primære enzymer, CYP2C9 og CYP2C19 medvirker i mindre udstrækning. Den aktive metabolit </w:t>
      </w:r>
      <w:proofErr w:type="spellStart"/>
      <w:r w:rsidRPr="007D74AA">
        <w:rPr>
          <w:sz w:val="24"/>
          <w:szCs w:val="24"/>
        </w:rPr>
        <w:t>metaboliseres</w:t>
      </w:r>
      <w:proofErr w:type="spellEnd"/>
      <w:r w:rsidRPr="007D74AA">
        <w:rPr>
          <w:sz w:val="24"/>
          <w:szCs w:val="24"/>
        </w:rPr>
        <w:t xml:space="preserve"> yderligere i to inaktive forbindelser ved S-</w:t>
      </w:r>
      <w:proofErr w:type="spellStart"/>
      <w:r w:rsidRPr="007D74AA">
        <w:rPr>
          <w:sz w:val="24"/>
          <w:szCs w:val="24"/>
        </w:rPr>
        <w:t>methylering</w:t>
      </w:r>
      <w:proofErr w:type="spellEnd"/>
      <w:r w:rsidRPr="007D74AA">
        <w:rPr>
          <w:sz w:val="24"/>
          <w:szCs w:val="24"/>
        </w:rPr>
        <w:t xml:space="preserve"> eller </w:t>
      </w:r>
      <w:proofErr w:type="spellStart"/>
      <w:r w:rsidRPr="007D74AA">
        <w:rPr>
          <w:sz w:val="24"/>
          <w:szCs w:val="24"/>
        </w:rPr>
        <w:t>konjugering</w:t>
      </w:r>
      <w:proofErr w:type="spellEnd"/>
      <w:r w:rsidRPr="007D74AA">
        <w:rPr>
          <w:sz w:val="24"/>
          <w:szCs w:val="24"/>
        </w:rPr>
        <w:t xml:space="preserve"> med </w:t>
      </w:r>
      <w:proofErr w:type="spellStart"/>
      <w:r w:rsidRPr="007D74AA">
        <w:rPr>
          <w:sz w:val="24"/>
          <w:szCs w:val="24"/>
        </w:rPr>
        <w:t>cystein</w:t>
      </w:r>
      <w:proofErr w:type="spellEnd"/>
      <w:r w:rsidRPr="007D74AA">
        <w:rPr>
          <w:sz w:val="24"/>
          <w:szCs w:val="24"/>
        </w:rPr>
        <w:t>.</w:t>
      </w:r>
    </w:p>
    <w:p w14:paraId="5498F02B" w14:textId="77777777" w:rsidR="007D74AA" w:rsidRPr="007D74AA" w:rsidRDefault="007D74AA" w:rsidP="007D74AA">
      <w:pPr>
        <w:tabs>
          <w:tab w:val="left" w:pos="851"/>
        </w:tabs>
        <w:ind w:left="851"/>
        <w:rPr>
          <w:sz w:val="24"/>
          <w:szCs w:val="24"/>
        </w:rPr>
      </w:pPr>
    </w:p>
    <w:p w14:paraId="0A427B64" w14:textId="77777777" w:rsidR="007D74AA" w:rsidRPr="007D74AA" w:rsidRDefault="007D74AA" w:rsidP="007D74AA">
      <w:pPr>
        <w:tabs>
          <w:tab w:val="left" w:pos="851"/>
        </w:tabs>
        <w:ind w:left="851"/>
        <w:rPr>
          <w:sz w:val="24"/>
          <w:szCs w:val="24"/>
        </w:rPr>
      </w:pPr>
      <w:r w:rsidRPr="007D74AA">
        <w:rPr>
          <w:sz w:val="24"/>
          <w:szCs w:val="24"/>
        </w:rPr>
        <w:t xml:space="preserve">Hos raske forsøgspersoner, patienter med stabil aterosklerose og patienter med AKS, som fik </w:t>
      </w:r>
      <w:proofErr w:type="spellStart"/>
      <w:r w:rsidRPr="007D74AA">
        <w:rPr>
          <w:sz w:val="24"/>
          <w:szCs w:val="24"/>
        </w:rPr>
        <w:t>prasugrel</w:t>
      </w:r>
      <w:proofErr w:type="spellEnd"/>
      <w:r w:rsidRPr="007D74AA">
        <w:rPr>
          <w:sz w:val="24"/>
          <w:szCs w:val="24"/>
        </w:rPr>
        <w:t xml:space="preserve">, gav genetisk variation i CYP3A5, CYP2B6, CYP2C9 eller CYP2C19 ingen relevant virkning på </w:t>
      </w:r>
      <w:proofErr w:type="spellStart"/>
      <w:r w:rsidRPr="007D74AA">
        <w:rPr>
          <w:sz w:val="24"/>
          <w:szCs w:val="24"/>
        </w:rPr>
        <w:t>prasugrels</w:t>
      </w:r>
      <w:proofErr w:type="spellEnd"/>
      <w:r w:rsidRPr="007D74AA">
        <w:rPr>
          <w:sz w:val="24"/>
          <w:szCs w:val="24"/>
        </w:rPr>
        <w:t xml:space="preserve"> farmakokinetik eller dets hæmning af </w:t>
      </w:r>
      <w:proofErr w:type="spellStart"/>
      <w:r w:rsidRPr="007D74AA">
        <w:rPr>
          <w:sz w:val="24"/>
          <w:szCs w:val="24"/>
        </w:rPr>
        <w:t>trombocytaggregeringen</w:t>
      </w:r>
      <w:proofErr w:type="spellEnd"/>
      <w:r w:rsidRPr="007D74AA">
        <w:rPr>
          <w:sz w:val="24"/>
          <w:szCs w:val="24"/>
        </w:rPr>
        <w:t>.</w:t>
      </w:r>
    </w:p>
    <w:p w14:paraId="33844FAB" w14:textId="77777777" w:rsidR="007D74AA" w:rsidRPr="007D74AA" w:rsidRDefault="007D74AA" w:rsidP="007D74AA">
      <w:pPr>
        <w:tabs>
          <w:tab w:val="left" w:pos="851"/>
        </w:tabs>
        <w:ind w:left="851"/>
        <w:rPr>
          <w:sz w:val="24"/>
          <w:szCs w:val="24"/>
        </w:rPr>
      </w:pPr>
    </w:p>
    <w:p w14:paraId="75F130A1" w14:textId="77777777" w:rsidR="007D74AA" w:rsidRPr="007D74AA" w:rsidRDefault="007D74AA" w:rsidP="007D74AA">
      <w:pPr>
        <w:tabs>
          <w:tab w:val="left" w:pos="851"/>
        </w:tabs>
        <w:ind w:left="851"/>
        <w:rPr>
          <w:sz w:val="24"/>
          <w:szCs w:val="24"/>
          <w:u w:val="single"/>
        </w:rPr>
      </w:pPr>
      <w:r w:rsidRPr="007D74AA">
        <w:rPr>
          <w:sz w:val="24"/>
          <w:szCs w:val="24"/>
          <w:u w:val="single"/>
        </w:rPr>
        <w:t>Elimination</w:t>
      </w:r>
    </w:p>
    <w:p w14:paraId="40E384B4" w14:textId="77777777" w:rsidR="007D74AA" w:rsidRPr="007D74AA" w:rsidRDefault="007D74AA" w:rsidP="007D74AA">
      <w:pPr>
        <w:tabs>
          <w:tab w:val="left" w:pos="851"/>
        </w:tabs>
        <w:ind w:left="851"/>
        <w:rPr>
          <w:sz w:val="24"/>
          <w:szCs w:val="24"/>
        </w:rPr>
      </w:pPr>
      <w:r w:rsidRPr="007D74AA">
        <w:rPr>
          <w:sz w:val="24"/>
          <w:szCs w:val="24"/>
        </w:rPr>
        <w:t xml:space="preserve">Ca. 68 % af </w:t>
      </w:r>
      <w:proofErr w:type="spellStart"/>
      <w:r w:rsidRPr="007D74AA">
        <w:rPr>
          <w:sz w:val="24"/>
          <w:szCs w:val="24"/>
        </w:rPr>
        <w:t>prasugreldosis</w:t>
      </w:r>
      <w:proofErr w:type="spellEnd"/>
      <w:r w:rsidRPr="007D74AA">
        <w:rPr>
          <w:sz w:val="24"/>
          <w:szCs w:val="24"/>
        </w:rPr>
        <w:t xml:space="preserve"> udskilles som inaktive metabolitter i urinen og 27 % i fæces. Den aktive metabolit har en eliminationshalveringstid på omkring 7,4 timer (fra 2 til 15 timer).</w:t>
      </w:r>
    </w:p>
    <w:p w14:paraId="7366BCBD" w14:textId="77777777" w:rsidR="007D74AA" w:rsidRPr="007D74AA" w:rsidRDefault="007D74AA" w:rsidP="007D74AA">
      <w:pPr>
        <w:tabs>
          <w:tab w:val="left" w:pos="851"/>
        </w:tabs>
        <w:ind w:left="851"/>
        <w:rPr>
          <w:sz w:val="24"/>
          <w:szCs w:val="24"/>
        </w:rPr>
      </w:pPr>
    </w:p>
    <w:p w14:paraId="47638636" w14:textId="77777777" w:rsidR="007D74AA" w:rsidRPr="007D74AA" w:rsidRDefault="007D74AA" w:rsidP="007D74AA">
      <w:pPr>
        <w:tabs>
          <w:tab w:val="left" w:pos="851"/>
        </w:tabs>
        <w:ind w:left="851"/>
        <w:rPr>
          <w:sz w:val="24"/>
          <w:szCs w:val="24"/>
          <w:u w:val="single"/>
        </w:rPr>
      </w:pPr>
      <w:proofErr w:type="spellStart"/>
      <w:r w:rsidRPr="007D74AA">
        <w:rPr>
          <w:sz w:val="24"/>
          <w:szCs w:val="24"/>
          <w:u w:val="single"/>
        </w:rPr>
        <w:t>Farmakodynamik</w:t>
      </w:r>
      <w:proofErr w:type="spellEnd"/>
      <w:r w:rsidRPr="007D74AA">
        <w:rPr>
          <w:sz w:val="24"/>
          <w:szCs w:val="24"/>
          <w:u w:val="single"/>
        </w:rPr>
        <w:t xml:space="preserve"> i særlige populationer</w:t>
      </w:r>
    </w:p>
    <w:p w14:paraId="5020A0A8" w14:textId="77777777" w:rsidR="007D74AA" w:rsidRPr="007D74AA" w:rsidRDefault="007D74AA" w:rsidP="007D74AA">
      <w:pPr>
        <w:tabs>
          <w:tab w:val="left" w:pos="851"/>
        </w:tabs>
        <w:ind w:left="851"/>
        <w:rPr>
          <w:i/>
          <w:iCs/>
          <w:sz w:val="24"/>
          <w:szCs w:val="24"/>
        </w:rPr>
      </w:pPr>
    </w:p>
    <w:p w14:paraId="0EC01B1C" w14:textId="77777777" w:rsidR="007D74AA" w:rsidRPr="007D74AA" w:rsidRDefault="007D74AA" w:rsidP="007D74AA">
      <w:pPr>
        <w:tabs>
          <w:tab w:val="left" w:pos="851"/>
        </w:tabs>
        <w:ind w:left="851"/>
        <w:rPr>
          <w:i/>
          <w:iCs/>
          <w:sz w:val="24"/>
          <w:szCs w:val="24"/>
        </w:rPr>
      </w:pPr>
      <w:r w:rsidRPr="007D74AA">
        <w:rPr>
          <w:i/>
          <w:iCs/>
          <w:sz w:val="24"/>
          <w:szCs w:val="24"/>
        </w:rPr>
        <w:t>Ældre</w:t>
      </w:r>
    </w:p>
    <w:p w14:paraId="7ADCBEFC" w14:textId="77777777" w:rsidR="007D74AA" w:rsidRPr="007D74AA" w:rsidRDefault="007D74AA" w:rsidP="007D74AA">
      <w:pPr>
        <w:tabs>
          <w:tab w:val="left" w:pos="851"/>
        </w:tabs>
        <w:ind w:left="851"/>
        <w:rPr>
          <w:sz w:val="24"/>
          <w:szCs w:val="24"/>
        </w:rPr>
      </w:pPr>
      <w:r w:rsidRPr="007D74AA">
        <w:rPr>
          <w:sz w:val="24"/>
          <w:szCs w:val="24"/>
        </w:rPr>
        <w:t xml:space="preserve">I et forsøg med raske forsøgspersoner mellem 20 og 80 år havde alder ingen signifikant virkning på </w:t>
      </w:r>
      <w:proofErr w:type="spellStart"/>
      <w:r w:rsidRPr="007D74AA">
        <w:rPr>
          <w:sz w:val="24"/>
          <w:szCs w:val="24"/>
        </w:rPr>
        <w:t>prasugrels</w:t>
      </w:r>
      <w:proofErr w:type="spellEnd"/>
      <w:r w:rsidRPr="007D74AA">
        <w:rPr>
          <w:sz w:val="24"/>
          <w:szCs w:val="24"/>
        </w:rPr>
        <w:t xml:space="preserve"> farmakokinetik eller dets hæmning af </w:t>
      </w:r>
      <w:proofErr w:type="spellStart"/>
      <w:r w:rsidRPr="007D74AA">
        <w:rPr>
          <w:sz w:val="24"/>
          <w:szCs w:val="24"/>
        </w:rPr>
        <w:t>trombocytaggregeringen</w:t>
      </w:r>
      <w:proofErr w:type="spellEnd"/>
      <w:r w:rsidRPr="007D74AA">
        <w:rPr>
          <w:sz w:val="24"/>
          <w:szCs w:val="24"/>
        </w:rPr>
        <w:t xml:space="preserve">. I det store kliniske fase 3-forsøg var den estimerede gennemsnitlige eksponering (AUC) af den aktive metabolit 19 % højere hos meget gamle patienter (≥75 år) sammenlignet med forsøgspersoner &lt;75 år. </w:t>
      </w:r>
      <w:proofErr w:type="spellStart"/>
      <w:r w:rsidRPr="007D74AA">
        <w:rPr>
          <w:sz w:val="24"/>
          <w:szCs w:val="24"/>
        </w:rPr>
        <w:t>Prasugrel</w:t>
      </w:r>
      <w:proofErr w:type="spellEnd"/>
      <w:r w:rsidRPr="007D74AA">
        <w:rPr>
          <w:sz w:val="24"/>
          <w:szCs w:val="24"/>
        </w:rPr>
        <w:t xml:space="preserve"> bør anvendes med forsigtighed til patienter ≥ 75 år på grund af den potentielle blødningsrisiko hos denne befolkningsgruppe (se pkt. 4.2 og 4.4). I et studie med patienter med stabil aterosklerose var det gennemsnitlige AUC for den aktive metabolit omtrent halvt så stort hos patienter ≥75 år, der fik 5 mg </w:t>
      </w:r>
      <w:proofErr w:type="spellStart"/>
      <w:r w:rsidRPr="007D74AA">
        <w:rPr>
          <w:sz w:val="24"/>
          <w:szCs w:val="24"/>
        </w:rPr>
        <w:t>prasugrel</w:t>
      </w:r>
      <w:proofErr w:type="spellEnd"/>
      <w:r w:rsidRPr="007D74AA">
        <w:rPr>
          <w:sz w:val="24"/>
          <w:szCs w:val="24"/>
        </w:rPr>
        <w:t xml:space="preserve">, som hos patienter &lt;65 år, der fik 10 mg </w:t>
      </w:r>
      <w:proofErr w:type="spellStart"/>
      <w:r w:rsidRPr="007D74AA">
        <w:rPr>
          <w:sz w:val="24"/>
          <w:szCs w:val="24"/>
        </w:rPr>
        <w:t>prasugrel</w:t>
      </w:r>
      <w:proofErr w:type="spellEnd"/>
      <w:r w:rsidRPr="007D74AA">
        <w:rPr>
          <w:sz w:val="24"/>
          <w:szCs w:val="24"/>
        </w:rPr>
        <w:t xml:space="preserve">. Den </w:t>
      </w:r>
      <w:proofErr w:type="spellStart"/>
      <w:r w:rsidRPr="007D74AA">
        <w:rPr>
          <w:sz w:val="24"/>
          <w:szCs w:val="24"/>
        </w:rPr>
        <w:t>antitrombotiske</w:t>
      </w:r>
      <w:proofErr w:type="spellEnd"/>
      <w:r w:rsidRPr="007D74AA">
        <w:rPr>
          <w:sz w:val="24"/>
          <w:szCs w:val="24"/>
        </w:rPr>
        <w:t xml:space="preserve"> virkning af 5 mg var reduceret, men var ikke-</w:t>
      </w:r>
      <w:proofErr w:type="spellStart"/>
      <w:r w:rsidRPr="007D74AA">
        <w:rPr>
          <w:sz w:val="24"/>
          <w:szCs w:val="24"/>
        </w:rPr>
        <w:t>inferior</w:t>
      </w:r>
      <w:proofErr w:type="spellEnd"/>
      <w:r w:rsidRPr="007D74AA">
        <w:rPr>
          <w:sz w:val="24"/>
          <w:szCs w:val="24"/>
        </w:rPr>
        <w:t xml:space="preserve"> sammenlignet med 10 mg.</w:t>
      </w:r>
    </w:p>
    <w:p w14:paraId="0197C422" w14:textId="77777777" w:rsidR="007D74AA" w:rsidRPr="007D74AA" w:rsidRDefault="007D74AA" w:rsidP="007D74AA">
      <w:pPr>
        <w:tabs>
          <w:tab w:val="left" w:pos="851"/>
        </w:tabs>
        <w:ind w:left="851"/>
        <w:rPr>
          <w:sz w:val="24"/>
          <w:szCs w:val="24"/>
        </w:rPr>
      </w:pPr>
    </w:p>
    <w:p w14:paraId="364C061F" w14:textId="77777777" w:rsidR="007D74AA" w:rsidRPr="007D74AA" w:rsidRDefault="007D74AA" w:rsidP="007D74AA">
      <w:pPr>
        <w:tabs>
          <w:tab w:val="left" w:pos="851"/>
        </w:tabs>
        <w:ind w:left="851"/>
        <w:rPr>
          <w:i/>
          <w:iCs/>
          <w:sz w:val="24"/>
          <w:szCs w:val="24"/>
        </w:rPr>
      </w:pPr>
      <w:r w:rsidRPr="007D74AA">
        <w:rPr>
          <w:i/>
          <w:iCs/>
          <w:sz w:val="24"/>
          <w:szCs w:val="24"/>
        </w:rPr>
        <w:t>Nedsat leverfunktion</w:t>
      </w:r>
    </w:p>
    <w:p w14:paraId="1D93AED4" w14:textId="77777777" w:rsidR="007D74AA" w:rsidRPr="007D74AA" w:rsidRDefault="007D74AA" w:rsidP="007D74AA">
      <w:pPr>
        <w:tabs>
          <w:tab w:val="left" w:pos="851"/>
        </w:tabs>
        <w:ind w:left="851"/>
        <w:rPr>
          <w:sz w:val="24"/>
          <w:szCs w:val="24"/>
        </w:rPr>
      </w:pPr>
      <w:r w:rsidRPr="007D74AA">
        <w:rPr>
          <w:sz w:val="24"/>
          <w:szCs w:val="24"/>
        </w:rPr>
        <w:t xml:space="preserve">Det er ikke nødvendigt at justere dosis hos patienter med mild til moderat nedsat leverfunktion (Child </w:t>
      </w:r>
      <w:proofErr w:type="spellStart"/>
      <w:r w:rsidRPr="007D74AA">
        <w:rPr>
          <w:sz w:val="24"/>
          <w:szCs w:val="24"/>
        </w:rPr>
        <w:t>Pugh</w:t>
      </w:r>
      <w:proofErr w:type="spellEnd"/>
      <w:r w:rsidRPr="007D74AA">
        <w:rPr>
          <w:sz w:val="24"/>
          <w:szCs w:val="24"/>
        </w:rPr>
        <w:t xml:space="preserve">-klasse A og B). </w:t>
      </w:r>
      <w:proofErr w:type="spellStart"/>
      <w:r w:rsidRPr="007D74AA">
        <w:rPr>
          <w:sz w:val="24"/>
          <w:szCs w:val="24"/>
        </w:rPr>
        <w:t>Prasugrels</w:t>
      </w:r>
      <w:proofErr w:type="spellEnd"/>
      <w:r w:rsidRPr="007D74AA">
        <w:rPr>
          <w:sz w:val="24"/>
          <w:szCs w:val="24"/>
        </w:rPr>
        <w:t xml:space="preserve"> farmakokinetik og dets hæmning af </w:t>
      </w:r>
      <w:proofErr w:type="spellStart"/>
      <w:r w:rsidRPr="007D74AA">
        <w:rPr>
          <w:sz w:val="24"/>
          <w:szCs w:val="24"/>
        </w:rPr>
        <w:t>trombocytaggregering</w:t>
      </w:r>
      <w:proofErr w:type="spellEnd"/>
      <w:r w:rsidRPr="007D74AA">
        <w:rPr>
          <w:sz w:val="24"/>
          <w:szCs w:val="24"/>
        </w:rPr>
        <w:t xml:space="preserve"> var ens hos forsøgspersoner med mild til moderat nedsat leverfunktion sammenlignet med raske forsøgspersoner.</w:t>
      </w:r>
    </w:p>
    <w:p w14:paraId="45A6B89B" w14:textId="77777777" w:rsidR="007D74AA" w:rsidRPr="007D74AA" w:rsidRDefault="007D74AA" w:rsidP="007D74AA">
      <w:pPr>
        <w:tabs>
          <w:tab w:val="left" w:pos="851"/>
        </w:tabs>
        <w:ind w:left="851"/>
        <w:rPr>
          <w:sz w:val="24"/>
          <w:szCs w:val="24"/>
        </w:rPr>
      </w:pPr>
      <w:proofErr w:type="spellStart"/>
      <w:r w:rsidRPr="007D74AA">
        <w:rPr>
          <w:sz w:val="24"/>
          <w:szCs w:val="24"/>
        </w:rPr>
        <w:t>Prasugrels</w:t>
      </w:r>
      <w:proofErr w:type="spellEnd"/>
      <w:r w:rsidRPr="007D74AA">
        <w:rPr>
          <w:sz w:val="24"/>
          <w:szCs w:val="24"/>
        </w:rPr>
        <w:t xml:space="preserve"> farmakokinetik og </w:t>
      </w:r>
      <w:proofErr w:type="spellStart"/>
      <w:r w:rsidRPr="007D74AA">
        <w:rPr>
          <w:sz w:val="24"/>
          <w:szCs w:val="24"/>
        </w:rPr>
        <w:t>farmakodynamik</w:t>
      </w:r>
      <w:proofErr w:type="spellEnd"/>
      <w:r w:rsidRPr="007D74AA">
        <w:rPr>
          <w:sz w:val="24"/>
          <w:szCs w:val="24"/>
        </w:rPr>
        <w:t xml:space="preserve"> hos patienter med svært nedsat leverfunktion er ikke undersøgt. </w:t>
      </w:r>
      <w:proofErr w:type="spellStart"/>
      <w:r w:rsidRPr="007D74AA">
        <w:rPr>
          <w:sz w:val="24"/>
          <w:szCs w:val="24"/>
        </w:rPr>
        <w:t>Prasugrel</w:t>
      </w:r>
      <w:proofErr w:type="spellEnd"/>
      <w:r w:rsidRPr="007D74AA">
        <w:rPr>
          <w:sz w:val="24"/>
          <w:szCs w:val="24"/>
        </w:rPr>
        <w:t xml:space="preserve"> må ikke anvendes til patienter med svært nedsat leverfunktion (se pkt. 4.3).</w:t>
      </w:r>
    </w:p>
    <w:p w14:paraId="2804F7FD" w14:textId="77777777" w:rsidR="007D74AA" w:rsidRPr="007D74AA" w:rsidRDefault="007D74AA" w:rsidP="007D74AA">
      <w:pPr>
        <w:tabs>
          <w:tab w:val="left" w:pos="851"/>
        </w:tabs>
        <w:ind w:left="851"/>
        <w:rPr>
          <w:sz w:val="24"/>
          <w:szCs w:val="24"/>
        </w:rPr>
      </w:pPr>
    </w:p>
    <w:p w14:paraId="61AA6B0B" w14:textId="77777777" w:rsidR="007D74AA" w:rsidRPr="007D74AA" w:rsidRDefault="007D74AA" w:rsidP="007D74AA">
      <w:pPr>
        <w:tabs>
          <w:tab w:val="left" w:pos="851"/>
        </w:tabs>
        <w:ind w:left="851"/>
        <w:rPr>
          <w:i/>
          <w:iCs/>
          <w:sz w:val="24"/>
          <w:szCs w:val="24"/>
        </w:rPr>
      </w:pPr>
      <w:r w:rsidRPr="007D74AA">
        <w:rPr>
          <w:i/>
          <w:iCs/>
          <w:sz w:val="24"/>
          <w:szCs w:val="24"/>
        </w:rPr>
        <w:t>Nedsat nyrefunktion</w:t>
      </w:r>
    </w:p>
    <w:p w14:paraId="61D95F6F" w14:textId="7EACBE33" w:rsidR="007D74AA" w:rsidRPr="007D74AA" w:rsidRDefault="007D74AA" w:rsidP="007D74AA">
      <w:pPr>
        <w:tabs>
          <w:tab w:val="left" w:pos="851"/>
        </w:tabs>
        <w:ind w:left="851"/>
        <w:rPr>
          <w:sz w:val="24"/>
          <w:szCs w:val="24"/>
        </w:rPr>
      </w:pPr>
      <w:r w:rsidRPr="007D74AA">
        <w:rPr>
          <w:sz w:val="24"/>
          <w:szCs w:val="24"/>
        </w:rPr>
        <w:t xml:space="preserve">Det er ikke nødvendigt at justere dosis hos patienter med nedsat nyrefunktion, herunder patienter med nyresygdom i slutstadiet (ESRD). </w:t>
      </w:r>
      <w:proofErr w:type="spellStart"/>
      <w:r w:rsidRPr="007D74AA">
        <w:rPr>
          <w:sz w:val="24"/>
          <w:szCs w:val="24"/>
        </w:rPr>
        <w:t>Prasugrels</w:t>
      </w:r>
      <w:proofErr w:type="spellEnd"/>
      <w:r w:rsidRPr="007D74AA">
        <w:rPr>
          <w:sz w:val="24"/>
          <w:szCs w:val="24"/>
        </w:rPr>
        <w:t xml:space="preserve"> farmakokinetik og dets hæmning af </w:t>
      </w:r>
      <w:proofErr w:type="spellStart"/>
      <w:r w:rsidRPr="007D74AA">
        <w:rPr>
          <w:sz w:val="24"/>
          <w:szCs w:val="24"/>
        </w:rPr>
        <w:t>trombocytaggregering</w:t>
      </w:r>
      <w:proofErr w:type="spellEnd"/>
      <w:r w:rsidRPr="007D74AA">
        <w:rPr>
          <w:sz w:val="24"/>
          <w:szCs w:val="24"/>
        </w:rPr>
        <w:t xml:space="preserve"> er den samme hos patienter med moderat nedsat nyrefunktion (GFR 30&lt;50 ml/min/1,73</w:t>
      </w:r>
      <w:r w:rsidR="00E11E3E">
        <w:rPr>
          <w:sz w:val="24"/>
          <w:szCs w:val="24"/>
        </w:rPr>
        <w:t xml:space="preserve"> </w:t>
      </w:r>
      <w:r w:rsidRPr="007D74AA">
        <w:rPr>
          <w:sz w:val="24"/>
          <w:szCs w:val="24"/>
        </w:rPr>
        <w:t xml:space="preserve">m²) som hos raske forsøgspersoner. </w:t>
      </w:r>
      <w:proofErr w:type="spellStart"/>
      <w:r w:rsidRPr="007D74AA">
        <w:rPr>
          <w:sz w:val="24"/>
          <w:szCs w:val="24"/>
        </w:rPr>
        <w:t>Prasugrelmedieret</w:t>
      </w:r>
      <w:proofErr w:type="spellEnd"/>
      <w:r w:rsidRPr="007D74AA">
        <w:rPr>
          <w:sz w:val="24"/>
          <w:szCs w:val="24"/>
        </w:rPr>
        <w:t xml:space="preserve"> hæmning af </w:t>
      </w:r>
      <w:proofErr w:type="spellStart"/>
      <w:r w:rsidRPr="007D74AA">
        <w:rPr>
          <w:sz w:val="24"/>
          <w:szCs w:val="24"/>
        </w:rPr>
        <w:t>trombocytaggregeringen</w:t>
      </w:r>
      <w:proofErr w:type="spellEnd"/>
      <w:r w:rsidRPr="007D74AA">
        <w:rPr>
          <w:sz w:val="24"/>
          <w:szCs w:val="24"/>
        </w:rPr>
        <w:t xml:space="preserve"> var ligeledes den samme hos patienter med ESRD, som havde behov for hæmodialyse, sammenlignet med raske forsøgspersoner, på trods af at </w:t>
      </w:r>
      <w:proofErr w:type="spellStart"/>
      <w:r w:rsidRPr="007D74AA">
        <w:rPr>
          <w:sz w:val="24"/>
          <w:szCs w:val="24"/>
        </w:rPr>
        <w:t>C</w:t>
      </w:r>
      <w:r w:rsidRPr="00042B48">
        <w:rPr>
          <w:sz w:val="24"/>
          <w:szCs w:val="24"/>
          <w:vertAlign w:val="subscript"/>
        </w:rPr>
        <w:t>max</w:t>
      </w:r>
      <w:proofErr w:type="spellEnd"/>
      <w:r w:rsidRPr="007D74AA">
        <w:rPr>
          <w:sz w:val="24"/>
          <w:szCs w:val="24"/>
        </w:rPr>
        <w:t xml:space="preserve"> og AUC af den aktive metabolit faldt henholdsvis 51</w:t>
      </w:r>
      <w:r w:rsidR="00E11E3E">
        <w:rPr>
          <w:sz w:val="24"/>
          <w:szCs w:val="24"/>
        </w:rPr>
        <w:t> </w:t>
      </w:r>
      <w:r w:rsidRPr="007D74AA">
        <w:rPr>
          <w:sz w:val="24"/>
          <w:szCs w:val="24"/>
        </w:rPr>
        <w:t xml:space="preserve">% og 42 % hos </w:t>
      </w:r>
      <w:proofErr w:type="gramStart"/>
      <w:r w:rsidRPr="007D74AA">
        <w:rPr>
          <w:sz w:val="24"/>
          <w:szCs w:val="24"/>
        </w:rPr>
        <w:t>ESRD patienter</w:t>
      </w:r>
      <w:proofErr w:type="gramEnd"/>
      <w:r w:rsidRPr="007D74AA">
        <w:rPr>
          <w:sz w:val="24"/>
          <w:szCs w:val="24"/>
        </w:rPr>
        <w:t>.</w:t>
      </w:r>
    </w:p>
    <w:p w14:paraId="6B2F0861" w14:textId="77777777" w:rsidR="007D74AA" w:rsidRPr="007D74AA" w:rsidRDefault="007D74AA" w:rsidP="007D74AA">
      <w:pPr>
        <w:tabs>
          <w:tab w:val="left" w:pos="851"/>
        </w:tabs>
        <w:ind w:left="851"/>
        <w:rPr>
          <w:sz w:val="24"/>
          <w:szCs w:val="24"/>
        </w:rPr>
      </w:pPr>
    </w:p>
    <w:p w14:paraId="06615007" w14:textId="77777777" w:rsidR="007D74AA" w:rsidRPr="007D74AA" w:rsidRDefault="007D74AA" w:rsidP="007D74AA">
      <w:pPr>
        <w:tabs>
          <w:tab w:val="left" w:pos="851"/>
        </w:tabs>
        <w:ind w:left="851"/>
        <w:rPr>
          <w:i/>
          <w:iCs/>
          <w:sz w:val="24"/>
          <w:szCs w:val="24"/>
        </w:rPr>
      </w:pPr>
      <w:r w:rsidRPr="007D74AA">
        <w:rPr>
          <w:i/>
          <w:iCs/>
          <w:sz w:val="24"/>
          <w:szCs w:val="24"/>
        </w:rPr>
        <w:t>Legemsvægt</w:t>
      </w:r>
    </w:p>
    <w:p w14:paraId="5E47C77A" w14:textId="77777777" w:rsidR="007D74AA" w:rsidRPr="007D74AA" w:rsidRDefault="007D74AA" w:rsidP="007D74AA">
      <w:pPr>
        <w:tabs>
          <w:tab w:val="left" w:pos="851"/>
        </w:tabs>
        <w:ind w:left="851"/>
        <w:rPr>
          <w:sz w:val="24"/>
          <w:szCs w:val="24"/>
        </w:rPr>
      </w:pPr>
      <w:r w:rsidRPr="007D74AA">
        <w:rPr>
          <w:sz w:val="24"/>
          <w:szCs w:val="24"/>
        </w:rPr>
        <w:t xml:space="preserve">Den gennemsnitlige eksponering (AUC) af </w:t>
      </w:r>
      <w:proofErr w:type="spellStart"/>
      <w:r w:rsidRPr="007D74AA">
        <w:rPr>
          <w:sz w:val="24"/>
          <w:szCs w:val="24"/>
        </w:rPr>
        <w:t>prasugrels</w:t>
      </w:r>
      <w:proofErr w:type="spellEnd"/>
      <w:r w:rsidRPr="007D74AA">
        <w:rPr>
          <w:sz w:val="24"/>
          <w:szCs w:val="24"/>
        </w:rPr>
        <w:t xml:space="preserve"> aktive metabolit er ca. 30 til 40 % højere hos raske forsøgspersoner og patienter med en legemsvægt på &lt;60 kg sammenlignet med dem, som vejer ≥60 kg.</w:t>
      </w:r>
    </w:p>
    <w:p w14:paraId="02BC703C" w14:textId="3EEAFC15" w:rsidR="007D74AA" w:rsidRPr="007D74AA" w:rsidRDefault="007D74AA" w:rsidP="007D74AA">
      <w:pPr>
        <w:tabs>
          <w:tab w:val="left" w:pos="851"/>
        </w:tabs>
        <w:ind w:left="851"/>
        <w:rPr>
          <w:sz w:val="24"/>
          <w:szCs w:val="24"/>
        </w:rPr>
      </w:pPr>
      <w:proofErr w:type="spellStart"/>
      <w:r w:rsidRPr="007D74AA">
        <w:rPr>
          <w:sz w:val="24"/>
          <w:szCs w:val="24"/>
        </w:rPr>
        <w:t>Prasugrel</w:t>
      </w:r>
      <w:proofErr w:type="spellEnd"/>
      <w:r w:rsidRPr="007D74AA">
        <w:rPr>
          <w:sz w:val="24"/>
          <w:szCs w:val="24"/>
        </w:rPr>
        <w:t xml:space="preserve"> bør anvendes med forsigtighed til patienter med legemsvægt &lt;60 kg på grund af den potentielle blødningsrisiko hos denne gruppe (se pkt. 4.4). I et studie med patienter med stabil aterosklerose var det gennemsnitlige AUC for den aktive metabolit 38 % lavere hos patienter &lt;60 kg, som fik 5 mg </w:t>
      </w:r>
      <w:proofErr w:type="spellStart"/>
      <w:r w:rsidRPr="007D74AA">
        <w:rPr>
          <w:sz w:val="24"/>
          <w:szCs w:val="24"/>
        </w:rPr>
        <w:t>prasugrel</w:t>
      </w:r>
      <w:proofErr w:type="spellEnd"/>
      <w:r w:rsidRPr="007D74AA">
        <w:rPr>
          <w:sz w:val="24"/>
          <w:szCs w:val="24"/>
        </w:rPr>
        <w:t xml:space="preserve">, end hos patienter ≥60 kg, som fik 10 mg </w:t>
      </w:r>
      <w:proofErr w:type="spellStart"/>
      <w:r w:rsidRPr="007D74AA">
        <w:rPr>
          <w:sz w:val="24"/>
          <w:szCs w:val="24"/>
        </w:rPr>
        <w:t>prasugrel</w:t>
      </w:r>
      <w:proofErr w:type="spellEnd"/>
      <w:r w:rsidRPr="007D74AA">
        <w:rPr>
          <w:sz w:val="24"/>
          <w:szCs w:val="24"/>
        </w:rPr>
        <w:t xml:space="preserve">. Den </w:t>
      </w:r>
      <w:proofErr w:type="spellStart"/>
      <w:r w:rsidRPr="007D74AA">
        <w:rPr>
          <w:sz w:val="24"/>
          <w:szCs w:val="24"/>
        </w:rPr>
        <w:t>antitrombotiske</w:t>
      </w:r>
      <w:proofErr w:type="spellEnd"/>
      <w:r w:rsidRPr="007D74AA">
        <w:rPr>
          <w:sz w:val="24"/>
          <w:szCs w:val="24"/>
        </w:rPr>
        <w:t xml:space="preserve"> virkning af 5 mg var sammenlignelig med virkningen af 10</w:t>
      </w:r>
      <w:r w:rsidR="00E11E3E">
        <w:rPr>
          <w:sz w:val="24"/>
          <w:szCs w:val="24"/>
        </w:rPr>
        <w:t> </w:t>
      </w:r>
      <w:r w:rsidRPr="007D74AA">
        <w:rPr>
          <w:sz w:val="24"/>
          <w:szCs w:val="24"/>
        </w:rPr>
        <w:t>mg.</w:t>
      </w:r>
    </w:p>
    <w:p w14:paraId="122A6A44" w14:textId="77777777" w:rsidR="007D74AA" w:rsidRPr="007D74AA" w:rsidRDefault="007D74AA" w:rsidP="007D74AA">
      <w:pPr>
        <w:tabs>
          <w:tab w:val="left" w:pos="851"/>
        </w:tabs>
        <w:ind w:left="851"/>
        <w:rPr>
          <w:sz w:val="24"/>
          <w:szCs w:val="24"/>
        </w:rPr>
      </w:pPr>
    </w:p>
    <w:p w14:paraId="003B7C97" w14:textId="77777777" w:rsidR="007D74AA" w:rsidRPr="007D74AA" w:rsidRDefault="007D74AA" w:rsidP="007D74AA">
      <w:pPr>
        <w:tabs>
          <w:tab w:val="left" w:pos="851"/>
        </w:tabs>
        <w:ind w:left="851"/>
        <w:rPr>
          <w:i/>
          <w:iCs/>
          <w:sz w:val="24"/>
          <w:szCs w:val="24"/>
        </w:rPr>
      </w:pPr>
      <w:r w:rsidRPr="007D74AA">
        <w:rPr>
          <w:i/>
          <w:iCs/>
          <w:sz w:val="24"/>
          <w:szCs w:val="24"/>
        </w:rPr>
        <w:t>Etnicitet</w:t>
      </w:r>
    </w:p>
    <w:p w14:paraId="052754B9" w14:textId="77777777" w:rsidR="007D74AA" w:rsidRPr="007D74AA" w:rsidRDefault="007D74AA" w:rsidP="007D74AA">
      <w:pPr>
        <w:tabs>
          <w:tab w:val="left" w:pos="851"/>
        </w:tabs>
        <w:ind w:left="851"/>
        <w:rPr>
          <w:sz w:val="24"/>
          <w:szCs w:val="24"/>
        </w:rPr>
      </w:pPr>
      <w:r w:rsidRPr="007D74AA">
        <w:rPr>
          <w:sz w:val="24"/>
          <w:szCs w:val="24"/>
        </w:rPr>
        <w:t xml:space="preserve">I klinisk farmakologiske forsøg var AUC af den aktive metabolit efter justering for legemsvægt ca. 19 % højere hos kinesiske, japanske og koreanske forsøgspersoner sammenlignet med kaukasiere. Dette skyldtes især højere eksponering hos asiater &lt;60 kg. Der er ingen forskel i eksponering blandt kinesiske, japanske og koreanske forsøgspersoner. Eksponering hos forsøgspersoner af afrikansk og </w:t>
      </w:r>
      <w:proofErr w:type="spellStart"/>
      <w:r w:rsidRPr="007D74AA">
        <w:rPr>
          <w:sz w:val="24"/>
          <w:szCs w:val="24"/>
        </w:rPr>
        <w:t>latin-amerikansk</w:t>
      </w:r>
      <w:proofErr w:type="spellEnd"/>
      <w:r w:rsidRPr="007D74AA">
        <w:rPr>
          <w:sz w:val="24"/>
          <w:szCs w:val="24"/>
        </w:rPr>
        <w:t xml:space="preserve"> afstamning er sammenlignelig med den for kaukasiere. Der tilrådes ingen dosisjustering baseret på etnicitet alene.</w:t>
      </w:r>
    </w:p>
    <w:p w14:paraId="50E9E299" w14:textId="77777777" w:rsidR="007D74AA" w:rsidRPr="007D74AA" w:rsidRDefault="007D74AA" w:rsidP="007D74AA">
      <w:pPr>
        <w:tabs>
          <w:tab w:val="left" w:pos="851"/>
        </w:tabs>
        <w:ind w:left="851"/>
        <w:rPr>
          <w:sz w:val="24"/>
          <w:szCs w:val="24"/>
        </w:rPr>
      </w:pPr>
    </w:p>
    <w:p w14:paraId="37A6E1EF" w14:textId="77777777" w:rsidR="007D74AA" w:rsidRPr="007D74AA" w:rsidRDefault="007D74AA" w:rsidP="007D74AA">
      <w:pPr>
        <w:tabs>
          <w:tab w:val="left" w:pos="851"/>
        </w:tabs>
        <w:ind w:left="851"/>
        <w:rPr>
          <w:i/>
          <w:iCs/>
          <w:sz w:val="24"/>
          <w:szCs w:val="24"/>
        </w:rPr>
      </w:pPr>
      <w:r w:rsidRPr="007D74AA">
        <w:rPr>
          <w:i/>
          <w:iCs/>
          <w:sz w:val="24"/>
          <w:szCs w:val="24"/>
        </w:rPr>
        <w:t>Køn</w:t>
      </w:r>
    </w:p>
    <w:p w14:paraId="18365310" w14:textId="77777777" w:rsidR="007D74AA" w:rsidRPr="007D74AA" w:rsidRDefault="007D74AA" w:rsidP="007D74AA">
      <w:pPr>
        <w:tabs>
          <w:tab w:val="left" w:pos="851"/>
        </w:tabs>
        <w:ind w:left="851"/>
        <w:rPr>
          <w:sz w:val="24"/>
          <w:szCs w:val="24"/>
        </w:rPr>
      </w:pPr>
      <w:r w:rsidRPr="007D74AA">
        <w:rPr>
          <w:sz w:val="24"/>
          <w:szCs w:val="24"/>
        </w:rPr>
        <w:t xml:space="preserve">Hos raske forsøgspersoner og patienter er </w:t>
      </w:r>
      <w:proofErr w:type="spellStart"/>
      <w:r w:rsidRPr="007D74AA">
        <w:rPr>
          <w:sz w:val="24"/>
          <w:szCs w:val="24"/>
        </w:rPr>
        <w:t>prasugrels</w:t>
      </w:r>
      <w:proofErr w:type="spellEnd"/>
      <w:r w:rsidRPr="007D74AA">
        <w:rPr>
          <w:sz w:val="24"/>
          <w:szCs w:val="24"/>
        </w:rPr>
        <w:t xml:space="preserve"> farmakokinetik ens hos mænd og kvinder.</w:t>
      </w:r>
    </w:p>
    <w:p w14:paraId="771D39FE" w14:textId="77777777" w:rsidR="007D74AA" w:rsidRPr="007D74AA" w:rsidRDefault="007D74AA" w:rsidP="007D74AA">
      <w:pPr>
        <w:tabs>
          <w:tab w:val="left" w:pos="851"/>
        </w:tabs>
        <w:ind w:left="851"/>
        <w:rPr>
          <w:sz w:val="24"/>
          <w:szCs w:val="24"/>
        </w:rPr>
      </w:pPr>
    </w:p>
    <w:p w14:paraId="3746B36B" w14:textId="77777777" w:rsidR="007D74AA" w:rsidRPr="007D74AA" w:rsidRDefault="007D74AA" w:rsidP="007D74AA">
      <w:pPr>
        <w:tabs>
          <w:tab w:val="left" w:pos="851"/>
        </w:tabs>
        <w:ind w:left="851"/>
        <w:rPr>
          <w:i/>
          <w:iCs/>
          <w:sz w:val="24"/>
          <w:szCs w:val="24"/>
        </w:rPr>
      </w:pPr>
      <w:r w:rsidRPr="007D74AA">
        <w:rPr>
          <w:i/>
          <w:iCs/>
          <w:sz w:val="24"/>
          <w:szCs w:val="24"/>
        </w:rPr>
        <w:t>Pædiatrisk population</w:t>
      </w:r>
    </w:p>
    <w:p w14:paraId="2E5DEA50" w14:textId="77777777" w:rsidR="007D74AA" w:rsidRPr="007D74AA" w:rsidRDefault="007D74AA" w:rsidP="007D74AA">
      <w:pPr>
        <w:tabs>
          <w:tab w:val="left" w:pos="851"/>
        </w:tabs>
        <w:ind w:left="851"/>
        <w:rPr>
          <w:sz w:val="24"/>
          <w:szCs w:val="24"/>
        </w:rPr>
      </w:pPr>
      <w:proofErr w:type="spellStart"/>
      <w:r w:rsidRPr="007D74AA">
        <w:rPr>
          <w:sz w:val="24"/>
          <w:szCs w:val="24"/>
        </w:rPr>
        <w:t>Prasugrels</w:t>
      </w:r>
      <w:proofErr w:type="spellEnd"/>
      <w:r w:rsidRPr="007D74AA">
        <w:rPr>
          <w:sz w:val="24"/>
          <w:szCs w:val="24"/>
        </w:rPr>
        <w:t xml:space="preserve"> farmakokinetik og </w:t>
      </w:r>
      <w:proofErr w:type="spellStart"/>
      <w:r w:rsidRPr="007D74AA">
        <w:rPr>
          <w:sz w:val="24"/>
          <w:szCs w:val="24"/>
        </w:rPr>
        <w:t>farmakodynamik</w:t>
      </w:r>
      <w:proofErr w:type="spellEnd"/>
      <w:r w:rsidRPr="007D74AA">
        <w:rPr>
          <w:sz w:val="24"/>
          <w:szCs w:val="24"/>
        </w:rPr>
        <w:t xml:space="preserve"> er ikke evalueret hos en pædiatrisk population (se pkt. 4.2).</w:t>
      </w:r>
    </w:p>
    <w:p w14:paraId="7835639F" w14:textId="57D581A7" w:rsidR="00E11E3E" w:rsidRDefault="00E11E3E">
      <w:pPr>
        <w:rPr>
          <w:sz w:val="24"/>
          <w:szCs w:val="24"/>
        </w:rPr>
      </w:pPr>
      <w:r>
        <w:rPr>
          <w:sz w:val="24"/>
          <w:szCs w:val="24"/>
        </w:rPr>
        <w:br w:type="page"/>
      </w:r>
    </w:p>
    <w:p w14:paraId="34DBBD35" w14:textId="77777777" w:rsidR="009260DE" w:rsidRPr="00C84483" w:rsidRDefault="009260DE" w:rsidP="009260DE">
      <w:pPr>
        <w:tabs>
          <w:tab w:val="left" w:pos="851"/>
        </w:tabs>
        <w:ind w:left="851"/>
        <w:rPr>
          <w:sz w:val="24"/>
          <w:szCs w:val="24"/>
        </w:rPr>
      </w:pPr>
    </w:p>
    <w:p w14:paraId="333BBA7B"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7E585D5C" w14:textId="77777777" w:rsidR="00AA3FAA" w:rsidRPr="00AA3FAA" w:rsidRDefault="00AA3FAA" w:rsidP="00AA3FAA">
      <w:pPr>
        <w:tabs>
          <w:tab w:val="left" w:pos="851"/>
        </w:tabs>
        <w:ind w:left="851"/>
        <w:rPr>
          <w:sz w:val="24"/>
          <w:szCs w:val="24"/>
        </w:rPr>
      </w:pPr>
      <w:r w:rsidRPr="00AA3FAA">
        <w:rPr>
          <w:sz w:val="24"/>
          <w:szCs w:val="24"/>
        </w:rPr>
        <w:t xml:space="preserve">Non-kliniske data viser ingen speciel risiko for mennesker vurderet ud fra konventionelle studier af sikkerhedsfarmakologi, toksicitet efter gentagne doser, genotoksicitet, </w:t>
      </w:r>
      <w:proofErr w:type="spellStart"/>
      <w:r w:rsidRPr="00AA3FAA">
        <w:rPr>
          <w:sz w:val="24"/>
          <w:szCs w:val="24"/>
        </w:rPr>
        <w:t>karcinogent</w:t>
      </w:r>
      <w:proofErr w:type="spellEnd"/>
      <w:r w:rsidRPr="00AA3FAA">
        <w:rPr>
          <w:sz w:val="24"/>
          <w:szCs w:val="24"/>
        </w:rPr>
        <w:t xml:space="preserve"> potentiale samt reproduktionstoksicitet - og udviklingstoksicitet. </w:t>
      </w:r>
    </w:p>
    <w:p w14:paraId="1F0296BF" w14:textId="77777777" w:rsidR="00AA3FAA" w:rsidRPr="00AA3FAA" w:rsidRDefault="00AA3FAA" w:rsidP="00AA3FAA">
      <w:pPr>
        <w:tabs>
          <w:tab w:val="left" w:pos="851"/>
        </w:tabs>
        <w:ind w:left="851"/>
        <w:rPr>
          <w:sz w:val="24"/>
          <w:szCs w:val="24"/>
        </w:rPr>
      </w:pPr>
      <w:r w:rsidRPr="00AA3FAA">
        <w:rPr>
          <w:sz w:val="24"/>
          <w:szCs w:val="24"/>
        </w:rPr>
        <w:t>I non-kliniske studier blev der kun iagttaget virkninger ved doser, der anses for at overstige den maksimale humane eksponering i tilstrækkelig grad. Disse virkninger vurderes derfor til at være af ringe klinisk relevans.</w:t>
      </w:r>
    </w:p>
    <w:p w14:paraId="415DEED6" w14:textId="77777777" w:rsidR="00AA3FAA" w:rsidRPr="00AA3FAA" w:rsidRDefault="00AA3FAA" w:rsidP="00AA3FAA">
      <w:pPr>
        <w:tabs>
          <w:tab w:val="left" w:pos="851"/>
        </w:tabs>
        <w:ind w:left="851"/>
        <w:rPr>
          <w:sz w:val="24"/>
          <w:szCs w:val="24"/>
        </w:rPr>
      </w:pPr>
    </w:p>
    <w:p w14:paraId="4BA04C3A" w14:textId="77777777" w:rsidR="00AA3FAA" w:rsidRPr="00AA3FAA" w:rsidRDefault="00AA3FAA" w:rsidP="00AA3FAA">
      <w:pPr>
        <w:tabs>
          <w:tab w:val="left" w:pos="851"/>
        </w:tabs>
        <w:ind w:left="851"/>
        <w:rPr>
          <w:sz w:val="24"/>
          <w:szCs w:val="24"/>
        </w:rPr>
      </w:pPr>
      <w:r w:rsidRPr="00AA3FAA">
        <w:rPr>
          <w:sz w:val="24"/>
          <w:szCs w:val="24"/>
        </w:rPr>
        <w:t xml:space="preserve">Toksikologiforsøg på embryo-fosterudvikling hos rotter og kaniner viste ingen tegn på misdannelser på grund af </w:t>
      </w:r>
      <w:proofErr w:type="spellStart"/>
      <w:r w:rsidRPr="00AA3FAA">
        <w:rPr>
          <w:sz w:val="24"/>
          <w:szCs w:val="24"/>
        </w:rPr>
        <w:t>prasugrel</w:t>
      </w:r>
      <w:proofErr w:type="spellEnd"/>
      <w:r w:rsidRPr="00AA3FAA">
        <w:rPr>
          <w:sz w:val="24"/>
          <w:szCs w:val="24"/>
        </w:rPr>
        <w:t xml:space="preserve">. Ved en meget høj dosis (&gt; 240 gange den anbefalede daglige humane vedligeholdelsesdosis på basis af mg/m²), som påvirkede moderens kropsvægt og/eller fødeindtagelse, var der et let fald i afkommets legemsvægt (i forhold til kontroller). I præ- og </w:t>
      </w:r>
      <w:proofErr w:type="spellStart"/>
      <w:r w:rsidRPr="00AA3FAA">
        <w:rPr>
          <w:sz w:val="24"/>
          <w:szCs w:val="24"/>
        </w:rPr>
        <w:t>postnatale</w:t>
      </w:r>
      <w:proofErr w:type="spellEnd"/>
      <w:r w:rsidRPr="00AA3FAA">
        <w:rPr>
          <w:sz w:val="24"/>
          <w:szCs w:val="24"/>
        </w:rPr>
        <w:t xml:space="preserve"> rotteforsøg havde den </w:t>
      </w:r>
      <w:proofErr w:type="spellStart"/>
      <w:r w:rsidRPr="00AA3FAA">
        <w:rPr>
          <w:sz w:val="24"/>
          <w:szCs w:val="24"/>
        </w:rPr>
        <w:t>maternelle</w:t>
      </w:r>
      <w:proofErr w:type="spellEnd"/>
      <w:r w:rsidRPr="00AA3FAA">
        <w:rPr>
          <w:sz w:val="24"/>
          <w:szCs w:val="24"/>
        </w:rPr>
        <w:t xml:space="preserve"> behandling ingen virkning på adfærden eller reproduktiv udvikling af afkommet ved doser op til en eksponering 240 gange den anbefalede daglige humane vedligeholdelsesdosis (baseret på mg/m²).</w:t>
      </w:r>
    </w:p>
    <w:p w14:paraId="5F9927A8" w14:textId="77777777" w:rsidR="00AA3FAA" w:rsidRPr="00AA3FAA" w:rsidRDefault="00AA3FAA" w:rsidP="00AA3FAA">
      <w:pPr>
        <w:tabs>
          <w:tab w:val="left" w:pos="851"/>
        </w:tabs>
        <w:ind w:left="851"/>
        <w:rPr>
          <w:sz w:val="24"/>
          <w:szCs w:val="24"/>
        </w:rPr>
      </w:pPr>
    </w:p>
    <w:p w14:paraId="11934907" w14:textId="77777777" w:rsidR="00AA3FAA" w:rsidRPr="00AA3FAA" w:rsidRDefault="00AA3FAA" w:rsidP="00AA3FAA">
      <w:pPr>
        <w:tabs>
          <w:tab w:val="left" w:pos="851"/>
        </w:tabs>
        <w:ind w:left="851"/>
        <w:rPr>
          <w:sz w:val="24"/>
          <w:szCs w:val="24"/>
        </w:rPr>
      </w:pPr>
      <w:r w:rsidRPr="00AA3FAA">
        <w:rPr>
          <w:sz w:val="24"/>
          <w:szCs w:val="24"/>
        </w:rPr>
        <w:t xml:space="preserve">Der blev ikke observeret nogen stofrelaterede tumorer i et 2-årigt rotteforsøg med eksponeringer af </w:t>
      </w:r>
      <w:proofErr w:type="spellStart"/>
      <w:r w:rsidRPr="00AA3FAA">
        <w:rPr>
          <w:sz w:val="24"/>
          <w:szCs w:val="24"/>
        </w:rPr>
        <w:t>prasugrel</w:t>
      </w:r>
      <w:proofErr w:type="spellEnd"/>
      <w:r w:rsidRPr="00AA3FAA">
        <w:rPr>
          <w:sz w:val="24"/>
          <w:szCs w:val="24"/>
        </w:rPr>
        <w:t xml:space="preserve">, der rækker til mere end 75 gange den anbefalede terapeutiske eksponering hos mennesker (baseret på plasmaeksponeringer for den aktive og de vigtigste metabolitter i det humane kredsløb). Der var en øget </w:t>
      </w:r>
      <w:proofErr w:type="spellStart"/>
      <w:r w:rsidRPr="00AA3FAA">
        <w:rPr>
          <w:sz w:val="24"/>
          <w:szCs w:val="24"/>
        </w:rPr>
        <w:t>incidens</w:t>
      </w:r>
      <w:proofErr w:type="spellEnd"/>
      <w:r w:rsidRPr="00AA3FAA">
        <w:rPr>
          <w:sz w:val="24"/>
          <w:szCs w:val="24"/>
        </w:rPr>
        <w:t xml:space="preserve"> af tumorer (</w:t>
      </w:r>
      <w:proofErr w:type="spellStart"/>
      <w:r w:rsidRPr="00AA3FAA">
        <w:rPr>
          <w:sz w:val="24"/>
          <w:szCs w:val="24"/>
        </w:rPr>
        <w:t>hepatocellulære</w:t>
      </w:r>
      <w:proofErr w:type="spellEnd"/>
      <w:r w:rsidRPr="00AA3FAA">
        <w:rPr>
          <w:sz w:val="24"/>
          <w:szCs w:val="24"/>
        </w:rPr>
        <w:t xml:space="preserve"> </w:t>
      </w:r>
      <w:proofErr w:type="spellStart"/>
      <w:r w:rsidRPr="00AA3FAA">
        <w:rPr>
          <w:sz w:val="24"/>
          <w:szCs w:val="24"/>
        </w:rPr>
        <w:t>adenomer</w:t>
      </w:r>
      <w:proofErr w:type="spellEnd"/>
      <w:r w:rsidRPr="00AA3FAA">
        <w:rPr>
          <w:sz w:val="24"/>
          <w:szCs w:val="24"/>
        </w:rPr>
        <w:t xml:space="preserve">) hos mus eksponeret gennem 2 år med høje doser (&lt;75 gange human eksponering), men dette blev betragtet sekundært til </w:t>
      </w:r>
      <w:proofErr w:type="spellStart"/>
      <w:r w:rsidRPr="00AA3FAA">
        <w:rPr>
          <w:sz w:val="24"/>
          <w:szCs w:val="24"/>
        </w:rPr>
        <w:t>prasugrelinduceret</w:t>
      </w:r>
      <w:proofErr w:type="spellEnd"/>
      <w:r w:rsidRPr="00AA3FAA">
        <w:rPr>
          <w:sz w:val="24"/>
          <w:szCs w:val="24"/>
        </w:rPr>
        <w:t xml:space="preserve"> enzyminduktion. Den gnaverspecifikke association af levertumorer og stofinduceret enzyminduktion er veldokumenteret i litteraturen. Stigningen i levertumorer ved administration af </w:t>
      </w:r>
      <w:proofErr w:type="spellStart"/>
      <w:r w:rsidRPr="00AA3FAA">
        <w:rPr>
          <w:sz w:val="24"/>
          <w:szCs w:val="24"/>
        </w:rPr>
        <w:t>prasugrel</w:t>
      </w:r>
      <w:proofErr w:type="spellEnd"/>
      <w:r w:rsidRPr="00AA3FAA">
        <w:rPr>
          <w:sz w:val="24"/>
          <w:szCs w:val="24"/>
        </w:rPr>
        <w:t xml:space="preserve"> til mus betragtes ikke som en relevant human risiko.</w:t>
      </w:r>
    </w:p>
    <w:p w14:paraId="316823BC" w14:textId="77777777" w:rsidR="009260DE" w:rsidRPr="00C84483" w:rsidRDefault="009260DE" w:rsidP="009260DE">
      <w:pPr>
        <w:tabs>
          <w:tab w:val="left" w:pos="851"/>
        </w:tabs>
        <w:ind w:left="851"/>
        <w:rPr>
          <w:sz w:val="24"/>
          <w:szCs w:val="24"/>
        </w:rPr>
      </w:pPr>
    </w:p>
    <w:p w14:paraId="032FA7B6" w14:textId="77777777" w:rsidR="009260DE" w:rsidRPr="00C84483" w:rsidRDefault="009260DE" w:rsidP="009260DE">
      <w:pPr>
        <w:tabs>
          <w:tab w:val="left" w:pos="851"/>
        </w:tabs>
        <w:ind w:left="851"/>
        <w:rPr>
          <w:sz w:val="24"/>
          <w:szCs w:val="24"/>
        </w:rPr>
      </w:pPr>
    </w:p>
    <w:p w14:paraId="56419E5F"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2E6597A1" w14:textId="77777777" w:rsidR="009260DE" w:rsidRPr="00BA09F1" w:rsidRDefault="009260DE" w:rsidP="009260DE">
      <w:pPr>
        <w:tabs>
          <w:tab w:val="left" w:pos="851"/>
        </w:tabs>
        <w:ind w:left="851"/>
        <w:rPr>
          <w:sz w:val="24"/>
          <w:szCs w:val="24"/>
        </w:rPr>
      </w:pPr>
    </w:p>
    <w:p w14:paraId="0A76C24D"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3C7B3DF0" w14:textId="77777777" w:rsidR="00AA3FAA" w:rsidRPr="007F693C" w:rsidRDefault="00AA3FAA" w:rsidP="00AA3FAA">
      <w:pPr>
        <w:tabs>
          <w:tab w:val="left" w:pos="851"/>
        </w:tabs>
        <w:ind w:left="851"/>
        <w:rPr>
          <w:sz w:val="24"/>
          <w:szCs w:val="24"/>
          <w:u w:val="single"/>
        </w:rPr>
      </w:pPr>
    </w:p>
    <w:p w14:paraId="026DB4C4" w14:textId="6134AA6F" w:rsidR="00AA3FAA" w:rsidRPr="007F693C" w:rsidRDefault="00AA3FAA" w:rsidP="00AA3FAA">
      <w:pPr>
        <w:tabs>
          <w:tab w:val="left" w:pos="851"/>
        </w:tabs>
        <w:ind w:left="851"/>
        <w:rPr>
          <w:sz w:val="24"/>
          <w:szCs w:val="24"/>
          <w:u w:val="single"/>
        </w:rPr>
      </w:pPr>
      <w:r w:rsidRPr="007F693C">
        <w:rPr>
          <w:sz w:val="24"/>
          <w:szCs w:val="24"/>
          <w:u w:val="single"/>
        </w:rPr>
        <w:t>Tabletkerne</w:t>
      </w:r>
    </w:p>
    <w:p w14:paraId="45BC6A17" w14:textId="5F040351" w:rsidR="00AA3FAA" w:rsidRPr="007F693C" w:rsidRDefault="00AA3FAA" w:rsidP="00AA3FAA">
      <w:pPr>
        <w:tabs>
          <w:tab w:val="left" w:pos="851"/>
        </w:tabs>
        <w:ind w:left="851"/>
        <w:rPr>
          <w:sz w:val="24"/>
          <w:szCs w:val="24"/>
        </w:rPr>
      </w:pPr>
      <w:proofErr w:type="spellStart"/>
      <w:r w:rsidRPr="007F693C">
        <w:rPr>
          <w:sz w:val="24"/>
          <w:szCs w:val="24"/>
        </w:rPr>
        <w:t>Crospovidon</w:t>
      </w:r>
      <w:proofErr w:type="spellEnd"/>
      <w:r w:rsidRPr="007F693C">
        <w:rPr>
          <w:sz w:val="24"/>
          <w:szCs w:val="24"/>
        </w:rPr>
        <w:t xml:space="preserve"> (E1202)</w:t>
      </w:r>
    </w:p>
    <w:p w14:paraId="683ED89C" w14:textId="77777777" w:rsidR="00AA3FAA" w:rsidRPr="00AA3FAA" w:rsidRDefault="00AA3FAA" w:rsidP="00AA3FAA">
      <w:pPr>
        <w:tabs>
          <w:tab w:val="left" w:pos="851"/>
        </w:tabs>
        <w:ind w:left="851"/>
        <w:rPr>
          <w:sz w:val="24"/>
          <w:szCs w:val="24"/>
          <w:lang w:val="en-GB"/>
        </w:rPr>
      </w:pPr>
      <w:proofErr w:type="spellStart"/>
      <w:r w:rsidRPr="00AA3FAA">
        <w:rPr>
          <w:sz w:val="24"/>
          <w:szCs w:val="24"/>
          <w:lang w:val="en-US"/>
        </w:rPr>
        <w:t>Lactosemonohydrat</w:t>
      </w:r>
      <w:proofErr w:type="spellEnd"/>
    </w:p>
    <w:p w14:paraId="4E08CADD" w14:textId="3800202E" w:rsidR="00AA3FAA" w:rsidRPr="00AA3FAA" w:rsidRDefault="00AA3FAA" w:rsidP="00AA3FAA">
      <w:pPr>
        <w:tabs>
          <w:tab w:val="left" w:pos="851"/>
        </w:tabs>
        <w:ind w:left="851"/>
        <w:rPr>
          <w:sz w:val="24"/>
          <w:szCs w:val="24"/>
          <w:lang w:val="en-GB"/>
        </w:rPr>
      </w:pPr>
      <w:proofErr w:type="spellStart"/>
      <w:r w:rsidRPr="00AA3FAA">
        <w:rPr>
          <w:sz w:val="24"/>
          <w:szCs w:val="24"/>
          <w:lang w:val="en-US"/>
        </w:rPr>
        <w:t>Croscarmellosenatrium</w:t>
      </w:r>
      <w:proofErr w:type="spellEnd"/>
      <w:r w:rsidRPr="00AA3FAA">
        <w:rPr>
          <w:sz w:val="24"/>
          <w:szCs w:val="24"/>
          <w:lang w:val="en-US"/>
        </w:rPr>
        <w:t xml:space="preserve"> (E468)</w:t>
      </w:r>
    </w:p>
    <w:p w14:paraId="425B533B" w14:textId="77DF51CF" w:rsidR="00AA3FAA" w:rsidRPr="00AA3FAA" w:rsidRDefault="00AA3FAA" w:rsidP="00AA3FAA">
      <w:pPr>
        <w:tabs>
          <w:tab w:val="left" w:pos="851"/>
        </w:tabs>
        <w:ind w:left="851"/>
        <w:rPr>
          <w:sz w:val="24"/>
          <w:szCs w:val="24"/>
          <w:lang w:val="en-GB"/>
        </w:rPr>
      </w:pPr>
      <w:proofErr w:type="spellStart"/>
      <w:r w:rsidRPr="00AA3FAA">
        <w:rPr>
          <w:sz w:val="24"/>
          <w:szCs w:val="24"/>
          <w:lang w:val="en-GB"/>
        </w:rPr>
        <w:t>Mikrokrystallinsk</w:t>
      </w:r>
      <w:proofErr w:type="spellEnd"/>
      <w:r w:rsidRPr="00AA3FAA">
        <w:rPr>
          <w:sz w:val="24"/>
          <w:szCs w:val="24"/>
          <w:lang w:val="en-GB"/>
        </w:rPr>
        <w:t xml:space="preserve"> cellulose (E460)</w:t>
      </w:r>
    </w:p>
    <w:p w14:paraId="4494DB32" w14:textId="77777777" w:rsidR="00AA3FAA" w:rsidRPr="00AA3FAA" w:rsidRDefault="00AA3FAA" w:rsidP="00AA3FAA">
      <w:pPr>
        <w:tabs>
          <w:tab w:val="left" w:pos="851"/>
        </w:tabs>
        <w:ind w:left="851"/>
        <w:rPr>
          <w:sz w:val="24"/>
          <w:szCs w:val="24"/>
          <w:lang w:val="en-GB"/>
        </w:rPr>
      </w:pPr>
      <w:proofErr w:type="spellStart"/>
      <w:r w:rsidRPr="00AA3FAA">
        <w:rPr>
          <w:sz w:val="24"/>
          <w:szCs w:val="24"/>
          <w:lang w:val="en-GB"/>
        </w:rPr>
        <w:t>Saccharosestearat</w:t>
      </w:r>
      <w:proofErr w:type="spellEnd"/>
    </w:p>
    <w:p w14:paraId="1DA9E20F" w14:textId="77777777" w:rsidR="00AA3FAA" w:rsidRPr="00AA3FAA" w:rsidRDefault="00AA3FAA" w:rsidP="00AA3FAA">
      <w:pPr>
        <w:tabs>
          <w:tab w:val="left" w:pos="851"/>
        </w:tabs>
        <w:ind w:left="851"/>
        <w:rPr>
          <w:sz w:val="24"/>
          <w:szCs w:val="24"/>
          <w:lang w:val="en-GB"/>
        </w:rPr>
      </w:pPr>
    </w:p>
    <w:p w14:paraId="19522B93" w14:textId="77777777" w:rsidR="00AA3FAA" w:rsidRPr="00AA3FAA" w:rsidRDefault="00AA3FAA" w:rsidP="00AA3FAA">
      <w:pPr>
        <w:tabs>
          <w:tab w:val="left" w:pos="851"/>
        </w:tabs>
        <w:ind w:left="851"/>
        <w:rPr>
          <w:sz w:val="24"/>
          <w:szCs w:val="24"/>
          <w:u w:val="single"/>
          <w:lang w:val="en-GB"/>
        </w:rPr>
      </w:pPr>
      <w:proofErr w:type="spellStart"/>
      <w:r w:rsidRPr="00AA3FAA">
        <w:rPr>
          <w:sz w:val="24"/>
          <w:szCs w:val="24"/>
          <w:u w:val="single"/>
          <w:lang w:val="en-GB"/>
        </w:rPr>
        <w:t>Filmovertræk</w:t>
      </w:r>
      <w:proofErr w:type="spellEnd"/>
      <w:r w:rsidRPr="00AA3FAA">
        <w:rPr>
          <w:sz w:val="24"/>
          <w:szCs w:val="24"/>
          <w:u w:val="single"/>
          <w:lang w:val="en-GB"/>
        </w:rPr>
        <w:t xml:space="preserve"> 5 mg tabletter</w:t>
      </w:r>
    </w:p>
    <w:p w14:paraId="005E5CE1" w14:textId="4D526EE1" w:rsidR="00AA3FAA" w:rsidRPr="00AA3FAA" w:rsidRDefault="00AA3FAA" w:rsidP="00AA3FAA">
      <w:pPr>
        <w:tabs>
          <w:tab w:val="left" w:pos="851"/>
        </w:tabs>
        <w:ind w:left="851"/>
        <w:rPr>
          <w:sz w:val="24"/>
          <w:szCs w:val="24"/>
          <w:lang w:val="en-GB"/>
        </w:rPr>
      </w:pPr>
      <w:r w:rsidRPr="00AA3FAA">
        <w:rPr>
          <w:sz w:val="24"/>
          <w:szCs w:val="24"/>
          <w:lang w:val="en-GB"/>
        </w:rPr>
        <w:t>Hypromellose (E464)</w:t>
      </w:r>
    </w:p>
    <w:p w14:paraId="3F1DD93D" w14:textId="77777777" w:rsidR="00AA3FAA" w:rsidRPr="00AA3FAA" w:rsidRDefault="00AA3FAA" w:rsidP="00AA3FAA">
      <w:pPr>
        <w:tabs>
          <w:tab w:val="left" w:pos="851"/>
        </w:tabs>
        <w:ind w:left="851"/>
        <w:rPr>
          <w:sz w:val="24"/>
          <w:szCs w:val="24"/>
          <w:lang w:val="en-GB"/>
        </w:rPr>
      </w:pPr>
      <w:proofErr w:type="spellStart"/>
      <w:r w:rsidRPr="00AA3FAA">
        <w:rPr>
          <w:sz w:val="24"/>
          <w:szCs w:val="24"/>
          <w:lang w:val="en-GB"/>
        </w:rPr>
        <w:t>Lactosemonohydrat</w:t>
      </w:r>
      <w:proofErr w:type="spellEnd"/>
    </w:p>
    <w:p w14:paraId="7723C729" w14:textId="6E74912A" w:rsidR="00AA3FAA" w:rsidRPr="00AA3FAA" w:rsidRDefault="00AA3FAA" w:rsidP="00AA3FAA">
      <w:pPr>
        <w:tabs>
          <w:tab w:val="left" w:pos="851"/>
        </w:tabs>
        <w:ind w:left="851"/>
        <w:rPr>
          <w:sz w:val="24"/>
          <w:szCs w:val="24"/>
          <w:lang w:val="en-GB"/>
        </w:rPr>
      </w:pPr>
      <w:proofErr w:type="spellStart"/>
      <w:r w:rsidRPr="00AA3FAA">
        <w:rPr>
          <w:sz w:val="24"/>
          <w:szCs w:val="24"/>
          <w:lang w:val="en-US"/>
        </w:rPr>
        <w:t>Titandioxid</w:t>
      </w:r>
      <w:proofErr w:type="spellEnd"/>
      <w:r w:rsidRPr="00AA3FAA">
        <w:rPr>
          <w:sz w:val="24"/>
          <w:szCs w:val="24"/>
          <w:lang w:val="en-US"/>
        </w:rPr>
        <w:t xml:space="preserve"> (E171)</w:t>
      </w:r>
    </w:p>
    <w:p w14:paraId="329C5B7E" w14:textId="08F1F9E3" w:rsidR="00AA3FAA" w:rsidRPr="00AA3FAA" w:rsidRDefault="00AA3FAA" w:rsidP="00AA3FAA">
      <w:pPr>
        <w:tabs>
          <w:tab w:val="left" w:pos="851"/>
        </w:tabs>
        <w:ind w:left="851"/>
        <w:rPr>
          <w:sz w:val="24"/>
          <w:szCs w:val="24"/>
          <w:lang w:val="en-GB"/>
        </w:rPr>
      </w:pPr>
      <w:r w:rsidRPr="00AA3FAA">
        <w:rPr>
          <w:sz w:val="24"/>
          <w:szCs w:val="24"/>
          <w:lang w:val="en-US"/>
        </w:rPr>
        <w:t>Triacetin (E1518)</w:t>
      </w:r>
    </w:p>
    <w:p w14:paraId="336EC452" w14:textId="460C363B" w:rsidR="00AA3FAA" w:rsidRPr="00AA3FAA" w:rsidRDefault="00AA3FAA" w:rsidP="00AA3FAA">
      <w:pPr>
        <w:tabs>
          <w:tab w:val="left" w:pos="851"/>
        </w:tabs>
        <w:ind w:left="851"/>
        <w:rPr>
          <w:sz w:val="24"/>
          <w:szCs w:val="24"/>
          <w:lang w:val="en-GB"/>
        </w:rPr>
      </w:pPr>
      <w:r w:rsidRPr="00AA3FAA">
        <w:rPr>
          <w:sz w:val="24"/>
          <w:szCs w:val="24"/>
          <w:lang w:val="en-US"/>
        </w:rPr>
        <w:t>Talcum (E553b)</w:t>
      </w:r>
    </w:p>
    <w:p w14:paraId="3B6E4592" w14:textId="5D895B2F" w:rsidR="00AA3FAA" w:rsidRPr="00AA3FAA" w:rsidRDefault="00AA3FAA" w:rsidP="00AA3FAA">
      <w:pPr>
        <w:tabs>
          <w:tab w:val="left" w:pos="851"/>
        </w:tabs>
        <w:ind w:left="851"/>
        <w:rPr>
          <w:sz w:val="24"/>
          <w:szCs w:val="24"/>
        </w:rPr>
      </w:pPr>
      <w:r w:rsidRPr="00AA3FAA">
        <w:rPr>
          <w:sz w:val="24"/>
          <w:szCs w:val="24"/>
        </w:rPr>
        <w:t>Gul jernoxid (E172)</w:t>
      </w:r>
    </w:p>
    <w:p w14:paraId="106FCC55" w14:textId="77777777" w:rsidR="00AA3FAA" w:rsidRPr="00AA3FAA" w:rsidRDefault="00AA3FAA" w:rsidP="00AA3FAA">
      <w:pPr>
        <w:tabs>
          <w:tab w:val="left" w:pos="851"/>
        </w:tabs>
        <w:ind w:left="851"/>
        <w:rPr>
          <w:sz w:val="24"/>
          <w:szCs w:val="24"/>
        </w:rPr>
      </w:pPr>
    </w:p>
    <w:p w14:paraId="2BFE87A3" w14:textId="77777777" w:rsidR="00AA3FAA" w:rsidRPr="00AA3FAA" w:rsidRDefault="00AA3FAA" w:rsidP="00AA3FAA">
      <w:pPr>
        <w:tabs>
          <w:tab w:val="left" w:pos="851"/>
        </w:tabs>
        <w:ind w:left="851"/>
        <w:rPr>
          <w:sz w:val="24"/>
          <w:szCs w:val="24"/>
          <w:u w:val="single"/>
        </w:rPr>
      </w:pPr>
      <w:r w:rsidRPr="00AA3FAA">
        <w:rPr>
          <w:sz w:val="24"/>
          <w:szCs w:val="24"/>
          <w:u w:val="single"/>
        </w:rPr>
        <w:t>Filmovertræk 10 mg tabletter</w:t>
      </w:r>
    </w:p>
    <w:p w14:paraId="5EA638E0" w14:textId="797C0D89" w:rsidR="00AA3FAA" w:rsidRPr="00AA3FAA" w:rsidRDefault="00AA3FAA" w:rsidP="00AA3FAA">
      <w:pPr>
        <w:tabs>
          <w:tab w:val="left" w:pos="851"/>
        </w:tabs>
        <w:ind w:left="851"/>
        <w:rPr>
          <w:sz w:val="24"/>
          <w:szCs w:val="24"/>
          <w:lang w:val="en-US"/>
        </w:rPr>
      </w:pPr>
      <w:r w:rsidRPr="00AA3FAA">
        <w:rPr>
          <w:sz w:val="24"/>
          <w:szCs w:val="24"/>
          <w:lang w:val="en-US"/>
        </w:rPr>
        <w:t>Hypromellose (E464)</w:t>
      </w:r>
    </w:p>
    <w:p w14:paraId="29E0E037" w14:textId="77777777" w:rsidR="00AA3FAA" w:rsidRPr="00AA3FAA" w:rsidRDefault="00AA3FAA" w:rsidP="00AA3FAA">
      <w:pPr>
        <w:tabs>
          <w:tab w:val="left" w:pos="851"/>
        </w:tabs>
        <w:ind w:left="851"/>
        <w:rPr>
          <w:sz w:val="24"/>
          <w:szCs w:val="24"/>
          <w:lang w:val="en-US"/>
        </w:rPr>
      </w:pPr>
      <w:proofErr w:type="spellStart"/>
      <w:r w:rsidRPr="00AA3FAA">
        <w:rPr>
          <w:sz w:val="24"/>
          <w:szCs w:val="24"/>
          <w:lang w:val="en-US"/>
        </w:rPr>
        <w:t>Lactosemonohydrat</w:t>
      </w:r>
      <w:proofErr w:type="spellEnd"/>
    </w:p>
    <w:p w14:paraId="3306549B" w14:textId="27203D74" w:rsidR="00AA3FAA" w:rsidRPr="00AA3FAA" w:rsidRDefault="00AA3FAA" w:rsidP="00AA3FAA">
      <w:pPr>
        <w:tabs>
          <w:tab w:val="left" w:pos="851"/>
        </w:tabs>
        <w:ind w:left="851"/>
        <w:rPr>
          <w:sz w:val="24"/>
          <w:szCs w:val="24"/>
          <w:lang w:val="en-US"/>
        </w:rPr>
      </w:pPr>
      <w:proofErr w:type="spellStart"/>
      <w:r w:rsidRPr="00AA3FAA">
        <w:rPr>
          <w:sz w:val="24"/>
          <w:szCs w:val="24"/>
          <w:lang w:val="en-US"/>
        </w:rPr>
        <w:t>Titandioxid</w:t>
      </w:r>
      <w:proofErr w:type="spellEnd"/>
      <w:r w:rsidRPr="00AA3FAA">
        <w:rPr>
          <w:sz w:val="24"/>
          <w:szCs w:val="24"/>
          <w:lang w:val="en-US"/>
        </w:rPr>
        <w:t xml:space="preserve"> (E171)</w:t>
      </w:r>
    </w:p>
    <w:p w14:paraId="14E881BF" w14:textId="1AE24836" w:rsidR="00AA3FAA" w:rsidRPr="00AA3FAA" w:rsidRDefault="00AA3FAA" w:rsidP="00AA3FAA">
      <w:pPr>
        <w:tabs>
          <w:tab w:val="left" w:pos="851"/>
        </w:tabs>
        <w:ind w:left="851"/>
        <w:rPr>
          <w:sz w:val="24"/>
          <w:szCs w:val="24"/>
          <w:lang w:val="en-GB"/>
        </w:rPr>
      </w:pPr>
      <w:r w:rsidRPr="00AA3FAA">
        <w:rPr>
          <w:sz w:val="24"/>
          <w:szCs w:val="24"/>
          <w:lang w:val="en-US"/>
        </w:rPr>
        <w:t>Triacetin (E1518)</w:t>
      </w:r>
    </w:p>
    <w:p w14:paraId="36C64225" w14:textId="75F8F483" w:rsidR="00AA3FAA" w:rsidRPr="007F693C" w:rsidRDefault="00AA3FAA" w:rsidP="00AA3FAA">
      <w:pPr>
        <w:tabs>
          <w:tab w:val="left" w:pos="851"/>
        </w:tabs>
        <w:ind w:left="851"/>
        <w:rPr>
          <w:sz w:val="24"/>
          <w:szCs w:val="24"/>
        </w:rPr>
      </w:pPr>
      <w:proofErr w:type="spellStart"/>
      <w:r w:rsidRPr="007F693C">
        <w:rPr>
          <w:sz w:val="24"/>
          <w:szCs w:val="24"/>
        </w:rPr>
        <w:t>Talcum</w:t>
      </w:r>
      <w:proofErr w:type="spellEnd"/>
      <w:r w:rsidRPr="007F693C">
        <w:rPr>
          <w:sz w:val="24"/>
          <w:szCs w:val="24"/>
        </w:rPr>
        <w:t xml:space="preserve"> (E553b)</w:t>
      </w:r>
    </w:p>
    <w:p w14:paraId="6EE46366" w14:textId="6AC94EEE" w:rsidR="00AA3FAA" w:rsidRPr="00AA3FAA" w:rsidRDefault="00AA3FAA" w:rsidP="00AA3FAA">
      <w:pPr>
        <w:tabs>
          <w:tab w:val="left" w:pos="851"/>
        </w:tabs>
        <w:ind w:left="851"/>
        <w:rPr>
          <w:sz w:val="24"/>
          <w:szCs w:val="24"/>
        </w:rPr>
      </w:pPr>
      <w:r w:rsidRPr="00AA3FAA">
        <w:rPr>
          <w:sz w:val="24"/>
          <w:szCs w:val="24"/>
        </w:rPr>
        <w:t>Gul jernoxid (E172)</w:t>
      </w:r>
    </w:p>
    <w:p w14:paraId="4AC637B7" w14:textId="47E5FEB7" w:rsidR="00AA3FAA" w:rsidRPr="00AA3FAA" w:rsidRDefault="00AA3FAA" w:rsidP="00AA3FAA">
      <w:pPr>
        <w:tabs>
          <w:tab w:val="left" w:pos="851"/>
        </w:tabs>
        <w:ind w:left="851"/>
        <w:rPr>
          <w:sz w:val="24"/>
          <w:szCs w:val="24"/>
        </w:rPr>
      </w:pPr>
      <w:r w:rsidRPr="00AA3FAA">
        <w:rPr>
          <w:sz w:val="24"/>
          <w:szCs w:val="24"/>
        </w:rPr>
        <w:t>Rød jernoxid (E172)</w:t>
      </w:r>
    </w:p>
    <w:p w14:paraId="2C6FFF9A" w14:textId="77777777" w:rsidR="009260DE" w:rsidRPr="00C84483" w:rsidRDefault="009260DE" w:rsidP="009260DE">
      <w:pPr>
        <w:tabs>
          <w:tab w:val="left" w:pos="851"/>
        </w:tabs>
        <w:ind w:left="851"/>
        <w:rPr>
          <w:sz w:val="24"/>
          <w:szCs w:val="24"/>
        </w:rPr>
      </w:pPr>
    </w:p>
    <w:p w14:paraId="5FAD72BD"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79C40491" w14:textId="77777777" w:rsidR="00D40E95" w:rsidRPr="00D40E95" w:rsidRDefault="00D40E95" w:rsidP="00D40E95">
      <w:pPr>
        <w:tabs>
          <w:tab w:val="left" w:pos="851"/>
        </w:tabs>
        <w:ind w:left="851"/>
        <w:rPr>
          <w:sz w:val="24"/>
          <w:szCs w:val="24"/>
        </w:rPr>
      </w:pPr>
      <w:r w:rsidRPr="00D40E95">
        <w:rPr>
          <w:sz w:val="24"/>
          <w:szCs w:val="24"/>
        </w:rPr>
        <w:t>Ikke relevant.</w:t>
      </w:r>
    </w:p>
    <w:p w14:paraId="4FAAC189" w14:textId="77777777" w:rsidR="009260DE" w:rsidRPr="00C84483" w:rsidRDefault="009260DE" w:rsidP="009260DE">
      <w:pPr>
        <w:tabs>
          <w:tab w:val="left" w:pos="851"/>
        </w:tabs>
        <w:ind w:left="851"/>
        <w:rPr>
          <w:sz w:val="24"/>
          <w:szCs w:val="24"/>
        </w:rPr>
      </w:pPr>
    </w:p>
    <w:p w14:paraId="64CF7637"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05F706D5" w14:textId="5C5A5511" w:rsidR="009260DE" w:rsidRPr="0089346F" w:rsidRDefault="00D40E95" w:rsidP="0089346F">
      <w:pPr>
        <w:tabs>
          <w:tab w:val="left" w:pos="851"/>
        </w:tabs>
        <w:ind w:left="851"/>
        <w:rPr>
          <w:rFonts w:eastAsia="MS Mincho" w:hAnsi="MS Mincho"/>
          <w:noProof/>
          <w:sz w:val="24"/>
          <w:szCs w:val="24"/>
        </w:rPr>
      </w:pPr>
      <w:r>
        <w:rPr>
          <w:sz w:val="24"/>
          <w:szCs w:val="24"/>
        </w:rPr>
        <w:t>3 år.</w:t>
      </w:r>
    </w:p>
    <w:p w14:paraId="70CDCD9A" w14:textId="77777777" w:rsidR="009260DE" w:rsidRPr="00C84483" w:rsidRDefault="009260DE" w:rsidP="009260DE">
      <w:pPr>
        <w:tabs>
          <w:tab w:val="left" w:pos="851"/>
        </w:tabs>
        <w:ind w:left="851"/>
        <w:rPr>
          <w:sz w:val="24"/>
          <w:szCs w:val="24"/>
        </w:rPr>
      </w:pPr>
    </w:p>
    <w:p w14:paraId="22557DF0"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573314C8" w14:textId="77777777" w:rsidR="00D40E95" w:rsidRPr="00D40E95" w:rsidRDefault="00D40E95" w:rsidP="00D40E95">
      <w:pPr>
        <w:tabs>
          <w:tab w:val="left" w:pos="851"/>
        </w:tabs>
        <w:ind w:left="851"/>
        <w:rPr>
          <w:sz w:val="24"/>
          <w:szCs w:val="24"/>
        </w:rPr>
      </w:pPr>
      <w:r w:rsidRPr="00D40E95">
        <w:rPr>
          <w:sz w:val="24"/>
          <w:szCs w:val="24"/>
        </w:rPr>
        <w:t>Dette lægemiddel kræver ingen særlige forholdsregler vedrørende opbevaringen.</w:t>
      </w:r>
    </w:p>
    <w:p w14:paraId="0FB975E9" w14:textId="77777777" w:rsidR="009260DE" w:rsidRPr="00C84483" w:rsidRDefault="009260DE" w:rsidP="009260DE">
      <w:pPr>
        <w:tabs>
          <w:tab w:val="left" w:pos="851"/>
        </w:tabs>
        <w:ind w:left="851"/>
        <w:rPr>
          <w:sz w:val="24"/>
          <w:szCs w:val="24"/>
        </w:rPr>
      </w:pPr>
    </w:p>
    <w:p w14:paraId="58ED142E"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76DA760D" w14:textId="77777777" w:rsidR="00D40E95" w:rsidRDefault="00D40E95" w:rsidP="00D40E95">
      <w:pPr>
        <w:tabs>
          <w:tab w:val="left" w:pos="851"/>
        </w:tabs>
        <w:ind w:left="851"/>
        <w:rPr>
          <w:sz w:val="24"/>
          <w:szCs w:val="24"/>
        </w:rPr>
      </w:pPr>
      <w:r w:rsidRPr="00D40E95">
        <w:rPr>
          <w:sz w:val="24"/>
          <w:szCs w:val="24"/>
        </w:rPr>
        <w:t>Blisterpakning forseglet med polyamid/aluminium/PVC forseglet med aluminiumsfolie</w:t>
      </w:r>
      <w:r>
        <w:rPr>
          <w:sz w:val="24"/>
          <w:szCs w:val="24"/>
        </w:rPr>
        <w:t>.</w:t>
      </w:r>
    </w:p>
    <w:p w14:paraId="4A2F53CB" w14:textId="77777777" w:rsidR="00D40E95" w:rsidRDefault="00D40E95" w:rsidP="00D40E95">
      <w:pPr>
        <w:tabs>
          <w:tab w:val="left" w:pos="851"/>
        </w:tabs>
        <w:ind w:left="851"/>
        <w:rPr>
          <w:sz w:val="24"/>
          <w:szCs w:val="24"/>
        </w:rPr>
      </w:pPr>
    </w:p>
    <w:p w14:paraId="212BCC87" w14:textId="0C2E52A9" w:rsidR="00D40E95" w:rsidRPr="00D40E95" w:rsidRDefault="00D40E95" w:rsidP="00D40E95">
      <w:pPr>
        <w:tabs>
          <w:tab w:val="left" w:pos="851"/>
        </w:tabs>
        <w:ind w:left="851"/>
        <w:rPr>
          <w:sz w:val="24"/>
          <w:szCs w:val="24"/>
        </w:rPr>
      </w:pPr>
      <w:r>
        <w:rPr>
          <w:sz w:val="24"/>
          <w:szCs w:val="24"/>
        </w:rPr>
        <w:t xml:space="preserve">Pakningsstørrelser: </w:t>
      </w:r>
      <w:r w:rsidRPr="00D40E95">
        <w:rPr>
          <w:sz w:val="24"/>
          <w:szCs w:val="24"/>
        </w:rPr>
        <w:t>10, 14, 28, 30, 56, 84, 90, 98, 30</w:t>
      </w:r>
      <w:r>
        <w:rPr>
          <w:sz w:val="24"/>
          <w:szCs w:val="24"/>
        </w:rPr>
        <w:t>×</w:t>
      </w:r>
      <w:r w:rsidRPr="00D40E95">
        <w:rPr>
          <w:sz w:val="24"/>
          <w:szCs w:val="24"/>
        </w:rPr>
        <w:t>1 og 90</w:t>
      </w:r>
      <w:r>
        <w:rPr>
          <w:sz w:val="24"/>
          <w:szCs w:val="24"/>
        </w:rPr>
        <w:t>×</w:t>
      </w:r>
      <w:r w:rsidRPr="00D40E95">
        <w:rPr>
          <w:sz w:val="24"/>
          <w:szCs w:val="24"/>
        </w:rPr>
        <w:t xml:space="preserve">1 filmovertrukne tabletter. </w:t>
      </w:r>
    </w:p>
    <w:p w14:paraId="28520A85" w14:textId="77777777" w:rsidR="00D40E95" w:rsidRPr="00D40E95" w:rsidRDefault="00D40E95" w:rsidP="00D40E95">
      <w:pPr>
        <w:tabs>
          <w:tab w:val="left" w:pos="851"/>
        </w:tabs>
        <w:ind w:left="851"/>
        <w:rPr>
          <w:sz w:val="24"/>
          <w:szCs w:val="24"/>
        </w:rPr>
      </w:pPr>
    </w:p>
    <w:p w14:paraId="6E6A61FC" w14:textId="77777777" w:rsidR="00D40E95" w:rsidRPr="00D40E95" w:rsidRDefault="00D40E95" w:rsidP="00D40E95">
      <w:pPr>
        <w:tabs>
          <w:tab w:val="left" w:pos="851"/>
        </w:tabs>
        <w:ind w:left="851"/>
        <w:rPr>
          <w:sz w:val="24"/>
          <w:szCs w:val="24"/>
        </w:rPr>
      </w:pPr>
      <w:r w:rsidRPr="00D40E95">
        <w:rPr>
          <w:sz w:val="24"/>
          <w:szCs w:val="24"/>
        </w:rPr>
        <w:t>Ikke alle pakningsstørrelser er nødvendigvis markedsført.</w:t>
      </w:r>
    </w:p>
    <w:p w14:paraId="26F47B2E" w14:textId="77777777" w:rsidR="009260DE" w:rsidRPr="00C84483" w:rsidRDefault="009260DE" w:rsidP="009260DE">
      <w:pPr>
        <w:tabs>
          <w:tab w:val="left" w:pos="851"/>
        </w:tabs>
        <w:ind w:left="851"/>
        <w:rPr>
          <w:sz w:val="24"/>
          <w:szCs w:val="24"/>
        </w:rPr>
      </w:pPr>
    </w:p>
    <w:p w14:paraId="0C26519B"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6E6CF513" w14:textId="77777777" w:rsidR="006B48F0" w:rsidRPr="006B48F0" w:rsidRDefault="006B48F0" w:rsidP="006B48F0">
      <w:pPr>
        <w:tabs>
          <w:tab w:val="left" w:pos="851"/>
        </w:tabs>
        <w:ind w:left="851"/>
        <w:rPr>
          <w:sz w:val="24"/>
          <w:szCs w:val="24"/>
        </w:rPr>
      </w:pPr>
      <w:r w:rsidRPr="006B48F0">
        <w:rPr>
          <w:sz w:val="24"/>
          <w:szCs w:val="24"/>
        </w:rPr>
        <w:t>Ingen særlige krav til bortskaffelse.</w:t>
      </w:r>
    </w:p>
    <w:p w14:paraId="0F7C605E" w14:textId="77777777" w:rsidR="009260DE" w:rsidRPr="00C84483" w:rsidRDefault="009260DE" w:rsidP="000730CA">
      <w:pPr>
        <w:tabs>
          <w:tab w:val="left" w:pos="851"/>
        </w:tabs>
        <w:ind w:left="851"/>
        <w:rPr>
          <w:sz w:val="24"/>
          <w:szCs w:val="24"/>
        </w:rPr>
      </w:pPr>
    </w:p>
    <w:p w14:paraId="3189ABB9"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3CB067C4" w14:textId="77777777" w:rsidR="00D42B70" w:rsidRDefault="00D42B70" w:rsidP="00D42B70">
      <w:pPr>
        <w:tabs>
          <w:tab w:val="left" w:pos="851"/>
        </w:tabs>
        <w:ind w:left="851"/>
        <w:rPr>
          <w:sz w:val="24"/>
          <w:szCs w:val="24"/>
          <w:lang w:val="en-US"/>
        </w:rPr>
      </w:pPr>
      <w:r w:rsidRPr="00D42B70">
        <w:rPr>
          <w:sz w:val="24"/>
          <w:szCs w:val="24"/>
          <w:lang w:val="en-US"/>
        </w:rPr>
        <w:t xml:space="preserve">G.L. Pharma </w:t>
      </w:r>
      <w:proofErr w:type="spellStart"/>
      <w:r w:rsidRPr="00D42B70">
        <w:rPr>
          <w:sz w:val="24"/>
          <w:szCs w:val="24"/>
          <w:lang w:val="en-US"/>
        </w:rPr>
        <w:t>GmbH</w:t>
      </w:r>
    </w:p>
    <w:p w14:paraId="3E32175B" w14:textId="77777777" w:rsidR="00D42B70" w:rsidRDefault="00D42B70" w:rsidP="00D42B70">
      <w:pPr>
        <w:tabs>
          <w:tab w:val="left" w:pos="851"/>
        </w:tabs>
        <w:ind w:left="851"/>
        <w:rPr>
          <w:sz w:val="24"/>
          <w:szCs w:val="24"/>
          <w:lang w:val="en-US"/>
        </w:rPr>
      </w:pPr>
      <w:r w:rsidRPr="00D42B70">
        <w:rPr>
          <w:sz w:val="24"/>
          <w:szCs w:val="24"/>
          <w:lang w:val="en-US"/>
        </w:rPr>
        <w:t>Schlossplatz</w:t>
      </w:r>
      <w:proofErr w:type="spellEnd"/>
      <w:r w:rsidRPr="00D42B70">
        <w:rPr>
          <w:sz w:val="24"/>
          <w:szCs w:val="24"/>
          <w:lang w:val="en-US"/>
        </w:rPr>
        <w:t xml:space="preserve"> 1</w:t>
      </w:r>
    </w:p>
    <w:p w14:paraId="616CAF46" w14:textId="77777777" w:rsidR="00D42B70" w:rsidRDefault="00D42B70" w:rsidP="00D42B70">
      <w:pPr>
        <w:tabs>
          <w:tab w:val="left" w:pos="851"/>
        </w:tabs>
        <w:ind w:left="851"/>
        <w:rPr>
          <w:sz w:val="24"/>
          <w:szCs w:val="24"/>
          <w:lang w:val="en-US"/>
        </w:rPr>
      </w:pPr>
      <w:r w:rsidRPr="00D42B70">
        <w:rPr>
          <w:sz w:val="24"/>
          <w:szCs w:val="24"/>
          <w:lang w:val="en-US"/>
        </w:rPr>
        <w:t xml:space="preserve">8502 </w:t>
      </w:r>
      <w:proofErr w:type="spellStart"/>
      <w:r w:rsidRPr="00D42B70">
        <w:rPr>
          <w:sz w:val="24"/>
          <w:szCs w:val="24"/>
          <w:lang w:val="en-US"/>
        </w:rPr>
        <w:t>Lannach</w:t>
      </w:r>
      <w:proofErr w:type="spellEnd"/>
    </w:p>
    <w:p w14:paraId="755AB86E" w14:textId="079E5D44" w:rsidR="00D42B70" w:rsidRPr="00D42B70" w:rsidRDefault="00D42B70" w:rsidP="00D42B70">
      <w:pPr>
        <w:tabs>
          <w:tab w:val="left" w:pos="851"/>
        </w:tabs>
        <w:ind w:left="851"/>
        <w:rPr>
          <w:sz w:val="24"/>
          <w:szCs w:val="24"/>
          <w:lang w:val="en-US"/>
        </w:rPr>
      </w:pPr>
      <w:proofErr w:type="spellStart"/>
      <w:r w:rsidRPr="00D42B70">
        <w:rPr>
          <w:sz w:val="24"/>
          <w:szCs w:val="24"/>
          <w:lang w:val="en-US"/>
        </w:rPr>
        <w:t>Østrig</w:t>
      </w:r>
      <w:proofErr w:type="spellEnd"/>
    </w:p>
    <w:p w14:paraId="34624208" w14:textId="77777777" w:rsidR="00D42B70" w:rsidRPr="00D42B70" w:rsidRDefault="00D42B70" w:rsidP="00D42B70">
      <w:pPr>
        <w:tabs>
          <w:tab w:val="left" w:pos="851"/>
        </w:tabs>
        <w:ind w:left="851"/>
        <w:rPr>
          <w:sz w:val="24"/>
          <w:szCs w:val="24"/>
          <w:lang w:val="en-US"/>
        </w:rPr>
      </w:pPr>
    </w:p>
    <w:p w14:paraId="388C004D" w14:textId="77777777" w:rsidR="00D42B70" w:rsidRDefault="00D42B70" w:rsidP="00D42B70">
      <w:pPr>
        <w:tabs>
          <w:tab w:val="left" w:pos="851"/>
        </w:tabs>
        <w:ind w:left="851"/>
        <w:rPr>
          <w:b/>
          <w:bCs/>
          <w:sz w:val="24"/>
          <w:szCs w:val="24"/>
        </w:rPr>
      </w:pPr>
      <w:r>
        <w:rPr>
          <w:b/>
          <w:bCs/>
          <w:sz w:val="24"/>
          <w:szCs w:val="24"/>
        </w:rPr>
        <w:t>Repræsentant</w:t>
      </w:r>
    </w:p>
    <w:p w14:paraId="477A3E67" w14:textId="77777777" w:rsidR="00E11E3E" w:rsidRDefault="00D42B70" w:rsidP="00D42B70">
      <w:pPr>
        <w:tabs>
          <w:tab w:val="left" w:pos="851"/>
        </w:tabs>
        <w:ind w:left="851"/>
        <w:rPr>
          <w:sz w:val="24"/>
          <w:szCs w:val="24"/>
        </w:rPr>
      </w:pPr>
      <w:r>
        <w:rPr>
          <w:sz w:val="24"/>
          <w:szCs w:val="24"/>
        </w:rPr>
        <w:t>G.L. Pharma Nordic Aktiebolag</w:t>
      </w:r>
    </w:p>
    <w:p w14:paraId="56A9A0B1" w14:textId="4629AA62" w:rsidR="00D42B70" w:rsidRDefault="00D42B70" w:rsidP="00D42B70">
      <w:pPr>
        <w:tabs>
          <w:tab w:val="left" w:pos="851"/>
        </w:tabs>
        <w:ind w:left="851"/>
        <w:rPr>
          <w:sz w:val="24"/>
          <w:szCs w:val="24"/>
        </w:rPr>
      </w:pPr>
      <w:proofErr w:type="spellStart"/>
      <w:r>
        <w:rPr>
          <w:sz w:val="24"/>
          <w:szCs w:val="24"/>
        </w:rPr>
        <w:t>Övägen</w:t>
      </w:r>
      <w:proofErr w:type="spellEnd"/>
      <w:r>
        <w:rPr>
          <w:sz w:val="24"/>
          <w:szCs w:val="24"/>
        </w:rPr>
        <w:t xml:space="preserve"> 1</w:t>
      </w:r>
    </w:p>
    <w:p w14:paraId="08723B25" w14:textId="77777777" w:rsidR="00D42B70" w:rsidRDefault="00D42B70" w:rsidP="00D42B70">
      <w:pPr>
        <w:tabs>
          <w:tab w:val="left" w:pos="851"/>
        </w:tabs>
        <w:ind w:left="851"/>
        <w:rPr>
          <w:sz w:val="24"/>
          <w:szCs w:val="24"/>
        </w:rPr>
      </w:pPr>
      <w:r>
        <w:rPr>
          <w:sz w:val="24"/>
          <w:szCs w:val="24"/>
        </w:rPr>
        <w:t>21647 Limhamn</w:t>
      </w:r>
    </w:p>
    <w:p w14:paraId="6DF46A2E" w14:textId="406F49E2" w:rsidR="00D42B70" w:rsidRDefault="00D42B70" w:rsidP="00D42B70">
      <w:pPr>
        <w:tabs>
          <w:tab w:val="left" w:pos="851"/>
        </w:tabs>
        <w:ind w:left="851"/>
        <w:rPr>
          <w:sz w:val="24"/>
          <w:szCs w:val="24"/>
        </w:rPr>
      </w:pPr>
      <w:r>
        <w:rPr>
          <w:sz w:val="24"/>
          <w:szCs w:val="24"/>
        </w:rPr>
        <w:t>Sverige</w:t>
      </w:r>
    </w:p>
    <w:p w14:paraId="1B397071" w14:textId="77777777" w:rsidR="009260DE" w:rsidRDefault="009260DE" w:rsidP="009260DE">
      <w:pPr>
        <w:tabs>
          <w:tab w:val="left" w:pos="851"/>
        </w:tabs>
        <w:ind w:left="851"/>
        <w:rPr>
          <w:sz w:val="24"/>
          <w:szCs w:val="24"/>
        </w:rPr>
      </w:pPr>
    </w:p>
    <w:p w14:paraId="727B9D31"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0B4A6162" w14:textId="40554ABF" w:rsidR="009260DE" w:rsidRDefault="007B1A94" w:rsidP="007B1A94">
      <w:pPr>
        <w:tabs>
          <w:tab w:val="left" w:pos="851"/>
          <w:tab w:val="left" w:pos="1560"/>
        </w:tabs>
        <w:ind w:left="851"/>
        <w:rPr>
          <w:sz w:val="24"/>
          <w:szCs w:val="24"/>
        </w:rPr>
      </w:pPr>
      <w:r>
        <w:rPr>
          <w:sz w:val="24"/>
          <w:szCs w:val="24"/>
        </w:rPr>
        <w:t>5 mg:</w:t>
      </w:r>
      <w:r>
        <w:rPr>
          <w:sz w:val="24"/>
          <w:szCs w:val="24"/>
        </w:rPr>
        <w:tab/>
        <w:t>69173</w:t>
      </w:r>
    </w:p>
    <w:p w14:paraId="3E9347E0" w14:textId="33FCA6ED" w:rsidR="007B1A94" w:rsidRPr="00C84483" w:rsidRDefault="007B1A94" w:rsidP="007B1A94">
      <w:pPr>
        <w:tabs>
          <w:tab w:val="left" w:pos="851"/>
          <w:tab w:val="left" w:pos="1560"/>
        </w:tabs>
        <w:ind w:left="851"/>
        <w:rPr>
          <w:sz w:val="24"/>
          <w:szCs w:val="24"/>
        </w:rPr>
      </w:pPr>
      <w:r>
        <w:rPr>
          <w:sz w:val="24"/>
          <w:szCs w:val="24"/>
        </w:rPr>
        <w:t>10 mg:</w:t>
      </w:r>
      <w:r>
        <w:rPr>
          <w:sz w:val="24"/>
          <w:szCs w:val="24"/>
        </w:rPr>
        <w:tab/>
        <w:t>69174</w:t>
      </w:r>
    </w:p>
    <w:p w14:paraId="3F869464" w14:textId="77777777" w:rsidR="009260DE" w:rsidRPr="00C84483" w:rsidRDefault="009260DE" w:rsidP="009260DE">
      <w:pPr>
        <w:tabs>
          <w:tab w:val="left" w:pos="851"/>
        </w:tabs>
        <w:ind w:left="851"/>
        <w:jc w:val="both"/>
        <w:rPr>
          <w:sz w:val="24"/>
          <w:szCs w:val="24"/>
        </w:rPr>
      </w:pPr>
    </w:p>
    <w:p w14:paraId="28F7851D"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3ABA79A2" w14:textId="14197824" w:rsidR="009260DE" w:rsidRPr="00C84483" w:rsidRDefault="007F693C" w:rsidP="009260DE">
      <w:pPr>
        <w:tabs>
          <w:tab w:val="left" w:pos="851"/>
        </w:tabs>
        <w:ind w:left="851"/>
        <w:rPr>
          <w:sz w:val="24"/>
          <w:szCs w:val="24"/>
        </w:rPr>
      </w:pPr>
      <w:r>
        <w:rPr>
          <w:sz w:val="24"/>
          <w:szCs w:val="24"/>
        </w:rPr>
        <w:t>1. juli 2025</w:t>
      </w:r>
    </w:p>
    <w:p w14:paraId="1ED91C5D" w14:textId="77777777" w:rsidR="009260DE" w:rsidRPr="00C84483" w:rsidRDefault="009260DE" w:rsidP="009260DE">
      <w:pPr>
        <w:tabs>
          <w:tab w:val="left" w:pos="851"/>
        </w:tabs>
        <w:ind w:left="851"/>
        <w:rPr>
          <w:sz w:val="24"/>
          <w:szCs w:val="24"/>
        </w:rPr>
      </w:pPr>
    </w:p>
    <w:p w14:paraId="0A21CD77"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67A6109B" w14:textId="3AAE351F" w:rsidR="007B1A94" w:rsidRPr="00C84483" w:rsidRDefault="00D42B70" w:rsidP="009260DE">
      <w:pPr>
        <w:tabs>
          <w:tab w:val="left" w:pos="851"/>
        </w:tabs>
        <w:ind w:left="851"/>
        <w:rPr>
          <w:sz w:val="24"/>
          <w:szCs w:val="24"/>
        </w:rPr>
      </w:pPr>
      <w:r>
        <w:rPr>
          <w:sz w:val="24"/>
          <w:szCs w:val="24"/>
        </w:rPr>
        <w:t>30. oktober 2025</w:t>
      </w:r>
    </w:p>
    <w:sectPr w:rsidR="007B1A94"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8ABA7" w14:textId="77777777" w:rsidR="00042B48" w:rsidRDefault="00042B48">
      <w:r>
        <w:separator/>
      </w:r>
    </w:p>
  </w:endnote>
  <w:endnote w:type="continuationSeparator" w:id="0">
    <w:p w14:paraId="7D7703AA" w14:textId="77777777" w:rsidR="00042B48" w:rsidRDefault="0004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9EE8F" w14:textId="77777777" w:rsidR="00042B48" w:rsidRDefault="00042B48">
    <w:pPr>
      <w:pStyle w:val="Sidefod"/>
      <w:pBdr>
        <w:bottom w:val="single" w:sz="6" w:space="1" w:color="auto"/>
      </w:pBdr>
    </w:pPr>
  </w:p>
  <w:p w14:paraId="6581CDE5" w14:textId="77777777" w:rsidR="00042B48" w:rsidRDefault="00042B48" w:rsidP="00C42586">
    <w:pPr>
      <w:pStyle w:val="Sidefod"/>
      <w:tabs>
        <w:tab w:val="clear" w:pos="4819"/>
        <w:tab w:val="left" w:pos="8505"/>
      </w:tabs>
      <w:rPr>
        <w:i/>
        <w:sz w:val="18"/>
        <w:szCs w:val="18"/>
      </w:rPr>
    </w:pPr>
  </w:p>
  <w:p w14:paraId="3FC4C440" w14:textId="1A8A5A3F" w:rsidR="00042B48" w:rsidRPr="00B373D7" w:rsidRDefault="00042B48"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E11E3E">
      <w:rPr>
        <w:i/>
        <w:noProof/>
        <w:sz w:val="18"/>
        <w:szCs w:val="18"/>
      </w:rPr>
      <w:t>Prasugrel G.L. Pharma, filmovertrukne tabletter 5 mg og 10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25B4F" w14:textId="77777777" w:rsidR="00042B48" w:rsidRDefault="00042B48">
      <w:r>
        <w:separator/>
      </w:r>
    </w:p>
  </w:footnote>
  <w:footnote w:type="continuationSeparator" w:id="0">
    <w:p w14:paraId="0EEDA29B" w14:textId="77777777" w:rsidR="00042B48" w:rsidRDefault="00042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C12747F"/>
    <w:multiLevelType w:val="multilevel"/>
    <w:tmpl w:val="002CE894"/>
    <w:lvl w:ilvl="0">
      <w:start w:val="1"/>
      <w:numFmt w:val="lowerLetter"/>
      <w:lvlText w:val="%1"/>
      <w:lvlJc w:val="left"/>
      <w:pPr>
        <w:tabs>
          <w:tab w:val="num" w:pos="0"/>
        </w:tabs>
        <w:ind w:left="779" w:hanging="288"/>
      </w:pPr>
      <w:rPr>
        <w:rFonts w:ascii="Times New Roman" w:eastAsia="Times New Roman" w:hAnsi="Times New Roman" w:cs="Times New Roman"/>
        <w:b w:val="0"/>
        <w:bCs w:val="0"/>
        <w:i/>
        <w:iCs/>
        <w:w w:val="100"/>
        <w:sz w:val="22"/>
        <w:szCs w:val="22"/>
        <w:lang w:val="en-US" w:eastAsia="en-US" w:bidi="ar-SA"/>
      </w:rPr>
    </w:lvl>
    <w:lvl w:ilvl="1">
      <w:numFmt w:val="bullet"/>
      <w:lvlText w:val=""/>
      <w:lvlJc w:val="left"/>
      <w:pPr>
        <w:tabs>
          <w:tab w:val="num" w:pos="0"/>
        </w:tabs>
        <w:ind w:left="1708" w:hanging="288"/>
      </w:pPr>
      <w:rPr>
        <w:rFonts w:ascii="Symbol" w:hAnsi="Symbol" w:cs="Symbol" w:hint="default"/>
        <w:lang w:val="en-US" w:eastAsia="en-US" w:bidi="ar-SA"/>
      </w:rPr>
    </w:lvl>
    <w:lvl w:ilvl="2">
      <w:numFmt w:val="bullet"/>
      <w:lvlText w:val=""/>
      <w:lvlJc w:val="left"/>
      <w:pPr>
        <w:tabs>
          <w:tab w:val="num" w:pos="0"/>
        </w:tabs>
        <w:ind w:left="2637" w:hanging="288"/>
      </w:pPr>
      <w:rPr>
        <w:rFonts w:ascii="Symbol" w:hAnsi="Symbol" w:cs="Symbol" w:hint="default"/>
        <w:lang w:val="en-US" w:eastAsia="en-US" w:bidi="ar-SA"/>
      </w:rPr>
    </w:lvl>
    <w:lvl w:ilvl="3">
      <w:numFmt w:val="bullet"/>
      <w:lvlText w:val=""/>
      <w:lvlJc w:val="left"/>
      <w:pPr>
        <w:tabs>
          <w:tab w:val="num" w:pos="0"/>
        </w:tabs>
        <w:ind w:left="3566" w:hanging="288"/>
      </w:pPr>
      <w:rPr>
        <w:rFonts w:ascii="Symbol" w:hAnsi="Symbol" w:cs="Symbol" w:hint="default"/>
        <w:lang w:val="en-US" w:eastAsia="en-US" w:bidi="ar-SA"/>
      </w:rPr>
    </w:lvl>
    <w:lvl w:ilvl="4">
      <w:numFmt w:val="bullet"/>
      <w:lvlText w:val=""/>
      <w:lvlJc w:val="left"/>
      <w:pPr>
        <w:tabs>
          <w:tab w:val="num" w:pos="0"/>
        </w:tabs>
        <w:ind w:left="4495" w:hanging="288"/>
      </w:pPr>
      <w:rPr>
        <w:rFonts w:ascii="Symbol" w:hAnsi="Symbol" w:cs="Symbol" w:hint="default"/>
        <w:lang w:val="en-US" w:eastAsia="en-US" w:bidi="ar-SA"/>
      </w:rPr>
    </w:lvl>
    <w:lvl w:ilvl="5">
      <w:numFmt w:val="bullet"/>
      <w:lvlText w:val=""/>
      <w:lvlJc w:val="left"/>
      <w:pPr>
        <w:tabs>
          <w:tab w:val="num" w:pos="0"/>
        </w:tabs>
        <w:ind w:left="5424" w:hanging="288"/>
      </w:pPr>
      <w:rPr>
        <w:rFonts w:ascii="Symbol" w:hAnsi="Symbol" w:cs="Symbol" w:hint="default"/>
        <w:lang w:val="en-US" w:eastAsia="en-US" w:bidi="ar-SA"/>
      </w:rPr>
    </w:lvl>
    <w:lvl w:ilvl="6">
      <w:numFmt w:val="bullet"/>
      <w:lvlText w:val=""/>
      <w:lvlJc w:val="left"/>
      <w:pPr>
        <w:tabs>
          <w:tab w:val="num" w:pos="0"/>
        </w:tabs>
        <w:ind w:left="6353" w:hanging="288"/>
      </w:pPr>
      <w:rPr>
        <w:rFonts w:ascii="Symbol" w:hAnsi="Symbol" w:cs="Symbol" w:hint="default"/>
        <w:lang w:val="en-US" w:eastAsia="en-US" w:bidi="ar-SA"/>
      </w:rPr>
    </w:lvl>
    <w:lvl w:ilvl="7">
      <w:numFmt w:val="bullet"/>
      <w:lvlText w:val=""/>
      <w:lvlJc w:val="left"/>
      <w:pPr>
        <w:tabs>
          <w:tab w:val="num" w:pos="0"/>
        </w:tabs>
        <w:ind w:left="7282" w:hanging="288"/>
      </w:pPr>
      <w:rPr>
        <w:rFonts w:ascii="Symbol" w:hAnsi="Symbol" w:cs="Symbol" w:hint="default"/>
        <w:lang w:val="en-US" w:eastAsia="en-US" w:bidi="ar-SA"/>
      </w:rPr>
    </w:lvl>
    <w:lvl w:ilvl="8">
      <w:numFmt w:val="bullet"/>
      <w:lvlText w:val=""/>
      <w:lvlJc w:val="left"/>
      <w:pPr>
        <w:tabs>
          <w:tab w:val="num" w:pos="0"/>
        </w:tabs>
        <w:ind w:left="8211" w:hanging="288"/>
      </w:pPr>
      <w:rPr>
        <w:rFonts w:ascii="Symbol" w:hAnsi="Symbol" w:cs="Symbol" w:hint="default"/>
        <w:lang w:val="en-US" w:eastAsia="en-US" w:bidi="ar-SA"/>
      </w:rPr>
    </w:lvl>
  </w:abstractNum>
  <w:abstractNum w:abstractNumId="2" w15:restartNumberingAfterBreak="0">
    <w:nsid w:val="2CA21147"/>
    <w:multiLevelType w:val="multilevel"/>
    <w:tmpl w:val="F482CC28"/>
    <w:lvl w:ilvl="0">
      <w:start w:val="1"/>
      <w:numFmt w:val="lowerLetter"/>
      <w:lvlText w:val="%1"/>
      <w:lvlJc w:val="left"/>
      <w:pPr>
        <w:tabs>
          <w:tab w:val="num" w:pos="0"/>
        </w:tabs>
        <w:ind w:left="779" w:hanging="288"/>
      </w:pPr>
      <w:rPr>
        <w:rFonts w:ascii="Times New Roman" w:eastAsia="Times New Roman" w:hAnsi="Times New Roman" w:cs="Times New Roman"/>
        <w:b w:val="0"/>
        <w:bCs w:val="0"/>
        <w:i/>
        <w:iCs/>
        <w:w w:val="100"/>
        <w:sz w:val="22"/>
        <w:szCs w:val="22"/>
        <w:lang w:val="en-US" w:eastAsia="en-US" w:bidi="ar-SA"/>
      </w:rPr>
    </w:lvl>
    <w:lvl w:ilvl="1">
      <w:numFmt w:val="bullet"/>
      <w:lvlText w:val=""/>
      <w:lvlJc w:val="left"/>
      <w:pPr>
        <w:tabs>
          <w:tab w:val="num" w:pos="0"/>
        </w:tabs>
        <w:ind w:left="1708" w:hanging="288"/>
      </w:pPr>
      <w:rPr>
        <w:rFonts w:ascii="Symbol" w:hAnsi="Symbol" w:cs="Symbol" w:hint="default"/>
        <w:lang w:val="en-US" w:eastAsia="en-US" w:bidi="ar-SA"/>
      </w:rPr>
    </w:lvl>
    <w:lvl w:ilvl="2">
      <w:numFmt w:val="bullet"/>
      <w:lvlText w:val=""/>
      <w:lvlJc w:val="left"/>
      <w:pPr>
        <w:tabs>
          <w:tab w:val="num" w:pos="0"/>
        </w:tabs>
        <w:ind w:left="2637" w:hanging="288"/>
      </w:pPr>
      <w:rPr>
        <w:rFonts w:ascii="Symbol" w:hAnsi="Symbol" w:cs="Symbol" w:hint="default"/>
        <w:lang w:val="en-US" w:eastAsia="en-US" w:bidi="ar-SA"/>
      </w:rPr>
    </w:lvl>
    <w:lvl w:ilvl="3">
      <w:numFmt w:val="bullet"/>
      <w:lvlText w:val=""/>
      <w:lvlJc w:val="left"/>
      <w:pPr>
        <w:tabs>
          <w:tab w:val="num" w:pos="0"/>
        </w:tabs>
        <w:ind w:left="3566" w:hanging="288"/>
      </w:pPr>
      <w:rPr>
        <w:rFonts w:ascii="Symbol" w:hAnsi="Symbol" w:cs="Symbol" w:hint="default"/>
        <w:lang w:val="en-US" w:eastAsia="en-US" w:bidi="ar-SA"/>
      </w:rPr>
    </w:lvl>
    <w:lvl w:ilvl="4">
      <w:numFmt w:val="bullet"/>
      <w:lvlText w:val=""/>
      <w:lvlJc w:val="left"/>
      <w:pPr>
        <w:tabs>
          <w:tab w:val="num" w:pos="0"/>
        </w:tabs>
        <w:ind w:left="4495" w:hanging="288"/>
      </w:pPr>
      <w:rPr>
        <w:rFonts w:ascii="Symbol" w:hAnsi="Symbol" w:cs="Symbol" w:hint="default"/>
        <w:lang w:val="en-US" w:eastAsia="en-US" w:bidi="ar-SA"/>
      </w:rPr>
    </w:lvl>
    <w:lvl w:ilvl="5">
      <w:numFmt w:val="bullet"/>
      <w:lvlText w:val=""/>
      <w:lvlJc w:val="left"/>
      <w:pPr>
        <w:tabs>
          <w:tab w:val="num" w:pos="0"/>
        </w:tabs>
        <w:ind w:left="5424" w:hanging="288"/>
      </w:pPr>
      <w:rPr>
        <w:rFonts w:ascii="Symbol" w:hAnsi="Symbol" w:cs="Symbol" w:hint="default"/>
        <w:lang w:val="en-US" w:eastAsia="en-US" w:bidi="ar-SA"/>
      </w:rPr>
    </w:lvl>
    <w:lvl w:ilvl="6">
      <w:numFmt w:val="bullet"/>
      <w:lvlText w:val=""/>
      <w:lvlJc w:val="left"/>
      <w:pPr>
        <w:tabs>
          <w:tab w:val="num" w:pos="0"/>
        </w:tabs>
        <w:ind w:left="6353" w:hanging="288"/>
      </w:pPr>
      <w:rPr>
        <w:rFonts w:ascii="Symbol" w:hAnsi="Symbol" w:cs="Symbol" w:hint="default"/>
        <w:lang w:val="en-US" w:eastAsia="en-US" w:bidi="ar-SA"/>
      </w:rPr>
    </w:lvl>
    <w:lvl w:ilvl="7">
      <w:numFmt w:val="bullet"/>
      <w:lvlText w:val=""/>
      <w:lvlJc w:val="left"/>
      <w:pPr>
        <w:tabs>
          <w:tab w:val="num" w:pos="0"/>
        </w:tabs>
        <w:ind w:left="7282" w:hanging="288"/>
      </w:pPr>
      <w:rPr>
        <w:rFonts w:ascii="Symbol" w:hAnsi="Symbol" w:cs="Symbol" w:hint="default"/>
        <w:lang w:val="en-US" w:eastAsia="en-US" w:bidi="ar-SA"/>
      </w:rPr>
    </w:lvl>
    <w:lvl w:ilvl="8">
      <w:numFmt w:val="bullet"/>
      <w:lvlText w:val=""/>
      <w:lvlJc w:val="left"/>
      <w:pPr>
        <w:tabs>
          <w:tab w:val="num" w:pos="0"/>
        </w:tabs>
        <w:ind w:left="8211" w:hanging="288"/>
      </w:pPr>
      <w:rPr>
        <w:rFonts w:ascii="Symbol" w:hAnsi="Symbol" w:cs="Symbol" w:hint="default"/>
        <w:lang w:val="en-US" w:eastAsia="en-US" w:bidi="ar-SA"/>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40C17348"/>
    <w:multiLevelType w:val="multilevel"/>
    <w:tmpl w:val="E58E0892"/>
    <w:lvl w:ilvl="0">
      <w:start w:val="1"/>
      <w:numFmt w:val="lowerLetter"/>
      <w:lvlText w:val="%1"/>
      <w:lvlJc w:val="left"/>
      <w:pPr>
        <w:tabs>
          <w:tab w:val="num" w:pos="0"/>
        </w:tabs>
        <w:ind w:left="779" w:hanging="288"/>
      </w:pPr>
      <w:rPr>
        <w:rFonts w:ascii="Times New Roman" w:eastAsia="Times New Roman" w:hAnsi="Times New Roman" w:cs="Times New Roman"/>
        <w:b w:val="0"/>
        <w:bCs w:val="0"/>
        <w:i w:val="0"/>
        <w:iCs w:val="0"/>
        <w:w w:val="100"/>
        <w:sz w:val="22"/>
        <w:szCs w:val="22"/>
        <w:lang w:val="en-US" w:eastAsia="en-US" w:bidi="ar-SA"/>
      </w:rPr>
    </w:lvl>
    <w:lvl w:ilvl="1">
      <w:numFmt w:val="bullet"/>
      <w:lvlText w:val=""/>
      <w:lvlJc w:val="left"/>
      <w:pPr>
        <w:tabs>
          <w:tab w:val="num" w:pos="0"/>
        </w:tabs>
        <w:ind w:left="1708" w:hanging="288"/>
      </w:pPr>
      <w:rPr>
        <w:rFonts w:ascii="Symbol" w:hAnsi="Symbol" w:cs="Symbol" w:hint="default"/>
        <w:lang w:val="en-US" w:eastAsia="en-US" w:bidi="ar-SA"/>
      </w:rPr>
    </w:lvl>
    <w:lvl w:ilvl="2">
      <w:numFmt w:val="bullet"/>
      <w:lvlText w:val=""/>
      <w:lvlJc w:val="left"/>
      <w:pPr>
        <w:tabs>
          <w:tab w:val="num" w:pos="0"/>
        </w:tabs>
        <w:ind w:left="2637" w:hanging="288"/>
      </w:pPr>
      <w:rPr>
        <w:rFonts w:ascii="Symbol" w:hAnsi="Symbol" w:cs="Symbol" w:hint="default"/>
        <w:lang w:val="en-US" w:eastAsia="en-US" w:bidi="ar-SA"/>
      </w:rPr>
    </w:lvl>
    <w:lvl w:ilvl="3">
      <w:numFmt w:val="bullet"/>
      <w:lvlText w:val=""/>
      <w:lvlJc w:val="left"/>
      <w:pPr>
        <w:tabs>
          <w:tab w:val="num" w:pos="0"/>
        </w:tabs>
        <w:ind w:left="3566" w:hanging="288"/>
      </w:pPr>
      <w:rPr>
        <w:rFonts w:ascii="Symbol" w:hAnsi="Symbol" w:cs="Symbol" w:hint="default"/>
        <w:lang w:val="en-US" w:eastAsia="en-US" w:bidi="ar-SA"/>
      </w:rPr>
    </w:lvl>
    <w:lvl w:ilvl="4">
      <w:numFmt w:val="bullet"/>
      <w:lvlText w:val=""/>
      <w:lvlJc w:val="left"/>
      <w:pPr>
        <w:tabs>
          <w:tab w:val="num" w:pos="0"/>
        </w:tabs>
        <w:ind w:left="4495" w:hanging="288"/>
      </w:pPr>
      <w:rPr>
        <w:rFonts w:ascii="Symbol" w:hAnsi="Symbol" w:cs="Symbol" w:hint="default"/>
        <w:lang w:val="en-US" w:eastAsia="en-US" w:bidi="ar-SA"/>
      </w:rPr>
    </w:lvl>
    <w:lvl w:ilvl="5">
      <w:numFmt w:val="bullet"/>
      <w:lvlText w:val=""/>
      <w:lvlJc w:val="left"/>
      <w:pPr>
        <w:tabs>
          <w:tab w:val="num" w:pos="0"/>
        </w:tabs>
        <w:ind w:left="5424" w:hanging="288"/>
      </w:pPr>
      <w:rPr>
        <w:rFonts w:ascii="Symbol" w:hAnsi="Symbol" w:cs="Symbol" w:hint="default"/>
        <w:lang w:val="en-US" w:eastAsia="en-US" w:bidi="ar-SA"/>
      </w:rPr>
    </w:lvl>
    <w:lvl w:ilvl="6">
      <w:numFmt w:val="bullet"/>
      <w:lvlText w:val=""/>
      <w:lvlJc w:val="left"/>
      <w:pPr>
        <w:tabs>
          <w:tab w:val="num" w:pos="0"/>
        </w:tabs>
        <w:ind w:left="6353" w:hanging="288"/>
      </w:pPr>
      <w:rPr>
        <w:rFonts w:ascii="Symbol" w:hAnsi="Symbol" w:cs="Symbol" w:hint="default"/>
        <w:lang w:val="en-US" w:eastAsia="en-US" w:bidi="ar-SA"/>
      </w:rPr>
    </w:lvl>
    <w:lvl w:ilvl="7">
      <w:numFmt w:val="bullet"/>
      <w:lvlText w:val=""/>
      <w:lvlJc w:val="left"/>
      <w:pPr>
        <w:tabs>
          <w:tab w:val="num" w:pos="0"/>
        </w:tabs>
        <w:ind w:left="7282" w:hanging="288"/>
      </w:pPr>
      <w:rPr>
        <w:rFonts w:ascii="Symbol" w:hAnsi="Symbol" w:cs="Symbol" w:hint="default"/>
        <w:lang w:val="en-US" w:eastAsia="en-US" w:bidi="ar-SA"/>
      </w:rPr>
    </w:lvl>
    <w:lvl w:ilvl="8">
      <w:numFmt w:val="bullet"/>
      <w:lvlText w:val=""/>
      <w:lvlJc w:val="left"/>
      <w:pPr>
        <w:tabs>
          <w:tab w:val="num" w:pos="0"/>
        </w:tabs>
        <w:ind w:left="8211" w:hanging="288"/>
      </w:pPr>
      <w:rPr>
        <w:rFonts w:ascii="Symbol" w:hAnsi="Symbol" w:cs="Symbol" w:hint="default"/>
        <w:lang w:val="en-US" w:eastAsia="en-US" w:bidi="ar-SA"/>
      </w:rPr>
    </w:lvl>
  </w:abstractNum>
  <w:abstractNum w:abstractNumId="7" w15:restartNumberingAfterBreak="0">
    <w:nsid w:val="47B064A2"/>
    <w:multiLevelType w:val="multilevel"/>
    <w:tmpl w:val="D26C0E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555F694A"/>
    <w:multiLevelType w:val="multilevel"/>
    <w:tmpl w:val="32EA8AC6"/>
    <w:lvl w:ilvl="0">
      <w:numFmt w:val="bullet"/>
      <w:lvlText w:val="*"/>
      <w:lvlJc w:val="left"/>
      <w:pPr>
        <w:tabs>
          <w:tab w:val="num" w:pos="0"/>
        </w:tabs>
        <w:ind w:left="779" w:hanging="288"/>
      </w:pPr>
      <w:rPr>
        <w:rFonts w:ascii="Times New Roman" w:hAnsi="Times New Roman" w:cs="Times New Roman" w:hint="default"/>
        <w:b w:val="0"/>
        <w:bCs w:val="0"/>
        <w:i w:val="0"/>
        <w:iCs w:val="0"/>
        <w:w w:val="100"/>
        <w:sz w:val="22"/>
        <w:szCs w:val="22"/>
        <w:lang w:val="en-US" w:eastAsia="en-US" w:bidi="ar-SA"/>
      </w:rPr>
    </w:lvl>
    <w:lvl w:ilvl="1">
      <w:numFmt w:val="bullet"/>
      <w:lvlText w:val=""/>
      <w:lvlJc w:val="left"/>
      <w:pPr>
        <w:tabs>
          <w:tab w:val="num" w:pos="0"/>
        </w:tabs>
        <w:ind w:left="1708" w:hanging="288"/>
      </w:pPr>
      <w:rPr>
        <w:rFonts w:ascii="Symbol" w:hAnsi="Symbol" w:cs="Symbol" w:hint="default"/>
        <w:lang w:val="en-US" w:eastAsia="en-US" w:bidi="ar-SA"/>
      </w:rPr>
    </w:lvl>
    <w:lvl w:ilvl="2">
      <w:numFmt w:val="bullet"/>
      <w:lvlText w:val=""/>
      <w:lvlJc w:val="left"/>
      <w:pPr>
        <w:tabs>
          <w:tab w:val="num" w:pos="0"/>
        </w:tabs>
        <w:ind w:left="2637" w:hanging="288"/>
      </w:pPr>
      <w:rPr>
        <w:rFonts w:ascii="Symbol" w:hAnsi="Symbol" w:cs="Symbol" w:hint="default"/>
        <w:lang w:val="en-US" w:eastAsia="en-US" w:bidi="ar-SA"/>
      </w:rPr>
    </w:lvl>
    <w:lvl w:ilvl="3">
      <w:numFmt w:val="bullet"/>
      <w:lvlText w:val=""/>
      <w:lvlJc w:val="left"/>
      <w:pPr>
        <w:tabs>
          <w:tab w:val="num" w:pos="0"/>
        </w:tabs>
        <w:ind w:left="3566" w:hanging="288"/>
      </w:pPr>
      <w:rPr>
        <w:rFonts w:ascii="Symbol" w:hAnsi="Symbol" w:cs="Symbol" w:hint="default"/>
        <w:lang w:val="en-US" w:eastAsia="en-US" w:bidi="ar-SA"/>
      </w:rPr>
    </w:lvl>
    <w:lvl w:ilvl="4">
      <w:numFmt w:val="bullet"/>
      <w:lvlText w:val=""/>
      <w:lvlJc w:val="left"/>
      <w:pPr>
        <w:tabs>
          <w:tab w:val="num" w:pos="0"/>
        </w:tabs>
        <w:ind w:left="4495" w:hanging="288"/>
      </w:pPr>
      <w:rPr>
        <w:rFonts w:ascii="Symbol" w:hAnsi="Symbol" w:cs="Symbol" w:hint="default"/>
        <w:lang w:val="en-US" w:eastAsia="en-US" w:bidi="ar-SA"/>
      </w:rPr>
    </w:lvl>
    <w:lvl w:ilvl="5">
      <w:numFmt w:val="bullet"/>
      <w:lvlText w:val=""/>
      <w:lvlJc w:val="left"/>
      <w:pPr>
        <w:tabs>
          <w:tab w:val="num" w:pos="0"/>
        </w:tabs>
        <w:ind w:left="5424" w:hanging="288"/>
      </w:pPr>
      <w:rPr>
        <w:rFonts w:ascii="Symbol" w:hAnsi="Symbol" w:cs="Symbol" w:hint="default"/>
        <w:lang w:val="en-US" w:eastAsia="en-US" w:bidi="ar-SA"/>
      </w:rPr>
    </w:lvl>
    <w:lvl w:ilvl="6">
      <w:numFmt w:val="bullet"/>
      <w:lvlText w:val=""/>
      <w:lvlJc w:val="left"/>
      <w:pPr>
        <w:tabs>
          <w:tab w:val="num" w:pos="0"/>
        </w:tabs>
        <w:ind w:left="6353" w:hanging="288"/>
      </w:pPr>
      <w:rPr>
        <w:rFonts w:ascii="Symbol" w:hAnsi="Symbol" w:cs="Symbol" w:hint="default"/>
        <w:lang w:val="en-US" w:eastAsia="en-US" w:bidi="ar-SA"/>
      </w:rPr>
    </w:lvl>
    <w:lvl w:ilvl="7">
      <w:numFmt w:val="bullet"/>
      <w:lvlText w:val=""/>
      <w:lvlJc w:val="left"/>
      <w:pPr>
        <w:tabs>
          <w:tab w:val="num" w:pos="0"/>
        </w:tabs>
        <w:ind w:left="7282" w:hanging="288"/>
      </w:pPr>
      <w:rPr>
        <w:rFonts w:ascii="Symbol" w:hAnsi="Symbol" w:cs="Symbol" w:hint="default"/>
        <w:lang w:val="en-US" w:eastAsia="en-US" w:bidi="ar-SA"/>
      </w:rPr>
    </w:lvl>
    <w:lvl w:ilvl="8">
      <w:numFmt w:val="bullet"/>
      <w:lvlText w:val=""/>
      <w:lvlJc w:val="left"/>
      <w:pPr>
        <w:tabs>
          <w:tab w:val="num" w:pos="0"/>
        </w:tabs>
        <w:ind w:left="8211" w:hanging="288"/>
      </w:pPr>
      <w:rPr>
        <w:rFonts w:ascii="Symbol" w:hAnsi="Symbol" w:cs="Symbol" w:hint="default"/>
        <w:lang w:val="en-US" w:eastAsia="en-US" w:bidi="ar-SA"/>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9"/>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88"/>
    <w:rsid w:val="000259B9"/>
    <w:rsid w:val="00041491"/>
    <w:rsid w:val="00042B48"/>
    <w:rsid w:val="00050D16"/>
    <w:rsid w:val="000730CA"/>
    <w:rsid w:val="00074F2A"/>
    <w:rsid w:val="000A1CA8"/>
    <w:rsid w:val="000A466B"/>
    <w:rsid w:val="000B058C"/>
    <w:rsid w:val="000D68B0"/>
    <w:rsid w:val="000E4EE6"/>
    <w:rsid w:val="001454E2"/>
    <w:rsid w:val="00160565"/>
    <w:rsid w:val="001D79B0"/>
    <w:rsid w:val="00206CE8"/>
    <w:rsid w:val="0021526C"/>
    <w:rsid w:val="00283A2B"/>
    <w:rsid w:val="002B30AD"/>
    <w:rsid w:val="002C1EC0"/>
    <w:rsid w:val="002C2C01"/>
    <w:rsid w:val="0033687D"/>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37F5A"/>
    <w:rsid w:val="00641C65"/>
    <w:rsid w:val="006560B1"/>
    <w:rsid w:val="006756DD"/>
    <w:rsid w:val="006B48F0"/>
    <w:rsid w:val="0071241E"/>
    <w:rsid w:val="00737275"/>
    <w:rsid w:val="00740EEC"/>
    <w:rsid w:val="0078011A"/>
    <w:rsid w:val="00782AF4"/>
    <w:rsid w:val="00790EE7"/>
    <w:rsid w:val="007B1A94"/>
    <w:rsid w:val="007B6649"/>
    <w:rsid w:val="007D74AA"/>
    <w:rsid w:val="007F693C"/>
    <w:rsid w:val="0082576E"/>
    <w:rsid w:val="00831588"/>
    <w:rsid w:val="0089346F"/>
    <w:rsid w:val="00907F75"/>
    <w:rsid w:val="009260DE"/>
    <w:rsid w:val="0093258A"/>
    <w:rsid w:val="009C7BA3"/>
    <w:rsid w:val="009D1F5A"/>
    <w:rsid w:val="00A10294"/>
    <w:rsid w:val="00AA3FAA"/>
    <w:rsid w:val="00B003BF"/>
    <w:rsid w:val="00B373D7"/>
    <w:rsid w:val="00B55271"/>
    <w:rsid w:val="00BD7931"/>
    <w:rsid w:val="00BF6243"/>
    <w:rsid w:val="00C36276"/>
    <w:rsid w:val="00C42586"/>
    <w:rsid w:val="00C45F6B"/>
    <w:rsid w:val="00C52F9A"/>
    <w:rsid w:val="00C56CD3"/>
    <w:rsid w:val="00C60CCD"/>
    <w:rsid w:val="00C84483"/>
    <w:rsid w:val="00C95551"/>
    <w:rsid w:val="00CB20D7"/>
    <w:rsid w:val="00D020B0"/>
    <w:rsid w:val="00D11748"/>
    <w:rsid w:val="00D21C07"/>
    <w:rsid w:val="00D237F6"/>
    <w:rsid w:val="00D34D98"/>
    <w:rsid w:val="00D366CF"/>
    <w:rsid w:val="00D40E95"/>
    <w:rsid w:val="00D42B70"/>
    <w:rsid w:val="00D93992"/>
    <w:rsid w:val="00D93A6A"/>
    <w:rsid w:val="00DE3E26"/>
    <w:rsid w:val="00E108AA"/>
    <w:rsid w:val="00E11E3E"/>
    <w:rsid w:val="00E3749A"/>
    <w:rsid w:val="00E7437F"/>
    <w:rsid w:val="00E85B2D"/>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4ED6E"/>
  <w15:chartTrackingRefBased/>
  <w15:docId w15:val="{7E2E3228-63CB-4DB5-8DC9-DDFD5E69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2">
    <w:name w:val="heading 2"/>
    <w:basedOn w:val="Normal"/>
    <w:next w:val="Normal"/>
    <w:link w:val="Overskrift2Tegn"/>
    <w:uiPriority w:val="9"/>
    <w:semiHidden/>
    <w:unhideWhenUsed/>
    <w:qFormat/>
    <w:rsid w:val="00D21C07"/>
    <w:pPr>
      <w:keepNext/>
      <w:tabs>
        <w:tab w:val="left" w:pos="567"/>
      </w:tabs>
      <w:suppressAutoHyphens/>
      <w:spacing w:before="240" w:after="60" w:line="260" w:lineRule="exact"/>
      <w:outlineLvl w:val="1"/>
    </w:pPr>
    <w:rPr>
      <w:rFonts w:ascii="Helvetica" w:hAnsi="Helvetica"/>
      <w:b/>
      <w:i/>
      <w:sz w:val="24"/>
      <w:lang w:val="en-GB"/>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customStyle="1" w:styleId="Overskrift2Tegn">
    <w:name w:val="Overskrift 2 Tegn"/>
    <w:basedOn w:val="Standardskrifttypeiafsnit"/>
    <w:link w:val="Overskrift2"/>
    <w:uiPriority w:val="9"/>
    <w:semiHidden/>
    <w:rsid w:val="00D21C07"/>
    <w:rPr>
      <w:rFonts w:ascii="Helvetica" w:hAnsi="Helvetica"/>
      <w:b/>
      <w:i/>
      <w:sz w:val="24"/>
      <w:lang w:val="en-GB" w:eastAsia="en-US"/>
    </w:rPr>
  </w:style>
  <w:style w:type="paragraph" w:styleId="Brdtekst">
    <w:name w:val="Body Text"/>
    <w:basedOn w:val="Normal"/>
    <w:link w:val="BrdtekstTegn"/>
    <w:uiPriority w:val="1"/>
    <w:semiHidden/>
    <w:unhideWhenUsed/>
    <w:qFormat/>
    <w:rsid w:val="00D21C07"/>
    <w:pPr>
      <w:suppressAutoHyphens/>
    </w:pPr>
    <w:rPr>
      <w:i/>
      <w:color w:val="008000"/>
      <w:sz w:val="22"/>
      <w:lang w:val="en-GB"/>
    </w:rPr>
  </w:style>
  <w:style w:type="character" w:customStyle="1" w:styleId="BrdtekstTegn">
    <w:name w:val="Brødtekst Tegn"/>
    <w:basedOn w:val="Standardskrifttypeiafsnit"/>
    <w:link w:val="Brdtekst"/>
    <w:uiPriority w:val="1"/>
    <w:semiHidden/>
    <w:rsid w:val="00D21C07"/>
    <w:rPr>
      <w:i/>
      <w:color w:val="008000"/>
      <w:sz w:val="22"/>
      <w:lang w:val="en-GB" w:eastAsia="en-US"/>
    </w:rPr>
  </w:style>
  <w:style w:type="paragraph" w:styleId="Listeafsnit">
    <w:name w:val="List Paragraph"/>
    <w:basedOn w:val="Normal"/>
    <w:uiPriority w:val="1"/>
    <w:qFormat/>
    <w:rsid w:val="00D21C07"/>
    <w:pPr>
      <w:widowControl w:val="0"/>
      <w:suppressAutoHyphens/>
      <w:ind w:left="1053" w:hanging="563"/>
    </w:pPr>
    <w:rPr>
      <w:sz w:val="22"/>
      <w:szCs w:val="22"/>
      <w:lang w:val="en-US"/>
    </w:rPr>
  </w:style>
  <w:style w:type="paragraph" w:customStyle="1" w:styleId="Default">
    <w:name w:val="Default"/>
    <w:qFormat/>
    <w:rsid w:val="00D21C07"/>
    <w:pPr>
      <w:suppressAutoHyphens/>
    </w:pPr>
    <w:rPr>
      <w:lang w:val="en-US" w:eastAsia="en-US"/>
    </w:rPr>
  </w:style>
  <w:style w:type="paragraph" w:customStyle="1" w:styleId="TableParagraph">
    <w:name w:val="Table Paragraph"/>
    <w:basedOn w:val="Normal"/>
    <w:uiPriority w:val="1"/>
    <w:qFormat/>
    <w:rsid w:val="00D21C07"/>
    <w:pPr>
      <w:widowControl w:val="0"/>
      <w:suppressAutoHyphens/>
      <w:ind w:left="71"/>
    </w:pPr>
    <w:rPr>
      <w:sz w:val="22"/>
      <w:szCs w:val="22"/>
      <w:lang w:val="en-US"/>
    </w:rPr>
  </w:style>
  <w:style w:type="character" w:styleId="Hyperlink">
    <w:name w:val="Hyperlink"/>
    <w:basedOn w:val="Standardskrifttypeiafsnit"/>
    <w:uiPriority w:val="99"/>
    <w:unhideWhenUsed/>
    <w:rsid w:val="007B1A94"/>
    <w:rPr>
      <w:color w:val="0563C1" w:themeColor="hyperlink"/>
      <w:u w:val="single"/>
    </w:rPr>
  </w:style>
  <w:style w:type="character" w:styleId="Ulstomtale">
    <w:name w:val="Unresolved Mention"/>
    <w:basedOn w:val="Standardskrifttypeiafsnit"/>
    <w:uiPriority w:val="99"/>
    <w:semiHidden/>
    <w:unhideWhenUsed/>
    <w:rsid w:val="007B1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36029">
      <w:bodyDiv w:val="1"/>
      <w:marLeft w:val="0"/>
      <w:marRight w:val="0"/>
      <w:marTop w:val="0"/>
      <w:marBottom w:val="0"/>
      <w:divBdr>
        <w:top w:val="none" w:sz="0" w:space="0" w:color="auto"/>
        <w:left w:val="none" w:sz="0" w:space="0" w:color="auto"/>
        <w:bottom w:val="none" w:sz="0" w:space="0" w:color="auto"/>
        <w:right w:val="none" w:sz="0" w:space="0" w:color="auto"/>
      </w:divBdr>
    </w:div>
    <w:div w:id="9182157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26230470">
      <w:bodyDiv w:val="1"/>
      <w:marLeft w:val="0"/>
      <w:marRight w:val="0"/>
      <w:marTop w:val="0"/>
      <w:marBottom w:val="0"/>
      <w:divBdr>
        <w:top w:val="none" w:sz="0" w:space="0" w:color="auto"/>
        <w:left w:val="none" w:sz="0" w:space="0" w:color="auto"/>
        <w:bottom w:val="none" w:sz="0" w:space="0" w:color="auto"/>
        <w:right w:val="none" w:sz="0" w:space="0" w:color="auto"/>
      </w:divBdr>
    </w:div>
    <w:div w:id="253973607">
      <w:bodyDiv w:val="1"/>
      <w:marLeft w:val="0"/>
      <w:marRight w:val="0"/>
      <w:marTop w:val="0"/>
      <w:marBottom w:val="0"/>
      <w:divBdr>
        <w:top w:val="none" w:sz="0" w:space="0" w:color="auto"/>
        <w:left w:val="none" w:sz="0" w:space="0" w:color="auto"/>
        <w:bottom w:val="none" w:sz="0" w:space="0" w:color="auto"/>
        <w:right w:val="none" w:sz="0" w:space="0" w:color="auto"/>
      </w:divBdr>
    </w:div>
    <w:div w:id="298732437">
      <w:bodyDiv w:val="1"/>
      <w:marLeft w:val="0"/>
      <w:marRight w:val="0"/>
      <w:marTop w:val="0"/>
      <w:marBottom w:val="0"/>
      <w:divBdr>
        <w:top w:val="none" w:sz="0" w:space="0" w:color="auto"/>
        <w:left w:val="none" w:sz="0" w:space="0" w:color="auto"/>
        <w:bottom w:val="none" w:sz="0" w:space="0" w:color="auto"/>
        <w:right w:val="none" w:sz="0" w:space="0" w:color="auto"/>
      </w:divBdr>
    </w:div>
    <w:div w:id="337121798">
      <w:bodyDiv w:val="1"/>
      <w:marLeft w:val="0"/>
      <w:marRight w:val="0"/>
      <w:marTop w:val="0"/>
      <w:marBottom w:val="0"/>
      <w:divBdr>
        <w:top w:val="none" w:sz="0" w:space="0" w:color="auto"/>
        <w:left w:val="none" w:sz="0" w:space="0" w:color="auto"/>
        <w:bottom w:val="none" w:sz="0" w:space="0" w:color="auto"/>
        <w:right w:val="none" w:sz="0" w:space="0" w:color="auto"/>
      </w:divBdr>
    </w:div>
    <w:div w:id="483357831">
      <w:bodyDiv w:val="1"/>
      <w:marLeft w:val="0"/>
      <w:marRight w:val="0"/>
      <w:marTop w:val="0"/>
      <w:marBottom w:val="0"/>
      <w:divBdr>
        <w:top w:val="none" w:sz="0" w:space="0" w:color="auto"/>
        <w:left w:val="none" w:sz="0" w:space="0" w:color="auto"/>
        <w:bottom w:val="none" w:sz="0" w:space="0" w:color="auto"/>
        <w:right w:val="none" w:sz="0" w:space="0" w:color="auto"/>
      </w:divBdr>
    </w:div>
    <w:div w:id="526915713">
      <w:bodyDiv w:val="1"/>
      <w:marLeft w:val="0"/>
      <w:marRight w:val="0"/>
      <w:marTop w:val="0"/>
      <w:marBottom w:val="0"/>
      <w:divBdr>
        <w:top w:val="none" w:sz="0" w:space="0" w:color="auto"/>
        <w:left w:val="none" w:sz="0" w:space="0" w:color="auto"/>
        <w:bottom w:val="none" w:sz="0" w:space="0" w:color="auto"/>
        <w:right w:val="none" w:sz="0" w:space="0" w:color="auto"/>
      </w:divBdr>
    </w:div>
    <w:div w:id="541595755">
      <w:bodyDiv w:val="1"/>
      <w:marLeft w:val="0"/>
      <w:marRight w:val="0"/>
      <w:marTop w:val="0"/>
      <w:marBottom w:val="0"/>
      <w:divBdr>
        <w:top w:val="none" w:sz="0" w:space="0" w:color="auto"/>
        <w:left w:val="none" w:sz="0" w:space="0" w:color="auto"/>
        <w:bottom w:val="none" w:sz="0" w:space="0" w:color="auto"/>
        <w:right w:val="none" w:sz="0" w:space="0" w:color="auto"/>
      </w:divBdr>
    </w:div>
    <w:div w:id="564267493">
      <w:bodyDiv w:val="1"/>
      <w:marLeft w:val="0"/>
      <w:marRight w:val="0"/>
      <w:marTop w:val="0"/>
      <w:marBottom w:val="0"/>
      <w:divBdr>
        <w:top w:val="none" w:sz="0" w:space="0" w:color="auto"/>
        <w:left w:val="none" w:sz="0" w:space="0" w:color="auto"/>
        <w:bottom w:val="none" w:sz="0" w:space="0" w:color="auto"/>
        <w:right w:val="none" w:sz="0" w:space="0" w:color="auto"/>
      </w:divBdr>
    </w:div>
    <w:div w:id="582565139">
      <w:bodyDiv w:val="1"/>
      <w:marLeft w:val="0"/>
      <w:marRight w:val="0"/>
      <w:marTop w:val="0"/>
      <w:marBottom w:val="0"/>
      <w:divBdr>
        <w:top w:val="none" w:sz="0" w:space="0" w:color="auto"/>
        <w:left w:val="none" w:sz="0" w:space="0" w:color="auto"/>
        <w:bottom w:val="none" w:sz="0" w:space="0" w:color="auto"/>
        <w:right w:val="none" w:sz="0" w:space="0" w:color="auto"/>
      </w:divBdr>
    </w:div>
    <w:div w:id="612325627">
      <w:bodyDiv w:val="1"/>
      <w:marLeft w:val="0"/>
      <w:marRight w:val="0"/>
      <w:marTop w:val="0"/>
      <w:marBottom w:val="0"/>
      <w:divBdr>
        <w:top w:val="none" w:sz="0" w:space="0" w:color="auto"/>
        <w:left w:val="none" w:sz="0" w:space="0" w:color="auto"/>
        <w:bottom w:val="none" w:sz="0" w:space="0" w:color="auto"/>
        <w:right w:val="none" w:sz="0" w:space="0" w:color="auto"/>
      </w:divBdr>
    </w:div>
    <w:div w:id="691810393">
      <w:bodyDiv w:val="1"/>
      <w:marLeft w:val="0"/>
      <w:marRight w:val="0"/>
      <w:marTop w:val="0"/>
      <w:marBottom w:val="0"/>
      <w:divBdr>
        <w:top w:val="none" w:sz="0" w:space="0" w:color="auto"/>
        <w:left w:val="none" w:sz="0" w:space="0" w:color="auto"/>
        <w:bottom w:val="none" w:sz="0" w:space="0" w:color="auto"/>
        <w:right w:val="none" w:sz="0" w:space="0" w:color="auto"/>
      </w:divBdr>
    </w:div>
    <w:div w:id="701172850">
      <w:bodyDiv w:val="1"/>
      <w:marLeft w:val="0"/>
      <w:marRight w:val="0"/>
      <w:marTop w:val="0"/>
      <w:marBottom w:val="0"/>
      <w:divBdr>
        <w:top w:val="none" w:sz="0" w:space="0" w:color="auto"/>
        <w:left w:val="none" w:sz="0" w:space="0" w:color="auto"/>
        <w:bottom w:val="none" w:sz="0" w:space="0" w:color="auto"/>
        <w:right w:val="none" w:sz="0" w:space="0" w:color="auto"/>
      </w:divBdr>
    </w:div>
    <w:div w:id="779566326">
      <w:bodyDiv w:val="1"/>
      <w:marLeft w:val="0"/>
      <w:marRight w:val="0"/>
      <w:marTop w:val="0"/>
      <w:marBottom w:val="0"/>
      <w:divBdr>
        <w:top w:val="none" w:sz="0" w:space="0" w:color="auto"/>
        <w:left w:val="none" w:sz="0" w:space="0" w:color="auto"/>
        <w:bottom w:val="none" w:sz="0" w:space="0" w:color="auto"/>
        <w:right w:val="none" w:sz="0" w:space="0" w:color="auto"/>
      </w:divBdr>
    </w:div>
    <w:div w:id="856501134">
      <w:bodyDiv w:val="1"/>
      <w:marLeft w:val="0"/>
      <w:marRight w:val="0"/>
      <w:marTop w:val="0"/>
      <w:marBottom w:val="0"/>
      <w:divBdr>
        <w:top w:val="none" w:sz="0" w:space="0" w:color="auto"/>
        <w:left w:val="none" w:sz="0" w:space="0" w:color="auto"/>
        <w:bottom w:val="none" w:sz="0" w:space="0" w:color="auto"/>
        <w:right w:val="none" w:sz="0" w:space="0" w:color="auto"/>
      </w:divBdr>
    </w:div>
    <w:div w:id="917443181">
      <w:bodyDiv w:val="1"/>
      <w:marLeft w:val="0"/>
      <w:marRight w:val="0"/>
      <w:marTop w:val="0"/>
      <w:marBottom w:val="0"/>
      <w:divBdr>
        <w:top w:val="none" w:sz="0" w:space="0" w:color="auto"/>
        <w:left w:val="none" w:sz="0" w:space="0" w:color="auto"/>
        <w:bottom w:val="none" w:sz="0" w:space="0" w:color="auto"/>
        <w:right w:val="none" w:sz="0" w:space="0" w:color="auto"/>
      </w:divBdr>
    </w:div>
    <w:div w:id="1012954671">
      <w:bodyDiv w:val="1"/>
      <w:marLeft w:val="0"/>
      <w:marRight w:val="0"/>
      <w:marTop w:val="0"/>
      <w:marBottom w:val="0"/>
      <w:divBdr>
        <w:top w:val="none" w:sz="0" w:space="0" w:color="auto"/>
        <w:left w:val="none" w:sz="0" w:space="0" w:color="auto"/>
        <w:bottom w:val="none" w:sz="0" w:space="0" w:color="auto"/>
        <w:right w:val="none" w:sz="0" w:space="0" w:color="auto"/>
      </w:divBdr>
    </w:div>
    <w:div w:id="1041518410">
      <w:bodyDiv w:val="1"/>
      <w:marLeft w:val="0"/>
      <w:marRight w:val="0"/>
      <w:marTop w:val="0"/>
      <w:marBottom w:val="0"/>
      <w:divBdr>
        <w:top w:val="none" w:sz="0" w:space="0" w:color="auto"/>
        <w:left w:val="none" w:sz="0" w:space="0" w:color="auto"/>
        <w:bottom w:val="none" w:sz="0" w:space="0" w:color="auto"/>
        <w:right w:val="none" w:sz="0" w:space="0" w:color="auto"/>
      </w:divBdr>
    </w:div>
    <w:div w:id="1068190661">
      <w:bodyDiv w:val="1"/>
      <w:marLeft w:val="0"/>
      <w:marRight w:val="0"/>
      <w:marTop w:val="0"/>
      <w:marBottom w:val="0"/>
      <w:divBdr>
        <w:top w:val="none" w:sz="0" w:space="0" w:color="auto"/>
        <w:left w:val="none" w:sz="0" w:space="0" w:color="auto"/>
        <w:bottom w:val="none" w:sz="0" w:space="0" w:color="auto"/>
        <w:right w:val="none" w:sz="0" w:space="0" w:color="auto"/>
      </w:divBdr>
    </w:div>
    <w:div w:id="1144733276">
      <w:bodyDiv w:val="1"/>
      <w:marLeft w:val="0"/>
      <w:marRight w:val="0"/>
      <w:marTop w:val="0"/>
      <w:marBottom w:val="0"/>
      <w:divBdr>
        <w:top w:val="none" w:sz="0" w:space="0" w:color="auto"/>
        <w:left w:val="none" w:sz="0" w:space="0" w:color="auto"/>
        <w:bottom w:val="none" w:sz="0" w:space="0" w:color="auto"/>
        <w:right w:val="none" w:sz="0" w:space="0" w:color="auto"/>
      </w:divBdr>
    </w:div>
    <w:div w:id="1213344584">
      <w:bodyDiv w:val="1"/>
      <w:marLeft w:val="0"/>
      <w:marRight w:val="0"/>
      <w:marTop w:val="0"/>
      <w:marBottom w:val="0"/>
      <w:divBdr>
        <w:top w:val="none" w:sz="0" w:space="0" w:color="auto"/>
        <w:left w:val="none" w:sz="0" w:space="0" w:color="auto"/>
        <w:bottom w:val="none" w:sz="0" w:space="0" w:color="auto"/>
        <w:right w:val="none" w:sz="0" w:space="0" w:color="auto"/>
      </w:divBdr>
    </w:div>
    <w:div w:id="1240024263">
      <w:bodyDiv w:val="1"/>
      <w:marLeft w:val="0"/>
      <w:marRight w:val="0"/>
      <w:marTop w:val="0"/>
      <w:marBottom w:val="0"/>
      <w:divBdr>
        <w:top w:val="none" w:sz="0" w:space="0" w:color="auto"/>
        <w:left w:val="none" w:sz="0" w:space="0" w:color="auto"/>
        <w:bottom w:val="none" w:sz="0" w:space="0" w:color="auto"/>
        <w:right w:val="none" w:sz="0" w:space="0" w:color="auto"/>
      </w:divBdr>
    </w:div>
    <w:div w:id="1250238762">
      <w:bodyDiv w:val="1"/>
      <w:marLeft w:val="0"/>
      <w:marRight w:val="0"/>
      <w:marTop w:val="0"/>
      <w:marBottom w:val="0"/>
      <w:divBdr>
        <w:top w:val="none" w:sz="0" w:space="0" w:color="auto"/>
        <w:left w:val="none" w:sz="0" w:space="0" w:color="auto"/>
        <w:bottom w:val="none" w:sz="0" w:space="0" w:color="auto"/>
        <w:right w:val="none" w:sz="0" w:space="0" w:color="auto"/>
      </w:divBdr>
    </w:div>
    <w:div w:id="1331906367">
      <w:bodyDiv w:val="1"/>
      <w:marLeft w:val="0"/>
      <w:marRight w:val="0"/>
      <w:marTop w:val="0"/>
      <w:marBottom w:val="0"/>
      <w:divBdr>
        <w:top w:val="none" w:sz="0" w:space="0" w:color="auto"/>
        <w:left w:val="none" w:sz="0" w:space="0" w:color="auto"/>
        <w:bottom w:val="none" w:sz="0" w:space="0" w:color="auto"/>
        <w:right w:val="none" w:sz="0" w:space="0" w:color="auto"/>
      </w:divBdr>
    </w:div>
    <w:div w:id="1456632900">
      <w:bodyDiv w:val="1"/>
      <w:marLeft w:val="0"/>
      <w:marRight w:val="0"/>
      <w:marTop w:val="0"/>
      <w:marBottom w:val="0"/>
      <w:divBdr>
        <w:top w:val="none" w:sz="0" w:space="0" w:color="auto"/>
        <w:left w:val="none" w:sz="0" w:space="0" w:color="auto"/>
        <w:bottom w:val="none" w:sz="0" w:space="0" w:color="auto"/>
        <w:right w:val="none" w:sz="0" w:space="0" w:color="auto"/>
      </w:divBdr>
    </w:div>
    <w:div w:id="1608462107">
      <w:bodyDiv w:val="1"/>
      <w:marLeft w:val="0"/>
      <w:marRight w:val="0"/>
      <w:marTop w:val="0"/>
      <w:marBottom w:val="0"/>
      <w:divBdr>
        <w:top w:val="none" w:sz="0" w:space="0" w:color="auto"/>
        <w:left w:val="none" w:sz="0" w:space="0" w:color="auto"/>
        <w:bottom w:val="none" w:sz="0" w:space="0" w:color="auto"/>
        <w:right w:val="none" w:sz="0" w:space="0" w:color="auto"/>
      </w:divBdr>
    </w:div>
    <w:div w:id="1610622920">
      <w:bodyDiv w:val="1"/>
      <w:marLeft w:val="0"/>
      <w:marRight w:val="0"/>
      <w:marTop w:val="0"/>
      <w:marBottom w:val="0"/>
      <w:divBdr>
        <w:top w:val="none" w:sz="0" w:space="0" w:color="auto"/>
        <w:left w:val="none" w:sz="0" w:space="0" w:color="auto"/>
        <w:bottom w:val="none" w:sz="0" w:space="0" w:color="auto"/>
        <w:right w:val="none" w:sz="0" w:space="0" w:color="auto"/>
      </w:divBdr>
    </w:div>
    <w:div w:id="1642927024">
      <w:bodyDiv w:val="1"/>
      <w:marLeft w:val="0"/>
      <w:marRight w:val="0"/>
      <w:marTop w:val="0"/>
      <w:marBottom w:val="0"/>
      <w:divBdr>
        <w:top w:val="none" w:sz="0" w:space="0" w:color="auto"/>
        <w:left w:val="none" w:sz="0" w:space="0" w:color="auto"/>
        <w:bottom w:val="none" w:sz="0" w:space="0" w:color="auto"/>
        <w:right w:val="none" w:sz="0" w:space="0" w:color="auto"/>
      </w:divBdr>
    </w:div>
    <w:div w:id="1691102428">
      <w:bodyDiv w:val="1"/>
      <w:marLeft w:val="0"/>
      <w:marRight w:val="0"/>
      <w:marTop w:val="0"/>
      <w:marBottom w:val="0"/>
      <w:divBdr>
        <w:top w:val="none" w:sz="0" w:space="0" w:color="auto"/>
        <w:left w:val="none" w:sz="0" w:space="0" w:color="auto"/>
        <w:bottom w:val="none" w:sz="0" w:space="0" w:color="auto"/>
        <w:right w:val="none" w:sz="0" w:space="0" w:color="auto"/>
      </w:divBdr>
    </w:div>
    <w:div w:id="1698694551">
      <w:bodyDiv w:val="1"/>
      <w:marLeft w:val="0"/>
      <w:marRight w:val="0"/>
      <w:marTop w:val="0"/>
      <w:marBottom w:val="0"/>
      <w:divBdr>
        <w:top w:val="none" w:sz="0" w:space="0" w:color="auto"/>
        <w:left w:val="none" w:sz="0" w:space="0" w:color="auto"/>
        <w:bottom w:val="none" w:sz="0" w:space="0" w:color="auto"/>
        <w:right w:val="none" w:sz="0" w:space="0" w:color="auto"/>
      </w:divBdr>
    </w:div>
    <w:div w:id="1797867853">
      <w:bodyDiv w:val="1"/>
      <w:marLeft w:val="0"/>
      <w:marRight w:val="0"/>
      <w:marTop w:val="0"/>
      <w:marBottom w:val="0"/>
      <w:divBdr>
        <w:top w:val="none" w:sz="0" w:space="0" w:color="auto"/>
        <w:left w:val="none" w:sz="0" w:space="0" w:color="auto"/>
        <w:bottom w:val="none" w:sz="0" w:space="0" w:color="auto"/>
        <w:right w:val="none" w:sz="0" w:space="0" w:color="auto"/>
      </w:divBdr>
    </w:div>
    <w:div w:id="1800486544">
      <w:bodyDiv w:val="1"/>
      <w:marLeft w:val="0"/>
      <w:marRight w:val="0"/>
      <w:marTop w:val="0"/>
      <w:marBottom w:val="0"/>
      <w:divBdr>
        <w:top w:val="none" w:sz="0" w:space="0" w:color="auto"/>
        <w:left w:val="none" w:sz="0" w:space="0" w:color="auto"/>
        <w:bottom w:val="none" w:sz="0" w:space="0" w:color="auto"/>
        <w:right w:val="none" w:sz="0" w:space="0" w:color="auto"/>
      </w:divBdr>
    </w:div>
    <w:div w:id="1814174676">
      <w:bodyDiv w:val="1"/>
      <w:marLeft w:val="0"/>
      <w:marRight w:val="0"/>
      <w:marTop w:val="0"/>
      <w:marBottom w:val="0"/>
      <w:divBdr>
        <w:top w:val="none" w:sz="0" w:space="0" w:color="auto"/>
        <w:left w:val="none" w:sz="0" w:space="0" w:color="auto"/>
        <w:bottom w:val="none" w:sz="0" w:space="0" w:color="auto"/>
        <w:right w:val="none" w:sz="0" w:space="0" w:color="auto"/>
      </w:divBdr>
    </w:div>
    <w:div w:id="1828597250">
      <w:bodyDiv w:val="1"/>
      <w:marLeft w:val="0"/>
      <w:marRight w:val="0"/>
      <w:marTop w:val="0"/>
      <w:marBottom w:val="0"/>
      <w:divBdr>
        <w:top w:val="none" w:sz="0" w:space="0" w:color="auto"/>
        <w:left w:val="none" w:sz="0" w:space="0" w:color="auto"/>
        <w:bottom w:val="none" w:sz="0" w:space="0" w:color="auto"/>
        <w:right w:val="none" w:sz="0" w:space="0" w:color="auto"/>
      </w:divBdr>
    </w:div>
    <w:div w:id="1836140592">
      <w:bodyDiv w:val="1"/>
      <w:marLeft w:val="0"/>
      <w:marRight w:val="0"/>
      <w:marTop w:val="0"/>
      <w:marBottom w:val="0"/>
      <w:divBdr>
        <w:top w:val="none" w:sz="0" w:space="0" w:color="auto"/>
        <w:left w:val="none" w:sz="0" w:space="0" w:color="auto"/>
        <w:bottom w:val="none" w:sz="0" w:space="0" w:color="auto"/>
        <w:right w:val="none" w:sz="0" w:space="0" w:color="auto"/>
      </w:divBdr>
    </w:div>
    <w:div w:id="1885212146">
      <w:bodyDiv w:val="1"/>
      <w:marLeft w:val="0"/>
      <w:marRight w:val="0"/>
      <w:marTop w:val="0"/>
      <w:marBottom w:val="0"/>
      <w:divBdr>
        <w:top w:val="none" w:sz="0" w:space="0" w:color="auto"/>
        <w:left w:val="none" w:sz="0" w:space="0" w:color="auto"/>
        <w:bottom w:val="none" w:sz="0" w:space="0" w:color="auto"/>
        <w:right w:val="none" w:sz="0" w:space="0" w:color="auto"/>
      </w:divBdr>
    </w:div>
    <w:div w:id="1888641086">
      <w:bodyDiv w:val="1"/>
      <w:marLeft w:val="0"/>
      <w:marRight w:val="0"/>
      <w:marTop w:val="0"/>
      <w:marBottom w:val="0"/>
      <w:divBdr>
        <w:top w:val="none" w:sz="0" w:space="0" w:color="auto"/>
        <w:left w:val="none" w:sz="0" w:space="0" w:color="auto"/>
        <w:bottom w:val="none" w:sz="0" w:space="0" w:color="auto"/>
        <w:right w:val="none" w:sz="0" w:space="0" w:color="auto"/>
      </w:divBdr>
    </w:div>
    <w:div w:id="2009094687">
      <w:bodyDiv w:val="1"/>
      <w:marLeft w:val="0"/>
      <w:marRight w:val="0"/>
      <w:marTop w:val="0"/>
      <w:marBottom w:val="0"/>
      <w:divBdr>
        <w:top w:val="none" w:sz="0" w:space="0" w:color="auto"/>
        <w:left w:val="none" w:sz="0" w:space="0" w:color="auto"/>
        <w:bottom w:val="none" w:sz="0" w:space="0" w:color="auto"/>
        <w:right w:val="none" w:sz="0" w:space="0" w:color="auto"/>
      </w:divBdr>
    </w:div>
    <w:div w:id="2026978788">
      <w:bodyDiv w:val="1"/>
      <w:marLeft w:val="0"/>
      <w:marRight w:val="0"/>
      <w:marTop w:val="0"/>
      <w:marBottom w:val="0"/>
      <w:divBdr>
        <w:top w:val="none" w:sz="0" w:space="0" w:color="auto"/>
        <w:left w:val="none" w:sz="0" w:space="0" w:color="auto"/>
        <w:bottom w:val="none" w:sz="0" w:space="0" w:color="auto"/>
        <w:right w:val="none" w:sz="0" w:space="0" w:color="auto"/>
      </w:divBdr>
    </w:div>
    <w:div w:id="2036492889">
      <w:bodyDiv w:val="1"/>
      <w:marLeft w:val="0"/>
      <w:marRight w:val="0"/>
      <w:marTop w:val="0"/>
      <w:marBottom w:val="0"/>
      <w:divBdr>
        <w:top w:val="none" w:sz="0" w:space="0" w:color="auto"/>
        <w:left w:val="none" w:sz="0" w:space="0" w:color="auto"/>
        <w:bottom w:val="none" w:sz="0" w:space="0" w:color="auto"/>
        <w:right w:val="none" w:sz="0" w:space="0" w:color="auto"/>
      </w:divBdr>
    </w:div>
    <w:div w:id="2041199599">
      <w:bodyDiv w:val="1"/>
      <w:marLeft w:val="0"/>
      <w:marRight w:val="0"/>
      <w:marTop w:val="0"/>
      <w:marBottom w:val="0"/>
      <w:divBdr>
        <w:top w:val="none" w:sz="0" w:space="0" w:color="auto"/>
        <w:left w:val="none" w:sz="0" w:space="0" w:color="auto"/>
        <w:bottom w:val="none" w:sz="0" w:space="0" w:color="auto"/>
        <w:right w:val="none" w:sz="0" w:space="0" w:color="auto"/>
      </w:divBdr>
    </w:div>
    <w:div w:id="2045056287">
      <w:bodyDiv w:val="1"/>
      <w:marLeft w:val="0"/>
      <w:marRight w:val="0"/>
      <w:marTop w:val="0"/>
      <w:marBottom w:val="0"/>
      <w:divBdr>
        <w:top w:val="none" w:sz="0" w:space="0" w:color="auto"/>
        <w:left w:val="none" w:sz="0" w:space="0" w:color="auto"/>
        <w:bottom w:val="none" w:sz="0" w:space="0" w:color="auto"/>
        <w:right w:val="none" w:sz="0" w:space="0" w:color="auto"/>
      </w:divBdr>
    </w:div>
    <w:div w:id="2076128396">
      <w:bodyDiv w:val="1"/>
      <w:marLeft w:val="0"/>
      <w:marRight w:val="0"/>
      <w:marTop w:val="0"/>
      <w:marBottom w:val="0"/>
      <w:divBdr>
        <w:top w:val="none" w:sz="0" w:space="0" w:color="auto"/>
        <w:left w:val="none" w:sz="0" w:space="0" w:color="auto"/>
        <w:bottom w:val="none" w:sz="0" w:space="0" w:color="auto"/>
        <w:right w:val="none" w:sz="0" w:space="0" w:color="auto"/>
      </w:divBdr>
    </w:div>
    <w:div w:id="208910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21</TotalTime>
  <Pages>19</Pages>
  <Words>6688</Words>
  <Characters>40975</Characters>
  <Application>Microsoft Office Word</Application>
  <DocSecurity>0</DocSecurity>
  <Lines>341</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2025091746 &amp; 2025091091, Navneændring fra Prasugrel "Pharmexon" + MAH skift </dc:description>
  <cp:lastModifiedBy>Gitte Jørgensen</cp:lastModifiedBy>
  <cp:revision>7</cp:revision>
  <cp:lastPrinted>2012-08-22T08:53:00Z</cp:lastPrinted>
  <dcterms:created xsi:type="dcterms:W3CDTF">2025-10-30T08:19:00Z</dcterms:created>
  <dcterms:modified xsi:type="dcterms:W3CDTF">2025-10-30T08:41:00Z</dcterms:modified>
</cp:coreProperties>
</file>