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41" w:rsidRPr="00CF2F36" w:rsidRDefault="00EF0F41" w:rsidP="00EF0F41">
      <w:pPr>
        <w:tabs>
          <w:tab w:val="right" w:pos="9072"/>
        </w:tabs>
        <w:jc w:val="both"/>
        <w:rPr>
          <w:b/>
          <w:spacing w:val="-3"/>
          <w:sz w:val="24"/>
          <w:szCs w:val="24"/>
        </w:rPr>
      </w:pPr>
      <w:r w:rsidRPr="00CF2F36">
        <w:rPr>
          <w:b/>
          <w:noProof/>
          <w:sz w:val="24"/>
          <w:szCs w:val="24"/>
        </w:rPr>
        <w:drawing>
          <wp:inline distT="0" distB="0" distL="0" distR="0" wp14:anchorId="203ED4D5" wp14:editId="2577A9C0">
            <wp:extent cx="2463800" cy="685800"/>
            <wp:effectExtent l="0" t="0" r="0" b="0"/>
            <wp:docPr id="2" name="Bille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F36">
        <w:rPr>
          <w:b/>
          <w:spacing w:val="-3"/>
          <w:sz w:val="24"/>
          <w:szCs w:val="24"/>
        </w:rPr>
        <w:t xml:space="preserve"> </w:t>
      </w:r>
    </w:p>
    <w:p w:rsidR="00EF0F41" w:rsidRPr="00CF2F36" w:rsidRDefault="00EF0F41" w:rsidP="00CF2F36">
      <w:pPr>
        <w:tabs>
          <w:tab w:val="right" w:pos="9072"/>
        </w:tabs>
        <w:rPr>
          <w:spacing w:val="-3"/>
          <w:sz w:val="24"/>
          <w:szCs w:val="24"/>
        </w:rPr>
      </w:pPr>
    </w:p>
    <w:p w:rsidR="00EF0F41" w:rsidRPr="00CF2F36" w:rsidRDefault="00C838A2" w:rsidP="00EF0F41">
      <w:pPr>
        <w:tabs>
          <w:tab w:val="right" w:pos="9072"/>
        </w:tabs>
        <w:jc w:val="right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22</w:t>
      </w:r>
      <w:bookmarkStart w:id="0" w:name="_GoBack"/>
      <w:bookmarkEnd w:id="0"/>
      <w:r w:rsidR="00176590">
        <w:rPr>
          <w:b/>
          <w:spacing w:val="-3"/>
          <w:sz w:val="24"/>
          <w:szCs w:val="24"/>
        </w:rPr>
        <w:t>. november</w:t>
      </w:r>
      <w:r w:rsidR="00E522A4">
        <w:rPr>
          <w:b/>
          <w:spacing w:val="-3"/>
          <w:sz w:val="24"/>
          <w:szCs w:val="24"/>
        </w:rPr>
        <w:t xml:space="preserve"> 202</w:t>
      </w:r>
      <w:r w:rsidR="000A45FF">
        <w:rPr>
          <w:b/>
          <w:spacing w:val="-3"/>
          <w:sz w:val="24"/>
          <w:szCs w:val="24"/>
        </w:rPr>
        <w:t>4</w:t>
      </w:r>
    </w:p>
    <w:p w:rsidR="00CF2F36" w:rsidRPr="00CF2F36" w:rsidRDefault="000A45FF" w:rsidP="000A45FF">
      <w:pPr>
        <w:tabs>
          <w:tab w:val="left" w:pos="8325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CF2F36" w:rsidRPr="00CF2F36" w:rsidRDefault="00CF2F36" w:rsidP="00EF0F41">
      <w:pPr>
        <w:tabs>
          <w:tab w:val="right" w:pos="9072"/>
        </w:tabs>
        <w:jc w:val="both"/>
        <w:rPr>
          <w:spacing w:val="-3"/>
          <w:sz w:val="24"/>
          <w:szCs w:val="24"/>
        </w:rPr>
      </w:pPr>
    </w:p>
    <w:p w:rsidR="00EF0F41" w:rsidRPr="003D2968" w:rsidRDefault="00EF0F41" w:rsidP="00EF0F41">
      <w:pPr>
        <w:tabs>
          <w:tab w:val="center" w:pos="4536"/>
        </w:tabs>
        <w:jc w:val="center"/>
        <w:rPr>
          <w:b/>
          <w:spacing w:val="-3"/>
          <w:sz w:val="24"/>
          <w:szCs w:val="24"/>
        </w:rPr>
      </w:pPr>
      <w:r w:rsidRPr="003D2968">
        <w:rPr>
          <w:b/>
          <w:spacing w:val="-3"/>
          <w:sz w:val="24"/>
          <w:szCs w:val="24"/>
        </w:rPr>
        <w:t>PRODUKTRESUMÉ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center"/>
        <w:rPr>
          <w:b/>
          <w:spacing w:val="-3"/>
          <w:sz w:val="24"/>
          <w:szCs w:val="24"/>
        </w:rPr>
      </w:pPr>
    </w:p>
    <w:p w:rsidR="00EF0F41" w:rsidRPr="003D2968" w:rsidRDefault="00EF0F41" w:rsidP="00EF0F41">
      <w:pPr>
        <w:tabs>
          <w:tab w:val="center" w:pos="4536"/>
        </w:tabs>
        <w:jc w:val="center"/>
        <w:rPr>
          <w:b/>
          <w:spacing w:val="-3"/>
          <w:sz w:val="24"/>
          <w:szCs w:val="24"/>
        </w:rPr>
      </w:pPr>
      <w:r w:rsidRPr="003D2968">
        <w:rPr>
          <w:b/>
          <w:spacing w:val="-3"/>
          <w:sz w:val="24"/>
          <w:szCs w:val="24"/>
        </w:rPr>
        <w:t>for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center"/>
        <w:rPr>
          <w:b/>
          <w:spacing w:val="-3"/>
          <w:sz w:val="24"/>
          <w:szCs w:val="24"/>
        </w:rPr>
      </w:pPr>
    </w:p>
    <w:p w:rsidR="00EF0F41" w:rsidRPr="003D2968" w:rsidRDefault="00EF0F41" w:rsidP="00EF0F41">
      <w:pPr>
        <w:tabs>
          <w:tab w:val="center" w:pos="4536"/>
        </w:tabs>
        <w:jc w:val="center"/>
        <w:rPr>
          <w:spacing w:val="-3"/>
          <w:sz w:val="24"/>
          <w:szCs w:val="24"/>
        </w:rPr>
      </w:pPr>
      <w:proofErr w:type="spellStart"/>
      <w:r w:rsidRPr="003D2968">
        <w:rPr>
          <w:b/>
          <w:spacing w:val="-3"/>
          <w:sz w:val="24"/>
          <w:szCs w:val="24"/>
        </w:rPr>
        <w:t>Precosa</w:t>
      </w:r>
      <w:proofErr w:type="spellEnd"/>
      <w:r w:rsidRPr="003D2968">
        <w:rPr>
          <w:b/>
          <w:spacing w:val="-3"/>
          <w:sz w:val="24"/>
          <w:szCs w:val="24"/>
        </w:rPr>
        <w:t xml:space="preserve">, </w:t>
      </w:r>
      <w:r w:rsidR="00563D4E">
        <w:rPr>
          <w:b/>
          <w:spacing w:val="-3"/>
          <w:sz w:val="22"/>
        </w:rPr>
        <w:t>kapsler</w:t>
      </w:r>
      <w:r w:rsidR="00563D4E">
        <w:rPr>
          <w:b/>
          <w:spacing w:val="-3"/>
          <w:sz w:val="22"/>
          <w:szCs w:val="22"/>
        </w:rPr>
        <w:t>, hårde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3"/>
          <w:sz w:val="24"/>
          <w:szCs w:val="24"/>
        </w:rPr>
      </w:pPr>
    </w:p>
    <w:p w:rsidR="00EF0F41" w:rsidRPr="003D2968" w:rsidRDefault="00EF0F41" w:rsidP="00EF0F41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3"/>
          <w:sz w:val="24"/>
          <w:szCs w:val="24"/>
        </w:rPr>
      </w:pPr>
    </w:p>
    <w:p w:rsidR="00CF2F36" w:rsidRPr="003D2968" w:rsidRDefault="00CF2F36" w:rsidP="00CF2F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0.</w:t>
      </w:r>
      <w:r w:rsidRPr="003D2968">
        <w:rPr>
          <w:b/>
          <w:sz w:val="24"/>
          <w:szCs w:val="24"/>
        </w:rPr>
        <w:tab/>
        <w:t>D.SP.NR.</w:t>
      </w:r>
    </w:p>
    <w:p w:rsidR="00EF0F41" w:rsidRPr="003D2968" w:rsidRDefault="00EF0F41" w:rsidP="00EF0F41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</w:r>
      <w:r w:rsidR="00CF2F36" w:rsidRPr="003D2968">
        <w:rPr>
          <w:spacing w:val="-3"/>
          <w:sz w:val="24"/>
          <w:szCs w:val="24"/>
        </w:rPr>
        <w:t>0</w:t>
      </w:r>
      <w:r w:rsidRPr="003D2968">
        <w:rPr>
          <w:spacing w:val="-3"/>
          <w:sz w:val="24"/>
          <w:szCs w:val="24"/>
        </w:rPr>
        <w:t>9207</w:t>
      </w:r>
    </w:p>
    <w:p w:rsidR="00EF0F41" w:rsidRPr="003D2968" w:rsidRDefault="00EF0F41" w:rsidP="00EF0F41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CF2F36" w:rsidRPr="003D2968" w:rsidRDefault="00CF2F36" w:rsidP="00CF2F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1.</w:t>
      </w:r>
      <w:r w:rsidRPr="003D2968">
        <w:rPr>
          <w:b/>
          <w:sz w:val="24"/>
          <w:szCs w:val="24"/>
        </w:rPr>
        <w:tab/>
        <w:t>LÆGEMIDLETS NAVN</w:t>
      </w:r>
    </w:p>
    <w:p w:rsidR="00EF0F41" w:rsidRPr="003D2968" w:rsidRDefault="00EF0F41" w:rsidP="00EF0F41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</w:r>
      <w:proofErr w:type="spellStart"/>
      <w:r w:rsidRPr="003D2968">
        <w:rPr>
          <w:spacing w:val="-3"/>
          <w:sz w:val="24"/>
          <w:szCs w:val="24"/>
        </w:rPr>
        <w:t>Precosa</w:t>
      </w:r>
      <w:proofErr w:type="spellEnd"/>
    </w:p>
    <w:p w:rsidR="00EF0F41" w:rsidRPr="003D2968" w:rsidRDefault="00EF0F41" w:rsidP="00EF0F41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CF2F36" w:rsidRPr="003D2968" w:rsidRDefault="00CF2F36" w:rsidP="00CF2F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2.</w:t>
      </w:r>
      <w:r w:rsidRPr="003D2968">
        <w:rPr>
          <w:b/>
          <w:sz w:val="24"/>
          <w:szCs w:val="24"/>
        </w:rPr>
        <w:tab/>
        <w:t>KVALITATIV OG KVANTITATIV SAMMENSÆTNING</w:t>
      </w:r>
    </w:p>
    <w:p w:rsidR="00EF0F41" w:rsidRDefault="00EF0F41" w:rsidP="00EF0F41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</w:r>
      <w:proofErr w:type="spellStart"/>
      <w:r w:rsidRPr="003D2968">
        <w:rPr>
          <w:i/>
          <w:spacing w:val="-3"/>
          <w:sz w:val="24"/>
          <w:szCs w:val="24"/>
        </w:rPr>
        <w:t>Saccharomyces</w:t>
      </w:r>
      <w:proofErr w:type="spellEnd"/>
      <w:r w:rsidRPr="003D2968">
        <w:rPr>
          <w:i/>
          <w:spacing w:val="-3"/>
          <w:sz w:val="24"/>
          <w:szCs w:val="24"/>
        </w:rPr>
        <w:t xml:space="preserve"> </w:t>
      </w:r>
      <w:proofErr w:type="spellStart"/>
      <w:r w:rsidRPr="003D2968">
        <w:rPr>
          <w:i/>
          <w:spacing w:val="-3"/>
          <w:sz w:val="24"/>
          <w:szCs w:val="24"/>
        </w:rPr>
        <w:t>boulardii</w:t>
      </w:r>
      <w:proofErr w:type="spellEnd"/>
      <w:r w:rsidRPr="003D2968">
        <w:rPr>
          <w:spacing w:val="-3"/>
          <w:sz w:val="24"/>
          <w:szCs w:val="24"/>
        </w:rPr>
        <w:t xml:space="preserve"> CNCM 1-745 (frysetørret) 250 mg</w:t>
      </w:r>
    </w:p>
    <w:p w:rsidR="00563D4E" w:rsidRDefault="00563D4E" w:rsidP="00EF0F41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</w:p>
    <w:p w:rsidR="00563D4E" w:rsidRDefault="00563D4E" w:rsidP="00563D4E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2"/>
          <w:szCs w:val="22"/>
          <w:lang w:eastAsia="da-DK"/>
        </w:rPr>
      </w:pPr>
      <w:r>
        <w:rPr>
          <w:spacing w:val="-3"/>
          <w:sz w:val="24"/>
          <w:szCs w:val="24"/>
        </w:rPr>
        <w:tab/>
      </w:r>
      <w:r>
        <w:rPr>
          <w:spacing w:val="-3"/>
          <w:sz w:val="22"/>
          <w:szCs w:val="22"/>
        </w:rPr>
        <w:t>Hjælpestof(fer), som behandleren skal være opmærksom på:</w:t>
      </w:r>
    </w:p>
    <w:p w:rsidR="00563D4E" w:rsidRDefault="00563D4E" w:rsidP="00563D4E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 xml:space="preserve">En kapsel indeholder 32,5 mg </w:t>
      </w:r>
      <w:proofErr w:type="spellStart"/>
      <w:r>
        <w:rPr>
          <w:spacing w:val="-3"/>
          <w:sz w:val="22"/>
          <w:szCs w:val="22"/>
        </w:rPr>
        <w:t>lactose</w:t>
      </w:r>
      <w:proofErr w:type="spellEnd"/>
      <w:r>
        <w:rPr>
          <w:spacing w:val="-3"/>
          <w:sz w:val="22"/>
          <w:szCs w:val="22"/>
        </w:rPr>
        <w:t>.</w:t>
      </w:r>
    </w:p>
    <w:p w:rsidR="00563D4E" w:rsidRPr="003D2968" w:rsidRDefault="00563D4E" w:rsidP="00EF0F41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</w:p>
    <w:p w:rsidR="00EF0F41" w:rsidRPr="003D2968" w:rsidRDefault="00EF0F41" w:rsidP="00EF0F41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>Alle hjælpestoffer er anført under pkt. 6.1.</w:t>
      </w:r>
    </w:p>
    <w:p w:rsidR="00EF0F41" w:rsidRPr="003D2968" w:rsidRDefault="00EF0F41" w:rsidP="00EF0F41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</w:p>
    <w:p w:rsidR="00CF2F36" w:rsidRPr="003D2968" w:rsidRDefault="00CF2F36" w:rsidP="00CF2F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3.</w:t>
      </w:r>
      <w:r w:rsidRPr="003D2968">
        <w:rPr>
          <w:b/>
          <w:sz w:val="24"/>
          <w:szCs w:val="24"/>
        </w:rPr>
        <w:tab/>
        <w:t>LÆGEMIDDELFORM</w:t>
      </w:r>
    </w:p>
    <w:p w:rsidR="00563D4E" w:rsidRDefault="00EF0F41" w:rsidP="00563D4E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2"/>
          <w:szCs w:val="22"/>
          <w:lang w:eastAsia="da-DK"/>
        </w:rPr>
      </w:pPr>
      <w:r w:rsidRPr="003D2968">
        <w:rPr>
          <w:spacing w:val="-3"/>
          <w:sz w:val="24"/>
          <w:szCs w:val="24"/>
        </w:rPr>
        <w:tab/>
      </w:r>
      <w:r w:rsidR="00563D4E">
        <w:rPr>
          <w:spacing w:val="-3"/>
          <w:sz w:val="22"/>
          <w:szCs w:val="22"/>
        </w:rPr>
        <w:t>Kapsler, hårde.</w:t>
      </w:r>
    </w:p>
    <w:p w:rsidR="00EF0F41" w:rsidRPr="003D2968" w:rsidRDefault="00EF0F41" w:rsidP="00EF0F41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 xml:space="preserve">Kapslernes udseende: hård </w:t>
      </w:r>
      <w:proofErr w:type="spellStart"/>
      <w:r w:rsidRPr="003D2968">
        <w:rPr>
          <w:spacing w:val="-3"/>
          <w:sz w:val="24"/>
          <w:szCs w:val="24"/>
        </w:rPr>
        <w:t>gelantinekapsel</w:t>
      </w:r>
      <w:proofErr w:type="spellEnd"/>
      <w:r w:rsidRPr="003D2968">
        <w:rPr>
          <w:spacing w:val="-3"/>
          <w:sz w:val="24"/>
          <w:szCs w:val="24"/>
        </w:rPr>
        <w:t xml:space="preserve"> med hvid over- og underdel.</w:t>
      </w:r>
    </w:p>
    <w:p w:rsidR="00EF0F41" w:rsidRPr="003D2968" w:rsidRDefault="00EF0F41" w:rsidP="00EF0F41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EF0F41" w:rsidRPr="003D2968" w:rsidRDefault="00EF0F41" w:rsidP="00EF0F41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CF2F36" w:rsidRPr="003D2968" w:rsidRDefault="00CF2F36" w:rsidP="00CF2F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4.</w:t>
      </w:r>
      <w:r w:rsidRPr="003D2968">
        <w:rPr>
          <w:b/>
          <w:sz w:val="24"/>
          <w:szCs w:val="24"/>
        </w:rPr>
        <w:tab/>
        <w:t>KLINISKE OPLYSNINGER</w:t>
      </w:r>
    </w:p>
    <w:p w:rsidR="00CF2F36" w:rsidRPr="003D2968" w:rsidRDefault="00CF2F36" w:rsidP="00CF2F36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CF2F36" w:rsidRPr="003D2968" w:rsidRDefault="00CF2F36" w:rsidP="00CF2F36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3D2968">
        <w:rPr>
          <w:b/>
          <w:sz w:val="24"/>
          <w:szCs w:val="24"/>
        </w:rPr>
        <w:t>4.1</w:t>
      </w:r>
      <w:r w:rsidRPr="003D2968">
        <w:rPr>
          <w:b/>
          <w:sz w:val="24"/>
          <w:szCs w:val="24"/>
        </w:rPr>
        <w:tab/>
        <w:t>Terapeutiske indikationer</w:t>
      </w:r>
    </w:p>
    <w:p w:rsidR="00EF0F41" w:rsidRPr="003D2968" w:rsidRDefault="00EF0F41" w:rsidP="00EF0F41">
      <w:pPr>
        <w:tabs>
          <w:tab w:val="left" w:pos="851"/>
        </w:tabs>
        <w:ind w:left="851"/>
        <w:rPr>
          <w:sz w:val="24"/>
          <w:szCs w:val="24"/>
        </w:rPr>
      </w:pPr>
      <w:r w:rsidRPr="003D2968">
        <w:rPr>
          <w:sz w:val="24"/>
          <w:szCs w:val="24"/>
        </w:rPr>
        <w:t xml:space="preserve">Supplement til </w:t>
      </w:r>
      <w:proofErr w:type="spellStart"/>
      <w:r w:rsidRPr="003D2968">
        <w:rPr>
          <w:sz w:val="24"/>
          <w:szCs w:val="24"/>
        </w:rPr>
        <w:t>vancomycin</w:t>
      </w:r>
      <w:proofErr w:type="spellEnd"/>
      <w:r w:rsidRPr="003D2968">
        <w:rPr>
          <w:sz w:val="24"/>
          <w:szCs w:val="24"/>
        </w:rPr>
        <w:t>/</w:t>
      </w:r>
      <w:proofErr w:type="spellStart"/>
      <w:r w:rsidRPr="003D2968">
        <w:rPr>
          <w:sz w:val="24"/>
          <w:szCs w:val="24"/>
        </w:rPr>
        <w:t>teicoplanin</w:t>
      </w:r>
      <w:proofErr w:type="spellEnd"/>
      <w:r w:rsidRPr="003D2968">
        <w:rPr>
          <w:sz w:val="24"/>
          <w:szCs w:val="24"/>
        </w:rPr>
        <w:t>/</w:t>
      </w:r>
      <w:proofErr w:type="spellStart"/>
      <w:r w:rsidRPr="003D2968">
        <w:rPr>
          <w:sz w:val="24"/>
          <w:szCs w:val="24"/>
        </w:rPr>
        <w:t>metronidazol</w:t>
      </w:r>
      <w:proofErr w:type="spellEnd"/>
      <w:r w:rsidRPr="003D2968">
        <w:rPr>
          <w:sz w:val="24"/>
          <w:szCs w:val="24"/>
        </w:rPr>
        <w:t>-behandling for at forebygge recidiv ved</w:t>
      </w:r>
      <w:r w:rsidRPr="003D2968">
        <w:rPr>
          <w:i/>
          <w:sz w:val="24"/>
          <w:szCs w:val="24"/>
        </w:rPr>
        <w:t xml:space="preserve"> </w:t>
      </w:r>
      <w:proofErr w:type="spellStart"/>
      <w:r w:rsidRPr="003D2968">
        <w:rPr>
          <w:i/>
          <w:sz w:val="24"/>
          <w:szCs w:val="24"/>
        </w:rPr>
        <w:t>Clostridium</w:t>
      </w:r>
      <w:proofErr w:type="spellEnd"/>
      <w:r w:rsidRPr="003D2968">
        <w:rPr>
          <w:i/>
          <w:sz w:val="24"/>
          <w:szCs w:val="24"/>
        </w:rPr>
        <w:t xml:space="preserve"> difficile</w:t>
      </w:r>
      <w:r w:rsidRPr="003D2968">
        <w:rPr>
          <w:sz w:val="24"/>
          <w:szCs w:val="24"/>
        </w:rPr>
        <w:t>-forårsaget dia</w:t>
      </w:r>
      <w:r w:rsidR="00563D4E">
        <w:rPr>
          <w:sz w:val="24"/>
          <w:szCs w:val="24"/>
        </w:rPr>
        <w:t>r</w:t>
      </w:r>
      <w:r w:rsidRPr="003D2968">
        <w:rPr>
          <w:sz w:val="24"/>
          <w:szCs w:val="24"/>
        </w:rPr>
        <w:t>ré (CDD).</w:t>
      </w:r>
    </w:p>
    <w:p w:rsidR="00EF0F41" w:rsidRPr="003D2968" w:rsidRDefault="00EF0F41" w:rsidP="00EF0F41">
      <w:pPr>
        <w:tabs>
          <w:tab w:val="left" w:pos="851"/>
        </w:tabs>
        <w:ind w:left="851"/>
        <w:rPr>
          <w:sz w:val="24"/>
          <w:szCs w:val="24"/>
        </w:rPr>
      </w:pPr>
    </w:p>
    <w:p w:rsidR="00EF0F41" w:rsidRPr="003D2968" w:rsidRDefault="00EF0F41" w:rsidP="00EF0F41">
      <w:pPr>
        <w:tabs>
          <w:tab w:val="left" w:pos="851"/>
        </w:tabs>
        <w:ind w:left="851"/>
        <w:rPr>
          <w:sz w:val="24"/>
          <w:szCs w:val="24"/>
        </w:rPr>
      </w:pPr>
      <w:r w:rsidRPr="003D2968">
        <w:rPr>
          <w:sz w:val="24"/>
          <w:szCs w:val="24"/>
        </w:rPr>
        <w:t>Profylakse mod antibiotika-associeret dia</w:t>
      </w:r>
      <w:r w:rsidR="00563D4E">
        <w:rPr>
          <w:sz w:val="24"/>
          <w:szCs w:val="24"/>
        </w:rPr>
        <w:t>r</w:t>
      </w:r>
      <w:r w:rsidRPr="003D2968">
        <w:rPr>
          <w:sz w:val="24"/>
          <w:szCs w:val="24"/>
        </w:rPr>
        <w:t>ré (ADD) hos risikogrupper.</w:t>
      </w:r>
    </w:p>
    <w:p w:rsidR="00EF0F41" w:rsidRPr="003D2968" w:rsidRDefault="00EF0F41" w:rsidP="00EF0F41">
      <w:pPr>
        <w:tabs>
          <w:tab w:val="left" w:pos="851"/>
        </w:tabs>
        <w:ind w:left="851"/>
        <w:rPr>
          <w:sz w:val="24"/>
          <w:szCs w:val="24"/>
        </w:rPr>
      </w:pPr>
    </w:p>
    <w:p w:rsidR="00EF0F41" w:rsidRPr="003D2968" w:rsidRDefault="00EF0F41" w:rsidP="00EF0F41">
      <w:pPr>
        <w:tabs>
          <w:tab w:val="left" w:pos="851"/>
        </w:tabs>
        <w:ind w:left="851"/>
        <w:rPr>
          <w:sz w:val="24"/>
          <w:szCs w:val="24"/>
        </w:rPr>
      </w:pPr>
      <w:r w:rsidRPr="003D2968">
        <w:rPr>
          <w:sz w:val="24"/>
          <w:szCs w:val="24"/>
        </w:rPr>
        <w:t>Behandling af AIDS-relateret dia</w:t>
      </w:r>
      <w:r w:rsidR="00563D4E">
        <w:rPr>
          <w:sz w:val="24"/>
          <w:szCs w:val="24"/>
        </w:rPr>
        <w:t>r</w:t>
      </w:r>
      <w:r w:rsidRPr="003D2968">
        <w:rPr>
          <w:sz w:val="24"/>
          <w:szCs w:val="24"/>
        </w:rPr>
        <w:t>ré.</w:t>
      </w:r>
    </w:p>
    <w:p w:rsidR="00EF0F41" w:rsidRPr="003D2968" w:rsidRDefault="00EF0F41" w:rsidP="00EF0F41">
      <w:pPr>
        <w:tabs>
          <w:tab w:val="left" w:pos="851"/>
        </w:tabs>
        <w:ind w:left="851"/>
        <w:rPr>
          <w:sz w:val="24"/>
          <w:szCs w:val="24"/>
        </w:rPr>
      </w:pP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ind w:left="851" w:hanging="850"/>
        <w:jc w:val="both"/>
        <w:rPr>
          <w:spacing w:val="-3"/>
          <w:sz w:val="24"/>
          <w:szCs w:val="24"/>
        </w:rPr>
      </w:pPr>
      <w:r w:rsidRPr="003D2968">
        <w:rPr>
          <w:sz w:val="24"/>
          <w:szCs w:val="24"/>
        </w:rPr>
        <w:tab/>
        <w:t>Profylakse mod diar</w:t>
      </w:r>
      <w:r w:rsidR="00563D4E">
        <w:rPr>
          <w:sz w:val="24"/>
          <w:szCs w:val="24"/>
        </w:rPr>
        <w:t>r</w:t>
      </w:r>
      <w:r w:rsidRPr="003D2968">
        <w:rPr>
          <w:sz w:val="24"/>
          <w:szCs w:val="24"/>
        </w:rPr>
        <w:t>é ved sondeernæring.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CF2F36" w:rsidRPr="003D2968" w:rsidRDefault="00CF2F36" w:rsidP="00CF2F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4.2</w:t>
      </w:r>
      <w:r w:rsidRPr="003D2968">
        <w:rPr>
          <w:b/>
          <w:sz w:val="24"/>
          <w:szCs w:val="24"/>
        </w:rPr>
        <w:tab/>
        <w:t xml:space="preserve">Dosering og </w:t>
      </w:r>
      <w:r w:rsidR="000A45FF" w:rsidRPr="003D2968">
        <w:rPr>
          <w:b/>
          <w:sz w:val="24"/>
          <w:szCs w:val="24"/>
        </w:rPr>
        <w:t>administration</w:t>
      </w:r>
    </w:p>
    <w:p w:rsidR="00790D79" w:rsidRPr="003D2968" w:rsidRDefault="00790D79" w:rsidP="00790D79">
      <w:pPr>
        <w:ind w:left="851"/>
        <w:rPr>
          <w:sz w:val="24"/>
          <w:szCs w:val="24"/>
        </w:rPr>
      </w:pPr>
    </w:p>
    <w:p w:rsidR="00EF0F41" w:rsidRPr="003D2968" w:rsidRDefault="00EF0F41" w:rsidP="00790D79">
      <w:pPr>
        <w:ind w:left="851"/>
        <w:rPr>
          <w:sz w:val="24"/>
          <w:szCs w:val="24"/>
          <w:u w:val="single"/>
        </w:rPr>
      </w:pPr>
      <w:r w:rsidRPr="003D2968">
        <w:rPr>
          <w:sz w:val="24"/>
          <w:szCs w:val="24"/>
          <w:u w:val="single"/>
        </w:rPr>
        <w:t>Dosering</w:t>
      </w:r>
    </w:p>
    <w:p w:rsidR="00EF0F41" w:rsidRPr="003D2968" w:rsidRDefault="00EF0F41" w:rsidP="00790D79">
      <w:pPr>
        <w:ind w:left="851"/>
        <w:rPr>
          <w:sz w:val="24"/>
          <w:szCs w:val="24"/>
        </w:rPr>
      </w:pPr>
    </w:p>
    <w:p w:rsidR="00EF0F41" w:rsidRPr="003D2968" w:rsidRDefault="00EF0F41" w:rsidP="00790D79">
      <w:pPr>
        <w:ind w:left="851"/>
        <w:rPr>
          <w:i/>
          <w:sz w:val="24"/>
          <w:szCs w:val="24"/>
        </w:rPr>
      </w:pPr>
      <w:r w:rsidRPr="003D2968">
        <w:rPr>
          <w:i/>
          <w:sz w:val="24"/>
          <w:szCs w:val="24"/>
        </w:rPr>
        <w:t>Voksne</w:t>
      </w:r>
    </w:p>
    <w:p w:rsidR="00EF0F41" w:rsidRPr="003D2968" w:rsidRDefault="00EF0F41" w:rsidP="00790D79">
      <w:pPr>
        <w:ind w:left="851"/>
        <w:rPr>
          <w:sz w:val="24"/>
          <w:szCs w:val="24"/>
        </w:rPr>
      </w:pPr>
      <w:r w:rsidRPr="003D2968">
        <w:rPr>
          <w:sz w:val="24"/>
          <w:szCs w:val="24"/>
        </w:rPr>
        <w:lastRenderedPageBreak/>
        <w:t xml:space="preserve">Supplement til </w:t>
      </w:r>
      <w:proofErr w:type="spellStart"/>
      <w:r w:rsidRPr="003D2968">
        <w:rPr>
          <w:sz w:val="24"/>
          <w:szCs w:val="24"/>
        </w:rPr>
        <w:t>vancomycin</w:t>
      </w:r>
      <w:proofErr w:type="spellEnd"/>
      <w:r w:rsidRPr="003D2968">
        <w:rPr>
          <w:sz w:val="24"/>
          <w:szCs w:val="24"/>
        </w:rPr>
        <w:t>/</w:t>
      </w:r>
      <w:proofErr w:type="spellStart"/>
      <w:r w:rsidRPr="003D2968">
        <w:rPr>
          <w:sz w:val="24"/>
          <w:szCs w:val="24"/>
        </w:rPr>
        <w:t>teicoplanin</w:t>
      </w:r>
      <w:proofErr w:type="spellEnd"/>
      <w:r w:rsidRPr="003D2968">
        <w:rPr>
          <w:sz w:val="24"/>
          <w:szCs w:val="24"/>
        </w:rPr>
        <w:t>/</w:t>
      </w:r>
      <w:proofErr w:type="spellStart"/>
      <w:r w:rsidRPr="003D2968">
        <w:rPr>
          <w:sz w:val="24"/>
          <w:szCs w:val="24"/>
        </w:rPr>
        <w:t>metronidazol</w:t>
      </w:r>
      <w:proofErr w:type="spellEnd"/>
      <w:r w:rsidRPr="003D2968">
        <w:rPr>
          <w:sz w:val="24"/>
          <w:szCs w:val="24"/>
        </w:rPr>
        <w:t xml:space="preserve">-behandling for at forebygge recidiv ved </w:t>
      </w:r>
      <w:proofErr w:type="spellStart"/>
      <w:r w:rsidRPr="003D2968">
        <w:rPr>
          <w:i/>
          <w:sz w:val="24"/>
          <w:szCs w:val="24"/>
        </w:rPr>
        <w:t>Clostridium</w:t>
      </w:r>
      <w:proofErr w:type="spellEnd"/>
      <w:r w:rsidRPr="003D2968">
        <w:rPr>
          <w:i/>
          <w:sz w:val="24"/>
          <w:szCs w:val="24"/>
        </w:rPr>
        <w:t xml:space="preserve"> difficile</w:t>
      </w:r>
      <w:r w:rsidRPr="003D2968">
        <w:rPr>
          <w:sz w:val="24"/>
          <w:szCs w:val="24"/>
        </w:rPr>
        <w:t>-forårsaget dia</w:t>
      </w:r>
      <w:r w:rsidR="00563D4E">
        <w:rPr>
          <w:sz w:val="24"/>
          <w:szCs w:val="24"/>
        </w:rPr>
        <w:t>r</w:t>
      </w:r>
      <w:r w:rsidRPr="003D2968">
        <w:rPr>
          <w:sz w:val="24"/>
          <w:szCs w:val="24"/>
        </w:rPr>
        <w:t>ré (CDD):</w:t>
      </w:r>
    </w:p>
    <w:p w:rsidR="00EF0F41" w:rsidRPr="003D2968" w:rsidRDefault="00EF0F41" w:rsidP="00790D79">
      <w:pPr>
        <w:ind w:left="851"/>
        <w:rPr>
          <w:sz w:val="24"/>
          <w:szCs w:val="24"/>
        </w:rPr>
      </w:pPr>
    </w:p>
    <w:p w:rsidR="00EF0F41" w:rsidRPr="003D2968" w:rsidRDefault="00EF0F41" w:rsidP="00790D79">
      <w:pPr>
        <w:ind w:left="851"/>
        <w:rPr>
          <w:sz w:val="24"/>
          <w:szCs w:val="24"/>
        </w:rPr>
      </w:pPr>
      <w:r w:rsidRPr="003D2968">
        <w:rPr>
          <w:sz w:val="24"/>
          <w:szCs w:val="24"/>
        </w:rPr>
        <w:t>1.000 mg/døgn, dvs. 2 kapsler morgen og aften. Behandlingen bør indledes hurtigst muligt efter første antibiotika-dosis og fortsætte i 4 uger.</w:t>
      </w:r>
    </w:p>
    <w:p w:rsidR="00EF0F41" w:rsidRPr="003D2968" w:rsidRDefault="00EF0F41" w:rsidP="00790D79">
      <w:pPr>
        <w:ind w:left="851"/>
        <w:rPr>
          <w:sz w:val="24"/>
          <w:szCs w:val="24"/>
        </w:rPr>
      </w:pPr>
    </w:p>
    <w:p w:rsidR="00EF0F41" w:rsidRPr="003D2968" w:rsidRDefault="00EF0F41" w:rsidP="00790D79">
      <w:pPr>
        <w:ind w:left="851"/>
        <w:rPr>
          <w:i/>
          <w:sz w:val="24"/>
          <w:szCs w:val="24"/>
        </w:rPr>
      </w:pPr>
      <w:r w:rsidRPr="003D2968">
        <w:rPr>
          <w:i/>
          <w:sz w:val="24"/>
          <w:szCs w:val="24"/>
        </w:rPr>
        <w:t>Profylakse mod antibiotika-associeret dia</w:t>
      </w:r>
      <w:r w:rsidR="00563D4E">
        <w:rPr>
          <w:i/>
          <w:sz w:val="24"/>
          <w:szCs w:val="24"/>
        </w:rPr>
        <w:t>r</w:t>
      </w:r>
      <w:r w:rsidRPr="003D2968">
        <w:rPr>
          <w:i/>
          <w:sz w:val="24"/>
          <w:szCs w:val="24"/>
        </w:rPr>
        <w:t>ré (ADD) hos risikogrupper</w:t>
      </w:r>
    </w:p>
    <w:p w:rsidR="00EF0F41" w:rsidRPr="003D2968" w:rsidRDefault="00EF0F41" w:rsidP="00790D79">
      <w:pPr>
        <w:ind w:left="851"/>
        <w:rPr>
          <w:sz w:val="24"/>
          <w:szCs w:val="24"/>
        </w:rPr>
      </w:pPr>
      <w:r w:rsidRPr="003D2968">
        <w:rPr>
          <w:sz w:val="24"/>
          <w:szCs w:val="24"/>
        </w:rPr>
        <w:t>1.000 mg/døgn, dvs. 2 kapsler morgen og aften. Behandlingen bør indledes inden for 48-72 timer efter første antibiotika-dosis og fortsætte i mindst 3 dage efter afsluttet antibiotikabehandling, dog højst i 4 uger.</w:t>
      </w:r>
    </w:p>
    <w:p w:rsidR="00EF0F41" w:rsidRPr="003D2968" w:rsidRDefault="00EF0F41" w:rsidP="00790D79">
      <w:pPr>
        <w:ind w:left="851"/>
        <w:rPr>
          <w:sz w:val="24"/>
          <w:szCs w:val="24"/>
        </w:rPr>
      </w:pPr>
    </w:p>
    <w:p w:rsidR="00EF0F41" w:rsidRPr="003D2968" w:rsidRDefault="00EF0F41" w:rsidP="00790D79">
      <w:pPr>
        <w:ind w:left="851"/>
        <w:rPr>
          <w:i/>
          <w:sz w:val="24"/>
          <w:szCs w:val="24"/>
        </w:rPr>
      </w:pPr>
      <w:r w:rsidRPr="003D2968">
        <w:rPr>
          <w:i/>
          <w:sz w:val="24"/>
          <w:szCs w:val="24"/>
        </w:rPr>
        <w:t>Behandling af AIDS-relateret dia</w:t>
      </w:r>
      <w:r w:rsidR="00563D4E">
        <w:rPr>
          <w:i/>
          <w:sz w:val="24"/>
          <w:szCs w:val="24"/>
        </w:rPr>
        <w:t>r</w:t>
      </w:r>
      <w:r w:rsidRPr="003D2968">
        <w:rPr>
          <w:i/>
          <w:sz w:val="24"/>
          <w:szCs w:val="24"/>
        </w:rPr>
        <w:t>ré</w:t>
      </w:r>
    </w:p>
    <w:p w:rsidR="00EF0F41" w:rsidRPr="003D2968" w:rsidRDefault="00EF0F41" w:rsidP="00790D79">
      <w:pPr>
        <w:ind w:left="851"/>
        <w:rPr>
          <w:sz w:val="24"/>
          <w:szCs w:val="24"/>
        </w:rPr>
      </w:pPr>
      <w:r w:rsidRPr="003D2968">
        <w:rPr>
          <w:sz w:val="24"/>
          <w:szCs w:val="24"/>
        </w:rPr>
        <w:t>3.000 mg/døgn, dvs. 4 kapsler morgen, middag og aften i 1-2 uger.</w:t>
      </w:r>
    </w:p>
    <w:p w:rsidR="00EF0F41" w:rsidRPr="003D2968" w:rsidRDefault="00EF0F41" w:rsidP="00790D79">
      <w:pPr>
        <w:ind w:left="851"/>
        <w:rPr>
          <w:sz w:val="24"/>
          <w:szCs w:val="24"/>
        </w:rPr>
      </w:pPr>
    </w:p>
    <w:p w:rsidR="00EF0F41" w:rsidRPr="003D2968" w:rsidRDefault="00EF0F41" w:rsidP="00790D79">
      <w:pPr>
        <w:ind w:left="851"/>
        <w:rPr>
          <w:i/>
          <w:sz w:val="24"/>
          <w:szCs w:val="24"/>
        </w:rPr>
      </w:pPr>
      <w:r w:rsidRPr="003D2968">
        <w:rPr>
          <w:i/>
          <w:sz w:val="24"/>
          <w:szCs w:val="24"/>
        </w:rPr>
        <w:t>Profylakse mod diar</w:t>
      </w:r>
      <w:r w:rsidR="00563D4E">
        <w:rPr>
          <w:i/>
          <w:sz w:val="24"/>
          <w:szCs w:val="24"/>
        </w:rPr>
        <w:t>r</w:t>
      </w:r>
      <w:r w:rsidRPr="003D2968">
        <w:rPr>
          <w:i/>
          <w:sz w:val="24"/>
          <w:szCs w:val="24"/>
        </w:rPr>
        <w:t>é ved sondeernæring</w:t>
      </w:r>
    </w:p>
    <w:p w:rsidR="00EF0F41" w:rsidRPr="003D2968" w:rsidRDefault="00EF0F41" w:rsidP="00790D79">
      <w:pPr>
        <w:ind w:left="851"/>
        <w:rPr>
          <w:sz w:val="24"/>
          <w:szCs w:val="24"/>
        </w:rPr>
      </w:pPr>
      <w:r w:rsidRPr="003D2968">
        <w:rPr>
          <w:sz w:val="24"/>
          <w:szCs w:val="24"/>
        </w:rPr>
        <w:t>2.000 mg/døgn, dvs. 8 kapsler så længe sondeernæringen finder sted, dog højst i 3 uger.</w:t>
      </w:r>
    </w:p>
    <w:p w:rsidR="00EF0F41" w:rsidRPr="003D2968" w:rsidRDefault="00EF0F41" w:rsidP="00790D79">
      <w:pPr>
        <w:ind w:left="851"/>
        <w:rPr>
          <w:sz w:val="24"/>
          <w:szCs w:val="24"/>
        </w:rPr>
      </w:pPr>
    </w:p>
    <w:p w:rsidR="00EF0F41" w:rsidRPr="003D2968" w:rsidRDefault="00EF0F41" w:rsidP="00790D79">
      <w:pPr>
        <w:ind w:left="851"/>
        <w:rPr>
          <w:i/>
          <w:sz w:val="24"/>
          <w:szCs w:val="24"/>
        </w:rPr>
      </w:pPr>
      <w:r w:rsidRPr="003D2968">
        <w:rPr>
          <w:i/>
          <w:sz w:val="24"/>
          <w:szCs w:val="24"/>
        </w:rPr>
        <w:t>Pædiatrisk population</w:t>
      </w:r>
    </w:p>
    <w:p w:rsidR="00EF0F41" w:rsidRPr="003D2968" w:rsidRDefault="00EF0F41" w:rsidP="00790D79">
      <w:pPr>
        <w:ind w:left="851"/>
        <w:rPr>
          <w:sz w:val="24"/>
          <w:szCs w:val="24"/>
        </w:rPr>
      </w:pPr>
      <w:r w:rsidRPr="003D2968">
        <w:rPr>
          <w:sz w:val="24"/>
          <w:szCs w:val="24"/>
        </w:rPr>
        <w:t>Bør ikke anvendes til børn, da erfaringen med behandling af børn er utilstrækkelig.</w:t>
      </w:r>
    </w:p>
    <w:p w:rsidR="00EF0F41" w:rsidRPr="003D2968" w:rsidRDefault="00EF0F41" w:rsidP="00790D79">
      <w:pPr>
        <w:ind w:left="851"/>
        <w:rPr>
          <w:sz w:val="24"/>
          <w:szCs w:val="24"/>
          <w:u w:val="single"/>
        </w:rPr>
      </w:pPr>
    </w:p>
    <w:p w:rsidR="00EF0F41" w:rsidRPr="003D2968" w:rsidRDefault="00EF0F41" w:rsidP="00790D79">
      <w:pPr>
        <w:ind w:left="851"/>
        <w:rPr>
          <w:i/>
          <w:sz w:val="24"/>
          <w:szCs w:val="24"/>
        </w:rPr>
      </w:pPr>
      <w:r w:rsidRPr="003D2968">
        <w:rPr>
          <w:i/>
          <w:sz w:val="24"/>
          <w:szCs w:val="24"/>
        </w:rPr>
        <w:t>Ældre</w:t>
      </w:r>
    </w:p>
    <w:p w:rsidR="00EF0F41" w:rsidRPr="003D2968" w:rsidRDefault="00EF0F41" w:rsidP="00790D79">
      <w:pPr>
        <w:ind w:left="851"/>
        <w:rPr>
          <w:sz w:val="24"/>
          <w:szCs w:val="24"/>
        </w:rPr>
      </w:pPr>
      <w:r w:rsidRPr="003D2968">
        <w:rPr>
          <w:sz w:val="24"/>
          <w:szCs w:val="24"/>
        </w:rPr>
        <w:t>Dosisjustering er ikke nødvendig.</w:t>
      </w:r>
    </w:p>
    <w:p w:rsidR="00EF0F41" w:rsidRPr="003D2968" w:rsidRDefault="00EF0F41" w:rsidP="00790D79">
      <w:pPr>
        <w:ind w:left="851"/>
        <w:rPr>
          <w:sz w:val="24"/>
          <w:szCs w:val="24"/>
        </w:rPr>
      </w:pPr>
    </w:p>
    <w:p w:rsidR="00EF0F41" w:rsidRPr="003D2968" w:rsidRDefault="00EF0F41" w:rsidP="00790D79">
      <w:pPr>
        <w:ind w:left="851"/>
        <w:rPr>
          <w:i/>
          <w:sz w:val="24"/>
          <w:szCs w:val="24"/>
        </w:rPr>
      </w:pPr>
      <w:r w:rsidRPr="003D2968">
        <w:rPr>
          <w:i/>
          <w:sz w:val="24"/>
          <w:szCs w:val="24"/>
        </w:rPr>
        <w:t>Nedsat nyre- eller leverfunktion</w:t>
      </w:r>
    </w:p>
    <w:p w:rsidR="00EF0F41" w:rsidRPr="003D2968" w:rsidRDefault="00EF0F41" w:rsidP="00790D79">
      <w:pPr>
        <w:ind w:left="851"/>
        <w:rPr>
          <w:sz w:val="24"/>
          <w:szCs w:val="24"/>
        </w:rPr>
      </w:pPr>
      <w:r w:rsidRPr="003D2968">
        <w:rPr>
          <w:sz w:val="24"/>
          <w:szCs w:val="24"/>
        </w:rPr>
        <w:t>Dosisjustering er ikke nødvendig.</w:t>
      </w:r>
    </w:p>
    <w:p w:rsidR="00EF0F41" w:rsidRPr="003D2968" w:rsidRDefault="00EF0F41" w:rsidP="00790D79">
      <w:pPr>
        <w:ind w:left="851"/>
        <w:rPr>
          <w:sz w:val="24"/>
          <w:szCs w:val="24"/>
        </w:rPr>
      </w:pPr>
    </w:p>
    <w:p w:rsidR="00EF0F41" w:rsidRPr="003D2968" w:rsidRDefault="00EF0F41" w:rsidP="00790D79">
      <w:pPr>
        <w:ind w:left="851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 xml:space="preserve">Grundet risikoen for luftbåren kontaminering bør kapsler ikke åbnes i patientstuer.  Sundhedspersonalet skal bære handsker under håndtering af </w:t>
      </w:r>
      <w:proofErr w:type="spellStart"/>
      <w:r w:rsidRPr="003D2968">
        <w:rPr>
          <w:spacing w:val="-3"/>
          <w:sz w:val="24"/>
          <w:szCs w:val="24"/>
        </w:rPr>
        <w:t>probiotika</w:t>
      </w:r>
      <w:proofErr w:type="spellEnd"/>
      <w:r w:rsidRPr="003D2968">
        <w:rPr>
          <w:spacing w:val="-3"/>
          <w:sz w:val="24"/>
          <w:szCs w:val="24"/>
        </w:rPr>
        <w:t xml:space="preserve"> og derefter omgående kassere handskerne og vaske </w:t>
      </w:r>
      <w:r w:rsidR="00563D4E">
        <w:rPr>
          <w:spacing w:val="-3"/>
          <w:sz w:val="22"/>
          <w:szCs w:val="22"/>
        </w:rPr>
        <w:t>hænderne</w:t>
      </w:r>
      <w:r w:rsidR="00563D4E">
        <w:rPr>
          <w:spacing w:val="-3"/>
          <w:sz w:val="22"/>
        </w:rPr>
        <w:t xml:space="preserve"> </w:t>
      </w:r>
      <w:r w:rsidRPr="003D2968">
        <w:rPr>
          <w:spacing w:val="-3"/>
          <w:sz w:val="24"/>
          <w:szCs w:val="24"/>
        </w:rPr>
        <w:t>grundigt (se pkt. 4.4).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CF2F36" w:rsidRPr="003D2968" w:rsidRDefault="00CF2F36" w:rsidP="00CF2F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4.3</w:t>
      </w:r>
      <w:r w:rsidRPr="003D2968">
        <w:rPr>
          <w:b/>
          <w:sz w:val="24"/>
          <w:szCs w:val="24"/>
        </w:rPr>
        <w:tab/>
        <w:t>Kontraindikationer</w:t>
      </w:r>
    </w:p>
    <w:p w:rsidR="00EF0F41" w:rsidRPr="003D2968" w:rsidRDefault="00EF0F41" w:rsidP="0076633E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>Overfølsomhed over for det aktive stof eller over for ét eller flere af hjælpestofferne anført i pkt. 6.1.</w:t>
      </w:r>
    </w:p>
    <w:p w:rsidR="00EF0F41" w:rsidRPr="003D2968" w:rsidRDefault="00EF0F41" w:rsidP="0076633E">
      <w:pPr>
        <w:tabs>
          <w:tab w:val="left" w:pos="0"/>
          <w:tab w:val="left" w:pos="851"/>
          <w:tab w:val="left" w:pos="1622"/>
        </w:tabs>
        <w:ind w:left="850" w:firstLine="1"/>
        <w:rPr>
          <w:spacing w:val="-3"/>
          <w:sz w:val="24"/>
          <w:szCs w:val="24"/>
        </w:rPr>
      </w:pPr>
    </w:p>
    <w:p w:rsidR="00EF0F41" w:rsidRPr="003D2968" w:rsidRDefault="00EF0F41" w:rsidP="0076633E">
      <w:pPr>
        <w:tabs>
          <w:tab w:val="left" w:pos="0"/>
          <w:tab w:val="left" w:pos="851"/>
          <w:tab w:val="left" w:pos="1622"/>
        </w:tabs>
        <w:ind w:left="850" w:firstLine="1"/>
        <w:rPr>
          <w:spacing w:val="-3"/>
          <w:sz w:val="24"/>
          <w:szCs w:val="24"/>
        </w:rPr>
      </w:pPr>
      <w:bookmarkStart w:id="1" w:name="_Hlk500949137"/>
      <w:r w:rsidRPr="003D2968">
        <w:rPr>
          <w:spacing w:val="-3"/>
          <w:sz w:val="24"/>
          <w:szCs w:val="24"/>
        </w:rPr>
        <w:t xml:space="preserve">Allergi over for gærsvamp, især </w:t>
      </w:r>
      <w:proofErr w:type="spellStart"/>
      <w:r w:rsidRPr="003D2968">
        <w:rPr>
          <w:i/>
          <w:spacing w:val="-3"/>
          <w:sz w:val="24"/>
          <w:szCs w:val="24"/>
        </w:rPr>
        <w:t>Saccharomyces</w:t>
      </w:r>
      <w:proofErr w:type="spellEnd"/>
      <w:r w:rsidRPr="003D2968">
        <w:rPr>
          <w:i/>
          <w:spacing w:val="-3"/>
          <w:sz w:val="24"/>
          <w:szCs w:val="24"/>
        </w:rPr>
        <w:t xml:space="preserve"> </w:t>
      </w:r>
      <w:proofErr w:type="spellStart"/>
      <w:r w:rsidRPr="003D2968">
        <w:rPr>
          <w:i/>
          <w:spacing w:val="-3"/>
          <w:sz w:val="24"/>
          <w:szCs w:val="24"/>
        </w:rPr>
        <w:t>boulardii</w:t>
      </w:r>
      <w:proofErr w:type="spellEnd"/>
      <w:r w:rsidRPr="003D2968">
        <w:rPr>
          <w:spacing w:val="-3"/>
          <w:sz w:val="24"/>
          <w:szCs w:val="24"/>
        </w:rPr>
        <w:t xml:space="preserve">; patienter, der har et centralt venekateter; kritisk syge patienter eller immunkompromitterede patienter grundet en risiko for </w:t>
      </w:r>
      <w:proofErr w:type="spellStart"/>
      <w:r w:rsidRPr="003D2968">
        <w:rPr>
          <w:spacing w:val="-3"/>
          <w:sz w:val="24"/>
          <w:szCs w:val="24"/>
        </w:rPr>
        <w:t>fungæmi</w:t>
      </w:r>
      <w:proofErr w:type="spellEnd"/>
      <w:r w:rsidRPr="003D2968">
        <w:rPr>
          <w:spacing w:val="-3"/>
          <w:sz w:val="24"/>
          <w:szCs w:val="24"/>
        </w:rPr>
        <w:t xml:space="preserve"> (se pkt. 4.4).</w:t>
      </w:r>
      <w:bookmarkEnd w:id="1"/>
    </w:p>
    <w:p w:rsidR="00EF0F41" w:rsidRPr="003D2968" w:rsidRDefault="00EF0F41" w:rsidP="0076633E">
      <w:pPr>
        <w:tabs>
          <w:tab w:val="left" w:pos="0"/>
          <w:tab w:val="left" w:pos="851"/>
          <w:tab w:val="left" w:pos="1622"/>
        </w:tabs>
        <w:ind w:left="850" w:firstLine="1"/>
        <w:rPr>
          <w:spacing w:val="-3"/>
          <w:sz w:val="24"/>
          <w:szCs w:val="24"/>
        </w:rPr>
      </w:pPr>
    </w:p>
    <w:p w:rsidR="00EF0F41" w:rsidRPr="003D2968" w:rsidRDefault="00EF0F41" w:rsidP="0076633E">
      <w:pPr>
        <w:tabs>
          <w:tab w:val="left" w:pos="0"/>
          <w:tab w:val="left" w:pos="851"/>
          <w:tab w:val="left" w:pos="1622"/>
        </w:tabs>
        <w:ind w:left="850" w:firstLine="1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>Nært forestående kirurgiske indgreb i bughulen. Sepsis.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</w:p>
    <w:p w:rsidR="0065343D" w:rsidRPr="003D2968" w:rsidRDefault="0065343D" w:rsidP="006534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4.4</w:t>
      </w:r>
      <w:r w:rsidRPr="003D2968">
        <w:rPr>
          <w:b/>
          <w:sz w:val="24"/>
          <w:szCs w:val="24"/>
        </w:rPr>
        <w:tab/>
        <w:t>Særlige advarsler og forsigtighedsregler vedrørende brugen</w:t>
      </w:r>
    </w:p>
    <w:p w:rsidR="00EF0F41" w:rsidRPr="003D2968" w:rsidRDefault="00EF0F41" w:rsidP="0076633E">
      <w:pPr>
        <w:widowControl w:val="0"/>
        <w:tabs>
          <w:tab w:val="left" w:pos="851"/>
          <w:tab w:val="left" w:pos="1622"/>
        </w:tabs>
        <w:ind w:left="851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 xml:space="preserve">Der er blevet rapporteret meget sjældne tilfælde af </w:t>
      </w:r>
      <w:proofErr w:type="spellStart"/>
      <w:r w:rsidRPr="003D2968">
        <w:rPr>
          <w:spacing w:val="-3"/>
          <w:sz w:val="24"/>
          <w:szCs w:val="24"/>
        </w:rPr>
        <w:t>fungæmi</w:t>
      </w:r>
      <w:proofErr w:type="spellEnd"/>
      <w:r w:rsidRPr="003D2968">
        <w:rPr>
          <w:spacing w:val="-3"/>
          <w:sz w:val="24"/>
          <w:szCs w:val="24"/>
        </w:rPr>
        <w:t xml:space="preserve"> (og blodkulturer positive over for </w:t>
      </w:r>
      <w:proofErr w:type="spellStart"/>
      <w:r w:rsidRPr="003D2968">
        <w:rPr>
          <w:i/>
          <w:spacing w:val="-3"/>
          <w:sz w:val="24"/>
          <w:szCs w:val="24"/>
        </w:rPr>
        <w:t>Saccharomyces</w:t>
      </w:r>
      <w:proofErr w:type="spellEnd"/>
      <w:r w:rsidRPr="003D2968">
        <w:rPr>
          <w:spacing w:val="-3"/>
          <w:sz w:val="24"/>
          <w:szCs w:val="24"/>
        </w:rPr>
        <w:t>-stammer)</w:t>
      </w:r>
      <w:r w:rsidR="00E522A4" w:rsidRPr="003D2968">
        <w:rPr>
          <w:spacing w:val="-3"/>
          <w:sz w:val="24"/>
          <w:szCs w:val="24"/>
        </w:rPr>
        <w:t xml:space="preserve"> og sepsis</w:t>
      </w:r>
      <w:r w:rsidRPr="003D2968">
        <w:rPr>
          <w:spacing w:val="-3"/>
          <w:sz w:val="24"/>
          <w:szCs w:val="24"/>
        </w:rPr>
        <w:t xml:space="preserve">, primært hos patienter med centralt venekateter og kritisk syge eller immunkompromitterede patienter, som hyppigst resulterer i </w:t>
      </w:r>
      <w:proofErr w:type="spellStart"/>
      <w:r w:rsidRPr="003D2968">
        <w:rPr>
          <w:spacing w:val="-3"/>
          <w:sz w:val="24"/>
          <w:szCs w:val="24"/>
        </w:rPr>
        <w:t>pyreksi</w:t>
      </w:r>
      <w:proofErr w:type="spellEnd"/>
      <w:r w:rsidRPr="003D2968">
        <w:rPr>
          <w:spacing w:val="-3"/>
          <w:sz w:val="24"/>
          <w:szCs w:val="24"/>
        </w:rPr>
        <w:t xml:space="preserve">. I de fleste tilfælde har resultatet været tilfredsstillende efter standsning af behandling med </w:t>
      </w:r>
      <w:proofErr w:type="spellStart"/>
      <w:r w:rsidRPr="003D2968">
        <w:rPr>
          <w:i/>
          <w:spacing w:val="-3"/>
          <w:sz w:val="24"/>
          <w:szCs w:val="24"/>
        </w:rPr>
        <w:t>Saccharomyces</w:t>
      </w:r>
      <w:proofErr w:type="spellEnd"/>
      <w:r w:rsidRPr="003D2968">
        <w:rPr>
          <w:i/>
          <w:spacing w:val="-3"/>
          <w:sz w:val="24"/>
          <w:szCs w:val="24"/>
        </w:rPr>
        <w:t xml:space="preserve"> </w:t>
      </w:r>
      <w:proofErr w:type="spellStart"/>
      <w:r w:rsidRPr="003D2968">
        <w:rPr>
          <w:i/>
          <w:spacing w:val="-3"/>
          <w:sz w:val="24"/>
          <w:szCs w:val="24"/>
        </w:rPr>
        <w:t>boulardii</w:t>
      </w:r>
      <w:proofErr w:type="spellEnd"/>
      <w:r w:rsidRPr="003D2968">
        <w:rPr>
          <w:spacing w:val="-3"/>
          <w:sz w:val="24"/>
          <w:szCs w:val="24"/>
        </w:rPr>
        <w:t xml:space="preserve">, administration af </w:t>
      </w:r>
      <w:proofErr w:type="spellStart"/>
      <w:r w:rsidRPr="003D2968">
        <w:rPr>
          <w:spacing w:val="-3"/>
          <w:sz w:val="24"/>
          <w:szCs w:val="24"/>
        </w:rPr>
        <w:t>antimykotisk</w:t>
      </w:r>
      <w:proofErr w:type="spellEnd"/>
      <w:r w:rsidRPr="003D2968">
        <w:rPr>
          <w:spacing w:val="-3"/>
          <w:sz w:val="24"/>
          <w:szCs w:val="24"/>
        </w:rPr>
        <w:t xml:space="preserve"> behandling og fjernelse af kateteret efter behov. For nogle kritisk syge patienter var resultatet dog dødeligt (se pkt. 4.3 og 4.8).</w:t>
      </w:r>
    </w:p>
    <w:p w:rsidR="00EF0F41" w:rsidRPr="003D2968" w:rsidRDefault="00EF0F41" w:rsidP="0076633E">
      <w:pPr>
        <w:widowControl w:val="0"/>
        <w:tabs>
          <w:tab w:val="left" w:pos="851"/>
          <w:tab w:val="left" w:pos="1622"/>
        </w:tabs>
        <w:ind w:left="851"/>
        <w:rPr>
          <w:spacing w:val="-3"/>
          <w:sz w:val="24"/>
          <w:szCs w:val="24"/>
        </w:rPr>
      </w:pPr>
    </w:p>
    <w:p w:rsidR="00EF0F41" w:rsidRPr="003D2968" w:rsidRDefault="00EF0F41" w:rsidP="0076633E">
      <w:pPr>
        <w:widowControl w:val="0"/>
        <w:tabs>
          <w:tab w:val="left" w:pos="851"/>
          <w:tab w:val="left" w:pos="1622"/>
        </w:tabs>
        <w:ind w:left="851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 xml:space="preserve">Som med alle lægemidler fremstillet af levende mikroorganismer skal man være særlig opmærksom på håndteringen af produktet i nærheden af patienter med centralt venekateter, men også med perifert kateter, selvom der ikke behandles med </w:t>
      </w:r>
      <w:proofErr w:type="spellStart"/>
      <w:r w:rsidRPr="003D2968">
        <w:rPr>
          <w:i/>
          <w:spacing w:val="-3"/>
          <w:sz w:val="24"/>
          <w:szCs w:val="24"/>
        </w:rPr>
        <w:t>Saccharomyces</w:t>
      </w:r>
      <w:proofErr w:type="spellEnd"/>
      <w:r w:rsidRPr="003D2968">
        <w:rPr>
          <w:i/>
          <w:spacing w:val="-3"/>
          <w:sz w:val="24"/>
          <w:szCs w:val="24"/>
        </w:rPr>
        <w:t xml:space="preserve"> </w:t>
      </w:r>
      <w:proofErr w:type="spellStart"/>
      <w:r w:rsidRPr="003D2968">
        <w:rPr>
          <w:i/>
          <w:spacing w:val="-3"/>
          <w:sz w:val="24"/>
          <w:szCs w:val="24"/>
        </w:rPr>
        <w:t>boulardii</w:t>
      </w:r>
      <w:proofErr w:type="spellEnd"/>
      <w:r w:rsidRPr="003D2968">
        <w:rPr>
          <w:spacing w:val="-3"/>
          <w:sz w:val="24"/>
          <w:szCs w:val="24"/>
        </w:rPr>
        <w:t xml:space="preserve">, for </w:t>
      </w:r>
      <w:r w:rsidRPr="003D2968">
        <w:rPr>
          <w:spacing w:val="-3"/>
          <w:sz w:val="24"/>
          <w:szCs w:val="24"/>
        </w:rPr>
        <w:lastRenderedPageBreak/>
        <w:t>at undgå al kontaminering via hænder og/eller spredningen af mikroorganismer via luft (se pkt. 4.2).</w:t>
      </w:r>
    </w:p>
    <w:p w:rsidR="00EF0F41" w:rsidRPr="003D2968" w:rsidRDefault="00EF0F41" w:rsidP="00EF0F41">
      <w:pPr>
        <w:widowControl w:val="0"/>
        <w:tabs>
          <w:tab w:val="left" w:pos="851"/>
          <w:tab w:val="left" w:pos="1622"/>
        </w:tabs>
        <w:ind w:left="851"/>
        <w:jc w:val="both"/>
        <w:rPr>
          <w:spacing w:val="-3"/>
          <w:sz w:val="24"/>
          <w:szCs w:val="24"/>
        </w:rPr>
      </w:pPr>
    </w:p>
    <w:p w:rsidR="00EF0F41" w:rsidRPr="003D2968" w:rsidRDefault="00EF0F41" w:rsidP="0076633E">
      <w:pPr>
        <w:widowControl w:val="0"/>
        <w:tabs>
          <w:tab w:val="left" w:pos="851"/>
          <w:tab w:val="left" w:pos="1622"/>
        </w:tabs>
        <w:ind w:left="851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 xml:space="preserve">Risiko for udvikling af sepsis, fremkaldt af </w:t>
      </w:r>
      <w:proofErr w:type="spellStart"/>
      <w:r w:rsidRPr="003D2968">
        <w:rPr>
          <w:i/>
          <w:spacing w:val="-3"/>
          <w:sz w:val="24"/>
          <w:szCs w:val="24"/>
        </w:rPr>
        <w:t>Saccharomyces</w:t>
      </w:r>
      <w:proofErr w:type="spellEnd"/>
      <w:r w:rsidRPr="003D2968">
        <w:rPr>
          <w:i/>
          <w:spacing w:val="-3"/>
          <w:sz w:val="24"/>
          <w:szCs w:val="24"/>
        </w:rPr>
        <w:t xml:space="preserve"> </w:t>
      </w:r>
      <w:proofErr w:type="spellStart"/>
      <w:r w:rsidRPr="003D2968">
        <w:rPr>
          <w:i/>
          <w:spacing w:val="-3"/>
          <w:sz w:val="24"/>
          <w:szCs w:val="24"/>
        </w:rPr>
        <w:t>boulardii</w:t>
      </w:r>
      <w:proofErr w:type="spellEnd"/>
      <w:r w:rsidRPr="003D2968">
        <w:rPr>
          <w:spacing w:val="-3"/>
          <w:sz w:val="24"/>
          <w:szCs w:val="24"/>
        </w:rPr>
        <w:t>, hvis præparatet gives i tilknytning til kirurgiske indgreb i bughulen.</w:t>
      </w:r>
    </w:p>
    <w:p w:rsidR="00EF0F41" w:rsidRPr="003D2968" w:rsidRDefault="00EF0F41" w:rsidP="0076633E">
      <w:pPr>
        <w:widowControl w:val="0"/>
        <w:tabs>
          <w:tab w:val="left" w:pos="851"/>
          <w:tab w:val="left" w:pos="1622"/>
        </w:tabs>
        <w:ind w:left="851"/>
        <w:rPr>
          <w:spacing w:val="-3"/>
          <w:sz w:val="24"/>
          <w:szCs w:val="24"/>
        </w:rPr>
      </w:pPr>
    </w:p>
    <w:p w:rsidR="00C518C6" w:rsidRDefault="00C518C6" w:rsidP="00C518C6">
      <w:pPr>
        <w:keepNext/>
        <w:tabs>
          <w:tab w:val="left" w:pos="851"/>
          <w:tab w:val="left" w:pos="1622"/>
        </w:tabs>
        <w:ind w:left="851"/>
        <w:jc w:val="both"/>
        <w:rPr>
          <w:spacing w:val="-3"/>
          <w:sz w:val="22"/>
          <w:szCs w:val="22"/>
          <w:u w:val="single"/>
          <w:lang w:eastAsia="da-DK"/>
        </w:rPr>
      </w:pPr>
      <w:r>
        <w:rPr>
          <w:spacing w:val="-3"/>
          <w:sz w:val="22"/>
          <w:szCs w:val="22"/>
          <w:u w:val="single"/>
        </w:rPr>
        <w:t>Hjælpestoffer</w:t>
      </w:r>
    </w:p>
    <w:p w:rsidR="00C518C6" w:rsidRDefault="00C518C6" w:rsidP="00C518C6">
      <w:pPr>
        <w:keepNext/>
        <w:tabs>
          <w:tab w:val="left" w:pos="851"/>
          <w:tab w:val="left" w:pos="1622"/>
        </w:tabs>
        <w:ind w:left="851"/>
        <w:rPr>
          <w:spacing w:val="-3"/>
          <w:sz w:val="22"/>
          <w:szCs w:val="22"/>
        </w:rPr>
      </w:pPr>
    </w:p>
    <w:p w:rsidR="00C518C6" w:rsidRDefault="00C518C6" w:rsidP="00C518C6">
      <w:pPr>
        <w:keepNext/>
        <w:tabs>
          <w:tab w:val="left" w:pos="851"/>
          <w:tab w:val="left" w:pos="1622"/>
        </w:tabs>
        <w:ind w:left="851"/>
        <w:jc w:val="both"/>
        <w:rPr>
          <w:spacing w:val="-3"/>
          <w:sz w:val="22"/>
        </w:rPr>
      </w:pPr>
      <w:r>
        <w:rPr>
          <w:spacing w:val="-3"/>
          <w:sz w:val="22"/>
          <w:szCs w:val="22"/>
        </w:rPr>
        <w:t>Dette lægemiddel indeholder</w:t>
      </w:r>
      <w:r>
        <w:rPr>
          <w:spacing w:val="-3"/>
          <w:sz w:val="22"/>
        </w:rPr>
        <w:t xml:space="preserve"> </w:t>
      </w:r>
      <w:proofErr w:type="spellStart"/>
      <w:r>
        <w:rPr>
          <w:spacing w:val="-3"/>
          <w:sz w:val="22"/>
        </w:rPr>
        <w:t>lactose</w:t>
      </w:r>
      <w:proofErr w:type="spellEnd"/>
      <w:r>
        <w:rPr>
          <w:spacing w:val="-3"/>
          <w:sz w:val="22"/>
          <w:szCs w:val="22"/>
        </w:rPr>
        <w:t>. Bør</w:t>
      </w:r>
      <w:r>
        <w:rPr>
          <w:spacing w:val="-3"/>
          <w:sz w:val="22"/>
        </w:rPr>
        <w:t xml:space="preserve"> ikke anvendes til patienter med </w:t>
      </w:r>
      <w:r>
        <w:rPr>
          <w:spacing w:val="-3"/>
          <w:sz w:val="22"/>
          <w:szCs w:val="22"/>
        </w:rPr>
        <w:t xml:space="preserve">hereditær </w:t>
      </w:r>
      <w:proofErr w:type="spellStart"/>
      <w:r>
        <w:rPr>
          <w:spacing w:val="-3"/>
          <w:sz w:val="22"/>
          <w:szCs w:val="22"/>
        </w:rPr>
        <w:t>galaktoseintolerans</w:t>
      </w:r>
      <w:proofErr w:type="spellEnd"/>
      <w:r>
        <w:rPr>
          <w:spacing w:val="-3"/>
          <w:sz w:val="22"/>
          <w:szCs w:val="22"/>
        </w:rPr>
        <w:t xml:space="preserve">, total </w:t>
      </w:r>
      <w:proofErr w:type="spellStart"/>
      <w:r>
        <w:rPr>
          <w:spacing w:val="-3"/>
          <w:sz w:val="22"/>
          <w:szCs w:val="22"/>
        </w:rPr>
        <w:t>lactasemangel</w:t>
      </w:r>
      <w:proofErr w:type="spellEnd"/>
      <w:r>
        <w:rPr>
          <w:spacing w:val="-3"/>
          <w:sz w:val="22"/>
        </w:rPr>
        <w:t xml:space="preserve"> eller </w:t>
      </w:r>
      <w:proofErr w:type="spellStart"/>
      <w:r>
        <w:rPr>
          <w:spacing w:val="-3"/>
          <w:sz w:val="22"/>
        </w:rPr>
        <w:t>glucose</w:t>
      </w:r>
      <w:proofErr w:type="spellEnd"/>
      <w:r>
        <w:rPr>
          <w:spacing w:val="-3"/>
          <w:sz w:val="22"/>
        </w:rPr>
        <w:t>/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galactosemalabsorption</w:t>
      </w:r>
      <w:proofErr w:type="spellEnd"/>
      <w:r>
        <w:rPr>
          <w:spacing w:val="-3"/>
          <w:sz w:val="22"/>
          <w:szCs w:val="22"/>
        </w:rPr>
        <w:t xml:space="preserve">. 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65343D" w:rsidRPr="003D2968" w:rsidRDefault="0065343D" w:rsidP="006534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4.5</w:t>
      </w:r>
      <w:r w:rsidRPr="003D2968">
        <w:rPr>
          <w:b/>
          <w:sz w:val="24"/>
          <w:szCs w:val="24"/>
        </w:rPr>
        <w:tab/>
        <w:t>Interaktion med andre lægemidler og andre former for interaktion</w:t>
      </w:r>
    </w:p>
    <w:p w:rsidR="00EF0F41" w:rsidRPr="003D2968" w:rsidRDefault="00EF0F41" w:rsidP="0076633E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</w:r>
      <w:r w:rsidRPr="003D2968">
        <w:rPr>
          <w:sz w:val="24"/>
          <w:szCs w:val="24"/>
        </w:rPr>
        <w:t xml:space="preserve">Lægemiddel- eller fødeinteraktioner: </w:t>
      </w:r>
      <w:proofErr w:type="spellStart"/>
      <w:r w:rsidRPr="003D2968">
        <w:rPr>
          <w:i/>
          <w:sz w:val="24"/>
          <w:szCs w:val="24"/>
        </w:rPr>
        <w:t>Saccharomyces</w:t>
      </w:r>
      <w:proofErr w:type="spellEnd"/>
      <w:r w:rsidRPr="003D2968">
        <w:rPr>
          <w:i/>
          <w:sz w:val="24"/>
          <w:szCs w:val="24"/>
        </w:rPr>
        <w:t xml:space="preserve"> </w:t>
      </w:r>
      <w:proofErr w:type="spellStart"/>
      <w:r w:rsidRPr="003D2968">
        <w:rPr>
          <w:i/>
          <w:sz w:val="24"/>
          <w:szCs w:val="24"/>
        </w:rPr>
        <w:t>boulardii</w:t>
      </w:r>
      <w:proofErr w:type="spellEnd"/>
      <w:r w:rsidRPr="003D2968">
        <w:rPr>
          <w:sz w:val="24"/>
          <w:szCs w:val="24"/>
        </w:rPr>
        <w:t xml:space="preserve"> er fremstillet af levende celler og må derfor ikke blandes i meget varme (over 50 °C), iskolde eller alkoholholdige drikke eller fødevarer. Da </w:t>
      </w:r>
      <w:proofErr w:type="spellStart"/>
      <w:r w:rsidRPr="003D2968">
        <w:rPr>
          <w:i/>
          <w:sz w:val="24"/>
          <w:szCs w:val="24"/>
        </w:rPr>
        <w:t>Saccharomyces</w:t>
      </w:r>
      <w:proofErr w:type="spellEnd"/>
      <w:r w:rsidRPr="003D2968">
        <w:rPr>
          <w:i/>
          <w:sz w:val="24"/>
          <w:szCs w:val="24"/>
        </w:rPr>
        <w:t xml:space="preserve"> </w:t>
      </w:r>
      <w:proofErr w:type="spellStart"/>
      <w:r w:rsidRPr="003D2968">
        <w:rPr>
          <w:i/>
          <w:sz w:val="24"/>
          <w:szCs w:val="24"/>
        </w:rPr>
        <w:t>boulardii</w:t>
      </w:r>
      <w:proofErr w:type="spellEnd"/>
      <w:r w:rsidRPr="003D2968">
        <w:rPr>
          <w:sz w:val="24"/>
          <w:szCs w:val="24"/>
        </w:rPr>
        <w:t xml:space="preserve"> er en gærsvamp, må præparatet ikke administreres samtidig med oral eller systemisk behandling med </w:t>
      </w:r>
      <w:proofErr w:type="spellStart"/>
      <w:r w:rsidRPr="003D2968">
        <w:rPr>
          <w:sz w:val="24"/>
          <w:szCs w:val="24"/>
        </w:rPr>
        <w:t>antimykotika</w:t>
      </w:r>
      <w:proofErr w:type="spellEnd"/>
      <w:r w:rsidRPr="003D2968">
        <w:rPr>
          <w:sz w:val="24"/>
          <w:szCs w:val="24"/>
        </w:rPr>
        <w:t>.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</w:r>
    </w:p>
    <w:p w:rsidR="0065343D" w:rsidRPr="003D2968" w:rsidRDefault="0065343D" w:rsidP="006534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4.6</w:t>
      </w:r>
      <w:r w:rsidRPr="003D2968">
        <w:rPr>
          <w:b/>
          <w:sz w:val="24"/>
          <w:szCs w:val="24"/>
        </w:rPr>
        <w:tab/>
      </w:r>
      <w:r w:rsidR="000A45FF" w:rsidRPr="003D2968">
        <w:rPr>
          <w:b/>
          <w:sz w:val="24"/>
          <w:szCs w:val="24"/>
        </w:rPr>
        <w:t>Fertilitet, g</w:t>
      </w:r>
      <w:r w:rsidRPr="003D2968">
        <w:rPr>
          <w:b/>
          <w:sz w:val="24"/>
          <w:szCs w:val="24"/>
        </w:rPr>
        <w:t>raviditet og amning</w:t>
      </w:r>
    </w:p>
    <w:p w:rsidR="00EF0F41" w:rsidRPr="003D2968" w:rsidRDefault="00EF0F41" w:rsidP="0076633E">
      <w:pPr>
        <w:widowControl w:val="0"/>
        <w:tabs>
          <w:tab w:val="left" w:pos="0"/>
          <w:tab w:val="left" w:pos="851"/>
          <w:tab w:val="left" w:pos="1622"/>
        </w:tabs>
        <w:ind w:left="850" w:hanging="850"/>
        <w:rPr>
          <w:i/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</w:r>
      <w:r w:rsidRPr="003D2968">
        <w:rPr>
          <w:i/>
          <w:spacing w:val="-3"/>
          <w:sz w:val="24"/>
          <w:szCs w:val="24"/>
        </w:rPr>
        <w:t>Graviditet</w:t>
      </w:r>
    </w:p>
    <w:p w:rsidR="00EF0F41" w:rsidRPr="003D2968" w:rsidRDefault="00EF0F41" w:rsidP="0076633E">
      <w:pPr>
        <w:widowControl w:val="0"/>
        <w:tabs>
          <w:tab w:val="left" w:pos="851"/>
          <w:tab w:val="left" w:pos="1622"/>
        </w:tabs>
        <w:ind w:left="851"/>
        <w:rPr>
          <w:sz w:val="24"/>
          <w:szCs w:val="24"/>
        </w:rPr>
      </w:pPr>
      <w:r w:rsidRPr="003D2968">
        <w:rPr>
          <w:spacing w:val="-3"/>
          <w:sz w:val="24"/>
          <w:szCs w:val="24"/>
        </w:rPr>
        <w:t xml:space="preserve">Der er ingen erfaring med anvendelse af </w:t>
      </w:r>
      <w:proofErr w:type="spellStart"/>
      <w:r w:rsidRPr="003D2968">
        <w:rPr>
          <w:spacing w:val="-3"/>
          <w:sz w:val="24"/>
          <w:szCs w:val="24"/>
        </w:rPr>
        <w:t>S</w:t>
      </w:r>
      <w:r w:rsidRPr="003D2968">
        <w:rPr>
          <w:i/>
          <w:spacing w:val="-3"/>
          <w:sz w:val="24"/>
          <w:szCs w:val="24"/>
        </w:rPr>
        <w:t>accharomyces</w:t>
      </w:r>
      <w:proofErr w:type="spellEnd"/>
      <w:r w:rsidRPr="003D2968">
        <w:rPr>
          <w:i/>
          <w:spacing w:val="-3"/>
          <w:sz w:val="24"/>
          <w:szCs w:val="24"/>
        </w:rPr>
        <w:t xml:space="preserve"> </w:t>
      </w:r>
      <w:proofErr w:type="spellStart"/>
      <w:r w:rsidRPr="003D2968">
        <w:rPr>
          <w:i/>
          <w:spacing w:val="-3"/>
          <w:sz w:val="24"/>
          <w:szCs w:val="24"/>
        </w:rPr>
        <w:t>boulardii</w:t>
      </w:r>
      <w:proofErr w:type="spellEnd"/>
      <w:r w:rsidRPr="003D2968">
        <w:rPr>
          <w:spacing w:val="-3"/>
          <w:sz w:val="24"/>
          <w:szCs w:val="24"/>
        </w:rPr>
        <w:t xml:space="preserve"> til gravide. </w:t>
      </w:r>
    </w:p>
    <w:p w:rsidR="00EF0F41" w:rsidRPr="003D2968" w:rsidRDefault="00EF0F41" w:rsidP="0076633E">
      <w:pPr>
        <w:widowControl w:val="0"/>
        <w:tabs>
          <w:tab w:val="left" w:pos="851"/>
          <w:tab w:val="left" w:pos="1622"/>
        </w:tabs>
        <w:ind w:left="851"/>
        <w:rPr>
          <w:sz w:val="24"/>
          <w:szCs w:val="24"/>
        </w:rPr>
      </w:pPr>
    </w:p>
    <w:p w:rsidR="00EF0F41" w:rsidRPr="003D2968" w:rsidRDefault="00EF0F41" w:rsidP="0076633E">
      <w:pPr>
        <w:widowControl w:val="0"/>
        <w:tabs>
          <w:tab w:val="left" w:pos="851"/>
          <w:tab w:val="left" w:pos="1622"/>
        </w:tabs>
        <w:ind w:left="851"/>
        <w:rPr>
          <w:i/>
          <w:spacing w:val="-3"/>
          <w:sz w:val="24"/>
          <w:szCs w:val="24"/>
        </w:rPr>
      </w:pPr>
      <w:r w:rsidRPr="003D2968">
        <w:rPr>
          <w:i/>
          <w:spacing w:val="-3"/>
          <w:sz w:val="24"/>
          <w:szCs w:val="24"/>
        </w:rPr>
        <w:t>Amning</w:t>
      </w:r>
    </w:p>
    <w:p w:rsidR="00C838A2" w:rsidRDefault="00EF0F41" w:rsidP="00C838A2">
      <w:pPr>
        <w:tabs>
          <w:tab w:val="left" w:pos="851"/>
          <w:tab w:val="left" w:pos="1622"/>
        </w:tabs>
        <w:ind w:left="851" w:hanging="850"/>
        <w:jc w:val="both"/>
        <w:rPr>
          <w:spacing w:val="-3"/>
          <w:sz w:val="22"/>
          <w:lang w:eastAsia="da-DK"/>
        </w:rPr>
      </w:pPr>
      <w:r w:rsidRPr="003D2968">
        <w:rPr>
          <w:spacing w:val="-3"/>
          <w:sz w:val="24"/>
          <w:szCs w:val="24"/>
        </w:rPr>
        <w:tab/>
        <w:t xml:space="preserve">Erfaring savnes. </w:t>
      </w:r>
      <w:proofErr w:type="spellStart"/>
      <w:r w:rsidRPr="003D2968">
        <w:rPr>
          <w:spacing w:val="-3"/>
          <w:sz w:val="24"/>
          <w:szCs w:val="24"/>
        </w:rPr>
        <w:t>S</w:t>
      </w:r>
      <w:r w:rsidRPr="003D2968">
        <w:rPr>
          <w:i/>
          <w:spacing w:val="-3"/>
          <w:sz w:val="24"/>
          <w:szCs w:val="24"/>
        </w:rPr>
        <w:t>accharomyces</w:t>
      </w:r>
      <w:proofErr w:type="spellEnd"/>
      <w:r w:rsidRPr="003D2968">
        <w:rPr>
          <w:i/>
          <w:spacing w:val="-3"/>
          <w:sz w:val="24"/>
          <w:szCs w:val="24"/>
        </w:rPr>
        <w:t xml:space="preserve"> </w:t>
      </w:r>
      <w:proofErr w:type="spellStart"/>
      <w:r w:rsidRPr="003D2968">
        <w:rPr>
          <w:i/>
          <w:spacing w:val="-3"/>
          <w:sz w:val="24"/>
          <w:szCs w:val="24"/>
        </w:rPr>
        <w:t>boulardii</w:t>
      </w:r>
      <w:proofErr w:type="spellEnd"/>
      <w:r w:rsidRPr="003D2968">
        <w:rPr>
          <w:spacing w:val="-3"/>
          <w:sz w:val="24"/>
          <w:szCs w:val="24"/>
        </w:rPr>
        <w:t xml:space="preserve"> absorberes ikke fra </w:t>
      </w:r>
      <w:proofErr w:type="spellStart"/>
      <w:r w:rsidR="00C838A2">
        <w:rPr>
          <w:spacing w:val="-3"/>
          <w:sz w:val="22"/>
        </w:rPr>
        <w:t>mave-</w:t>
      </w:r>
      <w:r w:rsidR="00C838A2">
        <w:rPr>
          <w:spacing w:val="-3"/>
          <w:sz w:val="22"/>
          <w:szCs w:val="22"/>
        </w:rPr>
        <w:t>tarmkanalen</w:t>
      </w:r>
      <w:proofErr w:type="spellEnd"/>
      <w:r w:rsidR="00C838A2">
        <w:rPr>
          <w:spacing w:val="-3"/>
          <w:sz w:val="22"/>
        </w:rPr>
        <w:t>.</w:t>
      </w:r>
    </w:p>
    <w:p w:rsidR="00EF0F41" w:rsidRPr="003D2968" w:rsidRDefault="00EF0F41" w:rsidP="00EF0F41">
      <w:pPr>
        <w:tabs>
          <w:tab w:val="left" w:pos="851"/>
          <w:tab w:val="left" w:pos="1622"/>
        </w:tabs>
        <w:ind w:left="851" w:hanging="850"/>
        <w:jc w:val="both"/>
        <w:rPr>
          <w:spacing w:val="-3"/>
          <w:sz w:val="24"/>
          <w:szCs w:val="24"/>
        </w:rPr>
      </w:pPr>
    </w:p>
    <w:p w:rsidR="0065343D" w:rsidRPr="003D2968" w:rsidRDefault="0065343D" w:rsidP="006534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4.7</w:t>
      </w:r>
      <w:r w:rsidRPr="003D2968">
        <w:rPr>
          <w:b/>
          <w:sz w:val="24"/>
          <w:szCs w:val="24"/>
        </w:rPr>
        <w:tab/>
        <w:t xml:space="preserve">Virkning på evnen til at føre motorkøretøj </w:t>
      </w:r>
      <w:r w:rsidR="000A45FF" w:rsidRPr="003D2968">
        <w:rPr>
          <w:b/>
          <w:sz w:val="24"/>
          <w:szCs w:val="24"/>
        </w:rPr>
        <w:t>og</w:t>
      </w:r>
      <w:r w:rsidRPr="003D2968">
        <w:rPr>
          <w:b/>
          <w:sz w:val="24"/>
          <w:szCs w:val="24"/>
        </w:rPr>
        <w:t xml:space="preserve"> betjene maskiner</w:t>
      </w:r>
    </w:p>
    <w:p w:rsidR="0076633E" w:rsidRPr="003D2968" w:rsidRDefault="00EF0F41" w:rsidP="0076633E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 xml:space="preserve">Ikke mærkning. </w:t>
      </w:r>
    </w:p>
    <w:p w:rsidR="00EF0F41" w:rsidRPr="003D2968" w:rsidRDefault="0076633E" w:rsidP="0076633E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</w:r>
      <w:proofErr w:type="spellStart"/>
      <w:r w:rsidR="00EF0F41" w:rsidRPr="003D2968">
        <w:rPr>
          <w:spacing w:val="-3"/>
          <w:sz w:val="24"/>
          <w:szCs w:val="24"/>
        </w:rPr>
        <w:t>Precosa</w:t>
      </w:r>
      <w:proofErr w:type="spellEnd"/>
      <w:r w:rsidR="00EF0F41" w:rsidRPr="003D2968">
        <w:rPr>
          <w:spacing w:val="-3"/>
          <w:sz w:val="24"/>
          <w:szCs w:val="24"/>
        </w:rPr>
        <w:t xml:space="preserve"> påvirker ikke eller kun i ubetydelig grad evnen til at føre motorkøretøj eller betjene maskiner.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</w:p>
    <w:p w:rsidR="0065343D" w:rsidRPr="003D2968" w:rsidRDefault="0065343D" w:rsidP="006534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4.8</w:t>
      </w:r>
      <w:r w:rsidRPr="003D2968">
        <w:rPr>
          <w:b/>
          <w:sz w:val="24"/>
          <w:szCs w:val="24"/>
        </w:rPr>
        <w:tab/>
        <w:t>Bivirkninger</w:t>
      </w:r>
    </w:p>
    <w:p w:rsidR="003D2968" w:rsidRPr="003D2968" w:rsidRDefault="003D2968" w:rsidP="003D2968">
      <w:pPr>
        <w:ind w:left="851"/>
        <w:rPr>
          <w:sz w:val="24"/>
          <w:szCs w:val="24"/>
          <w:u w:val="single"/>
        </w:rPr>
      </w:pPr>
    </w:p>
    <w:p w:rsidR="00C838A2" w:rsidRDefault="00C838A2" w:rsidP="00C838A2">
      <w:pPr>
        <w:ind w:left="851"/>
        <w:rPr>
          <w:sz w:val="22"/>
          <w:szCs w:val="22"/>
          <w:u w:val="single"/>
          <w:lang w:eastAsia="da-DK"/>
        </w:rPr>
      </w:pPr>
      <w:r>
        <w:rPr>
          <w:sz w:val="22"/>
          <w:szCs w:val="22"/>
          <w:u w:val="single"/>
        </w:rPr>
        <w:t>Opsummering af sikkerhedsprofilen</w:t>
      </w:r>
    </w:p>
    <w:p w:rsidR="00C838A2" w:rsidRDefault="00C838A2" w:rsidP="00C838A2">
      <w:pPr>
        <w:ind w:left="851"/>
        <w:rPr>
          <w:sz w:val="22"/>
        </w:rPr>
      </w:pPr>
      <w:r>
        <w:rPr>
          <w:sz w:val="22"/>
        </w:rPr>
        <w:t xml:space="preserve">Allergiske reaktioner og obstipation ses hyppigst. </w:t>
      </w:r>
    </w:p>
    <w:p w:rsidR="00C838A2" w:rsidRDefault="00C838A2" w:rsidP="00C838A2">
      <w:pPr>
        <w:ind w:left="851"/>
        <w:rPr>
          <w:sz w:val="22"/>
          <w:lang w:eastAsia="da-DK"/>
        </w:rPr>
      </w:pPr>
    </w:p>
    <w:p w:rsidR="00C838A2" w:rsidRDefault="00C838A2" w:rsidP="00C838A2">
      <w:pPr>
        <w:ind w:left="85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Tabel over bivirkninger </w:t>
      </w:r>
    </w:p>
    <w:p w:rsidR="00C838A2" w:rsidRDefault="00C838A2" w:rsidP="00C838A2">
      <w:pPr>
        <w:ind w:left="851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Bivirkningerne forbundet med </w:t>
      </w:r>
      <w:proofErr w:type="spellStart"/>
      <w:r>
        <w:rPr>
          <w:spacing w:val="-3"/>
          <w:sz w:val="22"/>
          <w:szCs w:val="22"/>
        </w:rPr>
        <w:t>Precosa</w:t>
      </w:r>
      <w:proofErr w:type="spellEnd"/>
      <w:r>
        <w:rPr>
          <w:spacing w:val="-3"/>
          <w:sz w:val="22"/>
          <w:szCs w:val="22"/>
        </w:rPr>
        <w:t xml:space="preserve"> er anført efter systemorganklasse og hyppighed. Hyppighedskategorierne er defineret som følger: ikke almindelig (≥ 1/1.000 til &lt; 1/100), sjælden (≥ 1/10.000 til &lt; 1/1.000), meget sjælden (&lt; 1/10.000) og ikke kendt (kan ikke estimeres ud fra forhåndenværende data).</w:t>
      </w:r>
    </w:p>
    <w:p w:rsidR="00C838A2" w:rsidRDefault="00C838A2" w:rsidP="00C838A2">
      <w:pPr>
        <w:ind w:left="851"/>
        <w:rPr>
          <w:sz w:val="22"/>
        </w:rPr>
      </w:pPr>
    </w:p>
    <w:tbl>
      <w:tblPr>
        <w:tblW w:w="4550" w:type="pct"/>
        <w:tblInd w:w="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1228"/>
        <w:gridCol w:w="1227"/>
        <w:gridCol w:w="2294"/>
        <w:gridCol w:w="2392"/>
      </w:tblGrid>
      <w:tr w:rsidR="00C838A2" w:rsidTr="00C838A2">
        <w:trPr>
          <w:trHeight w:hRule="exact" w:val="214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38A2" w:rsidRDefault="00C838A2">
            <w:pPr>
              <w:pStyle w:val="BodytextAgency"/>
              <w:keepNext/>
              <w:keepLines/>
              <w:spacing w:after="0"/>
              <w:ind w:lef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" w:name="_Hlk497749851"/>
            <w:r>
              <w:rPr>
                <w:rFonts w:ascii="Times New Roman" w:hAnsi="Times New Roman" w:cs="Times New Roman"/>
                <w:b/>
                <w:w w:val="105"/>
                <w:sz w:val="22"/>
                <w:szCs w:val="22"/>
              </w:rPr>
              <w:lastRenderedPageBreak/>
              <w:t>Systemorgan-klasser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b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w w:val="105"/>
                <w:sz w:val="22"/>
                <w:szCs w:val="22"/>
              </w:rPr>
              <w:t>Ikke almindelig</w:t>
            </w:r>
          </w:p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b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w w:val="105"/>
                <w:sz w:val="22"/>
                <w:szCs w:val="22"/>
              </w:rPr>
              <w:t>(≥ 1/1.000 til &lt; 1/100)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w w:val="105"/>
                <w:sz w:val="22"/>
                <w:szCs w:val="22"/>
              </w:rPr>
              <w:t>Sjælden (≥ 1/10.000 til &lt; 1/1.000)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b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w w:val="105"/>
                <w:sz w:val="22"/>
                <w:szCs w:val="22"/>
              </w:rPr>
              <w:t>Meget sjælden</w:t>
            </w:r>
          </w:p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b/>
                <w:bCs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2"/>
                <w:szCs w:val="22"/>
              </w:rPr>
              <w:t>(&lt; 1/10.000)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2" w:rsidRDefault="00C838A2">
            <w:pPr>
              <w:pStyle w:val="BodytextAgency"/>
              <w:keepNext/>
              <w:keepLines/>
              <w:ind w:left="148"/>
              <w:rPr>
                <w:rFonts w:ascii="Times New Roman" w:hAnsi="Times New Roman" w:cs="Times New Roman"/>
                <w:b/>
                <w:bCs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2"/>
                <w:szCs w:val="22"/>
              </w:rPr>
              <w:t>Ikke kendt (kan ikke estimeres ud fra forhåndenværende data)</w:t>
            </w:r>
          </w:p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b/>
                <w:w w:val="105"/>
                <w:sz w:val="22"/>
                <w:szCs w:val="22"/>
              </w:rPr>
            </w:pPr>
          </w:p>
        </w:tc>
      </w:tr>
      <w:tr w:rsidR="00C838A2" w:rsidTr="00C838A2">
        <w:trPr>
          <w:trHeight w:hRule="exact" w:val="1419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38A2" w:rsidRDefault="00C838A2">
            <w:pPr>
              <w:pStyle w:val="BodytextAgency"/>
              <w:keepNext/>
              <w:keepLines/>
              <w:spacing w:after="0"/>
              <w:ind w:left="146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Immunsystemet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Allergiske reaktioner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2" w:rsidRDefault="00C838A2">
            <w:pPr>
              <w:rPr>
                <w:w w:val="105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Anafylaktisk</w:t>
            </w:r>
            <w:proofErr w:type="spellEnd"/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reaktion</w:t>
            </w:r>
          </w:p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Anafylaktisk</w:t>
            </w:r>
            <w:proofErr w:type="spellEnd"/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chok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</w:p>
        </w:tc>
      </w:tr>
      <w:tr w:rsidR="00C838A2" w:rsidTr="00C838A2">
        <w:trPr>
          <w:trHeight w:hRule="exact" w:val="724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38A2" w:rsidRDefault="00C838A2">
            <w:pPr>
              <w:pStyle w:val="BodytextAgency"/>
              <w:keepNext/>
              <w:keepLines/>
              <w:spacing w:after="0"/>
              <w:ind w:left="146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Mave-tarm-kanalen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Obstipation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</w:p>
        </w:tc>
      </w:tr>
      <w:tr w:rsidR="00C838A2" w:rsidTr="00C838A2">
        <w:trPr>
          <w:trHeight w:hRule="exact" w:val="99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38A2" w:rsidRDefault="00C838A2">
            <w:pPr>
              <w:pStyle w:val="BodytextAgency"/>
              <w:keepNext/>
              <w:keepLines/>
              <w:spacing w:after="0"/>
              <w:ind w:left="146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Hud og subkutane væv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Eksantem</w:t>
            </w:r>
            <w:proofErr w:type="spellEnd"/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, </w:t>
            </w:r>
          </w:p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Urticaria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Angioødem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</w:p>
        </w:tc>
      </w:tr>
      <w:tr w:rsidR="00C838A2" w:rsidTr="00C838A2">
        <w:trPr>
          <w:trHeight w:val="26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A2" w:rsidRDefault="00C838A2">
            <w:pPr>
              <w:pStyle w:val="BodytextAgency"/>
              <w:keepNext/>
              <w:keepLines/>
              <w:spacing w:after="0"/>
              <w:ind w:left="14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Infektioner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og parasitære sygdomme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8A2" w:rsidRDefault="00C838A2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2" w:rsidRDefault="00C838A2">
            <w:pPr>
              <w:pStyle w:val="BodytextAgency"/>
              <w:keepNext/>
              <w:keepLines/>
              <w:spacing w:after="0"/>
              <w:ind w:left="14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2" w:rsidRDefault="00C838A2">
            <w:pPr>
              <w:pStyle w:val="BodytextAgency"/>
              <w:keepNext/>
              <w:keepLines/>
              <w:spacing w:after="0"/>
              <w:ind w:left="1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Fungæmi</w:t>
            </w:r>
            <w:proofErr w:type="spellEnd"/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hos patienter med et centralt venekateter og hos kritisk syge eller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immunkompromitterede patienter (se pkt. 4.4)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2" w:rsidRDefault="00C838A2">
            <w:pPr>
              <w:pStyle w:val="BodytextAgency"/>
              <w:ind w:left="140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Sepsis hos kritisk syge eller immunkompromitterede patienter (se pkt. 4.4)</w:t>
            </w:r>
          </w:p>
        </w:tc>
      </w:tr>
      <w:bookmarkEnd w:id="2"/>
    </w:tbl>
    <w:p w:rsidR="00C838A2" w:rsidRDefault="00C838A2" w:rsidP="00C838A2">
      <w:pPr>
        <w:tabs>
          <w:tab w:val="left" w:pos="851"/>
          <w:tab w:val="left" w:pos="1622"/>
        </w:tabs>
        <w:ind w:left="851"/>
        <w:jc w:val="both"/>
        <w:rPr>
          <w:spacing w:val="-3"/>
          <w:sz w:val="22"/>
          <w:szCs w:val="22"/>
        </w:rPr>
      </w:pPr>
    </w:p>
    <w:p w:rsidR="00C838A2" w:rsidRDefault="00C838A2" w:rsidP="00C838A2">
      <w:pPr>
        <w:tabs>
          <w:tab w:val="left" w:pos="851"/>
          <w:tab w:val="left" w:pos="1622"/>
        </w:tabs>
        <w:ind w:left="851"/>
        <w:jc w:val="both"/>
        <w:rPr>
          <w:spacing w:val="-3"/>
          <w:sz w:val="22"/>
          <w:szCs w:val="22"/>
          <w:u w:val="single"/>
        </w:rPr>
      </w:pPr>
      <w:r>
        <w:rPr>
          <w:spacing w:val="-3"/>
          <w:sz w:val="22"/>
          <w:szCs w:val="22"/>
          <w:u w:val="single"/>
        </w:rPr>
        <w:t>Beskrivelse af udvalgte bivirkninger</w:t>
      </w:r>
    </w:p>
    <w:p w:rsidR="00C838A2" w:rsidRDefault="00C838A2" w:rsidP="00C838A2">
      <w:pPr>
        <w:ind w:left="851"/>
        <w:rPr>
          <w:spacing w:val="-3"/>
          <w:sz w:val="22"/>
        </w:rPr>
      </w:pPr>
      <w:r>
        <w:rPr>
          <w:spacing w:val="-3"/>
          <w:sz w:val="22"/>
        </w:rPr>
        <w:t xml:space="preserve">Tilfælde af sepsis med </w:t>
      </w:r>
      <w:proofErr w:type="spellStart"/>
      <w:r>
        <w:rPr>
          <w:i/>
          <w:spacing w:val="-3"/>
          <w:sz w:val="22"/>
        </w:rPr>
        <w:t>Saccharomyces</w:t>
      </w:r>
      <w:proofErr w:type="spellEnd"/>
      <w:r>
        <w:rPr>
          <w:i/>
          <w:spacing w:val="-3"/>
          <w:sz w:val="22"/>
        </w:rPr>
        <w:t xml:space="preserve"> </w:t>
      </w:r>
      <w:proofErr w:type="spellStart"/>
      <w:r>
        <w:rPr>
          <w:i/>
          <w:spacing w:val="-3"/>
          <w:sz w:val="22"/>
        </w:rPr>
        <w:t>boulardii</w:t>
      </w:r>
      <w:proofErr w:type="spellEnd"/>
      <w:r>
        <w:rPr>
          <w:spacing w:val="-3"/>
          <w:sz w:val="22"/>
        </w:rPr>
        <w:t xml:space="preserve"> er forekommet hos svært medtagne patienter.</w:t>
      </w:r>
    </w:p>
    <w:p w:rsidR="00C838A2" w:rsidRDefault="00C838A2" w:rsidP="00E522A4">
      <w:pPr>
        <w:autoSpaceDE w:val="0"/>
        <w:autoSpaceDN w:val="0"/>
        <w:ind w:left="851"/>
        <w:rPr>
          <w:sz w:val="24"/>
          <w:szCs w:val="24"/>
          <w:u w:val="single"/>
        </w:rPr>
      </w:pPr>
    </w:p>
    <w:p w:rsidR="00E522A4" w:rsidRPr="003D2968" w:rsidRDefault="00E522A4" w:rsidP="00E522A4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D2968">
        <w:rPr>
          <w:sz w:val="24"/>
          <w:szCs w:val="24"/>
          <w:u w:val="single"/>
        </w:rPr>
        <w:t>Indberetning af formodede bivirkninger</w:t>
      </w:r>
    </w:p>
    <w:p w:rsidR="00E522A4" w:rsidRPr="003D2968" w:rsidRDefault="00E522A4" w:rsidP="00E522A4">
      <w:pPr>
        <w:ind w:left="851"/>
        <w:rPr>
          <w:sz w:val="24"/>
          <w:szCs w:val="24"/>
        </w:rPr>
      </w:pPr>
      <w:r w:rsidRPr="003D2968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D2968">
        <w:rPr>
          <w:sz w:val="24"/>
          <w:szCs w:val="24"/>
        </w:rPr>
        <w:t>risk</w:t>
      </w:r>
      <w:proofErr w:type="spellEnd"/>
      <w:r w:rsidRPr="003D2968">
        <w:rPr>
          <w:sz w:val="24"/>
          <w:szCs w:val="24"/>
        </w:rPr>
        <w:t>-forholdet for lægemidlet. Sundhedspersoner anmodes om at indberette alle formodede bivirkninger via:</w:t>
      </w:r>
    </w:p>
    <w:p w:rsidR="00E522A4" w:rsidRPr="003D2968" w:rsidRDefault="00E522A4" w:rsidP="00E522A4">
      <w:pPr>
        <w:ind w:left="851"/>
        <w:rPr>
          <w:sz w:val="24"/>
          <w:szCs w:val="24"/>
        </w:rPr>
      </w:pPr>
    </w:p>
    <w:p w:rsidR="00E522A4" w:rsidRPr="003D2968" w:rsidRDefault="00E522A4" w:rsidP="00E522A4">
      <w:pPr>
        <w:ind w:left="851"/>
        <w:rPr>
          <w:sz w:val="24"/>
          <w:szCs w:val="24"/>
        </w:rPr>
      </w:pPr>
      <w:r w:rsidRPr="003D2968">
        <w:rPr>
          <w:sz w:val="24"/>
          <w:szCs w:val="24"/>
        </w:rPr>
        <w:t>Lægemiddelstyrelsen</w:t>
      </w:r>
    </w:p>
    <w:p w:rsidR="00E522A4" w:rsidRPr="003D2968" w:rsidRDefault="00E522A4" w:rsidP="00E522A4">
      <w:pPr>
        <w:ind w:left="851"/>
        <w:rPr>
          <w:sz w:val="24"/>
          <w:szCs w:val="24"/>
        </w:rPr>
      </w:pPr>
      <w:r w:rsidRPr="003D2968">
        <w:rPr>
          <w:sz w:val="24"/>
          <w:szCs w:val="24"/>
        </w:rPr>
        <w:t>Axel Heides Gade 1</w:t>
      </w:r>
    </w:p>
    <w:p w:rsidR="00E522A4" w:rsidRPr="003D2968" w:rsidRDefault="00E522A4" w:rsidP="00E522A4">
      <w:pPr>
        <w:ind w:left="851"/>
        <w:rPr>
          <w:sz w:val="24"/>
          <w:szCs w:val="24"/>
        </w:rPr>
      </w:pPr>
      <w:r w:rsidRPr="003D2968">
        <w:rPr>
          <w:sz w:val="24"/>
          <w:szCs w:val="24"/>
        </w:rPr>
        <w:t>DK-2300 København S</w:t>
      </w:r>
    </w:p>
    <w:p w:rsidR="00E522A4" w:rsidRPr="003D2968" w:rsidRDefault="00E522A4" w:rsidP="00E522A4">
      <w:pPr>
        <w:ind w:left="851"/>
        <w:rPr>
          <w:sz w:val="24"/>
          <w:szCs w:val="24"/>
        </w:rPr>
      </w:pPr>
      <w:r w:rsidRPr="003D2968">
        <w:rPr>
          <w:sz w:val="24"/>
          <w:szCs w:val="24"/>
        </w:rPr>
        <w:t xml:space="preserve">Websted: </w:t>
      </w:r>
      <w:hyperlink r:id="rId8" w:history="1">
        <w:r w:rsidRPr="003D2968">
          <w:rPr>
            <w:rStyle w:val="Hyperlink"/>
            <w:sz w:val="24"/>
            <w:szCs w:val="24"/>
          </w:rPr>
          <w:t>www.meldenbivirkning.dk</w:t>
        </w:r>
      </w:hyperlink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65343D" w:rsidRPr="003D2968" w:rsidRDefault="0065343D" w:rsidP="006534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4.9</w:t>
      </w:r>
      <w:r w:rsidRPr="003D2968">
        <w:rPr>
          <w:b/>
          <w:sz w:val="24"/>
          <w:szCs w:val="24"/>
        </w:rPr>
        <w:tab/>
        <w:t>Overdosering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z w:val="24"/>
          <w:szCs w:val="24"/>
        </w:rPr>
      </w:pPr>
      <w:r w:rsidRPr="003D2968">
        <w:rPr>
          <w:spacing w:val="-3"/>
          <w:sz w:val="24"/>
          <w:szCs w:val="24"/>
        </w:rPr>
        <w:tab/>
      </w:r>
      <w:r w:rsidRPr="003D2968">
        <w:rPr>
          <w:sz w:val="24"/>
          <w:szCs w:val="24"/>
        </w:rPr>
        <w:t>Der er ikke indberettet tilfælde af overdosering.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</w:p>
    <w:p w:rsidR="0065343D" w:rsidRPr="003D2968" w:rsidRDefault="0065343D" w:rsidP="006534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4.10</w:t>
      </w:r>
      <w:r w:rsidRPr="003D2968">
        <w:rPr>
          <w:b/>
          <w:sz w:val="24"/>
          <w:szCs w:val="24"/>
        </w:rPr>
        <w:tab/>
        <w:t>Udlevering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>B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EF0F41" w:rsidRPr="003D2968" w:rsidRDefault="0065343D" w:rsidP="000A45F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5.</w:t>
      </w:r>
      <w:r w:rsidRPr="003D2968">
        <w:rPr>
          <w:b/>
          <w:sz w:val="24"/>
          <w:szCs w:val="24"/>
        </w:rPr>
        <w:tab/>
        <w:t>FARMAKOLOGISKE EGENSKABER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65343D" w:rsidRPr="003D2968" w:rsidRDefault="0065343D" w:rsidP="0065343D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lastRenderedPageBreak/>
        <w:t>5.1</w:t>
      </w:r>
      <w:r w:rsidRPr="003D2968">
        <w:rPr>
          <w:b/>
          <w:sz w:val="24"/>
          <w:szCs w:val="24"/>
        </w:rPr>
        <w:tab/>
      </w:r>
      <w:proofErr w:type="spellStart"/>
      <w:r w:rsidRPr="003D2968">
        <w:rPr>
          <w:b/>
          <w:sz w:val="24"/>
          <w:szCs w:val="24"/>
        </w:rPr>
        <w:t>Farmakodynamiske</w:t>
      </w:r>
      <w:proofErr w:type="spellEnd"/>
      <w:r w:rsidRPr="003D2968">
        <w:rPr>
          <w:b/>
          <w:sz w:val="24"/>
          <w:szCs w:val="24"/>
        </w:rPr>
        <w:t xml:space="preserve"> egenskaber</w:t>
      </w:r>
    </w:p>
    <w:p w:rsidR="000A45FF" w:rsidRPr="003D2968" w:rsidRDefault="00EF0F41" w:rsidP="000A45FF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</w:r>
      <w:proofErr w:type="spellStart"/>
      <w:r w:rsidR="000A45FF" w:rsidRPr="003D2968">
        <w:rPr>
          <w:sz w:val="24"/>
          <w:szCs w:val="24"/>
        </w:rPr>
        <w:t>Farmakoterapeutisk</w:t>
      </w:r>
      <w:proofErr w:type="spellEnd"/>
      <w:r w:rsidR="000A45FF" w:rsidRPr="003D2968">
        <w:rPr>
          <w:sz w:val="24"/>
          <w:szCs w:val="24"/>
        </w:rPr>
        <w:t xml:space="preserve"> klassifikation: </w:t>
      </w:r>
      <w:r w:rsidR="000A45FF" w:rsidRPr="003D2968">
        <w:rPr>
          <w:spacing w:val="-3"/>
          <w:sz w:val="24"/>
          <w:szCs w:val="24"/>
        </w:rPr>
        <w:t>Mikroorganismer med virkning mod dia</w:t>
      </w:r>
      <w:r w:rsidR="00C838A2">
        <w:rPr>
          <w:spacing w:val="-3"/>
          <w:sz w:val="24"/>
          <w:szCs w:val="24"/>
        </w:rPr>
        <w:t>r</w:t>
      </w:r>
      <w:r w:rsidR="000A45FF" w:rsidRPr="003D2968">
        <w:rPr>
          <w:spacing w:val="-3"/>
          <w:sz w:val="24"/>
          <w:szCs w:val="24"/>
        </w:rPr>
        <w:t>ré.</w:t>
      </w:r>
    </w:p>
    <w:p w:rsidR="000A45FF" w:rsidRPr="003D2968" w:rsidRDefault="000A45FF" w:rsidP="000A45FF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>ATC-kode: A 07 FA 02.</w:t>
      </w:r>
    </w:p>
    <w:p w:rsidR="000A45FF" w:rsidRPr="003D2968" w:rsidRDefault="000A45FF" w:rsidP="00FC0061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</w:p>
    <w:p w:rsidR="00C838A2" w:rsidRDefault="000A45FF" w:rsidP="00C838A2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2"/>
          <w:lang w:eastAsia="da-DK"/>
        </w:rPr>
      </w:pPr>
      <w:r w:rsidRPr="003D2968">
        <w:rPr>
          <w:i/>
          <w:spacing w:val="-3"/>
          <w:sz w:val="24"/>
          <w:szCs w:val="24"/>
        </w:rPr>
        <w:tab/>
      </w:r>
      <w:proofErr w:type="spellStart"/>
      <w:r w:rsidR="00C838A2">
        <w:rPr>
          <w:i/>
          <w:spacing w:val="-3"/>
          <w:sz w:val="22"/>
        </w:rPr>
        <w:t>Saccharomyces</w:t>
      </w:r>
      <w:proofErr w:type="spellEnd"/>
      <w:r w:rsidR="00C838A2">
        <w:rPr>
          <w:i/>
          <w:spacing w:val="-3"/>
          <w:sz w:val="22"/>
        </w:rPr>
        <w:t xml:space="preserve"> </w:t>
      </w:r>
      <w:proofErr w:type="spellStart"/>
      <w:r w:rsidR="00C838A2">
        <w:rPr>
          <w:i/>
          <w:spacing w:val="-3"/>
          <w:sz w:val="22"/>
        </w:rPr>
        <w:t>boulardii</w:t>
      </w:r>
      <w:proofErr w:type="spellEnd"/>
      <w:r w:rsidR="00C838A2">
        <w:rPr>
          <w:spacing w:val="-3"/>
          <w:sz w:val="22"/>
        </w:rPr>
        <w:t xml:space="preserve"> er en gærsvamp, som har terapeutisk og/eller profylaktisk effekt mod </w:t>
      </w:r>
      <w:r w:rsidR="00C838A2">
        <w:rPr>
          <w:spacing w:val="-3"/>
          <w:sz w:val="22"/>
          <w:szCs w:val="22"/>
        </w:rPr>
        <w:t>diarrétilstande</w:t>
      </w:r>
      <w:r w:rsidR="00C838A2">
        <w:rPr>
          <w:spacing w:val="-3"/>
          <w:sz w:val="22"/>
        </w:rPr>
        <w:t xml:space="preserve">, forårsaget frem for alt af </w:t>
      </w:r>
      <w:proofErr w:type="spellStart"/>
      <w:r w:rsidR="00C838A2">
        <w:rPr>
          <w:i/>
          <w:spacing w:val="-3"/>
          <w:sz w:val="22"/>
        </w:rPr>
        <w:t>Clostridium</w:t>
      </w:r>
      <w:proofErr w:type="spellEnd"/>
      <w:r w:rsidR="00C838A2">
        <w:rPr>
          <w:i/>
          <w:spacing w:val="-3"/>
          <w:sz w:val="22"/>
        </w:rPr>
        <w:t xml:space="preserve"> difficile</w:t>
      </w:r>
      <w:r w:rsidR="00C838A2">
        <w:rPr>
          <w:spacing w:val="-3"/>
          <w:sz w:val="22"/>
        </w:rPr>
        <w:t xml:space="preserve">. I dyreforsøg er effekten også vist på </w:t>
      </w:r>
      <w:r w:rsidR="00C838A2">
        <w:rPr>
          <w:spacing w:val="-3"/>
          <w:sz w:val="22"/>
          <w:szCs w:val="22"/>
        </w:rPr>
        <w:t>diarréer</w:t>
      </w:r>
      <w:r w:rsidR="00C838A2">
        <w:rPr>
          <w:spacing w:val="-3"/>
          <w:sz w:val="22"/>
        </w:rPr>
        <w:t xml:space="preserve"> fremkaldt af </w:t>
      </w:r>
      <w:proofErr w:type="spellStart"/>
      <w:r w:rsidR="00C838A2">
        <w:rPr>
          <w:spacing w:val="-3"/>
          <w:sz w:val="22"/>
        </w:rPr>
        <w:t>enterotoksindannende</w:t>
      </w:r>
      <w:proofErr w:type="spellEnd"/>
      <w:r w:rsidR="00C838A2">
        <w:rPr>
          <w:spacing w:val="-3"/>
          <w:sz w:val="22"/>
        </w:rPr>
        <w:t xml:space="preserve"> </w:t>
      </w:r>
      <w:r w:rsidR="00C838A2">
        <w:rPr>
          <w:i/>
          <w:spacing w:val="-3"/>
          <w:sz w:val="22"/>
        </w:rPr>
        <w:t>E. coli</w:t>
      </w:r>
      <w:r w:rsidR="00C838A2">
        <w:rPr>
          <w:spacing w:val="-3"/>
          <w:sz w:val="22"/>
        </w:rPr>
        <w:t xml:space="preserve">, </w:t>
      </w:r>
      <w:proofErr w:type="spellStart"/>
      <w:r w:rsidR="00C838A2">
        <w:rPr>
          <w:i/>
          <w:spacing w:val="-3"/>
          <w:sz w:val="22"/>
        </w:rPr>
        <w:t>Vibrio</w:t>
      </w:r>
      <w:proofErr w:type="spellEnd"/>
      <w:r w:rsidR="00C838A2">
        <w:rPr>
          <w:i/>
          <w:spacing w:val="-3"/>
          <w:sz w:val="22"/>
        </w:rPr>
        <w:t xml:space="preserve"> </w:t>
      </w:r>
      <w:proofErr w:type="spellStart"/>
      <w:r w:rsidR="00C838A2">
        <w:rPr>
          <w:i/>
          <w:spacing w:val="-3"/>
          <w:sz w:val="22"/>
        </w:rPr>
        <w:t>chloera</w:t>
      </w:r>
      <w:proofErr w:type="spellEnd"/>
      <w:r w:rsidR="00C838A2">
        <w:rPr>
          <w:spacing w:val="-3"/>
          <w:sz w:val="22"/>
        </w:rPr>
        <w:t xml:space="preserve"> og </w:t>
      </w:r>
      <w:proofErr w:type="spellStart"/>
      <w:r w:rsidR="00C838A2">
        <w:rPr>
          <w:i/>
          <w:spacing w:val="-3"/>
          <w:sz w:val="22"/>
        </w:rPr>
        <w:t>Entamoeba</w:t>
      </w:r>
      <w:proofErr w:type="spellEnd"/>
      <w:r w:rsidR="00C838A2">
        <w:rPr>
          <w:i/>
          <w:spacing w:val="-3"/>
          <w:sz w:val="22"/>
        </w:rPr>
        <w:t xml:space="preserve"> </w:t>
      </w:r>
      <w:proofErr w:type="spellStart"/>
      <w:r w:rsidR="00C838A2">
        <w:rPr>
          <w:i/>
          <w:spacing w:val="-3"/>
          <w:sz w:val="22"/>
        </w:rPr>
        <w:t>histolytica</w:t>
      </w:r>
      <w:proofErr w:type="spellEnd"/>
      <w:r w:rsidR="00C838A2">
        <w:rPr>
          <w:spacing w:val="-3"/>
          <w:sz w:val="22"/>
        </w:rPr>
        <w:t>.</w:t>
      </w:r>
    </w:p>
    <w:p w:rsidR="00EF0F41" w:rsidRPr="003D2968" w:rsidRDefault="00EF0F41" w:rsidP="00C838A2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</w:p>
    <w:p w:rsidR="00EF0F41" w:rsidRPr="003D2968" w:rsidRDefault="00EF0F41" w:rsidP="00FC0061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</w:r>
      <w:proofErr w:type="spellStart"/>
      <w:r w:rsidRPr="003D2968">
        <w:rPr>
          <w:i/>
          <w:spacing w:val="-3"/>
          <w:sz w:val="24"/>
          <w:szCs w:val="24"/>
        </w:rPr>
        <w:t>Saccharomyces</w:t>
      </w:r>
      <w:proofErr w:type="spellEnd"/>
      <w:r w:rsidRPr="003D2968">
        <w:rPr>
          <w:i/>
          <w:spacing w:val="-3"/>
          <w:sz w:val="24"/>
          <w:szCs w:val="24"/>
        </w:rPr>
        <w:t xml:space="preserve"> </w:t>
      </w:r>
      <w:proofErr w:type="spellStart"/>
      <w:r w:rsidRPr="003D2968">
        <w:rPr>
          <w:i/>
          <w:spacing w:val="-3"/>
          <w:sz w:val="24"/>
          <w:szCs w:val="24"/>
        </w:rPr>
        <w:t>boulardii</w:t>
      </w:r>
      <w:proofErr w:type="spellEnd"/>
      <w:r w:rsidRPr="003D2968">
        <w:rPr>
          <w:spacing w:val="-3"/>
          <w:sz w:val="24"/>
          <w:szCs w:val="24"/>
        </w:rPr>
        <w:t xml:space="preserve"> har flere virkningsmekanismer. Den mest betydningsfulde egenskab er sandsynligvis blokering af toksinreceptorer i tarmen samt hæmmende virkning mod visse </w:t>
      </w:r>
      <w:proofErr w:type="spellStart"/>
      <w:r w:rsidRPr="003D2968">
        <w:rPr>
          <w:spacing w:val="-3"/>
          <w:sz w:val="24"/>
          <w:szCs w:val="24"/>
        </w:rPr>
        <w:t>enteropatogener</w:t>
      </w:r>
      <w:proofErr w:type="spellEnd"/>
      <w:r w:rsidRPr="003D2968">
        <w:rPr>
          <w:spacing w:val="-3"/>
          <w:sz w:val="24"/>
          <w:szCs w:val="24"/>
        </w:rPr>
        <w:t xml:space="preserve"> (</w:t>
      </w:r>
      <w:r w:rsidRPr="003D2968">
        <w:rPr>
          <w:i/>
          <w:spacing w:val="-3"/>
          <w:sz w:val="24"/>
          <w:szCs w:val="24"/>
        </w:rPr>
        <w:t>E. coli</w:t>
      </w:r>
      <w:r w:rsidRPr="003D2968">
        <w:rPr>
          <w:spacing w:val="-3"/>
          <w:sz w:val="24"/>
          <w:szCs w:val="24"/>
        </w:rPr>
        <w:t xml:space="preserve">, </w:t>
      </w:r>
      <w:proofErr w:type="spellStart"/>
      <w:r w:rsidRPr="003D2968">
        <w:rPr>
          <w:i/>
          <w:spacing w:val="-3"/>
          <w:sz w:val="24"/>
          <w:szCs w:val="24"/>
        </w:rPr>
        <w:t>Shigella</w:t>
      </w:r>
      <w:proofErr w:type="spellEnd"/>
      <w:r w:rsidRPr="003D2968">
        <w:rPr>
          <w:spacing w:val="-3"/>
          <w:sz w:val="24"/>
          <w:szCs w:val="24"/>
        </w:rPr>
        <w:t xml:space="preserve">, </w:t>
      </w:r>
      <w:r w:rsidRPr="003D2968">
        <w:rPr>
          <w:i/>
          <w:spacing w:val="-3"/>
          <w:sz w:val="24"/>
          <w:szCs w:val="24"/>
        </w:rPr>
        <w:t>Salmonella</w:t>
      </w:r>
      <w:r w:rsidRPr="003D2968">
        <w:rPr>
          <w:spacing w:val="-3"/>
          <w:sz w:val="24"/>
          <w:szCs w:val="24"/>
        </w:rPr>
        <w:t xml:space="preserve">, </w:t>
      </w:r>
      <w:r w:rsidRPr="003D2968">
        <w:rPr>
          <w:i/>
          <w:spacing w:val="-3"/>
          <w:sz w:val="24"/>
          <w:szCs w:val="24"/>
        </w:rPr>
        <w:t>Stafylokokker</w:t>
      </w:r>
      <w:r w:rsidRPr="003D2968">
        <w:rPr>
          <w:spacing w:val="-3"/>
          <w:sz w:val="24"/>
          <w:szCs w:val="24"/>
        </w:rPr>
        <w:t xml:space="preserve">). Endvidere har </w:t>
      </w:r>
      <w:proofErr w:type="spellStart"/>
      <w:r w:rsidRPr="003D2968">
        <w:rPr>
          <w:i/>
          <w:spacing w:val="-3"/>
          <w:sz w:val="24"/>
          <w:szCs w:val="24"/>
        </w:rPr>
        <w:t>Saccharomyces</w:t>
      </w:r>
      <w:proofErr w:type="spellEnd"/>
      <w:r w:rsidRPr="003D2968">
        <w:rPr>
          <w:i/>
          <w:spacing w:val="-3"/>
          <w:sz w:val="24"/>
          <w:szCs w:val="24"/>
        </w:rPr>
        <w:t xml:space="preserve"> </w:t>
      </w:r>
      <w:proofErr w:type="spellStart"/>
      <w:r w:rsidRPr="003D2968">
        <w:rPr>
          <w:i/>
          <w:spacing w:val="-3"/>
          <w:sz w:val="24"/>
          <w:szCs w:val="24"/>
        </w:rPr>
        <w:t>boulardii</w:t>
      </w:r>
      <w:proofErr w:type="spellEnd"/>
      <w:r w:rsidRPr="003D2968">
        <w:rPr>
          <w:spacing w:val="-3"/>
          <w:sz w:val="24"/>
          <w:szCs w:val="24"/>
        </w:rPr>
        <w:t xml:space="preserve"> i dyreforsøg vist at inducere </w:t>
      </w:r>
      <w:proofErr w:type="spellStart"/>
      <w:r w:rsidRPr="003D2968">
        <w:rPr>
          <w:spacing w:val="-3"/>
          <w:sz w:val="24"/>
          <w:szCs w:val="24"/>
        </w:rPr>
        <w:t>sekretorisk</w:t>
      </w:r>
      <w:proofErr w:type="spellEnd"/>
      <w:r w:rsidRPr="003D2968">
        <w:rPr>
          <w:spacing w:val="-3"/>
          <w:sz w:val="24"/>
          <w:szCs w:val="24"/>
        </w:rPr>
        <w:t xml:space="preserve"> </w:t>
      </w:r>
      <w:proofErr w:type="spellStart"/>
      <w:r w:rsidRPr="003D2968">
        <w:rPr>
          <w:spacing w:val="-3"/>
          <w:sz w:val="24"/>
          <w:szCs w:val="24"/>
        </w:rPr>
        <w:t>IgA</w:t>
      </w:r>
      <w:proofErr w:type="spellEnd"/>
      <w:r w:rsidRPr="003D2968">
        <w:rPr>
          <w:spacing w:val="-3"/>
          <w:sz w:val="24"/>
          <w:szCs w:val="24"/>
        </w:rPr>
        <w:t xml:space="preserve"> i </w:t>
      </w:r>
      <w:proofErr w:type="spellStart"/>
      <w:r w:rsidRPr="003D2968">
        <w:rPr>
          <w:spacing w:val="-3"/>
          <w:sz w:val="24"/>
          <w:szCs w:val="24"/>
        </w:rPr>
        <w:t>tarmmucosa</w:t>
      </w:r>
      <w:proofErr w:type="spellEnd"/>
      <w:r w:rsidRPr="003D2968">
        <w:rPr>
          <w:spacing w:val="-3"/>
          <w:sz w:val="24"/>
          <w:szCs w:val="24"/>
        </w:rPr>
        <w:t>.</w:t>
      </w:r>
    </w:p>
    <w:p w:rsidR="00EF0F41" w:rsidRPr="003D2968" w:rsidRDefault="00EF0F41" w:rsidP="00FC0061">
      <w:pPr>
        <w:tabs>
          <w:tab w:val="left" w:pos="0"/>
          <w:tab w:val="left" w:pos="851"/>
          <w:tab w:val="left" w:pos="1622"/>
        </w:tabs>
        <w:rPr>
          <w:spacing w:val="-3"/>
          <w:sz w:val="24"/>
          <w:szCs w:val="24"/>
        </w:rPr>
      </w:pPr>
    </w:p>
    <w:p w:rsidR="00C838A2" w:rsidRDefault="00EF0F41" w:rsidP="00C838A2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2"/>
        </w:rPr>
      </w:pPr>
      <w:r w:rsidRPr="003D2968">
        <w:rPr>
          <w:spacing w:val="-3"/>
          <w:sz w:val="24"/>
          <w:szCs w:val="24"/>
        </w:rPr>
        <w:tab/>
      </w:r>
      <w:proofErr w:type="spellStart"/>
      <w:r w:rsidR="00C838A2">
        <w:rPr>
          <w:i/>
          <w:spacing w:val="-3"/>
          <w:sz w:val="22"/>
        </w:rPr>
        <w:t>Saccharomyces</w:t>
      </w:r>
      <w:proofErr w:type="spellEnd"/>
      <w:r w:rsidR="00C838A2">
        <w:rPr>
          <w:i/>
          <w:spacing w:val="-3"/>
          <w:sz w:val="22"/>
        </w:rPr>
        <w:t xml:space="preserve"> </w:t>
      </w:r>
      <w:proofErr w:type="spellStart"/>
      <w:r w:rsidR="00C838A2">
        <w:rPr>
          <w:i/>
          <w:spacing w:val="-3"/>
          <w:sz w:val="22"/>
        </w:rPr>
        <w:t>boulardii</w:t>
      </w:r>
      <w:proofErr w:type="spellEnd"/>
      <w:r w:rsidR="00C838A2">
        <w:rPr>
          <w:spacing w:val="-3"/>
          <w:sz w:val="22"/>
        </w:rPr>
        <w:t xml:space="preserve"> påvirkes ikke af pH-værdien i </w:t>
      </w:r>
      <w:proofErr w:type="spellStart"/>
      <w:r w:rsidR="00C838A2">
        <w:rPr>
          <w:spacing w:val="-3"/>
          <w:sz w:val="22"/>
        </w:rPr>
        <w:t>mave-tarmkanalen</w:t>
      </w:r>
      <w:proofErr w:type="spellEnd"/>
      <w:r w:rsidR="00C838A2">
        <w:rPr>
          <w:spacing w:val="-3"/>
          <w:sz w:val="22"/>
        </w:rPr>
        <w:t xml:space="preserve"> og er sædvanligvis resistente mod antibiotika. </w:t>
      </w:r>
      <w:proofErr w:type="spellStart"/>
      <w:r w:rsidR="00C838A2">
        <w:rPr>
          <w:spacing w:val="-3"/>
          <w:sz w:val="22"/>
        </w:rPr>
        <w:t>Precosa</w:t>
      </w:r>
      <w:proofErr w:type="spellEnd"/>
      <w:r w:rsidR="00C838A2">
        <w:rPr>
          <w:spacing w:val="-3"/>
          <w:sz w:val="22"/>
        </w:rPr>
        <w:t xml:space="preserve"> kan således gives under igang</w:t>
      </w:r>
      <w:r w:rsidR="00C838A2">
        <w:rPr>
          <w:spacing w:val="-3"/>
          <w:sz w:val="22"/>
        </w:rPr>
        <w:softHyphen/>
        <w:t xml:space="preserve">værende antibiotikaterapi for at forebygge eller behandle antibiotika-associeret </w:t>
      </w:r>
      <w:r w:rsidR="00C838A2">
        <w:rPr>
          <w:spacing w:val="-3"/>
          <w:sz w:val="22"/>
          <w:szCs w:val="22"/>
        </w:rPr>
        <w:t>diarré</w:t>
      </w:r>
      <w:r w:rsidR="00C838A2">
        <w:rPr>
          <w:spacing w:val="-3"/>
          <w:sz w:val="22"/>
        </w:rPr>
        <w:t xml:space="preserve">. Ligeledes kan </w:t>
      </w:r>
      <w:proofErr w:type="spellStart"/>
      <w:r w:rsidR="00C838A2">
        <w:rPr>
          <w:spacing w:val="-3"/>
          <w:sz w:val="22"/>
        </w:rPr>
        <w:t>Precosa</w:t>
      </w:r>
      <w:proofErr w:type="spellEnd"/>
      <w:r w:rsidR="00C838A2">
        <w:rPr>
          <w:spacing w:val="-3"/>
          <w:sz w:val="22"/>
        </w:rPr>
        <w:t xml:space="preserve"> gives i kombination med antibiotika for at forebygge </w:t>
      </w:r>
      <w:proofErr w:type="spellStart"/>
      <w:r w:rsidR="00C838A2">
        <w:rPr>
          <w:i/>
          <w:spacing w:val="-3"/>
          <w:sz w:val="22"/>
        </w:rPr>
        <w:t>Clostridium</w:t>
      </w:r>
      <w:proofErr w:type="spellEnd"/>
      <w:r w:rsidR="00C838A2">
        <w:rPr>
          <w:i/>
          <w:spacing w:val="-3"/>
          <w:sz w:val="22"/>
        </w:rPr>
        <w:t xml:space="preserve"> difficile</w:t>
      </w:r>
      <w:r w:rsidR="00C838A2">
        <w:rPr>
          <w:spacing w:val="-3"/>
          <w:sz w:val="22"/>
        </w:rPr>
        <w:t>-</w:t>
      </w:r>
      <w:r w:rsidR="00C838A2">
        <w:rPr>
          <w:spacing w:val="-3"/>
          <w:sz w:val="22"/>
          <w:szCs w:val="22"/>
        </w:rPr>
        <w:t>diarré</w:t>
      </w:r>
      <w:r w:rsidR="00C838A2">
        <w:rPr>
          <w:spacing w:val="-3"/>
          <w:sz w:val="22"/>
        </w:rPr>
        <w:t>.</w:t>
      </w:r>
    </w:p>
    <w:p w:rsidR="00C838A2" w:rsidRDefault="00C838A2" w:rsidP="00C838A2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2"/>
          <w:lang w:eastAsia="da-DK"/>
        </w:rPr>
      </w:pPr>
    </w:p>
    <w:p w:rsidR="0065343D" w:rsidRPr="003D2968" w:rsidRDefault="0065343D" w:rsidP="00C838A2">
      <w:pPr>
        <w:tabs>
          <w:tab w:val="left" w:pos="0"/>
          <w:tab w:val="left" w:pos="851"/>
          <w:tab w:val="left" w:pos="1622"/>
        </w:tabs>
        <w:ind w:left="850" w:hanging="850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5.2</w:t>
      </w:r>
      <w:r w:rsidRPr="003D2968">
        <w:rPr>
          <w:b/>
          <w:sz w:val="24"/>
          <w:szCs w:val="24"/>
        </w:rPr>
        <w:tab/>
      </w:r>
      <w:proofErr w:type="spellStart"/>
      <w:r w:rsidRPr="003D2968">
        <w:rPr>
          <w:b/>
          <w:sz w:val="24"/>
          <w:szCs w:val="24"/>
        </w:rPr>
        <w:t>Farmakokinetiske</w:t>
      </w:r>
      <w:proofErr w:type="spellEnd"/>
      <w:r w:rsidRPr="003D2968">
        <w:rPr>
          <w:b/>
          <w:sz w:val="24"/>
          <w:szCs w:val="24"/>
        </w:rPr>
        <w:t xml:space="preserve"> egenskaber</w:t>
      </w:r>
    </w:p>
    <w:p w:rsidR="00C838A2" w:rsidRDefault="00EF0F41" w:rsidP="00C838A2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2"/>
          <w:lang w:eastAsia="da-DK"/>
        </w:rPr>
      </w:pPr>
      <w:r w:rsidRPr="003D2968">
        <w:rPr>
          <w:spacing w:val="-3"/>
          <w:sz w:val="24"/>
          <w:szCs w:val="24"/>
        </w:rPr>
        <w:tab/>
      </w:r>
      <w:proofErr w:type="spellStart"/>
      <w:r w:rsidR="00C838A2">
        <w:rPr>
          <w:i/>
          <w:spacing w:val="-3"/>
          <w:sz w:val="22"/>
        </w:rPr>
        <w:t>Saccharomyces</w:t>
      </w:r>
      <w:proofErr w:type="spellEnd"/>
      <w:r w:rsidR="00C838A2">
        <w:rPr>
          <w:i/>
          <w:spacing w:val="-3"/>
          <w:sz w:val="22"/>
        </w:rPr>
        <w:t xml:space="preserve"> </w:t>
      </w:r>
      <w:proofErr w:type="spellStart"/>
      <w:r w:rsidR="00C838A2">
        <w:rPr>
          <w:i/>
          <w:spacing w:val="-3"/>
          <w:sz w:val="22"/>
        </w:rPr>
        <w:t>boulardii</w:t>
      </w:r>
      <w:proofErr w:type="spellEnd"/>
      <w:r w:rsidR="00C838A2">
        <w:rPr>
          <w:spacing w:val="-3"/>
          <w:sz w:val="22"/>
        </w:rPr>
        <w:t xml:space="preserve"> absorberes ikke fra </w:t>
      </w:r>
      <w:proofErr w:type="spellStart"/>
      <w:r w:rsidR="00C838A2">
        <w:rPr>
          <w:spacing w:val="-3"/>
          <w:sz w:val="22"/>
        </w:rPr>
        <w:t>mave-</w:t>
      </w:r>
      <w:r w:rsidR="00C838A2">
        <w:rPr>
          <w:spacing w:val="-3"/>
          <w:sz w:val="22"/>
          <w:szCs w:val="22"/>
        </w:rPr>
        <w:t>tarmkanalen</w:t>
      </w:r>
      <w:proofErr w:type="spellEnd"/>
      <w:r w:rsidR="00C838A2">
        <w:rPr>
          <w:spacing w:val="-3"/>
          <w:sz w:val="22"/>
        </w:rPr>
        <w:t>.</w:t>
      </w:r>
    </w:p>
    <w:p w:rsidR="00C838A2" w:rsidRDefault="00C838A2" w:rsidP="00C838A2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2"/>
        </w:rPr>
      </w:pPr>
      <w:r>
        <w:rPr>
          <w:spacing w:val="-3"/>
          <w:sz w:val="22"/>
        </w:rPr>
        <w:tab/>
        <w:t xml:space="preserve">Halveringstiden er 3-9 timer, afhængig af given dosis. </w:t>
      </w:r>
      <w:proofErr w:type="spellStart"/>
      <w:r>
        <w:rPr>
          <w:spacing w:val="-3"/>
          <w:sz w:val="22"/>
        </w:rPr>
        <w:t>Steady</w:t>
      </w:r>
      <w:proofErr w:type="spellEnd"/>
      <w:r>
        <w:rPr>
          <w:spacing w:val="-3"/>
          <w:sz w:val="22"/>
        </w:rPr>
        <w:t xml:space="preserve"> </w:t>
      </w:r>
      <w:proofErr w:type="spellStart"/>
      <w:r>
        <w:rPr>
          <w:spacing w:val="-3"/>
          <w:sz w:val="22"/>
        </w:rPr>
        <w:t>state</w:t>
      </w:r>
      <w:proofErr w:type="spellEnd"/>
      <w:r>
        <w:rPr>
          <w:spacing w:val="-3"/>
          <w:sz w:val="22"/>
        </w:rPr>
        <w:t xml:space="preserve"> opnås efter 3-5 dage. Risikoen for tilvækst af antallet af gærceller under passagen gennem </w:t>
      </w:r>
      <w:proofErr w:type="spellStart"/>
      <w:r>
        <w:rPr>
          <w:spacing w:val="-3"/>
          <w:sz w:val="22"/>
        </w:rPr>
        <w:t>mave-</w:t>
      </w:r>
      <w:r>
        <w:rPr>
          <w:spacing w:val="-3"/>
          <w:sz w:val="22"/>
          <w:szCs w:val="22"/>
        </w:rPr>
        <w:t>tarmkanalen</w:t>
      </w:r>
      <w:proofErr w:type="spellEnd"/>
      <w:r>
        <w:rPr>
          <w:spacing w:val="-3"/>
          <w:sz w:val="22"/>
        </w:rPr>
        <w:t xml:space="preserve"> er ikke stor. Antallet af levende gærceller i fæces aftager hurtigt efter afsluttet behandling, og 5 dage efter afsluttet behandling er niveauerne under målegrænsen.</w:t>
      </w:r>
    </w:p>
    <w:p w:rsidR="00EF0F41" w:rsidRPr="003D2968" w:rsidRDefault="00EF0F41" w:rsidP="00C838A2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</w:p>
    <w:p w:rsidR="0065343D" w:rsidRPr="003D2968" w:rsidRDefault="0065343D" w:rsidP="006534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5.3</w:t>
      </w:r>
      <w:r w:rsidRPr="003D2968">
        <w:rPr>
          <w:b/>
          <w:sz w:val="24"/>
          <w:szCs w:val="24"/>
        </w:rPr>
        <w:tab/>
      </w:r>
      <w:r w:rsidR="000A45FF" w:rsidRPr="003D2968">
        <w:rPr>
          <w:b/>
          <w:sz w:val="24"/>
          <w:szCs w:val="24"/>
        </w:rPr>
        <w:t>Non-</w:t>
      </w:r>
      <w:r w:rsidRPr="003D2968">
        <w:rPr>
          <w:b/>
          <w:sz w:val="24"/>
          <w:szCs w:val="24"/>
        </w:rPr>
        <w:t>kliniske sikkerhedsdata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>-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b/>
          <w:spacing w:val="-3"/>
          <w:sz w:val="24"/>
          <w:szCs w:val="24"/>
        </w:rPr>
      </w:pPr>
    </w:p>
    <w:p w:rsidR="006159D9" w:rsidRPr="003D2968" w:rsidRDefault="006159D9" w:rsidP="006159D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6.</w:t>
      </w:r>
      <w:r w:rsidRPr="003D2968">
        <w:rPr>
          <w:b/>
          <w:sz w:val="24"/>
          <w:szCs w:val="24"/>
        </w:rPr>
        <w:tab/>
        <w:t>FARMACEUTISKE OPLYSNINGER</w:t>
      </w:r>
    </w:p>
    <w:p w:rsidR="006159D9" w:rsidRPr="003D2968" w:rsidRDefault="006159D9" w:rsidP="006159D9">
      <w:pPr>
        <w:tabs>
          <w:tab w:val="left" w:pos="851"/>
        </w:tabs>
        <w:ind w:left="851"/>
        <w:rPr>
          <w:sz w:val="24"/>
          <w:szCs w:val="24"/>
        </w:rPr>
      </w:pPr>
    </w:p>
    <w:p w:rsidR="006159D9" w:rsidRPr="003D2968" w:rsidRDefault="006159D9" w:rsidP="006159D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6.1</w:t>
      </w:r>
      <w:r w:rsidRPr="003D2968">
        <w:rPr>
          <w:b/>
          <w:sz w:val="24"/>
          <w:szCs w:val="24"/>
        </w:rPr>
        <w:tab/>
        <w:t>Hjælpestoffer</w:t>
      </w:r>
    </w:p>
    <w:p w:rsidR="00FC0061" w:rsidRPr="003D2968" w:rsidRDefault="00EF0F4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</w:r>
      <w:proofErr w:type="spellStart"/>
      <w:r w:rsidRPr="003D2968">
        <w:rPr>
          <w:spacing w:val="-3"/>
          <w:sz w:val="24"/>
          <w:szCs w:val="24"/>
        </w:rPr>
        <w:t>La</w:t>
      </w:r>
      <w:r w:rsidR="00FC0061" w:rsidRPr="003D2968">
        <w:rPr>
          <w:spacing w:val="-3"/>
          <w:sz w:val="24"/>
          <w:szCs w:val="24"/>
        </w:rPr>
        <w:t>c</w:t>
      </w:r>
      <w:r w:rsidRPr="003D2968">
        <w:rPr>
          <w:spacing w:val="-3"/>
          <w:sz w:val="24"/>
          <w:szCs w:val="24"/>
        </w:rPr>
        <w:t>tose</w:t>
      </w:r>
      <w:proofErr w:type="spellEnd"/>
    </w:p>
    <w:p w:rsidR="00EF0F41" w:rsidRPr="003D2968" w:rsidRDefault="00FC006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</w:r>
      <w:proofErr w:type="spellStart"/>
      <w:r w:rsidRPr="003D2968">
        <w:rPr>
          <w:spacing w:val="-3"/>
          <w:sz w:val="24"/>
          <w:szCs w:val="24"/>
        </w:rPr>
        <w:t>M</w:t>
      </w:r>
      <w:r w:rsidR="00EF0F41" w:rsidRPr="003D2968">
        <w:rPr>
          <w:spacing w:val="-3"/>
          <w:sz w:val="24"/>
          <w:szCs w:val="24"/>
        </w:rPr>
        <w:t>agnesiumstearat</w:t>
      </w:r>
      <w:proofErr w:type="spellEnd"/>
    </w:p>
    <w:p w:rsidR="00FC0061" w:rsidRPr="003D2968" w:rsidRDefault="00FC006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</w:p>
    <w:p w:rsidR="00FC0061" w:rsidRPr="003D2968" w:rsidRDefault="00EF0F4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 xml:space="preserve">Kapselskal: </w:t>
      </w:r>
    </w:p>
    <w:p w:rsidR="00FC0061" w:rsidRPr="003D2968" w:rsidRDefault="00FC006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>G</w:t>
      </w:r>
      <w:r w:rsidR="00EF0F41" w:rsidRPr="003D2968">
        <w:rPr>
          <w:spacing w:val="-3"/>
          <w:sz w:val="24"/>
          <w:szCs w:val="24"/>
        </w:rPr>
        <w:t>elatine</w:t>
      </w:r>
    </w:p>
    <w:p w:rsidR="00EF0F41" w:rsidRPr="003D2968" w:rsidRDefault="00FC006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>T</w:t>
      </w:r>
      <w:r w:rsidR="00EF0F41" w:rsidRPr="003D2968">
        <w:rPr>
          <w:spacing w:val="-3"/>
          <w:sz w:val="24"/>
          <w:szCs w:val="24"/>
        </w:rPr>
        <w:t>itandioxid (E171)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6159D9" w:rsidRPr="003D2968" w:rsidRDefault="006159D9" w:rsidP="006159D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6.2</w:t>
      </w:r>
      <w:r w:rsidRPr="003D2968">
        <w:rPr>
          <w:b/>
          <w:sz w:val="24"/>
          <w:szCs w:val="24"/>
        </w:rPr>
        <w:tab/>
        <w:t>Uforligeligheder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>Ikke relevant.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6159D9" w:rsidRPr="003D2968" w:rsidRDefault="006159D9" w:rsidP="006159D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6.3</w:t>
      </w:r>
      <w:r w:rsidRPr="003D2968">
        <w:rPr>
          <w:b/>
          <w:sz w:val="24"/>
          <w:szCs w:val="24"/>
        </w:rPr>
        <w:tab/>
        <w:t>Opbevaringstid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>3 år.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6159D9" w:rsidRPr="003D2968" w:rsidRDefault="006159D9" w:rsidP="006159D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6.4</w:t>
      </w:r>
      <w:r w:rsidRPr="003D2968">
        <w:rPr>
          <w:b/>
          <w:sz w:val="24"/>
          <w:szCs w:val="24"/>
        </w:rPr>
        <w:tab/>
        <w:t>Særlige opbevaringsforhold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>Ingen.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6159D9" w:rsidRPr="003D2968" w:rsidRDefault="006159D9" w:rsidP="006159D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6.5</w:t>
      </w:r>
      <w:r w:rsidRPr="003D2968">
        <w:rPr>
          <w:b/>
          <w:sz w:val="24"/>
          <w:szCs w:val="24"/>
        </w:rPr>
        <w:tab/>
        <w:t>Emballagetype og pakningsstørrelser</w:t>
      </w:r>
    </w:p>
    <w:p w:rsidR="00EF0F41" w:rsidRPr="003D2968" w:rsidRDefault="00EF0F41" w:rsidP="00FC0061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>Flaske (ufarvet glas).</w:t>
      </w:r>
    </w:p>
    <w:p w:rsidR="00EF0F41" w:rsidRPr="003D2968" w:rsidRDefault="00EF0F41" w:rsidP="00FC0061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</w:p>
    <w:p w:rsidR="00EF0F41" w:rsidRPr="003D2968" w:rsidRDefault="00EF0F41" w:rsidP="00FC0061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 xml:space="preserve">Pakningsstørrelser: 20 og 50 kapsler. </w:t>
      </w:r>
    </w:p>
    <w:p w:rsidR="00EF0F41" w:rsidRPr="003D2968" w:rsidRDefault="00EF0F41" w:rsidP="00FC0061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lastRenderedPageBreak/>
        <w:tab/>
        <w:t>Ikke alle pakningsstørrelser er nødvendigvis markedsført.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</w:p>
    <w:p w:rsidR="006159D9" w:rsidRPr="003D2968" w:rsidRDefault="006159D9" w:rsidP="006159D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6.6</w:t>
      </w:r>
      <w:r w:rsidRPr="003D2968">
        <w:rPr>
          <w:b/>
          <w:sz w:val="24"/>
          <w:szCs w:val="24"/>
        </w:rPr>
        <w:tab/>
        <w:t xml:space="preserve">Regler for </w:t>
      </w:r>
      <w:r w:rsidR="000A45FF" w:rsidRPr="003D2968">
        <w:rPr>
          <w:b/>
          <w:sz w:val="24"/>
          <w:szCs w:val="24"/>
        </w:rPr>
        <w:t>bortskaffelse</w:t>
      </w:r>
      <w:r w:rsidRPr="003D2968">
        <w:rPr>
          <w:b/>
          <w:sz w:val="24"/>
          <w:szCs w:val="24"/>
        </w:rPr>
        <w:t xml:space="preserve"> og anden håndtering</w:t>
      </w:r>
    </w:p>
    <w:p w:rsidR="00EF0F41" w:rsidRPr="003D2968" w:rsidRDefault="00EF0F41" w:rsidP="00FC0061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>Ingen særlige forholdsregler.</w:t>
      </w:r>
    </w:p>
    <w:p w:rsidR="00EF0F41" w:rsidRPr="003D2968" w:rsidRDefault="00EF0F41" w:rsidP="00FC0061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>Ikke anvendt lægemiddel samt affald heraf skal bortskaffes i henhold til lokale retningslinjer.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</w:p>
    <w:p w:rsidR="006159D9" w:rsidRPr="003D2968" w:rsidRDefault="006159D9" w:rsidP="006159D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7.</w:t>
      </w:r>
      <w:r w:rsidRPr="003D2968">
        <w:rPr>
          <w:b/>
          <w:sz w:val="24"/>
          <w:szCs w:val="24"/>
        </w:rPr>
        <w:tab/>
        <w:t>INDEHAVER AF MARKEDSFØRINGSTILLADELSEN</w:t>
      </w:r>
    </w:p>
    <w:p w:rsidR="00EF0F41" w:rsidRPr="003D2968" w:rsidRDefault="00EF0F41" w:rsidP="00FC0061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</w:r>
      <w:proofErr w:type="spellStart"/>
      <w:r w:rsidRPr="003D2968">
        <w:rPr>
          <w:spacing w:val="-3"/>
          <w:sz w:val="24"/>
          <w:szCs w:val="24"/>
        </w:rPr>
        <w:t>Biocodex</w:t>
      </w:r>
      <w:proofErr w:type="spellEnd"/>
    </w:p>
    <w:p w:rsidR="00EF0F41" w:rsidRPr="003D2968" w:rsidRDefault="00EF0F41" w:rsidP="00FC0061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</w:r>
      <w:r w:rsidR="004629E8" w:rsidRPr="003D2968">
        <w:rPr>
          <w:spacing w:val="-3"/>
          <w:sz w:val="24"/>
          <w:szCs w:val="24"/>
        </w:rPr>
        <w:t xml:space="preserve">22 </w:t>
      </w:r>
      <w:proofErr w:type="spellStart"/>
      <w:r w:rsidR="004629E8" w:rsidRPr="003D2968">
        <w:rPr>
          <w:spacing w:val="-3"/>
          <w:sz w:val="24"/>
          <w:szCs w:val="24"/>
        </w:rPr>
        <w:t>rue</w:t>
      </w:r>
      <w:proofErr w:type="spellEnd"/>
      <w:r w:rsidR="004629E8" w:rsidRPr="003D2968">
        <w:rPr>
          <w:spacing w:val="-3"/>
          <w:sz w:val="24"/>
          <w:szCs w:val="24"/>
        </w:rPr>
        <w:t xml:space="preserve"> des </w:t>
      </w:r>
      <w:proofErr w:type="spellStart"/>
      <w:r w:rsidR="004629E8" w:rsidRPr="003D2968">
        <w:rPr>
          <w:spacing w:val="-3"/>
          <w:sz w:val="24"/>
          <w:szCs w:val="24"/>
        </w:rPr>
        <w:t>Aqueducs</w:t>
      </w:r>
      <w:proofErr w:type="spellEnd"/>
    </w:p>
    <w:p w:rsidR="00EF0F41" w:rsidRPr="003D2968" w:rsidRDefault="00EF0F41" w:rsidP="00FC0061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  <w:lang w:val="sv-SE"/>
        </w:rPr>
      </w:pPr>
      <w:r w:rsidRPr="003D2968">
        <w:rPr>
          <w:spacing w:val="-3"/>
          <w:sz w:val="24"/>
          <w:szCs w:val="24"/>
        </w:rPr>
        <w:tab/>
      </w:r>
      <w:proofErr w:type="gramStart"/>
      <w:r w:rsidRPr="003D2968">
        <w:rPr>
          <w:spacing w:val="-3"/>
          <w:sz w:val="24"/>
          <w:szCs w:val="24"/>
          <w:lang w:val="sv-SE"/>
        </w:rPr>
        <w:t>94250</w:t>
      </w:r>
      <w:proofErr w:type="gramEnd"/>
      <w:r w:rsidRPr="003D2968">
        <w:rPr>
          <w:spacing w:val="-3"/>
          <w:sz w:val="24"/>
          <w:szCs w:val="24"/>
          <w:lang w:val="sv-SE"/>
        </w:rPr>
        <w:t xml:space="preserve"> </w:t>
      </w:r>
      <w:proofErr w:type="spellStart"/>
      <w:r w:rsidRPr="003D2968">
        <w:rPr>
          <w:spacing w:val="-3"/>
          <w:sz w:val="24"/>
          <w:szCs w:val="24"/>
          <w:lang w:val="sv-SE"/>
        </w:rPr>
        <w:t>Gentilly</w:t>
      </w:r>
      <w:proofErr w:type="spellEnd"/>
    </w:p>
    <w:p w:rsidR="00EF0F41" w:rsidRPr="003D2968" w:rsidRDefault="00EF0F41" w:rsidP="00FC0061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  <w:lang w:val="sv-SE"/>
        </w:rPr>
      </w:pPr>
      <w:r w:rsidRPr="003D2968">
        <w:rPr>
          <w:spacing w:val="-3"/>
          <w:sz w:val="24"/>
          <w:szCs w:val="24"/>
          <w:lang w:val="sv-SE"/>
        </w:rPr>
        <w:tab/>
      </w:r>
      <w:proofErr w:type="spellStart"/>
      <w:r w:rsidRPr="003D2968">
        <w:rPr>
          <w:spacing w:val="-3"/>
          <w:sz w:val="24"/>
          <w:szCs w:val="24"/>
          <w:lang w:val="sv-SE"/>
        </w:rPr>
        <w:t>Frankrig</w:t>
      </w:r>
      <w:proofErr w:type="spellEnd"/>
    </w:p>
    <w:p w:rsidR="00EF0F41" w:rsidRPr="003D2968" w:rsidRDefault="00EF0F41" w:rsidP="00FC0061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  <w:lang w:val="sv-SE"/>
        </w:rPr>
      </w:pPr>
    </w:p>
    <w:p w:rsidR="00EF0F41" w:rsidRPr="003D2968" w:rsidRDefault="00EF0F41" w:rsidP="00FC0061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  <w:lang w:val="sv-SE"/>
        </w:rPr>
      </w:pPr>
      <w:r w:rsidRPr="003D2968">
        <w:rPr>
          <w:spacing w:val="-3"/>
          <w:sz w:val="24"/>
          <w:szCs w:val="24"/>
          <w:lang w:val="sv-SE"/>
        </w:rPr>
        <w:tab/>
      </w:r>
      <w:proofErr w:type="spellStart"/>
      <w:r w:rsidRPr="003D2968">
        <w:rPr>
          <w:b/>
          <w:spacing w:val="-3"/>
          <w:sz w:val="24"/>
          <w:szCs w:val="24"/>
          <w:lang w:val="sv-SE"/>
        </w:rPr>
        <w:t>Repræsentant</w:t>
      </w:r>
      <w:proofErr w:type="spellEnd"/>
    </w:p>
    <w:p w:rsidR="00EF0F41" w:rsidRPr="003D2968" w:rsidRDefault="00EF0F41" w:rsidP="00FC0061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  <w:lang w:val="sv-SE"/>
        </w:rPr>
      </w:pPr>
      <w:r w:rsidRPr="003D2968">
        <w:rPr>
          <w:spacing w:val="-3"/>
          <w:sz w:val="24"/>
          <w:szCs w:val="24"/>
          <w:lang w:val="sv-SE"/>
        </w:rPr>
        <w:tab/>
      </w:r>
      <w:proofErr w:type="spellStart"/>
      <w:r w:rsidRPr="003D2968">
        <w:rPr>
          <w:spacing w:val="-3"/>
          <w:sz w:val="24"/>
          <w:szCs w:val="24"/>
          <w:lang w:val="sv-SE"/>
        </w:rPr>
        <w:t>Biocodex</w:t>
      </w:r>
      <w:proofErr w:type="spellEnd"/>
      <w:r w:rsidRPr="003D2968">
        <w:rPr>
          <w:spacing w:val="-3"/>
          <w:sz w:val="24"/>
          <w:szCs w:val="24"/>
          <w:lang w:val="sv-SE"/>
        </w:rPr>
        <w:t xml:space="preserve"> Oy</w:t>
      </w:r>
    </w:p>
    <w:p w:rsidR="00527919" w:rsidRPr="003D2968" w:rsidRDefault="00EF0F41" w:rsidP="00527919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  <w:lang w:val="sv-SE"/>
        </w:rPr>
      </w:pPr>
      <w:r w:rsidRPr="003D2968">
        <w:rPr>
          <w:spacing w:val="-3"/>
          <w:sz w:val="24"/>
          <w:szCs w:val="24"/>
          <w:lang w:val="sv-SE"/>
        </w:rPr>
        <w:tab/>
      </w:r>
      <w:proofErr w:type="spellStart"/>
      <w:r w:rsidR="000A45FF" w:rsidRPr="003D2968">
        <w:rPr>
          <w:spacing w:val="-3"/>
          <w:sz w:val="24"/>
          <w:szCs w:val="24"/>
          <w:lang w:val="sv-SE"/>
        </w:rPr>
        <w:t>Metsänneidonkuja</w:t>
      </w:r>
      <w:proofErr w:type="spellEnd"/>
      <w:r w:rsidR="000A45FF" w:rsidRPr="003D2968">
        <w:rPr>
          <w:spacing w:val="-3"/>
          <w:sz w:val="24"/>
          <w:szCs w:val="24"/>
          <w:lang w:val="sv-SE"/>
        </w:rPr>
        <w:t xml:space="preserve"> 4</w:t>
      </w:r>
    </w:p>
    <w:p w:rsidR="00527919" w:rsidRPr="003D2968" w:rsidRDefault="00527919" w:rsidP="00527919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  <w:lang w:val="sv-SE"/>
        </w:rPr>
      </w:pPr>
      <w:r w:rsidRPr="003D2968">
        <w:rPr>
          <w:spacing w:val="-3"/>
          <w:sz w:val="24"/>
          <w:szCs w:val="24"/>
          <w:lang w:val="sv-SE"/>
        </w:rPr>
        <w:tab/>
        <w:t>P.O. Box 52</w:t>
      </w:r>
    </w:p>
    <w:p w:rsidR="00527919" w:rsidRPr="003D2968" w:rsidRDefault="00527919" w:rsidP="00527919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  <w:lang w:val="sv-SE"/>
        </w:rPr>
        <w:tab/>
      </w:r>
      <w:r w:rsidRPr="003D2968">
        <w:rPr>
          <w:spacing w:val="-3"/>
          <w:sz w:val="24"/>
          <w:szCs w:val="24"/>
        </w:rPr>
        <w:t xml:space="preserve">FI-02101 </w:t>
      </w:r>
      <w:proofErr w:type="spellStart"/>
      <w:r w:rsidRPr="003D2968">
        <w:rPr>
          <w:spacing w:val="-3"/>
          <w:sz w:val="24"/>
          <w:szCs w:val="24"/>
        </w:rPr>
        <w:t>Espoo</w:t>
      </w:r>
      <w:proofErr w:type="spellEnd"/>
    </w:p>
    <w:p w:rsidR="00EF0F41" w:rsidRPr="003D2968" w:rsidRDefault="00527919" w:rsidP="00527919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>Finland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AA3367" w:rsidRPr="003D2968" w:rsidRDefault="00AA3367" w:rsidP="00AA336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8.</w:t>
      </w:r>
      <w:r w:rsidRPr="003D2968">
        <w:rPr>
          <w:b/>
          <w:sz w:val="24"/>
          <w:szCs w:val="24"/>
        </w:rPr>
        <w:tab/>
        <w:t>MARKEDSFØRINGSTILLADELSESNUMMER (</w:t>
      </w:r>
      <w:r w:rsidR="00BF32F0" w:rsidRPr="003D2968">
        <w:rPr>
          <w:b/>
          <w:sz w:val="24"/>
          <w:szCs w:val="24"/>
        </w:rPr>
        <w:t>-</w:t>
      </w:r>
      <w:r w:rsidRPr="003D2968">
        <w:rPr>
          <w:b/>
          <w:sz w:val="24"/>
          <w:szCs w:val="24"/>
        </w:rPr>
        <w:t>NUMRE)</w:t>
      </w:r>
    </w:p>
    <w:p w:rsidR="00EF0F41" w:rsidRPr="003D2968" w:rsidRDefault="00EF0F41" w:rsidP="00EF0F41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3D2968">
        <w:rPr>
          <w:spacing w:val="-3"/>
          <w:sz w:val="24"/>
          <w:szCs w:val="24"/>
        </w:rPr>
        <w:tab/>
        <w:t>16958</w:t>
      </w:r>
    </w:p>
    <w:p w:rsidR="00EF0F41" w:rsidRPr="003D2968" w:rsidRDefault="00EF0F41" w:rsidP="00EF0F41">
      <w:pPr>
        <w:rPr>
          <w:sz w:val="24"/>
          <w:szCs w:val="24"/>
        </w:rPr>
      </w:pPr>
    </w:p>
    <w:p w:rsidR="00AA3367" w:rsidRPr="003D2968" w:rsidRDefault="00AA3367" w:rsidP="00AA336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9.</w:t>
      </w:r>
      <w:r w:rsidRPr="003D2968">
        <w:rPr>
          <w:b/>
          <w:sz w:val="24"/>
          <w:szCs w:val="24"/>
        </w:rPr>
        <w:tab/>
        <w:t>DATO FOR FØRSTE MARKEDSFØRINGSTILLADELSE</w:t>
      </w:r>
    </w:p>
    <w:p w:rsidR="00EF0F41" w:rsidRPr="003D2968" w:rsidRDefault="00EF0F41" w:rsidP="00EF0F41">
      <w:pPr>
        <w:ind w:left="851" w:hanging="851"/>
        <w:rPr>
          <w:sz w:val="24"/>
          <w:szCs w:val="24"/>
        </w:rPr>
      </w:pPr>
      <w:r w:rsidRPr="003D2968">
        <w:rPr>
          <w:sz w:val="24"/>
          <w:szCs w:val="24"/>
        </w:rPr>
        <w:tab/>
        <w:t>20. december 1995</w:t>
      </w:r>
    </w:p>
    <w:p w:rsidR="00EF0F41" w:rsidRPr="003D2968" w:rsidRDefault="00EF0F41" w:rsidP="00EF0F41">
      <w:pPr>
        <w:ind w:left="851" w:hanging="851"/>
        <w:rPr>
          <w:sz w:val="24"/>
          <w:szCs w:val="24"/>
        </w:rPr>
      </w:pPr>
    </w:p>
    <w:p w:rsidR="00AA3367" w:rsidRPr="003D2968" w:rsidRDefault="00AA3367" w:rsidP="00AA336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D2968">
        <w:rPr>
          <w:b/>
          <w:sz w:val="24"/>
          <w:szCs w:val="24"/>
        </w:rPr>
        <w:t>10.</w:t>
      </w:r>
      <w:r w:rsidRPr="003D2968">
        <w:rPr>
          <w:b/>
          <w:sz w:val="24"/>
          <w:szCs w:val="24"/>
        </w:rPr>
        <w:tab/>
        <w:t>DATO FOR ÆNDRING AF TEKSTEN</w:t>
      </w:r>
    </w:p>
    <w:p w:rsidR="00BF32F0" w:rsidRPr="003D2968" w:rsidRDefault="00C838A2" w:rsidP="00AA3367">
      <w:pPr>
        <w:ind w:left="855"/>
        <w:rPr>
          <w:sz w:val="24"/>
          <w:szCs w:val="24"/>
        </w:rPr>
      </w:pPr>
      <w:r>
        <w:rPr>
          <w:sz w:val="24"/>
          <w:szCs w:val="24"/>
        </w:rPr>
        <w:t>22</w:t>
      </w:r>
      <w:r w:rsidR="00176590" w:rsidRPr="003D2968">
        <w:rPr>
          <w:sz w:val="24"/>
          <w:szCs w:val="24"/>
        </w:rPr>
        <w:t>. november</w:t>
      </w:r>
      <w:r w:rsidR="00E522A4" w:rsidRPr="003D2968">
        <w:rPr>
          <w:sz w:val="24"/>
          <w:szCs w:val="24"/>
        </w:rPr>
        <w:t xml:space="preserve"> 202</w:t>
      </w:r>
      <w:r w:rsidR="00BF32F0" w:rsidRPr="003D2968">
        <w:rPr>
          <w:sz w:val="24"/>
          <w:szCs w:val="24"/>
        </w:rPr>
        <w:t>4</w:t>
      </w:r>
    </w:p>
    <w:p w:rsidR="009260DE" w:rsidRPr="003D2968" w:rsidRDefault="00BF32F0" w:rsidP="00BF32F0">
      <w:pPr>
        <w:tabs>
          <w:tab w:val="left" w:pos="1815"/>
        </w:tabs>
        <w:rPr>
          <w:sz w:val="24"/>
          <w:szCs w:val="24"/>
        </w:rPr>
      </w:pPr>
      <w:r w:rsidRPr="003D2968">
        <w:rPr>
          <w:sz w:val="24"/>
          <w:szCs w:val="24"/>
        </w:rPr>
        <w:tab/>
      </w:r>
    </w:p>
    <w:sectPr w:rsidR="009260DE" w:rsidRPr="003D2968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F41" w:rsidRDefault="00EF0F41">
      <w:r>
        <w:separator/>
      </w:r>
    </w:p>
  </w:endnote>
  <w:endnote w:type="continuationSeparator" w:id="0">
    <w:p w:rsidR="00EF0F41" w:rsidRDefault="00EF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CF2F36">
      <w:rPr>
        <w:i/>
        <w:noProof/>
        <w:sz w:val="18"/>
        <w:szCs w:val="18"/>
      </w:rPr>
      <w:t>Precosa, hårde kapsler 250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F41" w:rsidRDefault="00EF0F41">
      <w:r>
        <w:separator/>
      </w:r>
    </w:p>
  </w:footnote>
  <w:footnote w:type="continuationSeparator" w:id="0">
    <w:p w:rsidR="00EF0F41" w:rsidRDefault="00EF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8FD4521"/>
    <w:multiLevelType w:val="multilevel"/>
    <w:tmpl w:val="9E98CA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07B54A2"/>
    <w:multiLevelType w:val="multilevel"/>
    <w:tmpl w:val="C92298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4F25F06"/>
    <w:multiLevelType w:val="multilevel"/>
    <w:tmpl w:val="761235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00E65A2"/>
    <w:multiLevelType w:val="multilevel"/>
    <w:tmpl w:val="66E4CDF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795D3B7F"/>
    <w:multiLevelType w:val="hybridMultilevel"/>
    <w:tmpl w:val="81B6A878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41"/>
    <w:rsid w:val="000224DF"/>
    <w:rsid w:val="000259B9"/>
    <w:rsid w:val="00040BC9"/>
    <w:rsid w:val="00041491"/>
    <w:rsid w:val="00050D16"/>
    <w:rsid w:val="00074F2A"/>
    <w:rsid w:val="000A1CA8"/>
    <w:rsid w:val="000A45FF"/>
    <w:rsid w:val="000A466B"/>
    <w:rsid w:val="000B058C"/>
    <w:rsid w:val="000E4EE6"/>
    <w:rsid w:val="001454E2"/>
    <w:rsid w:val="00176590"/>
    <w:rsid w:val="00206CE8"/>
    <w:rsid w:val="0021526C"/>
    <w:rsid w:val="00283A2B"/>
    <w:rsid w:val="002B30AD"/>
    <w:rsid w:val="002C2C01"/>
    <w:rsid w:val="003055B5"/>
    <w:rsid w:val="00346B04"/>
    <w:rsid w:val="003A29AE"/>
    <w:rsid w:val="003A32D7"/>
    <w:rsid w:val="003B4074"/>
    <w:rsid w:val="003B713B"/>
    <w:rsid w:val="003C769A"/>
    <w:rsid w:val="003D2968"/>
    <w:rsid w:val="003F1838"/>
    <w:rsid w:val="0045746C"/>
    <w:rsid w:val="004629E8"/>
    <w:rsid w:val="0048515C"/>
    <w:rsid w:val="0049104B"/>
    <w:rsid w:val="004E3B12"/>
    <w:rsid w:val="005136FD"/>
    <w:rsid w:val="00527919"/>
    <w:rsid w:val="00532310"/>
    <w:rsid w:val="00560ECC"/>
    <w:rsid w:val="00563D4E"/>
    <w:rsid w:val="00565F0F"/>
    <w:rsid w:val="00594A86"/>
    <w:rsid w:val="00596D86"/>
    <w:rsid w:val="006159D9"/>
    <w:rsid w:val="00637F5A"/>
    <w:rsid w:val="00645C5D"/>
    <w:rsid w:val="0065343D"/>
    <w:rsid w:val="006560B1"/>
    <w:rsid w:val="006756DD"/>
    <w:rsid w:val="006C4DD0"/>
    <w:rsid w:val="00737275"/>
    <w:rsid w:val="00740EEC"/>
    <w:rsid w:val="0076633E"/>
    <w:rsid w:val="0078011A"/>
    <w:rsid w:val="00782AF4"/>
    <w:rsid w:val="00790D79"/>
    <w:rsid w:val="00790EE7"/>
    <w:rsid w:val="007B6649"/>
    <w:rsid w:val="007C0028"/>
    <w:rsid w:val="0081546F"/>
    <w:rsid w:val="0082576E"/>
    <w:rsid w:val="0089766A"/>
    <w:rsid w:val="00907F75"/>
    <w:rsid w:val="009260DE"/>
    <w:rsid w:val="0093258A"/>
    <w:rsid w:val="009C7BA3"/>
    <w:rsid w:val="009D1F5A"/>
    <w:rsid w:val="00AA3367"/>
    <w:rsid w:val="00B003BF"/>
    <w:rsid w:val="00B1149F"/>
    <w:rsid w:val="00B373D7"/>
    <w:rsid w:val="00BF32F0"/>
    <w:rsid w:val="00C36276"/>
    <w:rsid w:val="00C42586"/>
    <w:rsid w:val="00C518C6"/>
    <w:rsid w:val="00C60CCD"/>
    <w:rsid w:val="00C838A2"/>
    <w:rsid w:val="00C84483"/>
    <w:rsid w:val="00C95551"/>
    <w:rsid w:val="00CB20D7"/>
    <w:rsid w:val="00CC27CD"/>
    <w:rsid w:val="00CE1AD2"/>
    <w:rsid w:val="00CF2F36"/>
    <w:rsid w:val="00D020B0"/>
    <w:rsid w:val="00D11748"/>
    <w:rsid w:val="00D366CF"/>
    <w:rsid w:val="00D41AF4"/>
    <w:rsid w:val="00E108AA"/>
    <w:rsid w:val="00E31812"/>
    <w:rsid w:val="00E3749A"/>
    <w:rsid w:val="00E522A4"/>
    <w:rsid w:val="00E7437F"/>
    <w:rsid w:val="00E770D7"/>
    <w:rsid w:val="00E865B8"/>
    <w:rsid w:val="00EC0B9B"/>
    <w:rsid w:val="00ED5E9F"/>
    <w:rsid w:val="00EF0F41"/>
    <w:rsid w:val="00F66D4F"/>
    <w:rsid w:val="00FB5702"/>
    <w:rsid w:val="00FB6D01"/>
    <w:rsid w:val="00FC0061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05D8E"/>
  <w15:chartTrackingRefBased/>
  <w15:docId w15:val="{99C3A684-A9D9-4AD2-B3B8-98C5F393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5FF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7">
    <w:name w:val="heading 7"/>
    <w:basedOn w:val="Normal"/>
    <w:next w:val="Normal"/>
    <w:link w:val="Overskrift7Tegn"/>
    <w:qFormat/>
    <w:rsid w:val="00EF0F41"/>
    <w:pPr>
      <w:keepNext/>
      <w:outlineLvl w:val="6"/>
    </w:pPr>
    <w:rPr>
      <w:u w:val="single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Overskrift7Tegn">
    <w:name w:val="Overskrift 7 Tegn"/>
    <w:basedOn w:val="Standardskrifttypeiafsnit"/>
    <w:link w:val="Overskrift7"/>
    <w:rsid w:val="00EF0F41"/>
    <w:rPr>
      <w:sz w:val="23"/>
      <w:u w:val="single"/>
    </w:rPr>
  </w:style>
  <w:style w:type="character" w:styleId="Hyperlink">
    <w:name w:val="Hyperlink"/>
    <w:uiPriority w:val="99"/>
    <w:semiHidden/>
    <w:unhideWhenUsed/>
    <w:rsid w:val="00EF0F41"/>
    <w:rPr>
      <w:color w:val="0000FF"/>
      <w:u w:val="single"/>
    </w:rPr>
  </w:style>
  <w:style w:type="character" w:customStyle="1" w:styleId="BodytextAgencyChar">
    <w:name w:val="Body text (Agency) Char"/>
    <w:link w:val="BodytextAgency"/>
    <w:locked/>
    <w:rsid w:val="00EF0F41"/>
    <w:rPr>
      <w:rFonts w:ascii="Verdana" w:eastAsia="Verdana" w:hAnsi="Verdana" w:cs="Verdana"/>
      <w:sz w:val="18"/>
      <w:szCs w:val="18"/>
      <w:lang w:bidi="da-DK"/>
    </w:rPr>
  </w:style>
  <w:style w:type="paragraph" w:customStyle="1" w:styleId="BodytextAgency">
    <w:name w:val="Body text (Agency)"/>
    <w:basedOn w:val="Normal"/>
    <w:link w:val="BodytextAgencyChar"/>
    <w:qFormat/>
    <w:rsid w:val="00EF0F41"/>
    <w:pPr>
      <w:spacing w:after="140" w:line="280" w:lineRule="atLeast"/>
    </w:pPr>
    <w:rPr>
      <w:rFonts w:ascii="Verdana" w:eastAsia="Verdana" w:hAnsi="Verdana" w:cs="Verdana"/>
      <w:sz w:val="18"/>
      <w:szCs w:val="18"/>
      <w:lang w:eastAsia="da-DK" w:bidi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7728</Characters>
  <Application>Microsoft Office Word</Application>
  <DocSecurity>4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Ronnovius</dc:creator>
  <cp:keywords/>
  <dc:description>2021053206 pkt.  4.8</dc:description>
  <cp:lastModifiedBy>Gitte Ronnovius</cp:lastModifiedBy>
  <cp:revision>2</cp:revision>
  <cp:lastPrinted>2012-08-22T08:53:00Z</cp:lastPrinted>
  <dcterms:created xsi:type="dcterms:W3CDTF">2024-11-20T08:22:00Z</dcterms:created>
  <dcterms:modified xsi:type="dcterms:W3CDTF">2024-11-20T08:22:00Z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