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DBA" w:rsidRPr="00666083" w:rsidRDefault="005A0DBA" w:rsidP="005A0DBA">
      <w:pPr>
        <w:rPr>
          <w:sz w:val="24"/>
          <w:szCs w:val="24"/>
        </w:rPr>
      </w:pPr>
      <w:bookmarkStart w:id="0" w:name="_GoBack"/>
      <w:bookmarkEnd w:id="0"/>
      <w:r w:rsidRPr="00666083">
        <w:rPr>
          <w:noProof/>
          <w:sz w:val="24"/>
          <w:szCs w:val="24"/>
          <w:lang w:eastAsia="da-DK"/>
        </w:rPr>
        <w:drawing>
          <wp:anchor distT="0" distB="0" distL="114300" distR="114300" simplePos="0" relativeHeight="251659264" behindDoc="0" locked="0" layoutInCell="1" allowOverlap="1" wp14:anchorId="344B9432" wp14:editId="528105F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66083">
        <w:rPr>
          <w:sz w:val="24"/>
          <w:szCs w:val="24"/>
        </w:rPr>
        <w:br w:type="textWrapping" w:clear="all"/>
      </w:r>
    </w:p>
    <w:p w:rsidR="005A0DBA" w:rsidRPr="00666083" w:rsidRDefault="005A0DBA" w:rsidP="005A0DBA">
      <w:pPr>
        <w:pStyle w:val="Titel"/>
        <w:tabs>
          <w:tab w:val="right" w:pos="9356"/>
        </w:tabs>
        <w:jc w:val="left"/>
        <w:rPr>
          <w:b w:val="0"/>
          <w:szCs w:val="24"/>
          <w:lang w:eastAsia="en-US"/>
        </w:rPr>
      </w:pPr>
      <w:r w:rsidRPr="00666083">
        <w:rPr>
          <w:b w:val="0"/>
          <w:szCs w:val="24"/>
          <w:lang w:eastAsia="en-US"/>
        </w:rPr>
        <w:tab/>
      </w:r>
      <w:r w:rsidR="00513E87">
        <w:rPr>
          <w:szCs w:val="24"/>
        </w:rPr>
        <w:t>7. marts 2024</w:t>
      </w:r>
    </w:p>
    <w:p w:rsidR="00BF4570" w:rsidRPr="00666083" w:rsidRDefault="00BF4570" w:rsidP="005A0DBA">
      <w:pPr>
        <w:pStyle w:val="Titel"/>
        <w:tabs>
          <w:tab w:val="left" w:pos="8222"/>
        </w:tabs>
        <w:jc w:val="left"/>
        <w:rPr>
          <w:b w:val="0"/>
          <w:szCs w:val="24"/>
        </w:rPr>
      </w:pPr>
    </w:p>
    <w:p w:rsidR="005A0DBA" w:rsidRDefault="005A0DBA" w:rsidP="005A0DBA">
      <w:pPr>
        <w:pStyle w:val="Titel"/>
        <w:jc w:val="left"/>
        <w:rPr>
          <w:b w:val="0"/>
          <w:szCs w:val="24"/>
        </w:rPr>
      </w:pPr>
    </w:p>
    <w:p w:rsidR="00AF24DE" w:rsidRPr="00666083" w:rsidRDefault="00AF24DE" w:rsidP="005A0DBA">
      <w:pPr>
        <w:pStyle w:val="Titel"/>
        <w:jc w:val="left"/>
        <w:rPr>
          <w:b w:val="0"/>
          <w:szCs w:val="24"/>
        </w:rPr>
      </w:pPr>
    </w:p>
    <w:p w:rsidR="005A0DBA" w:rsidRPr="00666083" w:rsidRDefault="005A0DBA" w:rsidP="005A0DBA">
      <w:pPr>
        <w:jc w:val="center"/>
        <w:rPr>
          <w:b/>
          <w:sz w:val="24"/>
          <w:szCs w:val="24"/>
        </w:rPr>
      </w:pPr>
      <w:r w:rsidRPr="00666083">
        <w:rPr>
          <w:b/>
          <w:sz w:val="24"/>
          <w:szCs w:val="24"/>
        </w:rPr>
        <w:t>PRODUKTRESUMÉ</w:t>
      </w:r>
    </w:p>
    <w:p w:rsidR="005A0DBA" w:rsidRPr="00666083" w:rsidRDefault="005A0DBA" w:rsidP="005A0DBA">
      <w:pPr>
        <w:jc w:val="center"/>
        <w:rPr>
          <w:b/>
          <w:sz w:val="24"/>
          <w:szCs w:val="24"/>
        </w:rPr>
      </w:pPr>
    </w:p>
    <w:p w:rsidR="005A0DBA" w:rsidRPr="00666083" w:rsidRDefault="005A0DBA" w:rsidP="005A0DBA">
      <w:pPr>
        <w:jc w:val="center"/>
        <w:rPr>
          <w:b/>
          <w:sz w:val="24"/>
          <w:szCs w:val="24"/>
        </w:rPr>
      </w:pPr>
      <w:r w:rsidRPr="00666083">
        <w:rPr>
          <w:b/>
          <w:sz w:val="24"/>
          <w:szCs w:val="24"/>
        </w:rPr>
        <w:t>for</w:t>
      </w:r>
    </w:p>
    <w:p w:rsidR="005A0DBA" w:rsidRPr="00666083" w:rsidRDefault="005A0DBA" w:rsidP="005A0DBA">
      <w:pPr>
        <w:jc w:val="center"/>
        <w:rPr>
          <w:b/>
          <w:sz w:val="24"/>
          <w:szCs w:val="24"/>
        </w:rPr>
      </w:pPr>
    </w:p>
    <w:p w:rsidR="005A0DBA" w:rsidRPr="00666083" w:rsidRDefault="005A0DBA" w:rsidP="005A0DBA">
      <w:pPr>
        <w:jc w:val="center"/>
        <w:rPr>
          <w:b/>
          <w:sz w:val="24"/>
          <w:szCs w:val="24"/>
        </w:rPr>
      </w:pPr>
      <w:proofErr w:type="spellStart"/>
      <w:r w:rsidRPr="00666083">
        <w:rPr>
          <w:b/>
          <w:sz w:val="24"/>
          <w:szCs w:val="24"/>
        </w:rPr>
        <w:t>Prednisolon</w:t>
      </w:r>
      <w:proofErr w:type="spellEnd"/>
      <w:r w:rsidRPr="00666083">
        <w:rPr>
          <w:b/>
          <w:sz w:val="24"/>
          <w:szCs w:val="24"/>
        </w:rPr>
        <w:t xml:space="preserve"> "</w:t>
      </w:r>
      <w:proofErr w:type="spellStart"/>
      <w:r w:rsidRPr="00666083">
        <w:rPr>
          <w:b/>
          <w:sz w:val="24"/>
          <w:szCs w:val="24"/>
        </w:rPr>
        <w:t>Actavis</w:t>
      </w:r>
      <w:proofErr w:type="spellEnd"/>
      <w:r w:rsidRPr="00666083">
        <w:rPr>
          <w:b/>
          <w:sz w:val="24"/>
          <w:szCs w:val="24"/>
        </w:rPr>
        <w:t>", tabletter</w:t>
      </w:r>
    </w:p>
    <w:p w:rsidR="005A0DBA" w:rsidRPr="00666083" w:rsidRDefault="005A0DBA" w:rsidP="005A0DBA">
      <w:pPr>
        <w:jc w:val="both"/>
        <w:rPr>
          <w:sz w:val="24"/>
          <w:szCs w:val="24"/>
        </w:rPr>
      </w:pPr>
    </w:p>
    <w:p w:rsidR="005A0DBA" w:rsidRPr="00666083" w:rsidRDefault="005A0DBA" w:rsidP="005A0DBA">
      <w:pPr>
        <w:ind w:left="851" w:hanging="851"/>
        <w:jc w:val="both"/>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0.</w:t>
      </w:r>
      <w:r w:rsidRPr="00C84483">
        <w:rPr>
          <w:b/>
          <w:sz w:val="24"/>
          <w:szCs w:val="24"/>
        </w:rPr>
        <w:tab/>
        <w:t>D.SP.NR.</w:t>
      </w:r>
    </w:p>
    <w:p w:rsidR="005A0DBA" w:rsidRPr="00666083" w:rsidRDefault="005A0DBA" w:rsidP="005A0DBA">
      <w:pPr>
        <w:ind w:left="851" w:hanging="851"/>
        <w:rPr>
          <w:sz w:val="24"/>
          <w:szCs w:val="24"/>
        </w:rPr>
      </w:pPr>
      <w:r w:rsidRPr="00666083">
        <w:rPr>
          <w:sz w:val="24"/>
          <w:szCs w:val="24"/>
        </w:rPr>
        <w:tab/>
        <w:t>29691</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1.</w:t>
      </w:r>
      <w:r w:rsidRPr="00666083">
        <w:rPr>
          <w:b/>
          <w:sz w:val="24"/>
          <w:szCs w:val="24"/>
        </w:rPr>
        <w:tab/>
        <w:t>LÆGEMIDLETS NAVN</w:t>
      </w:r>
    </w:p>
    <w:p w:rsidR="005A0DBA" w:rsidRPr="00666083" w:rsidRDefault="005A0DBA" w:rsidP="005A0DBA">
      <w:pPr>
        <w:ind w:left="851" w:hanging="851"/>
        <w:rPr>
          <w:sz w:val="24"/>
          <w:szCs w:val="24"/>
        </w:rPr>
      </w:pPr>
      <w:r w:rsidRPr="00666083">
        <w:rPr>
          <w:sz w:val="24"/>
          <w:szCs w:val="24"/>
        </w:rPr>
        <w:tab/>
      </w:r>
      <w:proofErr w:type="spellStart"/>
      <w:r w:rsidRPr="00666083">
        <w:rPr>
          <w:sz w:val="24"/>
          <w:szCs w:val="24"/>
        </w:rPr>
        <w:t>Prednisolon</w:t>
      </w:r>
      <w:proofErr w:type="spellEnd"/>
      <w:r w:rsidRPr="00666083">
        <w:rPr>
          <w:sz w:val="24"/>
          <w:szCs w:val="24"/>
        </w:rPr>
        <w:t xml:space="preserve"> "</w:t>
      </w:r>
      <w:proofErr w:type="spellStart"/>
      <w:r w:rsidRPr="00666083">
        <w:rPr>
          <w:sz w:val="24"/>
          <w:szCs w:val="24"/>
        </w:rPr>
        <w:t>Actavis</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2.</w:t>
      </w:r>
      <w:r w:rsidRPr="00666083">
        <w:rPr>
          <w:b/>
          <w:sz w:val="24"/>
          <w:szCs w:val="24"/>
        </w:rPr>
        <w:tab/>
        <w:t>KVALITATIV OG KVANTITATIV SAMMENSÆTNING</w:t>
      </w:r>
    </w:p>
    <w:p w:rsidR="005A0DBA" w:rsidRPr="00666083" w:rsidRDefault="005A0DBA" w:rsidP="005A0DBA">
      <w:pPr>
        <w:pStyle w:val="EMEAEnBodyText"/>
        <w:autoSpaceDE w:val="0"/>
        <w:autoSpaceDN w:val="0"/>
        <w:adjustRightInd w:val="0"/>
        <w:spacing w:before="0" w:after="0"/>
        <w:ind w:left="851"/>
        <w:rPr>
          <w:sz w:val="24"/>
          <w:szCs w:val="24"/>
          <w:lang w:val="da-DK"/>
        </w:rPr>
      </w:pPr>
      <w:r w:rsidRPr="00666083">
        <w:rPr>
          <w:sz w:val="24"/>
          <w:szCs w:val="24"/>
          <w:lang w:val="da-DK"/>
        </w:rPr>
        <w:t xml:space="preserve">Hver tablet indeholder 2,5 mg </w:t>
      </w:r>
      <w:proofErr w:type="spellStart"/>
      <w:r w:rsidRPr="00666083">
        <w:rPr>
          <w:sz w:val="24"/>
          <w:szCs w:val="24"/>
          <w:lang w:val="da-DK"/>
        </w:rPr>
        <w:t>prednisolon</w:t>
      </w:r>
      <w:proofErr w:type="spellEnd"/>
      <w:r w:rsidRPr="00666083">
        <w:rPr>
          <w:sz w:val="24"/>
          <w:szCs w:val="24"/>
          <w:lang w:val="da-DK"/>
        </w:rPr>
        <w:t>.</w:t>
      </w:r>
    </w:p>
    <w:p w:rsidR="005A0DBA" w:rsidRPr="00666083" w:rsidRDefault="005A0DBA" w:rsidP="005A0DBA">
      <w:pPr>
        <w:pStyle w:val="EMEAEnBodyText"/>
        <w:autoSpaceDE w:val="0"/>
        <w:autoSpaceDN w:val="0"/>
        <w:adjustRightInd w:val="0"/>
        <w:spacing w:before="0" w:after="0"/>
        <w:ind w:left="851"/>
        <w:rPr>
          <w:sz w:val="24"/>
          <w:szCs w:val="24"/>
          <w:lang w:val="da-DK"/>
        </w:rPr>
      </w:pPr>
      <w:r w:rsidRPr="00666083">
        <w:rPr>
          <w:sz w:val="24"/>
          <w:szCs w:val="24"/>
          <w:lang w:val="da-DK"/>
        </w:rPr>
        <w:t xml:space="preserve">Hver tablet indeholder 5 mg </w:t>
      </w:r>
      <w:proofErr w:type="spellStart"/>
      <w:r w:rsidRPr="00666083">
        <w:rPr>
          <w:sz w:val="24"/>
          <w:szCs w:val="24"/>
          <w:lang w:val="da-DK"/>
        </w:rPr>
        <w:t>prednisolon</w:t>
      </w:r>
      <w:proofErr w:type="spellEnd"/>
      <w:r w:rsidRPr="00666083">
        <w:rPr>
          <w:sz w:val="24"/>
          <w:szCs w:val="24"/>
          <w:lang w:val="da-DK"/>
        </w:rPr>
        <w:t>.</w:t>
      </w:r>
    </w:p>
    <w:p w:rsidR="005A0DBA" w:rsidRPr="00666083" w:rsidRDefault="005A0DBA" w:rsidP="005A0DBA">
      <w:pPr>
        <w:pStyle w:val="EMEAEnBodyText"/>
        <w:autoSpaceDE w:val="0"/>
        <w:autoSpaceDN w:val="0"/>
        <w:adjustRightInd w:val="0"/>
        <w:spacing w:before="0" w:after="0"/>
        <w:ind w:left="851"/>
        <w:rPr>
          <w:sz w:val="24"/>
          <w:szCs w:val="24"/>
          <w:lang w:val="da-DK"/>
        </w:rPr>
      </w:pPr>
      <w:r w:rsidRPr="00666083">
        <w:rPr>
          <w:sz w:val="24"/>
          <w:szCs w:val="24"/>
          <w:lang w:val="da-DK"/>
        </w:rPr>
        <w:t xml:space="preserve">Hver tablet indeholder 10 mg </w:t>
      </w:r>
      <w:proofErr w:type="spellStart"/>
      <w:r w:rsidRPr="00666083">
        <w:rPr>
          <w:sz w:val="24"/>
          <w:szCs w:val="24"/>
          <w:lang w:val="da-DK"/>
        </w:rPr>
        <w:t>prednisolon</w:t>
      </w:r>
      <w:proofErr w:type="spellEnd"/>
      <w:r w:rsidRPr="00666083">
        <w:rPr>
          <w:sz w:val="24"/>
          <w:szCs w:val="24"/>
          <w:lang w:val="da-DK"/>
        </w:rPr>
        <w:t>.</w:t>
      </w:r>
    </w:p>
    <w:p w:rsidR="005A0DBA" w:rsidRPr="00666083" w:rsidRDefault="005A0DBA" w:rsidP="005A0DBA">
      <w:pPr>
        <w:pStyle w:val="EMEAEnBodyText"/>
        <w:autoSpaceDE w:val="0"/>
        <w:autoSpaceDN w:val="0"/>
        <w:adjustRightInd w:val="0"/>
        <w:spacing w:before="0" w:after="0"/>
        <w:ind w:left="851"/>
        <w:rPr>
          <w:sz w:val="24"/>
          <w:szCs w:val="24"/>
          <w:lang w:val="da-DK"/>
        </w:rPr>
      </w:pPr>
      <w:r w:rsidRPr="00666083">
        <w:rPr>
          <w:sz w:val="24"/>
          <w:szCs w:val="24"/>
          <w:lang w:val="da-DK"/>
        </w:rPr>
        <w:t xml:space="preserve">Hver tablet indeholder 25 mg </w:t>
      </w:r>
      <w:proofErr w:type="spellStart"/>
      <w:r w:rsidRPr="00666083">
        <w:rPr>
          <w:sz w:val="24"/>
          <w:szCs w:val="24"/>
          <w:lang w:val="da-DK"/>
        </w:rPr>
        <w:t>prednisolon</w:t>
      </w:r>
      <w:proofErr w:type="spellEnd"/>
      <w:r w:rsidRPr="00666083">
        <w:rPr>
          <w:sz w:val="24"/>
          <w:szCs w:val="24"/>
          <w:lang w:val="da-DK"/>
        </w:rPr>
        <w:t>.</w:t>
      </w:r>
    </w:p>
    <w:p w:rsidR="005A0DBA" w:rsidRPr="00666083" w:rsidRDefault="005A0DBA" w:rsidP="005A0DBA">
      <w:pPr>
        <w:ind w:left="851"/>
        <w:rPr>
          <w:sz w:val="24"/>
          <w:szCs w:val="24"/>
        </w:rPr>
      </w:pPr>
    </w:p>
    <w:p w:rsidR="005A0DBA" w:rsidRPr="00666083" w:rsidRDefault="005A0DBA" w:rsidP="005A0DBA">
      <w:pPr>
        <w:ind w:left="851"/>
        <w:rPr>
          <w:sz w:val="24"/>
          <w:szCs w:val="24"/>
        </w:rPr>
      </w:pPr>
      <w:r w:rsidRPr="00666083">
        <w:rPr>
          <w:sz w:val="24"/>
          <w:szCs w:val="24"/>
        </w:rPr>
        <w:t>Hjælpestof(er), som behandleren skal være opmærksom på:</w:t>
      </w:r>
    </w:p>
    <w:p w:rsidR="005A0DBA" w:rsidRPr="00666083" w:rsidRDefault="005A0DBA" w:rsidP="005A0DBA">
      <w:pPr>
        <w:ind w:left="851"/>
        <w:rPr>
          <w:sz w:val="24"/>
          <w:szCs w:val="24"/>
        </w:rPr>
      </w:pPr>
      <w:r w:rsidRPr="00666083">
        <w:rPr>
          <w:sz w:val="24"/>
          <w:szCs w:val="24"/>
        </w:rPr>
        <w:t xml:space="preserve">Hver 2,5 mg tablet indeholder 89,2 mg </w:t>
      </w:r>
      <w:proofErr w:type="spellStart"/>
      <w:r w:rsidRPr="00666083">
        <w:rPr>
          <w:sz w:val="24"/>
          <w:szCs w:val="24"/>
        </w:rPr>
        <w:t>lactosemonohydrat</w:t>
      </w:r>
      <w:proofErr w:type="spellEnd"/>
      <w:r>
        <w:rPr>
          <w:sz w:val="24"/>
          <w:szCs w:val="24"/>
        </w:rPr>
        <w:t>.</w:t>
      </w:r>
    </w:p>
    <w:p w:rsidR="005A0DBA" w:rsidRPr="00666083" w:rsidRDefault="005A0DBA" w:rsidP="005A0DBA">
      <w:pPr>
        <w:ind w:left="851"/>
        <w:rPr>
          <w:sz w:val="24"/>
          <w:szCs w:val="24"/>
        </w:rPr>
      </w:pPr>
      <w:r w:rsidRPr="00666083">
        <w:rPr>
          <w:sz w:val="24"/>
          <w:szCs w:val="24"/>
        </w:rPr>
        <w:t xml:space="preserve">Hver 5 mg tablet indeholder 87,2 mg </w:t>
      </w:r>
      <w:proofErr w:type="spellStart"/>
      <w:r w:rsidRPr="00666083">
        <w:rPr>
          <w:sz w:val="24"/>
          <w:szCs w:val="24"/>
        </w:rPr>
        <w:t>lactosemonohydrat</w:t>
      </w:r>
      <w:proofErr w:type="spellEnd"/>
      <w:r>
        <w:rPr>
          <w:sz w:val="24"/>
          <w:szCs w:val="24"/>
        </w:rPr>
        <w:t>.</w:t>
      </w:r>
    </w:p>
    <w:p w:rsidR="005A0DBA" w:rsidRPr="00666083" w:rsidRDefault="005A0DBA" w:rsidP="005A0DBA">
      <w:pPr>
        <w:ind w:left="851"/>
        <w:rPr>
          <w:sz w:val="24"/>
          <w:szCs w:val="24"/>
        </w:rPr>
      </w:pPr>
      <w:r w:rsidRPr="00666083">
        <w:rPr>
          <w:sz w:val="24"/>
          <w:szCs w:val="24"/>
        </w:rPr>
        <w:t xml:space="preserve">Hver 10 mg tablet indeholder 81,7 mg </w:t>
      </w:r>
      <w:proofErr w:type="spellStart"/>
      <w:r w:rsidRPr="00666083">
        <w:rPr>
          <w:sz w:val="24"/>
          <w:szCs w:val="24"/>
        </w:rPr>
        <w:t>lactosemonohydrat</w:t>
      </w:r>
      <w:proofErr w:type="spellEnd"/>
      <w:r>
        <w:rPr>
          <w:sz w:val="24"/>
          <w:szCs w:val="24"/>
        </w:rPr>
        <w:t>.</w:t>
      </w:r>
    </w:p>
    <w:p w:rsidR="005A0DBA" w:rsidRPr="00666083" w:rsidRDefault="005A0DBA" w:rsidP="005A0DBA">
      <w:pPr>
        <w:ind w:left="851"/>
        <w:rPr>
          <w:sz w:val="24"/>
          <w:szCs w:val="24"/>
        </w:rPr>
      </w:pPr>
      <w:r w:rsidRPr="00666083">
        <w:rPr>
          <w:sz w:val="24"/>
          <w:szCs w:val="24"/>
        </w:rPr>
        <w:t xml:space="preserve">Hver 25 mg tablet indeholder 159,4 mg </w:t>
      </w:r>
      <w:proofErr w:type="spellStart"/>
      <w:r w:rsidRPr="00666083">
        <w:rPr>
          <w:sz w:val="24"/>
          <w:szCs w:val="24"/>
        </w:rPr>
        <w:t>lactosemonohydrat</w:t>
      </w:r>
      <w:proofErr w:type="spellEnd"/>
      <w:r>
        <w:rPr>
          <w:sz w:val="24"/>
          <w:szCs w:val="24"/>
        </w:rPr>
        <w:t>.</w:t>
      </w:r>
    </w:p>
    <w:p w:rsidR="00AD5151" w:rsidRDefault="00AD5151" w:rsidP="005A0DBA">
      <w:pPr>
        <w:ind w:left="851"/>
        <w:rPr>
          <w:sz w:val="24"/>
          <w:szCs w:val="24"/>
        </w:rPr>
      </w:pPr>
    </w:p>
    <w:p w:rsidR="005A0DBA" w:rsidRPr="00666083" w:rsidRDefault="005A0DBA" w:rsidP="005A0DBA">
      <w:pPr>
        <w:ind w:left="851"/>
        <w:rPr>
          <w:sz w:val="24"/>
          <w:szCs w:val="24"/>
        </w:rPr>
      </w:pPr>
      <w:r w:rsidRPr="00666083">
        <w:rPr>
          <w:sz w:val="24"/>
          <w:szCs w:val="24"/>
        </w:rPr>
        <w:t>Alle hjælpestoffer er anført under pkt. 6.1.</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3.</w:t>
      </w:r>
      <w:r w:rsidRPr="00666083">
        <w:rPr>
          <w:b/>
          <w:sz w:val="24"/>
          <w:szCs w:val="24"/>
        </w:rPr>
        <w:tab/>
        <w:t>LÆGEMIDDELFORM</w:t>
      </w:r>
    </w:p>
    <w:p w:rsidR="005A0DBA" w:rsidRPr="00666083" w:rsidRDefault="005A0DBA" w:rsidP="005A0DBA">
      <w:pPr>
        <w:ind w:left="851"/>
        <w:rPr>
          <w:sz w:val="24"/>
          <w:szCs w:val="24"/>
        </w:rPr>
      </w:pPr>
      <w:r w:rsidRPr="00666083">
        <w:rPr>
          <w:sz w:val="24"/>
          <w:szCs w:val="24"/>
        </w:rPr>
        <w:t>Tabletter</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2,5 mg tablet</w:t>
      </w:r>
    </w:p>
    <w:p w:rsidR="005A0DBA" w:rsidRPr="00666083" w:rsidRDefault="005A0DBA" w:rsidP="005A0DBA">
      <w:pPr>
        <w:ind w:left="851"/>
        <w:rPr>
          <w:sz w:val="24"/>
          <w:szCs w:val="24"/>
        </w:rPr>
      </w:pPr>
      <w:r w:rsidRPr="00666083">
        <w:rPr>
          <w:sz w:val="24"/>
          <w:szCs w:val="24"/>
        </w:rPr>
        <w:t xml:space="preserve">Gul, 7 mm, rund, flad tablet med delekærv på den ene side, med </w:t>
      </w:r>
      <w:r>
        <w:rPr>
          <w:sz w:val="24"/>
          <w:szCs w:val="24"/>
        </w:rPr>
        <w:t>"</w:t>
      </w:r>
      <w:r w:rsidRPr="00666083">
        <w:rPr>
          <w:sz w:val="24"/>
          <w:szCs w:val="24"/>
        </w:rPr>
        <w:t>A610</w:t>
      </w:r>
      <w:r>
        <w:rPr>
          <w:sz w:val="24"/>
          <w:szCs w:val="24"/>
        </w:rPr>
        <w:t>"</w:t>
      </w:r>
      <w:r w:rsidRPr="00666083">
        <w:rPr>
          <w:sz w:val="24"/>
          <w:szCs w:val="24"/>
        </w:rPr>
        <w:t xml:space="preserve"> præget på den ene side og </w:t>
      </w:r>
      <w:r>
        <w:rPr>
          <w:sz w:val="24"/>
          <w:szCs w:val="24"/>
        </w:rPr>
        <w:t>"</w:t>
      </w:r>
      <w:r w:rsidRPr="00666083">
        <w:rPr>
          <w:sz w:val="24"/>
          <w:szCs w:val="24"/>
        </w:rPr>
        <w:t>2.5</w:t>
      </w:r>
      <w:r>
        <w:rPr>
          <w:sz w:val="24"/>
          <w:szCs w:val="24"/>
        </w:rPr>
        <w:t>"</w:t>
      </w:r>
      <w:r w:rsidRPr="00666083">
        <w:rPr>
          <w:sz w:val="24"/>
          <w:szCs w:val="24"/>
        </w:rPr>
        <w:t xml:space="preserve"> på den anden.</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5 mg tablet</w:t>
      </w:r>
    </w:p>
    <w:p w:rsidR="005A0DBA" w:rsidRPr="00666083" w:rsidRDefault="005A0DBA" w:rsidP="005A0DBA">
      <w:pPr>
        <w:ind w:left="851"/>
        <w:rPr>
          <w:sz w:val="24"/>
          <w:szCs w:val="24"/>
        </w:rPr>
      </w:pPr>
      <w:r w:rsidRPr="00666083">
        <w:rPr>
          <w:sz w:val="24"/>
          <w:szCs w:val="24"/>
        </w:rPr>
        <w:t xml:space="preserve">Hvid, 7 mm, rund, flad tablet med delekærv på den ene side, med </w:t>
      </w:r>
      <w:r>
        <w:rPr>
          <w:sz w:val="24"/>
          <w:szCs w:val="24"/>
        </w:rPr>
        <w:t>"</w:t>
      </w:r>
      <w:r w:rsidRPr="00666083">
        <w:rPr>
          <w:sz w:val="24"/>
          <w:szCs w:val="24"/>
        </w:rPr>
        <w:t>A620</w:t>
      </w:r>
      <w:r>
        <w:rPr>
          <w:sz w:val="24"/>
          <w:szCs w:val="24"/>
        </w:rPr>
        <w:t>"</w:t>
      </w:r>
      <w:r w:rsidRPr="00666083">
        <w:rPr>
          <w:sz w:val="24"/>
          <w:szCs w:val="24"/>
        </w:rPr>
        <w:t xml:space="preserve"> præget på den ene side og </w:t>
      </w:r>
      <w:r>
        <w:rPr>
          <w:sz w:val="24"/>
          <w:szCs w:val="24"/>
        </w:rPr>
        <w:t>"</w:t>
      </w:r>
      <w:r w:rsidRPr="00666083">
        <w:rPr>
          <w:sz w:val="24"/>
          <w:szCs w:val="24"/>
        </w:rPr>
        <w:t>5</w:t>
      </w:r>
      <w:r>
        <w:rPr>
          <w:sz w:val="24"/>
          <w:szCs w:val="24"/>
        </w:rPr>
        <w:t>"</w:t>
      </w:r>
      <w:r w:rsidRPr="00666083">
        <w:rPr>
          <w:sz w:val="24"/>
          <w:szCs w:val="24"/>
        </w:rPr>
        <w:t xml:space="preserve"> på den anden.</w:t>
      </w:r>
    </w:p>
    <w:p w:rsidR="005A0DBA" w:rsidRPr="00666083" w:rsidRDefault="005A0DBA" w:rsidP="005A0DBA">
      <w:pPr>
        <w:ind w:left="851" w:hanging="851"/>
        <w:rPr>
          <w:sz w:val="24"/>
          <w:szCs w:val="24"/>
          <w:highlight w:val="lightGray"/>
        </w:rPr>
      </w:pPr>
    </w:p>
    <w:p w:rsidR="00513E87" w:rsidRDefault="00513E87" w:rsidP="00513E87">
      <w:pPr>
        <w:ind w:left="851"/>
        <w:rPr>
          <w:sz w:val="24"/>
          <w:szCs w:val="24"/>
        </w:rPr>
      </w:pPr>
      <w:r>
        <w:rPr>
          <w:sz w:val="24"/>
          <w:szCs w:val="24"/>
        </w:rPr>
        <w:t>10 mg tablet</w:t>
      </w:r>
    </w:p>
    <w:p w:rsidR="00513E87" w:rsidRDefault="00513E87" w:rsidP="00513E87">
      <w:pPr>
        <w:ind w:left="851"/>
        <w:rPr>
          <w:sz w:val="24"/>
          <w:szCs w:val="24"/>
        </w:rPr>
      </w:pPr>
      <w:r>
        <w:rPr>
          <w:sz w:val="24"/>
          <w:szCs w:val="24"/>
        </w:rPr>
        <w:t xml:space="preserve">Rød, 7 mm, rund, flad tablet med delekærv på den ene side, og </w:t>
      </w:r>
      <w:r>
        <w:t xml:space="preserve">mærket med </w:t>
      </w:r>
      <w:r>
        <w:rPr>
          <w:sz w:val="24"/>
          <w:szCs w:val="24"/>
        </w:rPr>
        <w:t xml:space="preserve">"10" på den anden </w:t>
      </w:r>
      <w:r>
        <w:t>side</w:t>
      </w:r>
      <w:r>
        <w:rPr>
          <w:sz w:val="24"/>
          <w:szCs w:val="24"/>
        </w:rPr>
        <w:t>.</w:t>
      </w:r>
    </w:p>
    <w:p w:rsidR="00513E87" w:rsidRDefault="00513E87" w:rsidP="00513E87">
      <w:pPr>
        <w:ind w:left="851" w:hanging="851"/>
        <w:rPr>
          <w:sz w:val="24"/>
          <w:szCs w:val="24"/>
        </w:rPr>
      </w:pPr>
    </w:p>
    <w:p w:rsidR="00513E87" w:rsidRDefault="00513E87" w:rsidP="00513E87">
      <w:pPr>
        <w:ind w:left="851"/>
        <w:rPr>
          <w:sz w:val="24"/>
          <w:szCs w:val="24"/>
        </w:rPr>
      </w:pPr>
      <w:r>
        <w:rPr>
          <w:sz w:val="24"/>
          <w:szCs w:val="24"/>
        </w:rPr>
        <w:t>25 mg tablet</w:t>
      </w:r>
    </w:p>
    <w:p w:rsidR="00513E87" w:rsidRDefault="00513E87" w:rsidP="00513E87">
      <w:pPr>
        <w:ind w:left="851"/>
        <w:rPr>
          <w:sz w:val="24"/>
          <w:szCs w:val="24"/>
        </w:rPr>
      </w:pPr>
      <w:r>
        <w:rPr>
          <w:sz w:val="24"/>
          <w:szCs w:val="24"/>
        </w:rPr>
        <w:t xml:space="preserve">Hvid, 9 mm, rund, flad tablet med delekærv på den ene side, og </w:t>
      </w:r>
      <w:r>
        <w:t xml:space="preserve">mærket med </w:t>
      </w:r>
      <w:r>
        <w:rPr>
          <w:sz w:val="24"/>
          <w:szCs w:val="24"/>
        </w:rPr>
        <w:t>"25" på den anden side.</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Tabletten kan deles i to lige store doser.</w:t>
      </w:r>
    </w:p>
    <w:p w:rsidR="005A0DBA" w:rsidRPr="00666083" w:rsidRDefault="005A0DBA" w:rsidP="005A0DBA">
      <w:pPr>
        <w:ind w:left="851" w:hanging="851"/>
        <w:rPr>
          <w:sz w:val="24"/>
          <w:szCs w:val="24"/>
        </w:rPr>
      </w:pP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4.</w:t>
      </w:r>
      <w:r w:rsidRPr="00666083">
        <w:rPr>
          <w:b/>
          <w:sz w:val="24"/>
          <w:szCs w:val="24"/>
        </w:rPr>
        <w:tab/>
        <w:t>KLINISKE OPLYSNINGER</w:t>
      </w:r>
    </w:p>
    <w:p w:rsidR="005A0DBA" w:rsidRPr="00666083" w:rsidRDefault="005A0DBA" w:rsidP="005A0DBA">
      <w:pPr>
        <w:ind w:left="851" w:hanging="851"/>
        <w:rPr>
          <w:b/>
          <w:sz w:val="24"/>
          <w:szCs w:val="24"/>
        </w:rPr>
      </w:pPr>
    </w:p>
    <w:p w:rsidR="005A0DBA" w:rsidRPr="00666083" w:rsidRDefault="005A0DBA" w:rsidP="005A0DBA">
      <w:pPr>
        <w:ind w:left="851" w:hanging="851"/>
        <w:rPr>
          <w:b/>
          <w:sz w:val="24"/>
          <w:szCs w:val="24"/>
          <w:u w:val="single"/>
        </w:rPr>
      </w:pPr>
      <w:r w:rsidRPr="00666083">
        <w:rPr>
          <w:b/>
          <w:sz w:val="24"/>
          <w:szCs w:val="24"/>
        </w:rPr>
        <w:t>4.1</w:t>
      </w:r>
      <w:r w:rsidRPr="00666083">
        <w:rPr>
          <w:b/>
          <w:sz w:val="24"/>
          <w:szCs w:val="24"/>
        </w:rPr>
        <w:tab/>
        <w:t>Terapeutiske indikationer</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er indiceret til behandling af lidelser, hvor </w:t>
      </w:r>
      <w:proofErr w:type="spellStart"/>
      <w:r w:rsidRPr="00666083">
        <w:rPr>
          <w:sz w:val="24"/>
          <w:szCs w:val="24"/>
        </w:rPr>
        <w:t>prednisolons</w:t>
      </w:r>
      <w:proofErr w:type="spellEnd"/>
      <w:r w:rsidRPr="00666083">
        <w:rPr>
          <w:sz w:val="24"/>
          <w:szCs w:val="24"/>
        </w:rPr>
        <w:t xml:space="preserve"> betændelses</w:t>
      </w:r>
      <w:r w:rsidRPr="00666083">
        <w:rPr>
          <w:sz w:val="24"/>
          <w:szCs w:val="24"/>
        </w:rPr>
        <w:softHyphen/>
        <w:t xml:space="preserve">hæmmende og </w:t>
      </w:r>
      <w:proofErr w:type="spellStart"/>
      <w:r w:rsidRPr="00666083">
        <w:rPr>
          <w:sz w:val="24"/>
          <w:szCs w:val="24"/>
        </w:rPr>
        <w:t>immunosuppressive</w:t>
      </w:r>
      <w:proofErr w:type="spellEnd"/>
      <w:r w:rsidRPr="00666083">
        <w:rPr>
          <w:sz w:val="24"/>
          <w:szCs w:val="24"/>
        </w:rPr>
        <w:t xml:space="preserve"> virkning ønskes. </w:t>
      </w: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A0DBA" w:rsidRPr="00666083" w:rsidRDefault="005A0DBA" w:rsidP="005A0DBA">
      <w:pPr>
        <w:ind w:left="851" w:hanging="851"/>
        <w:rPr>
          <w:i/>
          <w:iCs/>
          <w:sz w:val="24"/>
          <w:szCs w:val="24"/>
        </w:rPr>
      </w:pPr>
    </w:p>
    <w:p w:rsidR="005A0DBA" w:rsidRPr="00666083" w:rsidRDefault="005A0DBA" w:rsidP="005A0DBA">
      <w:pPr>
        <w:ind w:left="851"/>
        <w:rPr>
          <w:i/>
          <w:iCs/>
          <w:sz w:val="24"/>
          <w:szCs w:val="24"/>
        </w:rPr>
      </w:pPr>
      <w:r w:rsidRPr="00666083">
        <w:rPr>
          <w:i/>
          <w:iCs/>
          <w:sz w:val="24"/>
          <w:szCs w:val="24"/>
        </w:rPr>
        <w:t>Individuel</w:t>
      </w:r>
    </w:p>
    <w:p w:rsidR="005A0DBA" w:rsidRPr="00666083" w:rsidRDefault="005A0DBA" w:rsidP="005A0DBA">
      <w:pPr>
        <w:ind w:left="851"/>
        <w:rPr>
          <w:sz w:val="24"/>
          <w:szCs w:val="24"/>
        </w:rPr>
      </w:pPr>
      <w:r w:rsidRPr="00666083">
        <w:rPr>
          <w:sz w:val="24"/>
          <w:szCs w:val="24"/>
        </w:rPr>
        <w:t xml:space="preserve">Doseringen afhænger generelt af sygdommens art og alvorlighed. Doseringen bør indledes med en dosis, der giver den ønskede kontrol af sygdommen. Doseringen bør sænkes til den laveste dosis, der giver tilstrækkelig kontrol af sygdommen. </w:t>
      </w:r>
      <w:r w:rsidRPr="00666083">
        <w:rPr>
          <w:sz w:val="24"/>
          <w:szCs w:val="24"/>
        </w:rPr>
        <w:br/>
      </w:r>
      <w:proofErr w:type="spellStart"/>
      <w:r w:rsidRPr="00666083">
        <w:rPr>
          <w:sz w:val="24"/>
          <w:szCs w:val="24"/>
        </w:rPr>
        <w:t>Seponering</w:t>
      </w:r>
      <w:proofErr w:type="spellEnd"/>
      <w:r w:rsidRPr="00666083">
        <w:rPr>
          <w:sz w:val="24"/>
          <w:szCs w:val="24"/>
        </w:rPr>
        <w:t xml:space="preserve"> bør altid overvejes afhængigt af indikation og sygdomsaktivitet.</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Efter langtidsbehandling (for voksne typisk over 3 ugers varighed) bør </w:t>
      </w:r>
      <w:proofErr w:type="spellStart"/>
      <w:r w:rsidRPr="00666083">
        <w:rPr>
          <w:sz w:val="24"/>
          <w:szCs w:val="24"/>
        </w:rPr>
        <w:t>seponering</w:t>
      </w:r>
      <w:proofErr w:type="spellEnd"/>
      <w:r w:rsidRPr="00666083">
        <w:rPr>
          <w:sz w:val="24"/>
          <w:szCs w:val="24"/>
        </w:rPr>
        <w:t xml:space="preserve"> ske gradvist over uger eller måneder afhængigt af dosis og behandlingsvarighed. Gradvis </w:t>
      </w:r>
      <w:proofErr w:type="spellStart"/>
      <w:r w:rsidRPr="00666083">
        <w:rPr>
          <w:sz w:val="24"/>
          <w:szCs w:val="24"/>
        </w:rPr>
        <w:t>seponering</w:t>
      </w:r>
      <w:proofErr w:type="spellEnd"/>
      <w:r w:rsidRPr="00666083">
        <w:rPr>
          <w:sz w:val="24"/>
          <w:szCs w:val="24"/>
        </w:rPr>
        <w:t xml:space="preserve"> bør også overvejes efter korttidsbehandling med højere doser eller hos patienter med risikofaktorer for binyrebarkinsufficiens. Den gradvise </w:t>
      </w:r>
      <w:proofErr w:type="spellStart"/>
      <w:r w:rsidRPr="00666083">
        <w:rPr>
          <w:sz w:val="24"/>
          <w:szCs w:val="24"/>
        </w:rPr>
        <w:t>seponering</w:t>
      </w:r>
      <w:proofErr w:type="spellEnd"/>
      <w:r w:rsidRPr="00666083">
        <w:rPr>
          <w:sz w:val="24"/>
          <w:szCs w:val="24"/>
        </w:rPr>
        <w:t xml:space="preserve"> bør tilpasses individuelt, men hovedparten af voksne patienter kan tåle dosisreduktioner på 2,5 mg hver tredje til syvende dag indtil en dosis svarende til 5-10 mg/dag.</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Voksne</w:t>
      </w:r>
    </w:p>
    <w:p w:rsidR="005A0DBA" w:rsidRPr="00666083" w:rsidRDefault="005A0DBA" w:rsidP="005A0DBA">
      <w:pPr>
        <w:ind w:left="851"/>
        <w:rPr>
          <w:sz w:val="24"/>
          <w:szCs w:val="24"/>
        </w:rPr>
      </w:pPr>
      <w:r w:rsidRPr="00666083">
        <w:rPr>
          <w:sz w:val="24"/>
          <w:szCs w:val="24"/>
        </w:rPr>
        <w:t>Betændelsessygdomme:</w:t>
      </w:r>
    </w:p>
    <w:p w:rsidR="005A0DBA" w:rsidRPr="00666083" w:rsidRDefault="005A0DBA" w:rsidP="005A0DBA">
      <w:pPr>
        <w:ind w:left="851"/>
        <w:rPr>
          <w:sz w:val="24"/>
          <w:szCs w:val="24"/>
        </w:rPr>
      </w:pPr>
      <w:r w:rsidRPr="00666083">
        <w:rPr>
          <w:sz w:val="24"/>
          <w:szCs w:val="24"/>
        </w:rPr>
        <w:t>Den daglige orale dosis er typisk mellem 5 og 60 mg afhængigt af sygdommens art og alvorlighed.</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Erstatningsterapi</w:t>
      </w:r>
      <w:r>
        <w:rPr>
          <w:sz w:val="24"/>
          <w:szCs w:val="24"/>
        </w:rPr>
        <w:t>:</w:t>
      </w:r>
    </w:p>
    <w:p w:rsidR="005A0DBA" w:rsidRPr="00666083" w:rsidRDefault="005A0DBA" w:rsidP="005A0DBA">
      <w:pPr>
        <w:ind w:left="851"/>
        <w:rPr>
          <w:sz w:val="24"/>
          <w:szCs w:val="24"/>
        </w:rPr>
      </w:pPr>
      <w:r w:rsidRPr="00666083">
        <w:rPr>
          <w:sz w:val="24"/>
          <w:szCs w:val="24"/>
        </w:rPr>
        <w:t>Den anbefalede startdosis er 5 mg om morgenen og halvdelen af morgenens dosis om aftenen.</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Pædiatrisk population</w:t>
      </w:r>
    </w:p>
    <w:p w:rsidR="005A0DBA" w:rsidRPr="00666083" w:rsidRDefault="005A0DBA" w:rsidP="005A0DBA">
      <w:pPr>
        <w:ind w:left="851"/>
        <w:rPr>
          <w:sz w:val="24"/>
          <w:szCs w:val="24"/>
        </w:rPr>
      </w:pPr>
      <w:r w:rsidRPr="00666083">
        <w:rPr>
          <w:sz w:val="24"/>
          <w:szCs w:val="24"/>
        </w:rPr>
        <w:t>Det er vigtigt, at vedligeholdelsesdosen hos børn sænkes gradvist til den laveste dosis, der giver tilstrækkelig sygdomskontrol og et minimum af bivirkninger på grund af risikoen for væksthæmning (se pkt. 4.4 og 4.8).</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Ældre</w:t>
      </w:r>
    </w:p>
    <w:p w:rsidR="005A0DBA" w:rsidRPr="00666083" w:rsidRDefault="005A0DBA" w:rsidP="005A0DBA">
      <w:pPr>
        <w:ind w:left="851"/>
        <w:rPr>
          <w:sz w:val="24"/>
          <w:szCs w:val="24"/>
        </w:rPr>
      </w:pPr>
      <w:r w:rsidRPr="00666083">
        <w:rPr>
          <w:sz w:val="24"/>
          <w:szCs w:val="24"/>
        </w:rPr>
        <w:t xml:space="preserve">Særlig dosisjustering er ikke nødvendig hos ældre patienter. Vedvarende brug af </w:t>
      </w:r>
      <w:proofErr w:type="spellStart"/>
      <w:r w:rsidRPr="00666083">
        <w:rPr>
          <w:sz w:val="24"/>
          <w:szCs w:val="24"/>
        </w:rPr>
        <w:t>kortikosteroider</w:t>
      </w:r>
      <w:proofErr w:type="spellEnd"/>
      <w:r w:rsidRPr="00666083">
        <w:rPr>
          <w:sz w:val="24"/>
          <w:szCs w:val="24"/>
        </w:rPr>
        <w:t xml:space="preserve"> hos ældre mennesker kan medføre en stigning i åbenbare og latente sygdomme</w:t>
      </w:r>
      <w:r>
        <w:rPr>
          <w:sz w:val="24"/>
          <w:szCs w:val="24"/>
        </w:rPr>
        <w:t xml:space="preserve"> </w:t>
      </w:r>
      <w:r w:rsidRPr="00666083">
        <w:rPr>
          <w:sz w:val="24"/>
          <w:szCs w:val="24"/>
        </w:rPr>
        <w:t>(</w:t>
      </w:r>
      <w:r>
        <w:rPr>
          <w:sz w:val="24"/>
          <w:szCs w:val="24"/>
        </w:rPr>
        <w:t>s</w:t>
      </w:r>
      <w:r w:rsidRPr="00666083">
        <w:rPr>
          <w:sz w:val="24"/>
          <w:szCs w:val="24"/>
        </w:rPr>
        <w:t>e pkt. 4.4 og 4.8).</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u w:val="single"/>
        </w:rPr>
        <w:t>Nedsat leverfunktion:</w:t>
      </w:r>
    </w:p>
    <w:p w:rsidR="005A0DBA" w:rsidRPr="00666083" w:rsidRDefault="005A0DBA" w:rsidP="005A0DBA">
      <w:pPr>
        <w:ind w:left="851"/>
        <w:rPr>
          <w:sz w:val="24"/>
          <w:szCs w:val="24"/>
        </w:rPr>
      </w:pPr>
      <w:r w:rsidRPr="00666083">
        <w:rPr>
          <w:sz w:val="24"/>
          <w:szCs w:val="24"/>
        </w:rPr>
        <w:lastRenderedPageBreak/>
        <w:t>Dosisjustering kan være nødvendig, da patienter med nedsat leverfunktion kan have større risiko for utilsigtede hændelser på grund af nedsat plasmaproteinbinding ved hypoalbuminæmi.</w:t>
      </w:r>
    </w:p>
    <w:p w:rsidR="005A0DBA" w:rsidRPr="00666083" w:rsidRDefault="005A0DBA" w:rsidP="005A0DBA">
      <w:pPr>
        <w:ind w:left="851" w:hanging="851"/>
        <w:rPr>
          <w:sz w:val="24"/>
          <w:szCs w:val="24"/>
        </w:rPr>
      </w:pPr>
    </w:p>
    <w:p w:rsidR="005A0DBA" w:rsidRPr="00666083" w:rsidRDefault="005A0DBA" w:rsidP="005A0DBA">
      <w:pPr>
        <w:ind w:left="851"/>
        <w:rPr>
          <w:sz w:val="24"/>
          <w:szCs w:val="24"/>
          <w:u w:val="single"/>
        </w:rPr>
      </w:pPr>
      <w:r w:rsidRPr="00666083">
        <w:rPr>
          <w:sz w:val="24"/>
          <w:szCs w:val="24"/>
          <w:u w:val="single"/>
        </w:rPr>
        <w:t>Nedsat nyrefunktion:</w:t>
      </w:r>
    </w:p>
    <w:p w:rsidR="005A0DBA" w:rsidRPr="00666083" w:rsidRDefault="005A0DBA" w:rsidP="005A0DBA">
      <w:pPr>
        <w:ind w:left="851"/>
        <w:rPr>
          <w:sz w:val="24"/>
          <w:szCs w:val="24"/>
        </w:rPr>
      </w:pPr>
      <w:r w:rsidRPr="00666083">
        <w:rPr>
          <w:sz w:val="24"/>
          <w:szCs w:val="24"/>
        </w:rPr>
        <w:t>Særlig dosisjustering er ikke nødvendig.</w:t>
      </w:r>
    </w:p>
    <w:p w:rsidR="005A0DBA" w:rsidRPr="00666083" w:rsidRDefault="005A0DBA" w:rsidP="005A0DBA">
      <w:pPr>
        <w:ind w:left="851" w:hanging="851"/>
        <w:rPr>
          <w:sz w:val="24"/>
          <w:szCs w:val="24"/>
        </w:rPr>
      </w:pPr>
    </w:p>
    <w:p w:rsidR="005A0DBA" w:rsidRPr="00666083" w:rsidRDefault="005A0DBA" w:rsidP="005A0DBA">
      <w:pPr>
        <w:ind w:left="851"/>
        <w:rPr>
          <w:sz w:val="24"/>
          <w:szCs w:val="24"/>
          <w:u w:val="single"/>
        </w:rPr>
      </w:pPr>
      <w:r w:rsidRPr="00666083">
        <w:rPr>
          <w:sz w:val="24"/>
          <w:szCs w:val="24"/>
          <w:u w:val="single"/>
        </w:rPr>
        <w:t xml:space="preserve">Administration </w:t>
      </w:r>
    </w:p>
    <w:p w:rsidR="005A0DBA" w:rsidRPr="00666083" w:rsidRDefault="005A0DBA" w:rsidP="005A0DBA">
      <w:pPr>
        <w:numPr>
          <w:ilvl w:val="12"/>
          <w:numId w:val="0"/>
        </w:numPr>
        <w:ind w:left="851" w:right="-2" w:hanging="851"/>
        <w:rPr>
          <w:sz w:val="24"/>
          <w:szCs w:val="24"/>
        </w:rPr>
      </w:pPr>
      <w:r w:rsidRPr="00666083">
        <w:rPr>
          <w:sz w:val="24"/>
          <w:szCs w:val="24"/>
        </w:rPr>
        <w:tab/>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skal sluges med vand. </w:t>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kan tages før eller efter et måltid.</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4.3</w:t>
      </w:r>
      <w:r w:rsidRPr="00666083">
        <w:rPr>
          <w:b/>
          <w:sz w:val="24"/>
          <w:szCs w:val="24"/>
        </w:rPr>
        <w:tab/>
        <w:t>Kontraindikationer</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er kontraindiceret ved:</w:t>
      </w:r>
    </w:p>
    <w:p w:rsidR="005A0DBA" w:rsidRPr="00666083" w:rsidRDefault="005A0DBA" w:rsidP="005A0DBA">
      <w:pPr>
        <w:numPr>
          <w:ilvl w:val="0"/>
          <w:numId w:val="7"/>
        </w:numPr>
        <w:ind w:left="1276" w:hanging="425"/>
        <w:rPr>
          <w:sz w:val="24"/>
          <w:szCs w:val="24"/>
        </w:rPr>
      </w:pPr>
      <w:r w:rsidRPr="00666083">
        <w:rPr>
          <w:sz w:val="24"/>
          <w:szCs w:val="24"/>
        </w:rPr>
        <w:t>Overfølsomhed over for det aktive stof eller over for et eller flere af hjælpestofferne anført i pkt. 6.1.</w:t>
      </w:r>
    </w:p>
    <w:p w:rsidR="005A0DBA" w:rsidRPr="00666083" w:rsidRDefault="005A0DBA" w:rsidP="005A0DBA">
      <w:pPr>
        <w:numPr>
          <w:ilvl w:val="0"/>
          <w:numId w:val="7"/>
        </w:numPr>
        <w:ind w:left="1276" w:hanging="425"/>
        <w:rPr>
          <w:sz w:val="24"/>
          <w:szCs w:val="24"/>
        </w:rPr>
      </w:pPr>
      <w:r w:rsidRPr="00666083">
        <w:rPr>
          <w:sz w:val="24"/>
          <w:szCs w:val="24"/>
        </w:rPr>
        <w:t xml:space="preserve">Systemiske svampeinfektioner </w:t>
      </w:r>
    </w:p>
    <w:p w:rsidR="005A0DBA" w:rsidRPr="00666083" w:rsidRDefault="005A0DBA" w:rsidP="005A0DBA">
      <w:pPr>
        <w:ind w:left="851"/>
        <w:rPr>
          <w:sz w:val="24"/>
          <w:szCs w:val="24"/>
        </w:rPr>
      </w:pPr>
      <w:r w:rsidRPr="00666083">
        <w:rPr>
          <w:sz w:val="24"/>
          <w:szCs w:val="24"/>
        </w:rPr>
        <w:t xml:space="preserve">Der gælder generelt ingen kontraindikationer under forhold, hvor anvendelse af </w:t>
      </w:r>
      <w:proofErr w:type="spellStart"/>
      <w:r w:rsidRPr="00666083">
        <w:rPr>
          <w:sz w:val="24"/>
          <w:szCs w:val="24"/>
        </w:rPr>
        <w:t>glukokortikoider</w:t>
      </w:r>
      <w:proofErr w:type="spellEnd"/>
      <w:r w:rsidRPr="00666083">
        <w:rPr>
          <w:sz w:val="24"/>
          <w:szCs w:val="24"/>
        </w:rPr>
        <w:t xml:space="preserve"> kan være livsnødvendigt.</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4.4</w:t>
      </w:r>
      <w:r w:rsidRPr="00666083">
        <w:rPr>
          <w:b/>
          <w:sz w:val="24"/>
          <w:szCs w:val="24"/>
        </w:rPr>
        <w:tab/>
        <w:t>Særlige advarsler og forsigtighedsregler vedrørende brugen</w:t>
      </w:r>
    </w:p>
    <w:p w:rsidR="005A0DBA" w:rsidRPr="00A17E34" w:rsidRDefault="005A0DBA" w:rsidP="005A0DBA">
      <w:pPr>
        <w:ind w:left="851"/>
        <w:rPr>
          <w:bCs/>
          <w:sz w:val="24"/>
          <w:szCs w:val="24"/>
        </w:rPr>
      </w:pPr>
      <w:r w:rsidRPr="00666083">
        <w:rPr>
          <w:sz w:val="24"/>
          <w:szCs w:val="24"/>
        </w:rPr>
        <w:t xml:space="preserve">Da komplikationerne ved </w:t>
      </w:r>
      <w:proofErr w:type="spellStart"/>
      <w:r w:rsidRPr="00666083">
        <w:rPr>
          <w:sz w:val="24"/>
          <w:szCs w:val="24"/>
        </w:rPr>
        <w:t>kortikosteroider</w:t>
      </w:r>
      <w:proofErr w:type="spellEnd"/>
      <w:r w:rsidRPr="00666083">
        <w:rPr>
          <w:sz w:val="24"/>
          <w:szCs w:val="24"/>
        </w:rPr>
        <w:t xml:space="preserve"> er dosisafhængige, skal dosis, behandlings</w:t>
      </w:r>
      <w:r w:rsidR="00BA032D">
        <w:rPr>
          <w:sz w:val="24"/>
          <w:szCs w:val="24"/>
        </w:rPr>
        <w:softHyphen/>
      </w:r>
      <w:r w:rsidRPr="00666083">
        <w:rPr>
          <w:sz w:val="24"/>
          <w:szCs w:val="24"/>
        </w:rPr>
        <w:t xml:space="preserve">varighed og </w:t>
      </w:r>
      <w:proofErr w:type="spellStart"/>
      <w:r w:rsidRPr="00666083">
        <w:rPr>
          <w:sz w:val="24"/>
          <w:szCs w:val="24"/>
        </w:rPr>
        <w:t>risk</w:t>
      </w:r>
      <w:proofErr w:type="spellEnd"/>
      <w:r w:rsidRPr="00666083">
        <w:rPr>
          <w:sz w:val="24"/>
          <w:szCs w:val="24"/>
        </w:rPr>
        <w:t xml:space="preserve">/benefit vurderes for hver enkelt patient. </w:t>
      </w:r>
      <w:r w:rsidRPr="00666083">
        <w:rPr>
          <w:sz w:val="24"/>
          <w:szCs w:val="24"/>
        </w:rPr>
        <w:br/>
        <w:t xml:space="preserve">Der skal anvendes den lavest mulige dosis </w:t>
      </w:r>
      <w:proofErr w:type="spellStart"/>
      <w:r w:rsidRPr="00666083">
        <w:rPr>
          <w:sz w:val="24"/>
          <w:szCs w:val="24"/>
        </w:rPr>
        <w:t>kortikosteroid</w:t>
      </w:r>
      <w:proofErr w:type="spellEnd"/>
      <w:r w:rsidRPr="00666083">
        <w:rPr>
          <w:sz w:val="24"/>
          <w:szCs w:val="24"/>
        </w:rPr>
        <w:t>, som kan kontrollere den tilstand, der behandles, og når dosisreduktion er mulig, skal denne ske gradvist (se pkt. 4.2).</w:t>
      </w:r>
    </w:p>
    <w:p w:rsidR="005A0DBA" w:rsidRPr="00666083" w:rsidRDefault="005A0DBA" w:rsidP="005A0DBA">
      <w:pPr>
        <w:ind w:left="851" w:hanging="851"/>
        <w:rPr>
          <w:sz w:val="24"/>
          <w:szCs w:val="24"/>
        </w:rPr>
      </w:pPr>
    </w:p>
    <w:p w:rsidR="005A0DBA" w:rsidRPr="00666083" w:rsidRDefault="005A0DBA" w:rsidP="005A0DBA">
      <w:pPr>
        <w:ind w:left="851" w:hanging="851"/>
        <w:rPr>
          <w:i/>
          <w:iCs/>
          <w:sz w:val="24"/>
          <w:szCs w:val="24"/>
        </w:rPr>
      </w:pPr>
      <w:r w:rsidRPr="00666083">
        <w:rPr>
          <w:i/>
          <w:iCs/>
          <w:sz w:val="24"/>
          <w:szCs w:val="24"/>
        </w:rPr>
        <w:tab/>
        <w:t>Betændelseshæmmende/</w:t>
      </w:r>
      <w:proofErr w:type="spellStart"/>
      <w:r w:rsidRPr="00666083">
        <w:rPr>
          <w:i/>
          <w:iCs/>
          <w:sz w:val="24"/>
          <w:szCs w:val="24"/>
        </w:rPr>
        <w:t>immunosuppressive</w:t>
      </w:r>
      <w:proofErr w:type="spellEnd"/>
      <w:r w:rsidRPr="00666083">
        <w:rPr>
          <w:i/>
          <w:iCs/>
          <w:sz w:val="24"/>
          <w:szCs w:val="24"/>
        </w:rPr>
        <w:t xml:space="preserve"> virkninger/infektion</w:t>
      </w:r>
    </w:p>
    <w:p w:rsidR="005A0DBA" w:rsidRPr="00666083" w:rsidRDefault="005A0DBA" w:rsidP="005A0DBA">
      <w:pPr>
        <w:ind w:left="851"/>
        <w:rPr>
          <w:sz w:val="24"/>
          <w:szCs w:val="24"/>
        </w:rPr>
      </w:pPr>
      <w:proofErr w:type="spellStart"/>
      <w:r w:rsidRPr="00666083">
        <w:rPr>
          <w:sz w:val="24"/>
          <w:szCs w:val="24"/>
        </w:rPr>
        <w:t>Kortikosteroider</w:t>
      </w:r>
      <w:proofErr w:type="spellEnd"/>
      <w:r w:rsidRPr="00666083">
        <w:rPr>
          <w:sz w:val="24"/>
          <w:szCs w:val="24"/>
        </w:rPr>
        <w:t xml:space="preserve"> kan maskere tegn på infektioner, og nye infektioner kan forekomme under behandling. </w:t>
      </w:r>
    </w:p>
    <w:p w:rsidR="005A0DBA" w:rsidRPr="00666083" w:rsidRDefault="005A0DBA" w:rsidP="005A0DBA">
      <w:pPr>
        <w:ind w:left="851"/>
        <w:rPr>
          <w:sz w:val="24"/>
          <w:szCs w:val="24"/>
        </w:rPr>
      </w:pPr>
      <w:proofErr w:type="spellStart"/>
      <w:r w:rsidRPr="00666083">
        <w:rPr>
          <w:sz w:val="24"/>
          <w:szCs w:val="24"/>
        </w:rPr>
        <w:t>Kortikosteroider</w:t>
      </w:r>
      <w:proofErr w:type="spellEnd"/>
      <w:r w:rsidRPr="00666083">
        <w:rPr>
          <w:sz w:val="24"/>
          <w:szCs w:val="24"/>
        </w:rPr>
        <w:t xml:space="preserve"> undertrykker immunsystemet, hvilket kan gøre det vanskeligt at identificere en infektion.</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Patienter i længerevarende </w:t>
      </w:r>
      <w:proofErr w:type="spellStart"/>
      <w:r w:rsidRPr="00666083">
        <w:rPr>
          <w:sz w:val="24"/>
          <w:szCs w:val="24"/>
        </w:rPr>
        <w:t>glukokortikoidbehandling</w:t>
      </w:r>
      <w:proofErr w:type="spellEnd"/>
      <w:r w:rsidRPr="00666083">
        <w:rPr>
          <w:sz w:val="24"/>
          <w:szCs w:val="24"/>
        </w:rPr>
        <w:t xml:space="preserve"> må ikke immuniseres med levende vacciner.</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proofErr w:type="spellStart"/>
      <w:r w:rsidRPr="00666083">
        <w:rPr>
          <w:sz w:val="24"/>
          <w:szCs w:val="24"/>
        </w:rPr>
        <w:t>Kortikosteroider</w:t>
      </w:r>
      <w:proofErr w:type="spellEnd"/>
      <w:r w:rsidRPr="00666083">
        <w:rPr>
          <w:sz w:val="24"/>
          <w:szCs w:val="24"/>
        </w:rPr>
        <w:t xml:space="preserve"> kan i høje doser interferere med aktiv immunisering. Dog kan immuniseringsprocedurer foretages hos patienter, der får </w:t>
      </w:r>
      <w:proofErr w:type="spellStart"/>
      <w:r w:rsidRPr="00666083">
        <w:rPr>
          <w:sz w:val="24"/>
          <w:szCs w:val="24"/>
        </w:rPr>
        <w:t>kortikosteroider</w:t>
      </w:r>
      <w:proofErr w:type="spellEnd"/>
      <w:r w:rsidRPr="00666083">
        <w:rPr>
          <w:sz w:val="24"/>
          <w:szCs w:val="24"/>
        </w:rPr>
        <w:t xml:space="preserve"> i lave doser, </w:t>
      </w:r>
      <w:r>
        <w:rPr>
          <w:sz w:val="24"/>
          <w:szCs w:val="24"/>
        </w:rPr>
        <w:t>f.eks.</w:t>
      </w:r>
      <w:r w:rsidRPr="00666083">
        <w:rPr>
          <w:sz w:val="24"/>
          <w:szCs w:val="24"/>
        </w:rPr>
        <w:t xml:space="preserve"> for Addisons sygdom.</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Patienter, der tager </w:t>
      </w:r>
      <w:proofErr w:type="spellStart"/>
      <w:r w:rsidRPr="00666083">
        <w:rPr>
          <w:sz w:val="24"/>
          <w:szCs w:val="24"/>
        </w:rPr>
        <w:t>kortikosteroider</w:t>
      </w:r>
      <w:proofErr w:type="spellEnd"/>
      <w:r w:rsidRPr="00666083">
        <w:rPr>
          <w:sz w:val="24"/>
          <w:szCs w:val="24"/>
        </w:rPr>
        <w:t xml:space="preserve"> i doser, der undertrykker immunsystemet, skal oplyses om, at de skal undgå eksponering for skoldkopper eller mæslinger. Hvis de eksponeres, skal de søge lægehjælp. Dette er særligt vigtigt, når det gælder børn.</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Ved aktiv tuberkulose bør </w:t>
      </w:r>
      <w:proofErr w:type="spellStart"/>
      <w:r w:rsidRPr="00666083">
        <w:rPr>
          <w:sz w:val="24"/>
          <w:szCs w:val="24"/>
        </w:rPr>
        <w:t>kortikosteroidbehandling</w:t>
      </w:r>
      <w:proofErr w:type="spellEnd"/>
      <w:r w:rsidRPr="00666083">
        <w:rPr>
          <w:sz w:val="24"/>
          <w:szCs w:val="24"/>
        </w:rPr>
        <w:t xml:space="preserve"> begrænses til tilfælde af fulminant eller dissemineret tuberkulose, hvor </w:t>
      </w:r>
      <w:proofErr w:type="spellStart"/>
      <w:r w:rsidRPr="00666083">
        <w:rPr>
          <w:sz w:val="24"/>
          <w:szCs w:val="24"/>
        </w:rPr>
        <w:t>kortikosteroidet</w:t>
      </w:r>
      <w:proofErr w:type="spellEnd"/>
      <w:r w:rsidRPr="00666083">
        <w:rPr>
          <w:sz w:val="24"/>
          <w:szCs w:val="24"/>
        </w:rPr>
        <w:t xml:space="preserve"> anvendes som en del af behandlingen i forbindelse med passende tuberkulosebehandling. Hvis </w:t>
      </w:r>
      <w:proofErr w:type="spellStart"/>
      <w:r w:rsidRPr="00666083">
        <w:rPr>
          <w:sz w:val="24"/>
          <w:szCs w:val="24"/>
        </w:rPr>
        <w:t>kortikosteroider</w:t>
      </w:r>
      <w:proofErr w:type="spellEnd"/>
      <w:r w:rsidRPr="00666083">
        <w:rPr>
          <w:sz w:val="24"/>
          <w:szCs w:val="24"/>
        </w:rPr>
        <w:t xml:space="preserve"> er indiceret til patienter med latent tuberkulose eller tuberkulinreaktive patienter, skal disse observeres nøje, da genopblussen af sygdommen kan forekomme. Ved længerevarende </w:t>
      </w:r>
      <w:proofErr w:type="spellStart"/>
      <w:r w:rsidRPr="00666083">
        <w:rPr>
          <w:sz w:val="24"/>
          <w:szCs w:val="24"/>
        </w:rPr>
        <w:t>kortikosteroidbehandling</w:t>
      </w:r>
      <w:proofErr w:type="spellEnd"/>
      <w:r w:rsidRPr="00666083">
        <w:rPr>
          <w:sz w:val="24"/>
          <w:szCs w:val="24"/>
        </w:rPr>
        <w:t xml:space="preserve"> bør patienterne modtage profylaktisk antituberkuløs behandling. Hvis der anvendes </w:t>
      </w:r>
      <w:proofErr w:type="spellStart"/>
      <w:r w:rsidRPr="00666083">
        <w:rPr>
          <w:sz w:val="24"/>
          <w:szCs w:val="24"/>
        </w:rPr>
        <w:t>rifampicin</w:t>
      </w:r>
      <w:proofErr w:type="spellEnd"/>
      <w:r w:rsidRPr="00666083">
        <w:rPr>
          <w:sz w:val="24"/>
          <w:szCs w:val="24"/>
        </w:rPr>
        <w:t xml:space="preserve"> i et antituberkuløs program, skal der tages højde for </w:t>
      </w:r>
      <w:proofErr w:type="spellStart"/>
      <w:r w:rsidRPr="00666083">
        <w:rPr>
          <w:sz w:val="24"/>
          <w:szCs w:val="24"/>
        </w:rPr>
        <w:t>rifampicins</w:t>
      </w:r>
      <w:proofErr w:type="spellEnd"/>
      <w:r w:rsidRPr="00666083">
        <w:rPr>
          <w:sz w:val="24"/>
          <w:szCs w:val="24"/>
        </w:rPr>
        <w:t xml:space="preserve"> øgede effekt på den metaboliske </w:t>
      </w:r>
      <w:proofErr w:type="spellStart"/>
      <w:r w:rsidRPr="00666083">
        <w:rPr>
          <w:sz w:val="24"/>
          <w:szCs w:val="24"/>
        </w:rPr>
        <w:t>clearance</w:t>
      </w:r>
      <w:proofErr w:type="spellEnd"/>
      <w:r w:rsidRPr="00666083">
        <w:rPr>
          <w:sz w:val="24"/>
          <w:szCs w:val="24"/>
        </w:rPr>
        <w:t xml:space="preserve"> af </w:t>
      </w:r>
      <w:proofErr w:type="spellStart"/>
      <w:r w:rsidRPr="00666083">
        <w:rPr>
          <w:sz w:val="24"/>
          <w:szCs w:val="24"/>
        </w:rPr>
        <w:t>kortikosteroider</w:t>
      </w:r>
      <w:proofErr w:type="spellEnd"/>
      <w:r w:rsidRPr="00666083">
        <w:rPr>
          <w:sz w:val="24"/>
          <w:szCs w:val="24"/>
        </w:rPr>
        <w:t xml:space="preserve"> i leveren. Det kan derfor være nødvendigt at øge dosis af </w:t>
      </w:r>
      <w:proofErr w:type="spellStart"/>
      <w:r w:rsidRPr="00666083">
        <w:rPr>
          <w:sz w:val="24"/>
          <w:szCs w:val="24"/>
        </w:rPr>
        <w:t>kortikosteroid</w:t>
      </w:r>
      <w:proofErr w:type="spellEnd"/>
      <w:r w:rsidRPr="00666083">
        <w:rPr>
          <w:sz w:val="24"/>
          <w:szCs w:val="24"/>
        </w:rPr>
        <w:t>.</w:t>
      </w:r>
    </w:p>
    <w:p w:rsidR="00C13F32" w:rsidRDefault="00C13F32">
      <w:pPr>
        <w:rPr>
          <w:sz w:val="24"/>
          <w:szCs w:val="24"/>
        </w:rPr>
      </w:pPr>
      <w:r>
        <w:rPr>
          <w:sz w:val="24"/>
          <w:szCs w:val="24"/>
        </w:rPr>
        <w:br w:type="page"/>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Binyresuppression</w:t>
      </w:r>
    </w:p>
    <w:p w:rsidR="005A0DBA" w:rsidRPr="00666083" w:rsidRDefault="005A0DBA" w:rsidP="005A0DBA">
      <w:pPr>
        <w:ind w:left="851"/>
        <w:rPr>
          <w:sz w:val="24"/>
          <w:szCs w:val="24"/>
        </w:rPr>
      </w:pPr>
      <w:r w:rsidRPr="00666083">
        <w:rPr>
          <w:sz w:val="24"/>
          <w:szCs w:val="24"/>
        </w:rPr>
        <w:t xml:space="preserve">Lægemiddelinduceret sekundær binyrebarkinsufficiens kan fremkomme ved hurtig </w:t>
      </w:r>
      <w:proofErr w:type="spellStart"/>
      <w:r w:rsidRPr="00666083">
        <w:rPr>
          <w:sz w:val="24"/>
          <w:szCs w:val="24"/>
        </w:rPr>
        <w:t>seponering</w:t>
      </w:r>
      <w:proofErr w:type="spellEnd"/>
      <w:r w:rsidRPr="00666083">
        <w:rPr>
          <w:sz w:val="24"/>
          <w:szCs w:val="24"/>
        </w:rPr>
        <w:t xml:space="preserve"> efter længerevarende behandling med </w:t>
      </w:r>
      <w:proofErr w:type="spellStart"/>
      <w:r w:rsidRPr="00666083">
        <w:rPr>
          <w:sz w:val="24"/>
          <w:szCs w:val="24"/>
        </w:rPr>
        <w:t>kortikosteroider</w:t>
      </w:r>
      <w:proofErr w:type="spellEnd"/>
      <w:r w:rsidRPr="00666083">
        <w:rPr>
          <w:sz w:val="24"/>
          <w:szCs w:val="24"/>
        </w:rPr>
        <w:t xml:space="preserve">. Det kan være nødvendigt at monitorere patienten i op til et år efter </w:t>
      </w:r>
      <w:proofErr w:type="spellStart"/>
      <w:r w:rsidRPr="00666083">
        <w:rPr>
          <w:sz w:val="24"/>
          <w:szCs w:val="24"/>
        </w:rPr>
        <w:t>seponering</w:t>
      </w:r>
      <w:proofErr w:type="spellEnd"/>
      <w:r w:rsidRPr="00666083">
        <w:rPr>
          <w:sz w:val="24"/>
          <w:szCs w:val="24"/>
        </w:rPr>
        <w:t xml:space="preserve"> af længerevarende eller højdosis behandling med </w:t>
      </w:r>
      <w:proofErr w:type="spellStart"/>
      <w:r w:rsidRPr="00666083">
        <w:rPr>
          <w:sz w:val="24"/>
          <w:szCs w:val="24"/>
        </w:rPr>
        <w:t>kortikosteroider</w:t>
      </w:r>
      <w:proofErr w:type="spellEnd"/>
      <w:r w:rsidRPr="00666083">
        <w:rPr>
          <w:sz w:val="24"/>
          <w:szCs w:val="24"/>
        </w:rPr>
        <w:t xml:space="preserve">. </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Abstinenssymptomerne kan omfatte feber, myalgi, </w:t>
      </w:r>
      <w:proofErr w:type="spellStart"/>
      <w:r w:rsidRPr="00666083">
        <w:rPr>
          <w:sz w:val="24"/>
          <w:szCs w:val="24"/>
        </w:rPr>
        <w:t>artralgi</w:t>
      </w:r>
      <w:proofErr w:type="spellEnd"/>
      <w:r w:rsidRPr="00666083">
        <w:rPr>
          <w:sz w:val="24"/>
          <w:szCs w:val="24"/>
        </w:rPr>
        <w:t xml:space="preserve">, hovedpine og dårlig almentilstand. De kan mindskes ved at seponere behandlingen gradvist (se pkt. 4.2). Disse symptomer kan vare ved i måneder efter, at behandlingen er afbrudt. </w:t>
      </w:r>
      <w:proofErr w:type="spellStart"/>
      <w:r w:rsidRPr="00666083">
        <w:rPr>
          <w:sz w:val="24"/>
          <w:szCs w:val="24"/>
        </w:rPr>
        <w:t>Kortikosteroidbehandlingen</w:t>
      </w:r>
      <w:proofErr w:type="spellEnd"/>
      <w:r w:rsidRPr="00666083">
        <w:rPr>
          <w:sz w:val="24"/>
          <w:szCs w:val="24"/>
        </w:rPr>
        <w:t xml:space="preserve"> bør derfor genoptages, hvis der opstår stress hos patienten i denne periode.</w:t>
      </w:r>
    </w:p>
    <w:p w:rsidR="005A0DBA" w:rsidRPr="00666083" w:rsidRDefault="005A0DBA" w:rsidP="005A0DBA">
      <w:pPr>
        <w:ind w:left="851"/>
        <w:rPr>
          <w:sz w:val="24"/>
          <w:szCs w:val="24"/>
        </w:rPr>
      </w:pPr>
      <w:r w:rsidRPr="00666083">
        <w:rPr>
          <w:sz w:val="24"/>
          <w:szCs w:val="24"/>
        </w:rPr>
        <w:t xml:space="preserve">Hvis patienten allerede får </w:t>
      </w:r>
      <w:proofErr w:type="spellStart"/>
      <w:r w:rsidRPr="00666083">
        <w:rPr>
          <w:sz w:val="24"/>
          <w:szCs w:val="24"/>
        </w:rPr>
        <w:t>kortikosteroider</w:t>
      </w:r>
      <w:proofErr w:type="spellEnd"/>
      <w:r w:rsidRPr="00666083">
        <w:rPr>
          <w:sz w:val="24"/>
          <w:szCs w:val="24"/>
        </w:rPr>
        <w:t xml:space="preserve">, kan det være nødvendigt at øge dosis. Salt og/eller et </w:t>
      </w:r>
      <w:proofErr w:type="spellStart"/>
      <w:r w:rsidRPr="00666083">
        <w:rPr>
          <w:sz w:val="24"/>
          <w:szCs w:val="24"/>
        </w:rPr>
        <w:t>mineralokortikoid</w:t>
      </w:r>
      <w:proofErr w:type="spellEnd"/>
      <w:r w:rsidRPr="00666083">
        <w:rPr>
          <w:sz w:val="24"/>
          <w:szCs w:val="24"/>
        </w:rPr>
        <w:t xml:space="preserve"> bør overvejes, da </w:t>
      </w:r>
      <w:proofErr w:type="spellStart"/>
      <w:r w:rsidRPr="00666083">
        <w:rPr>
          <w:sz w:val="24"/>
          <w:szCs w:val="24"/>
        </w:rPr>
        <w:t>mineralokortikoidsekretionen</w:t>
      </w:r>
      <w:proofErr w:type="spellEnd"/>
      <w:r w:rsidRPr="00666083">
        <w:rPr>
          <w:sz w:val="24"/>
          <w:szCs w:val="24"/>
        </w:rPr>
        <w:t xml:space="preserve"> kan være nedsat.</w:t>
      </w:r>
    </w:p>
    <w:p w:rsidR="005A0DBA" w:rsidRPr="00666083" w:rsidRDefault="005A0DBA" w:rsidP="005A0DBA">
      <w:pPr>
        <w:ind w:left="851" w:hanging="851"/>
        <w:rPr>
          <w:i/>
          <w:iCs/>
          <w:sz w:val="24"/>
          <w:szCs w:val="24"/>
        </w:rPr>
      </w:pPr>
    </w:p>
    <w:p w:rsidR="005A0DBA" w:rsidRPr="00666083" w:rsidRDefault="005A0DBA" w:rsidP="005A0DBA">
      <w:pPr>
        <w:ind w:left="851"/>
        <w:rPr>
          <w:i/>
          <w:iCs/>
          <w:sz w:val="24"/>
          <w:szCs w:val="24"/>
        </w:rPr>
      </w:pPr>
      <w:r w:rsidRPr="00666083">
        <w:rPr>
          <w:i/>
          <w:iCs/>
          <w:sz w:val="24"/>
          <w:szCs w:val="24"/>
        </w:rPr>
        <w:t>Tilstødende sygdom og stress</w:t>
      </w:r>
    </w:p>
    <w:p w:rsidR="005A0DBA" w:rsidRPr="00666083" w:rsidRDefault="005A0DBA" w:rsidP="005A0DBA">
      <w:pPr>
        <w:ind w:left="851"/>
        <w:rPr>
          <w:sz w:val="24"/>
          <w:szCs w:val="24"/>
        </w:rPr>
      </w:pPr>
      <w:r w:rsidRPr="00666083">
        <w:rPr>
          <w:sz w:val="24"/>
          <w:szCs w:val="24"/>
        </w:rPr>
        <w:t xml:space="preserve">Under langvarig behandling vil eventuelle tilstødende sygdomme, traumer eller kirurgiske indgreb kræve en midlertidig dosisforhøjelse. Hvis </w:t>
      </w:r>
      <w:proofErr w:type="spellStart"/>
      <w:r w:rsidRPr="00666083">
        <w:rPr>
          <w:sz w:val="24"/>
          <w:szCs w:val="24"/>
        </w:rPr>
        <w:t>kortikosteroiderne</w:t>
      </w:r>
      <w:proofErr w:type="spellEnd"/>
      <w:r w:rsidRPr="00666083">
        <w:rPr>
          <w:sz w:val="24"/>
          <w:szCs w:val="24"/>
        </w:rPr>
        <w:t xml:space="preserve"> er blevet seponeret efter langvarig behandling, kan det være nødvendigt at genindføre dem midlertidigt.</w:t>
      </w:r>
    </w:p>
    <w:p w:rsidR="005A0DBA" w:rsidRPr="00666083" w:rsidRDefault="005A0DBA" w:rsidP="005A0DBA">
      <w:pPr>
        <w:ind w:left="851" w:hanging="851"/>
        <w:rPr>
          <w:sz w:val="24"/>
          <w:szCs w:val="24"/>
        </w:rPr>
      </w:pPr>
    </w:p>
    <w:p w:rsidR="005A0DBA" w:rsidRPr="00666083" w:rsidRDefault="005A0DBA" w:rsidP="005A0DBA">
      <w:pPr>
        <w:ind w:left="851"/>
        <w:rPr>
          <w:i/>
          <w:sz w:val="24"/>
          <w:szCs w:val="24"/>
        </w:rPr>
      </w:pPr>
      <w:r w:rsidRPr="00666083">
        <w:rPr>
          <w:i/>
          <w:sz w:val="24"/>
          <w:szCs w:val="24"/>
        </w:rPr>
        <w:t>Diabetes</w:t>
      </w:r>
    </w:p>
    <w:p w:rsidR="005A0DBA" w:rsidRPr="00666083" w:rsidRDefault="005A0DBA" w:rsidP="005A0DBA">
      <w:pPr>
        <w:ind w:left="851"/>
        <w:rPr>
          <w:sz w:val="24"/>
          <w:szCs w:val="24"/>
        </w:rPr>
      </w:pPr>
      <w:r w:rsidRPr="00666083">
        <w:rPr>
          <w:sz w:val="24"/>
          <w:szCs w:val="24"/>
        </w:rPr>
        <w:t xml:space="preserve">Behandling med </w:t>
      </w:r>
      <w:proofErr w:type="spellStart"/>
      <w:r w:rsidRPr="00666083">
        <w:rPr>
          <w:sz w:val="24"/>
          <w:szCs w:val="24"/>
        </w:rPr>
        <w:t>kortikosteroider</w:t>
      </w:r>
      <w:proofErr w:type="spellEnd"/>
      <w:r w:rsidRPr="00666083">
        <w:rPr>
          <w:sz w:val="24"/>
          <w:szCs w:val="24"/>
        </w:rPr>
        <w:t xml:space="preserve"> kan øge insulinresistensen, hvorfor der er risiko for udvikling af diabetes hos patienter med nedsat </w:t>
      </w:r>
      <w:proofErr w:type="spellStart"/>
      <w:r w:rsidRPr="00666083">
        <w:rPr>
          <w:sz w:val="24"/>
          <w:szCs w:val="24"/>
        </w:rPr>
        <w:t>glu</w:t>
      </w:r>
      <w:r>
        <w:rPr>
          <w:sz w:val="24"/>
          <w:szCs w:val="24"/>
        </w:rPr>
        <w:t>c</w:t>
      </w:r>
      <w:r w:rsidRPr="00666083">
        <w:rPr>
          <w:sz w:val="24"/>
          <w:szCs w:val="24"/>
        </w:rPr>
        <w:t>osetolerance</w:t>
      </w:r>
      <w:proofErr w:type="spellEnd"/>
      <w:r w:rsidRPr="00666083">
        <w:rPr>
          <w:sz w:val="24"/>
          <w:szCs w:val="24"/>
        </w:rPr>
        <w:t xml:space="preserve">. Dette kan tilsvarende medføre et øget behov for insulin eller orale </w:t>
      </w:r>
      <w:proofErr w:type="spellStart"/>
      <w:r w:rsidRPr="00666083">
        <w:rPr>
          <w:sz w:val="24"/>
          <w:szCs w:val="24"/>
        </w:rPr>
        <w:t>antidiabetika</w:t>
      </w:r>
      <w:proofErr w:type="spellEnd"/>
      <w:r w:rsidRPr="00666083">
        <w:rPr>
          <w:sz w:val="24"/>
          <w:szCs w:val="24"/>
        </w:rPr>
        <w:t xml:space="preserve"> hos patienter, der er i behandling for diabetes mellitus.</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Omkring 20 % af patienter, der behandles med høje steroiddoser, udvikler </w:t>
      </w:r>
      <w:r>
        <w:rPr>
          <w:sz w:val="24"/>
          <w:szCs w:val="24"/>
        </w:rPr>
        <w:t>"</w:t>
      </w:r>
      <w:r w:rsidRPr="00666083">
        <w:rPr>
          <w:sz w:val="24"/>
          <w:szCs w:val="24"/>
        </w:rPr>
        <w:t>steroid diabetes</w:t>
      </w:r>
      <w:r>
        <w:rPr>
          <w:sz w:val="24"/>
          <w:szCs w:val="24"/>
        </w:rPr>
        <w:t>"</w:t>
      </w:r>
      <w:r w:rsidRPr="00666083">
        <w:rPr>
          <w:sz w:val="24"/>
          <w:szCs w:val="24"/>
        </w:rPr>
        <w:t xml:space="preserve">. Denne er reversibel ved </w:t>
      </w:r>
      <w:proofErr w:type="spellStart"/>
      <w:r w:rsidRPr="00666083">
        <w:rPr>
          <w:sz w:val="24"/>
          <w:szCs w:val="24"/>
        </w:rPr>
        <w:t>seponering</w:t>
      </w:r>
      <w:proofErr w:type="spellEnd"/>
      <w:r w:rsidRPr="00666083">
        <w:rPr>
          <w:sz w:val="24"/>
          <w:szCs w:val="24"/>
        </w:rPr>
        <w:t xml:space="preserve"> af behandlingen.</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proofErr w:type="spellStart"/>
      <w:r w:rsidRPr="00666083">
        <w:rPr>
          <w:i/>
          <w:iCs/>
          <w:sz w:val="24"/>
          <w:szCs w:val="24"/>
        </w:rPr>
        <w:t>Gastrointestinal</w:t>
      </w:r>
      <w:proofErr w:type="spellEnd"/>
      <w:r w:rsidRPr="00666083">
        <w:rPr>
          <w:i/>
          <w:iCs/>
          <w:sz w:val="24"/>
          <w:szCs w:val="24"/>
        </w:rPr>
        <w:t xml:space="preserve"> perforation</w:t>
      </w:r>
    </w:p>
    <w:p w:rsidR="005A0DBA" w:rsidRPr="00666083" w:rsidRDefault="005A0DBA" w:rsidP="005A0DBA">
      <w:pPr>
        <w:ind w:left="851"/>
        <w:rPr>
          <w:sz w:val="24"/>
          <w:szCs w:val="24"/>
        </w:rPr>
      </w:pPr>
      <w:proofErr w:type="spellStart"/>
      <w:r w:rsidRPr="00666083">
        <w:rPr>
          <w:sz w:val="24"/>
          <w:szCs w:val="24"/>
        </w:rPr>
        <w:t>Kortikosteroider</w:t>
      </w:r>
      <w:proofErr w:type="spellEnd"/>
      <w:r w:rsidRPr="00666083">
        <w:rPr>
          <w:sz w:val="24"/>
          <w:szCs w:val="24"/>
        </w:rPr>
        <w:t xml:space="preserve"> bør anvendes med forsigtighed til patienter med uspecifik </w:t>
      </w:r>
      <w:proofErr w:type="spellStart"/>
      <w:r w:rsidRPr="00666083">
        <w:rPr>
          <w:sz w:val="24"/>
          <w:szCs w:val="24"/>
        </w:rPr>
        <w:t>ulcerativ</w:t>
      </w:r>
      <w:proofErr w:type="spellEnd"/>
      <w:r w:rsidRPr="00666083">
        <w:rPr>
          <w:sz w:val="24"/>
          <w:szCs w:val="24"/>
        </w:rPr>
        <w:t xml:space="preserve"> colitis, </w:t>
      </w:r>
      <w:proofErr w:type="spellStart"/>
      <w:r w:rsidRPr="00666083">
        <w:rPr>
          <w:sz w:val="24"/>
          <w:szCs w:val="24"/>
        </w:rPr>
        <w:t>diverticulitis</w:t>
      </w:r>
      <w:proofErr w:type="spellEnd"/>
      <w:r w:rsidRPr="00666083">
        <w:rPr>
          <w:sz w:val="24"/>
          <w:szCs w:val="24"/>
        </w:rPr>
        <w:t xml:space="preserve"> og </w:t>
      </w:r>
      <w:proofErr w:type="spellStart"/>
      <w:r w:rsidRPr="00666083">
        <w:rPr>
          <w:sz w:val="24"/>
          <w:szCs w:val="24"/>
        </w:rPr>
        <w:t>ileitis</w:t>
      </w:r>
      <w:proofErr w:type="spellEnd"/>
      <w:r w:rsidRPr="00666083">
        <w:rPr>
          <w:sz w:val="24"/>
          <w:szCs w:val="24"/>
        </w:rPr>
        <w:t xml:space="preserve"> på grund af risiko for perforation. </w:t>
      </w:r>
      <w:proofErr w:type="spellStart"/>
      <w:r w:rsidRPr="00666083">
        <w:rPr>
          <w:sz w:val="24"/>
          <w:szCs w:val="24"/>
        </w:rPr>
        <w:t>Kortikosteroidernes</w:t>
      </w:r>
      <w:proofErr w:type="spellEnd"/>
      <w:r w:rsidRPr="00666083">
        <w:rPr>
          <w:sz w:val="24"/>
          <w:szCs w:val="24"/>
        </w:rPr>
        <w:t xml:space="preserve"> antiinflammatoriske egenskab kan maskere tegn på </w:t>
      </w:r>
      <w:proofErr w:type="spellStart"/>
      <w:r w:rsidRPr="00666083">
        <w:rPr>
          <w:sz w:val="24"/>
          <w:szCs w:val="24"/>
        </w:rPr>
        <w:t>gastrointestinal</w:t>
      </w:r>
      <w:proofErr w:type="spellEnd"/>
      <w:r w:rsidRPr="00666083">
        <w:rPr>
          <w:sz w:val="24"/>
          <w:szCs w:val="24"/>
        </w:rPr>
        <w:t xml:space="preserve"> perforation og forsinke diagnosen med risiko for fatale følger. </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Væskeretention</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bør anvendes med forsigtighed til patienter med hypertension eller hjerteinsufficiens. Middel og høje doser af </w:t>
      </w:r>
      <w:proofErr w:type="spellStart"/>
      <w:r w:rsidRPr="00666083">
        <w:rPr>
          <w:sz w:val="24"/>
          <w:szCs w:val="24"/>
        </w:rPr>
        <w:t>kortikosteroider</w:t>
      </w:r>
      <w:proofErr w:type="spellEnd"/>
      <w:r w:rsidRPr="00666083">
        <w:rPr>
          <w:sz w:val="24"/>
          <w:szCs w:val="24"/>
        </w:rPr>
        <w:t xml:space="preserve"> kan fremkalde forhøjet blodtryk, salt- og væskeretention samt øget udskillelse af kalium. Sandsynligheden for dette er mindre ved de syntetiske derivater, dog ikke når der anvendes høje doser. Saltfattig og kaliumrig diæt kan overvejes.</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Psykiatriske reaktioner</w:t>
      </w:r>
    </w:p>
    <w:p w:rsidR="005A0DBA" w:rsidRPr="00666083" w:rsidRDefault="005A0DBA" w:rsidP="005A0DBA">
      <w:pPr>
        <w:ind w:left="851"/>
        <w:rPr>
          <w:sz w:val="24"/>
          <w:szCs w:val="24"/>
        </w:rPr>
      </w:pPr>
      <w:r w:rsidRPr="00666083">
        <w:rPr>
          <w:sz w:val="24"/>
          <w:szCs w:val="24"/>
        </w:rPr>
        <w:t xml:space="preserve">Psykiske forstyrrelser kan forekomme efter </w:t>
      </w:r>
      <w:proofErr w:type="spellStart"/>
      <w:r w:rsidRPr="00666083">
        <w:rPr>
          <w:sz w:val="24"/>
          <w:szCs w:val="24"/>
        </w:rPr>
        <w:t>kortikosteroidbehandling</w:t>
      </w:r>
      <w:proofErr w:type="spellEnd"/>
      <w:r w:rsidRPr="00666083">
        <w:rPr>
          <w:sz w:val="24"/>
          <w:szCs w:val="24"/>
        </w:rPr>
        <w:t xml:space="preserve">. Eksisterende emotionel ustabilitet eller psykotiske tendenser kan forværres af </w:t>
      </w:r>
      <w:proofErr w:type="spellStart"/>
      <w:r w:rsidRPr="00666083">
        <w:rPr>
          <w:sz w:val="24"/>
          <w:szCs w:val="24"/>
        </w:rPr>
        <w:t>kortikosteroider</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Osteoporose</w:t>
      </w:r>
    </w:p>
    <w:p w:rsidR="005A0DBA" w:rsidRPr="00666083" w:rsidRDefault="005A0DBA" w:rsidP="005A0DBA">
      <w:pPr>
        <w:ind w:left="851"/>
        <w:rPr>
          <w:sz w:val="24"/>
          <w:szCs w:val="24"/>
        </w:rPr>
      </w:pPr>
      <w:r w:rsidRPr="00666083">
        <w:rPr>
          <w:sz w:val="24"/>
          <w:szCs w:val="24"/>
        </w:rPr>
        <w:t xml:space="preserve">Der må, afhængigt af behandlingsvarigheden og den anvendte dosis, forventes en negativ påvirkning af </w:t>
      </w:r>
      <w:r>
        <w:rPr>
          <w:sz w:val="24"/>
          <w:szCs w:val="24"/>
        </w:rPr>
        <w:t>c</w:t>
      </w:r>
      <w:r w:rsidRPr="00666083">
        <w:rPr>
          <w:sz w:val="24"/>
          <w:szCs w:val="24"/>
        </w:rPr>
        <w:t xml:space="preserve">alciummetabolismen. Profylakse mod osteoporose anbefales derfor og er især vigtigt, hvis der foreligger andre risikofaktorer. Profylaksen er baseret på et tilstrækkeligt indtag af </w:t>
      </w:r>
      <w:r>
        <w:rPr>
          <w:sz w:val="24"/>
          <w:szCs w:val="24"/>
        </w:rPr>
        <w:t>c</w:t>
      </w:r>
      <w:r w:rsidRPr="00666083">
        <w:rPr>
          <w:sz w:val="24"/>
          <w:szCs w:val="24"/>
        </w:rPr>
        <w:t>alcium og D-vitamin samt på fysisk aktivitet. I tilfælde af forud eksisterende osteoporose bør en tillægsbehandling overvejes.</w:t>
      </w:r>
    </w:p>
    <w:p w:rsidR="005A0DBA" w:rsidRPr="00666083" w:rsidRDefault="005A0DBA" w:rsidP="005A0DBA">
      <w:pPr>
        <w:ind w:left="851" w:hanging="851"/>
        <w:rPr>
          <w:sz w:val="24"/>
          <w:szCs w:val="24"/>
        </w:rPr>
      </w:pPr>
    </w:p>
    <w:p w:rsidR="005A0DBA" w:rsidRPr="00496C9D" w:rsidRDefault="005A0DBA" w:rsidP="005A0DBA">
      <w:pPr>
        <w:ind w:left="851"/>
        <w:rPr>
          <w:i/>
          <w:iCs/>
          <w:sz w:val="24"/>
          <w:szCs w:val="24"/>
        </w:rPr>
      </w:pPr>
      <w:r w:rsidRPr="00496C9D">
        <w:rPr>
          <w:i/>
          <w:iCs/>
          <w:sz w:val="24"/>
          <w:szCs w:val="24"/>
        </w:rPr>
        <w:t>Øjne</w:t>
      </w:r>
    </w:p>
    <w:p w:rsidR="005A0DBA" w:rsidRPr="00496C9D" w:rsidRDefault="005A0DBA" w:rsidP="005A0DBA">
      <w:pPr>
        <w:ind w:left="851"/>
        <w:rPr>
          <w:sz w:val="24"/>
          <w:szCs w:val="24"/>
        </w:rPr>
      </w:pPr>
      <w:r w:rsidRPr="00496C9D">
        <w:rPr>
          <w:sz w:val="24"/>
          <w:szCs w:val="24"/>
        </w:rPr>
        <w:t xml:space="preserve">Længerevarende brug af </w:t>
      </w:r>
      <w:proofErr w:type="spellStart"/>
      <w:r w:rsidRPr="00496C9D">
        <w:rPr>
          <w:sz w:val="24"/>
          <w:szCs w:val="24"/>
        </w:rPr>
        <w:t>kortikosteroider</w:t>
      </w:r>
      <w:proofErr w:type="spellEnd"/>
      <w:r w:rsidRPr="00496C9D">
        <w:rPr>
          <w:sz w:val="24"/>
          <w:szCs w:val="24"/>
        </w:rPr>
        <w:t xml:space="preserve"> kan medføre </w:t>
      </w:r>
      <w:proofErr w:type="spellStart"/>
      <w:r w:rsidRPr="00496C9D">
        <w:rPr>
          <w:sz w:val="24"/>
          <w:szCs w:val="24"/>
        </w:rPr>
        <w:t>subkapsulær</w:t>
      </w:r>
      <w:proofErr w:type="spellEnd"/>
      <w:r w:rsidRPr="00496C9D">
        <w:rPr>
          <w:sz w:val="24"/>
          <w:szCs w:val="24"/>
        </w:rPr>
        <w:t xml:space="preserve"> katarakt (specielt hos børn), øget risiko for </w:t>
      </w:r>
      <w:proofErr w:type="spellStart"/>
      <w:r w:rsidRPr="00496C9D">
        <w:rPr>
          <w:sz w:val="24"/>
          <w:szCs w:val="24"/>
        </w:rPr>
        <w:t>okulær</w:t>
      </w:r>
      <w:proofErr w:type="spellEnd"/>
      <w:r w:rsidRPr="00496C9D">
        <w:rPr>
          <w:sz w:val="24"/>
          <w:szCs w:val="24"/>
        </w:rPr>
        <w:t xml:space="preserve"> infektion og </w:t>
      </w:r>
      <w:proofErr w:type="spellStart"/>
      <w:r w:rsidRPr="00496C9D">
        <w:rPr>
          <w:sz w:val="24"/>
          <w:szCs w:val="24"/>
        </w:rPr>
        <w:t>glaukom</w:t>
      </w:r>
      <w:proofErr w:type="spellEnd"/>
      <w:r w:rsidRPr="00496C9D">
        <w:rPr>
          <w:sz w:val="24"/>
          <w:szCs w:val="24"/>
        </w:rPr>
        <w:t xml:space="preserve"> med risiko for skade på den optiske nerve. </w:t>
      </w:r>
      <w:proofErr w:type="spellStart"/>
      <w:r w:rsidRPr="00496C9D">
        <w:rPr>
          <w:sz w:val="24"/>
          <w:szCs w:val="24"/>
        </w:rPr>
        <w:t>Kortikosteroider</w:t>
      </w:r>
      <w:proofErr w:type="spellEnd"/>
      <w:r w:rsidRPr="00496C9D">
        <w:rPr>
          <w:sz w:val="24"/>
          <w:szCs w:val="24"/>
        </w:rPr>
        <w:t xml:space="preserve"> bør anvendes med forsigtighed til patienter med </w:t>
      </w:r>
      <w:proofErr w:type="spellStart"/>
      <w:r w:rsidRPr="00496C9D">
        <w:rPr>
          <w:sz w:val="24"/>
          <w:szCs w:val="24"/>
        </w:rPr>
        <w:t>okulær</w:t>
      </w:r>
      <w:proofErr w:type="spellEnd"/>
      <w:r w:rsidRPr="00496C9D">
        <w:rPr>
          <w:sz w:val="24"/>
          <w:szCs w:val="24"/>
        </w:rPr>
        <w:t xml:space="preserve"> herpes </w:t>
      </w:r>
      <w:proofErr w:type="spellStart"/>
      <w:r w:rsidRPr="00496C9D">
        <w:rPr>
          <w:sz w:val="24"/>
          <w:szCs w:val="24"/>
        </w:rPr>
        <w:t>simplex</w:t>
      </w:r>
      <w:proofErr w:type="spellEnd"/>
      <w:r w:rsidRPr="00496C9D">
        <w:rPr>
          <w:sz w:val="24"/>
          <w:szCs w:val="24"/>
        </w:rPr>
        <w:t xml:space="preserve"> på grund af risikoen for perforation af </w:t>
      </w:r>
      <w:proofErr w:type="spellStart"/>
      <w:r w:rsidRPr="00496C9D">
        <w:rPr>
          <w:sz w:val="24"/>
          <w:szCs w:val="24"/>
        </w:rPr>
        <w:t>cornea</w:t>
      </w:r>
      <w:proofErr w:type="spellEnd"/>
      <w:r w:rsidRPr="00496C9D">
        <w:rPr>
          <w:sz w:val="24"/>
          <w:szCs w:val="24"/>
        </w:rPr>
        <w:t>.</w:t>
      </w:r>
    </w:p>
    <w:p w:rsidR="005A0DBA" w:rsidRPr="00496C9D" w:rsidRDefault="005A0DBA" w:rsidP="005A0DBA">
      <w:pPr>
        <w:ind w:left="851"/>
        <w:rPr>
          <w:sz w:val="24"/>
          <w:szCs w:val="24"/>
        </w:rPr>
      </w:pPr>
    </w:p>
    <w:p w:rsidR="005A0DBA" w:rsidRPr="00496C9D" w:rsidRDefault="005A0DBA" w:rsidP="005A0DBA">
      <w:pPr>
        <w:ind w:left="851"/>
        <w:rPr>
          <w:i/>
          <w:sz w:val="24"/>
          <w:szCs w:val="24"/>
        </w:rPr>
      </w:pPr>
      <w:r w:rsidRPr="00496C9D">
        <w:rPr>
          <w:i/>
          <w:sz w:val="24"/>
          <w:szCs w:val="24"/>
        </w:rPr>
        <w:t xml:space="preserve">Synsforstyrrelser </w:t>
      </w:r>
    </w:p>
    <w:p w:rsidR="005A0DBA" w:rsidRPr="00496C9D" w:rsidRDefault="005A0DBA" w:rsidP="005A0DBA">
      <w:pPr>
        <w:ind w:left="851"/>
        <w:rPr>
          <w:sz w:val="24"/>
          <w:szCs w:val="24"/>
        </w:rPr>
      </w:pPr>
      <w:r w:rsidRPr="00496C9D">
        <w:rPr>
          <w:sz w:val="24"/>
          <w:szCs w:val="24"/>
        </w:rPr>
        <w:t xml:space="preserve">Ved brug af systemisk og </w:t>
      </w:r>
      <w:proofErr w:type="spellStart"/>
      <w:r w:rsidRPr="00496C9D">
        <w:rPr>
          <w:sz w:val="24"/>
          <w:szCs w:val="24"/>
        </w:rPr>
        <w:t>topikalt</w:t>
      </w:r>
      <w:proofErr w:type="spellEnd"/>
      <w:r w:rsidRPr="00496C9D">
        <w:rPr>
          <w:sz w:val="24"/>
          <w:szCs w:val="24"/>
        </w:rPr>
        <w:t xml:space="preserve"> </w:t>
      </w:r>
      <w:proofErr w:type="spellStart"/>
      <w:r w:rsidRPr="00496C9D">
        <w:rPr>
          <w:sz w:val="24"/>
          <w:szCs w:val="24"/>
        </w:rPr>
        <w:t>kortikosteroid</w:t>
      </w:r>
      <w:proofErr w:type="spellEnd"/>
      <w:r w:rsidRPr="00496C9D">
        <w:rPr>
          <w:sz w:val="24"/>
          <w:szCs w:val="24"/>
        </w:rPr>
        <w:t xml:space="preserve">, kan der blive indberettet synsforstyrrelser. Ved symptomer som sløret syn eller andre synsforstyrrelser bør det overvejes at henvise patienten til øjenlæge med henblik på vurdering af de mulige årsager; disse kan være grå stær, </w:t>
      </w:r>
      <w:proofErr w:type="spellStart"/>
      <w:r w:rsidRPr="00496C9D">
        <w:rPr>
          <w:sz w:val="24"/>
          <w:szCs w:val="24"/>
        </w:rPr>
        <w:t>glaukom</w:t>
      </w:r>
      <w:proofErr w:type="spellEnd"/>
      <w:r w:rsidRPr="00496C9D">
        <w:rPr>
          <w:sz w:val="24"/>
          <w:szCs w:val="24"/>
        </w:rPr>
        <w:t xml:space="preserve"> eller sjældne sygdomme såsom central serøs </w:t>
      </w:r>
      <w:proofErr w:type="spellStart"/>
      <w:r w:rsidRPr="00496C9D">
        <w:rPr>
          <w:sz w:val="24"/>
          <w:szCs w:val="24"/>
        </w:rPr>
        <w:t>korioretinopati</w:t>
      </w:r>
      <w:proofErr w:type="spellEnd"/>
      <w:r w:rsidRPr="00496C9D">
        <w:rPr>
          <w:sz w:val="24"/>
          <w:szCs w:val="24"/>
        </w:rPr>
        <w:t xml:space="preserve"> (CSCR), som er indberettet efter brug af systemiske og </w:t>
      </w:r>
      <w:proofErr w:type="spellStart"/>
      <w:r w:rsidRPr="00496C9D">
        <w:rPr>
          <w:sz w:val="24"/>
          <w:szCs w:val="24"/>
        </w:rPr>
        <w:t>topikale</w:t>
      </w:r>
      <w:proofErr w:type="spellEnd"/>
      <w:r w:rsidRPr="00496C9D">
        <w:rPr>
          <w:sz w:val="24"/>
          <w:szCs w:val="24"/>
        </w:rPr>
        <w:t xml:space="preserve"> </w:t>
      </w:r>
      <w:proofErr w:type="spellStart"/>
      <w:r w:rsidRPr="00496C9D">
        <w:rPr>
          <w:sz w:val="24"/>
          <w:szCs w:val="24"/>
        </w:rPr>
        <w:t>kortikosteroider</w:t>
      </w:r>
      <w:proofErr w:type="spellEnd"/>
      <w:r w:rsidRPr="00496C9D">
        <w:rPr>
          <w:sz w:val="24"/>
          <w:szCs w:val="24"/>
        </w:rPr>
        <w:t>.</w:t>
      </w:r>
    </w:p>
    <w:p w:rsidR="005A0DBA" w:rsidRPr="00496C9D" w:rsidRDefault="005A0DBA" w:rsidP="005A0DBA">
      <w:pPr>
        <w:ind w:left="851"/>
        <w:rPr>
          <w:sz w:val="24"/>
          <w:szCs w:val="24"/>
        </w:rPr>
      </w:pPr>
    </w:p>
    <w:p w:rsidR="005A0DBA" w:rsidRPr="00496C9D" w:rsidRDefault="005A0DBA" w:rsidP="005A0DBA">
      <w:pPr>
        <w:ind w:left="851"/>
        <w:rPr>
          <w:i/>
          <w:iCs/>
          <w:sz w:val="24"/>
          <w:szCs w:val="24"/>
        </w:rPr>
      </w:pPr>
      <w:proofErr w:type="spellStart"/>
      <w:r w:rsidRPr="00496C9D">
        <w:rPr>
          <w:i/>
          <w:iCs/>
          <w:sz w:val="24"/>
          <w:szCs w:val="24"/>
        </w:rPr>
        <w:t>Fæokromocytomkrise</w:t>
      </w:r>
      <w:proofErr w:type="spellEnd"/>
    </w:p>
    <w:p w:rsidR="005A0DBA" w:rsidRPr="00496C9D" w:rsidRDefault="005A0DBA" w:rsidP="005A0DBA">
      <w:pPr>
        <w:ind w:left="851"/>
        <w:rPr>
          <w:sz w:val="24"/>
          <w:szCs w:val="24"/>
        </w:rPr>
      </w:pPr>
      <w:proofErr w:type="spellStart"/>
      <w:r w:rsidRPr="00496C9D">
        <w:rPr>
          <w:sz w:val="24"/>
          <w:szCs w:val="24"/>
        </w:rPr>
        <w:t>Fæokromocytomkrise</w:t>
      </w:r>
      <w:proofErr w:type="spellEnd"/>
      <w:r w:rsidRPr="00496C9D">
        <w:rPr>
          <w:sz w:val="24"/>
          <w:szCs w:val="24"/>
        </w:rPr>
        <w:t xml:space="preserve">, som kan være fatalt, er blevet indberettet efter administration af systemiske </w:t>
      </w:r>
      <w:proofErr w:type="spellStart"/>
      <w:r w:rsidRPr="00496C9D">
        <w:rPr>
          <w:sz w:val="24"/>
          <w:szCs w:val="24"/>
        </w:rPr>
        <w:t>kortikosteroider</w:t>
      </w:r>
      <w:proofErr w:type="spellEnd"/>
      <w:r w:rsidRPr="00496C9D">
        <w:rPr>
          <w:sz w:val="24"/>
          <w:szCs w:val="24"/>
        </w:rPr>
        <w:t xml:space="preserve">. </w:t>
      </w:r>
      <w:proofErr w:type="spellStart"/>
      <w:r w:rsidRPr="00496C9D">
        <w:rPr>
          <w:sz w:val="24"/>
          <w:szCs w:val="24"/>
        </w:rPr>
        <w:t>Kortikosteroider</w:t>
      </w:r>
      <w:proofErr w:type="spellEnd"/>
      <w:r w:rsidRPr="00496C9D">
        <w:rPr>
          <w:sz w:val="24"/>
          <w:szCs w:val="24"/>
        </w:rPr>
        <w:t xml:space="preserve"> bør kun administreres til patienter med formodet eller identificeret </w:t>
      </w:r>
      <w:proofErr w:type="spellStart"/>
      <w:r w:rsidRPr="00496C9D">
        <w:rPr>
          <w:sz w:val="24"/>
          <w:szCs w:val="24"/>
        </w:rPr>
        <w:t>fæokromocytom</w:t>
      </w:r>
      <w:proofErr w:type="spellEnd"/>
      <w:r w:rsidRPr="00496C9D">
        <w:rPr>
          <w:sz w:val="24"/>
          <w:szCs w:val="24"/>
        </w:rPr>
        <w:t xml:space="preserve"> efter en relevant </w:t>
      </w:r>
      <w:proofErr w:type="spellStart"/>
      <w:r w:rsidRPr="00496C9D">
        <w:rPr>
          <w:sz w:val="24"/>
          <w:szCs w:val="24"/>
        </w:rPr>
        <w:t>risk</w:t>
      </w:r>
      <w:proofErr w:type="spellEnd"/>
      <w:r w:rsidRPr="00496C9D">
        <w:rPr>
          <w:sz w:val="24"/>
          <w:szCs w:val="24"/>
        </w:rPr>
        <w:t>/benefit-evaluering.</w:t>
      </w:r>
    </w:p>
    <w:p w:rsidR="005A0DBA" w:rsidRPr="00496C9D"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Generelt</w:t>
      </w:r>
    </w:p>
    <w:p w:rsidR="005A0DBA" w:rsidRPr="00666083" w:rsidRDefault="005A0DBA" w:rsidP="005A0DBA">
      <w:pPr>
        <w:ind w:left="851"/>
        <w:rPr>
          <w:sz w:val="24"/>
          <w:szCs w:val="24"/>
        </w:rPr>
      </w:pPr>
      <w:proofErr w:type="spellStart"/>
      <w:r w:rsidRPr="00666083">
        <w:rPr>
          <w:sz w:val="24"/>
          <w:szCs w:val="24"/>
        </w:rPr>
        <w:t>Kortikosteroidvirkningen</w:t>
      </w:r>
      <w:proofErr w:type="spellEnd"/>
      <w:r w:rsidRPr="00666083">
        <w:rPr>
          <w:sz w:val="24"/>
          <w:szCs w:val="24"/>
        </w:rPr>
        <w:t xml:space="preserve"> øges hos patienter, der lider af </w:t>
      </w:r>
      <w:proofErr w:type="spellStart"/>
      <w:r w:rsidRPr="00666083">
        <w:rPr>
          <w:sz w:val="24"/>
          <w:szCs w:val="24"/>
        </w:rPr>
        <w:t>hypothyreoidisme</w:t>
      </w:r>
      <w:proofErr w:type="spellEnd"/>
      <w:r w:rsidRPr="00666083">
        <w:rPr>
          <w:sz w:val="24"/>
          <w:szCs w:val="24"/>
        </w:rPr>
        <w:t xml:space="preserve"> og hos patienter, der har </w:t>
      </w:r>
      <w:proofErr w:type="spellStart"/>
      <w:r w:rsidRPr="00666083">
        <w:rPr>
          <w:sz w:val="24"/>
          <w:szCs w:val="24"/>
        </w:rPr>
        <w:t>levercirrhose</w:t>
      </w:r>
      <w:proofErr w:type="spellEnd"/>
      <w:r w:rsidRPr="00666083">
        <w:rPr>
          <w:sz w:val="24"/>
          <w:szCs w:val="24"/>
        </w:rPr>
        <w:t xml:space="preserve">. </w:t>
      </w:r>
    </w:p>
    <w:p w:rsidR="005A0DBA" w:rsidRPr="00666083" w:rsidRDefault="005A0DBA" w:rsidP="005A0DBA">
      <w:pPr>
        <w:ind w:left="851" w:hanging="851"/>
        <w:rPr>
          <w:sz w:val="24"/>
          <w:szCs w:val="24"/>
        </w:rPr>
      </w:pPr>
    </w:p>
    <w:p w:rsidR="005A0DBA" w:rsidRDefault="005A0DBA" w:rsidP="005A0DBA">
      <w:pPr>
        <w:ind w:left="851"/>
        <w:rPr>
          <w:sz w:val="24"/>
          <w:szCs w:val="24"/>
        </w:rPr>
      </w:pPr>
      <w:proofErr w:type="spellStart"/>
      <w:r w:rsidRPr="00666083">
        <w:rPr>
          <w:sz w:val="24"/>
          <w:szCs w:val="24"/>
        </w:rPr>
        <w:t>Kortikosteroider</w:t>
      </w:r>
      <w:proofErr w:type="spellEnd"/>
      <w:r w:rsidRPr="00666083">
        <w:rPr>
          <w:sz w:val="24"/>
          <w:szCs w:val="24"/>
        </w:rPr>
        <w:t xml:space="preserve"> bør anvendes med forsigtighed ved </w:t>
      </w:r>
      <w:proofErr w:type="spellStart"/>
      <w:r w:rsidRPr="00666083">
        <w:rPr>
          <w:sz w:val="24"/>
          <w:szCs w:val="24"/>
        </w:rPr>
        <w:t>myasthenia</w:t>
      </w:r>
      <w:proofErr w:type="spellEnd"/>
      <w:r w:rsidRPr="00666083">
        <w:rPr>
          <w:sz w:val="24"/>
          <w:szCs w:val="24"/>
        </w:rPr>
        <w:t xml:space="preserve"> </w:t>
      </w:r>
      <w:proofErr w:type="spellStart"/>
      <w:r w:rsidRPr="00666083">
        <w:rPr>
          <w:sz w:val="24"/>
          <w:szCs w:val="24"/>
        </w:rPr>
        <w:t>gravis</w:t>
      </w:r>
      <w:proofErr w:type="spellEnd"/>
      <w:r w:rsidRPr="00666083">
        <w:rPr>
          <w:sz w:val="24"/>
          <w:szCs w:val="24"/>
        </w:rPr>
        <w:t xml:space="preserve"> og eksisterende </w:t>
      </w:r>
      <w:proofErr w:type="spellStart"/>
      <w:r w:rsidRPr="00666083">
        <w:rPr>
          <w:sz w:val="24"/>
          <w:szCs w:val="24"/>
        </w:rPr>
        <w:t>lymfoide</w:t>
      </w:r>
      <w:proofErr w:type="spellEnd"/>
      <w:r w:rsidRPr="00666083">
        <w:rPr>
          <w:sz w:val="24"/>
          <w:szCs w:val="24"/>
        </w:rPr>
        <w:t xml:space="preserve"> tumorer. Der er rapporteret om akut tumor </w:t>
      </w:r>
      <w:proofErr w:type="spellStart"/>
      <w:r w:rsidRPr="00666083">
        <w:rPr>
          <w:sz w:val="24"/>
          <w:szCs w:val="24"/>
        </w:rPr>
        <w:t>lysis</w:t>
      </w:r>
      <w:proofErr w:type="spellEnd"/>
      <w:r w:rsidRPr="00666083">
        <w:rPr>
          <w:sz w:val="24"/>
          <w:szCs w:val="24"/>
        </w:rPr>
        <w:t xml:space="preserve"> syndrom efter behandling med </w:t>
      </w:r>
      <w:proofErr w:type="spellStart"/>
      <w:r w:rsidRPr="00666083">
        <w:rPr>
          <w:sz w:val="24"/>
          <w:szCs w:val="24"/>
        </w:rPr>
        <w:t>kortikosteroider</w:t>
      </w:r>
      <w:proofErr w:type="spellEnd"/>
      <w:r w:rsidRPr="00666083">
        <w:rPr>
          <w:sz w:val="24"/>
          <w:szCs w:val="24"/>
        </w:rPr>
        <w:t xml:space="preserve"> (se pkt. 4.8).</w:t>
      </w:r>
    </w:p>
    <w:p w:rsidR="005A0DBA" w:rsidRDefault="005A0DBA" w:rsidP="005A0DBA">
      <w:pPr>
        <w:ind w:left="851"/>
        <w:rPr>
          <w:sz w:val="24"/>
          <w:szCs w:val="24"/>
        </w:rPr>
      </w:pPr>
    </w:p>
    <w:p w:rsidR="005A0DBA" w:rsidRDefault="005A0DBA" w:rsidP="00A17E34">
      <w:pPr>
        <w:pStyle w:val="Default"/>
        <w:tabs>
          <w:tab w:val="left" w:pos="851"/>
        </w:tabs>
        <w:ind w:left="851"/>
        <w:rPr>
          <w:rFonts w:ascii="Times New Roman" w:hAnsi="Times New Roman" w:cs="Times New Roman"/>
          <w:i/>
          <w:color w:val="auto"/>
          <w:lang w:eastAsia="en-US"/>
        </w:rPr>
      </w:pPr>
      <w:proofErr w:type="spellStart"/>
      <w:r>
        <w:rPr>
          <w:rFonts w:ascii="Times New Roman" w:hAnsi="Times New Roman" w:cs="Times New Roman"/>
          <w:i/>
          <w:color w:val="auto"/>
          <w:lang w:eastAsia="en-US"/>
        </w:rPr>
        <w:t>Sklerodermisk</w:t>
      </w:r>
      <w:proofErr w:type="spellEnd"/>
      <w:r>
        <w:rPr>
          <w:rFonts w:ascii="Times New Roman" w:hAnsi="Times New Roman" w:cs="Times New Roman"/>
          <w:i/>
          <w:color w:val="auto"/>
          <w:lang w:eastAsia="en-US"/>
        </w:rPr>
        <w:t xml:space="preserve"> nyrekrise </w:t>
      </w:r>
    </w:p>
    <w:p w:rsidR="005A0DBA" w:rsidRDefault="005A0DBA" w:rsidP="005A0DBA">
      <w:pPr>
        <w:ind w:left="851"/>
        <w:rPr>
          <w:sz w:val="24"/>
          <w:szCs w:val="24"/>
        </w:rPr>
      </w:pPr>
      <w:r>
        <w:rPr>
          <w:sz w:val="24"/>
          <w:szCs w:val="24"/>
        </w:rPr>
        <w:t xml:space="preserve">Der skal udvises forsigtighed hos patienter med systemisk sklerose, da der er observeret en øget forekomst af (muligvis fatal) </w:t>
      </w:r>
      <w:proofErr w:type="spellStart"/>
      <w:r>
        <w:rPr>
          <w:sz w:val="24"/>
          <w:szCs w:val="24"/>
        </w:rPr>
        <w:t>sklerodermisk</w:t>
      </w:r>
      <w:proofErr w:type="spellEnd"/>
      <w:r>
        <w:rPr>
          <w:sz w:val="24"/>
          <w:szCs w:val="24"/>
        </w:rPr>
        <w:t xml:space="preserve"> nyrekrise med hypertension og nedsat urinudskillelse ved en daglig dosis </w:t>
      </w:r>
      <w:proofErr w:type="spellStart"/>
      <w:r>
        <w:rPr>
          <w:sz w:val="24"/>
          <w:szCs w:val="24"/>
        </w:rPr>
        <w:t>prednisolon</w:t>
      </w:r>
      <w:proofErr w:type="spellEnd"/>
      <w:r>
        <w:rPr>
          <w:sz w:val="24"/>
          <w:szCs w:val="24"/>
        </w:rPr>
        <w:t xml:space="preserve"> på 15 mg eller derover. Blodtrykket og nyrefunktionen (S-</w:t>
      </w:r>
      <w:proofErr w:type="spellStart"/>
      <w:r>
        <w:rPr>
          <w:sz w:val="24"/>
          <w:szCs w:val="24"/>
        </w:rPr>
        <w:t>kreatinin</w:t>
      </w:r>
      <w:proofErr w:type="spellEnd"/>
      <w:r>
        <w:rPr>
          <w:sz w:val="24"/>
          <w:szCs w:val="24"/>
        </w:rPr>
        <w:t>) bør således kontrolleres regelmæssigt. Hvis der er formodning om en nyrekrise, skal blodtrykket kontrolleres nøje.</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Anvendelse hos børn</w:t>
      </w:r>
    </w:p>
    <w:p w:rsidR="005A0DBA" w:rsidRPr="00666083" w:rsidRDefault="005A0DBA" w:rsidP="005A0DBA">
      <w:pPr>
        <w:ind w:left="851"/>
        <w:rPr>
          <w:sz w:val="24"/>
          <w:szCs w:val="24"/>
        </w:rPr>
      </w:pPr>
      <w:r w:rsidRPr="00666083">
        <w:rPr>
          <w:sz w:val="24"/>
          <w:szCs w:val="24"/>
        </w:rPr>
        <w:t xml:space="preserve">Brug af </w:t>
      </w:r>
      <w:proofErr w:type="spellStart"/>
      <w:r w:rsidRPr="00666083">
        <w:rPr>
          <w:sz w:val="24"/>
          <w:szCs w:val="24"/>
        </w:rPr>
        <w:t>kortikosteroider</w:t>
      </w:r>
      <w:proofErr w:type="spellEnd"/>
      <w:r w:rsidRPr="00666083">
        <w:rPr>
          <w:sz w:val="24"/>
          <w:szCs w:val="24"/>
        </w:rPr>
        <w:t xml:space="preserve"> kan interferere med væksthastigheden og hæmme den endogene </w:t>
      </w:r>
      <w:proofErr w:type="spellStart"/>
      <w:r w:rsidRPr="00666083">
        <w:rPr>
          <w:sz w:val="24"/>
          <w:szCs w:val="24"/>
        </w:rPr>
        <w:t>kortikosteroidproduktion</w:t>
      </w:r>
      <w:proofErr w:type="spellEnd"/>
      <w:r w:rsidRPr="00666083">
        <w:rPr>
          <w:sz w:val="24"/>
          <w:szCs w:val="24"/>
        </w:rPr>
        <w:t xml:space="preserve"> hos nyfødte og børn. Vækst og udvikling skal monitoreres omhyggeligt hos disse patienter, hvis de får længevarende behandling.</w:t>
      </w:r>
    </w:p>
    <w:p w:rsidR="00DB0238" w:rsidRPr="00BA032D" w:rsidRDefault="00DB0238" w:rsidP="00DB0238">
      <w:pPr>
        <w:ind w:left="851" w:hanging="851"/>
        <w:rPr>
          <w:iCs/>
          <w:sz w:val="24"/>
          <w:szCs w:val="24"/>
        </w:rPr>
      </w:pPr>
    </w:p>
    <w:p w:rsidR="00DB0238" w:rsidRDefault="00DB0238" w:rsidP="00DB0238">
      <w:pPr>
        <w:ind w:firstLine="851"/>
        <w:rPr>
          <w:i/>
          <w:sz w:val="24"/>
          <w:szCs w:val="24"/>
        </w:rPr>
      </w:pPr>
      <w:r>
        <w:rPr>
          <w:i/>
          <w:sz w:val="24"/>
          <w:szCs w:val="24"/>
        </w:rPr>
        <w:t>Patientkort</w:t>
      </w:r>
    </w:p>
    <w:p w:rsidR="00DB0238" w:rsidRDefault="00DB0238" w:rsidP="00DB0238">
      <w:pPr>
        <w:ind w:left="851"/>
        <w:rPr>
          <w:sz w:val="24"/>
          <w:szCs w:val="24"/>
        </w:rPr>
      </w:pPr>
      <w:r>
        <w:rPr>
          <w:sz w:val="24"/>
          <w:szCs w:val="24"/>
        </w:rPr>
        <w:t>Patienter i længerevarende behandling bør bære et kort, der angiver præparat, tidspunkt for behandlingens start samt lægens eller afdelingens navn.</w:t>
      </w:r>
    </w:p>
    <w:p w:rsidR="00DB0238" w:rsidRDefault="00DB0238" w:rsidP="00DB0238">
      <w:pPr>
        <w:ind w:left="851"/>
        <w:rPr>
          <w:sz w:val="24"/>
          <w:szCs w:val="24"/>
        </w:rPr>
      </w:pPr>
    </w:p>
    <w:p w:rsidR="00DB0238" w:rsidRPr="00BA032D" w:rsidRDefault="00DB0238" w:rsidP="00DB0238">
      <w:pPr>
        <w:ind w:left="851"/>
        <w:rPr>
          <w:sz w:val="24"/>
          <w:szCs w:val="24"/>
          <w:u w:val="single"/>
        </w:rPr>
      </w:pPr>
      <w:r w:rsidRPr="00BA032D">
        <w:rPr>
          <w:sz w:val="24"/>
          <w:szCs w:val="24"/>
          <w:u w:val="single"/>
        </w:rPr>
        <w:t>Hjælpestoffer</w:t>
      </w:r>
    </w:p>
    <w:p w:rsidR="00DB0238" w:rsidRDefault="00DB0238" w:rsidP="00DB0238">
      <w:pPr>
        <w:ind w:left="851"/>
        <w:rPr>
          <w:i/>
          <w:sz w:val="24"/>
          <w:szCs w:val="24"/>
        </w:rPr>
      </w:pPr>
    </w:p>
    <w:p w:rsidR="00DB0238" w:rsidRDefault="00DB0238" w:rsidP="00DB0238">
      <w:pPr>
        <w:ind w:left="851"/>
        <w:rPr>
          <w:i/>
          <w:sz w:val="24"/>
          <w:szCs w:val="24"/>
        </w:rPr>
      </w:pPr>
      <w:proofErr w:type="spellStart"/>
      <w:r>
        <w:rPr>
          <w:i/>
          <w:sz w:val="24"/>
          <w:szCs w:val="24"/>
        </w:rPr>
        <w:t>Lactose</w:t>
      </w:r>
      <w:proofErr w:type="spellEnd"/>
      <w:r>
        <w:rPr>
          <w:i/>
          <w:sz w:val="24"/>
          <w:szCs w:val="24"/>
        </w:rPr>
        <w:t xml:space="preserve"> </w:t>
      </w:r>
    </w:p>
    <w:p w:rsidR="00DB0238" w:rsidRDefault="00DB0238" w:rsidP="00DB0238">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C13F32" w:rsidRDefault="00C13F32">
      <w:pPr>
        <w:rPr>
          <w:sz w:val="24"/>
          <w:szCs w:val="24"/>
        </w:rPr>
      </w:pPr>
      <w:r>
        <w:rPr>
          <w:sz w:val="24"/>
          <w:szCs w:val="24"/>
        </w:rPr>
        <w:br w:type="page"/>
      </w:r>
    </w:p>
    <w:p w:rsidR="00DB0238" w:rsidRDefault="00DB0238" w:rsidP="00DB0238">
      <w:pPr>
        <w:ind w:left="851"/>
        <w:rPr>
          <w:sz w:val="24"/>
          <w:szCs w:val="24"/>
        </w:rPr>
      </w:pPr>
    </w:p>
    <w:p w:rsidR="00DB0238" w:rsidRDefault="00DB0238" w:rsidP="00DB0238">
      <w:pPr>
        <w:ind w:left="851"/>
        <w:rPr>
          <w:i/>
          <w:sz w:val="24"/>
          <w:szCs w:val="24"/>
        </w:rPr>
      </w:pPr>
      <w:r>
        <w:rPr>
          <w:i/>
          <w:sz w:val="24"/>
          <w:szCs w:val="24"/>
        </w:rPr>
        <w:t>Natrium</w:t>
      </w:r>
    </w:p>
    <w:p w:rsidR="00DB0238" w:rsidRDefault="00DB0238" w:rsidP="00DB0238">
      <w:pPr>
        <w:ind w:left="851"/>
        <w:rPr>
          <w:sz w:val="24"/>
          <w:szCs w:val="24"/>
        </w:rPr>
      </w:pPr>
      <w:r>
        <w:rPr>
          <w:sz w:val="24"/>
          <w:szCs w:val="24"/>
        </w:rPr>
        <w:t xml:space="preserve">Dette lægemiddel indeholder mindre end 1 mmol (23 mg) natrium pr. tablet, dvs. det er i det væsentlige </w:t>
      </w:r>
      <w:r w:rsidR="00944DDA">
        <w:rPr>
          <w:sz w:val="24"/>
          <w:szCs w:val="24"/>
        </w:rPr>
        <w:t>"</w:t>
      </w:r>
      <w:r>
        <w:rPr>
          <w:sz w:val="24"/>
          <w:szCs w:val="24"/>
        </w:rPr>
        <w:t>natriumfrit</w:t>
      </w:r>
      <w:r w:rsidR="00944DDA">
        <w:rPr>
          <w:sz w:val="24"/>
          <w:szCs w:val="24"/>
        </w:rPr>
        <w:t>"</w:t>
      </w:r>
      <w:r>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4.5</w:t>
      </w:r>
      <w:r w:rsidRPr="00666083">
        <w:rPr>
          <w:b/>
          <w:sz w:val="24"/>
          <w:szCs w:val="24"/>
        </w:rPr>
        <w:tab/>
        <w:t>Interaktion med andre lægemidler og andre former for interaktion</w:t>
      </w:r>
    </w:p>
    <w:p w:rsidR="005A0DBA" w:rsidRPr="00666083" w:rsidRDefault="005A0DBA" w:rsidP="005A0DBA">
      <w:pPr>
        <w:ind w:left="851" w:hanging="851"/>
        <w:rPr>
          <w:i/>
          <w:iCs/>
          <w:sz w:val="24"/>
          <w:szCs w:val="24"/>
        </w:rPr>
      </w:pPr>
    </w:p>
    <w:p w:rsidR="005A0DBA" w:rsidRPr="00666083" w:rsidRDefault="005A0DBA" w:rsidP="005A0DBA">
      <w:pPr>
        <w:ind w:left="851"/>
        <w:rPr>
          <w:sz w:val="24"/>
          <w:szCs w:val="24"/>
        </w:rPr>
      </w:pPr>
      <w:proofErr w:type="spellStart"/>
      <w:r w:rsidRPr="00666083">
        <w:rPr>
          <w:i/>
          <w:iCs/>
          <w:sz w:val="24"/>
          <w:szCs w:val="24"/>
        </w:rPr>
        <w:t>Cyclosporin</w:t>
      </w:r>
      <w:proofErr w:type="spellEnd"/>
    </w:p>
    <w:p w:rsidR="005A0DBA" w:rsidRPr="00666083" w:rsidRDefault="005A0DBA" w:rsidP="005A0DBA">
      <w:pPr>
        <w:ind w:left="851"/>
        <w:rPr>
          <w:sz w:val="24"/>
          <w:szCs w:val="24"/>
        </w:rPr>
      </w:pPr>
      <w:r w:rsidRPr="00666083">
        <w:rPr>
          <w:sz w:val="24"/>
          <w:szCs w:val="24"/>
        </w:rPr>
        <w:t xml:space="preserve">Mulig mekanisme: Forhøjet serumkoncentration af </w:t>
      </w:r>
      <w:proofErr w:type="spellStart"/>
      <w:r w:rsidRPr="00666083">
        <w:rPr>
          <w:sz w:val="24"/>
          <w:szCs w:val="24"/>
        </w:rPr>
        <w:t>prednisolon</w:t>
      </w:r>
      <w:proofErr w:type="spellEnd"/>
      <w:r w:rsidRPr="00666083">
        <w:rPr>
          <w:sz w:val="24"/>
          <w:szCs w:val="24"/>
        </w:rPr>
        <w:t xml:space="preserve"> på grund af nedsat metabolisme. </w:t>
      </w:r>
    </w:p>
    <w:p w:rsidR="005A0DBA" w:rsidRPr="00666083" w:rsidRDefault="005A0DBA" w:rsidP="005A0DBA">
      <w:pPr>
        <w:ind w:left="851"/>
        <w:rPr>
          <w:sz w:val="24"/>
          <w:szCs w:val="24"/>
        </w:rPr>
      </w:pPr>
      <w:r w:rsidRPr="00666083">
        <w:rPr>
          <w:sz w:val="24"/>
          <w:szCs w:val="24"/>
        </w:rPr>
        <w:t xml:space="preserve">Virkning: Forhøjet risiko for bivirkninger af </w:t>
      </w:r>
      <w:proofErr w:type="spellStart"/>
      <w:r w:rsidRPr="00666083">
        <w:rPr>
          <w:sz w:val="24"/>
          <w:szCs w:val="24"/>
        </w:rPr>
        <w:t>prednisolon</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i/>
          <w:iCs/>
          <w:sz w:val="24"/>
          <w:szCs w:val="24"/>
        </w:rPr>
        <w:t>Leverenzym-induktorer</w:t>
      </w:r>
    </w:p>
    <w:p w:rsidR="005A0DBA" w:rsidRPr="00666083" w:rsidRDefault="005A0DBA" w:rsidP="005A0DBA">
      <w:pPr>
        <w:ind w:left="851"/>
        <w:rPr>
          <w:sz w:val="24"/>
          <w:szCs w:val="24"/>
        </w:rPr>
      </w:pPr>
      <w:r w:rsidRPr="00666083">
        <w:rPr>
          <w:sz w:val="24"/>
          <w:szCs w:val="24"/>
        </w:rPr>
        <w:t xml:space="preserve">Lægemidler, der inducerer leverenzymer (såsom </w:t>
      </w:r>
      <w:proofErr w:type="spellStart"/>
      <w:r w:rsidRPr="00666083">
        <w:rPr>
          <w:sz w:val="24"/>
          <w:szCs w:val="24"/>
        </w:rPr>
        <w:t>phenobarbital</w:t>
      </w:r>
      <w:proofErr w:type="spellEnd"/>
      <w:r w:rsidRPr="00666083">
        <w:rPr>
          <w:sz w:val="24"/>
          <w:szCs w:val="24"/>
        </w:rPr>
        <w:t xml:space="preserve">, </w:t>
      </w:r>
      <w:proofErr w:type="spellStart"/>
      <w:r w:rsidRPr="00666083">
        <w:rPr>
          <w:sz w:val="24"/>
          <w:szCs w:val="24"/>
        </w:rPr>
        <w:t>phenytoin</w:t>
      </w:r>
      <w:proofErr w:type="spellEnd"/>
      <w:r w:rsidRPr="00666083">
        <w:rPr>
          <w:sz w:val="24"/>
          <w:szCs w:val="24"/>
        </w:rPr>
        <w:t xml:space="preserve">, </w:t>
      </w:r>
      <w:proofErr w:type="spellStart"/>
      <w:r w:rsidRPr="00666083">
        <w:rPr>
          <w:sz w:val="24"/>
          <w:szCs w:val="24"/>
        </w:rPr>
        <w:t>carbamazepin</w:t>
      </w:r>
      <w:proofErr w:type="spellEnd"/>
      <w:r w:rsidRPr="00666083">
        <w:rPr>
          <w:sz w:val="24"/>
          <w:szCs w:val="24"/>
        </w:rPr>
        <w:t xml:space="preserve"> og </w:t>
      </w:r>
      <w:proofErr w:type="spellStart"/>
      <w:r w:rsidRPr="00666083">
        <w:rPr>
          <w:sz w:val="24"/>
          <w:szCs w:val="24"/>
        </w:rPr>
        <w:t>rifampicin</w:t>
      </w:r>
      <w:proofErr w:type="spellEnd"/>
      <w:r w:rsidRPr="00666083">
        <w:rPr>
          <w:sz w:val="24"/>
          <w:szCs w:val="24"/>
        </w:rPr>
        <w:t xml:space="preserve">) kan øge </w:t>
      </w:r>
      <w:proofErr w:type="spellStart"/>
      <w:r w:rsidRPr="00666083">
        <w:rPr>
          <w:sz w:val="24"/>
          <w:szCs w:val="24"/>
        </w:rPr>
        <w:t>prednisolons</w:t>
      </w:r>
      <w:proofErr w:type="spellEnd"/>
      <w:r w:rsidRPr="00666083">
        <w:rPr>
          <w:sz w:val="24"/>
          <w:szCs w:val="24"/>
        </w:rPr>
        <w:t xml:space="preserve"> </w:t>
      </w:r>
      <w:proofErr w:type="spellStart"/>
      <w:r w:rsidRPr="00666083">
        <w:rPr>
          <w:sz w:val="24"/>
          <w:szCs w:val="24"/>
        </w:rPr>
        <w:t>clearance</w:t>
      </w:r>
      <w:proofErr w:type="spellEnd"/>
      <w:r w:rsidRPr="00666083">
        <w:rPr>
          <w:sz w:val="24"/>
          <w:szCs w:val="24"/>
        </w:rPr>
        <w:t xml:space="preserve"> og medføre behov for dosisforhøjelse af </w:t>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for at opnå den ønskede respons.</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 xml:space="preserve">Acetylsalicylsyre </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kan medføre øget </w:t>
      </w:r>
      <w:proofErr w:type="spellStart"/>
      <w:r w:rsidRPr="00666083">
        <w:rPr>
          <w:sz w:val="24"/>
          <w:szCs w:val="24"/>
        </w:rPr>
        <w:t>clearance</w:t>
      </w:r>
      <w:proofErr w:type="spellEnd"/>
      <w:r w:rsidRPr="00666083">
        <w:rPr>
          <w:sz w:val="24"/>
          <w:szCs w:val="24"/>
        </w:rPr>
        <w:t xml:space="preserve"> af højdosis acetylsalicylsyre. Det kan medføre nedsatte </w:t>
      </w:r>
      <w:proofErr w:type="spellStart"/>
      <w:r w:rsidRPr="00666083">
        <w:rPr>
          <w:sz w:val="24"/>
          <w:szCs w:val="24"/>
        </w:rPr>
        <w:t>salicylat</w:t>
      </w:r>
      <w:proofErr w:type="spellEnd"/>
      <w:r w:rsidRPr="00666083">
        <w:rPr>
          <w:sz w:val="24"/>
          <w:szCs w:val="24"/>
        </w:rPr>
        <w:t xml:space="preserve">-niveauer eller øge risikoen for </w:t>
      </w:r>
      <w:proofErr w:type="spellStart"/>
      <w:r w:rsidRPr="00666083">
        <w:rPr>
          <w:sz w:val="24"/>
          <w:szCs w:val="24"/>
        </w:rPr>
        <w:t>salicylat</w:t>
      </w:r>
      <w:proofErr w:type="spellEnd"/>
      <w:r w:rsidRPr="00666083">
        <w:rPr>
          <w:sz w:val="24"/>
          <w:szCs w:val="24"/>
        </w:rPr>
        <w:t xml:space="preserve">-forgiftning efter </w:t>
      </w:r>
      <w:proofErr w:type="spellStart"/>
      <w:r w:rsidRPr="00666083">
        <w:rPr>
          <w:sz w:val="24"/>
          <w:szCs w:val="24"/>
        </w:rPr>
        <w:t>seponering</w:t>
      </w:r>
      <w:proofErr w:type="spellEnd"/>
      <w:r w:rsidRPr="00666083">
        <w:rPr>
          <w:sz w:val="24"/>
          <w:szCs w:val="24"/>
        </w:rPr>
        <w:t xml:space="preserve"> af </w:t>
      </w:r>
      <w:proofErr w:type="spellStart"/>
      <w:r w:rsidRPr="00666083">
        <w:rPr>
          <w:sz w:val="24"/>
          <w:szCs w:val="24"/>
        </w:rPr>
        <w:t>prednisolon</w:t>
      </w:r>
      <w:proofErr w:type="spellEnd"/>
      <w:r w:rsidRPr="00666083">
        <w:rPr>
          <w:sz w:val="24"/>
          <w:szCs w:val="24"/>
        </w:rPr>
        <w:t xml:space="preserve">. Acetylsalicylsyre skal anvendes med forsigtighed under samtidig brug af </w:t>
      </w:r>
      <w:proofErr w:type="spellStart"/>
      <w:r w:rsidRPr="00666083">
        <w:rPr>
          <w:sz w:val="24"/>
          <w:szCs w:val="24"/>
        </w:rPr>
        <w:t>kortikosteroider</w:t>
      </w:r>
      <w:proofErr w:type="spellEnd"/>
      <w:r w:rsidRPr="00666083">
        <w:rPr>
          <w:sz w:val="24"/>
          <w:szCs w:val="24"/>
        </w:rPr>
        <w:t xml:space="preserve"> hos patienter med </w:t>
      </w:r>
      <w:proofErr w:type="spellStart"/>
      <w:r w:rsidRPr="00666083">
        <w:rPr>
          <w:sz w:val="24"/>
          <w:szCs w:val="24"/>
        </w:rPr>
        <w:t>hypoprotrombinæmi</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NSAID</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kan maskere </w:t>
      </w:r>
      <w:proofErr w:type="spellStart"/>
      <w:r w:rsidRPr="00666083">
        <w:rPr>
          <w:sz w:val="24"/>
          <w:szCs w:val="24"/>
        </w:rPr>
        <w:t>gastrointestinal</w:t>
      </w:r>
      <w:proofErr w:type="spellEnd"/>
      <w:r w:rsidRPr="00666083">
        <w:rPr>
          <w:sz w:val="24"/>
          <w:szCs w:val="24"/>
        </w:rPr>
        <w:t xml:space="preserve"> irritation som følge af </w:t>
      </w:r>
      <w:proofErr w:type="spellStart"/>
      <w:r w:rsidRPr="00666083">
        <w:rPr>
          <w:sz w:val="24"/>
          <w:szCs w:val="24"/>
        </w:rPr>
        <w:t>NSAID'er</w:t>
      </w:r>
      <w:proofErr w:type="spellEnd"/>
      <w:r w:rsidRPr="00666083">
        <w:rPr>
          <w:sz w:val="24"/>
          <w:szCs w:val="24"/>
        </w:rPr>
        <w:t xml:space="preserve">, hvilket kan medføre risiko for </w:t>
      </w:r>
      <w:proofErr w:type="spellStart"/>
      <w:r w:rsidRPr="00666083">
        <w:rPr>
          <w:sz w:val="24"/>
          <w:szCs w:val="24"/>
        </w:rPr>
        <w:t>gastrointestinal</w:t>
      </w:r>
      <w:proofErr w:type="spellEnd"/>
      <w:r w:rsidRPr="00666083">
        <w:rPr>
          <w:sz w:val="24"/>
          <w:szCs w:val="24"/>
        </w:rPr>
        <w:t xml:space="preserve"> blødning og </w:t>
      </w:r>
      <w:proofErr w:type="spellStart"/>
      <w:r w:rsidRPr="00666083">
        <w:rPr>
          <w:sz w:val="24"/>
          <w:szCs w:val="24"/>
        </w:rPr>
        <w:t>ulceration</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 xml:space="preserve">Orale </w:t>
      </w:r>
      <w:proofErr w:type="spellStart"/>
      <w:r w:rsidRPr="00666083">
        <w:rPr>
          <w:i/>
          <w:iCs/>
          <w:sz w:val="24"/>
          <w:szCs w:val="24"/>
        </w:rPr>
        <w:t>kontraceptiva</w:t>
      </w:r>
      <w:proofErr w:type="spellEnd"/>
    </w:p>
    <w:p w:rsidR="005A0DBA" w:rsidRPr="00666083" w:rsidRDefault="005A0DBA" w:rsidP="005A0DBA">
      <w:pPr>
        <w:ind w:left="851"/>
        <w:rPr>
          <w:sz w:val="24"/>
          <w:szCs w:val="24"/>
        </w:rPr>
      </w:pPr>
      <w:r w:rsidRPr="00666083">
        <w:rPr>
          <w:sz w:val="24"/>
          <w:szCs w:val="24"/>
        </w:rPr>
        <w:t xml:space="preserve">Mulig mekanisme: Nedsat metabolisme af </w:t>
      </w:r>
      <w:proofErr w:type="spellStart"/>
      <w:r w:rsidRPr="00666083">
        <w:rPr>
          <w:sz w:val="24"/>
          <w:szCs w:val="24"/>
        </w:rPr>
        <w:t>glukokortikoider</w:t>
      </w:r>
      <w:proofErr w:type="spellEnd"/>
      <w:r w:rsidRPr="00666083">
        <w:rPr>
          <w:sz w:val="24"/>
          <w:szCs w:val="24"/>
        </w:rPr>
        <w:t xml:space="preserve"> i leveren.</w:t>
      </w:r>
    </w:p>
    <w:p w:rsidR="005A0DBA" w:rsidRPr="00666083" w:rsidRDefault="005A0DBA" w:rsidP="005A0DBA">
      <w:pPr>
        <w:ind w:left="851"/>
        <w:rPr>
          <w:sz w:val="24"/>
          <w:szCs w:val="24"/>
        </w:rPr>
      </w:pPr>
      <w:r w:rsidRPr="00666083">
        <w:rPr>
          <w:sz w:val="24"/>
          <w:szCs w:val="24"/>
        </w:rPr>
        <w:t xml:space="preserve">Virkning: Kan potensere </w:t>
      </w:r>
      <w:proofErr w:type="spellStart"/>
      <w:r w:rsidRPr="00666083">
        <w:rPr>
          <w:sz w:val="24"/>
          <w:szCs w:val="24"/>
        </w:rPr>
        <w:t>glukokortikoiders</w:t>
      </w:r>
      <w:proofErr w:type="spellEnd"/>
      <w:r w:rsidRPr="00666083">
        <w:rPr>
          <w:sz w:val="24"/>
          <w:szCs w:val="24"/>
        </w:rPr>
        <w:t xml:space="preserve"> virkninger, og der kan være behov for dosisjustering, hvis orale </w:t>
      </w:r>
      <w:proofErr w:type="spellStart"/>
      <w:r w:rsidRPr="00666083">
        <w:rPr>
          <w:sz w:val="24"/>
          <w:szCs w:val="24"/>
        </w:rPr>
        <w:t>kontraceptiva</w:t>
      </w:r>
      <w:proofErr w:type="spellEnd"/>
      <w:r w:rsidRPr="00666083">
        <w:rPr>
          <w:sz w:val="24"/>
          <w:szCs w:val="24"/>
        </w:rPr>
        <w:t xml:space="preserve"> tilføjes til eller fjernes fra et stabilt doseringsregime.</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r w:rsidRPr="00666083">
        <w:rPr>
          <w:i/>
          <w:iCs/>
          <w:sz w:val="24"/>
          <w:szCs w:val="24"/>
        </w:rPr>
        <w:t xml:space="preserve">Ikke-kaliumbesparende </w:t>
      </w:r>
      <w:proofErr w:type="spellStart"/>
      <w:r w:rsidRPr="00666083">
        <w:rPr>
          <w:i/>
          <w:iCs/>
          <w:sz w:val="24"/>
          <w:szCs w:val="24"/>
        </w:rPr>
        <w:t>diuretika</w:t>
      </w:r>
      <w:proofErr w:type="spellEnd"/>
    </w:p>
    <w:p w:rsidR="005A0DBA" w:rsidRPr="00666083" w:rsidRDefault="005A0DBA" w:rsidP="005A0DBA">
      <w:pPr>
        <w:ind w:left="851"/>
        <w:rPr>
          <w:sz w:val="24"/>
          <w:szCs w:val="24"/>
        </w:rPr>
      </w:pPr>
      <w:r w:rsidRPr="00666083">
        <w:rPr>
          <w:sz w:val="24"/>
          <w:szCs w:val="24"/>
        </w:rPr>
        <w:t xml:space="preserve">Mulig mekanisme: </w:t>
      </w:r>
      <w:proofErr w:type="spellStart"/>
      <w:r w:rsidRPr="00666083">
        <w:rPr>
          <w:sz w:val="24"/>
          <w:szCs w:val="24"/>
        </w:rPr>
        <w:t>Additivt</w:t>
      </w:r>
      <w:proofErr w:type="spellEnd"/>
      <w:r w:rsidRPr="00666083">
        <w:rPr>
          <w:sz w:val="24"/>
          <w:szCs w:val="24"/>
        </w:rPr>
        <w:t xml:space="preserve"> kaliumtab.</w:t>
      </w:r>
    </w:p>
    <w:p w:rsidR="005A0DBA" w:rsidRPr="00666083" w:rsidRDefault="005A0DBA" w:rsidP="005A0DBA">
      <w:pPr>
        <w:ind w:left="851"/>
        <w:rPr>
          <w:sz w:val="24"/>
          <w:szCs w:val="24"/>
        </w:rPr>
      </w:pPr>
      <w:r w:rsidRPr="00666083">
        <w:rPr>
          <w:sz w:val="24"/>
          <w:szCs w:val="24"/>
        </w:rPr>
        <w:t xml:space="preserve">Virkning: Forhøjet risiko for </w:t>
      </w:r>
      <w:proofErr w:type="spellStart"/>
      <w:r w:rsidRPr="00666083">
        <w:rPr>
          <w:sz w:val="24"/>
          <w:szCs w:val="24"/>
        </w:rPr>
        <w:t>hypokaliæmi</w:t>
      </w:r>
      <w:proofErr w:type="spellEnd"/>
      <w:r w:rsidRPr="00666083">
        <w:rPr>
          <w:sz w:val="24"/>
          <w:szCs w:val="24"/>
        </w:rPr>
        <w:t xml:space="preserve"> og dermed </w:t>
      </w:r>
      <w:proofErr w:type="spellStart"/>
      <w:r w:rsidRPr="00666083">
        <w:rPr>
          <w:sz w:val="24"/>
          <w:szCs w:val="24"/>
        </w:rPr>
        <w:t>hjertearytmier</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proofErr w:type="spellStart"/>
      <w:r w:rsidRPr="00666083">
        <w:rPr>
          <w:i/>
          <w:iCs/>
          <w:sz w:val="24"/>
          <w:szCs w:val="24"/>
        </w:rPr>
        <w:t>Digoxin</w:t>
      </w:r>
      <w:proofErr w:type="spellEnd"/>
    </w:p>
    <w:p w:rsidR="005A0DBA" w:rsidRPr="00666083" w:rsidRDefault="005A0DBA" w:rsidP="005A0DBA">
      <w:pPr>
        <w:ind w:left="851"/>
        <w:rPr>
          <w:sz w:val="24"/>
          <w:szCs w:val="24"/>
        </w:rPr>
      </w:pPr>
      <w:r w:rsidRPr="00666083">
        <w:rPr>
          <w:sz w:val="24"/>
          <w:szCs w:val="24"/>
        </w:rPr>
        <w:t xml:space="preserve">Mulig mekanisme: </w:t>
      </w:r>
      <w:proofErr w:type="spellStart"/>
      <w:r w:rsidRPr="00666083">
        <w:rPr>
          <w:sz w:val="24"/>
          <w:szCs w:val="24"/>
        </w:rPr>
        <w:t>Kortikosteroider</w:t>
      </w:r>
      <w:proofErr w:type="spellEnd"/>
      <w:r w:rsidRPr="00666083">
        <w:rPr>
          <w:sz w:val="24"/>
          <w:szCs w:val="24"/>
        </w:rPr>
        <w:t xml:space="preserve"> øger udskillelsen af kalium.</w:t>
      </w:r>
    </w:p>
    <w:p w:rsidR="005A0DBA" w:rsidRPr="00666083" w:rsidRDefault="005A0DBA" w:rsidP="005A0DBA">
      <w:pPr>
        <w:ind w:left="851"/>
        <w:rPr>
          <w:sz w:val="24"/>
          <w:szCs w:val="24"/>
        </w:rPr>
      </w:pPr>
      <w:r w:rsidRPr="00666083">
        <w:rPr>
          <w:sz w:val="24"/>
          <w:szCs w:val="24"/>
        </w:rPr>
        <w:t xml:space="preserve">Virkning: Forhøjet </w:t>
      </w:r>
      <w:proofErr w:type="spellStart"/>
      <w:r w:rsidRPr="00666083">
        <w:rPr>
          <w:sz w:val="24"/>
          <w:szCs w:val="24"/>
        </w:rPr>
        <w:t>digoxin</w:t>
      </w:r>
      <w:proofErr w:type="spellEnd"/>
      <w:r w:rsidRPr="00666083">
        <w:rPr>
          <w:sz w:val="24"/>
          <w:szCs w:val="24"/>
        </w:rPr>
        <w:t>-toksicitet.</w:t>
      </w:r>
    </w:p>
    <w:p w:rsidR="005A0DBA" w:rsidRPr="00666083" w:rsidRDefault="005A0DBA" w:rsidP="005A0DBA">
      <w:pPr>
        <w:ind w:left="851" w:hanging="851"/>
        <w:rPr>
          <w:sz w:val="24"/>
          <w:szCs w:val="24"/>
        </w:rPr>
      </w:pPr>
    </w:p>
    <w:p w:rsidR="005A0DBA" w:rsidRPr="00666083" w:rsidRDefault="005A0DBA" w:rsidP="005A0DBA">
      <w:pPr>
        <w:ind w:left="851"/>
        <w:rPr>
          <w:i/>
          <w:iCs/>
          <w:sz w:val="24"/>
          <w:szCs w:val="24"/>
        </w:rPr>
      </w:pPr>
      <w:proofErr w:type="spellStart"/>
      <w:r w:rsidRPr="00666083">
        <w:rPr>
          <w:i/>
          <w:iCs/>
          <w:sz w:val="24"/>
          <w:szCs w:val="24"/>
        </w:rPr>
        <w:t>Amphotericin</w:t>
      </w:r>
      <w:proofErr w:type="spellEnd"/>
      <w:r w:rsidRPr="00666083">
        <w:rPr>
          <w:i/>
          <w:iCs/>
          <w:sz w:val="24"/>
          <w:szCs w:val="24"/>
        </w:rPr>
        <w:t xml:space="preserve"> B</w:t>
      </w:r>
    </w:p>
    <w:p w:rsidR="005A0DBA" w:rsidRPr="00666083" w:rsidRDefault="005A0DBA" w:rsidP="005A0DBA">
      <w:pPr>
        <w:ind w:left="851"/>
        <w:rPr>
          <w:sz w:val="24"/>
          <w:szCs w:val="24"/>
        </w:rPr>
      </w:pPr>
      <w:r w:rsidRPr="00666083">
        <w:rPr>
          <w:sz w:val="24"/>
          <w:szCs w:val="24"/>
        </w:rPr>
        <w:t xml:space="preserve">Mulig mekanisme: </w:t>
      </w:r>
      <w:proofErr w:type="spellStart"/>
      <w:r w:rsidRPr="00666083">
        <w:rPr>
          <w:sz w:val="24"/>
          <w:szCs w:val="24"/>
        </w:rPr>
        <w:t>Additivt</w:t>
      </w:r>
      <w:proofErr w:type="spellEnd"/>
      <w:r w:rsidRPr="00666083">
        <w:rPr>
          <w:sz w:val="24"/>
          <w:szCs w:val="24"/>
        </w:rPr>
        <w:t xml:space="preserve"> kaliumtab og vandretention</w:t>
      </w:r>
    </w:p>
    <w:p w:rsidR="005A0DBA" w:rsidRPr="00666083" w:rsidRDefault="005A0DBA" w:rsidP="005A0DBA">
      <w:pPr>
        <w:ind w:left="851"/>
        <w:rPr>
          <w:sz w:val="24"/>
          <w:szCs w:val="24"/>
        </w:rPr>
      </w:pPr>
      <w:r w:rsidRPr="00666083">
        <w:rPr>
          <w:sz w:val="24"/>
          <w:szCs w:val="24"/>
        </w:rPr>
        <w:t xml:space="preserve">Virkning: Forhøjet risiko for </w:t>
      </w:r>
      <w:proofErr w:type="spellStart"/>
      <w:r w:rsidRPr="00666083">
        <w:rPr>
          <w:sz w:val="24"/>
          <w:szCs w:val="24"/>
        </w:rPr>
        <w:t>hypokaliæmi</w:t>
      </w:r>
      <w:proofErr w:type="spellEnd"/>
      <w:r w:rsidRPr="00666083">
        <w:rPr>
          <w:sz w:val="24"/>
          <w:szCs w:val="24"/>
        </w:rPr>
        <w:t xml:space="preserve"> og dermed </w:t>
      </w:r>
      <w:proofErr w:type="spellStart"/>
      <w:r w:rsidRPr="00666083">
        <w:rPr>
          <w:sz w:val="24"/>
          <w:szCs w:val="24"/>
        </w:rPr>
        <w:t>hjertearytmier</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proofErr w:type="spellStart"/>
      <w:r w:rsidRPr="00666083">
        <w:rPr>
          <w:i/>
          <w:iCs/>
          <w:sz w:val="24"/>
          <w:szCs w:val="24"/>
        </w:rPr>
        <w:t>Fluorquinoloner</w:t>
      </w:r>
      <w:proofErr w:type="spellEnd"/>
    </w:p>
    <w:p w:rsidR="005A0DBA" w:rsidRPr="00666083" w:rsidRDefault="005A0DBA" w:rsidP="005A0DBA">
      <w:pPr>
        <w:ind w:left="851"/>
        <w:rPr>
          <w:sz w:val="24"/>
          <w:szCs w:val="24"/>
        </w:rPr>
      </w:pPr>
      <w:r w:rsidRPr="00666083">
        <w:rPr>
          <w:sz w:val="24"/>
          <w:szCs w:val="24"/>
        </w:rPr>
        <w:t>Mulig mekanisme: Ukendt</w:t>
      </w:r>
    </w:p>
    <w:p w:rsidR="005A0DBA" w:rsidRPr="00666083" w:rsidRDefault="005A0DBA" w:rsidP="005A0DBA">
      <w:pPr>
        <w:ind w:left="851"/>
        <w:rPr>
          <w:sz w:val="24"/>
          <w:szCs w:val="24"/>
        </w:rPr>
      </w:pPr>
      <w:r w:rsidRPr="00666083">
        <w:rPr>
          <w:sz w:val="24"/>
          <w:szCs w:val="24"/>
        </w:rPr>
        <w:t xml:space="preserve">Virkning: Forhøjet risiko for </w:t>
      </w:r>
      <w:proofErr w:type="spellStart"/>
      <w:r w:rsidRPr="00666083">
        <w:rPr>
          <w:sz w:val="24"/>
          <w:szCs w:val="24"/>
        </w:rPr>
        <w:t>seneruptur</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proofErr w:type="spellStart"/>
      <w:r w:rsidRPr="00666083">
        <w:rPr>
          <w:i/>
          <w:iCs/>
          <w:sz w:val="24"/>
          <w:szCs w:val="24"/>
        </w:rPr>
        <w:t>Antidiabetika</w:t>
      </w:r>
      <w:proofErr w:type="spellEnd"/>
      <w:r w:rsidRPr="00666083">
        <w:rPr>
          <w:i/>
          <w:iCs/>
          <w:sz w:val="24"/>
          <w:szCs w:val="24"/>
        </w:rPr>
        <w:t xml:space="preserve"> </w:t>
      </w:r>
    </w:p>
    <w:p w:rsidR="005A0DBA" w:rsidRPr="00666083" w:rsidRDefault="005A0DBA" w:rsidP="005A0DBA">
      <w:pPr>
        <w:ind w:left="851"/>
        <w:rPr>
          <w:sz w:val="24"/>
          <w:szCs w:val="24"/>
        </w:rPr>
      </w:pPr>
      <w:r w:rsidRPr="00666083">
        <w:rPr>
          <w:sz w:val="24"/>
          <w:szCs w:val="24"/>
        </w:rPr>
        <w:t xml:space="preserve">Mulig mekanisme: </w:t>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w:t>
      </w:r>
      <w:proofErr w:type="spellStart"/>
      <w:r w:rsidRPr="00666083">
        <w:rPr>
          <w:sz w:val="24"/>
          <w:szCs w:val="24"/>
        </w:rPr>
        <w:t>antagoniserer</w:t>
      </w:r>
      <w:proofErr w:type="spellEnd"/>
      <w:r w:rsidRPr="00666083">
        <w:rPr>
          <w:sz w:val="24"/>
          <w:szCs w:val="24"/>
        </w:rPr>
        <w:t xml:space="preserve"> virkningen af </w:t>
      </w:r>
      <w:proofErr w:type="spellStart"/>
      <w:r w:rsidRPr="00666083">
        <w:rPr>
          <w:sz w:val="24"/>
          <w:szCs w:val="24"/>
        </w:rPr>
        <w:t>antidiabetika</w:t>
      </w:r>
      <w:proofErr w:type="spellEnd"/>
      <w:r w:rsidRPr="00666083">
        <w:rPr>
          <w:sz w:val="24"/>
          <w:szCs w:val="24"/>
        </w:rPr>
        <w:t xml:space="preserve"> ved at forhøje blodsukkeret (se pkt. 4.8).</w:t>
      </w:r>
    </w:p>
    <w:p w:rsidR="005A0DBA" w:rsidRPr="00666083" w:rsidRDefault="005A0DBA" w:rsidP="005A0DBA">
      <w:pPr>
        <w:ind w:left="851"/>
        <w:rPr>
          <w:sz w:val="24"/>
          <w:szCs w:val="24"/>
        </w:rPr>
      </w:pPr>
      <w:r w:rsidRPr="00666083">
        <w:rPr>
          <w:sz w:val="24"/>
          <w:szCs w:val="24"/>
        </w:rPr>
        <w:t xml:space="preserve">Virkning: Forhøjet risiko for </w:t>
      </w:r>
      <w:proofErr w:type="spellStart"/>
      <w:r w:rsidRPr="00666083">
        <w:rPr>
          <w:sz w:val="24"/>
          <w:szCs w:val="24"/>
        </w:rPr>
        <w:t>hyperglykæmi</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proofErr w:type="spellStart"/>
      <w:r w:rsidRPr="00666083">
        <w:rPr>
          <w:i/>
          <w:iCs/>
          <w:sz w:val="24"/>
          <w:szCs w:val="24"/>
        </w:rPr>
        <w:t>Methotrexat</w:t>
      </w:r>
      <w:proofErr w:type="spellEnd"/>
    </w:p>
    <w:p w:rsidR="005A0DBA" w:rsidRPr="00666083" w:rsidRDefault="005A0DBA" w:rsidP="005A0DBA">
      <w:pPr>
        <w:ind w:left="851"/>
        <w:rPr>
          <w:sz w:val="24"/>
          <w:szCs w:val="24"/>
        </w:rPr>
      </w:pPr>
      <w:r w:rsidRPr="00666083">
        <w:rPr>
          <w:sz w:val="24"/>
          <w:szCs w:val="24"/>
        </w:rPr>
        <w:t xml:space="preserve">Mulig mekanisme: </w:t>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interagerer med </w:t>
      </w:r>
      <w:proofErr w:type="spellStart"/>
      <w:r w:rsidRPr="00666083">
        <w:rPr>
          <w:sz w:val="24"/>
          <w:szCs w:val="24"/>
        </w:rPr>
        <w:t>methotrexat</w:t>
      </w:r>
      <w:proofErr w:type="spellEnd"/>
      <w:r w:rsidRPr="00666083">
        <w:rPr>
          <w:sz w:val="24"/>
          <w:szCs w:val="24"/>
        </w:rPr>
        <w:t xml:space="preserve"> via en ukendt mekanisme.</w:t>
      </w:r>
    </w:p>
    <w:p w:rsidR="005A0DBA" w:rsidRPr="00666083" w:rsidRDefault="005A0DBA" w:rsidP="005A0DBA">
      <w:pPr>
        <w:ind w:left="851"/>
        <w:rPr>
          <w:sz w:val="24"/>
          <w:szCs w:val="24"/>
        </w:rPr>
      </w:pPr>
      <w:r w:rsidRPr="00666083">
        <w:rPr>
          <w:sz w:val="24"/>
          <w:szCs w:val="24"/>
        </w:rPr>
        <w:t xml:space="preserve">Virkning: Forhøjet risiko for bivirkninger af </w:t>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firstLine="851"/>
        <w:rPr>
          <w:i/>
          <w:sz w:val="24"/>
          <w:szCs w:val="24"/>
        </w:rPr>
      </w:pPr>
      <w:proofErr w:type="spellStart"/>
      <w:r w:rsidRPr="00666083">
        <w:rPr>
          <w:i/>
          <w:sz w:val="24"/>
          <w:szCs w:val="24"/>
        </w:rPr>
        <w:t>Neuromuskulære</w:t>
      </w:r>
      <w:proofErr w:type="spellEnd"/>
      <w:r w:rsidRPr="00666083">
        <w:rPr>
          <w:i/>
          <w:sz w:val="24"/>
          <w:szCs w:val="24"/>
        </w:rPr>
        <w:t xml:space="preserve"> </w:t>
      </w:r>
      <w:proofErr w:type="spellStart"/>
      <w:r w:rsidRPr="00666083">
        <w:rPr>
          <w:i/>
          <w:sz w:val="24"/>
          <w:szCs w:val="24"/>
        </w:rPr>
        <w:t>blokkere</w:t>
      </w:r>
      <w:proofErr w:type="spellEnd"/>
    </w:p>
    <w:p w:rsidR="005A0DBA" w:rsidRPr="00666083" w:rsidRDefault="005A0DBA" w:rsidP="005A0DBA">
      <w:pPr>
        <w:ind w:left="851"/>
        <w:rPr>
          <w:sz w:val="24"/>
          <w:szCs w:val="24"/>
        </w:rPr>
      </w:pPr>
      <w:r w:rsidRPr="00666083">
        <w:rPr>
          <w:sz w:val="24"/>
          <w:szCs w:val="24"/>
        </w:rPr>
        <w:t>Mulig mekanisme: Ukendt</w:t>
      </w:r>
    </w:p>
    <w:p w:rsidR="005A0DBA" w:rsidRPr="00666083" w:rsidRDefault="005A0DBA" w:rsidP="005A0DBA">
      <w:pPr>
        <w:ind w:left="851"/>
        <w:rPr>
          <w:sz w:val="24"/>
          <w:szCs w:val="24"/>
        </w:rPr>
      </w:pPr>
      <w:r w:rsidRPr="00666083">
        <w:rPr>
          <w:sz w:val="24"/>
          <w:szCs w:val="24"/>
        </w:rPr>
        <w:t xml:space="preserve">Virkning: Mulig nedsat virkning af </w:t>
      </w:r>
      <w:proofErr w:type="spellStart"/>
      <w:r w:rsidRPr="00666083">
        <w:rPr>
          <w:sz w:val="24"/>
          <w:szCs w:val="24"/>
        </w:rPr>
        <w:t>neuromuskulære</w:t>
      </w:r>
      <w:proofErr w:type="spellEnd"/>
      <w:r w:rsidRPr="00666083">
        <w:rPr>
          <w:sz w:val="24"/>
          <w:szCs w:val="24"/>
        </w:rPr>
        <w:t xml:space="preserve"> </w:t>
      </w:r>
      <w:proofErr w:type="spellStart"/>
      <w:r w:rsidRPr="00666083">
        <w:rPr>
          <w:sz w:val="24"/>
          <w:szCs w:val="24"/>
        </w:rPr>
        <w:t>blokkere</w:t>
      </w:r>
      <w:proofErr w:type="spellEnd"/>
      <w:r w:rsidRPr="00666083">
        <w:rPr>
          <w:sz w:val="24"/>
          <w:szCs w:val="24"/>
        </w:rPr>
        <w:t xml:space="preserve"> og dermed forhøjet risiko for </w:t>
      </w:r>
      <w:proofErr w:type="spellStart"/>
      <w:r w:rsidRPr="00666083">
        <w:rPr>
          <w:sz w:val="24"/>
          <w:szCs w:val="24"/>
        </w:rPr>
        <w:t>myopati</w:t>
      </w:r>
      <w:proofErr w:type="spellEnd"/>
      <w:r w:rsidRPr="00666083">
        <w:rPr>
          <w:sz w:val="24"/>
          <w:szCs w:val="24"/>
        </w:rPr>
        <w:t xml:space="preserve"> efter langvarig samtidig administration.</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i/>
          <w:iCs/>
          <w:sz w:val="24"/>
          <w:szCs w:val="24"/>
        </w:rPr>
        <w:t>Quetiapin</w:t>
      </w:r>
    </w:p>
    <w:p w:rsidR="005A0DBA" w:rsidRPr="00666083" w:rsidRDefault="005A0DBA" w:rsidP="005A0DBA">
      <w:pPr>
        <w:ind w:left="851"/>
        <w:rPr>
          <w:sz w:val="24"/>
          <w:szCs w:val="24"/>
        </w:rPr>
      </w:pPr>
      <w:r w:rsidRPr="00666083">
        <w:rPr>
          <w:sz w:val="24"/>
          <w:szCs w:val="24"/>
        </w:rPr>
        <w:t xml:space="preserve">Mulig mekanisme: </w:t>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inducerer </w:t>
      </w:r>
      <w:proofErr w:type="spellStart"/>
      <w:r w:rsidRPr="00666083">
        <w:rPr>
          <w:sz w:val="24"/>
          <w:szCs w:val="24"/>
        </w:rPr>
        <w:t>cytochrom</w:t>
      </w:r>
      <w:proofErr w:type="spellEnd"/>
      <w:r w:rsidRPr="00666083">
        <w:rPr>
          <w:sz w:val="24"/>
          <w:szCs w:val="24"/>
        </w:rPr>
        <w:t xml:space="preserve"> P450-medieret metabolisme af </w:t>
      </w:r>
      <w:proofErr w:type="spellStart"/>
      <w:r w:rsidRPr="00666083">
        <w:rPr>
          <w:sz w:val="24"/>
          <w:szCs w:val="24"/>
        </w:rPr>
        <w:t>quetiapin</w:t>
      </w:r>
      <w:proofErr w:type="spellEnd"/>
      <w:r w:rsidRPr="00666083">
        <w:rPr>
          <w:sz w:val="24"/>
          <w:szCs w:val="24"/>
        </w:rPr>
        <w:t>.</w:t>
      </w:r>
    </w:p>
    <w:p w:rsidR="005A0DBA" w:rsidRDefault="005A0DBA" w:rsidP="005A0DBA">
      <w:pPr>
        <w:ind w:left="851"/>
        <w:rPr>
          <w:sz w:val="24"/>
          <w:szCs w:val="24"/>
        </w:rPr>
      </w:pPr>
      <w:r w:rsidRPr="00666083">
        <w:rPr>
          <w:sz w:val="24"/>
          <w:szCs w:val="24"/>
        </w:rPr>
        <w:t xml:space="preserve">Virkning: Nedsat serumkoncentration af </w:t>
      </w:r>
      <w:proofErr w:type="spellStart"/>
      <w:r w:rsidRPr="00666083">
        <w:rPr>
          <w:sz w:val="24"/>
          <w:szCs w:val="24"/>
        </w:rPr>
        <w:t>quetiapin</w:t>
      </w:r>
      <w:proofErr w:type="spellEnd"/>
      <w:r w:rsidRPr="00666083">
        <w:rPr>
          <w:sz w:val="24"/>
          <w:szCs w:val="24"/>
        </w:rPr>
        <w:t xml:space="preserve">. Det kan være nødvendigt af forhøje </w:t>
      </w:r>
      <w:proofErr w:type="spellStart"/>
      <w:r w:rsidRPr="00666083">
        <w:rPr>
          <w:sz w:val="24"/>
          <w:szCs w:val="24"/>
        </w:rPr>
        <w:t>quetiapin</w:t>
      </w:r>
      <w:proofErr w:type="spellEnd"/>
      <w:r w:rsidRPr="00666083">
        <w:rPr>
          <w:sz w:val="24"/>
          <w:szCs w:val="24"/>
        </w:rPr>
        <w:t>-dosen for at kontrollere symptomerne på skizofreni.</w:t>
      </w:r>
    </w:p>
    <w:p w:rsidR="005A0DBA" w:rsidRDefault="005A0DBA" w:rsidP="005A0DBA">
      <w:pPr>
        <w:ind w:left="851"/>
        <w:rPr>
          <w:sz w:val="24"/>
          <w:szCs w:val="24"/>
        </w:rPr>
      </w:pPr>
    </w:p>
    <w:p w:rsidR="005A0DBA" w:rsidRPr="00666083" w:rsidRDefault="005A0DBA" w:rsidP="005A0DBA">
      <w:pPr>
        <w:ind w:left="851"/>
        <w:rPr>
          <w:sz w:val="24"/>
          <w:szCs w:val="24"/>
        </w:rPr>
      </w:pPr>
      <w:r w:rsidRPr="00CA70E7">
        <w:rPr>
          <w:sz w:val="24"/>
          <w:szCs w:val="24"/>
        </w:rPr>
        <w:t xml:space="preserve">Det forventes, at samtidig behandling med CYP3A-hæmmere, herunder </w:t>
      </w:r>
      <w:proofErr w:type="spellStart"/>
      <w:r w:rsidRPr="00CA70E7">
        <w:rPr>
          <w:sz w:val="24"/>
          <w:szCs w:val="24"/>
        </w:rPr>
        <w:t>cobicistat-holdige</w:t>
      </w:r>
      <w:proofErr w:type="spellEnd"/>
      <w:r w:rsidRPr="00CA70E7">
        <w:rPr>
          <w:sz w:val="24"/>
          <w:szCs w:val="24"/>
        </w:rPr>
        <w:t xml:space="preserve"> lægemidler, øger risikoen for systemiske bivirkninger.</w:t>
      </w:r>
      <w:r>
        <w:rPr>
          <w:sz w:val="24"/>
          <w:szCs w:val="24"/>
        </w:rPr>
        <w:t xml:space="preserve"> </w:t>
      </w:r>
      <w:r w:rsidRPr="00CA70E7">
        <w:rPr>
          <w:sz w:val="24"/>
          <w:szCs w:val="24"/>
        </w:rPr>
        <w:t xml:space="preserve">Kombination bør undgås, medmindre fordelen opvejer den øgede risiko for systemiske </w:t>
      </w:r>
      <w:proofErr w:type="spellStart"/>
      <w:r w:rsidRPr="00CA70E7">
        <w:rPr>
          <w:sz w:val="24"/>
          <w:szCs w:val="24"/>
        </w:rPr>
        <w:t>kortikosteroid</w:t>
      </w:r>
      <w:proofErr w:type="spellEnd"/>
      <w:r w:rsidRPr="00CA70E7">
        <w:rPr>
          <w:sz w:val="24"/>
          <w:szCs w:val="24"/>
        </w:rPr>
        <w:t xml:space="preserve">-bivirkninger. Patienterne skal i givet fald overvåges for systemiske </w:t>
      </w:r>
      <w:proofErr w:type="spellStart"/>
      <w:r w:rsidRPr="00CA70E7">
        <w:rPr>
          <w:sz w:val="24"/>
          <w:szCs w:val="24"/>
        </w:rPr>
        <w:t>kortikosteroid</w:t>
      </w:r>
      <w:proofErr w:type="spellEnd"/>
      <w:r w:rsidRPr="00CA70E7">
        <w:rPr>
          <w:sz w:val="24"/>
          <w:szCs w:val="24"/>
        </w:rPr>
        <w:t>-bivirkninger.</w:t>
      </w: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5A0DBA" w:rsidRDefault="005A0DBA" w:rsidP="005A0DBA">
      <w:pPr>
        <w:ind w:left="851" w:hanging="851"/>
        <w:rPr>
          <w:sz w:val="24"/>
          <w:szCs w:val="24"/>
          <w:u w:val="single"/>
        </w:rPr>
      </w:pPr>
    </w:p>
    <w:p w:rsidR="005A0DBA" w:rsidRPr="00666083" w:rsidRDefault="005A0DBA" w:rsidP="005A0DBA">
      <w:pPr>
        <w:ind w:left="851"/>
        <w:rPr>
          <w:sz w:val="24"/>
          <w:szCs w:val="24"/>
        </w:rPr>
      </w:pPr>
      <w:r w:rsidRPr="00666083">
        <w:rPr>
          <w:sz w:val="24"/>
          <w:szCs w:val="24"/>
          <w:u w:val="single"/>
        </w:rPr>
        <w:t>Fertilitet</w:t>
      </w:r>
    </w:p>
    <w:p w:rsidR="005A0DBA" w:rsidRPr="00666083" w:rsidRDefault="005A0DBA" w:rsidP="005A0DBA">
      <w:pPr>
        <w:ind w:left="851"/>
        <w:rPr>
          <w:sz w:val="24"/>
          <w:szCs w:val="24"/>
        </w:rPr>
      </w:pPr>
      <w:r w:rsidRPr="00666083">
        <w:rPr>
          <w:sz w:val="24"/>
          <w:szCs w:val="24"/>
        </w:rPr>
        <w:t xml:space="preserve">Dyreforsøg har påvist, at </w:t>
      </w:r>
      <w:proofErr w:type="spellStart"/>
      <w:r w:rsidRPr="00666083">
        <w:rPr>
          <w:sz w:val="24"/>
          <w:szCs w:val="24"/>
        </w:rPr>
        <w:t>kortikosteroider</w:t>
      </w:r>
      <w:proofErr w:type="spellEnd"/>
      <w:r w:rsidRPr="00666083">
        <w:rPr>
          <w:sz w:val="24"/>
          <w:szCs w:val="24"/>
        </w:rPr>
        <w:t xml:space="preserve"> nedsætter fertiliteten (se pkt. 5.3).</w:t>
      </w:r>
    </w:p>
    <w:p w:rsidR="005A0DBA" w:rsidRPr="00666083" w:rsidRDefault="005A0DBA" w:rsidP="005A0DBA">
      <w:pPr>
        <w:ind w:left="851"/>
        <w:rPr>
          <w:sz w:val="24"/>
          <w:szCs w:val="24"/>
        </w:rPr>
      </w:pPr>
      <w:proofErr w:type="spellStart"/>
      <w:r w:rsidRPr="00666083">
        <w:rPr>
          <w:sz w:val="24"/>
          <w:szCs w:val="24"/>
        </w:rPr>
        <w:t>Kortikosteroider</w:t>
      </w:r>
      <w:proofErr w:type="spellEnd"/>
      <w:r w:rsidRPr="00666083">
        <w:rPr>
          <w:sz w:val="24"/>
          <w:szCs w:val="24"/>
        </w:rPr>
        <w:t xml:space="preserve"> kan ændre </w:t>
      </w:r>
      <w:proofErr w:type="spellStart"/>
      <w:r w:rsidRPr="00666083">
        <w:rPr>
          <w:sz w:val="24"/>
          <w:szCs w:val="24"/>
        </w:rPr>
        <w:t>motiliteten</w:t>
      </w:r>
      <w:proofErr w:type="spellEnd"/>
      <w:r w:rsidRPr="00666083">
        <w:rPr>
          <w:sz w:val="24"/>
          <w:szCs w:val="24"/>
        </w:rPr>
        <w:t xml:space="preserve"> og antallet af spermatozoer hos nogle patienter.</w:t>
      </w:r>
    </w:p>
    <w:p w:rsidR="005A0DBA" w:rsidRPr="00666083" w:rsidRDefault="005A0DBA" w:rsidP="005A0DBA">
      <w:pPr>
        <w:ind w:left="851" w:hanging="851"/>
        <w:rPr>
          <w:sz w:val="24"/>
          <w:szCs w:val="24"/>
          <w:u w:val="single"/>
        </w:rPr>
      </w:pPr>
    </w:p>
    <w:p w:rsidR="005A0DBA" w:rsidRPr="00666083" w:rsidRDefault="005A0DBA" w:rsidP="005A0DBA">
      <w:pPr>
        <w:ind w:left="851"/>
        <w:rPr>
          <w:sz w:val="24"/>
          <w:szCs w:val="24"/>
        </w:rPr>
      </w:pPr>
      <w:r w:rsidRPr="00666083">
        <w:rPr>
          <w:sz w:val="24"/>
          <w:szCs w:val="24"/>
          <w:u w:val="single"/>
        </w:rPr>
        <w:t>Graviditet</w:t>
      </w:r>
    </w:p>
    <w:p w:rsidR="005A0DBA" w:rsidRPr="00666083" w:rsidRDefault="005A0DBA" w:rsidP="005A0DBA">
      <w:pPr>
        <w:ind w:left="851"/>
        <w:rPr>
          <w:sz w:val="24"/>
          <w:szCs w:val="24"/>
        </w:rPr>
      </w:pPr>
      <w:r w:rsidRPr="00666083">
        <w:rPr>
          <w:sz w:val="24"/>
          <w:szCs w:val="24"/>
        </w:rPr>
        <w:t xml:space="preserve">Dyreforsøg har påvist reproduktionstoksiske virkninger af </w:t>
      </w:r>
      <w:proofErr w:type="spellStart"/>
      <w:r w:rsidRPr="00666083">
        <w:rPr>
          <w:sz w:val="24"/>
          <w:szCs w:val="24"/>
        </w:rPr>
        <w:t>kortikosteroider</w:t>
      </w:r>
      <w:proofErr w:type="spellEnd"/>
      <w:r w:rsidRPr="00666083">
        <w:rPr>
          <w:sz w:val="24"/>
          <w:szCs w:val="24"/>
        </w:rPr>
        <w:t xml:space="preserve"> (se pkt. 5.3 Prækliniske sikkerhedsdata). Det vides ikke, om dette er relevant for mennesker. Der er påvist nedsat placenta- og fødselsvægt hos mennesker og dyr efter langtidsbehandling. Langtidsbehandling er også forbundet med en risiko for binyresuppression hos nyfødte. Under graviditeten bør </w:t>
      </w:r>
      <w:proofErr w:type="spellStart"/>
      <w:r w:rsidRPr="00666083">
        <w:rPr>
          <w:sz w:val="24"/>
          <w:szCs w:val="24"/>
        </w:rPr>
        <w:t>kortikosteroider</w:t>
      </w:r>
      <w:proofErr w:type="spellEnd"/>
      <w:r w:rsidRPr="00666083">
        <w:rPr>
          <w:sz w:val="24"/>
          <w:szCs w:val="24"/>
        </w:rPr>
        <w:t xml:space="preserve"> kun gives efter omhyggelig overvejelse.</w:t>
      </w:r>
    </w:p>
    <w:p w:rsidR="005A0DBA" w:rsidRPr="00666083" w:rsidRDefault="005A0DBA" w:rsidP="005A0DBA">
      <w:pPr>
        <w:ind w:left="851" w:hanging="851"/>
        <w:rPr>
          <w:sz w:val="24"/>
          <w:szCs w:val="24"/>
        </w:rPr>
      </w:pPr>
    </w:p>
    <w:p w:rsidR="005A0DBA" w:rsidRPr="00666083" w:rsidRDefault="005A0DBA" w:rsidP="005A0DBA">
      <w:pPr>
        <w:ind w:left="851"/>
        <w:rPr>
          <w:sz w:val="24"/>
          <w:szCs w:val="24"/>
          <w:u w:val="single"/>
        </w:rPr>
      </w:pPr>
      <w:r w:rsidRPr="00666083">
        <w:rPr>
          <w:sz w:val="24"/>
          <w:szCs w:val="24"/>
          <w:u w:val="single"/>
        </w:rPr>
        <w:t>Amning</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udskilles i human mælk, men der forventes ingen påvirkning af det ammede barn ved terapeutiske doser.</w:t>
      </w: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5A0DBA" w:rsidRPr="00666083" w:rsidRDefault="005A0DBA" w:rsidP="005A0DBA">
      <w:pPr>
        <w:ind w:left="851"/>
        <w:rPr>
          <w:sz w:val="24"/>
          <w:szCs w:val="24"/>
        </w:rPr>
      </w:pPr>
      <w:r w:rsidRPr="00666083">
        <w:rPr>
          <w:sz w:val="24"/>
          <w:szCs w:val="24"/>
        </w:rPr>
        <w:t>Ikke mærkning.</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påvirker kun i ubetydelig grad evnen til at føre motorkøretøjer og betjene maskiner.</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4.8</w:t>
      </w:r>
      <w:r w:rsidRPr="00666083">
        <w:rPr>
          <w:b/>
          <w:sz w:val="24"/>
          <w:szCs w:val="24"/>
        </w:rPr>
        <w:tab/>
        <w:t>Bivirkninger</w:t>
      </w:r>
    </w:p>
    <w:p w:rsidR="005A0DBA" w:rsidRPr="00666083" w:rsidRDefault="005A0DBA" w:rsidP="005A0DBA">
      <w:pPr>
        <w:ind w:left="851"/>
        <w:rPr>
          <w:sz w:val="24"/>
          <w:szCs w:val="24"/>
        </w:rPr>
      </w:pPr>
      <w:r w:rsidRPr="00666083">
        <w:rPr>
          <w:sz w:val="24"/>
          <w:szCs w:val="24"/>
        </w:rPr>
        <w:t>Forekomsten af bivirkninger, herunder binyreinsufficiens, afhænger af dosis, behandlingsvarighed og administrationstidspunkt. Uønskede bivirkninger minimeres ved at anvende den laveste dosis, der giver tilfredsstillende sygdomskontrol, og den kortest mulige behandlingsvarighed</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Over 10 % af patienterne vil få bivirkninger. De almindeligste under systemisk langtidsbehandling kan tilskrives hæmning af </w:t>
      </w:r>
      <w:proofErr w:type="spellStart"/>
      <w:r w:rsidRPr="00666083">
        <w:rPr>
          <w:sz w:val="24"/>
          <w:szCs w:val="24"/>
        </w:rPr>
        <w:t>hypothalamus</w:t>
      </w:r>
      <w:proofErr w:type="spellEnd"/>
      <w:r w:rsidRPr="00666083">
        <w:rPr>
          <w:sz w:val="24"/>
          <w:szCs w:val="24"/>
        </w:rPr>
        <w:t xml:space="preserve">-hypofyse-binyre-funktionen og </w:t>
      </w:r>
      <w:proofErr w:type="spellStart"/>
      <w:r w:rsidRPr="00666083">
        <w:rPr>
          <w:sz w:val="24"/>
          <w:szCs w:val="24"/>
        </w:rPr>
        <w:t>iatrogen</w:t>
      </w:r>
      <w:proofErr w:type="spellEnd"/>
      <w:r w:rsidRPr="00666083">
        <w:rPr>
          <w:sz w:val="24"/>
          <w:szCs w:val="24"/>
        </w:rPr>
        <w:t xml:space="preserve"> </w:t>
      </w:r>
      <w:proofErr w:type="spellStart"/>
      <w:r w:rsidRPr="00666083">
        <w:rPr>
          <w:sz w:val="24"/>
          <w:szCs w:val="24"/>
        </w:rPr>
        <w:t>hyperadrenalismus</w:t>
      </w:r>
      <w:proofErr w:type="spellEnd"/>
      <w:r w:rsidRPr="00666083">
        <w:rPr>
          <w:sz w:val="24"/>
          <w:szCs w:val="24"/>
        </w:rPr>
        <w:t>.</w:t>
      </w:r>
    </w:p>
    <w:p w:rsidR="005A0DBA" w:rsidRPr="00666083" w:rsidRDefault="005A0DBA" w:rsidP="005A0DBA">
      <w:pPr>
        <w:shd w:val="clear" w:color="auto" w:fill="FFFFFF"/>
        <w:ind w:left="851" w:hanging="851"/>
        <w:rPr>
          <w:color w:val="000000"/>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595"/>
        <w:gridCol w:w="1595"/>
        <w:gridCol w:w="1449"/>
        <w:gridCol w:w="1418"/>
        <w:gridCol w:w="1844"/>
      </w:tblGrid>
      <w:tr w:rsidR="005A0DBA" w:rsidRPr="00666083" w:rsidTr="003B4BCE">
        <w:trPr>
          <w:trHeight w:val="17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Frekvens </w:t>
            </w:r>
          </w:p>
          <w:p w:rsidR="005A0DBA" w:rsidRPr="00666083" w:rsidRDefault="005A0DBA" w:rsidP="003B4BCE">
            <w:pPr>
              <w:rPr>
                <w:sz w:val="20"/>
              </w:rPr>
            </w:pPr>
            <w:r w:rsidRPr="00666083">
              <w:rPr>
                <w:i/>
                <w:iCs/>
                <w:sz w:val="20"/>
              </w:rPr>
              <w:t xml:space="preserve">organklasse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Meget almindelig (≥1/10)</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Almindelig (≥1/100 t</w:t>
            </w:r>
            <w:r>
              <w:rPr>
                <w:sz w:val="20"/>
              </w:rPr>
              <w:t>il</w:t>
            </w:r>
            <w:r w:rsidRPr="00666083">
              <w:rPr>
                <w:sz w:val="20"/>
              </w:rPr>
              <w:t xml:space="preserve"> &lt;1/10</w:t>
            </w:r>
          </w:p>
        </w:tc>
        <w:tc>
          <w:tcPr>
            <w:tcW w:w="763"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Ikke almindelig (≥1/1.000 til &lt;1/100)</w:t>
            </w:r>
          </w:p>
        </w:tc>
        <w:tc>
          <w:tcPr>
            <w:tcW w:w="747"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Sjælden (≥1/10.000 til</w:t>
            </w:r>
            <w:r>
              <w:rPr>
                <w:sz w:val="20"/>
              </w:rPr>
              <w:t xml:space="preserve"> </w:t>
            </w:r>
            <w:r w:rsidRPr="00666083">
              <w:rPr>
                <w:sz w:val="20"/>
              </w:rPr>
              <w:t>&lt;1/1.000)&gt;</w:t>
            </w:r>
          </w:p>
        </w:tc>
        <w:tc>
          <w:tcPr>
            <w:tcW w:w="971"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Meget sjælden (&lt;1/10.000), inklusive ikke kendt (kan ikke estimeres ud fra forhåndenværende data)</w:t>
            </w:r>
          </w:p>
        </w:tc>
      </w:tr>
      <w:tr w:rsidR="005A0DBA" w:rsidRPr="00666083" w:rsidTr="003B4BCE">
        <w:trPr>
          <w:trHeight w:val="211"/>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Blod og lymfesystem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Nedsat antal </w:t>
            </w:r>
            <w:proofErr w:type="spellStart"/>
            <w:r w:rsidRPr="00666083">
              <w:rPr>
                <w:sz w:val="20"/>
              </w:rPr>
              <w:t>eosinofiler</w:t>
            </w:r>
            <w:proofErr w:type="spellEnd"/>
            <w:r w:rsidRPr="00666083">
              <w:rPr>
                <w:sz w:val="20"/>
              </w:rPr>
              <w:t>, leukocytter og lymfocytter.</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Forhøjet antal </w:t>
            </w:r>
            <w:proofErr w:type="spellStart"/>
            <w:r w:rsidRPr="00666083">
              <w:rPr>
                <w:sz w:val="20"/>
              </w:rPr>
              <w:t>trombocytter</w:t>
            </w:r>
            <w:proofErr w:type="spellEnd"/>
            <w:r w:rsidRPr="00666083">
              <w:rPr>
                <w:sz w:val="20"/>
              </w:rPr>
              <w:t xml:space="preserve"> og totalt antal leukocytter.</w:t>
            </w: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Forhøjet risiko for </w:t>
            </w:r>
            <w:proofErr w:type="spellStart"/>
            <w:r w:rsidRPr="00666083">
              <w:rPr>
                <w:sz w:val="20"/>
              </w:rPr>
              <w:t>trombedannelse</w:t>
            </w:r>
            <w:proofErr w:type="spellEnd"/>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r>
      <w:tr w:rsidR="005A0DBA" w:rsidRPr="00666083" w:rsidTr="003B4BCE">
        <w:trPr>
          <w:trHeight w:val="483"/>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Immunsystemet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Forhøjet infektionsrisiko på grund af </w:t>
            </w:r>
            <w:proofErr w:type="spellStart"/>
            <w:r w:rsidRPr="00666083">
              <w:rPr>
                <w:sz w:val="20"/>
              </w:rPr>
              <w:t>prednisolons</w:t>
            </w:r>
            <w:proofErr w:type="spellEnd"/>
            <w:r w:rsidRPr="00666083">
              <w:rPr>
                <w:sz w:val="20"/>
              </w:rPr>
              <w:t xml:space="preserve"> </w:t>
            </w:r>
            <w:proofErr w:type="spellStart"/>
            <w:r w:rsidRPr="00666083">
              <w:rPr>
                <w:sz w:val="20"/>
              </w:rPr>
              <w:t>immunosuppressive</w:t>
            </w:r>
            <w:proofErr w:type="spellEnd"/>
            <w:r w:rsidRPr="00666083">
              <w:rPr>
                <w:sz w:val="20"/>
              </w:rPr>
              <w:t xml:space="preserve"> virkning. Sløring eller forværring af den eksisterende infektion/sygdom (herunder virusinfektioner, </w:t>
            </w:r>
            <w:proofErr w:type="spellStart"/>
            <w:r w:rsidRPr="00666083">
              <w:rPr>
                <w:sz w:val="20"/>
              </w:rPr>
              <w:t>mykose</w:t>
            </w:r>
            <w:proofErr w:type="spellEnd"/>
            <w:r w:rsidRPr="00666083">
              <w:rPr>
                <w:sz w:val="20"/>
              </w:rPr>
              <w:t xml:space="preserve"> og tuberkulose).</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Allergiske reaktioner</w:t>
            </w: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r>
      <w:tr w:rsidR="005A0DBA" w:rsidRPr="00666083" w:rsidTr="003B4BCE">
        <w:trPr>
          <w:trHeight w:val="572"/>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b/>
                <w:bCs/>
                <w:sz w:val="20"/>
              </w:rPr>
            </w:pPr>
            <w:r w:rsidRPr="00666083">
              <w:rPr>
                <w:b/>
                <w:bCs/>
                <w:sz w:val="20"/>
              </w:rPr>
              <w:t xml:space="preserve">Det endokrine system </w:t>
            </w:r>
          </w:p>
        </w:tc>
        <w:tc>
          <w:tcPr>
            <w:tcW w:w="840"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Binyreinsufficiens, abstinenssymptomer som følge af binyrebarkinsufficiens (hovedpine, kvalme, svimmelhed, </w:t>
            </w:r>
            <w:proofErr w:type="spellStart"/>
            <w:r w:rsidRPr="00666083">
              <w:rPr>
                <w:sz w:val="20"/>
              </w:rPr>
              <w:t>anorexi</w:t>
            </w:r>
            <w:proofErr w:type="spellEnd"/>
            <w:r w:rsidRPr="00666083">
              <w:rPr>
                <w:sz w:val="20"/>
              </w:rPr>
              <w:t>, svækkelse, følelsesmæssige forandringer, apati og uhensigts</w:t>
            </w:r>
            <w:r>
              <w:rPr>
                <w:sz w:val="20"/>
              </w:rPr>
              <w:t>mæssige reaktioner på stress), "</w:t>
            </w:r>
            <w:r w:rsidRPr="00666083">
              <w:rPr>
                <w:sz w:val="20"/>
              </w:rPr>
              <w:t>steroid diabetes</w:t>
            </w:r>
            <w:r>
              <w:rPr>
                <w:sz w:val="20"/>
              </w:rPr>
              <w:t>"</w:t>
            </w:r>
            <w:r w:rsidRPr="00666083">
              <w:rPr>
                <w:sz w:val="20"/>
              </w:rPr>
              <w:t xml:space="preserve"> og </w:t>
            </w:r>
            <w:proofErr w:type="spellStart"/>
            <w:r w:rsidRPr="00666083">
              <w:rPr>
                <w:sz w:val="20"/>
              </w:rPr>
              <w:t>hyperglykæmi</w:t>
            </w:r>
            <w:proofErr w:type="spellEnd"/>
            <w:r w:rsidRPr="00666083">
              <w:rPr>
                <w:sz w:val="20"/>
              </w:rPr>
              <w:t xml:space="preserve"> hos diabetespatienter</w:t>
            </w:r>
          </w:p>
        </w:tc>
        <w:tc>
          <w:tcPr>
            <w:tcW w:w="840"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proofErr w:type="spellStart"/>
            <w:r w:rsidRPr="00666083">
              <w:rPr>
                <w:sz w:val="20"/>
              </w:rPr>
              <w:t>Cushings</w:t>
            </w:r>
            <w:proofErr w:type="spellEnd"/>
            <w:r w:rsidRPr="00666083">
              <w:rPr>
                <w:sz w:val="20"/>
              </w:rPr>
              <w:t xml:space="preserve"> syndrom efter </w:t>
            </w:r>
            <w:proofErr w:type="spellStart"/>
            <w:r w:rsidRPr="00666083">
              <w:rPr>
                <w:sz w:val="20"/>
              </w:rPr>
              <w:t>seponering</w:t>
            </w:r>
            <w:proofErr w:type="spellEnd"/>
            <w:r w:rsidRPr="00666083">
              <w:rPr>
                <w:sz w:val="20"/>
              </w:rPr>
              <w:t xml:space="preserve"> af behandling med </w:t>
            </w:r>
            <w:proofErr w:type="spellStart"/>
            <w:r w:rsidRPr="00666083">
              <w:rPr>
                <w:sz w:val="20"/>
              </w:rPr>
              <w:t>supra</w:t>
            </w:r>
            <w:proofErr w:type="spellEnd"/>
            <w:r w:rsidRPr="00666083">
              <w:rPr>
                <w:sz w:val="20"/>
              </w:rPr>
              <w:t xml:space="preserve">-fysiologiske doser, </w:t>
            </w:r>
            <w:proofErr w:type="spellStart"/>
            <w:r w:rsidRPr="00666083">
              <w:rPr>
                <w:sz w:val="20"/>
              </w:rPr>
              <w:t>amenoré</w:t>
            </w:r>
            <w:proofErr w:type="spellEnd"/>
            <w:r w:rsidRPr="00666083">
              <w:rPr>
                <w:sz w:val="20"/>
              </w:rPr>
              <w:t xml:space="preserve"> hos fertile kvinder.</w:t>
            </w: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Tumorlysesyndrom</w:t>
            </w:r>
          </w:p>
          <w:p w:rsidR="005A0DBA" w:rsidRPr="00666083" w:rsidRDefault="005A0DBA" w:rsidP="003B4BCE">
            <w:pPr>
              <w:rPr>
                <w:sz w:val="20"/>
              </w:rPr>
            </w:pPr>
          </w:p>
          <w:p w:rsidR="005A0DBA" w:rsidRPr="00666083" w:rsidRDefault="005A0DBA" w:rsidP="003B4BCE">
            <w:pPr>
              <w:rPr>
                <w:sz w:val="20"/>
              </w:rPr>
            </w:pPr>
            <w:proofErr w:type="spellStart"/>
            <w:r w:rsidRPr="00666083">
              <w:rPr>
                <w:sz w:val="20"/>
              </w:rPr>
              <w:t>Fæokromocytomrelaterede</w:t>
            </w:r>
            <w:proofErr w:type="spellEnd"/>
            <w:r w:rsidRPr="00666083">
              <w:rPr>
                <w:sz w:val="20"/>
              </w:rPr>
              <w:t xml:space="preserve"> kriser (se pkt. 4.4).</w:t>
            </w:r>
          </w:p>
        </w:tc>
      </w:tr>
      <w:tr w:rsidR="005A0DBA" w:rsidRPr="00666083" w:rsidTr="003B4BCE">
        <w:trPr>
          <w:trHeight w:val="332"/>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Metabolisme og ernæring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Behandling med høje doser: forhøjet koncentration af kolesterol, triglycerider og </w:t>
            </w:r>
            <w:proofErr w:type="spellStart"/>
            <w:r w:rsidRPr="00666083">
              <w:rPr>
                <w:sz w:val="20"/>
              </w:rPr>
              <w:t>lipoprotein</w:t>
            </w:r>
            <w:proofErr w:type="spellEnd"/>
            <w:r w:rsidRPr="00666083">
              <w:rPr>
                <w:sz w:val="20"/>
              </w:rPr>
              <w:t xml:space="preserve"> i blodet.</w:t>
            </w:r>
          </w:p>
          <w:p w:rsidR="005A0DBA" w:rsidRPr="00666083" w:rsidRDefault="005A0DBA" w:rsidP="003B4BCE">
            <w:pPr>
              <w:rPr>
                <w:sz w:val="20"/>
              </w:rPr>
            </w:pPr>
          </w:p>
          <w:p w:rsidR="005A0DBA" w:rsidRPr="00666083" w:rsidRDefault="005A0DBA" w:rsidP="003B4BCE">
            <w:pPr>
              <w:rPr>
                <w:sz w:val="20"/>
              </w:rPr>
            </w:pPr>
            <w:r w:rsidRPr="00666083">
              <w:rPr>
                <w:sz w:val="20"/>
              </w:rPr>
              <w:t>Natriumretention og tendens til ødem</w:t>
            </w:r>
          </w:p>
          <w:p w:rsidR="005A0DBA" w:rsidRPr="00666083" w:rsidRDefault="005A0DBA" w:rsidP="003B4BCE">
            <w:pPr>
              <w:rPr>
                <w:sz w:val="20"/>
              </w:rPr>
            </w:pPr>
          </w:p>
          <w:p w:rsidR="005A0DBA" w:rsidRPr="00666083" w:rsidRDefault="005A0DBA" w:rsidP="003B4BCE">
            <w:pPr>
              <w:rPr>
                <w:sz w:val="20"/>
              </w:rPr>
            </w:pPr>
            <w:proofErr w:type="spellStart"/>
            <w:r>
              <w:rPr>
                <w:sz w:val="20"/>
              </w:rPr>
              <w:t>H</w:t>
            </w:r>
            <w:r w:rsidRPr="00666083">
              <w:rPr>
                <w:sz w:val="20"/>
              </w:rPr>
              <w:t>ypokaliæmi</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Behandling med lave doser: diabetes mellitus og forhøjet koncentration af kolesterol, triglycerider og </w:t>
            </w:r>
            <w:proofErr w:type="spellStart"/>
            <w:r w:rsidRPr="00666083">
              <w:rPr>
                <w:sz w:val="20"/>
              </w:rPr>
              <w:t>lipoprotein</w:t>
            </w:r>
            <w:proofErr w:type="spellEnd"/>
            <w:r w:rsidRPr="00666083">
              <w:rPr>
                <w:sz w:val="20"/>
              </w:rPr>
              <w:t xml:space="preserve"> i blodet.</w:t>
            </w:r>
          </w:p>
        </w:tc>
        <w:tc>
          <w:tcPr>
            <w:tcW w:w="747"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Forstyrrelse af </w:t>
            </w:r>
            <w:proofErr w:type="spellStart"/>
            <w:r w:rsidRPr="00666083">
              <w:rPr>
                <w:sz w:val="20"/>
              </w:rPr>
              <w:t>thyroideafunktionen</w:t>
            </w:r>
            <w:proofErr w:type="spellEnd"/>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roofErr w:type="spellStart"/>
            <w:r w:rsidRPr="00666083">
              <w:rPr>
                <w:sz w:val="20"/>
              </w:rPr>
              <w:t>Ketoacidose</w:t>
            </w:r>
            <w:proofErr w:type="spellEnd"/>
            <w:r w:rsidRPr="00666083">
              <w:rPr>
                <w:sz w:val="20"/>
              </w:rPr>
              <w:t xml:space="preserve"> og </w:t>
            </w:r>
            <w:r w:rsidRPr="00666083">
              <w:rPr>
                <w:sz w:val="20"/>
              </w:rPr>
              <w:br/>
            </w:r>
            <w:proofErr w:type="spellStart"/>
            <w:r w:rsidRPr="00666083">
              <w:rPr>
                <w:sz w:val="20"/>
              </w:rPr>
              <w:t>hyperosmolær</w:t>
            </w:r>
            <w:proofErr w:type="spellEnd"/>
            <w:r w:rsidRPr="00666083">
              <w:rPr>
                <w:sz w:val="20"/>
              </w:rPr>
              <w:t xml:space="preserve"> koma.</w:t>
            </w:r>
          </w:p>
          <w:p w:rsidR="005A0DBA" w:rsidRPr="00666083" w:rsidRDefault="005A0DBA" w:rsidP="003B4BCE">
            <w:pPr>
              <w:rPr>
                <w:sz w:val="20"/>
              </w:rPr>
            </w:pPr>
            <w:r w:rsidRPr="00666083">
              <w:rPr>
                <w:sz w:val="20"/>
              </w:rPr>
              <w:t xml:space="preserve">Aktivering af latent </w:t>
            </w:r>
            <w:proofErr w:type="spellStart"/>
            <w:r w:rsidRPr="00666083">
              <w:rPr>
                <w:sz w:val="20"/>
              </w:rPr>
              <w:t>hyperparathyroidisme</w:t>
            </w:r>
            <w:proofErr w:type="spellEnd"/>
            <w:r w:rsidRPr="00666083">
              <w:rPr>
                <w:sz w:val="20"/>
              </w:rPr>
              <w:t xml:space="preserve"> og </w:t>
            </w:r>
            <w:proofErr w:type="spellStart"/>
            <w:r w:rsidRPr="00666083">
              <w:rPr>
                <w:sz w:val="20"/>
              </w:rPr>
              <w:t>porfyri</w:t>
            </w:r>
            <w:proofErr w:type="spellEnd"/>
            <w:r w:rsidRPr="00666083">
              <w:rPr>
                <w:sz w:val="20"/>
              </w:rPr>
              <w:t>.</w:t>
            </w:r>
          </w:p>
        </w:tc>
      </w:tr>
      <w:tr w:rsidR="005A0DBA" w:rsidRPr="00666083" w:rsidTr="003B4BCE">
        <w:trPr>
          <w:trHeight w:val="181"/>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Psykiske forstyrrelser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Eufori, depression og </w:t>
            </w:r>
            <w:proofErr w:type="spellStart"/>
            <w:r w:rsidRPr="00666083">
              <w:rPr>
                <w:sz w:val="20"/>
              </w:rPr>
              <w:t>kortikosteroid</w:t>
            </w:r>
            <w:proofErr w:type="spellEnd"/>
            <w:r w:rsidRPr="00666083">
              <w:rPr>
                <w:sz w:val="20"/>
              </w:rPr>
              <w:t>-induceret psykose</w:t>
            </w: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Søvnløshed, humørsvingninger, personlighedsforandringer, mani og hallucinationer.</w:t>
            </w: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Kataton </w:t>
            </w:r>
            <w:proofErr w:type="spellStart"/>
            <w:r w:rsidRPr="00666083">
              <w:rPr>
                <w:sz w:val="20"/>
              </w:rPr>
              <w:t>stupor</w:t>
            </w:r>
            <w:proofErr w:type="spellEnd"/>
          </w:p>
        </w:tc>
      </w:tr>
      <w:tr w:rsidR="005A0DBA" w:rsidRPr="00666083" w:rsidTr="003B4BCE">
        <w:trPr>
          <w:trHeight w:val="270"/>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Nervesystemet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Kognitiv svækkelse (såsom dårlig hukommelse). </w:t>
            </w:r>
            <w:proofErr w:type="spellStart"/>
            <w:r w:rsidRPr="00666083">
              <w:rPr>
                <w:sz w:val="20"/>
              </w:rPr>
              <w:t>Epidural</w:t>
            </w:r>
            <w:proofErr w:type="spellEnd"/>
            <w:r w:rsidRPr="00666083">
              <w:rPr>
                <w:sz w:val="20"/>
              </w:rPr>
              <w:t xml:space="preserve"> </w:t>
            </w:r>
            <w:proofErr w:type="spellStart"/>
            <w:r w:rsidRPr="00666083">
              <w:rPr>
                <w:sz w:val="20"/>
              </w:rPr>
              <w:t>lipomatose</w:t>
            </w:r>
            <w:proofErr w:type="spellEnd"/>
          </w:p>
        </w:tc>
        <w:tc>
          <w:tcPr>
            <w:tcW w:w="971"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Krampeanfald hos patienter med latent epilepsi. Pseudotumor </w:t>
            </w:r>
            <w:proofErr w:type="spellStart"/>
            <w:r w:rsidRPr="00666083">
              <w:rPr>
                <w:sz w:val="20"/>
              </w:rPr>
              <w:t>cerebri</w:t>
            </w:r>
            <w:proofErr w:type="spellEnd"/>
            <w:r w:rsidRPr="00666083">
              <w:rPr>
                <w:sz w:val="20"/>
              </w:rPr>
              <w:t xml:space="preserve"> (især hos børn).</w:t>
            </w:r>
          </w:p>
        </w:tc>
      </w:tr>
      <w:tr w:rsidR="005A0DBA" w:rsidRPr="00666083" w:rsidTr="003B4BCE">
        <w:trPr>
          <w:trHeight w:val="394"/>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b/>
                <w:bCs/>
                <w:sz w:val="20"/>
              </w:rPr>
            </w:pPr>
            <w:r w:rsidRPr="00666083">
              <w:rPr>
                <w:b/>
                <w:bCs/>
                <w:sz w:val="20"/>
              </w:rPr>
              <w:t xml:space="preserve">Øjne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Forhøjet </w:t>
            </w:r>
            <w:proofErr w:type="spellStart"/>
            <w:r w:rsidRPr="00666083">
              <w:rPr>
                <w:sz w:val="20"/>
              </w:rPr>
              <w:t>intraokulært</w:t>
            </w:r>
            <w:proofErr w:type="spellEnd"/>
            <w:r w:rsidRPr="00666083">
              <w:rPr>
                <w:sz w:val="20"/>
              </w:rPr>
              <w:t xml:space="preserve"> tryk.</w:t>
            </w:r>
          </w:p>
          <w:p w:rsidR="005A0DBA" w:rsidRPr="00666083" w:rsidRDefault="005A0DBA" w:rsidP="003B4BCE">
            <w:pPr>
              <w:rPr>
                <w:sz w:val="20"/>
              </w:rPr>
            </w:pPr>
            <w:r w:rsidRPr="00666083">
              <w:rPr>
                <w:sz w:val="20"/>
              </w:rPr>
              <w:t>Langtidsbehandling: Katarakt.</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hideMark/>
          </w:tcPr>
          <w:p w:rsidR="005A0DBA" w:rsidRPr="00212416" w:rsidRDefault="005A0DBA" w:rsidP="003B4BCE">
            <w:pPr>
              <w:rPr>
                <w:sz w:val="20"/>
              </w:rPr>
            </w:pPr>
            <w:proofErr w:type="spellStart"/>
            <w:r w:rsidRPr="00212416">
              <w:rPr>
                <w:sz w:val="20"/>
              </w:rPr>
              <w:t>Glaukom</w:t>
            </w:r>
            <w:proofErr w:type="spellEnd"/>
            <w:r w:rsidRPr="00212416">
              <w:rPr>
                <w:sz w:val="20"/>
              </w:rPr>
              <w:t xml:space="preserve"> efter langtidsbehandling</w:t>
            </w:r>
          </w:p>
        </w:tc>
        <w:tc>
          <w:tcPr>
            <w:tcW w:w="971"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proofErr w:type="spellStart"/>
            <w:r w:rsidRPr="00666083">
              <w:rPr>
                <w:sz w:val="20"/>
              </w:rPr>
              <w:t>Exophthalmus</w:t>
            </w:r>
            <w:proofErr w:type="spellEnd"/>
            <w:r w:rsidRPr="00666083">
              <w:rPr>
                <w:sz w:val="20"/>
              </w:rPr>
              <w:t xml:space="preserve"> efter meget langvarig behandling.</w:t>
            </w:r>
          </w:p>
          <w:p w:rsidR="005A0DBA" w:rsidRDefault="005A0DBA" w:rsidP="003B4BCE">
            <w:pPr>
              <w:rPr>
                <w:color w:val="000000"/>
                <w:sz w:val="20"/>
              </w:rPr>
            </w:pPr>
            <w:r w:rsidRPr="00666083">
              <w:rPr>
                <w:color w:val="000000"/>
                <w:sz w:val="20"/>
              </w:rPr>
              <w:t xml:space="preserve">Central serøs </w:t>
            </w:r>
            <w:proofErr w:type="spellStart"/>
            <w:r w:rsidRPr="00666083">
              <w:rPr>
                <w:color w:val="000000"/>
                <w:sz w:val="20"/>
              </w:rPr>
              <w:t>chorioretinopati</w:t>
            </w:r>
            <w:proofErr w:type="spellEnd"/>
          </w:p>
          <w:p w:rsidR="005A0DBA" w:rsidRPr="00666083" w:rsidRDefault="005A0DBA" w:rsidP="003B4BCE">
            <w:pPr>
              <w:rPr>
                <w:sz w:val="20"/>
              </w:rPr>
            </w:pPr>
            <w:r w:rsidRPr="00212416">
              <w:rPr>
                <w:sz w:val="20"/>
              </w:rPr>
              <w:t>Sløret syn (se også pkt. 4.4)</w:t>
            </w: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b/>
                <w:bCs/>
                <w:sz w:val="20"/>
              </w:rPr>
            </w:pPr>
            <w:r w:rsidRPr="00666083">
              <w:rPr>
                <w:b/>
                <w:bCs/>
                <w:sz w:val="20"/>
              </w:rPr>
              <w:t xml:space="preserve">Hjerte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Forværring af eksisterende hjerteinsufficiens.</w:t>
            </w: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roofErr w:type="spellStart"/>
            <w:r w:rsidRPr="00666083">
              <w:rPr>
                <w:sz w:val="20"/>
              </w:rPr>
              <w:t>Kardiomyopati</w:t>
            </w:r>
            <w:proofErr w:type="spellEnd"/>
            <w:r w:rsidRPr="00666083">
              <w:rPr>
                <w:sz w:val="20"/>
              </w:rPr>
              <w:t xml:space="preserve"> med forhøjet risiko for reduktion af hjertets ydelse, </w:t>
            </w:r>
            <w:proofErr w:type="spellStart"/>
            <w:r w:rsidRPr="00666083">
              <w:rPr>
                <w:sz w:val="20"/>
              </w:rPr>
              <w:t>hjertearytmier</w:t>
            </w:r>
            <w:proofErr w:type="spellEnd"/>
            <w:r w:rsidRPr="00666083">
              <w:rPr>
                <w:sz w:val="20"/>
              </w:rPr>
              <w:t xml:space="preserve"> på grund af </w:t>
            </w:r>
            <w:proofErr w:type="spellStart"/>
            <w:r w:rsidRPr="00666083">
              <w:rPr>
                <w:sz w:val="20"/>
              </w:rPr>
              <w:t>hypokaliæmi</w:t>
            </w:r>
            <w:proofErr w:type="spellEnd"/>
            <w:r w:rsidR="00DD7CDA">
              <w:rPr>
                <w:sz w:val="20"/>
              </w:rPr>
              <w:t xml:space="preserve">, </w:t>
            </w:r>
            <w:r w:rsidR="00DD7CDA" w:rsidRPr="009C48FF">
              <w:rPr>
                <w:sz w:val="20"/>
              </w:rPr>
              <w:t>bradykardi*</w:t>
            </w:r>
            <w:r w:rsidR="00DD7CDA">
              <w:rPr>
                <w:sz w:val="20"/>
              </w:rPr>
              <w:t>*</w:t>
            </w:r>
            <w:r w:rsidR="00DD7CDA" w:rsidRPr="00666083">
              <w:rPr>
                <w:sz w:val="20"/>
              </w:rPr>
              <w:t>.</w:t>
            </w: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proofErr w:type="spellStart"/>
            <w:r w:rsidRPr="00666083">
              <w:rPr>
                <w:b/>
                <w:bCs/>
                <w:sz w:val="20"/>
              </w:rPr>
              <w:t>Vaskulære</w:t>
            </w:r>
            <w:proofErr w:type="spellEnd"/>
            <w:r w:rsidRPr="00666083">
              <w:rPr>
                <w:b/>
                <w:bCs/>
                <w:sz w:val="20"/>
              </w:rPr>
              <w:t xml:space="preserve"> sygdomme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Hypertension.</w:t>
            </w: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b/>
                <w:bCs/>
                <w:sz w:val="20"/>
              </w:rPr>
            </w:pPr>
            <w:r w:rsidRPr="00666083">
              <w:rPr>
                <w:b/>
                <w:bCs/>
                <w:sz w:val="20"/>
              </w:rPr>
              <w:t xml:space="preserve">Luftveje, thorax og </w:t>
            </w:r>
            <w:proofErr w:type="spellStart"/>
            <w:r w:rsidRPr="00666083">
              <w:rPr>
                <w:b/>
                <w:bCs/>
                <w:sz w:val="20"/>
              </w:rPr>
              <w:t>mediastinum</w:t>
            </w:r>
            <w:proofErr w:type="spellEnd"/>
            <w:r w:rsidRPr="00666083">
              <w:rPr>
                <w:b/>
                <w:bCs/>
                <w:sz w:val="20"/>
              </w:rPr>
              <w:t xml:space="preserve"> </w:t>
            </w:r>
          </w:p>
        </w:tc>
        <w:tc>
          <w:tcPr>
            <w:tcW w:w="840"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i/>
                <w:iCs/>
                <w:sz w:val="20"/>
              </w:rPr>
            </w:pPr>
            <w:r w:rsidRPr="00666083">
              <w:rPr>
                <w:sz w:val="20"/>
              </w:rPr>
              <w:t>Lungeabsces hos patienter med lungecancer.</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Mave-tarm</w:t>
            </w:r>
            <w:r>
              <w:rPr>
                <w:b/>
                <w:bCs/>
                <w:sz w:val="20"/>
              </w:rPr>
              <w:softHyphen/>
              <w:t>-</w:t>
            </w:r>
            <w:r w:rsidRPr="00666083">
              <w:rPr>
                <w:b/>
                <w:bCs/>
                <w:sz w:val="20"/>
              </w:rPr>
              <w:t xml:space="preserve">kanalen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Risiko for forværring af symptomerne på colitis, </w:t>
            </w:r>
            <w:proofErr w:type="spellStart"/>
            <w:r w:rsidRPr="00666083">
              <w:rPr>
                <w:sz w:val="20"/>
              </w:rPr>
              <w:t>ileitis</w:t>
            </w:r>
            <w:proofErr w:type="spellEnd"/>
            <w:r w:rsidRPr="00666083">
              <w:rPr>
                <w:sz w:val="20"/>
              </w:rPr>
              <w:t xml:space="preserve"> og </w:t>
            </w:r>
            <w:proofErr w:type="spellStart"/>
            <w:r w:rsidRPr="00666083">
              <w:rPr>
                <w:sz w:val="20"/>
              </w:rPr>
              <w:t>diverticulitis</w:t>
            </w:r>
            <w:proofErr w:type="spellEnd"/>
            <w:r w:rsidRPr="00666083">
              <w:rPr>
                <w:sz w:val="20"/>
              </w:rPr>
              <w:t xml:space="preserve">. Oral </w:t>
            </w:r>
            <w:proofErr w:type="spellStart"/>
            <w:r w:rsidRPr="00666083">
              <w:rPr>
                <w:sz w:val="20"/>
              </w:rPr>
              <w:t>candidiasis</w:t>
            </w:r>
            <w:proofErr w:type="spellEnd"/>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Ulcus </w:t>
            </w:r>
            <w:proofErr w:type="spellStart"/>
            <w:r w:rsidRPr="00666083">
              <w:rPr>
                <w:sz w:val="20"/>
              </w:rPr>
              <w:t>pepticum</w:t>
            </w:r>
            <w:proofErr w:type="spellEnd"/>
            <w:r w:rsidRPr="00666083">
              <w:rPr>
                <w:sz w:val="20"/>
              </w:rPr>
              <w:t xml:space="preserve"> hos patienter med samtidig behandling med acetylsalicylsyre eller </w:t>
            </w:r>
            <w:proofErr w:type="spellStart"/>
            <w:r w:rsidRPr="00666083">
              <w:rPr>
                <w:sz w:val="20"/>
              </w:rPr>
              <w:t>NSAID'er</w:t>
            </w:r>
            <w:proofErr w:type="spellEnd"/>
            <w:r w:rsidRPr="00666083">
              <w:rPr>
                <w:sz w:val="20"/>
              </w:rPr>
              <w:t xml:space="preserve"> og </w:t>
            </w:r>
            <w:proofErr w:type="spellStart"/>
            <w:r w:rsidRPr="00666083">
              <w:rPr>
                <w:sz w:val="20"/>
              </w:rPr>
              <w:t>gastrointestinal</w:t>
            </w:r>
            <w:proofErr w:type="spellEnd"/>
            <w:r w:rsidRPr="00666083">
              <w:rPr>
                <w:sz w:val="20"/>
              </w:rPr>
              <w:t xml:space="preserve"> blødning og perforation.</w:t>
            </w: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highlight w:val="yellow"/>
              </w:rPr>
            </w:pPr>
            <w:proofErr w:type="spellStart"/>
            <w:r w:rsidRPr="00666083">
              <w:rPr>
                <w:sz w:val="20"/>
              </w:rPr>
              <w:t>Pancreatitis</w:t>
            </w:r>
            <w:proofErr w:type="spellEnd"/>
            <w:r w:rsidRPr="00666083">
              <w:rPr>
                <w:sz w:val="20"/>
              </w:rPr>
              <w:t xml:space="preserve"> efter langtidsbehandling med høje doser. </w:t>
            </w:r>
          </w:p>
          <w:p w:rsidR="005A0DBA" w:rsidRPr="00666083" w:rsidRDefault="005A0DBA" w:rsidP="003B4BCE">
            <w:pPr>
              <w:rPr>
                <w:sz w:val="20"/>
              </w:rPr>
            </w:pPr>
          </w:p>
          <w:p w:rsidR="005A0DBA" w:rsidRPr="00666083" w:rsidRDefault="005A0DBA" w:rsidP="003B4BCE">
            <w:pPr>
              <w:rPr>
                <w:sz w:val="20"/>
              </w:rPr>
            </w:pPr>
          </w:p>
          <w:p w:rsidR="005A0DBA" w:rsidRPr="00666083" w:rsidRDefault="005A0DBA" w:rsidP="003B4BCE">
            <w:pPr>
              <w:rPr>
                <w:sz w:val="20"/>
              </w:rPr>
            </w:pPr>
            <w:r w:rsidRPr="00666083">
              <w:rPr>
                <w:sz w:val="20"/>
              </w:rPr>
              <w:t>Dyspepsi og forværring af eksisterende mavesår.</w:t>
            </w: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b/>
                <w:bCs/>
                <w:sz w:val="20"/>
              </w:rPr>
            </w:pPr>
            <w:r w:rsidRPr="00666083">
              <w:rPr>
                <w:b/>
                <w:bCs/>
                <w:sz w:val="20"/>
              </w:rPr>
              <w:t>Hud og subkutane væv</w:t>
            </w:r>
          </w:p>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Hudatrofi, </w:t>
            </w:r>
            <w:proofErr w:type="spellStart"/>
            <w:r w:rsidRPr="00666083">
              <w:rPr>
                <w:sz w:val="20"/>
              </w:rPr>
              <w:t>striae</w:t>
            </w:r>
            <w:proofErr w:type="spellEnd"/>
            <w:r w:rsidRPr="00666083">
              <w:rPr>
                <w:sz w:val="20"/>
              </w:rPr>
              <w:t xml:space="preserve">, </w:t>
            </w:r>
            <w:proofErr w:type="spellStart"/>
            <w:r w:rsidRPr="00666083">
              <w:rPr>
                <w:sz w:val="20"/>
              </w:rPr>
              <w:t>purpura</w:t>
            </w:r>
            <w:proofErr w:type="spellEnd"/>
            <w:r w:rsidRPr="00666083">
              <w:rPr>
                <w:sz w:val="20"/>
              </w:rPr>
              <w:t xml:space="preserve">, </w:t>
            </w:r>
            <w:proofErr w:type="spellStart"/>
            <w:r w:rsidRPr="00666083">
              <w:rPr>
                <w:sz w:val="20"/>
              </w:rPr>
              <w:t>telangiektasi</w:t>
            </w:r>
            <w:proofErr w:type="spellEnd"/>
            <w:r w:rsidRPr="00666083">
              <w:rPr>
                <w:sz w:val="20"/>
              </w:rPr>
              <w:t xml:space="preserve">, kontusion, </w:t>
            </w:r>
            <w:proofErr w:type="spellStart"/>
            <w:r w:rsidRPr="00666083">
              <w:rPr>
                <w:sz w:val="20"/>
              </w:rPr>
              <w:t>dermatitis</w:t>
            </w:r>
            <w:proofErr w:type="spellEnd"/>
            <w:r w:rsidRPr="00666083">
              <w:rPr>
                <w:sz w:val="20"/>
              </w:rPr>
              <w:t xml:space="preserve">, </w:t>
            </w:r>
            <w:proofErr w:type="spellStart"/>
            <w:r w:rsidRPr="00666083">
              <w:rPr>
                <w:sz w:val="20"/>
              </w:rPr>
              <w:t>hirsutisme</w:t>
            </w:r>
            <w:proofErr w:type="spellEnd"/>
            <w:r w:rsidRPr="00666083">
              <w:rPr>
                <w:sz w:val="20"/>
              </w:rPr>
              <w:t xml:space="preserve">, akne-lignende udslæt, </w:t>
            </w:r>
            <w:proofErr w:type="spellStart"/>
            <w:r w:rsidRPr="00666083">
              <w:rPr>
                <w:sz w:val="20"/>
              </w:rPr>
              <w:t>ansigtserytem</w:t>
            </w:r>
            <w:proofErr w:type="spellEnd"/>
            <w:r>
              <w:rPr>
                <w:sz w:val="20"/>
              </w:rPr>
              <w:t xml:space="preserve">, </w:t>
            </w:r>
            <w:r w:rsidRPr="00666083">
              <w:rPr>
                <w:sz w:val="20"/>
              </w:rPr>
              <w:t xml:space="preserve">øget svedtendens. </w:t>
            </w:r>
          </w:p>
          <w:p w:rsidR="005A0DBA" w:rsidRPr="00666083" w:rsidRDefault="005A0DBA" w:rsidP="003B4BCE">
            <w:pPr>
              <w:rPr>
                <w:sz w:val="20"/>
              </w:rPr>
            </w:pPr>
          </w:p>
          <w:p w:rsidR="005A0DBA" w:rsidRPr="00666083" w:rsidRDefault="005A0DBA" w:rsidP="003B4BCE">
            <w:pPr>
              <w:rPr>
                <w:sz w:val="20"/>
              </w:rPr>
            </w:pPr>
            <w:proofErr w:type="spellStart"/>
            <w:r w:rsidRPr="00666083">
              <w:rPr>
                <w:sz w:val="20"/>
              </w:rPr>
              <w:t>Mucokutan</w:t>
            </w:r>
            <w:proofErr w:type="spellEnd"/>
            <w:r w:rsidRPr="00666083">
              <w:rPr>
                <w:sz w:val="20"/>
              </w:rPr>
              <w:t xml:space="preserve"> svampeinfektion</w:t>
            </w: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 xml:space="preserve">Steven-Johnson syndrom, toksisk </w:t>
            </w:r>
            <w:proofErr w:type="spellStart"/>
            <w:r w:rsidRPr="00666083">
              <w:rPr>
                <w:sz w:val="20"/>
              </w:rPr>
              <w:t>epidermal</w:t>
            </w:r>
            <w:proofErr w:type="spellEnd"/>
            <w:r w:rsidRPr="00666083">
              <w:rPr>
                <w:sz w:val="20"/>
              </w:rPr>
              <w:t xml:space="preserve"> </w:t>
            </w:r>
            <w:proofErr w:type="spellStart"/>
            <w:r w:rsidRPr="00666083">
              <w:rPr>
                <w:sz w:val="20"/>
              </w:rPr>
              <w:t>nekrolyse</w:t>
            </w:r>
            <w:proofErr w:type="spellEnd"/>
            <w:r w:rsidRPr="00666083">
              <w:rPr>
                <w:sz w:val="20"/>
              </w:rPr>
              <w:t xml:space="preserve">  </w:t>
            </w: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Knogler, led, muskler og bindevæv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Osteoporose efter langtidsbehandling, </w:t>
            </w:r>
            <w:proofErr w:type="spellStart"/>
            <w:r w:rsidRPr="00666083">
              <w:rPr>
                <w:sz w:val="20"/>
              </w:rPr>
              <w:t>myopati</w:t>
            </w:r>
            <w:proofErr w:type="spellEnd"/>
            <w:r w:rsidRPr="00666083">
              <w:rPr>
                <w:sz w:val="20"/>
              </w:rPr>
              <w:t xml:space="preserve"> efter behandling med høje doser. Væksthæmning hos børn</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r w:rsidRPr="00666083">
              <w:rPr>
                <w:sz w:val="20"/>
              </w:rPr>
              <w:t xml:space="preserve">Aseptisk </w:t>
            </w:r>
            <w:proofErr w:type="spellStart"/>
            <w:r w:rsidRPr="00666083">
              <w:rPr>
                <w:sz w:val="20"/>
              </w:rPr>
              <w:t>osteonekrose</w:t>
            </w:r>
            <w:proofErr w:type="spellEnd"/>
            <w:r w:rsidRPr="00666083">
              <w:rPr>
                <w:sz w:val="20"/>
              </w:rPr>
              <w:t xml:space="preserve">. </w:t>
            </w:r>
            <w:proofErr w:type="spellStart"/>
            <w:r w:rsidRPr="00666083">
              <w:rPr>
                <w:sz w:val="20"/>
              </w:rPr>
              <w:t>Respirationsmuskelmyopati</w:t>
            </w:r>
            <w:proofErr w:type="spellEnd"/>
          </w:p>
        </w:tc>
        <w:tc>
          <w:tcPr>
            <w:tcW w:w="747"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proofErr w:type="spellStart"/>
            <w:r w:rsidRPr="00666083">
              <w:rPr>
                <w:sz w:val="20"/>
              </w:rPr>
              <w:t>Seneruptur</w:t>
            </w:r>
            <w:proofErr w:type="spellEnd"/>
          </w:p>
        </w:tc>
        <w:tc>
          <w:tcPr>
            <w:tcW w:w="971"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proofErr w:type="spellStart"/>
            <w:r w:rsidRPr="00666083">
              <w:rPr>
                <w:sz w:val="20"/>
              </w:rPr>
              <w:t>Tendinopati</w:t>
            </w:r>
            <w:proofErr w:type="spellEnd"/>
            <w:r w:rsidRPr="00666083">
              <w:rPr>
                <w:sz w:val="20"/>
              </w:rPr>
              <w:t xml:space="preserve">, særlig i </w:t>
            </w:r>
            <w:proofErr w:type="spellStart"/>
            <w:r w:rsidRPr="00666083">
              <w:rPr>
                <w:sz w:val="20"/>
              </w:rPr>
              <w:t>akilles</w:t>
            </w:r>
            <w:proofErr w:type="spellEnd"/>
            <w:r w:rsidRPr="00666083">
              <w:rPr>
                <w:sz w:val="20"/>
              </w:rPr>
              <w:t xml:space="preserve">- og </w:t>
            </w:r>
            <w:proofErr w:type="spellStart"/>
            <w:r w:rsidRPr="00666083">
              <w:rPr>
                <w:sz w:val="20"/>
              </w:rPr>
              <w:t>patellasenen</w:t>
            </w:r>
            <w:proofErr w:type="spellEnd"/>
            <w:r w:rsidRPr="00666083">
              <w:rPr>
                <w:sz w:val="20"/>
              </w:rPr>
              <w:t>.</w:t>
            </w: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Nyrer og urinveje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proofErr w:type="spellStart"/>
            <w:r w:rsidRPr="00666083">
              <w:rPr>
                <w:sz w:val="20"/>
              </w:rPr>
              <w:t>Nocturi</w:t>
            </w:r>
            <w:proofErr w:type="spellEnd"/>
            <w:r w:rsidRPr="00666083">
              <w:rPr>
                <w:sz w:val="20"/>
              </w:rPr>
              <w:t>.</w:t>
            </w:r>
          </w:p>
        </w:tc>
        <w:tc>
          <w:tcPr>
            <w:tcW w:w="763"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Urinsten.</w:t>
            </w: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roofErr w:type="spellStart"/>
            <w:r>
              <w:rPr>
                <w:sz w:val="20"/>
              </w:rPr>
              <w:t>Sklerodermisk</w:t>
            </w:r>
            <w:proofErr w:type="spellEnd"/>
            <w:r>
              <w:rPr>
                <w:sz w:val="20"/>
              </w:rPr>
              <w:t xml:space="preserve"> nyrekrise*</w:t>
            </w: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b/>
                <w:bCs/>
                <w:sz w:val="20"/>
              </w:rPr>
              <w:t xml:space="preserve">Almene symptomer og reaktioner på administrationsstedet </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Forringet sårheling.</w:t>
            </w: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r>
      <w:tr w:rsidR="005A0DBA" w:rsidRPr="00666083" w:rsidTr="003B4BCE">
        <w:trPr>
          <w:trHeight w:val="19"/>
        </w:trPr>
        <w:tc>
          <w:tcPr>
            <w:tcW w:w="839"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b/>
                <w:bCs/>
                <w:sz w:val="20"/>
              </w:rPr>
            </w:pPr>
            <w:r w:rsidRPr="00666083">
              <w:rPr>
                <w:b/>
                <w:bCs/>
                <w:sz w:val="20"/>
              </w:rPr>
              <w:t>Undersøgelser</w:t>
            </w: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840"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63"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c>
          <w:tcPr>
            <w:tcW w:w="747" w:type="pct"/>
            <w:tcBorders>
              <w:top w:val="single" w:sz="4" w:space="0" w:color="auto"/>
              <w:left w:val="single" w:sz="4" w:space="0" w:color="auto"/>
              <w:bottom w:val="single" w:sz="4" w:space="0" w:color="auto"/>
              <w:right w:val="single" w:sz="4" w:space="0" w:color="auto"/>
            </w:tcBorders>
            <w:hideMark/>
          </w:tcPr>
          <w:p w:rsidR="005A0DBA" w:rsidRPr="00666083" w:rsidRDefault="005A0DBA" w:rsidP="003B4BCE">
            <w:pPr>
              <w:rPr>
                <w:sz w:val="20"/>
              </w:rPr>
            </w:pPr>
            <w:r w:rsidRPr="00666083">
              <w:rPr>
                <w:sz w:val="20"/>
              </w:rPr>
              <w:t>Forringet respons på hudtest.</w:t>
            </w:r>
          </w:p>
        </w:tc>
        <w:tc>
          <w:tcPr>
            <w:tcW w:w="971" w:type="pct"/>
            <w:tcBorders>
              <w:top w:val="single" w:sz="4" w:space="0" w:color="auto"/>
              <w:left w:val="single" w:sz="4" w:space="0" w:color="auto"/>
              <w:bottom w:val="single" w:sz="4" w:space="0" w:color="auto"/>
              <w:right w:val="single" w:sz="4" w:space="0" w:color="auto"/>
            </w:tcBorders>
          </w:tcPr>
          <w:p w:rsidR="005A0DBA" w:rsidRPr="00666083" w:rsidRDefault="005A0DBA" w:rsidP="003B4BCE">
            <w:pPr>
              <w:rPr>
                <w:sz w:val="20"/>
              </w:rPr>
            </w:pPr>
          </w:p>
        </w:tc>
      </w:tr>
    </w:tbl>
    <w:p w:rsidR="005A0DBA" w:rsidRPr="00B9419E" w:rsidRDefault="005A0DBA" w:rsidP="0001167C">
      <w:pPr>
        <w:ind w:left="426" w:hanging="426"/>
        <w:rPr>
          <w:sz w:val="20"/>
        </w:rPr>
      </w:pPr>
      <w:r w:rsidRPr="00B9419E">
        <w:rPr>
          <w:sz w:val="20"/>
        </w:rPr>
        <w:t>*</w:t>
      </w:r>
      <w:r w:rsidR="0001167C">
        <w:rPr>
          <w:sz w:val="20"/>
        </w:rPr>
        <w:tab/>
      </w:r>
      <w:proofErr w:type="spellStart"/>
      <w:r w:rsidRPr="00B9419E">
        <w:rPr>
          <w:sz w:val="20"/>
        </w:rPr>
        <w:t>Sklerodermisk</w:t>
      </w:r>
      <w:proofErr w:type="spellEnd"/>
      <w:r w:rsidRPr="00B9419E">
        <w:rPr>
          <w:sz w:val="20"/>
        </w:rPr>
        <w:t xml:space="preserve"> nyrekrise </w:t>
      </w:r>
    </w:p>
    <w:p w:rsidR="005A0DBA" w:rsidRPr="00B9419E" w:rsidRDefault="005A0DBA" w:rsidP="0001167C">
      <w:pPr>
        <w:ind w:left="426"/>
        <w:rPr>
          <w:sz w:val="20"/>
        </w:rPr>
      </w:pPr>
      <w:r w:rsidRPr="00B9419E">
        <w:rPr>
          <w:sz w:val="20"/>
        </w:rPr>
        <w:t xml:space="preserve">Forekomsten af </w:t>
      </w:r>
      <w:proofErr w:type="spellStart"/>
      <w:r w:rsidRPr="00B9419E">
        <w:rPr>
          <w:sz w:val="20"/>
        </w:rPr>
        <w:t>sklerodermisk</w:t>
      </w:r>
      <w:proofErr w:type="spellEnd"/>
      <w:r w:rsidRPr="00B9419E">
        <w:rPr>
          <w:sz w:val="20"/>
        </w:rPr>
        <w:t xml:space="preserve"> nyrekrise varierer blandt de forskellige underpopulationer. Den højeste risiko er rapporteret hos patienter med diffus systemisk sklerose. Den laveste risiko er rapporteret hos patienter med begrænset systemisk sklerose (2 %) og juvenil systemisk sklerose (1 %).</w:t>
      </w:r>
    </w:p>
    <w:p w:rsidR="00DD7CDA" w:rsidRPr="00B9419E" w:rsidRDefault="00DD7CDA" w:rsidP="0001167C">
      <w:pPr>
        <w:ind w:left="426" w:hanging="426"/>
        <w:rPr>
          <w:sz w:val="20"/>
        </w:rPr>
      </w:pPr>
      <w:r w:rsidRPr="009C48FF">
        <w:rPr>
          <w:sz w:val="20"/>
        </w:rPr>
        <w:t>*</w:t>
      </w:r>
      <w:r>
        <w:rPr>
          <w:sz w:val="20"/>
        </w:rPr>
        <w:t>*</w:t>
      </w:r>
      <w:r w:rsidR="0001167C">
        <w:rPr>
          <w:sz w:val="20"/>
        </w:rPr>
        <w:tab/>
      </w:r>
      <w:r w:rsidRPr="009C48FF">
        <w:rPr>
          <w:sz w:val="20"/>
        </w:rPr>
        <w:t>Efter høje doser</w:t>
      </w:r>
    </w:p>
    <w:p w:rsidR="005A0DBA" w:rsidRPr="00666083" w:rsidRDefault="005A0DBA" w:rsidP="005A0DBA">
      <w:pPr>
        <w:ind w:left="851" w:hanging="851"/>
        <w:rPr>
          <w:sz w:val="24"/>
          <w:szCs w:val="24"/>
          <w:u w:val="single"/>
        </w:rPr>
      </w:pPr>
    </w:p>
    <w:p w:rsidR="005A0DBA" w:rsidRPr="00666083" w:rsidRDefault="005A0DBA" w:rsidP="005A0DBA">
      <w:pPr>
        <w:autoSpaceDE w:val="0"/>
        <w:autoSpaceDN w:val="0"/>
        <w:ind w:left="851"/>
        <w:rPr>
          <w:sz w:val="24"/>
          <w:szCs w:val="24"/>
          <w:u w:val="single"/>
        </w:rPr>
      </w:pPr>
      <w:r w:rsidRPr="00666083">
        <w:rPr>
          <w:sz w:val="24"/>
          <w:szCs w:val="24"/>
          <w:u w:val="single"/>
        </w:rPr>
        <w:t>Indberetning af formodede bivirkninger</w:t>
      </w:r>
    </w:p>
    <w:p w:rsidR="005A0DBA" w:rsidRPr="00666083" w:rsidRDefault="005A0DBA" w:rsidP="005A0DBA">
      <w:pPr>
        <w:ind w:left="851"/>
        <w:rPr>
          <w:sz w:val="24"/>
          <w:szCs w:val="24"/>
        </w:rPr>
      </w:pPr>
      <w:r w:rsidRPr="00666083">
        <w:rPr>
          <w:sz w:val="24"/>
          <w:szCs w:val="24"/>
        </w:rPr>
        <w:t>Når lægemidlet er godkendt, er indberetning af formodede bivirkninger vigtig. Det muliggør løbende overvågning af benefit/</w:t>
      </w:r>
      <w:proofErr w:type="spellStart"/>
      <w:r w:rsidRPr="00666083">
        <w:rPr>
          <w:sz w:val="24"/>
          <w:szCs w:val="24"/>
        </w:rPr>
        <w:t>risk</w:t>
      </w:r>
      <w:proofErr w:type="spellEnd"/>
      <w:r w:rsidRPr="00666083">
        <w:rPr>
          <w:sz w:val="24"/>
          <w:szCs w:val="24"/>
        </w:rPr>
        <w:t xml:space="preserve">-forholdet for lægemidlet. </w:t>
      </w:r>
      <w:r w:rsidR="00995579">
        <w:rPr>
          <w:sz w:val="24"/>
          <w:szCs w:val="24"/>
        </w:rPr>
        <w:t>S</w:t>
      </w:r>
      <w:r w:rsidRPr="00666083">
        <w:rPr>
          <w:sz w:val="24"/>
          <w:szCs w:val="24"/>
        </w:rPr>
        <w:t>undhedsperson</w:t>
      </w:r>
      <w:r w:rsidR="00995579">
        <w:rPr>
          <w:sz w:val="24"/>
          <w:szCs w:val="24"/>
        </w:rPr>
        <w:t>er</w:t>
      </w:r>
      <w:r w:rsidRPr="00666083">
        <w:rPr>
          <w:sz w:val="24"/>
          <w:szCs w:val="24"/>
        </w:rPr>
        <w:t xml:space="preserve"> anmodes om at indberette alle formodede bivirkninger via:</w:t>
      </w:r>
    </w:p>
    <w:p w:rsidR="005A0DBA" w:rsidRPr="00666083" w:rsidRDefault="005A0DBA" w:rsidP="005A0DBA">
      <w:pPr>
        <w:tabs>
          <w:tab w:val="left" w:pos="2440"/>
        </w:tabs>
        <w:ind w:left="851"/>
        <w:rPr>
          <w:sz w:val="24"/>
          <w:szCs w:val="24"/>
        </w:rPr>
      </w:pPr>
    </w:p>
    <w:p w:rsidR="005A0DBA" w:rsidRPr="00666083" w:rsidRDefault="005A0DBA" w:rsidP="005A0DBA">
      <w:pPr>
        <w:ind w:left="851"/>
        <w:rPr>
          <w:sz w:val="24"/>
          <w:szCs w:val="24"/>
        </w:rPr>
      </w:pPr>
      <w:r w:rsidRPr="00666083">
        <w:rPr>
          <w:sz w:val="24"/>
          <w:szCs w:val="24"/>
        </w:rPr>
        <w:t>Lægemiddelstyrelsen</w:t>
      </w:r>
    </w:p>
    <w:p w:rsidR="005A0DBA" w:rsidRPr="00666083" w:rsidRDefault="005A0DBA" w:rsidP="005A0DBA">
      <w:pPr>
        <w:ind w:left="851"/>
        <w:rPr>
          <w:sz w:val="24"/>
          <w:szCs w:val="24"/>
        </w:rPr>
      </w:pPr>
      <w:r w:rsidRPr="00666083">
        <w:rPr>
          <w:sz w:val="24"/>
          <w:szCs w:val="24"/>
        </w:rPr>
        <w:t>Axel Heides Gade 1</w:t>
      </w:r>
    </w:p>
    <w:p w:rsidR="005A0DBA" w:rsidRPr="00666083" w:rsidRDefault="005A0DBA" w:rsidP="005A0DBA">
      <w:pPr>
        <w:ind w:left="851"/>
        <w:rPr>
          <w:sz w:val="24"/>
          <w:szCs w:val="24"/>
        </w:rPr>
      </w:pPr>
      <w:r w:rsidRPr="00666083">
        <w:rPr>
          <w:sz w:val="24"/>
          <w:szCs w:val="24"/>
        </w:rPr>
        <w:t>DK-2300 København S</w:t>
      </w:r>
    </w:p>
    <w:p w:rsidR="005A0DBA" w:rsidRPr="00EE41F3" w:rsidRDefault="005A0DBA" w:rsidP="005A0DBA">
      <w:pPr>
        <w:ind w:left="851"/>
        <w:rPr>
          <w:sz w:val="24"/>
          <w:szCs w:val="24"/>
        </w:rPr>
      </w:pPr>
      <w:r w:rsidRPr="00EE41F3">
        <w:rPr>
          <w:sz w:val="24"/>
          <w:szCs w:val="24"/>
        </w:rPr>
        <w:t xml:space="preserve">Websted: </w:t>
      </w:r>
      <w:hyperlink r:id="rId8" w:history="1">
        <w:r w:rsidRPr="00EE41F3">
          <w:rPr>
            <w:rStyle w:val="Hyperlink"/>
            <w:sz w:val="24"/>
            <w:szCs w:val="24"/>
          </w:rPr>
          <w:t>www.meldenbivirkning.dk</w:t>
        </w:r>
      </w:hyperlink>
    </w:p>
    <w:p w:rsidR="005A0DBA" w:rsidRPr="00EE41F3" w:rsidRDefault="005A0DBA" w:rsidP="005A0DBA">
      <w:pPr>
        <w:pStyle w:val="Sidehoved"/>
        <w:tabs>
          <w:tab w:val="clear" w:pos="4819"/>
          <w:tab w:val="clear" w:pos="9638"/>
        </w:tabs>
        <w:ind w:left="851" w:hanging="851"/>
        <w:rPr>
          <w:szCs w:val="24"/>
        </w:rPr>
      </w:pPr>
    </w:p>
    <w:p w:rsidR="005A0DBA" w:rsidRPr="00666083" w:rsidRDefault="005A0DBA" w:rsidP="005A0DBA">
      <w:pPr>
        <w:ind w:left="851" w:hanging="851"/>
        <w:rPr>
          <w:b/>
          <w:sz w:val="24"/>
          <w:szCs w:val="24"/>
        </w:rPr>
      </w:pPr>
      <w:r w:rsidRPr="00666083">
        <w:rPr>
          <w:b/>
          <w:sz w:val="24"/>
          <w:szCs w:val="24"/>
        </w:rPr>
        <w:t>4.9</w:t>
      </w:r>
      <w:r w:rsidRPr="00666083">
        <w:rPr>
          <w:b/>
          <w:sz w:val="24"/>
          <w:szCs w:val="24"/>
        </w:rPr>
        <w:tab/>
        <w:t>Overdosering</w:t>
      </w:r>
    </w:p>
    <w:p w:rsidR="005A0DBA" w:rsidRPr="00666083" w:rsidRDefault="005A0DBA" w:rsidP="005A0DBA">
      <w:pPr>
        <w:ind w:left="851"/>
        <w:rPr>
          <w:sz w:val="24"/>
          <w:szCs w:val="24"/>
        </w:rPr>
      </w:pPr>
      <w:r w:rsidRPr="00666083">
        <w:rPr>
          <w:sz w:val="24"/>
          <w:szCs w:val="24"/>
        </w:rPr>
        <w:t xml:space="preserve">Akut overdosering med </w:t>
      </w:r>
      <w:proofErr w:type="spellStart"/>
      <w:r w:rsidRPr="00666083">
        <w:rPr>
          <w:sz w:val="24"/>
          <w:szCs w:val="24"/>
        </w:rPr>
        <w:t>kortikosteroider</w:t>
      </w:r>
      <w:proofErr w:type="spellEnd"/>
      <w:r w:rsidRPr="00666083">
        <w:rPr>
          <w:sz w:val="24"/>
          <w:szCs w:val="24"/>
        </w:rPr>
        <w:t xml:space="preserve">, inklusive </w:t>
      </w:r>
      <w:proofErr w:type="spellStart"/>
      <w:r w:rsidRPr="00666083">
        <w:rPr>
          <w:sz w:val="24"/>
          <w:szCs w:val="24"/>
        </w:rPr>
        <w:t>Prednisolon</w:t>
      </w:r>
      <w:proofErr w:type="spellEnd"/>
      <w:r w:rsidRPr="00666083">
        <w:rPr>
          <w:sz w:val="24"/>
          <w:szCs w:val="24"/>
        </w:rPr>
        <w:t xml:space="preserve"> </w:t>
      </w:r>
      <w:r>
        <w:rPr>
          <w:sz w:val="24"/>
          <w:szCs w:val="24"/>
        </w:rPr>
        <w:t>"</w:t>
      </w:r>
      <w:proofErr w:type="spellStart"/>
      <w:r>
        <w:rPr>
          <w:sz w:val="24"/>
          <w:szCs w:val="24"/>
        </w:rPr>
        <w:t>Actavis</w:t>
      </w:r>
      <w:proofErr w:type="spellEnd"/>
      <w:r>
        <w:rPr>
          <w:sz w:val="24"/>
          <w:szCs w:val="24"/>
        </w:rPr>
        <w:t>"</w:t>
      </w:r>
      <w:r w:rsidRPr="00666083">
        <w:rPr>
          <w:sz w:val="24"/>
          <w:szCs w:val="24"/>
        </w:rPr>
        <w:t xml:space="preserve">, forårsager ingen kliniske symptomer. Hyppig overdosering i længere tid kan forårsage en </w:t>
      </w:r>
      <w:proofErr w:type="spellStart"/>
      <w:r w:rsidRPr="00666083">
        <w:rPr>
          <w:sz w:val="24"/>
          <w:szCs w:val="24"/>
        </w:rPr>
        <w:t>Cushing</w:t>
      </w:r>
      <w:proofErr w:type="spellEnd"/>
      <w:r w:rsidRPr="00666083">
        <w:rPr>
          <w:sz w:val="24"/>
          <w:szCs w:val="24"/>
        </w:rPr>
        <w:t>-lignende tilstand.</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Overdosering med </w:t>
      </w:r>
      <w:proofErr w:type="spellStart"/>
      <w:r w:rsidRPr="00666083">
        <w:rPr>
          <w:sz w:val="24"/>
          <w:szCs w:val="24"/>
        </w:rPr>
        <w:t>kortikosteroider</w:t>
      </w:r>
      <w:proofErr w:type="spellEnd"/>
      <w:r w:rsidRPr="00666083">
        <w:rPr>
          <w:sz w:val="24"/>
          <w:szCs w:val="24"/>
        </w:rPr>
        <w:t xml:space="preserve"> over nogle få dage forventes ikke at forårsage skadevirkninger, hvis dosen ikke er ekstrem, og behandlingen ikke er forholdsmæssigt kontraindiceret, som for eksempel hos patienter med diabetes mellitus, </w:t>
      </w:r>
      <w:proofErr w:type="spellStart"/>
      <w:r w:rsidRPr="00666083">
        <w:rPr>
          <w:sz w:val="24"/>
          <w:szCs w:val="24"/>
        </w:rPr>
        <w:t>glaukom</w:t>
      </w:r>
      <w:proofErr w:type="spellEnd"/>
      <w:r w:rsidRPr="00666083">
        <w:rPr>
          <w:sz w:val="24"/>
          <w:szCs w:val="24"/>
        </w:rPr>
        <w:t xml:space="preserve"> eller aktiv ulcus </w:t>
      </w:r>
      <w:proofErr w:type="spellStart"/>
      <w:r w:rsidRPr="00666083">
        <w:rPr>
          <w:sz w:val="24"/>
          <w:szCs w:val="24"/>
        </w:rPr>
        <w:t>pepticum</w:t>
      </w:r>
      <w:proofErr w:type="spellEnd"/>
      <w:r w:rsidRPr="00666083">
        <w:rPr>
          <w:sz w:val="24"/>
          <w:szCs w:val="24"/>
        </w:rPr>
        <w:t xml:space="preserve"> eller hos patienter i behandling med digitalis, </w:t>
      </w:r>
      <w:proofErr w:type="spellStart"/>
      <w:r w:rsidRPr="00666083">
        <w:rPr>
          <w:sz w:val="24"/>
          <w:szCs w:val="24"/>
        </w:rPr>
        <w:t>antikoagulantia</w:t>
      </w:r>
      <w:proofErr w:type="spellEnd"/>
      <w:r w:rsidRPr="00666083">
        <w:rPr>
          <w:sz w:val="24"/>
          <w:szCs w:val="24"/>
        </w:rPr>
        <w:t xml:space="preserve"> (</w:t>
      </w:r>
      <w:proofErr w:type="spellStart"/>
      <w:r w:rsidRPr="00666083">
        <w:rPr>
          <w:sz w:val="24"/>
          <w:szCs w:val="24"/>
        </w:rPr>
        <w:t>kumarinderivativer</w:t>
      </w:r>
      <w:proofErr w:type="spellEnd"/>
      <w:r w:rsidRPr="00666083">
        <w:rPr>
          <w:sz w:val="24"/>
          <w:szCs w:val="24"/>
        </w:rPr>
        <w:t xml:space="preserve">) eller </w:t>
      </w:r>
      <w:proofErr w:type="spellStart"/>
      <w:r w:rsidRPr="00666083">
        <w:rPr>
          <w:sz w:val="24"/>
          <w:szCs w:val="24"/>
        </w:rPr>
        <w:t>diuretika</w:t>
      </w:r>
      <w:proofErr w:type="spellEnd"/>
      <w:r w:rsidRPr="00666083">
        <w:rPr>
          <w:sz w:val="24"/>
          <w:szCs w:val="24"/>
        </w:rPr>
        <w:t xml:space="preserve">, der udskiller kalium. Hyppige gentagne doser over længere tid kan forårsage </w:t>
      </w:r>
      <w:proofErr w:type="spellStart"/>
      <w:r w:rsidRPr="00666083">
        <w:rPr>
          <w:sz w:val="24"/>
          <w:szCs w:val="24"/>
        </w:rPr>
        <w:t>Cushing</w:t>
      </w:r>
      <w:proofErr w:type="spellEnd"/>
      <w:r w:rsidRPr="00666083">
        <w:rPr>
          <w:sz w:val="24"/>
          <w:szCs w:val="24"/>
        </w:rPr>
        <w:t>-lignende tilstande.</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 xml:space="preserve">Komplikationer som følge af </w:t>
      </w:r>
      <w:proofErr w:type="spellStart"/>
      <w:r w:rsidRPr="00666083">
        <w:rPr>
          <w:sz w:val="24"/>
          <w:szCs w:val="24"/>
        </w:rPr>
        <w:t>kortikosteroiders</w:t>
      </w:r>
      <w:proofErr w:type="spellEnd"/>
      <w:r w:rsidRPr="00666083">
        <w:rPr>
          <w:sz w:val="24"/>
          <w:szCs w:val="24"/>
        </w:rPr>
        <w:t xml:space="preserve"> metaboliske virkning, den underliggende sygdom, </w:t>
      </w:r>
      <w:proofErr w:type="spellStart"/>
      <w:r w:rsidRPr="00666083">
        <w:rPr>
          <w:sz w:val="24"/>
          <w:szCs w:val="24"/>
        </w:rPr>
        <w:t>sequelae</w:t>
      </w:r>
      <w:proofErr w:type="spellEnd"/>
      <w:r w:rsidRPr="00666083">
        <w:rPr>
          <w:sz w:val="24"/>
          <w:szCs w:val="24"/>
        </w:rPr>
        <w:t xml:space="preserve"> eller interaktioner behandles symptomatisk.  </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4.10</w:t>
      </w:r>
      <w:r w:rsidRPr="00666083">
        <w:rPr>
          <w:b/>
          <w:sz w:val="24"/>
          <w:szCs w:val="24"/>
        </w:rPr>
        <w:tab/>
        <w:t>Udlevering</w:t>
      </w:r>
    </w:p>
    <w:p w:rsidR="005A0DBA" w:rsidRPr="00666083" w:rsidRDefault="005A0DBA" w:rsidP="005A0DBA">
      <w:pPr>
        <w:ind w:left="851"/>
        <w:rPr>
          <w:sz w:val="24"/>
          <w:szCs w:val="24"/>
        </w:rPr>
      </w:pPr>
      <w:r w:rsidRPr="00666083">
        <w:rPr>
          <w:sz w:val="24"/>
          <w:szCs w:val="24"/>
        </w:rPr>
        <w:t>B</w:t>
      </w:r>
    </w:p>
    <w:p w:rsidR="005A0DBA" w:rsidRDefault="005A0DBA" w:rsidP="005A0DBA">
      <w:pPr>
        <w:rPr>
          <w:sz w:val="24"/>
          <w:szCs w:val="24"/>
        </w:rPr>
      </w:pP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541DE" w:rsidRPr="00C84483" w:rsidRDefault="00C541DE" w:rsidP="00C541DE">
      <w:pPr>
        <w:tabs>
          <w:tab w:val="left" w:pos="851"/>
        </w:tabs>
        <w:ind w:left="851"/>
        <w:rPr>
          <w:sz w:val="24"/>
          <w:szCs w:val="24"/>
        </w:rPr>
      </w:pPr>
    </w:p>
    <w:p w:rsidR="00C541DE" w:rsidRPr="00C84483" w:rsidRDefault="00C541DE" w:rsidP="00C541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51346" w:rsidRPr="00666083" w:rsidRDefault="00C51346" w:rsidP="00C51346">
      <w:pPr>
        <w:ind w:left="851"/>
        <w:rPr>
          <w:sz w:val="24"/>
          <w:szCs w:val="24"/>
        </w:rPr>
      </w:pPr>
      <w:proofErr w:type="spellStart"/>
      <w:r>
        <w:rPr>
          <w:sz w:val="24"/>
          <w:szCs w:val="24"/>
        </w:rPr>
        <w:t>Farmakoterapeutisk</w:t>
      </w:r>
      <w:proofErr w:type="spellEnd"/>
      <w:r>
        <w:rPr>
          <w:sz w:val="24"/>
          <w:szCs w:val="24"/>
        </w:rPr>
        <w:t xml:space="preserve"> klassifikation:</w:t>
      </w:r>
      <w:r w:rsidRPr="00666083">
        <w:rPr>
          <w:sz w:val="24"/>
          <w:szCs w:val="24"/>
        </w:rPr>
        <w:t xml:space="preserve"> </w:t>
      </w:r>
      <w:proofErr w:type="spellStart"/>
      <w:r w:rsidRPr="00666083">
        <w:rPr>
          <w:sz w:val="24"/>
          <w:szCs w:val="24"/>
        </w:rPr>
        <w:t>Glukokortikoider</w:t>
      </w:r>
      <w:proofErr w:type="spellEnd"/>
      <w:r>
        <w:rPr>
          <w:sz w:val="24"/>
          <w:szCs w:val="24"/>
        </w:rPr>
        <w:t xml:space="preserve">, </w:t>
      </w:r>
      <w:r w:rsidRPr="00666083">
        <w:rPr>
          <w:sz w:val="24"/>
          <w:szCs w:val="24"/>
        </w:rPr>
        <w:t>ATC-kode: H02AB06.</w:t>
      </w:r>
    </w:p>
    <w:p w:rsidR="00C51346" w:rsidRDefault="00C51346" w:rsidP="005A0DBA">
      <w:pPr>
        <w:ind w:left="851"/>
        <w:rPr>
          <w:sz w:val="24"/>
          <w:szCs w:val="24"/>
        </w:rPr>
      </w:pP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er et </w:t>
      </w:r>
      <w:proofErr w:type="spellStart"/>
      <w:r w:rsidRPr="00666083">
        <w:rPr>
          <w:sz w:val="24"/>
          <w:szCs w:val="24"/>
        </w:rPr>
        <w:t>kortikosteroid</w:t>
      </w:r>
      <w:proofErr w:type="spellEnd"/>
      <w:r w:rsidRPr="00666083">
        <w:rPr>
          <w:sz w:val="24"/>
          <w:szCs w:val="24"/>
        </w:rPr>
        <w:t xml:space="preserve"> med </w:t>
      </w:r>
      <w:proofErr w:type="spellStart"/>
      <w:r w:rsidRPr="00666083">
        <w:rPr>
          <w:sz w:val="24"/>
          <w:szCs w:val="24"/>
        </w:rPr>
        <w:t>glukokortikoid</w:t>
      </w:r>
      <w:proofErr w:type="spellEnd"/>
      <w:r w:rsidRPr="00666083">
        <w:rPr>
          <w:sz w:val="24"/>
          <w:szCs w:val="24"/>
        </w:rPr>
        <w:t xml:space="preserve"> og </w:t>
      </w:r>
      <w:proofErr w:type="spellStart"/>
      <w:r w:rsidRPr="00666083">
        <w:rPr>
          <w:sz w:val="24"/>
          <w:szCs w:val="24"/>
        </w:rPr>
        <w:t>mineralokortikoid</w:t>
      </w:r>
      <w:proofErr w:type="spellEnd"/>
      <w:r w:rsidRPr="00666083">
        <w:rPr>
          <w:sz w:val="24"/>
          <w:szCs w:val="24"/>
        </w:rPr>
        <w:t xml:space="preserve"> aktivitet. Sammenlignet med </w:t>
      </w:r>
      <w:proofErr w:type="spellStart"/>
      <w:r w:rsidRPr="00666083">
        <w:rPr>
          <w:sz w:val="24"/>
          <w:szCs w:val="24"/>
        </w:rPr>
        <w:t>hydrokortison</w:t>
      </w:r>
      <w:proofErr w:type="spellEnd"/>
      <w:r w:rsidRPr="00666083">
        <w:rPr>
          <w:sz w:val="24"/>
          <w:szCs w:val="24"/>
        </w:rPr>
        <w:t xml:space="preserve">, det vigtigste betændelseshæmmende </w:t>
      </w:r>
      <w:proofErr w:type="spellStart"/>
      <w:r w:rsidRPr="00666083">
        <w:rPr>
          <w:sz w:val="24"/>
          <w:szCs w:val="24"/>
        </w:rPr>
        <w:t>kortikosteroid</w:t>
      </w:r>
      <w:proofErr w:type="spellEnd"/>
      <w:r w:rsidRPr="00666083">
        <w:rPr>
          <w:sz w:val="24"/>
          <w:szCs w:val="24"/>
        </w:rPr>
        <w:t xml:space="preserve"> hos mennesker, har det 4 gange større </w:t>
      </w:r>
      <w:proofErr w:type="spellStart"/>
      <w:r w:rsidRPr="00666083">
        <w:rPr>
          <w:sz w:val="24"/>
          <w:szCs w:val="24"/>
        </w:rPr>
        <w:t>glukokortikoid</w:t>
      </w:r>
      <w:proofErr w:type="spellEnd"/>
      <w:r w:rsidRPr="00666083">
        <w:rPr>
          <w:sz w:val="24"/>
          <w:szCs w:val="24"/>
        </w:rPr>
        <w:t xml:space="preserve"> potens, men lavere </w:t>
      </w:r>
      <w:proofErr w:type="spellStart"/>
      <w:r w:rsidRPr="00666083">
        <w:rPr>
          <w:sz w:val="24"/>
          <w:szCs w:val="24"/>
        </w:rPr>
        <w:t>mineralokortikoid</w:t>
      </w:r>
      <w:proofErr w:type="spellEnd"/>
      <w:r w:rsidRPr="00666083">
        <w:rPr>
          <w:sz w:val="24"/>
          <w:szCs w:val="24"/>
        </w:rPr>
        <w:t xml:space="preserve"> styrke.</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foretrækkes generelt af </w:t>
      </w:r>
      <w:proofErr w:type="spellStart"/>
      <w:r w:rsidRPr="00666083">
        <w:rPr>
          <w:sz w:val="24"/>
          <w:szCs w:val="24"/>
        </w:rPr>
        <w:t>glukokortikoider</w:t>
      </w:r>
      <w:proofErr w:type="spellEnd"/>
      <w:r w:rsidRPr="00666083">
        <w:rPr>
          <w:sz w:val="24"/>
          <w:szCs w:val="24"/>
        </w:rPr>
        <w:t xml:space="preserve"> til betændelseshæmmende og </w:t>
      </w:r>
      <w:proofErr w:type="spellStart"/>
      <w:r w:rsidRPr="00666083">
        <w:rPr>
          <w:sz w:val="24"/>
          <w:szCs w:val="24"/>
        </w:rPr>
        <w:t>immunosuppressiv</w:t>
      </w:r>
      <w:proofErr w:type="spellEnd"/>
      <w:r w:rsidRPr="00666083">
        <w:rPr>
          <w:sz w:val="24"/>
          <w:szCs w:val="24"/>
        </w:rPr>
        <w:t xml:space="preserve"> behandling, men er ikke så velegnet som enkeltbehandling af primær</w:t>
      </w:r>
      <w:r w:rsidRPr="00666083">
        <w:rPr>
          <w:color w:val="000000"/>
          <w:sz w:val="24"/>
          <w:szCs w:val="24"/>
        </w:rPr>
        <w:t xml:space="preserve"> </w:t>
      </w:r>
      <w:r w:rsidRPr="00666083">
        <w:rPr>
          <w:sz w:val="24"/>
          <w:szCs w:val="24"/>
        </w:rPr>
        <w:t xml:space="preserve">binyrebarkinsufficiens på grund af lav </w:t>
      </w:r>
      <w:proofErr w:type="spellStart"/>
      <w:r w:rsidRPr="00666083">
        <w:rPr>
          <w:sz w:val="24"/>
          <w:szCs w:val="24"/>
        </w:rPr>
        <w:t>mineralokortikoid</w:t>
      </w:r>
      <w:proofErr w:type="spellEnd"/>
      <w:r w:rsidRPr="00666083">
        <w:rPr>
          <w:sz w:val="24"/>
          <w:szCs w:val="24"/>
        </w:rPr>
        <w:t xml:space="preserve"> aktivitet. Den biologiske halveringstid er omkring 16 til 38 timer.</w:t>
      </w:r>
    </w:p>
    <w:p w:rsidR="005A0DBA" w:rsidRPr="00666083" w:rsidRDefault="005A0DBA" w:rsidP="005A0DBA">
      <w:pPr>
        <w:ind w:left="851" w:hanging="851"/>
        <w:rPr>
          <w:sz w:val="24"/>
          <w:szCs w:val="24"/>
        </w:rPr>
      </w:pPr>
      <w:r w:rsidRPr="00666083">
        <w:rPr>
          <w:sz w:val="24"/>
          <w:szCs w:val="24"/>
        </w:rPr>
        <w:t xml:space="preserve"> </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har en række virkninger på den </w:t>
      </w:r>
      <w:proofErr w:type="spellStart"/>
      <w:r w:rsidRPr="00666083">
        <w:rPr>
          <w:sz w:val="24"/>
          <w:szCs w:val="24"/>
        </w:rPr>
        <w:t>intermediære</w:t>
      </w:r>
      <w:proofErr w:type="spellEnd"/>
      <w:r w:rsidRPr="00666083">
        <w:rPr>
          <w:sz w:val="24"/>
          <w:szCs w:val="24"/>
        </w:rPr>
        <w:t xml:space="preserve"> metabolisme. Der er </w:t>
      </w:r>
      <w:proofErr w:type="spellStart"/>
      <w:r w:rsidRPr="00666083">
        <w:rPr>
          <w:sz w:val="24"/>
          <w:szCs w:val="24"/>
        </w:rPr>
        <w:t>glukokortikoidreceptorer</w:t>
      </w:r>
      <w:proofErr w:type="spellEnd"/>
      <w:r w:rsidRPr="00666083">
        <w:rPr>
          <w:sz w:val="24"/>
          <w:szCs w:val="24"/>
        </w:rPr>
        <w:t xml:space="preserve"> i de fleste væv, og det binder sig til receptorproteiner i cytoplasmaet, hvilket forårsager virkningen på celleniveau. Hormonreceptorer binder sig til celle-dna og påvirker både </w:t>
      </w:r>
      <w:proofErr w:type="spellStart"/>
      <w:r w:rsidRPr="00666083">
        <w:rPr>
          <w:sz w:val="24"/>
          <w:szCs w:val="24"/>
        </w:rPr>
        <w:t>transkriptions</w:t>
      </w:r>
      <w:proofErr w:type="spellEnd"/>
      <w:r w:rsidRPr="00666083">
        <w:rPr>
          <w:sz w:val="24"/>
          <w:szCs w:val="24"/>
        </w:rPr>
        <w:t>- og translationsprocessen.</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En del af virkningerne er:</w:t>
      </w:r>
    </w:p>
    <w:p w:rsidR="005A0DBA" w:rsidRPr="00666083" w:rsidRDefault="005A0DBA" w:rsidP="005A0DBA">
      <w:pPr>
        <w:numPr>
          <w:ilvl w:val="0"/>
          <w:numId w:val="6"/>
        </w:numPr>
        <w:ind w:left="1276" w:hanging="425"/>
        <w:rPr>
          <w:sz w:val="24"/>
          <w:szCs w:val="24"/>
        </w:rPr>
      </w:pPr>
      <w:r w:rsidRPr="00666083">
        <w:rPr>
          <w:sz w:val="24"/>
          <w:szCs w:val="24"/>
        </w:rPr>
        <w:t xml:space="preserve">hæmning af betændelsesreaktionen ved for eksempel en reduktion af den </w:t>
      </w:r>
      <w:proofErr w:type="spellStart"/>
      <w:r w:rsidRPr="00666083">
        <w:rPr>
          <w:sz w:val="24"/>
          <w:szCs w:val="24"/>
        </w:rPr>
        <w:t>vaskulære</w:t>
      </w:r>
      <w:proofErr w:type="spellEnd"/>
      <w:r w:rsidRPr="00666083">
        <w:rPr>
          <w:sz w:val="24"/>
          <w:szCs w:val="24"/>
        </w:rPr>
        <w:t xml:space="preserve"> permeabilitet og dermed granulocytmigrationen. Samtidig hæmmes granulocyt- og </w:t>
      </w:r>
      <w:proofErr w:type="spellStart"/>
      <w:r w:rsidRPr="00666083">
        <w:rPr>
          <w:sz w:val="24"/>
          <w:szCs w:val="24"/>
        </w:rPr>
        <w:t>makrofagfunktionen</w:t>
      </w:r>
      <w:proofErr w:type="spellEnd"/>
      <w:r w:rsidRPr="00666083">
        <w:rPr>
          <w:sz w:val="24"/>
          <w:szCs w:val="24"/>
        </w:rPr>
        <w:t>.</w:t>
      </w:r>
    </w:p>
    <w:p w:rsidR="005A0DBA" w:rsidRPr="00666083" w:rsidRDefault="005A0DBA" w:rsidP="005A0DBA">
      <w:pPr>
        <w:numPr>
          <w:ilvl w:val="0"/>
          <w:numId w:val="6"/>
        </w:numPr>
        <w:ind w:left="1276" w:hanging="425"/>
        <w:rPr>
          <w:sz w:val="24"/>
          <w:szCs w:val="24"/>
        </w:rPr>
      </w:pPr>
      <w:r w:rsidRPr="00666083">
        <w:rPr>
          <w:sz w:val="24"/>
          <w:szCs w:val="24"/>
        </w:rPr>
        <w:t xml:space="preserve">hæmning af immunsystemfunktioner som for eksempel </w:t>
      </w:r>
      <w:proofErr w:type="spellStart"/>
      <w:r w:rsidRPr="00666083">
        <w:rPr>
          <w:sz w:val="24"/>
          <w:szCs w:val="24"/>
        </w:rPr>
        <w:t>makrofagfunktion</w:t>
      </w:r>
      <w:proofErr w:type="spellEnd"/>
      <w:r w:rsidRPr="00666083">
        <w:rPr>
          <w:sz w:val="24"/>
          <w:szCs w:val="24"/>
        </w:rPr>
        <w:t>, produktion af humorale antistoffer og celleimmuniteten.</w:t>
      </w:r>
    </w:p>
    <w:p w:rsidR="005A0DBA" w:rsidRPr="00666083" w:rsidRDefault="005A0DBA" w:rsidP="005A0DBA">
      <w:pPr>
        <w:numPr>
          <w:ilvl w:val="0"/>
          <w:numId w:val="6"/>
        </w:numPr>
        <w:ind w:left="1276" w:hanging="425"/>
        <w:rPr>
          <w:sz w:val="24"/>
          <w:szCs w:val="24"/>
        </w:rPr>
      </w:pPr>
      <w:r w:rsidRPr="00666083">
        <w:rPr>
          <w:sz w:val="24"/>
          <w:szCs w:val="24"/>
        </w:rPr>
        <w:t xml:space="preserve">hæmning af proteinsyntesen i det </w:t>
      </w:r>
      <w:proofErr w:type="spellStart"/>
      <w:r w:rsidRPr="00666083">
        <w:rPr>
          <w:sz w:val="24"/>
          <w:szCs w:val="24"/>
        </w:rPr>
        <w:t>extrahepatiske</w:t>
      </w:r>
      <w:proofErr w:type="spellEnd"/>
      <w:r w:rsidRPr="00666083">
        <w:rPr>
          <w:sz w:val="24"/>
          <w:szCs w:val="24"/>
        </w:rPr>
        <w:t xml:space="preserve"> væv og en stigning i </w:t>
      </w:r>
      <w:proofErr w:type="spellStart"/>
      <w:r w:rsidRPr="00666083">
        <w:rPr>
          <w:sz w:val="24"/>
          <w:szCs w:val="24"/>
        </w:rPr>
        <w:t>proteinkatabolisme</w:t>
      </w:r>
      <w:proofErr w:type="spellEnd"/>
      <w:r w:rsidRPr="00666083">
        <w:rPr>
          <w:sz w:val="24"/>
          <w:szCs w:val="24"/>
        </w:rPr>
        <w:t>.</w:t>
      </w:r>
    </w:p>
    <w:p w:rsidR="005A0DBA" w:rsidRPr="00666083" w:rsidRDefault="005A0DBA" w:rsidP="005A0DBA">
      <w:pPr>
        <w:numPr>
          <w:ilvl w:val="0"/>
          <w:numId w:val="6"/>
        </w:numPr>
        <w:ind w:left="1276" w:hanging="425"/>
        <w:rPr>
          <w:sz w:val="24"/>
          <w:szCs w:val="24"/>
        </w:rPr>
      </w:pPr>
      <w:r w:rsidRPr="00666083">
        <w:rPr>
          <w:sz w:val="24"/>
          <w:szCs w:val="24"/>
        </w:rPr>
        <w:t xml:space="preserve">hæmning af glukosetransporten ind i cellerne og den intracellulære </w:t>
      </w:r>
      <w:proofErr w:type="spellStart"/>
      <w:r w:rsidRPr="00666083">
        <w:rPr>
          <w:sz w:val="24"/>
          <w:szCs w:val="24"/>
        </w:rPr>
        <w:t>fosforylering</w:t>
      </w:r>
      <w:proofErr w:type="spellEnd"/>
      <w:r w:rsidRPr="00666083">
        <w:rPr>
          <w:sz w:val="24"/>
          <w:szCs w:val="24"/>
        </w:rPr>
        <w:t xml:space="preserve">, hvilket medfører </w:t>
      </w:r>
      <w:proofErr w:type="spellStart"/>
      <w:r w:rsidRPr="00666083">
        <w:rPr>
          <w:sz w:val="24"/>
          <w:szCs w:val="24"/>
        </w:rPr>
        <w:t>hyperglykæmi</w:t>
      </w:r>
      <w:proofErr w:type="spellEnd"/>
      <w:r w:rsidRPr="00666083">
        <w:rPr>
          <w:sz w:val="24"/>
          <w:szCs w:val="24"/>
        </w:rPr>
        <w:t>.</w:t>
      </w:r>
    </w:p>
    <w:p w:rsidR="005A0DBA" w:rsidRPr="00666083" w:rsidRDefault="005A0DBA" w:rsidP="005A0DBA">
      <w:pPr>
        <w:numPr>
          <w:ilvl w:val="0"/>
          <w:numId w:val="6"/>
        </w:numPr>
        <w:ind w:left="1276" w:hanging="425"/>
        <w:rPr>
          <w:sz w:val="24"/>
          <w:szCs w:val="24"/>
        </w:rPr>
      </w:pPr>
      <w:r w:rsidRPr="00666083">
        <w:rPr>
          <w:sz w:val="24"/>
          <w:szCs w:val="24"/>
        </w:rPr>
        <w:t xml:space="preserve">store doser forårsager </w:t>
      </w:r>
      <w:proofErr w:type="spellStart"/>
      <w:r w:rsidRPr="00666083">
        <w:rPr>
          <w:sz w:val="24"/>
          <w:szCs w:val="24"/>
        </w:rPr>
        <w:t>hyperkolesterolæmi</w:t>
      </w:r>
      <w:proofErr w:type="spellEnd"/>
      <w:r w:rsidRPr="00666083">
        <w:rPr>
          <w:sz w:val="24"/>
          <w:szCs w:val="24"/>
        </w:rPr>
        <w:t xml:space="preserve"> og en øget mængde frie fedtsyrer i blodet samt omfordeling af fedtdepoter fra ekstremiteterne til torso.</w:t>
      </w:r>
    </w:p>
    <w:p w:rsidR="005A0DBA" w:rsidRPr="00666083" w:rsidRDefault="005A0DBA" w:rsidP="005A0DBA">
      <w:pPr>
        <w:numPr>
          <w:ilvl w:val="0"/>
          <w:numId w:val="6"/>
        </w:numPr>
        <w:ind w:left="1276" w:hanging="425"/>
        <w:rPr>
          <w:sz w:val="24"/>
          <w:szCs w:val="24"/>
        </w:rPr>
      </w:pPr>
      <w:r w:rsidRPr="00666083">
        <w:rPr>
          <w:sz w:val="24"/>
          <w:szCs w:val="24"/>
        </w:rPr>
        <w:t>reduktion af koncentrationen af 1,25-dihydroxyvitamin D</w:t>
      </w:r>
      <w:r w:rsidRPr="00666083">
        <w:rPr>
          <w:sz w:val="24"/>
          <w:szCs w:val="24"/>
          <w:vertAlign w:val="subscript"/>
        </w:rPr>
        <w:t>3</w:t>
      </w:r>
      <w:r w:rsidRPr="00666083">
        <w:rPr>
          <w:sz w:val="24"/>
          <w:szCs w:val="24"/>
        </w:rPr>
        <w:t xml:space="preserve"> og hæmning af kalciumabsorptionen fra tarmen, som sammen med andre faktorer medfører forringet syntese af </w:t>
      </w:r>
      <w:proofErr w:type="spellStart"/>
      <w:r w:rsidRPr="00666083">
        <w:rPr>
          <w:sz w:val="24"/>
          <w:szCs w:val="24"/>
        </w:rPr>
        <w:t>osteoidt</w:t>
      </w:r>
      <w:proofErr w:type="spellEnd"/>
      <w:r w:rsidRPr="00666083">
        <w:rPr>
          <w:sz w:val="24"/>
          <w:szCs w:val="24"/>
        </w:rPr>
        <w:t xml:space="preserve"> væv og dermed kan medføre osteoporose.</w:t>
      </w:r>
    </w:p>
    <w:p w:rsidR="005A0DBA" w:rsidRPr="00666083" w:rsidRDefault="005A0DBA" w:rsidP="005A0DBA">
      <w:pPr>
        <w:numPr>
          <w:ilvl w:val="0"/>
          <w:numId w:val="6"/>
        </w:numPr>
        <w:ind w:left="1276" w:hanging="425"/>
        <w:rPr>
          <w:sz w:val="24"/>
          <w:szCs w:val="24"/>
        </w:rPr>
      </w:pPr>
      <w:r w:rsidRPr="00666083">
        <w:rPr>
          <w:sz w:val="24"/>
          <w:szCs w:val="24"/>
        </w:rPr>
        <w:t xml:space="preserve">øget natrium- og vandretention samt </w:t>
      </w:r>
      <w:proofErr w:type="spellStart"/>
      <w:r w:rsidRPr="00666083">
        <w:rPr>
          <w:sz w:val="24"/>
          <w:szCs w:val="24"/>
        </w:rPr>
        <w:t>hypokaliæmisk</w:t>
      </w:r>
      <w:proofErr w:type="spellEnd"/>
      <w:r w:rsidRPr="00666083">
        <w:rPr>
          <w:sz w:val="24"/>
          <w:szCs w:val="24"/>
        </w:rPr>
        <w:t xml:space="preserve"> </w:t>
      </w:r>
      <w:proofErr w:type="spellStart"/>
      <w:r w:rsidRPr="00666083">
        <w:rPr>
          <w:sz w:val="24"/>
          <w:szCs w:val="24"/>
        </w:rPr>
        <w:t>alkalose</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5.2</w:t>
      </w:r>
      <w:r w:rsidRPr="00666083">
        <w:rPr>
          <w:b/>
          <w:sz w:val="24"/>
          <w:szCs w:val="24"/>
        </w:rPr>
        <w:tab/>
      </w:r>
      <w:proofErr w:type="spellStart"/>
      <w:r w:rsidRPr="00666083">
        <w:rPr>
          <w:b/>
          <w:sz w:val="24"/>
          <w:szCs w:val="24"/>
        </w:rPr>
        <w:t>Farmakokinetiske</w:t>
      </w:r>
      <w:proofErr w:type="spellEnd"/>
      <w:r w:rsidRPr="00666083">
        <w:rPr>
          <w:b/>
          <w:sz w:val="24"/>
          <w:szCs w:val="24"/>
        </w:rPr>
        <w:t xml:space="preserve"> egenskaber</w:t>
      </w:r>
    </w:p>
    <w:p w:rsidR="005A0DBA" w:rsidRPr="00666083" w:rsidRDefault="005A0DBA" w:rsidP="005A0DBA">
      <w:pPr>
        <w:ind w:left="851" w:hanging="851"/>
        <w:rPr>
          <w:i/>
          <w:iCs/>
          <w:sz w:val="24"/>
          <w:szCs w:val="24"/>
        </w:rPr>
      </w:pPr>
    </w:p>
    <w:p w:rsidR="005A0DBA" w:rsidRPr="00666083" w:rsidRDefault="005A0DBA" w:rsidP="005A0DBA">
      <w:pPr>
        <w:ind w:left="851"/>
        <w:rPr>
          <w:sz w:val="24"/>
          <w:szCs w:val="24"/>
        </w:rPr>
      </w:pPr>
      <w:r w:rsidRPr="00666083">
        <w:rPr>
          <w:i/>
          <w:iCs/>
          <w:sz w:val="24"/>
          <w:szCs w:val="24"/>
        </w:rPr>
        <w:t>Absorption</w:t>
      </w:r>
    </w:p>
    <w:p w:rsidR="005A0DBA" w:rsidRPr="00666083" w:rsidRDefault="005A0DBA" w:rsidP="005A0DBA">
      <w:pPr>
        <w:ind w:left="851"/>
        <w:rPr>
          <w:sz w:val="24"/>
          <w:szCs w:val="24"/>
        </w:rPr>
      </w:pPr>
      <w:r w:rsidRPr="00666083">
        <w:rPr>
          <w:sz w:val="24"/>
          <w:szCs w:val="24"/>
        </w:rPr>
        <w:t>Absorberes hurtigt fra mave-tarm</w:t>
      </w:r>
      <w:r w:rsidR="00C13F32">
        <w:rPr>
          <w:sz w:val="24"/>
          <w:szCs w:val="24"/>
        </w:rPr>
        <w:t>-</w:t>
      </w:r>
      <w:r w:rsidRPr="00666083">
        <w:rPr>
          <w:sz w:val="24"/>
          <w:szCs w:val="24"/>
        </w:rPr>
        <w:t xml:space="preserve">kanalen ved oral administration. Biotilgængeligheden er op til 85 % og er dosisafhængig. Indtagelse sammen med mad påvirker ikke biotilgængeligheden, men forlænger tiden til maksimal plasmakoncentration. Peak-plasmakoncentrationen nås efter ca. 1 time. </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i/>
          <w:iCs/>
          <w:sz w:val="24"/>
          <w:szCs w:val="24"/>
        </w:rPr>
        <w:t>Fordeling</w:t>
      </w:r>
    </w:p>
    <w:p w:rsidR="005A0DBA" w:rsidRPr="00666083" w:rsidRDefault="005A0DBA" w:rsidP="005A0DBA">
      <w:pPr>
        <w:ind w:left="851"/>
        <w:rPr>
          <w:sz w:val="24"/>
          <w:szCs w:val="24"/>
        </w:rPr>
      </w:pPr>
      <w:r w:rsidRPr="00666083">
        <w:rPr>
          <w:sz w:val="24"/>
          <w:szCs w:val="24"/>
        </w:rPr>
        <w:t xml:space="preserve">70-90 % bindes til proteiner, hovedsageligt af </w:t>
      </w:r>
      <w:proofErr w:type="spellStart"/>
      <w:r w:rsidRPr="00666083">
        <w:rPr>
          <w:sz w:val="24"/>
          <w:szCs w:val="24"/>
        </w:rPr>
        <w:t>kortikosteroidbindende</w:t>
      </w:r>
      <w:proofErr w:type="spellEnd"/>
      <w:r w:rsidRPr="00666083">
        <w:rPr>
          <w:sz w:val="24"/>
          <w:szCs w:val="24"/>
        </w:rPr>
        <w:t xml:space="preserve"> </w:t>
      </w:r>
      <w:proofErr w:type="spellStart"/>
      <w:r w:rsidRPr="00666083">
        <w:rPr>
          <w:sz w:val="24"/>
          <w:szCs w:val="24"/>
        </w:rPr>
        <w:t>globulin</w:t>
      </w:r>
      <w:proofErr w:type="spellEnd"/>
      <w:r w:rsidRPr="00666083">
        <w:rPr>
          <w:sz w:val="24"/>
          <w:szCs w:val="24"/>
        </w:rPr>
        <w:t xml:space="preserve"> i serum (</w:t>
      </w:r>
      <w:proofErr w:type="spellStart"/>
      <w:r w:rsidRPr="00666083">
        <w:rPr>
          <w:sz w:val="24"/>
          <w:szCs w:val="24"/>
        </w:rPr>
        <w:t>transcortin</w:t>
      </w:r>
      <w:proofErr w:type="spellEnd"/>
      <w:r w:rsidRPr="00666083">
        <w:rPr>
          <w:sz w:val="24"/>
          <w:szCs w:val="24"/>
        </w:rPr>
        <w:t xml:space="preserve">) og i mindre omfang til albumin. 5-10 % af </w:t>
      </w:r>
      <w:proofErr w:type="spellStart"/>
      <w:r w:rsidRPr="00666083">
        <w:rPr>
          <w:sz w:val="24"/>
          <w:szCs w:val="24"/>
        </w:rPr>
        <w:t>prednisolonen</w:t>
      </w:r>
      <w:proofErr w:type="spellEnd"/>
      <w:r w:rsidRPr="00666083">
        <w:rPr>
          <w:sz w:val="24"/>
          <w:szCs w:val="24"/>
        </w:rPr>
        <w:t xml:space="preserve"> er ubundet og biologisk aktiv.</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i/>
          <w:iCs/>
          <w:sz w:val="24"/>
          <w:szCs w:val="24"/>
        </w:rPr>
        <w:t>Biotransformation</w:t>
      </w:r>
    </w:p>
    <w:p w:rsidR="005A0DBA" w:rsidRPr="00666083" w:rsidRDefault="005A0DBA" w:rsidP="005A0DBA">
      <w:pPr>
        <w:ind w:left="851"/>
        <w:rPr>
          <w:sz w:val="24"/>
          <w:szCs w:val="24"/>
        </w:rPr>
      </w:pPr>
      <w:proofErr w:type="spellStart"/>
      <w:r w:rsidRPr="00666083">
        <w:rPr>
          <w:sz w:val="24"/>
          <w:szCs w:val="24"/>
        </w:rPr>
        <w:t>Prednisolon</w:t>
      </w:r>
      <w:proofErr w:type="spellEnd"/>
      <w:r w:rsidRPr="00666083">
        <w:rPr>
          <w:sz w:val="24"/>
          <w:szCs w:val="24"/>
        </w:rPr>
        <w:t xml:space="preserve"> </w:t>
      </w:r>
      <w:proofErr w:type="spellStart"/>
      <w:r w:rsidRPr="00666083">
        <w:rPr>
          <w:sz w:val="24"/>
          <w:szCs w:val="24"/>
        </w:rPr>
        <w:t>metaboliseres</w:t>
      </w:r>
      <w:proofErr w:type="spellEnd"/>
      <w:r w:rsidRPr="00666083">
        <w:rPr>
          <w:sz w:val="24"/>
          <w:szCs w:val="24"/>
        </w:rPr>
        <w:t xml:space="preserve"> i stor udstrækning i leveren og anses for at være den primære metabolit af </w:t>
      </w:r>
      <w:proofErr w:type="spellStart"/>
      <w:r w:rsidRPr="00666083">
        <w:rPr>
          <w:sz w:val="24"/>
          <w:szCs w:val="24"/>
        </w:rPr>
        <w:t>prednison</w:t>
      </w:r>
      <w:proofErr w:type="spellEnd"/>
      <w:r w:rsidRPr="00666083">
        <w:rPr>
          <w:sz w:val="24"/>
          <w:szCs w:val="24"/>
        </w:rPr>
        <w:t>.</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i/>
          <w:iCs/>
          <w:sz w:val="24"/>
          <w:szCs w:val="24"/>
        </w:rPr>
        <w:t>Elimination</w:t>
      </w:r>
    </w:p>
    <w:p w:rsidR="005A0DBA" w:rsidRPr="00666083" w:rsidRDefault="005A0DBA" w:rsidP="005A0DBA">
      <w:pPr>
        <w:ind w:left="851"/>
        <w:rPr>
          <w:sz w:val="24"/>
          <w:szCs w:val="24"/>
        </w:rPr>
      </w:pPr>
      <w:r w:rsidRPr="00666083">
        <w:rPr>
          <w:sz w:val="24"/>
          <w:szCs w:val="24"/>
        </w:rPr>
        <w:t xml:space="preserve">Plasmahalveringstiden er 2-4 timer. Plasmahalveringstiden forlænges af nedsat leverfunktion og forkortes af visse lægemidler, der inducerer leverenzymer (se pkt. 4.4). </w:t>
      </w:r>
      <w:proofErr w:type="spellStart"/>
      <w:r w:rsidRPr="00666083">
        <w:rPr>
          <w:sz w:val="24"/>
          <w:szCs w:val="24"/>
        </w:rPr>
        <w:t>Prednisolons</w:t>
      </w:r>
      <w:proofErr w:type="spellEnd"/>
      <w:r w:rsidRPr="00666083">
        <w:rPr>
          <w:sz w:val="24"/>
          <w:szCs w:val="24"/>
        </w:rPr>
        <w:t xml:space="preserve"> biologiske halveringstid ligger mellem halveringstiden af </w:t>
      </w:r>
      <w:proofErr w:type="spellStart"/>
      <w:r w:rsidRPr="00666083">
        <w:rPr>
          <w:sz w:val="24"/>
          <w:szCs w:val="24"/>
        </w:rPr>
        <w:t>hydrokortison</w:t>
      </w:r>
      <w:proofErr w:type="spellEnd"/>
      <w:r w:rsidRPr="00666083">
        <w:rPr>
          <w:sz w:val="24"/>
          <w:szCs w:val="24"/>
        </w:rPr>
        <w:t xml:space="preserve"> (kortisol) og de længerevarende </w:t>
      </w:r>
      <w:proofErr w:type="spellStart"/>
      <w:r w:rsidRPr="00666083">
        <w:rPr>
          <w:sz w:val="24"/>
          <w:szCs w:val="24"/>
        </w:rPr>
        <w:t>glukokortikoider</w:t>
      </w:r>
      <w:proofErr w:type="spellEnd"/>
      <w:r w:rsidRPr="00666083">
        <w:rPr>
          <w:sz w:val="24"/>
          <w:szCs w:val="24"/>
        </w:rPr>
        <w:t xml:space="preserve">, såsom </w:t>
      </w:r>
      <w:proofErr w:type="spellStart"/>
      <w:r w:rsidRPr="00666083">
        <w:rPr>
          <w:sz w:val="24"/>
          <w:szCs w:val="24"/>
        </w:rPr>
        <w:t>dexamethason</w:t>
      </w:r>
      <w:proofErr w:type="spellEnd"/>
      <w:r w:rsidRPr="00666083">
        <w:rPr>
          <w:sz w:val="24"/>
          <w:szCs w:val="24"/>
        </w:rPr>
        <w:t>.</w:t>
      </w:r>
    </w:p>
    <w:p w:rsidR="005A0DBA" w:rsidRPr="00666083" w:rsidRDefault="005A0DBA" w:rsidP="005A0DBA">
      <w:pPr>
        <w:ind w:left="851"/>
        <w:rPr>
          <w:sz w:val="24"/>
          <w:szCs w:val="24"/>
        </w:rPr>
      </w:pPr>
      <w:r w:rsidRPr="00666083">
        <w:rPr>
          <w:sz w:val="24"/>
          <w:szCs w:val="24"/>
        </w:rPr>
        <w:t xml:space="preserve">25 % af </w:t>
      </w:r>
      <w:proofErr w:type="spellStart"/>
      <w:r w:rsidRPr="00666083">
        <w:rPr>
          <w:sz w:val="24"/>
          <w:szCs w:val="24"/>
        </w:rPr>
        <w:t>prednisolonen</w:t>
      </w:r>
      <w:proofErr w:type="spellEnd"/>
      <w:r w:rsidRPr="00666083">
        <w:rPr>
          <w:sz w:val="24"/>
          <w:szCs w:val="24"/>
        </w:rPr>
        <w:t xml:space="preserve"> udskilles uforandret via nyrerne.</w:t>
      </w: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5A0DBA" w:rsidRPr="00666083" w:rsidRDefault="005A0DBA" w:rsidP="005A0DBA">
      <w:pPr>
        <w:ind w:left="851"/>
        <w:rPr>
          <w:sz w:val="24"/>
          <w:szCs w:val="24"/>
        </w:rPr>
      </w:pPr>
      <w:r w:rsidRPr="00666083">
        <w:rPr>
          <w:sz w:val="24"/>
          <w:szCs w:val="24"/>
        </w:rPr>
        <w:t xml:space="preserve">Dyreforsøg har vist, at </w:t>
      </w:r>
      <w:proofErr w:type="spellStart"/>
      <w:r w:rsidRPr="00666083">
        <w:rPr>
          <w:sz w:val="24"/>
          <w:szCs w:val="24"/>
        </w:rPr>
        <w:t>kortikosteroider</w:t>
      </w:r>
      <w:proofErr w:type="spellEnd"/>
      <w:r w:rsidRPr="00666083">
        <w:rPr>
          <w:sz w:val="24"/>
          <w:szCs w:val="24"/>
        </w:rPr>
        <w:t xml:space="preserve"> forårsager deformiteter af forskellig art (ganespalte, skeletdeformiteter). Der er påvist nedsat placenta- og fødselsvægt hos mennesker og dyr efter langtidsbehandling. </w:t>
      </w:r>
    </w:p>
    <w:p w:rsidR="005A0DBA" w:rsidRPr="00666083" w:rsidRDefault="005A0DBA" w:rsidP="005A0DBA">
      <w:pPr>
        <w:ind w:left="851"/>
        <w:rPr>
          <w:sz w:val="24"/>
          <w:szCs w:val="24"/>
        </w:rPr>
      </w:pPr>
      <w:proofErr w:type="spellStart"/>
      <w:r w:rsidRPr="00666083">
        <w:rPr>
          <w:sz w:val="24"/>
          <w:szCs w:val="24"/>
        </w:rPr>
        <w:t>Kortikosteroider</w:t>
      </w:r>
      <w:proofErr w:type="spellEnd"/>
      <w:r w:rsidRPr="00666083">
        <w:rPr>
          <w:sz w:val="24"/>
          <w:szCs w:val="24"/>
        </w:rPr>
        <w:t xml:space="preserve"> har vist sig at nedsætte fertiliteten, når de administreres til rotter.</w:t>
      </w:r>
    </w:p>
    <w:p w:rsidR="005A0DBA" w:rsidRPr="00666083" w:rsidRDefault="005A0DBA" w:rsidP="005A0DBA">
      <w:pPr>
        <w:ind w:left="851"/>
        <w:rPr>
          <w:sz w:val="24"/>
          <w:szCs w:val="24"/>
        </w:rPr>
      </w:pPr>
      <w:r w:rsidRPr="00666083">
        <w:rPr>
          <w:sz w:val="24"/>
          <w:szCs w:val="24"/>
        </w:rPr>
        <w:t xml:space="preserve">De </w:t>
      </w:r>
      <w:proofErr w:type="spellStart"/>
      <w:r w:rsidRPr="00666083">
        <w:rPr>
          <w:sz w:val="24"/>
          <w:szCs w:val="24"/>
        </w:rPr>
        <w:t>teratogene</w:t>
      </w:r>
      <w:proofErr w:type="spellEnd"/>
      <w:r w:rsidRPr="00666083">
        <w:rPr>
          <w:sz w:val="24"/>
          <w:szCs w:val="24"/>
        </w:rPr>
        <w:t xml:space="preserve"> virkninger, der er observeret i dyreforsøg, er ikke blevet observeret hos mennesker (se pkt. 4.6).</w:t>
      </w:r>
    </w:p>
    <w:p w:rsidR="005A0DBA" w:rsidRPr="00666083" w:rsidRDefault="005A0DBA" w:rsidP="005A0DBA">
      <w:pPr>
        <w:ind w:left="851" w:hanging="851"/>
        <w:rPr>
          <w:sz w:val="24"/>
          <w:szCs w:val="24"/>
        </w:rPr>
      </w:pP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6.</w:t>
      </w:r>
      <w:r w:rsidRPr="00666083">
        <w:rPr>
          <w:b/>
          <w:sz w:val="24"/>
          <w:szCs w:val="24"/>
        </w:rPr>
        <w:tab/>
        <w:t>FARMACEUTISKE OPLYSNINGER</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6.1</w:t>
      </w:r>
      <w:r w:rsidRPr="00666083">
        <w:rPr>
          <w:b/>
          <w:sz w:val="24"/>
          <w:szCs w:val="24"/>
        </w:rPr>
        <w:tab/>
        <w:t>Hjælpestoffer</w:t>
      </w:r>
    </w:p>
    <w:p w:rsidR="005A0DBA" w:rsidRPr="00666083" w:rsidRDefault="005A0DBA" w:rsidP="005A0DBA">
      <w:pPr>
        <w:ind w:left="851"/>
        <w:rPr>
          <w:sz w:val="24"/>
          <w:szCs w:val="24"/>
        </w:rPr>
      </w:pPr>
      <w:proofErr w:type="spellStart"/>
      <w:r w:rsidRPr="00666083">
        <w:rPr>
          <w:sz w:val="24"/>
          <w:szCs w:val="24"/>
        </w:rPr>
        <w:t>La</w:t>
      </w:r>
      <w:r>
        <w:rPr>
          <w:sz w:val="24"/>
          <w:szCs w:val="24"/>
        </w:rPr>
        <w:t>c</w:t>
      </w:r>
      <w:r w:rsidRPr="00666083">
        <w:rPr>
          <w:sz w:val="24"/>
          <w:szCs w:val="24"/>
        </w:rPr>
        <w:t>tosemonohydrat</w:t>
      </w:r>
      <w:proofErr w:type="spellEnd"/>
    </w:p>
    <w:p w:rsidR="005A0DBA" w:rsidRPr="00666083" w:rsidRDefault="005A0DBA" w:rsidP="005A0DBA">
      <w:pPr>
        <w:ind w:left="851"/>
        <w:rPr>
          <w:sz w:val="24"/>
          <w:szCs w:val="24"/>
        </w:rPr>
      </w:pPr>
      <w:r w:rsidRPr="00666083">
        <w:rPr>
          <w:sz w:val="24"/>
          <w:szCs w:val="24"/>
        </w:rPr>
        <w:t xml:space="preserve">Prægelatiniseret stivelse </w:t>
      </w:r>
    </w:p>
    <w:p w:rsidR="005A0DBA" w:rsidRPr="003D2B85" w:rsidRDefault="005A0DBA" w:rsidP="005A0DBA">
      <w:pPr>
        <w:ind w:left="851"/>
        <w:rPr>
          <w:sz w:val="24"/>
          <w:szCs w:val="24"/>
          <w:lang w:val="en-US"/>
        </w:rPr>
      </w:pPr>
      <w:proofErr w:type="spellStart"/>
      <w:r w:rsidRPr="003D2B85">
        <w:rPr>
          <w:sz w:val="24"/>
          <w:szCs w:val="24"/>
          <w:lang w:val="en-US"/>
        </w:rPr>
        <w:t>Natriumstivelsesglycolat</w:t>
      </w:r>
      <w:proofErr w:type="spellEnd"/>
      <w:r w:rsidRPr="003D2B85">
        <w:rPr>
          <w:sz w:val="24"/>
          <w:szCs w:val="24"/>
          <w:lang w:val="en-US"/>
        </w:rPr>
        <w:t>, type A</w:t>
      </w:r>
    </w:p>
    <w:p w:rsidR="005A0DBA" w:rsidRPr="003D2B85" w:rsidRDefault="005A0DBA" w:rsidP="005A0DBA">
      <w:pPr>
        <w:ind w:left="851"/>
        <w:rPr>
          <w:sz w:val="24"/>
          <w:szCs w:val="24"/>
          <w:lang w:val="en-US"/>
        </w:rPr>
      </w:pPr>
      <w:proofErr w:type="spellStart"/>
      <w:r w:rsidRPr="003D2B85">
        <w:rPr>
          <w:sz w:val="24"/>
          <w:szCs w:val="24"/>
          <w:lang w:val="en-US"/>
        </w:rPr>
        <w:t>Jernoxid</w:t>
      </w:r>
      <w:proofErr w:type="spellEnd"/>
      <w:r w:rsidRPr="003D2B85">
        <w:rPr>
          <w:sz w:val="24"/>
          <w:szCs w:val="24"/>
          <w:lang w:val="en-US"/>
        </w:rPr>
        <w:t xml:space="preserve">, </w:t>
      </w:r>
      <w:proofErr w:type="spellStart"/>
      <w:r w:rsidRPr="003D2B85">
        <w:rPr>
          <w:sz w:val="24"/>
          <w:szCs w:val="24"/>
          <w:lang w:val="en-US"/>
        </w:rPr>
        <w:t>gul</w:t>
      </w:r>
      <w:proofErr w:type="spellEnd"/>
      <w:r w:rsidRPr="003D2B85">
        <w:rPr>
          <w:sz w:val="24"/>
          <w:szCs w:val="24"/>
          <w:lang w:val="en-US"/>
        </w:rPr>
        <w:t xml:space="preserve"> (E 172)</w:t>
      </w:r>
    </w:p>
    <w:p w:rsidR="005A0DBA" w:rsidRPr="00666083" w:rsidRDefault="005A0DBA" w:rsidP="005A0DBA">
      <w:pPr>
        <w:ind w:left="851"/>
        <w:rPr>
          <w:sz w:val="24"/>
          <w:szCs w:val="24"/>
        </w:rPr>
      </w:pPr>
      <w:r w:rsidRPr="00666083">
        <w:rPr>
          <w:sz w:val="24"/>
          <w:szCs w:val="24"/>
        </w:rPr>
        <w:t>Jernoxid, rød (E 172)</w:t>
      </w:r>
    </w:p>
    <w:p w:rsidR="005A0DBA" w:rsidRPr="00666083" w:rsidRDefault="005A0DBA" w:rsidP="005A0DBA">
      <w:pPr>
        <w:ind w:left="851"/>
        <w:rPr>
          <w:sz w:val="24"/>
          <w:szCs w:val="24"/>
        </w:rPr>
      </w:pPr>
      <w:proofErr w:type="spellStart"/>
      <w:r w:rsidRPr="00666083">
        <w:rPr>
          <w:sz w:val="24"/>
          <w:szCs w:val="24"/>
        </w:rPr>
        <w:t>Glyceroldibehenat</w:t>
      </w:r>
      <w:proofErr w:type="spellEnd"/>
    </w:p>
    <w:p w:rsidR="005A0DBA" w:rsidRPr="00666083" w:rsidRDefault="005A0DBA" w:rsidP="005A0DBA">
      <w:pPr>
        <w:ind w:left="851"/>
        <w:rPr>
          <w:sz w:val="24"/>
          <w:szCs w:val="24"/>
        </w:rPr>
      </w:pPr>
      <w:proofErr w:type="spellStart"/>
      <w:r w:rsidRPr="00666083">
        <w:rPr>
          <w:sz w:val="24"/>
          <w:szCs w:val="24"/>
        </w:rPr>
        <w:t>Magnesiumstearat</w:t>
      </w:r>
      <w:proofErr w:type="spellEnd"/>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6.2</w:t>
      </w:r>
      <w:r w:rsidRPr="00666083">
        <w:rPr>
          <w:b/>
          <w:sz w:val="24"/>
          <w:szCs w:val="24"/>
        </w:rPr>
        <w:tab/>
        <w:t>Uforligeligheder</w:t>
      </w:r>
    </w:p>
    <w:p w:rsidR="005A0DBA" w:rsidRPr="00666083" w:rsidRDefault="005A0DBA" w:rsidP="005A0DBA">
      <w:pPr>
        <w:ind w:left="851"/>
        <w:rPr>
          <w:sz w:val="24"/>
          <w:szCs w:val="24"/>
        </w:rPr>
      </w:pPr>
      <w:r w:rsidRPr="00666083">
        <w:rPr>
          <w:sz w:val="24"/>
          <w:szCs w:val="24"/>
        </w:rPr>
        <w:t>Ingen kendte</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6.3</w:t>
      </w:r>
      <w:r w:rsidRPr="00666083">
        <w:rPr>
          <w:b/>
          <w:sz w:val="24"/>
          <w:szCs w:val="24"/>
        </w:rPr>
        <w:tab/>
        <w:t>Opbevaringstid</w:t>
      </w:r>
    </w:p>
    <w:p w:rsidR="00A17E34" w:rsidRDefault="00A17E34" w:rsidP="00A17E34">
      <w:pPr>
        <w:ind w:left="851" w:hanging="851"/>
        <w:rPr>
          <w:sz w:val="24"/>
          <w:szCs w:val="24"/>
        </w:rPr>
      </w:pPr>
      <w:r w:rsidRPr="00666083">
        <w:rPr>
          <w:sz w:val="24"/>
          <w:szCs w:val="24"/>
        </w:rPr>
        <w:tab/>
      </w:r>
    </w:p>
    <w:p w:rsidR="00A17E34" w:rsidRPr="00A17E34" w:rsidRDefault="00A17E34" w:rsidP="00A17E34">
      <w:pPr>
        <w:ind w:left="851"/>
        <w:rPr>
          <w:sz w:val="24"/>
          <w:szCs w:val="24"/>
          <w:u w:val="single"/>
        </w:rPr>
      </w:pPr>
      <w:r w:rsidRPr="00A17E34">
        <w:rPr>
          <w:sz w:val="24"/>
          <w:szCs w:val="24"/>
          <w:u w:val="single"/>
        </w:rPr>
        <w:t>2,5 mg, 5 mg</w:t>
      </w:r>
    </w:p>
    <w:p w:rsidR="00A17E34" w:rsidRPr="00A17E34" w:rsidRDefault="00A17E34" w:rsidP="00A17E34">
      <w:pPr>
        <w:ind w:left="851" w:right="-20"/>
        <w:rPr>
          <w:sz w:val="24"/>
          <w:szCs w:val="24"/>
        </w:rPr>
      </w:pPr>
      <w:r w:rsidRPr="00A17E34">
        <w:rPr>
          <w:sz w:val="24"/>
          <w:szCs w:val="24"/>
        </w:rPr>
        <w:t>2 år.</w:t>
      </w:r>
    </w:p>
    <w:p w:rsidR="00A17E34" w:rsidRPr="00A17E34" w:rsidRDefault="00A17E34" w:rsidP="00A17E34">
      <w:pPr>
        <w:ind w:left="851" w:right="-20"/>
        <w:rPr>
          <w:sz w:val="24"/>
          <w:szCs w:val="24"/>
        </w:rPr>
      </w:pPr>
    </w:p>
    <w:p w:rsidR="00A17E34" w:rsidRPr="00A17E34" w:rsidRDefault="00A17E34" w:rsidP="00A17E34">
      <w:pPr>
        <w:ind w:left="851" w:right="-20"/>
        <w:rPr>
          <w:sz w:val="24"/>
          <w:szCs w:val="24"/>
          <w:u w:val="single"/>
        </w:rPr>
      </w:pPr>
      <w:r w:rsidRPr="00A17E34">
        <w:rPr>
          <w:sz w:val="24"/>
          <w:szCs w:val="24"/>
          <w:u w:val="single"/>
        </w:rPr>
        <w:t>10 mg, 25 mg</w:t>
      </w:r>
    </w:p>
    <w:p w:rsidR="00A17E34" w:rsidRPr="00A17E34" w:rsidRDefault="00A17E34" w:rsidP="00A17E34">
      <w:pPr>
        <w:ind w:left="851" w:right="-20"/>
        <w:rPr>
          <w:sz w:val="24"/>
          <w:szCs w:val="24"/>
          <w:u w:val="single"/>
        </w:rPr>
      </w:pPr>
      <w:r w:rsidRPr="00A17E34">
        <w:rPr>
          <w:sz w:val="24"/>
          <w:szCs w:val="24"/>
          <w:u w:val="single"/>
        </w:rPr>
        <w:t>HDPE-beholdere</w:t>
      </w:r>
    </w:p>
    <w:p w:rsidR="00A17E34" w:rsidRPr="00A17E34" w:rsidRDefault="00A17E34" w:rsidP="00A17E34">
      <w:pPr>
        <w:ind w:left="851" w:right="-20"/>
        <w:rPr>
          <w:sz w:val="24"/>
          <w:szCs w:val="24"/>
        </w:rPr>
      </w:pPr>
      <w:r w:rsidRPr="00A17E34">
        <w:rPr>
          <w:sz w:val="24"/>
          <w:szCs w:val="24"/>
        </w:rPr>
        <w:t>2 år.</w:t>
      </w:r>
    </w:p>
    <w:p w:rsidR="00A17E34" w:rsidRPr="00A17E34" w:rsidRDefault="00A17E34" w:rsidP="00A17E34">
      <w:pPr>
        <w:ind w:left="851" w:right="-20"/>
        <w:rPr>
          <w:sz w:val="24"/>
          <w:szCs w:val="24"/>
          <w:u w:val="single"/>
        </w:rPr>
      </w:pPr>
      <w:r w:rsidRPr="00A17E34">
        <w:rPr>
          <w:sz w:val="24"/>
          <w:szCs w:val="24"/>
          <w:u w:val="single"/>
        </w:rPr>
        <w:t>Blisterpakninger</w:t>
      </w:r>
    </w:p>
    <w:p w:rsidR="00A17E34" w:rsidRPr="00666083" w:rsidRDefault="00A17E34" w:rsidP="00A17E34">
      <w:pPr>
        <w:ind w:left="851" w:right="-20"/>
        <w:rPr>
          <w:sz w:val="24"/>
          <w:szCs w:val="24"/>
        </w:rPr>
      </w:pPr>
      <w:r w:rsidRPr="00A17E34">
        <w:rPr>
          <w:sz w:val="24"/>
          <w:szCs w:val="24"/>
        </w:rPr>
        <w:t>3 år.</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6.4</w:t>
      </w:r>
      <w:r w:rsidRPr="00666083">
        <w:rPr>
          <w:b/>
          <w:sz w:val="24"/>
          <w:szCs w:val="24"/>
        </w:rPr>
        <w:tab/>
        <w:t>Særlige opbevaringsforhold</w:t>
      </w:r>
    </w:p>
    <w:p w:rsidR="005A0DBA" w:rsidRDefault="005A0DBA" w:rsidP="005A0DBA">
      <w:pPr>
        <w:ind w:left="851" w:right="-20"/>
        <w:rPr>
          <w:sz w:val="24"/>
          <w:szCs w:val="24"/>
          <w:u w:val="single"/>
        </w:rPr>
      </w:pPr>
    </w:p>
    <w:p w:rsidR="00A17E34" w:rsidRPr="00A17E34" w:rsidRDefault="00A17E34" w:rsidP="00A17E34">
      <w:pPr>
        <w:ind w:left="851" w:right="-20"/>
        <w:rPr>
          <w:sz w:val="24"/>
          <w:szCs w:val="24"/>
          <w:u w:val="single"/>
        </w:rPr>
      </w:pPr>
      <w:r w:rsidRPr="00A17E34">
        <w:rPr>
          <w:sz w:val="24"/>
          <w:szCs w:val="24"/>
          <w:u w:val="single"/>
        </w:rPr>
        <w:t>2,5 mg</w:t>
      </w:r>
    </w:p>
    <w:p w:rsidR="00A17E34" w:rsidRPr="00A17E34" w:rsidRDefault="00A17E34" w:rsidP="00A17E34">
      <w:pPr>
        <w:ind w:left="851" w:right="-20"/>
        <w:rPr>
          <w:sz w:val="24"/>
          <w:szCs w:val="24"/>
        </w:rPr>
      </w:pPr>
      <w:r w:rsidRPr="00A17E34">
        <w:rPr>
          <w:sz w:val="24"/>
          <w:szCs w:val="24"/>
        </w:rPr>
        <w:t>Må ikke opbevares ved temperaturer over 30 °C</w:t>
      </w:r>
    </w:p>
    <w:p w:rsidR="00A17E34" w:rsidRPr="00A17E34" w:rsidRDefault="00A17E34" w:rsidP="00A17E34">
      <w:pPr>
        <w:ind w:left="851" w:right="-20"/>
        <w:rPr>
          <w:sz w:val="24"/>
          <w:szCs w:val="24"/>
        </w:rPr>
      </w:pPr>
    </w:p>
    <w:p w:rsidR="00A17E34" w:rsidRPr="00A17E34" w:rsidRDefault="00A17E34" w:rsidP="00A17E34">
      <w:pPr>
        <w:ind w:left="851" w:right="-20"/>
        <w:rPr>
          <w:noProof/>
          <w:sz w:val="24"/>
          <w:szCs w:val="24"/>
          <w:u w:val="single"/>
        </w:rPr>
      </w:pPr>
      <w:r w:rsidRPr="00A17E34">
        <w:rPr>
          <w:noProof/>
          <w:sz w:val="24"/>
          <w:szCs w:val="24"/>
          <w:u w:val="single"/>
        </w:rPr>
        <w:t>5 mg</w:t>
      </w:r>
    </w:p>
    <w:p w:rsidR="00A17E34" w:rsidRPr="00A17E34" w:rsidRDefault="00A17E34" w:rsidP="00A17E34">
      <w:pPr>
        <w:ind w:left="851" w:right="-20"/>
        <w:rPr>
          <w:noProof/>
          <w:sz w:val="24"/>
          <w:szCs w:val="24"/>
          <w:u w:val="single"/>
        </w:rPr>
      </w:pPr>
      <w:r w:rsidRPr="00A17E34">
        <w:rPr>
          <w:noProof/>
          <w:sz w:val="24"/>
          <w:szCs w:val="24"/>
          <w:u w:val="single"/>
        </w:rPr>
        <w:t>HDPE-beholdere</w:t>
      </w:r>
    </w:p>
    <w:p w:rsidR="00A17E34" w:rsidRPr="00A17E34" w:rsidRDefault="00A17E34" w:rsidP="00A17E34">
      <w:pPr>
        <w:ind w:left="851" w:right="-20"/>
        <w:rPr>
          <w:noProof/>
          <w:sz w:val="24"/>
          <w:szCs w:val="24"/>
        </w:rPr>
      </w:pPr>
      <w:r w:rsidRPr="00A17E34">
        <w:rPr>
          <w:noProof/>
          <w:sz w:val="24"/>
          <w:szCs w:val="24"/>
        </w:rPr>
        <w:t>Hold HDPE-beholderen tæt tillukket for at beskytte mod fugt.</w:t>
      </w:r>
    </w:p>
    <w:p w:rsidR="00A17E34" w:rsidRPr="00A17E34" w:rsidRDefault="00A17E34" w:rsidP="00A17E34">
      <w:pPr>
        <w:ind w:left="851" w:right="-20"/>
        <w:rPr>
          <w:sz w:val="24"/>
          <w:szCs w:val="24"/>
        </w:rPr>
      </w:pPr>
      <w:r w:rsidRPr="00A17E34">
        <w:rPr>
          <w:noProof/>
          <w:sz w:val="24"/>
          <w:szCs w:val="24"/>
          <w:u w:val="single"/>
        </w:rPr>
        <w:t>Blisterpakninger</w:t>
      </w:r>
    </w:p>
    <w:p w:rsidR="00A17E34" w:rsidRPr="00A17E34" w:rsidRDefault="00A17E34" w:rsidP="00A17E34">
      <w:pPr>
        <w:ind w:left="851" w:right="-20"/>
        <w:rPr>
          <w:sz w:val="24"/>
          <w:szCs w:val="24"/>
        </w:rPr>
      </w:pPr>
      <w:r w:rsidRPr="00A17E34">
        <w:rPr>
          <w:sz w:val="24"/>
          <w:szCs w:val="24"/>
        </w:rPr>
        <w:t>Dette lægemiddel kræver ingen særlige forholdsregler vedrørende opbevaringen.</w:t>
      </w:r>
    </w:p>
    <w:p w:rsidR="00A17E34" w:rsidRPr="00A17E34" w:rsidRDefault="00A17E34" w:rsidP="00A17E34">
      <w:pPr>
        <w:ind w:left="851" w:right="-20"/>
        <w:rPr>
          <w:sz w:val="24"/>
          <w:szCs w:val="24"/>
        </w:rPr>
      </w:pPr>
    </w:p>
    <w:p w:rsidR="00A17E34" w:rsidRPr="00A17E34" w:rsidRDefault="00A17E34" w:rsidP="00A17E34">
      <w:pPr>
        <w:ind w:left="851" w:right="-20"/>
        <w:rPr>
          <w:sz w:val="24"/>
          <w:szCs w:val="24"/>
          <w:u w:val="single"/>
        </w:rPr>
      </w:pPr>
      <w:r w:rsidRPr="00A17E34">
        <w:rPr>
          <w:sz w:val="24"/>
          <w:szCs w:val="24"/>
          <w:u w:val="single"/>
        </w:rPr>
        <w:t>10 mg</w:t>
      </w:r>
      <w:r>
        <w:rPr>
          <w:sz w:val="24"/>
          <w:szCs w:val="24"/>
          <w:u w:val="single"/>
        </w:rPr>
        <w:t xml:space="preserve"> og</w:t>
      </w:r>
      <w:r w:rsidRPr="00A17E34">
        <w:rPr>
          <w:sz w:val="24"/>
          <w:szCs w:val="24"/>
          <w:u w:val="single"/>
        </w:rPr>
        <w:t xml:space="preserve"> 25 mg</w:t>
      </w:r>
    </w:p>
    <w:p w:rsidR="00A17E34" w:rsidRPr="005B7862" w:rsidRDefault="00A17E34" w:rsidP="00A17E34">
      <w:pPr>
        <w:ind w:left="851" w:right="-20"/>
        <w:rPr>
          <w:sz w:val="24"/>
          <w:szCs w:val="24"/>
        </w:rPr>
      </w:pPr>
      <w:r w:rsidRPr="00A17E34">
        <w:rPr>
          <w:sz w:val="24"/>
          <w:szCs w:val="24"/>
        </w:rPr>
        <w:t>Dette lægemiddel kræver ingen særlige forholdsregler vedrørende opbevaringen.</w:t>
      </w: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A0DBA" w:rsidRDefault="005A0DBA" w:rsidP="005A0DBA">
      <w:pPr>
        <w:ind w:left="851"/>
        <w:rPr>
          <w:sz w:val="24"/>
          <w:szCs w:val="24"/>
          <w:u w:val="single"/>
        </w:rPr>
      </w:pPr>
    </w:p>
    <w:p w:rsidR="00A17E34" w:rsidRPr="00A17E34" w:rsidRDefault="00A17E34" w:rsidP="00A17E34">
      <w:pPr>
        <w:ind w:left="851"/>
        <w:rPr>
          <w:sz w:val="24"/>
          <w:szCs w:val="24"/>
          <w:u w:val="single"/>
        </w:rPr>
      </w:pPr>
      <w:r w:rsidRPr="00A17E34">
        <w:rPr>
          <w:sz w:val="24"/>
          <w:szCs w:val="24"/>
          <w:u w:val="single"/>
        </w:rPr>
        <w:t>2,5 mg</w:t>
      </w:r>
    </w:p>
    <w:p w:rsidR="00A17E34" w:rsidRPr="00A17E34" w:rsidRDefault="00A17E34" w:rsidP="00A17E34">
      <w:pPr>
        <w:ind w:left="851"/>
        <w:rPr>
          <w:sz w:val="24"/>
          <w:szCs w:val="24"/>
        </w:rPr>
      </w:pPr>
      <w:r w:rsidRPr="00A17E34">
        <w:rPr>
          <w:sz w:val="24"/>
          <w:szCs w:val="24"/>
        </w:rPr>
        <w:t>AL/PVC-blisterpakning indeholdende 7, 10, 14, 25, 28, 30, 50, 56, 90, 98, 100 og 105 tabletter.</w:t>
      </w:r>
    </w:p>
    <w:p w:rsidR="00A17E34" w:rsidRPr="00A17E34" w:rsidRDefault="00A17E34" w:rsidP="00A17E34">
      <w:pPr>
        <w:ind w:left="851"/>
        <w:rPr>
          <w:sz w:val="24"/>
          <w:szCs w:val="24"/>
        </w:rPr>
      </w:pPr>
    </w:p>
    <w:p w:rsidR="00A17E34" w:rsidRPr="00A17E34" w:rsidRDefault="00A17E34" w:rsidP="00A17E34">
      <w:pPr>
        <w:ind w:left="851"/>
        <w:rPr>
          <w:sz w:val="24"/>
          <w:szCs w:val="24"/>
          <w:u w:val="single"/>
        </w:rPr>
      </w:pPr>
      <w:r w:rsidRPr="00A17E34">
        <w:rPr>
          <w:sz w:val="24"/>
          <w:szCs w:val="24"/>
          <w:u w:val="single"/>
        </w:rPr>
        <w:t>5 mg</w:t>
      </w:r>
    </w:p>
    <w:p w:rsidR="00A17E34" w:rsidRPr="00A17E34" w:rsidRDefault="00A17E34" w:rsidP="00A17E34">
      <w:pPr>
        <w:ind w:left="851"/>
        <w:rPr>
          <w:sz w:val="24"/>
          <w:szCs w:val="24"/>
        </w:rPr>
      </w:pPr>
      <w:r w:rsidRPr="00A17E34">
        <w:rPr>
          <w:sz w:val="24"/>
          <w:szCs w:val="24"/>
        </w:rPr>
        <w:t xml:space="preserve">HDPE-plastbeholder med en PP-plasthætte med tørrekapsel indeholdende 25, 100 og 300 tabletter. </w:t>
      </w:r>
    </w:p>
    <w:p w:rsidR="00A17E34" w:rsidRPr="00A17E34" w:rsidRDefault="00A17E34" w:rsidP="00A17E34">
      <w:pPr>
        <w:ind w:left="851"/>
        <w:rPr>
          <w:sz w:val="24"/>
          <w:szCs w:val="24"/>
        </w:rPr>
      </w:pPr>
      <w:r w:rsidRPr="00A17E34">
        <w:rPr>
          <w:sz w:val="24"/>
          <w:szCs w:val="24"/>
        </w:rPr>
        <w:t>AL/PVC-blisterpakning indeholdende 7, 10, 14, 25, 28, 30, 50, 56, 90, 98, 100 og 105 tabletter.</w:t>
      </w:r>
    </w:p>
    <w:p w:rsidR="00A17E34" w:rsidRPr="00A17E34" w:rsidRDefault="00A17E34" w:rsidP="00A17E34">
      <w:pPr>
        <w:ind w:left="851"/>
        <w:rPr>
          <w:sz w:val="24"/>
          <w:szCs w:val="24"/>
        </w:rPr>
      </w:pPr>
    </w:p>
    <w:p w:rsidR="00A17E34" w:rsidRPr="00A17E34" w:rsidRDefault="00A17E34" w:rsidP="00A17E34">
      <w:pPr>
        <w:ind w:left="851"/>
        <w:rPr>
          <w:sz w:val="24"/>
          <w:szCs w:val="24"/>
          <w:u w:val="single"/>
        </w:rPr>
      </w:pPr>
      <w:r w:rsidRPr="00A17E34">
        <w:rPr>
          <w:sz w:val="24"/>
          <w:szCs w:val="24"/>
          <w:u w:val="single"/>
        </w:rPr>
        <w:t xml:space="preserve">10 mg </w:t>
      </w:r>
    </w:p>
    <w:p w:rsidR="00A17E34" w:rsidRPr="00A17E34" w:rsidRDefault="00A17E34" w:rsidP="00A17E34">
      <w:pPr>
        <w:ind w:left="851"/>
        <w:rPr>
          <w:sz w:val="24"/>
          <w:szCs w:val="24"/>
        </w:rPr>
      </w:pPr>
      <w:r w:rsidRPr="00A17E34">
        <w:rPr>
          <w:sz w:val="24"/>
          <w:szCs w:val="24"/>
        </w:rPr>
        <w:t>HDPE-plastbeholdere med en PP-plasthætte indeholdende 25 og 100 tabletter.</w:t>
      </w:r>
    </w:p>
    <w:p w:rsidR="00A17E34" w:rsidRPr="00A17E34" w:rsidRDefault="00A17E34" w:rsidP="00A17E34">
      <w:pPr>
        <w:ind w:left="851"/>
        <w:rPr>
          <w:sz w:val="24"/>
          <w:szCs w:val="24"/>
        </w:rPr>
      </w:pPr>
      <w:r w:rsidRPr="00A17E34">
        <w:rPr>
          <w:sz w:val="24"/>
          <w:szCs w:val="24"/>
        </w:rPr>
        <w:t>AL/PVC-blisterpakning indeholdende 25 og 100 tabletter.</w:t>
      </w:r>
    </w:p>
    <w:p w:rsidR="00A17E34" w:rsidRPr="00A17E34" w:rsidRDefault="00A17E34" w:rsidP="00A17E34">
      <w:pPr>
        <w:ind w:left="851"/>
        <w:rPr>
          <w:sz w:val="24"/>
          <w:szCs w:val="24"/>
        </w:rPr>
      </w:pPr>
    </w:p>
    <w:p w:rsidR="00A17E34" w:rsidRPr="00A17E34" w:rsidRDefault="00A17E34" w:rsidP="00A17E34">
      <w:pPr>
        <w:ind w:left="851"/>
        <w:rPr>
          <w:sz w:val="24"/>
          <w:szCs w:val="24"/>
          <w:u w:val="single"/>
        </w:rPr>
      </w:pPr>
      <w:r w:rsidRPr="00A17E34">
        <w:rPr>
          <w:sz w:val="24"/>
          <w:szCs w:val="24"/>
          <w:u w:val="single"/>
        </w:rPr>
        <w:t>25 mg</w:t>
      </w:r>
    </w:p>
    <w:p w:rsidR="00A17E34" w:rsidRPr="00A17E34" w:rsidRDefault="00A17E34" w:rsidP="00A17E34">
      <w:pPr>
        <w:ind w:left="851"/>
        <w:rPr>
          <w:sz w:val="24"/>
          <w:szCs w:val="24"/>
        </w:rPr>
      </w:pPr>
      <w:r w:rsidRPr="00A17E34">
        <w:rPr>
          <w:sz w:val="24"/>
          <w:szCs w:val="24"/>
        </w:rPr>
        <w:t>HDPE-plastbeholdere med en PP-plasthætte indeholdende 10, 25 og 100 tabletter.</w:t>
      </w:r>
    </w:p>
    <w:p w:rsidR="00A17E34" w:rsidRPr="00666083" w:rsidRDefault="00A17E34" w:rsidP="00A17E34">
      <w:pPr>
        <w:ind w:left="851"/>
        <w:rPr>
          <w:sz w:val="24"/>
          <w:szCs w:val="24"/>
        </w:rPr>
      </w:pPr>
      <w:r w:rsidRPr="00A17E34">
        <w:rPr>
          <w:sz w:val="24"/>
          <w:szCs w:val="24"/>
        </w:rPr>
        <w:t>AL/PVC</w:t>
      </w:r>
      <w:r>
        <w:rPr>
          <w:sz w:val="24"/>
          <w:szCs w:val="24"/>
        </w:rPr>
        <w:t>-</w:t>
      </w:r>
      <w:r w:rsidRPr="00A17E34">
        <w:rPr>
          <w:sz w:val="24"/>
          <w:szCs w:val="24"/>
        </w:rPr>
        <w:t>blisterpakning indeholdende 10 og 100 tabletter.</w:t>
      </w:r>
    </w:p>
    <w:p w:rsidR="005A0DBA" w:rsidRPr="00666083" w:rsidRDefault="005A0DBA" w:rsidP="005A0DBA">
      <w:pPr>
        <w:ind w:left="851" w:hanging="851"/>
        <w:rPr>
          <w:sz w:val="24"/>
          <w:szCs w:val="24"/>
        </w:rPr>
      </w:pPr>
    </w:p>
    <w:p w:rsidR="005A0DBA" w:rsidRPr="00666083" w:rsidRDefault="005A0DBA" w:rsidP="005A0DBA">
      <w:pPr>
        <w:ind w:left="851"/>
        <w:rPr>
          <w:sz w:val="24"/>
          <w:szCs w:val="24"/>
        </w:rPr>
      </w:pPr>
      <w:r w:rsidRPr="00666083">
        <w:rPr>
          <w:sz w:val="24"/>
          <w:szCs w:val="24"/>
        </w:rPr>
        <w:t>Ikke alle pakningsstørrelser er nødvendigvis markedsført.</w:t>
      </w: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A0DBA" w:rsidRPr="00666083" w:rsidRDefault="005A0DBA" w:rsidP="005A0DBA">
      <w:pPr>
        <w:ind w:left="851"/>
        <w:rPr>
          <w:sz w:val="24"/>
          <w:szCs w:val="24"/>
        </w:rPr>
      </w:pPr>
      <w:r w:rsidRPr="00666083">
        <w:rPr>
          <w:sz w:val="24"/>
          <w:szCs w:val="24"/>
        </w:rPr>
        <w:t>Ikke tilgængelig</w:t>
      </w:r>
    </w:p>
    <w:p w:rsidR="005A0DBA" w:rsidRPr="00666083" w:rsidRDefault="005A0DBA" w:rsidP="005A0DBA">
      <w:pPr>
        <w:ind w:left="851" w:hanging="851"/>
        <w:jc w:val="both"/>
        <w:rPr>
          <w:sz w:val="24"/>
          <w:szCs w:val="24"/>
        </w:rPr>
      </w:pPr>
    </w:p>
    <w:p w:rsidR="005A0DBA" w:rsidRPr="00666083" w:rsidRDefault="005A0DBA" w:rsidP="005A0DBA">
      <w:pPr>
        <w:ind w:left="851" w:hanging="851"/>
        <w:rPr>
          <w:b/>
          <w:sz w:val="24"/>
          <w:szCs w:val="24"/>
        </w:rPr>
      </w:pPr>
      <w:r w:rsidRPr="00666083">
        <w:rPr>
          <w:b/>
          <w:sz w:val="24"/>
          <w:szCs w:val="24"/>
        </w:rPr>
        <w:t>7.</w:t>
      </w:r>
      <w:r w:rsidRPr="00666083">
        <w:rPr>
          <w:b/>
          <w:sz w:val="24"/>
          <w:szCs w:val="24"/>
        </w:rPr>
        <w:tab/>
        <w:t>INDEHAVER AF MARKEDSFØRINGSTILLADELSEN</w:t>
      </w:r>
    </w:p>
    <w:p w:rsidR="005A0DBA" w:rsidRPr="00666083" w:rsidRDefault="005A0DBA" w:rsidP="005A0DBA">
      <w:pPr>
        <w:ind w:left="851"/>
        <w:rPr>
          <w:sz w:val="24"/>
          <w:szCs w:val="24"/>
        </w:rPr>
      </w:pPr>
      <w:proofErr w:type="spellStart"/>
      <w:r w:rsidRPr="00666083">
        <w:rPr>
          <w:sz w:val="24"/>
          <w:szCs w:val="24"/>
        </w:rPr>
        <w:t>Actavis</w:t>
      </w:r>
      <w:proofErr w:type="spellEnd"/>
      <w:r w:rsidRPr="00666083">
        <w:rPr>
          <w:sz w:val="24"/>
          <w:szCs w:val="24"/>
        </w:rPr>
        <w:t xml:space="preserve"> Group PTC </w:t>
      </w:r>
      <w:proofErr w:type="spellStart"/>
      <w:r w:rsidRPr="00666083">
        <w:rPr>
          <w:sz w:val="24"/>
          <w:szCs w:val="24"/>
        </w:rPr>
        <w:t>ehf</w:t>
      </w:r>
      <w:proofErr w:type="spellEnd"/>
      <w:r w:rsidRPr="00666083">
        <w:rPr>
          <w:sz w:val="24"/>
          <w:szCs w:val="24"/>
        </w:rPr>
        <w:t>.</w:t>
      </w:r>
    </w:p>
    <w:p w:rsidR="0002738C" w:rsidRPr="00AF24DE" w:rsidRDefault="0002738C" w:rsidP="005A0DBA">
      <w:pPr>
        <w:ind w:left="851"/>
        <w:rPr>
          <w:sz w:val="24"/>
          <w:szCs w:val="24"/>
          <w:lang w:val="en-US"/>
        </w:rPr>
      </w:pPr>
      <w:proofErr w:type="spellStart"/>
      <w:r w:rsidRPr="00AF24DE">
        <w:rPr>
          <w:sz w:val="24"/>
          <w:szCs w:val="24"/>
          <w:lang w:val="en-US"/>
        </w:rPr>
        <w:t>Dalshraun</w:t>
      </w:r>
      <w:proofErr w:type="spellEnd"/>
      <w:r w:rsidRPr="00AF24DE">
        <w:rPr>
          <w:sz w:val="24"/>
          <w:szCs w:val="24"/>
          <w:lang w:val="en-US"/>
        </w:rPr>
        <w:t xml:space="preserve"> 1</w:t>
      </w:r>
    </w:p>
    <w:p w:rsidR="005A0DBA" w:rsidRPr="00AF24DE" w:rsidRDefault="005A0DBA" w:rsidP="005A0DBA">
      <w:pPr>
        <w:ind w:left="851"/>
        <w:rPr>
          <w:sz w:val="24"/>
          <w:szCs w:val="24"/>
          <w:lang w:val="en-US"/>
        </w:rPr>
      </w:pPr>
      <w:r w:rsidRPr="00AF24DE">
        <w:rPr>
          <w:sz w:val="24"/>
          <w:szCs w:val="24"/>
          <w:lang w:val="en-US"/>
        </w:rPr>
        <w:t xml:space="preserve">220 </w:t>
      </w:r>
      <w:proofErr w:type="spellStart"/>
      <w:r w:rsidRPr="00AF24DE">
        <w:rPr>
          <w:sz w:val="24"/>
          <w:szCs w:val="24"/>
          <w:lang w:val="en-US"/>
        </w:rPr>
        <w:t>Hafnarfjörður</w:t>
      </w:r>
      <w:proofErr w:type="spellEnd"/>
    </w:p>
    <w:p w:rsidR="005A0DBA" w:rsidRPr="00AF24DE" w:rsidRDefault="005A0DBA" w:rsidP="005A0DBA">
      <w:pPr>
        <w:ind w:left="851"/>
        <w:rPr>
          <w:sz w:val="24"/>
          <w:szCs w:val="24"/>
          <w:lang w:val="en-US"/>
        </w:rPr>
      </w:pPr>
      <w:r w:rsidRPr="00AF24DE">
        <w:rPr>
          <w:sz w:val="24"/>
          <w:szCs w:val="24"/>
          <w:lang w:val="en-US"/>
        </w:rPr>
        <w:t>Island</w:t>
      </w:r>
    </w:p>
    <w:p w:rsidR="005A0DBA" w:rsidRPr="00AF24DE" w:rsidRDefault="005A0DBA" w:rsidP="005A0DBA">
      <w:pPr>
        <w:ind w:left="851" w:hanging="851"/>
        <w:rPr>
          <w:bCs/>
          <w:sz w:val="24"/>
          <w:szCs w:val="24"/>
          <w:lang w:val="en-US"/>
        </w:rPr>
      </w:pPr>
    </w:p>
    <w:p w:rsidR="005A0DBA" w:rsidRPr="00AF24DE" w:rsidRDefault="005A0DBA" w:rsidP="005A0DBA">
      <w:pPr>
        <w:ind w:left="851"/>
        <w:rPr>
          <w:b/>
          <w:bCs/>
          <w:sz w:val="24"/>
          <w:szCs w:val="24"/>
          <w:lang w:val="en-US"/>
        </w:rPr>
      </w:pPr>
      <w:proofErr w:type="spellStart"/>
      <w:r w:rsidRPr="00AF24DE">
        <w:rPr>
          <w:b/>
          <w:bCs/>
          <w:sz w:val="24"/>
          <w:szCs w:val="24"/>
          <w:lang w:val="en-US"/>
        </w:rPr>
        <w:t>Repræsentant</w:t>
      </w:r>
      <w:proofErr w:type="spellEnd"/>
    </w:p>
    <w:p w:rsidR="005A0DBA" w:rsidRPr="00AF24DE" w:rsidRDefault="005A0DBA" w:rsidP="005A0DBA">
      <w:pPr>
        <w:ind w:left="851"/>
        <w:rPr>
          <w:b/>
          <w:bCs/>
          <w:sz w:val="24"/>
          <w:szCs w:val="24"/>
          <w:lang w:val="en-US"/>
        </w:rPr>
      </w:pPr>
      <w:r w:rsidRPr="00AF24DE">
        <w:rPr>
          <w:sz w:val="24"/>
          <w:szCs w:val="24"/>
          <w:lang w:val="en-US"/>
        </w:rPr>
        <w:t>Teva Denmark A/S</w:t>
      </w:r>
    </w:p>
    <w:p w:rsidR="005A0DBA" w:rsidRDefault="005A0DBA" w:rsidP="005A0DBA">
      <w:pPr>
        <w:ind w:left="851"/>
        <w:rPr>
          <w:sz w:val="24"/>
          <w:szCs w:val="24"/>
        </w:rPr>
      </w:pPr>
      <w:r w:rsidRPr="003D576F">
        <w:rPr>
          <w:sz w:val="24"/>
          <w:szCs w:val="24"/>
        </w:rPr>
        <w:t>Vandtårnsvej 83A</w:t>
      </w:r>
    </w:p>
    <w:p w:rsidR="005A0DBA" w:rsidRPr="00666083" w:rsidRDefault="005A0DBA" w:rsidP="005A0DBA">
      <w:pPr>
        <w:ind w:left="851"/>
        <w:rPr>
          <w:sz w:val="24"/>
          <w:szCs w:val="24"/>
        </w:rPr>
      </w:pPr>
      <w:r w:rsidRPr="00666083">
        <w:rPr>
          <w:sz w:val="24"/>
          <w:szCs w:val="24"/>
        </w:rPr>
        <w:t>28</w:t>
      </w:r>
      <w:r>
        <w:rPr>
          <w:sz w:val="24"/>
          <w:szCs w:val="24"/>
        </w:rPr>
        <w:t>60 Søborg</w:t>
      </w:r>
    </w:p>
    <w:p w:rsidR="005A0DBA" w:rsidRPr="00666083" w:rsidRDefault="005A0DBA" w:rsidP="005A0DBA">
      <w:pPr>
        <w:ind w:left="851" w:hanging="851"/>
        <w:rPr>
          <w:sz w:val="24"/>
          <w:szCs w:val="24"/>
        </w:rPr>
      </w:pPr>
    </w:p>
    <w:p w:rsidR="00C541DE" w:rsidRPr="00C84483" w:rsidRDefault="00C541DE" w:rsidP="00C541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A0DBA" w:rsidRPr="00666083" w:rsidRDefault="005A0DBA" w:rsidP="005A0DBA">
      <w:pPr>
        <w:tabs>
          <w:tab w:val="left" w:pos="1843"/>
        </w:tabs>
        <w:ind w:left="851"/>
        <w:rPr>
          <w:sz w:val="24"/>
          <w:szCs w:val="24"/>
        </w:rPr>
      </w:pPr>
      <w:r w:rsidRPr="00666083">
        <w:rPr>
          <w:sz w:val="24"/>
          <w:szCs w:val="24"/>
        </w:rPr>
        <w:t xml:space="preserve">2,5 mg: </w:t>
      </w:r>
      <w:r>
        <w:rPr>
          <w:sz w:val="24"/>
          <w:szCs w:val="24"/>
        </w:rPr>
        <w:tab/>
      </w:r>
      <w:r w:rsidRPr="00666083">
        <w:rPr>
          <w:sz w:val="24"/>
          <w:szCs w:val="24"/>
        </w:rPr>
        <w:t>55648</w:t>
      </w:r>
    </w:p>
    <w:p w:rsidR="005A0DBA" w:rsidRPr="00666083" w:rsidRDefault="005A0DBA" w:rsidP="005A0DBA">
      <w:pPr>
        <w:tabs>
          <w:tab w:val="left" w:pos="1843"/>
        </w:tabs>
        <w:ind w:left="851"/>
        <w:rPr>
          <w:sz w:val="24"/>
          <w:szCs w:val="24"/>
        </w:rPr>
      </w:pPr>
      <w:r w:rsidRPr="00666083">
        <w:rPr>
          <w:sz w:val="24"/>
          <w:szCs w:val="24"/>
        </w:rPr>
        <w:t xml:space="preserve">5 mg: </w:t>
      </w:r>
      <w:r>
        <w:rPr>
          <w:sz w:val="24"/>
          <w:szCs w:val="24"/>
        </w:rPr>
        <w:tab/>
      </w:r>
      <w:r w:rsidRPr="00666083">
        <w:rPr>
          <w:sz w:val="24"/>
          <w:szCs w:val="24"/>
        </w:rPr>
        <w:t>55649</w:t>
      </w:r>
    </w:p>
    <w:p w:rsidR="005A0DBA" w:rsidRPr="00666083" w:rsidRDefault="005A0DBA" w:rsidP="005A0DBA">
      <w:pPr>
        <w:tabs>
          <w:tab w:val="left" w:pos="1843"/>
        </w:tabs>
        <w:ind w:left="851"/>
        <w:rPr>
          <w:sz w:val="24"/>
          <w:szCs w:val="24"/>
        </w:rPr>
      </w:pPr>
      <w:r w:rsidRPr="00666083">
        <w:rPr>
          <w:sz w:val="24"/>
          <w:szCs w:val="24"/>
        </w:rPr>
        <w:t xml:space="preserve">10 mg: </w:t>
      </w:r>
      <w:r>
        <w:rPr>
          <w:sz w:val="24"/>
          <w:szCs w:val="24"/>
        </w:rPr>
        <w:tab/>
      </w:r>
      <w:r w:rsidRPr="00666083">
        <w:rPr>
          <w:sz w:val="24"/>
          <w:szCs w:val="24"/>
        </w:rPr>
        <w:t>55650</w:t>
      </w:r>
    </w:p>
    <w:p w:rsidR="005A0DBA" w:rsidRPr="00666083" w:rsidRDefault="005A0DBA" w:rsidP="005A0DBA">
      <w:pPr>
        <w:tabs>
          <w:tab w:val="left" w:pos="1843"/>
        </w:tabs>
        <w:ind w:left="851"/>
        <w:rPr>
          <w:sz w:val="24"/>
          <w:szCs w:val="24"/>
        </w:rPr>
      </w:pPr>
      <w:r w:rsidRPr="00666083">
        <w:rPr>
          <w:sz w:val="24"/>
          <w:szCs w:val="24"/>
        </w:rPr>
        <w:t xml:space="preserve">25 mg: </w:t>
      </w:r>
      <w:r>
        <w:rPr>
          <w:sz w:val="24"/>
          <w:szCs w:val="24"/>
        </w:rPr>
        <w:tab/>
        <w:t>5</w:t>
      </w:r>
      <w:r w:rsidRPr="00666083">
        <w:rPr>
          <w:sz w:val="24"/>
          <w:szCs w:val="24"/>
        </w:rPr>
        <w:t>5652</w:t>
      </w:r>
    </w:p>
    <w:p w:rsidR="005A0DBA" w:rsidRPr="00666083" w:rsidRDefault="005A0DBA" w:rsidP="005A0DBA">
      <w:pPr>
        <w:ind w:left="851" w:hanging="851"/>
        <w:jc w:val="both"/>
        <w:rPr>
          <w:sz w:val="24"/>
          <w:szCs w:val="24"/>
        </w:rPr>
      </w:pPr>
    </w:p>
    <w:p w:rsidR="005A0DBA" w:rsidRPr="00666083" w:rsidRDefault="005A0DBA" w:rsidP="005A0DBA">
      <w:pPr>
        <w:ind w:left="851" w:hanging="851"/>
        <w:rPr>
          <w:b/>
          <w:sz w:val="24"/>
          <w:szCs w:val="24"/>
        </w:rPr>
      </w:pPr>
      <w:r w:rsidRPr="00666083">
        <w:rPr>
          <w:b/>
          <w:sz w:val="24"/>
          <w:szCs w:val="24"/>
        </w:rPr>
        <w:t>9.</w:t>
      </w:r>
      <w:r w:rsidRPr="00666083">
        <w:rPr>
          <w:b/>
          <w:sz w:val="24"/>
          <w:szCs w:val="24"/>
        </w:rPr>
        <w:tab/>
        <w:t>DATO FOR FØRSTE MARKEDSFØRINGSTILLADELSE</w:t>
      </w:r>
    </w:p>
    <w:p w:rsidR="005A0DBA" w:rsidRPr="00666083" w:rsidRDefault="005A0DBA" w:rsidP="005A0DBA">
      <w:pPr>
        <w:ind w:left="851"/>
        <w:rPr>
          <w:sz w:val="24"/>
          <w:szCs w:val="24"/>
        </w:rPr>
      </w:pPr>
      <w:r w:rsidRPr="00666083">
        <w:rPr>
          <w:sz w:val="24"/>
          <w:szCs w:val="24"/>
        </w:rPr>
        <w:t>7. april 2016</w:t>
      </w:r>
    </w:p>
    <w:p w:rsidR="005A0DBA" w:rsidRPr="00666083" w:rsidRDefault="005A0DBA" w:rsidP="005A0DBA">
      <w:pPr>
        <w:ind w:left="851" w:hanging="851"/>
        <w:rPr>
          <w:sz w:val="24"/>
          <w:szCs w:val="24"/>
        </w:rPr>
      </w:pPr>
    </w:p>
    <w:p w:rsidR="005A0DBA" w:rsidRPr="00666083" w:rsidRDefault="005A0DBA" w:rsidP="005A0DBA">
      <w:pPr>
        <w:ind w:left="851" w:hanging="851"/>
        <w:rPr>
          <w:b/>
          <w:sz w:val="24"/>
          <w:szCs w:val="24"/>
        </w:rPr>
      </w:pPr>
      <w:r w:rsidRPr="00666083">
        <w:rPr>
          <w:b/>
          <w:sz w:val="24"/>
          <w:szCs w:val="24"/>
        </w:rPr>
        <w:t>10.</w:t>
      </w:r>
      <w:r w:rsidRPr="00666083">
        <w:rPr>
          <w:b/>
          <w:sz w:val="24"/>
          <w:szCs w:val="24"/>
        </w:rPr>
        <w:tab/>
        <w:t>DATO FOR ÆNDRING AF TEKSTEN</w:t>
      </w:r>
    </w:p>
    <w:p w:rsidR="009260DE" w:rsidRPr="005A0DBA" w:rsidRDefault="0001167C" w:rsidP="00C51346">
      <w:pPr>
        <w:ind w:firstLine="851"/>
      </w:pPr>
      <w:r>
        <w:rPr>
          <w:sz w:val="24"/>
          <w:szCs w:val="24"/>
        </w:rPr>
        <w:t>7. marts 2024</w:t>
      </w:r>
    </w:p>
    <w:sectPr w:rsidR="009260DE" w:rsidRPr="005A0D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BA" w:rsidRDefault="005A0DBA">
      <w:r>
        <w:separator/>
      </w:r>
    </w:p>
  </w:endnote>
  <w:endnote w:type="continuationSeparator" w:id="0">
    <w:p w:rsidR="005A0DBA" w:rsidRDefault="005A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3D5E">
      <w:rPr>
        <w:i/>
        <w:noProof/>
        <w:sz w:val="18"/>
        <w:szCs w:val="18"/>
      </w:rPr>
      <w:t>Prednisolon Actavis, tabletter 2,5 mg, 5 mg, 10 mg, 20 mg, 25 mg og 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BA" w:rsidRDefault="005A0DBA">
      <w:r>
        <w:separator/>
      </w:r>
    </w:p>
  </w:footnote>
  <w:footnote w:type="continuationSeparator" w:id="0">
    <w:p w:rsidR="005A0DBA" w:rsidRDefault="005A0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BC219E"/>
    <w:multiLevelType w:val="hybridMultilevel"/>
    <w:tmpl w:val="DF0088E2"/>
    <w:lvl w:ilvl="0" w:tplc="FFFFFFFF">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9AD2C97"/>
    <w:multiLevelType w:val="hybridMultilevel"/>
    <w:tmpl w:val="AC26A380"/>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BA"/>
    <w:rsid w:val="0001167C"/>
    <w:rsid w:val="000259B9"/>
    <w:rsid w:val="0002738C"/>
    <w:rsid w:val="00041491"/>
    <w:rsid w:val="00045DD2"/>
    <w:rsid w:val="00050D16"/>
    <w:rsid w:val="00074F2A"/>
    <w:rsid w:val="000A1CA8"/>
    <w:rsid w:val="000A466B"/>
    <w:rsid w:val="000B058C"/>
    <w:rsid w:val="000E4EE6"/>
    <w:rsid w:val="001230C7"/>
    <w:rsid w:val="001454E2"/>
    <w:rsid w:val="00206CE8"/>
    <w:rsid w:val="002122E1"/>
    <w:rsid w:val="0021526C"/>
    <w:rsid w:val="00283A2B"/>
    <w:rsid w:val="002B30AD"/>
    <w:rsid w:val="002C2C01"/>
    <w:rsid w:val="003A29AE"/>
    <w:rsid w:val="003A32D7"/>
    <w:rsid w:val="003B4074"/>
    <w:rsid w:val="003C769A"/>
    <w:rsid w:val="003E71EC"/>
    <w:rsid w:val="003F1838"/>
    <w:rsid w:val="0045746C"/>
    <w:rsid w:val="0049104B"/>
    <w:rsid w:val="00496C9D"/>
    <w:rsid w:val="004E3B12"/>
    <w:rsid w:val="00513E87"/>
    <w:rsid w:val="00520665"/>
    <w:rsid w:val="00532310"/>
    <w:rsid w:val="00537653"/>
    <w:rsid w:val="00560ECC"/>
    <w:rsid w:val="00565F0F"/>
    <w:rsid w:val="00594A86"/>
    <w:rsid w:val="00596D86"/>
    <w:rsid w:val="005A0DBA"/>
    <w:rsid w:val="00637F5A"/>
    <w:rsid w:val="00650151"/>
    <w:rsid w:val="006560B1"/>
    <w:rsid w:val="006756DD"/>
    <w:rsid w:val="006D5D83"/>
    <w:rsid w:val="00737275"/>
    <w:rsid w:val="00740EEC"/>
    <w:rsid w:val="0074748C"/>
    <w:rsid w:val="0078011A"/>
    <w:rsid w:val="00782AF4"/>
    <w:rsid w:val="00790EE7"/>
    <w:rsid w:val="007B6649"/>
    <w:rsid w:val="0081546F"/>
    <w:rsid w:val="0082576E"/>
    <w:rsid w:val="00907F75"/>
    <w:rsid w:val="009260DE"/>
    <w:rsid w:val="0093258A"/>
    <w:rsid w:val="00944DDA"/>
    <w:rsid w:val="00993FA5"/>
    <w:rsid w:val="00995579"/>
    <w:rsid w:val="009C7BA3"/>
    <w:rsid w:val="009D1F5A"/>
    <w:rsid w:val="00A17E34"/>
    <w:rsid w:val="00AB20E2"/>
    <w:rsid w:val="00AD5151"/>
    <w:rsid w:val="00AF24DE"/>
    <w:rsid w:val="00B003BF"/>
    <w:rsid w:val="00B373D7"/>
    <w:rsid w:val="00BA032D"/>
    <w:rsid w:val="00BF4570"/>
    <w:rsid w:val="00C13F32"/>
    <w:rsid w:val="00C36276"/>
    <w:rsid w:val="00C42586"/>
    <w:rsid w:val="00C51346"/>
    <w:rsid w:val="00C541DE"/>
    <w:rsid w:val="00C60CCD"/>
    <w:rsid w:val="00C84483"/>
    <w:rsid w:val="00C919B3"/>
    <w:rsid w:val="00C95551"/>
    <w:rsid w:val="00CB20D7"/>
    <w:rsid w:val="00CC2088"/>
    <w:rsid w:val="00D020B0"/>
    <w:rsid w:val="00D11748"/>
    <w:rsid w:val="00D23D5E"/>
    <w:rsid w:val="00D366CF"/>
    <w:rsid w:val="00D55967"/>
    <w:rsid w:val="00DB0238"/>
    <w:rsid w:val="00DC7F0C"/>
    <w:rsid w:val="00DD7CDA"/>
    <w:rsid w:val="00E108AA"/>
    <w:rsid w:val="00E31812"/>
    <w:rsid w:val="00E3749A"/>
    <w:rsid w:val="00E7437F"/>
    <w:rsid w:val="00E865B8"/>
    <w:rsid w:val="00EC0B9B"/>
    <w:rsid w:val="00ED5E9F"/>
    <w:rsid w:val="00EE41F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4B94"/>
  <w15:chartTrackingRefBased/>
  <w15:docId w15:val="{C8FC734B-1E79-4B05-B17A-B797EB5C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A0DBA"/>
    <w:pPr>
      <w:spacing w:before="120" w:after="120"/>
      <w:jc w:val="both"/>
    </w:pPr>
    <w:rPr>
      <w:sz w:val="22"/>
      <w:lang w:val="en-US"/>
    </w:rPr>
  </w:style>
  <w:style w:type="character" w:styleId="Hyperlink">
    <w:name w:val="Hyperlink"/>
    <w:semiHidden/>
    <w:unhideWhenUsed/>
    <w:rsid w:val="005A0DBA"/>
    <w:rPr>
      <w:color w:val="0000FF"/>
      <w:u w:val="single"/>
    </w:rPr>
  </w:style>
  <w:style w:type="paragraph" w:customStyle="1" w:styleId="Default">
    <w:name w:val="Default"/>
    <w:rsid w:val="005A0DB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98939488">
      <w:bodyDiv w:val="1"/>
      <w:marLeft w:val="0"/>
      <w:marRight w:val="0"/>
      <w:marTop w:val="0"/>
      <w:marBottom w:val="0"/>
      <w:divBdr>
        <w:top w:val="none" w:sz="0" w:space="0" w:color="auto"/>
        <w:left w:val="none" w:sz="0" w:space="0" w:color="auto"/>
        <w:bottom w:val="none" w:sz="0" w:space="0" w:color="auto"/>
        <w:right w:val="none" w:sz="0" w:space="0" w:color="auto"/>
      </w:divBdr>
    </w:div>
    <w:div w:id="14194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3194</Words>
  <Characters>22524</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2023101986, var. 26G, pkt. 3</dc:description>
  <cp:lastModifiedBy>Gitte Jørgensen</cp:lastModifiedBy>
  <cp:revision>4</cp:revision>
  <cp:lastPrinted>2012-08-22T08:53:00Z</cp:lastPrinted>
  <dcterms:created xsi:type="dcterms:W3CDTF">2024-03-07T07:54:00Z</dcterms:created>
  <dcterms:modified xsi:type="dcterms:W3CDTF">2024-03-07T08:01:00Z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