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1B21" w14:textId="77777777" w:rsidR="009260DE" w:rsidRPr="00C5265F" w:rsidRDefault="0021526C" w:rsidP="009260DE">
      <w:pPr>
        <w:rPr>
          <w:sz w:val="24"/>
          <w:szCs w:val="24"/>
        </w:rPr>
      </w:pPr>
      <w:r w:rsidRPr="00C5265F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203EC2EE" wp14:editId="22C8DEAF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C5265F">
        <w:rPr>
          <w:sz w:val="24"/>
          <w:szCs w:val="24"/>
        </w:rPr>
        <w:br w:type="textWrapping" w:clear="all"/>
      </w:r>
    </w:p>
    <w:p w14:paraId="384E54CA" w14:textId="12FF2027" w:rsidR="009260DE" w:rsidRPr="00C5265F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C5265F">
        <w:rPr>
          <w:b w:val="0"/>
          <w:szCs w:val="24"/>
          <w:lang w:eastAsia="en-US"/>
        </w:rPr>
        <w:tab/>
      </w:r>
      <w:r w:rsidR="00D94F23">
        <w:rPr>
          <w:szCs w:val="24"/>
        </w:rPr>
        <w:t>26. marts 2026</w:t>
      </w:r>
    </w:p>
    <w:p w14:paraId="3017949D" w14:textId="77777777" w:rsidR="009260DE" w:rsidRPr="00C5265F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13AD0C9A" w14:textId="77777777" w:rsidR="009260DE" w:rsidRPr="00C5265F" w:rsidRDefault="009260DE" w:rsidP="009260DE">
      <w:pPr>
        <w:pStyle w:val="Titel"/>
        <w:jc w:val="left"/>
        <w:rPr>
          <w:b w:val="0"/>
          <w:szCs w:val="24"/>
        </w:rPr>
      </w:pPr>
    </w:p>
    <w:p w14:paraId="70C920F2" w14:textId="77777777" w:rsidR="009260DE" w:rsidRPr="00C5265F" w:rsidRDefault="009260DE" w:rsidP="009260DE">
      <w:pPr>
        <w:pStyle w:val="Titel"/>
        <w:jc w:val="left"/>
        <w:rPr>
          <w:b w:val="0"/>
          <w:szCs w:val="24"/>
        </w:rPr>
      </w:pPr>
    </w:p>
    <w:p w14:paraId="6F01DC2C" w14:textId="77777777" w:rsidR="009260DE" w:rsidRPr="00C5265F" w:rsidRDefault="009260DE" w:rsidP="009260DE">
      <w:pPr>
        <w:jc w:val="center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PRODUKTRESUMÉ</w:t>
      </w:r>
    </w:p>
    <w:p w14:paraId="3568725B" w14:textId="77777777" w:rsidR="009260DE" w:rsidRPr="00C5265F" w:rsidRDefault="009260DE" w:rsidP="009260DE">
      <w:pPr>
        <w:jc w:val="center"/>
        <w:rPr>
          <w:b/>
          <w:sz w:val="24"/>
          <w:szCs w:val="24"/>
        </w:rPr>
      </w:pPr>
    </w:p>
    <w:p w14:paraId="02F7D5F8" w14:textId="77777777" w:rsidR="009260DE" w:rsidRPr="00C5265F" w:rsidRDefault="009260DE" w:rsidP="009260DE">
      <w:pPr>
        <w:jc w:val="center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for</w:t>
      </w:r>
    </w:p>
    <w:p w14:paraId="78D83473" w14:textId="77777777" w:rsidR="000B058C" w:rsidRPr="00C5265F" w:rsidRDefault="000B058C" w:rsidP="009260DE">
      <w:pPr>
        <w:jc w:val="center"/>
        <w:rPr>
          <w:b/>
          <w:sz w:val="24"/>
          <w:szCs w:val="24"/>
        </w:rPr>
      </w:pPr>
    </w:p>
    <w:p w14:paraId="19612A2D" w14:textId="2DB456CF" w:rsidR="009260DE" w:rsidRPr="00C5265F" w:rsidRDefault="001D300D" w:rsidP="009260DE">
      <w:pPr>
        <w:jc w:val="center"/>
        <w:rPr>
          <w:b/>
          <w:sz w:val="24"/>
          <w:szCs w:val="24"/>
        </w:rPr>
      </w:pPr>
      <w:proofErr w:type="spellStart"/>
      <w:r w:rsidRPr="00C5265F">
        <w:rPr>
          <w:b/>
          <w:sz w:val="24"/>
          <w:szCs w:val="24"/>
        </w:rPr>
        <w:t>Primidon</w:t>
      </w:r>
      <w:proofErr w:type="spellEnd"/>
      <w:r w:rsidRPr="00C5265F">
        <w:rPr>
          <w:b/>
          <w:sz w:val="24"/>
          <w:szCs w:val="24"/>
        </w:rPr>
        <w:t xml:space="preserve"> </w:t>
      </w:r>
      <w:r w:rsidR="00C5265F">
        <w:rPr>
          <w:b/>
          <w:sz w:val="24"/>
          <w:szCs w:val="24"/>
        </w:rPr>
        <w:t>"</w:t>
      </w:r>
      <w:proofErr w:type="spellStart"/>
      <w:r w:rsidR="00C5265F">
        <w:rPr>
          <w:b/>
          <w:sz w:val="24"/>
          <w:szCs w:val="24"/>
        </w:rPr>
        <w:t>Afortas</w:t>
      </w:r>
      <w:proofErr w:type="spellEnd"/>
      <w:r w:rsidR="00C5265F">
        <w:rPr>
          <w:b/>
          <w:sz w:val="24"/>
          <w:szCs w:val="24"/>
        </w:rPr>
        <w:t>"</w:t>
      </w:r>
      <w:r w:rsidRPr="00C5265F">
        <w:rPr>
          <w:b/>
          <w:sz w:val="24"/>
          <w:szCs w:val="24"/>
        </w:rPr>
        <w:t>, tabletter</w:t>
      </w:r>
    </w:p>
    <w:p w14:paraId="3F9BB745" w14:textId="77777777" w:rsidR="009260DE" w:rsidRPr="00C5265F" w:rsidRDefault="009260DE" w:rsidP="009260DE">
      <w:pPr>
        <w:jc w:val="both"/>
        <w:rPr>
          <w:sz w:val="24"/>
          <w:szCs w:val="24"/>
        </w:rPr>
      </w:pPr>
    </w:p>
    <w:p w14:paraId="53D2B160" w14:textId="77777777" w:rsidR="009260DE" w:rsidRPr="00C5265F" w:rsidRDefault="009260DE" w:rsidP="009260DE">
      <w:pPr>
        <w:jc w:val="both"/>
        <w:rPr>
          <w:sz w:val="24"/>
          <w:szCs w:val="24"/>
        </w:rPr>
      </w:pPr>
    </w:p>
    <w:p w14:paraId="54EB8B83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0.</w:t>
      </w:r>
      <w:r w:rsidRPr="00C5265F">
        <w:rPr>
          <w:b/>
          <w:sz w:val="24"/>
          <w:szCs w:val="24"/>
        </w:rPr>
        <w:tab/>
        <w:t>D.SP.NR.</w:t>
      </w:r>
    </w:p>
    <w:p w14:paraId="6B54000C" w14:textId="739D8F71" w:rsidR="009260DE" w:rsidRPr="00C5265F" w:rsidRDefault="001D300D" w:rsidP="009260DE">
      <w:pPr>
        <w:tabs>
          <w:tab w:val="left" w:pos="851"/>
        </w:tabs>
        <w:ind w:left="851"/>
        <w:rPr>
          <w:sz w:val="24"/>
          <w:szCs w:val="24"/>
        </w:rPr>
      </w:pPr>
      <w:r w:rsidRPr="00C5265F">
        <w:rPr>
          <w:sz w:val="24"/>
          <w:szCs w:val="24"/>
        </w:rPr>
        <w:t>34230</w:t>
      </w:r>
    </w:p>
    <w:p w14:paraId="1092B5F0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75A691D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1.</w:t>
      </w:r>
      <w:r w:rsidRPr="00C5265F">
        <w:rPr>
          <w:b/>
          <w:sz w:val="24"/>
          <w:szCs w:val="24"/>
        </w:rPr>
        <w:tab/>
        <w:t>LÆGEMIDLETS NAVN</w:t>
      </w:r>
    </w:p>
    <w:p w14:paraId="127F6ED4" w14:textId="0A51089A" w:rsidR="009260DE" w:rsidRPr="00C5265F" w:rsidRDefault="001D300D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C5265F">
        <w:rPr>
          <w:sz w:val="24"/>
          <w:szCs w:val="24"/>
        </w:rPr>
        <w:t>Primidon</w:t>
      </w:r>
      <w:proofErr w:type="spellEnd"/>
      <w:r w:rsidRPr="00C5265F">
        <w:rPr>
          <w:sz w:val="24"/>
          <w:szCs w:val="24"/>
        </w:rPr>
        <w:t xml:space="preserve"> </w:t>
      </w:r>
      <w:r w:rsidR="00C5265F">
        <w:rPr>
          <w:sz w:val="24"/>
          <w:szCs w:val="24"/>
        </w:rPr>
        <w:t>"</w:t>
      </w:r>
      <w:proofErr w:type="spellStart"/>
      <w:r w:rsidR="00C5265F">
        <w:rPr>
          <w:sz w:val="24"/>
          <w:szCs w:val="24"/>
        </w:rPr>
        <w:t>Afortas</w:t>
      </w:r>
      <w:proofErr w:type="spellEnd"/>
      <w:r w:rsidR="00C5265F">
        <w:rPr>
          <w:sz w:val="24"/>
          <w:szCs w:val="24"/>
        </w:rPr>
        <w:t>"</w:t>
      </w:r>
    </w:p>
    <w:p w14:paraId="3DCB8711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4097F07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2.</w:t>
      </w:r>
      <w:r w:rsidRPr="00C5265F">
        <w:rPr>
          <w:b/>
          <w:sz w:val="24"/>
          <w:szCs w:val="24"/>
        </w:rPr>
        <w:tab/>
        <w:t>KVALITATIV OG KVANTITATIV SAMMENSÆTNING</w:t>
      </w:r>
    </w:p>
    <w:p w14:paraId="5034C0AA" w14:textId="77777777" w:rsidR="009351FB" w:rsidRPr="009351FB" w:rsidRDefault="009351FB" w:rsidP="00B637FF">
      <w:pPr>
        <w:ind w:left="851"/>
        <w:rPr>
          <w:sz w:val="24"/>
          <w:szCs w:val="24"/>
          <w:lang w:val="nb-NO"/>
        </w:rPr>
      </w:pPr>
      <w:r w:rsidRPr="009351FB">
        <w:rPr>
          <w:sz w:val="24"/>
          <w:szCs w:val="24"/>
          <w:lang w:val="nb-NO"/>
        </w:rPr>
        <w:t>50 mg tablet: Hver tablet indeholder 50 mg primidon.</w:t>
      </w:r>
    </w:p>
    <w:p w14:paraId="12D0116D" w14:textId="77777777" w:rsidR="009351FB" w:rsidRPr="009351FB" w:rsidRDefault="009351FB" w:rsidP="00B637FF">
      <w:pPr>
        <w:ind w:left="851"/>
        <w:rPr>
          <w:sz w:val="24"/>
          <w:szCs w:val="24"/>
          <w:lang w:val="nb-NO"/>
        </w:rPr>
      </w:pPr>
    </w:p>
    <w:p w14:paraId="53394A01" w14:textId="77777777" w:rsidR="009351FB" w:rsidRPr="009351FB" w:rsidRDefault="009351FB" w:rsidP="00B637FF">
      <w:pPr>
        <w:ind w:left="851"/>
        <w:rPr>
          <w:sz w:val="24"/>
          <w:szCs w:val="24"/>
          <w:lang w:val="nb-NO"/>
        </w:rPr>
      </w:pPr>
      <w:r w:rsidRPr="009351FB">
        <w:rPr>
          <w:sz w:val="24"/>
          <w:szCs w:val="24"/>
          <w:lang w:val="nb-NO"/>
        </w:rPr>
        <w:t>125 mg tablet: Hver tablet indeholder 125 mg primidon.</w:t>
      </w:r>
    </w:p>
    <w:p w14:paraId="57D8E62C" w14:textId="77777777" w:rsidR="009351FB" w:rsidRPr="009351FB" w:rsidRDefault="009351FB" w:rsidP="00B637FF">
      <w:pPr>
        <w:ind w:left="851"/>
        <w:rPr>
          <w:sz w:val="24"/>
          <w:szCs w:val="24"/>
          <w:lang w:val="nb-NO"/>
        </w:rPr>
      </w:pPr>
    </w:p>
    <w:p w14:paraId="37030FB6" w14:textId="77777777" w:rsidR="009351FB" w:rsidRPr="009351FB" w:rsidRDefault="009351FB" w:rsidP="00B637FF">
      <w:pPr>
        <w:ind w:left="851"/>
        <w:rPr>
          <w:sz w:val="24"/>
          <w:szCs w:val="24"/>
          <w:lang w:val="nb-NO"/>
        </w:rPr>
      </w:pPr>
      <w:r w:rsidRPr="009351FB">
        <w:rPr>
          <w:sz w:val="24"/>
          <w:szCs w:val="24"/>
          <w:lang w:val="nb-NO"/>
        </w:rPr>
        <w:t>250 mg tablet: Hver tablet indeholder 250 mg primidon.</w:t>
      </w:r>
    </w:p>
    <w:p w14:paraId="2D199692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  <w:lang w:val="nb-NO"/>
        </w:rPr>
      </w:pPr>
    </w:p>
    <w:p w14:paraId="49B22698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3.</w:t>
      </w:r>
      <w:r w:rsidRPr="00C5265F">
        <w:rPr>
          <w:b/>
          <w:sz w:val="24"/>
          <w:szCs w:val="24"/>
        </w:rPr>
        <w:tab/>
        <w:t>LÆGEMIDDELFORM</w:t>
      </w:r>
    </w:p>
    <w:p w14:paraId="2276C2D2" w14:textId="676B04F6" w:rsidR="009351FB" w:rsidRPr="009351FB" w:rsidRDefault="009351FB" w:rsidP="00B637FF">
      <w:pPr>
        <w:ind w:left="851"/>
        <w:rPr>
          <w:sz w:val="24"/>
          <w:szCs w:val="24"/>
          <w:lang w:val="nb-NO"/>
        </w:rPr>
      </w:pPr>
      <w:r w:rsidRPr="009351FB">
        <w:rPr>
          <w:sz w:val="24"/>
          <w:szCs w:val="24"/>
          <w:lang w:val="nb-NO"/>
        </w:rPr>
        <w:t>Tabletter</w:t>
      </w:r>
    </w:p>
    <w:p w14:paraId="411CC8D5" w14:textId="77777777" w:rsidR="009351FB" w:rsidRPr="009351FB" w:rsidRDefault="009351FB" w:rsidP="00B637FF">
      <w:pPr>
        <w:ind w:left="851"/>
        <w:rPr>
          <w:sz w:val="24"/>
          <w:szCs w:val="24"/>
          <w:lang w:val="nb-NO"/>
        </w:rPr>
      </w:pPr>
    </w:p>
    <w:p w14:paraId="0851655B" w14:textId="7B6F51A8" w:rsidR="009351FB" w:rsidRPr="009351FB" w:rsidRDefault="009351FB" w:rsidP="00B637FF">
      <w:pPr>
        <w:ind w:left="851"/>
        <w:rPr>
          <w:sz w:val="24"/>
          <w:szCs w:val="24"/>
          <w:lang w:val="nb-NO"/>
        </w:rPr>
      </w:pPr>
      <w:r w:rsidRPr="009351FB">
        <w:rPr>
          <w:sz w:val="24"/>
          <w:szCs w:val="24"/>
          <w:lang w:val="nb-NO"/>
        </w:rPr>
        <w:t xml:space="preserve">50 mg: Hvide til råhvide, runde, bikonvekse, uovertrukne tabletter på </w:t>
      </w:r>
      <w:bookmarkStart w:id="0" w:name="_Hlk176945635"/>
      <w:r w:rsidRPr="009351FB">
        <w:rPr>
          <w:sz w:val="24"/>
          <w:szCs w:val="24"/>
          <w:lang w:val="nb-NO"/>
        </w:rPr>
        <w:t>5,5 mm</w:t>
      </w:r>
      <w:bookmarkEnd w:id="0"/>
      <w:r w:rsidRPr="009351FB">
        <w:rPr>
          <w:sz w:val="24"/>
          <w:szCs w:val="24"/>
          <w:lang w:val="nb-NO"/>
        </w:rPr>
        <w:t>, der er præget med 'I</w:t>
      </w:r>
      <w:r w:rsidR="00F67384">
        <w:rPr>
          <w:sz w:val="24"/>
          <w:szCs w:val="24"/>
          <w:lang w:val="nb-NO"/>
        </w:rPr>
        <w:t>'</w:t>
      </w:r>
      <w:r w:rsidRPr="009351FB">
        <w:rPr>
          <w:sz w:val="24"/>
          <w:szCs w:val="24"/>
          <w:lang w:val="nb-NO"/>
        </w:rPr>
        <w:t xml:space="preserve"> på den ene side og blanke på den anden side.</w:t>
      </w:r>
    </w:p>
    <w:p w14:paraId="35A9FC99" w14:textId="77777777" w:rsidR="009351FB" w:rsidRPr="009351FB" w:rsidRDefault="009351FB" w:rsidP="00B637FF">
      <w:pPr>
        <w:ind w:left="851"/>
        <w:rPr>
          <w:sz w:val="24"/>
          <w:szCs w:val="24"/>
          <w:lang w:val="nb-NO"/>
        </w:rPr>
      </w:pPr>
    </w:p>
    <w:p w14:paraId="554C3752" w14:textId="3D914B64" w:rsidR="009351FB" w:rsidRPr="009351FB" w:rsidRDefault="009351FB" w:rsidP="00B637FF">
      <w:pPr>
        <w:ind w:left="851"/>
        <w:rPr>
          <w:sz w:val="24"/>
          <w:szCs w:val="24"/>
          <w:lang w:val="nb-NO"/>
        </w:rPr>
      </w:pPr>
      <w:r w:rsidRPr="009351FB">
        <w:rPr>
          <w:sz w:val="24"/>
          <w:szCs w:val="24"/>
          <w:lang w:val="nb-NO"/>
        </w:rPr>
        <w:t>125 mg: Hvide til råhvide, runde, bikonvekse, uovertrukne tabletter på 8,0 mm, der er præget med 'TL</w:t>
      </w:r>
      <w:r w:rsidR="00F67384">
        <w:rPr>
          <w:sz w:val="24"/>
          <w:szCs w:val="24"/>
          <w:lang w:val="nb-NO"/>
        </w:rPr>
        <w:t>'</w:t>
      </w:r>
      <w:r w:rsidRPr="009351FB">
        <w:rPr>
          <w:sz w:val="24"/>
          <w:szCs w:val="24"/>
          <w:lang w:val="nb-NO"/>
        </w:rPr>
        <w:t xml:space="preserve"> på den ene side og blanke på den anden side.</w:t>
      </w:r>
    </w:p>
    <w:p w14:paraId="67F33867" w14:textId="77777777" w:rsidR="009351FB" w:rsidRPr="009351FB" w:rsidRDefault="009351FB" w:rsidP="00B637FF">
      <w:pPr>
        <w:ind w:left="851"/>
        <w:rPr>
          <w:sz w:val="24"/>
          <w:szCs w:val="24"/>
          <w:lang w:val="nb-NO"/>
        </w:rPr>
      </w:pPr>
    </w:p>
    <w:p w14:paraId="78C7ABAB" w14:textId="24DD1603" w:rsidR="009351FB" w:rsidRPr="009351FB" w:rsidRDefault="009351FB" w:rsidP="00B637FF">
      <w:pPr>
        <w:ind w:left="851"/>
        <w:rPr>
          <w:sz w:val="24"/>
          <w:szCs w:val="24"/>
        </w:rPr>
      </w:pPr>
      <w:r w:rsidRPr="009351FB">
        <w:rPr>
          <w:sz w:val="24"/>
          <w:szCs w:val="24"/>
          <w:lang w:val="nb-NO"/>
        </w:rPr>
        <w:t xml:space="preserve">250 mg: </w:t>
      </w:r>
      <w:bookmarkStart w:id="1" w:name="_Hlk176945685"/>
      <w:r w:rsidRPr="009351FB">
        <w:rPr>
          <w:sz w:val="24"/>
          <w:szCs w:val="24"/>
          <w:lang w:val="nb-NO"/>
        </w:rPr>
        <w:t>Hvide til råhvide, runde, bikonvekse, uovertrukne tabletter på 9,5 mm, der er præget med 'TL</w:t>
      </w:r>
      <w:r w:rsidR="00F67384">
        <w:rPr>
          <w:sz w:val="24"/>
          <w:szCs w:val="24"/>
          <w:lang w:val="nb-NO"/>
        </w:rPr>
        <w:t>'</w:t>
      </w:r>
      <w:r w:rsidRPr="009351FB">
        <w:rPr>
          <w:sz w:val="24"/>
          <w:szCs w:val="24"/>
          <w:lang w:val="nb-NO"/>
        </w:rPr>
        <w:t xml:space="preserve"> på den ene side og har en delekærv på den anden side. </w:t>
      </w:r>
      <w:r w:rsidRPr="009351FB">
        <w:rPr>
          <w:sz w:val="24"/>
          <w:szCs w:val="24"/>
        </w:rPr>
        <w:t>Delekærven muliggør deling af tabletten, så den er nemmere at sluge, og kan anvendes til at dele tabletten i to lige store doser.</w:t>
      </w:r>
      <w:bookmarkEnd w:id="1"/>
    </w:p>
    <w:p w14:paraId="1F11C0AD" w14:textId="77777777" w:rsidR="009351FB" w:rsidRPr="009351FB" w:rsidRDefault="009351FB" w:rsidP="00B637FF">
      <w:pPr>
        <w:ind w:left="851"/>
        <w:rPr>
          <w:sz w:val="24"/>
          <w:szCs w:val="24"/>
        </w:rPr>
      </w:pPr>
    </w:p>
    <w:p w14:paraId="07196293" w14:textId="77777777" w:rsidR="009351FB" w:rsidRPr="009351FB" w:rsidRDefault="009351FB" w:rsidP="00B637FF">
      <w:pPr>
        <w:ind w:left="851"/>
        <w:rPr>
          <w:sz w:val="24"/>
          <w:szCs w:val="24"/>
        </w:rPr>
      </w:pPr>
      <w:r w:rsidRPr="009351FB">
        <w:rPr>
          <w:sz w:val="24"/>
          <w:szCs w:val="24"/>
        </w:rPr>
        <w:t>Alle hjælpestoffer er anført under pkt. 6.1.</w:t>
      </w:r>
    </w:p>
    <w:p w14:paraId="00836537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BCEAE85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309FF5B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4.</w:t>
      </w:r>
      <w:r w:rsidRPr="00C5265F">
        <w:rPr>
          <w:b/>
          <w:sz w:val="24"/>
          <w:szCs w:val="24"/>
        </w:rPr>
        <w:tab/>
        <w:t>KLINISKE OPLYSNINGER</w:t>
      </w:r>
    </w:p>
    <w:p w14:paraId="41961F99" w14:textId="77777777" w:rsidR="009260DE" w:rsidRPr="00C5265F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37470CBF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C5265F">
        <w:rPr>
          <w:b/>
          <w:sz w:val="24"/>
          <w:szCs w:val="24"/>
        </w:rPr>
        <w:t>4.1</w:t>
      </w:r>
      <w:r w:rsidRPr="00C5265F">
        <w:rPr>
          <w:b/>
          <w:sz w:val="24"/>
          <w:szCs w:val="24"/>
        </w:rPr>
        <w:tab/>
        <w:t>Terapeutiske indikationer</w:t>
      </w:r>
    </w:p>
    <w:p w14:paraId="66121FD3" w14:textId="10B26620" w:rsidR="009351FB" w:rsidRPr="009351FB" w:rsidRDefault="009351FB" w:rsidP="00B637FF">
      <w:pPr>
        <w:ind w:left="851"/>
        <w:rPr>
          <w:sz w:val="24"/>
          <w:szCs w:val="24"/>
        </w:rPr>
      </w:pPr>
      <w:proofErr w:type="spellStart"/>
      <w:r w:rsidRPr="009351FB">
        <w:rPr>
          <w:sz w:val="24"/>
          <w:szCs w:val="24"/>
        </w:rPr>
        <w:t>Primidon</w:t>
      </w:r>
      <w:proofErr w:type="spellEnd"/>
      <w:r w:rsidRPr="009351FB">
        <w:rPr>
          <w:sz w:val="24"/>
          <w:szCs w:val="24"/>
        </w:rPr>
        <w:t xml:space="preserve"> </w:t>
      </w:r>
      <w:r w:rsidR="00C5265F">
        <w:rPr>
          <w:sz w:val="24"/>
          <w:szCs w:val="24"/>
        </w:rPr>
        <w:t>"</w:t>
      </w:r>
      <w:proofErr w:type="spellStart"/>
      <w:r w:rsidR="00C5265F">
        <w:rPr>
          <w:sz w:val="24"/>
          <w:szCs w:val="24"/>
        </w:rPr>
        <w:t>Afortas</w:t>
      </w:r>
      <w:proofErr w:type="spellEnd"/>
      <w:r w:rsidR="00C5265F">
        <w:rPr>
          <w:sz w:val="24"/>
          <w:szCs w:val="24"/>
        </w:rPr>
        <w:t>"</w:t>
      </w:r>
      <w:r w:rsidRPr="009351FB">
        <w:rPr>
          <w:sz w:val="24"/>
          <w:szCs w:val="24"/>
        </w:rPr>
        <w:t xml:space="preserve"> er indiceret til børn og voksne til behandling af:</w:t>
      </w:r>
    </w:p>
    <w:p w14:paraId="605BC6F4" w14:textId="438F95E4" w:rsidR="009351FB" w:rsidRPr="009351FB" w:rsidRDefault="009351FB" w:rsidP="00B637FF">
      <w:pPr>
        <w:numPr>
          <w:ilvl w:val="0"/>
          <w:numId w:val="6"/>
        </w:numPr>
        <w:ind w:left="1276" w:hanging="425"/>
        <w:rPr>
          <w:sz w:val="24"/>
          <w:szCs w:val="24"/>
        </w:rPr>
      </w:pPr>
      <w:r w:rsidRPr="009351FB">
        <w:rPr>
          <w:sz w:val="24"/>
          <w:szCs w:val="24"/>
        </w:rPr>
        <w:t>generaliserede tonisk</w:t>
      </w:r>
      <w:r w:rsidR="00841B2F" w:rsidRPr="00841B2F">
        <w:rPr>
          <w:sz w:val="24"/>
          <w:szCs w:val="24"/>
        </w:rPr>
        <w:t>-</w:t>
      </w:r>
      <w:r w:rsidRPr="009351FB">
        <w:rPr>
          <w:sz w:val="24"/>
          <w:szCs w:val="24"/>
        </w:rPr>
        <w:t xml:space="preserve">kloniske anfald </w:t>
      </w:r>
    </w:p>
    <w:p w14:paraId="3BEC6EA9" w14:textId="77777777" w:rsidR="009351FB" w:rsidRPr="009351FB" w:rsidRDefault="009351FB" w:rsidP="00B637FF">
      <w:pPr>
        <w:numPr>
          <w:ilvl w:val="0"/>
          <w:numId w:val="6"/>
        </w:numPr>
        <w:ind w:left="1276" w:hanging="425"/>
        <w:rPr>
          <w:sz w:val="24"/>
          <w:szCs w:val="24"/>
        </w:rPr>
      </w:pPr>
      <w:r w:rsidRPr="009351FB">
        <w:rPr>
          <w:sz w:val="24"/>
          <w:szCs w:val="24"/>
        </w:rPr>
        <w:lastRenderedPageBreak/>
        <w:t>fokale anfald med/uden påvirkning af bevidstheden</w:t>
      </w:r>
    </w:p>
    <w:p w14:paraId="785E1212" w14:textId="77777777" w:rsidR="009351FB" w:rsidRPr="009351FB" w:rsidRDefault="009351FB" w:rsidP="00B637FF">
      <w:pPr>
        <w:numPr>
          <w:ilvl w:val="0"/>
          <w:numId w:val="6"/>
        </w:numPr>
        <w:ind w:left="1276" w:hanging="425"/>
        <w:rPr>
          <w:sz w:val="24"/>
          <w:szCs w:val="24"/>
        </w:rPr>
      </w:pPr>
      <w:r w:rsidRPr="009351FB">
        <w:rPr>
          <w:sz w:val="24"/>
          <w:szCs w:val="24"/>
        </w:rPr>
        <w:t xml:space="preserve">fokale motoriske anfald </w:t>
      </w:r>
    </w:p>
    <w:p w14:paraId="4BE84415" w14:textId="77777777" w:rsidR="009351FB" w:rsidRPr="009351FB" w:rsidRDefault="009351FB" w:rsidP="00B637FF">
      <w:pPr>
        <w:numPr>
          <w:ilvl w:val="0"/>
          <w:numId w:val="6"/>
        </w:numPr>
        <w:ind w:left="1276" w:hanging="425"/>
        <w:rPr>
          <w:sz w:val="24"/>
          <w:szCs w:val="24"/>
        </w:rPr>
      </w:pPr>
      <w:r w:rsidRPr="009351FB">
        <w:rPr>
          <w:sz w:val="24"/>
          <w:szCs w:val="24"/>
        </w:rPr>
        <w:t xml:space="preserve">fokale </w:t>
      </w:r>
      <w:proofErr w:type="spellStart"/>
      <w:r w:rsidRPr="009351FB">
        <w:rPr>
          <w:sz w:val="24"/>
          <w:szCs w:val="24"/>
        </w:rPr>
        <w:t>myokloniske</w:t>
      </w:r>
      <w:proofErr w:type="spellEnd"/>
      <w:r w:rsidRPr="009351FB">
        <w:rPr>
          <w:sz w:val="24"/>
          <w:szCs w:val="24"/>
        </w:rPr>
        <w:t xml:space="preserve"> anfald</w:t>
      </w:r>
    </w:p>
    <w:p w14:paraId="2888CA19" w14:textId="77777777" w:rsidR="009351FB" w:rsidRPr="009351FB" w:rsidRDefault="009351FB" w:rsidP="00B637FF">
      <w:pPr>
        <w:numPr>
          <w:ilvl w:val="0"/>
          <w:numId w:val="6"/>
        </w:numPr>
        <w:ind w:left="1276" w:hanging="425"/>
        <w:rPr>
          <w:sz w:val="24"/>
          <w:szCs w:val="24"/>
        </w:rPr>
      </w:pPr>
      <w:r w:rsidRPr="009351FB">
        <w:rPr>
          <w:sz w:val="24"/>
          <w:szCs w:val="24"/>
        </w:rPr>
        <w:t>fokale anfald med stop af igangværende aktiviteter</w:t>
      </w:r>
    </w:p>
    <w:p w14:paraId="22BDED36" w14:textId="77777777" w:rsidR="009351FB" w:rsidRPr="009351FB" w:rsidRDefault="009351FB" w:rsidP="00B637FF">
      <w:pPr>
        <w:numPr>
          <w:ilvl w:val="0"/>
          <w:numId w:val="6"/>
        </w:numPr>
        <w:ind w:left="1276" w:hanging="425"/>
        <w:rPr>
          <w:sz w:val="24"/>
          <w:szCs w:val="24"/>
        </w:rPr>
      </w:pPr>
      <w:proofErr w:type="spellStart"/>
      <w:r w:rsidRPr="009351FB">
        <w:rPr>
          <w:sz w:val="24"/>
          <w:szCs w:val="24"/>
        </w:rPr>
        <w:t>atoniske</w:t>
      </w:r>
      <w:proofErr w:type="spellEnd"/>
      <w:r w:rsidRPr="009351FB">
        <w:rPr>
          <w:sz w:val="24"/>
          <w:szCs w:val="24"/>
        </w:rPr>
        <w:t xml:space="preserve"> anfald</w:t>
      </w:r>
    </w:p>
    <w:p w14:paraId="6B41F912" w14:textId="77777777" w:rsidR="009351FB" w:rsidRPr="009351FB" w:rsidRDefault="009351FB" w:rsidP="009351FB">
      <w:pPr>
        <w:tabs>
          <w:tab w:val="left" w:pos="851"/>
        </w:tabs>
        <w:ind w:left="851"/>
        <w:rPr>
          <w:sz w:val="24"/>
          <w:szCs w:val="24"/>
        </w:rPr>
      </w:pPr>
    </w:p>
    <w:p w14:paraId="5CFD1A2E" w14:textId="77777777" w:rsidR="009351FB" w:rsidRPr="009351FB" w:rsidRDefault="009351FB" w:rsidP="009351FB">
      <w:pPr>
        <w:tabs>
          <w:tab w:val="left" w:pos="851"/>
        </w:tabs>
        <w:ind w:left="851"/>
        <w:rPr>
          <w:sz w:val="24"/>
          <w:szCs w:val="24"/>
        </w:rPr>
      </w:pPr>
      <w:r w:rsidRPr="009351FB">
        <w:rPr>
          <w:sz w:val="24"/>
          <w:szCs w:val="24"/>
        </w:rPr>
        <w:t xml:space="preserve">Behandling af essentiel </w:t>
      </w:r>
      <w:proofErr w:type="spellStart"/>
      <w:r w:rsidRPr="009351FB">
        <w:rPr>
          <w:sz w:val="24"/>
          <w:szCs w:val="24"/>
        </w:rPr>
        <w:t>tremor</w:t>
      </w:r>
      <w:proofErr w:type="spellEnd"/>
      <w:r w:rsidRPr="009351FB">
        <w:rPr>
          <w:sz w:val="24"/>
          <w:szCs w:val="24"/>
        </w:rPr>
        <w:t>.</w:t>
      </w:r>
    </w:p>
    <w:p w14:paraId="6C684A47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7F685FE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4.2</w:t>
      </w:r>
      <w:r w:rsidRPr="00C5265F">
        <w:rPr>
          <w:b/>
          <w:sz w:val="24"/>
          <w:szCs w:val="24"/>
        </w:rPr>
        <w:tab/>
        <w:t xml:space="preserve">Dosering og </w:t>
      </w:r>
      <w:r w:rsidR="002C1EC0" w:rsidRPr="00C5265F">
        <w:rPr>
          <w:b/>
          <w:sz w:val="24"/>
          <w:szCs w:val="24"/>
        </w:rPr>
        <w:t>administration</w:t>
      </w:r>
    </w:p>
    <w:p w14:paraId="2C228655" w14:textId="77777777" w:rsidR="00C5265F" w:rsidRDefault="00C5265F" w:rsidP="00B637FF">
      <w:pPr>
        <w:ind w:left="851"/>
        <w:rPr>
          <w:sz w:val="24"/>
          <w:szCs w:val="24"/>
          <w:u w:val="single"/>
        </w:rPr>
      </w:pPr>
    </w:p>
    <w:p w14:paraId="12D670A0" w14:textId="7A731611" w:rsidR="00F84019" w:rsidRPr="00F84019" w:rsidRDefault="00F84019" w:rsidP="00B637FF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Dosering</w:t>
      </w:r>
    </w:p>
    <w:p w14:paraId="47AB7534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Behandlingen skal startes med den lavest mulige dosis om aftenen, hvorefter dosis bør øges trinvist for at minimere bivirkninger.</w:t>
      </w:r>
    </w:p>
    <w:p w14:paraId="17BC25E2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28060859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  <w:u w:val="single"/>
        </w:rPr>
        <w:t>Epilepsi</w:t>
      </w:r>
    </w:p>
    <w:p w14:paraId="0A7B0F7C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Behandlingen skal altid planlægges på individuel basis. Hos mange patienter kan </w:t>
      </w:r>
      <w:proofErr w:type="spellStart"/>
      <w:r w:rsidRPr="00F84019">
        <w:rPr>
          <w:sz w:val="24"/>
          <w:szCs w:val="24"/>
        </w:rPr>
        <w:t>primidonbehandling</w:t>
      </w:r>
      <w:proofErr w:type="spellEnd"/>
      <w:r w:rsidRPr="00F84019">
        <w:rPr>
          <w:sz w:val="24"/>
          <w:szCs w:val="24"/>
        </w:rPr>
        <w:t xml:space="preserve"> gives som monoterapi, men hos nogle patienter er det nødvendigt at kombinere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med andre </w:t>
      </w:r>
      <w:proofErr w:type="spellStart"/>
      <w:r w:rsidRPr="00F84019">
        <w:rPr>
          <w:sz w:val="24"/>
          <w:szCs w:val="24"/>
        </w:rPr>
        <w:t>antikonvulsiva</w:t>
      </w:r>
      <w:proofErr w:type="spellEnd"/>
      <w:r w:rsidRPr="00F84019">
        <w:rPr>
          <w:sz w:val="24"/>
          <w:szCs w:val="24"/>
        </w:rPr>
        <w:t xml:space="preserve"> eller med understøttende behandling.</w:t>
      </w:r>
    </w:p>
    <w:p w14:paraId="2E0DB0A9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5E3F081A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Hos visse patienter kan det være tilrådeligt at give en større dosis, når anfaldene er hyppige. Eksempel:</w:t>
      </w:r>
    </w:p>
    <w:p w14:paraId="3326BCF1" w14:textId="77777777" w:rsidR="00F84019" w:rsidRPr="00F84019" w:rsidRDefault="00F84019" w:rsidP="00B637FF">
      <w:pPr>
        <w:numPr>
          <w:ilvl w:val="0"/>
          <w:numId w:val="7"/>
        </w:numPr>
        <w:ind w:left="1276" w:hanging="425"/>
        <w:rPr>
          <w:sz w:val="24"/>
          <w:szCs w:val="24"/>
        </w:rPr>
      </w:pPr>
      <w:r w:rsidRPr="00F84019">
        <w:rPr>
          <w:sz w:val="24"/>
          <w:szCs w:val="24"/>
        </w:rPr>
        <w:t>Hvis anfaldene forekommer om natten, kan hele eller det meste af den daglige dosis gives om aftenen.</w:t>
      </w:r>
    </w:p>
    <w:p w14:paraId="702B27D0" w14:textId="77777777" w:rsidR="00F84019" w:rsidRPr="00F84019" w:rsidRDefault="00F84019" w:rsidP="00B637FF">
      <w:pPr>
        <w:numPr>
          <w:ilvl w:val="0"/>
          <w:numId w:val="7"/>
        </w:numPr>
        <w:ind w:left="1276" w:hanging="425"/>
        <w:rPr>
          <w:sz w:val="24"/>
          <w:szCs w:val="24"/>
        </w:rPr>
      </w:pPr>
      <w:r w:rsidRPr="00F84019">
        <w:rPr>
          <w:sz w:val="24"/>
          <w:szCs w:val="24"/>
        </w:rPr>
        <w:t>Hvis anfaldene er forbundet med særlige hændelser, såsom menstruation, er det ofte fordelagtigt at øge dosis en smule.</w:t>
      </w:r>
    </w:p>
    <w:p w14:paraId="42A35498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0EF112C7" w14:textId="77777777" w:rsidR="00F84019" w:rsidRPr="00F84019" w:rsidRDefault="00F84019" w:rsidP="00B637FF">
      <w:pPr>
        <w:numPr>
          <w:ilvl w:val="0"/>
          <w:numId w:val="8"/>
        </w:numPr>
        <w:ind w:left="1276" w:hanging="425"/>
        <w:rPr>
          <w:sz w:val="24"/>
          <w:szCs w:val="24"/>
        </w:rPr>
      </w:pPr>
      <w:r w:rsidRPr="00F84019">
        <w:rPr>
          <w:sz w:val="24"/>
          <w:szCs w:val="24"/>
        </w:rPr>
        <w:t>Hos voksne:</w:t>
      </w:r>
    </w:p>
    <w:p w14:paraId="516A21AD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i/>
          <w:iCs/>
          <w:sz w:val="24"/>
          <w:szCs w:val="24"/>
        </w:rPr>
        <w:t>Startdosis</w:t>
      </w:r>
      <w:r w:rsidRPr="00F84019">
        <w:rPr>
          <w:sz w:val="24"/>
          <w:szCs w:val="24"/>
        </w:rPr>
        <w:t>: sædvanligvis 125 mg som en enkelt dosis om aftenen. Herefter øges den daglige dosis hver tredje dag i trin af 125 mg, indtil patienten får 500 mg dagligt. Herefter øges den daglige dosis (fordelt på 2 doser) hver tredje dag med 250 mg indtil opnåelse af kontrol eller indtil den højeste tolererede dosis, hvilket kan være op til 1,5 g dagligt.</w:t>
      </w:r>
    </w:p>
    <w:p w14:paraId="6F9ACB54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20773B6C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i/>
          <w:iCs/>
          <w:sz w:val="24"/>
          <w:szCs w:val="24"/>
        </w:rPr>
        <w:t>Vedligeholdelsesdosis:</w:t>
      </w:r>
    </w:p>
    <w:tbl>
      <w:tblPr>
        <w:tblStyle w:val="Tabel-Gitter"/>
        <w:tblW w:w="0" w:type="auto"/>
        <w:tblInd w:w="846" w:type="dxa"/>
        <w:tblLook w:val="04A0" w:firstRow="1" w:lastRow="0" w:firstColumn="1" w:lastColumn="0" w:noHBand="0" w:noVBand="1"/>
      </w:tblPr>
      <w:tblGrid>
        <w:gridCol w:w="2754"/>
        <w:gridCol w:w="1843"/>
      </w:tblGrid>
      <w:tr w:rsidR="00F84019" w:rsidRPr="00F84019" w14:paraId="747FB105" w14:textId="77777777" w:rsidTr="00B637FF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2E9" w14:textId="77777777" w:rsidR="00F84019" w:rsidRPr="00F84019" w:rsidRDefault="00F84019" w:rsidP="00B637FF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82B8" w14:textId="77777777" w:rsidR="00F84019" w:rsidRPr="00F84019" w:rsidRDefault="00F84019" w:rsidP="00B637FF">
            <w:pPr>
              <w:ind w:left="97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Milligram</w:t>
            </w:r>
          </w:p>
        </w:tc>
      </w:tr>
      <w:tr w:rsidR="00F84019" w:rsidRPr="00F84019" w14:paraId="34447100" w14:textId="77777777" w:rsidTr="00B637FF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0766" w14:textId="77777777" w:rsidR="00F84019" w:rsidRPr="00F84019" w:rsidRDefault="00F84019" w:rsidP="00B637FF">
            <w:pPr>
              <w:ind w:left="97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Voksne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B430" w14:textId="77777777" w:rsidR="00F84019" w:rsidRPr="00F84019" w:rsidRDefault="00F84019" w:rsidP="00B637FF">
            <w:pPr>
              <w:ind w:left="97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750-1.500</w:t>
            </w:r>
          </w:p>
        </w:tc>
      </w:tr>
    </w:tbl>
    <w:p w14:paraId="40AFE57E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</w:p>
    <w:p w14:paraId="29D314A7" w14:textId="77777777" w:rsidR="00F84019" w:rsidRPr="00F84019" w:rsidRDefault="00F84019" w:rsidP="00B637FF">
      <w:pPr>
        <w:numPr>
          <w:ilvl w:val="0"/>
          <w:numId w:val="8"/>
        </w:numPr>
        <w:ind w:left="1276" w:hanging="425"/>
        <w:rPr>
          <w:sz w:val="24"/>
          <w:szCs w:val="24"/>
        </w:rPr>
      </w:pPr>
      <w:r w:rsidRPr="00F84019">
        <w:rPr>
          <w:sz w:val="24"/>
          <w:szCs w:val="24"/>
        </w:rPr>
        <w:t>Pædiatrisk population:</w:t>
      </w:r>
    </w:p>
    <w:p w14:paraId="21CC1227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i/>
          <w:iCs/>
          <w:sz w:val="24"/>
          <w:szCs w:val="24"/>
        </w:rPr>
        <w:t>Startdosis</w:t>
      </w:r>
      <w:r w:rsidRPr="00F84019">
        <w:rPr>
          <w:sz w:val="24"/>
          <w:szCs w:val="24"/>
        </w:rPr>
        <w:t>: sædvanligvis 125 mg som en enkelt dosis om aftenen. Herefter øges den daglige dosis hver tredje dag i trin af 125 mg, indtil patienten får 500 mg dagligt. Herefter øges den daglige dosis (fordelt på 2 doser) hver tredje dag med 250 mg hos børn over 9 år og med 125 mg hos børn under 9 år indtil opnåelse af kontrol eller indtil den højeste tolererede dosis hos børn.</w:t>
      </w:r>
    </w:p>
    <w:p w14:paraId="2CE12096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53ABD9BB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i/>
          <w:iCs/>
          <w:sz w:val="24"/>
          <w:szCs w:val="24"/>
        </w:rPr>
        <w:t>Vedligeholdelsesdosis:</w:t>
      </w:r>
    </w:p>
    <w:tbl>
      <w:tblPr>
        <w:tblStyle w:val="Tabel-Gitter"/>
        <w:tblW w:w="0" w:type="auto"/>
        <w:tblInd w:w="846" w:type="dxa"/>
        <w:tblLook w:val="04A0" w:firstRow="1" w:lastRow="0" w:firstColumn="1" w:lastColumn="0" w:noHBand="0" w:noVBand="1"/>
      </w:tblPr>
      <w:tblGrid>
        <w:gridCol w:w="2754"/>
        <w:gridCol w:w="1843"/>
      </w:tblGrid>
      <w:tr w:rsidR="00F84019" w:rsidRPr="00F84019" w14:paraId="1AA73148" w14:textId="77777777" w:rsidTr="00B637FF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077" w14:textId="77777777" w:rsidR="00F84019" w:rsidRPr="00F84019" w:rsidRDefault="00F84019" w:rsidP="00B637F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4D6E" w14:textId="77777777" w:rsidR="00F84019" w:rsidRPr="00F84019" w:rsidRDefault="00F84019" w:rsidP="00B637FF">
            <w:pPr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</w:rPr>
              <w:t>Milligram</w:t>
            </w:r>
          </w:p>
        </w:tc>
      </w:tr>
      <w:tr w:rsidR="00F84019" w:rsidRPr="00F84019" w14:paraId="3D2E08E5" w14:textId="77777777" w:rsidTr="00B637FF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6A18" w14:textId="77777777" w:rsidR="00F84019" w:rsidRPr="00F84019" w:rsidRDefault="00F84019" w:rsidP="00B637FF">
            <w:pPr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Børn over 9 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E83B" w14:textId="77777777" w:rsidR="00F84019" w:rsidRPr="00F84019" w:rsidRDefault="00F84019" w:rsidP="00B637FF">
            <w:pPr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750-1.500</w:t>
            </w:r>
          </w:p>
        </w:tc>
      </w:tr>
      <w:tr w:rsidR="00F84019" w:rsidRPr="00F84019" w14:paraId="6807E74C" w14:textId="77777777" w:rsidTr="00B637FF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191A" w14:textId="77777777" w:rsidR="00F84019" w:rsidRPr="00F84019" w:rsidRDefault="00F84019" w:rsidP="00B637FF">
            <w:pPr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Børn i alderen 6 til 9 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119" w14:textId="77777777" w:rsidR="00F84019" w:rsidRPr="00F84019" w:rsidRDefault="00F84019" w:rsidP="00B637FF">
            <w:pPr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750-1.000</w:t>
            </w:r>
          </w:p>
        </w:tc>
      </w:tr>
      <w:tr w:rsidR="00F84019" w:rsidRPr="00F84019" w14:paraId="3FF7729D" w14:textId="77777777" w:rsidTr="00B637FF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3B55" w14:textId="77777777" w:rsidR="00F84019" w:rsidRPr="00F84019" w:rsidRDefault="00F84019" w:rsidP="00B637FF">
            <w:pPr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Børn i alderen 2 til 5 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F4DB" w14:textId="77777777" w:rsidR="00F84019" w:rsidRPr="00F84019" w:rsidRDefault="00F84019" w:rsidP="00B637FF">
            <w:pPr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500-750</w:t>
            </w:r>
          </w:p>
        </w:tc>
      </w:tr>
      <w:tr w:rsidR="00F84019" w:rsidRPr="00F84019" w14:paraId="017D21CA" w14:textId="77777777" w:rsidTr="00B637FF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D105" w14:textId="77777777" w:rsidR="00F84019" w:rsidRPr="00F84019" w:rsidRDefault="00F84019" w:rsidP="00B637FF">
            <w:pPr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Børn op til 2 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7A71" w14:textId="77777777" w:rsidR="00F84019" w:rsidRPr="00F84019" w:rsidRDefault="00F84019" w:rsidP="00B637FF">
            <w:pPr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250-500</w:t>
            </w:r>
          </w:p>
        </w:tc>
      </w:tr>
    </w:tbl>
    <w:p w14:paraId="3885E29A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14:paraId="03530BD6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</w:p>
    <w:p w14:paraId="23F9C02D" w14:textId="77777777" w:rsidR="00F84019" w:rsidRPr="00F84019" w:rsidRDefault="00F84019" w:rsidP="00B637FF">
      <w:pPr>
        <w:ind w:left="851"/>
        <w:rPr>
          <w:i/>
          <w:iCs/>
          <w:sz w:val="24"/>
          <w:szCs w:val="24"/>
        </w:rPr>
      </w:pPr>
      <w:r w:rsidRPr="00F84019">
        <w:rPr>
          <w:i/>
          <w:iCs/>
          <w:sz w:val="24"/>
          <w:szCs w:val="24"/>
        </w:rPr>
        <w:lastRenderedPageBreak/>
        <w:t xml:space="preserve">Samtidig brug af/skift fra andre </w:t>
      </w:r>
      <w:proofErr w:type="spellStart"/>
      <w:r w:rsidRPr="00F84019">
        <w:rPr>
          <w:i/>
          <w:iCs/>
          <w:sz w:val="24"/>
          <w:szCs w:val="24"/>
        </w:rPr>
        <w:t>antikonvulsiva</w:t>
      </w:r>
      <w:proofErr w:type="spellEnd"/>
    </w:p>
    <w:p w14:paraId="3F4E3100" w14:textId="438843F8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I tilfælde af manglende virkning af andre </w:t>
      </w:r>
      <w:proofErr w:type="spellStart"/>
      <w:r w:rsidRPr="00F84019">
        <w:rPr>
          <w:sz w:val="24"/>
          <w:szCs w:val="24"/>
        </w:rPr>
        <w:t>antikonvulsiva</w:t>
      </w:r>
      <w:proofErr w:type="spellEnd"/>
      <w:r w:rsidRPr="00F84019">
        <w:rPr>
          <w:sz w:val="24"/>
          <w:szCs w:val="24"/>
        </w:rPr>
        <w:t xml:space="preserve">, eller i tilfælde af bivirkninger af sådanne lægemidler, kan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anvendes til at øge virkningen af den eksisterende/under</w:t>
      </w:r>
      <w:r w:rsidR="00C5265F">
        <w:rPr>
          <w:sz w:val="24"/>
          <w:szCs w:val="24"/>
        </w:rPr>
        <w:softHyphen/>
      </w:r>
      <w:r w:rsidRPr="00F84019">
        <w:rPr>
          <w:sz w:val="24"/>
          <w:szCs w:val="24"/>
        </w:rPr>
        <w:t xml:space="preserve">liggende behandling eller til at erstatte den. I starten skal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føjes til den forudgående behandling i henhold til den ovenfor beskrevne metode med gradvis dosisøgning. Når der opnås en betragtelig/acceptabel terapeutisk virkning, og </w:t>
      </w:r>
      <w:proofErr w:type="spellStart"/>
      <w:r w:rsidRPr="00F84019">
        <w:rPr>
          <w:sz w:val="24"/>
          <w:szCs w:val="24"/>
        </w:rPr>
        <w:t>primidondosis</w:t>
      </w:r>
      <w:proofErr w:type="spellEnd"/>
      <w:r w:rsidRPr="00F84019">
        <w:rPr>
          <w:sz w:val="24"/>
          <w:szCs w:val="24"/>
        </w:rPr>
        <w:t xml:space="preserve"> er kommet op på mindst halvdelen af den forudgående dosis, kan det forsøges at seponere den forudgående behandling. Denne dosisjustering skal udføres gradvist over en periode på 2 uger, hvor det kan være nødvendigt at øge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>-dosis for at opretholde god kontrol.</w:t>
      </w:r>
    </w:p>
    <w:p w14:paraId="35BAB5C0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56DB5E0A" w14:textId="77777777" w:rsidR="00F84019" w:rsidRPr="00F84019" w:rsidRDefault="00F84019" w:rsidP="00B637FF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Seponeringen</w:t>
      </w:r>
      <w:proofErr w:type="spellEnd"/>
      <w:r w:rsidRPr="00F84019">
        <w:rPr>
          <w:sz w:val="24"/>
          <w:szCs w:val="24"/>
        </w:rPr>
        <w:t xml:space="preserve"> af den forudgående behandling må ikke foregå for hurtigt, da det kan resultere i status </w:t>
      </w:r>
      <w:proofErr w:type="spellStart"/>
      <w:r w:rsidRPr="00F84019">
        <w:rPr>
          <w:sz w:val="24"/>
          <w:szCs w:val="24"/>
        </w:rPr>
        <w:t>epilepticus</w:t>
      </w:r>
      <w:proofErr w:type="spellEnd"/>
      <w:r w:rsidRPr="00F84019">
        <w:rPr>
          <w:sz w:val="24"/>
          <w:szCs w:val="24"/>
        </w:rPr>
        <w:t xml:space="preserve">. Hvis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udgør den vigtigste del af den forudgående behandling, skal både </w:t>
      </w:r>
      <w:proofErr w:type="spellStart"/>
      <w:r w:rsidRPr="00F84019">
        <w:rPr>
          <w:sz w:val="24"/>
          <w:szCs w:val="24"/>
        </w:rPr>
        <w:t>seponeringen</w:t>
      </w:r>
      <w:proofErr w:type="spellEnd"/>
      <w:r w:rsidRPr="00F84019">
        <w:rPr>
          <w:sz w:val="24"/>
          <w:szCs w:val="24"/>
        </w:rPr>
        <w:t xml:space="preserve"> heraf og </w:t>
      </w:r>
      <w:proofErr w:type="spellStart"/>
      <w:r w:rsidRPr="00F84019">
        <w:rPr>
          <w:sz w:val="24"/>
          <w:szCs w:val="24"/>
        </w:rPr>
        <w:t>primidonsubstitutionen</w:t>
      </w:r>
      <w:proofErr w:type="spellEnd"/>
      <w:r w:rsidRPr="00F84019">
        <w:rPr>
          <w:sz w:val="24"/>
          <w:szCs w:val="24"/>
        </w:rPr>
        <w:t xml:space="preserve"> dog ske tidligere for at forhindre udtalt døsighed, der umuliggør en nøjagtig vurdering af den optimale </w:t>
      </w:r>
      <w:proofErr w:type="spellStart"/>
      <w:r w:rsidRPr="00F84019">
        <w:rPr>
          <w:sz w:val="24"/>
          <w:szCs w:val="24"/>
        </w:rPr>
        <w:t>primidondosis</w:t>
      </w:r>
      <w:proofErr w:type="spellEnd"/>
      <w:r w:rsidRPr="00F84019">
        <w:rPr>
          <w:sz w:val="24"/>
          <w:szCs w:val="24"/>
        </w:rPr>
        <w:t>.</w:t>
      </w:r>
    </w:p>
    <w:p w14:paraId="38B396ED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5CB1CE26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 xml:space="preserve">Essentiel </w:t>
      </w:r>
      <w:proofErr w:type="spellStart"/>
      <w:r w:rsidRPr="00F84019">
        <w:rPr>
          <w:sz w:val="24"/>
          <w:szCs w:val="24"/>
          <w:u w:val="single"/>
        </w:rPr>
        <w:t>tremor</w:t>
      </w:r>
      <w:proofErr w:type="spellEnd"/>
    </w:p>
    <w:p w14:paraId="2C3E6FA8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Der startes indledningsvist med en daglig dosis på 50 mg som en enkelt dosis sidst på eftermiddagen. Den daglige dosis (fordelt på 2 doser) skal øges gradvist over en periode på 2 til 3 uger indtil remission af symptomerne eller den højeste tolererede dosis, dog højst 750 mg dagligt.</w:t>
      </w:r>
    </w:p>
    <w:p w14:paraId="724E506D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417061FB" w14:textId="77777777" w:rsidR="00F84019" w:rsidRPr="00F84019" w:rsidRDefault="00F84019" w:rsidP="00B637FF">
      <w:pPr>
        <w:ind w:left="851"/>
        <w:rPr>
          <w:i/>
          <w:iCs/>
          <w:sz w:val="24"/>
          <w:szCs w:val="24"/>
        </w:rPr>
      </w:pPr>
      <w:r w:rsidRPr="00F84019">
        <w:rPr>
          <w:i/>
          <w:iCs/>
          <w:sz w:val="24"/>
          <w:szCs w:val="24"/>
        </w:rPr>
        <w:t xml:space="preserve">Patienter, der ikke tidligere har fået behandling med </w:t>
      </w:r>
      <w:proofErr w:type="spellStart"/>
      <w:r w:rsidRPr="00F84019">
        <w:rPr>
          <w:i/>
          <w:iCs/>
          <w:sz w:val="24"/>
          <w:szCs w:val="24"/>
        </w:rPr>
        <w:t>antikonvulsiva</w:t>
      </w:r>
      <w:proofErr w:type="spellEnd"/>
    </w:p>
    <w:p w14:paraId="0F6BA1BE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Patienter med essentiel </w:t>
      </w:r>
      <w:proofErr w:type="spellStart"/>
      <w:r w:rsidRPr="00F84019">
        <w:rPr>
          <w:sz w:val="24"/>
          <w:szCs w:val="24"/>
        </w:rPr>
        <w:t>tremor</w:t>
      </w:r>
      <w:proofErr w:type="spellEnd"/>
      <w:r w:rsidRPr="00F84019">
        <w:rPr>
          <w:sz w:val="24"/>
          <w:szCs w:val="24"/>
        </w:rPr>
        <w:t xml:space="preserve">, der ikke har fået tidligere behandling med </w:t>
      </w:r>
      <w:proofErr w:type="spellStart"/>
      <w:r w:rsidRPr="00F84019">
        <w:rPr>
          <w:sz w:val="24"/>
          <w:szCs w:val="24"/>
        </w:rPr>
        <w:t>antikonvulsiva</w:t>
      </w:r>
      <w:proofErr w:type="spellEnd"/>
      <w:r w:rsidRPr="00F84019">
        <w:rPr>
          <w:sz w:val="24"/>
          <w:szCs w:val="24"/>
        </w:rPr>
        <w:t xml:space="preserve"> eller andre lægemidler, der inducerer øget leverenzymaktivitet, kan opleve akutte symptomer på intolerans over for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, som ofte er kendetegnet ved </w:t>
      </w:r>
      <w:proofErr w:type="spellStart"/>
      <w:r w:rsidRPr="00F84019">
        <w:rPr>
          <w:sz w:val="24"/>
          <w:szCs w:val="24"/>
        </w:rPr>
        <w:t>vertigo</w:t>
      </w:r>
      <w:proofErr w:type="spellEnd"/>
      <w:r w:rsidRPr="00F84019">
        <w:rPr>
          <w:sz w:val="24"/>
          <w:szCs w:val="24"/>
        </w:rPr>
        <w:t>, usikker gang og kvalme. Det er derfor afgørende at følge det indledende dosisregime.</w:t>
      </w:r>
    </w:p>
    <w:p w14:paraId="2F28BB69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</w:p>
    <w:p w14:paraId="48AA6643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Særlige populationer</w:t>
      </w:r>
    </w:p>
    <w:p w14:paraId="4C21FE3E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4F236B90" w14:textId="77777777" w:rsidR="00F84019" w:rsidRPr="00F84019" w:rsidRDefault="00F84019" w:rsidP="00B637FF">
      <w:pPr>
        <w:ind w:left="851"/>
        <w:rPr>
          <w:i/>
          <w:iCs/>
          <w:sz w:val="24"/>
          <w:szCs w:val="24"/>
        </w:rPr>
      </w:pPr>
      <w:r w:rsidRPr="00F84019">
        <w:rPr>
          <w:i/>
          <w:iCs/>
          <w:sz w:val="24"/>
          <w:szCs w:val="24"/>
        </w:rPr>
        <w:t>Patienter med nedsat nyrefunktion</w:t>
      </w:r>
    </w:p>
    <w:p w14:paraId="1CE24164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Som følge af nedsat </w:t>
      </w:r>
      <w:proofErr w:type="spellStart"/>
      <w:r w:rsidRPr="00F84019">
        <w:rPr>
          <w:sz w:val="24"/>
          <w:szCs w:val="24"/>
        </w:rPr>
        <w:t>renal</w:t>
      </w:r>
      <w:proofErr w:type="spellEnd"/>
      <w:r w:rsidRPr="00F84019">
        <w:rPr>
          <w:sz w:val="24"/>
          <w:szCs w:val="24"/>
        </w:rPr>
        <w:t xml:space="preserve"> elimination af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hos patienter med nedsat nyrefunktion skal dosis justeres i henhold til klinisk respons og monitorering af laboratorieparametre.</w:t>
      </w:r>
    </w:p>
    <w:p w14:paraId="2EF35725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4862FAA9" w14:textId="77777777" w:rsidR="00F84019" w:rsidRPr="00F84019" w:rsidRDefault="00F84019" w:rsidP="00B637FF">
      <w:pPr>
        <w:ind w:left="851"/>
        <w:rPr>
          <w:i/>
          <w:iCs/>
          <w:sz w:val="24"/>
          <w:szCs w:val="24"/>
        </w:rPr>
      </w:pPr>
      <w:r w:rsidRPr="00F84019">
        <w:rPr>
          <w:i/>
          <w:iCs/>
          <w:sz w:val="24"/>
          <w:szCs w:val="24"/>
        </w:rPr>
        <w:t>Patienter med nedsat leverfunktion</w:t>
      </w:r>
    </w:p>
    <w:p w14:paraId="18370588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Som følge af mulig ændret omdannelse af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til dets metabolitter og nedsat elimination af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hos patienter med svært nedsat leverfunktion skal dosis justeres i henhold til klinisk respons og monitorering af laboratorieparametre.</w:t>
      </w:r>
    </w:p>
    <w:p w14:paraId="11DBE79C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3C50FDCD" w14:textId="77777777" w:rsidR="00F84019" w:rsidRPr="00F84019" w:rsidRDefault="00F84019" w:rsidP="00B637FF">
      <w:pPr>
        <w:ind w:left="851"/>
        <w:rPr>
          <w:i/>
          <w:iCs/>
          <w:sz w:val="24"/>
          <w:szCs w:val="24"/>
        </w:rPr>
      </w:pPr>
      <w:r w:rsidRPr="00F84019">
        <w:rPr>
          <w:i/>
          <w:iCs/>
          <w:sz w:val="24"/>
          <w:szCs w:val="24"/>
        </w:rPr>
        <w:t>Ældre patienter</w:t>
      </w:r>
    </w:p>
    <w:p w14:paraId="0A2568CF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Det anbefales at monitorere ældre patienter med nedsat nyrefunktion, der får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>.</w:t>
      </w:r>
    </w:p>
    <w:p w14:paraId="58327DAD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</w:p>
    <w:p w14:paraId="058DC215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 xml:space="preserve">Administration </w:t>
      </w:r>
    </w:p>
    <w:p w14:paraId="2A5B5EDF" w14:textId="77777777" w:rsidR="00F84019" w:rsidRPr="00F84019" w:rsidRDefault="00F84019" w:rsidP="00B637FF">
      <w:pPr>
        <w:ind w:left="851"/>
        <w:rPr>
          <w:bCs/>
          <w:sz w:val="24"/>
          <w:szCs w:val="24"/>
        </w:rPr>
      </w:pPr>
      <w:r w:rsidRPr="00F84019">
        <w:rPr>
          <w:sz w:val="24"/>
          <w:szCs w:val="24"/>
        </w:rPr>
        <w:t>Oral anvendelse.</w:t>
      </w:r>
    </w:p>
    <w:p w14:paraId="0E53502E" w14:textId="77777777" w:rsidR="00F84019" w:rsidRPr="00F84019" w:rsidRDefault="00F84019" w:rsidP="00B637FF">
      <w:pPr>
        <w:ind w:left="851"/>
        <w:rPr>
          <w:bCs/>
          <w:sz w:val="24"/>
          <w:szCs w:val="24"/>
        </w:rPr>
      </w:pPr>
      <w:r w:rsidRPr="00F84019">
        <w:rPr>
          <w:sz w:val="24"/>
          <w:szCs w:val="24"/>
        </w:rPr>
        <w:t>Tabletterne skal synkes hele med et glas vand.</w:t>
      </w:r>
    </w:p>
    <w:p w14:paraId="7B94E508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A235B58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4.3</w:t>
      </w:r>
      <w:r w:rsidRPr="00C5265F">
        <w:rPr>
          <w:b/>
          <w:sz w:val="24"/>
          <w:szCs w:val="24"/>
        </w:rPr>
        <w:tab/>
        <w:t>Kontraindikationer</w:t>
      </w:r>
    </w:p>
    <w:p w14:paraId="53F29872" w14:textId="77777777" w:rsidR="00F84019" w:rsidRPr="00F84019" w:rsidRDefault="00F84019" w:rsidP="00B637FF">
      <w:pPr>
        <w:numPr>
          <w:ilvl w:val="0"/>
          <w:numId w:val="8"/>
        </w:numPr>
        <w:ind w:left="1276" w:hanging="425"/>
        <w:rPr>
          <w:sz w:val="24"/>
          <w:szCs w:val="24"/>
        </w:rPr>
      </w:pPr>
      <w:r w:rsidRPr="00F84019">
        <w:rPr>
          <w:sz w:val="24"/>
          <w:szCs w:val="24"/>
        </w:rPr>
        <w:t>Overfølsomhed over for det aktive stof (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), over for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eller over for et eller flere af hjælpestofferne anført i pkt. 6.1. </w:t>
      </w:r>
    </w:p>
    <w:p w14:paraId="1CCF40A8" w14:textId="77777777" w:rsidR="00F84019" w:rsidRPr="00F84019" w:rsidRDefault="00F84019" w:rsidP="00B637FF">
      <w:pPr>
        <w:numPr>
          <w:ilvl w:val="0"/>
          <w:numId w:val="8"/>
        </w:numPr>
        <w:ind w:left="1276" w:hanging="425"/>
        <w:rPr>
          <w:sz w:val="24"/>
          <w:szCs w:val="24"/>
        </w:rPr>
      </w:pPr>
      <w:r w:rsidRPr="00F84019">
        <w:rPr>
          <w:sz w:val="24"/>
          <w:szCs w:val="24"/>
        </w:rPr>
        <w:t xml:space="preserve">Akut intermitterende </w:t>
      </w:r>
      <w:proofErr w:type="spellStart"/>
      <w:r w:rsidRPr="00F84019">
        <w:rPr>
          <w:sz w:val="24"/>
          <w:szCs w:val="24"/>
        </w:rPr>
        <w:t>porfyri</w:t>
      </w:r>
      <w:proofErr w:type="spellEnd"/>
      <w:r w:rsidRPr="00F84019">
        <w:rPr>
          <w:sz w:val="24"/>
          <w:szCs w:val="24"/>
        </w:rPr>
        <w:t>.</w:t>
      </w:r>
    </w:p>
    <w:p w14:paraId="55F02E71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</w:p>
    <w:p w14:paraId="7A3294D7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  <w:r w:rsidRPr="00F84019">
        <w:rPr>
          <w:sz w:val="24"/>
          <w:szCs w:val="24"/>
        </w:rPr>
        <w:t>Som følge af lægemidlets CYP450-inducerende egenskaber er kombination med følgende lægemiddelklasser kontraindiceret:</w:t>
      </w:r>
    </w:p>
    <w:p w14:paraId="0184FC9D" w14:textId="77777777" w:rsidR="00F84019" w:rsidRPr="00F84019" w:rsidRDefault="00F84019" w:rsidP="00B637FF">
      <w:pPr>
        <w:numPr>
          <w:ilvl w:val="0"/>
          <w:numId w:val="8"/>
        </w:numPr>
        <w:ind w:left="1276" w:hanging="425"/>
        <w:rPr>
          <w:sz w:val="24"/>
          <w:szCs w:val="24"/>
        </w:rPr>
      </w:pPr>
      <w:r w:rsidRPr="00F84019">
        <w:rPr>
          <w:sz w:val="24"/>
          <w:szCs w:val="24"/>
        </w:rPr>
        <w:t>visse antivirale midler (</w:t>
      </w:r>
      <w:proofErr w:type="spellStart"/>
      <w:r w:rsidRPr="00F84019">
        <w:rPr>
          <w:sz w:val="24"/>
          <w:szCs w:val="24"/>
        </w:rPr>
        <w:t>cobicistat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daclatasvir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dasabuvir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ledipasvir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nelfinavir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rilpivirin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ombitasvir+paritaprevir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sofosbuvir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telaprevir</w:t>
      </w:r>
      <w:proofErr w:type="spellEnd"/>
      <w:r w:rsidRPr="00F84019">
        <w:rPr>
          <w:sz w:val="24"/>
          <w:szCs w:val="24"/>
        </w:rPr>
        <w:t>) (se pkt. 4.5)</w:t>
      </w:r>
    </w:p>
    <w:p w14:paraId="65DBB3ED" w14:textId="77777777" w:rsidR="00F84019" w:rsidRPr="00F84019" w:rsidRDefault="00F84019" w:rsidP="00B637FF">
      <w:pPr>
        <w:numPr>
          <w:ilvl w:val="0"/>
          <w:numId w:val="8"/>
        </w:numPr>
        <w:ind w:left="1276" w:hanging="425"/>
        <w:rPr>
          <w:sz w:val="24"/>
          <w:szCs w:val="24"/>
        </w:rPr>
      </w:pPr>
      <w:r w:rsidRPr="00F84019">
        <w:rPr>
          <w:sz w:val="24"/>
          <w:szCs w:val="24"/>
        </w:rPr>
        <w:t xml:space="preserve">visse </w:t>
      </w:r>
      <w:proofErr w:type="spellStart"/>
      <w:r w:rsidRPr="00F84019">
        <w:rPr>
          <w:sz w:val="24"/>
          <w:szCs w:val="24"/>
        </w:rPr>
        <w:t>antimykotika</w:t>
      </w:r>
      <w:proofErr w:type="spellEnd"/>
      <w:r w:rsidRPr="00F84019">
        <w:rPr>
          <w:sz w:val="24"/>
          <w:szCs w:val="24"/>
        </w:rPr>
        <w:t xml:space="preserve"> (</w:t>
      </w:r>
      <w:proofErr w:type="spellStart"/>
      <w:r w:rsidRPr="00F84019">
        <w:rPr>
          <w:sz w:val="24"/>
          <w:szCs w:val="24"/>
        </w:rPr>
        <w:t>voriconazol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isavuconazol</w:t>
      </w:r>
      <w:proofErr w:type="spellEnd"/>
      <w:r w:rsidRPr="00F84019">
        <w:rPr>
          <w:sz w:val="24"/>
          <w:szCs w:val="24"/>
        </w:rPr>
        <w:t>) (se pkt. 4.5)</w:t>
      </w:r>
    </w:p>
    <w:p w14:paraId="38928156" w14:textId="77777777" w:rsidR="00F84019" w:rsidRPr="00F84019" w:rsidRDefault="00F84019" w:rsidP="00B637FF">
      <w:pPr>
        <w:numPr>
          <w:ilvl w:val="0"/>
          <w:numId w:val="8"/>
        </w:numPr>
        <w:ind w:left="1276" w:hanging="425"/>
        <w:rPr>
          <w:sz w:val="24"/>
          <w:szCs w:val="24"/>
        </w:rPr>
      </w:pPr>
      <w:r w:rsidRPr="00F84019">
        <w:rPr>
          <w:sz w:val="24"/>
          <w:szCs w:val="24"/>
        </w:rPr>
        <w:t xml:space="preserve">diverse: </w:t>
      </w:r>
      <w:proofErr w:type="spellStart"/>
      <w:r w:rsidRPr="00F84019">
        <w:rPr>
          <w:sz w:val="24"/>
          <w:szCs w:val="24"/>
        </w:rPr>
        <w:t>lurasidon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delamanid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cholsyre</w:t>
      </w:r>
      <w:proofErr w:type="spellEnd"/>
      <w:r w:rsidRPr="00F84019">
        <w:rPr>
          <w:sz w:val="24"/>
          <w:szCs w:val="24"/>
        </w:rPr>
        <w:t>, perikon (se pkt. 4.5)</w:t>
      </w:r>
    </w:p>
    <w:p w14:paraId="53422D64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CD43C35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4.4</w:t>
      </w:r>
      <w:r w:rsidRPr="00C5265F">
        <w:rPr>
          <w:b/>
          <w:sz w:val="24"/>
          <w:szCs w:val="24"/>
        </w:rPr>
        <w:tab/>
        <w:t>Særlige advarsler og forsigtighedsregler vedrørende brugen</w:t>
      </w:r>
    </w:p>
    <w:p w14:paraId="0DA1AE25" w14:textId="77777777" w:rsidR="00F84019" w:rsidRPr="00F84019" w:rsidRDefault="00F84019" w:rsidP="00B637FF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er ikke effektivt til behandling af absencer og </w:t>
      </w:r>
      <w:proofErr w:type="spellStart"/>
      <w:r w:rsidRPr="00F84019">
        <w:rPr>
          <w:sz w:val="24"/>
          <w:szCs w:val="24"/>
        </w:rPr>
        <w:t>myokloniske</w:t>
      </w:r>
      <w:proofErr w:type="spellEnd"/>
      <w:r w:rsidRPr="00F84019">
        <w:rPr>
          <w:sz w:val="24"/>
          <w:szCs w:val="24"/>
        </w:rPr>
        <w:t xml:space="preserve"> anfald, som undertiden kan blive forværret.</w:t>
      </w:r>
    </w:p>
    <w:p w14:paraId="0EA27F7C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0B017AD0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Som følge af lægemidlets sedative virkning anbefales det at indlede </w:t>
      </w:r>
      <w:proofErr w:type="spellStart"/>
      <w:r w:rsidRPr="00F84019">
        <w:rPr>
          <w:sz w:val="24"/>
          <w:szCs w:val="24"/>
        </w:rPr>
        <w:t>primidonbehandling</w:t>
      </w:r>
      <w:proofErr w:type="spellEnd"/>
      <w:r w:rsidRPr="00F84019">
        <w:rPr>
          <w:sz w:val="24"/>
          <w:szCs w:val="24"/>
        </w:rPr>
        <w:t xml:space="preserve"> med den laveste dosis om aftenen efterfulgt af en trinvis tilgang (se pkt. 4.2).</w:t>
      </w:r>
    </w:p>
    <w:p w14:paraId="52D12AF8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3D6A48C8" w14:textId="77777777" w:rsidR="00F84019" w:rsidRPr="00F84019" w:rsidRDefault="00F84019" w:rsidP="00B637FF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skal gives med forsigtighed, og en lavere dosis kan være nødvendig, hos børn, ældre eller svækkede patienter eller patienter med nedsat nyre-, lever- eller vejrtrækningsfunktion.</w:t>
      </w:r>
    </w:p>
    <w:p w14:paraId="3176EE95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3AABA05F" w14:textId="77777777" w:rsidR="00F84019" w:rsidRPr="00F84019" w:rsidRDefault="00F84019" w:rsidP="00B637FF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kan være fosterskadeligt (se pkt. 4.6).</w:t>
      </w:r>
    </w:p>
    <w:p w14:paraId="653438F9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1F7A87D8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Forværring af anfald</w:t>
      </w:r>
    </w:p>
    <w:p w14:paraId="3ABA25B6" w14:textId="279DD31F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Efter introduktion af et </w:t>
      </w:r>
      <w:proofErr w:type="spellStart"/>
      <w:r w:rsidRPr="00F84019">
        <w:rPr>
          <w:sz w:val="24"/>
          <w:szCs w:val="24"/>
        </w:rPr>
        <w:t>antiepileptikum</w:t>
      </w:r>
      <w:proofErr w:type="spellEnd"/>
      <w:r w:rsidRPr="00F84019">
        <w:rPr>
          <w:sz w:val="24"/>
          <w:szCs w:val="24"/>
        </w:rPr>
        <w:t xml:space="preserve"> kan der i sjældne tilfælde ses tilbagevendende anfald eller indtræden af en ny type anfald for patienten, uafhængigt af de svingninger, der ses ved visse former af epilepsi. For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kan årsagerne til disse forværringer være: </w:t>
      </w:r>
    </w:p>
    <w:p w14:paraId="12459275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valg af en behandling, der er utilstrækkelig til patientens anfald eller epileptiske syndrom, en ændring af den samtidige antiepileptiske behandling eller en </w:t>
      </w:r>
      <w:proofErr w:type="spellStart"/>
      <w:r w:rsidRPr="00F84019">
        <w:rPr>
          <w:sz w:val="24"/>
          <w:szCs w:val="24"/>
        </w:rPr>
        <w:t>farmakokinetisk</w:t>
      </w:r>
      <w:proofErr w:type="spellEnd"/>
      <w:r w:rsidRPr="00F84019">
        <w:rPr>
          <w:sz w:val="24"/>
          <w:szCs w:val="24"/>
        </w:rPr>
        <w:t xml:space="preserve"> interaktion, en toksicitet eller overdosis. Andre årsager til </w:t>
      </w:r>
      <w:proofErr w:type="spellStart"/>
      <w:r w:rsidRPr="00F84019">
        <w:rPr>
          <w:sz w:val="24"/>
          <w:szCs w:val="24"/>
        </w:rPr>
        <w:t>anfaldsforværring</w:t>
      </w:r>
      <w:proofErr w:type="spellEnd"/>
      <w:r w:rsidRPr="00F84019">
        <w:rPr>
          <w:sz w:val="24"/>
          <w:szCs w:val="24"/>
        </w:rPr>
        <w:t xml:space="preserve"> skal udelukkes, før der diagnosticeres en paradoksal reaktion.</w:t>
      </w:r>
    </w:p>
    <w:p w14:paraId="12105618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17C3840E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Ophør af behandlingen</w:t>
      </w:r>
    </w:p>
    <w:p w14:paraId="42ADBC71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Pludselig </w:t>
      </w:r>
      <w:proofErr w:type="spellStart"/>
      <w:r w:rsidRPr="00F84019">
        <w:rPr>
          <w:sz w:val="24"/>
          <w:szCs w:val="24"/>
        </w:rPr>
        <w:t>seponering</w:t>
      </w:r>
      <w:proofErr w:type="spellEnd"/>
      <w:r w:rsidRPr="00F84019">
        <w:rPr>
          <w:sz w:val="24"/>
          <w:szCs w:val="24"/>
        </w:rPr>
        <w:t xml:space="preserve"> af en behandling med effektive antiepileptiske doser kan forårsage krampeanfald og status </w:t>
      </w:r>
      <w:proofErr w:type="spellStart"/>
      <w:r w:rsidRPr="00F84019">
        <w:rPr>
          <w:sz w:val="24"/>
          <w:szCs w:val="24"/>
        </w:rPr>
        <w:t>epilepticus</w:t>
      </w:r>
      <w:proofErr w:type="spellEnd"/>
      <w:r w:rsidRPr="00F84019">
        <w:rPr>
          <w:sz w:val="24"/>
          <w:szCs w:val="24"/>
        </w:rPr>
        <w:t>, primært i tilfælde af samtidig alkoholindtagelse.</w:t>
      </w:r>
    </w:p>
    <w:p w14:paraId="1E230D1A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41BA4DF3" w14:textId="77777777" w:rsidR="00F84019" w:rsidRPr="00F84019" w:rsidRDefault="00F84019" w:rsidP="00B637FF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er et potent CNS-</w:t>
      </w:r>
      <w:proofErr w:type="spellStart"/>
      <w:r w:rsidRPr="00F84019">
        <w:rPr>
          <w:sz w:val="24"/>
          <w:szCs w:val="24"/>
        </w:rPr>
        <w:t>depressivum</w:t>
      </w:r>
      <w:proofErr w:type="spellEnd"/>
      <w:r w:rsidRPr="00F84019">
        <w:rPr>
          <w:sz w:val="24"/>
          <w:szCs w:val="24"/>
        </w:rPr>
        <w:t xml:space="preserve"> og </w:t>
      </w:r>
      <w:proofErr w:type="spellStart"/>
      <w:r w:rsidRPr="00F84019">
        <w:rPr>
          <w:sz w:val="24"/>
          <w:szCs w:val="24"/>
        </w:rPr>
        <w:t>metaboliseres</w:t>
      </w:r>
      <w:proofErr w:type="spellEnd"/>
      <w:r w:rsidRPr="00F84019">
        <w:rPr>
          <w:sz w:val="24"/>
          <w:szCs w:val="24"/>
        </w:rPr>
        <w:t xml:space="preserve"> delvist til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med en hastighed, der varierer meget fra patient til patient. Efter langvarig administration er der risiko for tolerans, afhængighed og </w:t>
      </w:r>
      <w:proofErr w:type="spellStart"/>
      <w:r w:rsidRPr="00F84019">
        <w:rPr>
          <w:sz w:val="24"/>
          <w:szCs w:val="24"/>
        </w:rPr>
        <w:t>seponeringsreaktioner</w:t>
      </w:r>
      <w:proofErr w:type="spellEnd"/>
      <w:r w:rsidRPr="00F84019">
        <w:rPr>
          <w:sz w:val="24"/>
          <w:szCs w:val="24"/>
        </w:rPr>
        <w:t xml:space="preserve"> ved brat </w:t>
      </w:r>
      <w:proofErr w:type="spellStart"/>
      <w:r w:rsidRPr="00F84019">
        <w:rPr>
          <w:sz w:val="24"/>
          <w:szCs w:val="24"/>
        </w:rPr>
        <w:t>seponering</w:t>
      </w:r>
      <w:proofErr w:type="spellEnd"/>
      <w:r w:rsidRPr="00F84019">
        <w:rPr>
          <w:sz w:val="24"/>
          <w:szCs w:val="24"/>
        </w:rPr>
        <w:t xml:space="preserve"> af behandlingen.</w:t>
      </w:r>
    </w:p>
    <w:p w14:paraId="234D4343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661A2EF7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Forebyggelse af vitaminmangel</w:t>
      </w:r>
    </w:p>
    <w:p w14:paraId="15889A77" w14:textId="77777777" w:rsidR="00F84019" w:rsidRPr="00F84019" w:rsidRDefault="00F84019" w:rsidP="00B637FF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er en enzyminduktor (CYP450), som kan øge </w:t>
      </w:r>
      <w:proofErr w:type="spellStart"/>
      <w:r w:rsidRPr="00F84019">
        <w:rPr>
          <w:sz w:val="24"/>
          <w:szCs w:val="24"/>
        </w:rPr>
        <w:t>katabolismen</w:t>
      </w:r>
      <w:proofErr w:type="spellEnd"/>
      <w:r w:rsidRPr="00F84019">
        <w:rPr>
          <w:sz w:val="24"/>
          <w:szCs w:val="24"/>
        </w:rPr>
        <w:t xml:space="preserve"> af vitamin D. Der er set en dosisafhængig stigning i risikoen for </w:t>
      </w:r>
      <w:proofErr w:type="spellStart"/>
      <w:r w:rsidRPr="00F84019">
        <w:rPr>
          <w:sz w:val="24"/>
          <w:szCs w:val="24"/>
        </w:rPr>
        <w:t>osteomalaci</w:t>
      </w:r>
      <w:proofErr w:type="spellEnd"/>
      <w:r w:rsidRPr="00F84019">
        <w:rPr>
          <w:sz w:val="24"/>
          <w:szCs w:val="24"/>
        </w:rPr>
        <w:t xml:space="preserve"> under behandling med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, som kan prædisponere for udvikling af knoglesygdom. Vitamin D-tilskud kan være nødvendigt under langvarig </w:t>
      </w:r>
      <w:proofErr w:type="spellStart"/>
      <w:r w:rsidRPr="00F84019">
        <w:rPr>
          <w:sz w:val="24"/>
          <w:szCs w:val="24"/>
        </w:rPr>
        <w:t>primidonbehandling</w:t>
      </w:r>
      <w:proofErr w:type="spellEnd"/>
      <w:r w:rsidRPr="00F84019">
        <w:rPr>
          <w:sz w:val="24"/>
          <w:szCs w:val="24"/>
        </w:rPr>
        <w:t xml:space="preserve"> (se pkt. 4.8).</w:t>
      </w:r>
    </w:p>
    <w:p w14:paraId="349A8DD0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283F4273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Ligesom det er tilfældet med </w:t>
      </w:r>
      <w:proofErr w:type="spellStart"/>
      <w:r w:rsidRPr="00F84019">
        <w:rPr>
          <w:sz w:val="24"/>
          <w:szCs w:val="24"/>
        </w:rPr>
        <w:t>phenytoin</w:t>
      </w:r>
      <w:proofErr w:type="spellEnd"/>
      <w:r w:rsidRPr="00F84019">
        <w:rPr>
          <w:sz w:val="24"/>
          <w:szCs w:val="24"/>
        </w:rPr>
        <w:t xml:space="preserve"> og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, kan der undtagelsesvist udvikles </w:t>
      </w:r>
      <w:proofErr w:type="spellStart"/>
      <w:r w:rsidRPr="00F84019">
        <w:rPr>
          <w:sz w:val="24"/>
          <w:szCs w:val="24"/>
        </w:rPr>
        <w:t>megaloblastisk</w:t>
      </w:r>
      <w:proofErr w:type="spellEnd"/>
      <w:r w:rsidRPr="00F84019">
        <w:rPr>
          <w:sz w:val="24"/>
          <w:szCs w:val="24"/>
        </w:rPr>
        <w:t xml:space="preserve"> anæmi, der kræver </w:t>
      </w:r>
      <w:proofErr w:type="spellStart"/>
      <w:r w:rsidRPr="00F84019">
        <w:rPr>
          <w:sz w:val="24"/>
          <w:szCs w:val="24"/>
        </w:rPr>
        <w:t>seponering</w:t>
      </w:r>
      <w:proofErr w:type="spellEnd"/>
      <w:r w:rsidRPr="00F84019">
        <w:rPr>
          <w:sz w:val="24"/>
          <w:szCs w:val="24"/>
        </w:rPr>
        <w:t xml:space="preserve"> af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>. Denne tilstand vil muligvis respondere på behandling med folsyre og/eller vitamin B12 (se pkt. 4.8).</w:t>
      </w:r>
    </w:p>
    <w:p w14:paraId="1DE5001C" w14:textId="5DA459CF" w:rsidR="00C5265F" w:rsidRDefault="00C526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5163671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7541ECD6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Selvmordsadfærd</w:t>
      </w:r>
    </w:p>
    <w:p w14:paraId="7D27D68F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Selvmordstanker og -adfærd er rapporteret hos patienter i behandling med </w:t>
      </w:r>
      <w:proofErr w:type="spellStart"/>
      <w:r w:rsidRPr="00F84019">
        <w:rPr>
          <w:sz w:val="24"/>
          <w:szCs w:val="24"/>
        </w:rPr>
        <w:t>antiepileptika</w:t>
      </w:r>
      <w:proofErr w:type="spellEnd"/>
      <w:r w:rsidRPr="00F84019">
        <w:rPr>
          <w:sz w:val="24"/>
          <w:szCs w:val="24"/>
        </w:rPr>
        <w:t xml:space="preserve"> ved flere forskellige indikationer. En metaanalyse af randomiserede, placebokontrollerede forsøg med </w:t>
      </w:r>
      <w:proofErr w:type="spellStart"/>
      <w:r w:rsidRPr="00F84019">
        <w:rPr>
          <w:sz w:val="24"/>
          <w:szCs w:val="24"/>
        </w:rPr>
        <w:t>antiepileptika</w:t>
      </w:r>
      <w:proofErr w:type="spellEnd"/>
      <w:r w:rsidRPr="00F84019">
        <w:rPr>
          <w:sz w:val="24"/>
          <w:szCs w:val="24"/>
        </w:rPr>
        <w:t xml:space="preserve"> har også vist en let forøget risiko for selvmordstanker og -adfærd. Mekanismen bag denne risiko er ikke kendt, og de forhåndenværende data udelukker ikke muligheden for en forøget risiko for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>.</w:t>
      </w:r>
    </w:p>
    <w:p w14:paraId="7C5F1FDC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Derfor bør patienterne overvåges for, om de får tegn på selvmordstanker og -adfærd, og passende behandling bør overvejes. Patienter (og plejepersonale) bør tilrådes straks at søge læge, hvis der opstår tegn på selvmordstanker og -adfærd.</w:t>
      </w:r>
    </w:p>
    <w:p w14:paraId="68563B1F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4F270C5F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Svære hudreaktioner</w:t>
      </w:r>
    </w:p>
    <w:p w14:paraId="281278DF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Der er rapporteret om livstruende </w:t>
      </w:r>
      <w:proofErr w:type="spellStart"/>
      <w:r w:rsidRPr="00F84019">
        <w:rPr>
          <w:sz w:val="24"/>
          <w:szCs w:val="24"/>
        </w:rPr>
        <w:t>kutane</w:t>
      </w:r>
      <w:proofErr w:type="spellEnd"/>
      <w:r w:rsidRPr="00F84019">
        <w:rPr>
          <w:sz w:val="24"/>
          <w:szCs w:val="24"/>
        </w:rPr>
        <w:t xml:space="preserve"> reaktioner som Stevens-Johnsons syndrom (SJS), toksisk </w:t>
      </w:r>
      <w:proofErr w:type="spellStart"/>
      <w:r w:rsidRPr="00F84019">
        <w:rPr>
          <w:sz w:val="24"/>
          <w:szCs w:val="24"/>
        </w:rPr>
        <w:t>epidermal</w:t>
      </w:r>
      <w:proofErr w:type="spellEnd"/>
      <w:r w:rsidRPr="00F84019">
        <w:rPr>
          <w:sz w:val="24"/>
          <w:szCs w:val="24"/>
        </w:rPr>
        <w:t xml:space="preserve"> </w:t>
      </w:r>
      <w:proofErr w:type="spellStart"/>
      <w:r w:rsidRPr="00F84019">
        <w:rPr>
          <w:sz w:val="24"/>
          <w:szCs w:val="24"/>
        </w:rPr>
        <w:t>nekrolyse</w:t>
      </w:r>
      <w:proofErr w:type="spellEnd"/>
      <w:r w:rsidRPr="00F84019">
        <w:rPr>
          <w:sz w:val="24"/>
          <w:szCs w:val="24"/>
        </w:rPr>
        <w:t xml:space="preserve"> (TEN) og lægemiddelreaktion med </w:t>
      </w:r>
      <w:proofErr w:type="spellStart"/>
      <w:r w:rsidRPr="00F84019">
        <w:rPr>
          <w:sz w:val="24"/>
          <w:szCs w:val="24"/>
        </w:rPr>
        <w:t>eosinofili</w:t>
      </w:r>
      <w:proofErr w:type="spellEnd"/>
      <w:r w:rsidRPr="00F84019">
        <w:rPr>
          <w:sz w:val="24"/>
          <w:szCs w:val="24"/>
        </w:rPr>
        <w:t xml:space="preserve"> og systemiske symptomer (DRESS) i forbindelse med brug af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>.</w:t>
      </w:r>
    </w:p>
    <w:p w14:paraId="67B3CD1D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77D0C406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Patienter skal rådgives om tegn og symptomer og monitoreres tæt for hudreaktioner.</w:t>
      </w:r>
    </w:p>
    <w:p w14:paraId="1EFD0900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6C4F1159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Risikoen for SJS, TEN og DRESS er højest i de første uger af behandlingen.</w:t>
      </w:r>
    </w:p>
    <w:p w14:paraId="3059870F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759F0A83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I tilfælde af symptomer eller tegn på SJS, TEN eller DRESS (f.eks. progressivt hududslæt, ofte med blærer eller slimhindelæsioner) skal behandlingen med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seponeres.</w:t>
      </w:r>
    </w:p>
    <w:p w14:paraId="7163290A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042A62BE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De bedste resultater i forbindelse med behandling af SJS, TEN og DRESS opnås med tidlig diagnosticering og øjeblikkelig </w:t>
      </w:r>
      <w:proofErr w:type="spellStart"/>
      <w:r w:rsidRPr="00F84019">
        <w:rPr>
          <w:sz w:val="24"/>
          <w:szCs w:val="24"/>
        </w:rPr>
        <w:t>seponering</w:t>
      </w:r>
      <w:proofErr w:type="spellEnd"/>
      <w:r w:rsidRPr="00F84019">
        <w:rPr>
          <w:sz w:val="24"/>
          <w:szCs w:val="24"/>
        </w:rPr>
        <w:t xml:space="preserve"> af ethvert mistænkt lægemiddel. Tidlig </w:t>
      </w:r>
      <w:proofErr w:type="spellStart"/>
      <w:r w:rsidRPr="00F84019">
        <w:rPr>
          <w:sz w:val="24"/>
          <w:szCs w:val="24"/>
        </w:rPr>
        <w:t>seponering</w:t>
      </w:r>
      <w:proofErr w:type="spellEnd"/>
      <w:r w:rsidRPr="00F84019">
        <w:rPr>
          <w:sz w:val="24"/>
          <w:szCs w:val="24"/>
        </w:rPr>
        <w:t xml:space="preserve"> er forbundet med en bedre prognose.</w:t>
      </w:r>
    </w:p>
    <w:p w14:paraId="691ABB1C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418901D4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Hvis en patient udvikler SJS, TEN eller DRESS i forbindelse med brug af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(eller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), må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aldrig genoptages hos den pågældende patient. (se pkt. 4.8).</w:t>
      </w:r>
    </w:p>
    <w:p w14:paraId="401807FE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74F77D47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Kvinder i den fertile alder</w:t>
      </w:r>
    </w:p>
    <w:p w14:paraId="558DFD1C" w14:textId="77777777" w:rsidR="00F84019" w:rsidRPr="00F84019" w:rsidRDefault="00F84019" w:rsidP="00B637FF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</w:t>
      </w:r>
      <w:proofErr w:type="spellStart"/>
      <w:r w:rsidRPr="00F84019">
        <w:rPr>
          <w:sz w:val="24"/>
          <w:szCs w:val="24"/>
        </w:rPr>
        <w:t>metaboliseres</w:t>
      </w:r>
      <w:proofErr w:type="spellEnd"/>
      <w:r w:rsidRPr="00F84019">
        <w:rPr>
          <w:sz w:val="24"/>
          <w:szCs w:val="24"/>
        </w:rPr>
        <w:t xml:space="preserve"> i omfattende grad til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. Derfor skal oplysninger om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tages i betragtning.</w:t>
      </w:r>
    </w:p>
    <w:p w14:paraId="4333FFCD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3CE93324" w14:textId="77777777" w:rsidR="00F84019" w:rsidRPr="00F84019" w:rsidRDefault="00F84019" w:rsidP="00B637FF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kan forårsage forsterskade, hvis det gives til en gravid kvinde.</w:t>
      </w:r>
    </w:p>
    <w:p w14:paraId="595BB37C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Prænatal eksponering for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kan øge risikoen for medfødte misdannelser cirka to til tre gange (se pkt. 4.6).</w:t>
      </w:r>
    </w:p>
    <w:p w14:paraId="2E0179DC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09ACB049" w14:textId="77777777" w:rsidR="00F84019" w:rsidRPr="00F84019" w:rsidRDefault="00F84019" w:rsidP="00B637FF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bør ikke anvendes hos kvinder i den fertile alder, medmindre den potentielle fordel vurderes at opveje risiciene efter overvejelser om andre passende behandlingsmuligheder. Kvinder i den fertile alder skal informeres fuldt ud om den potentielle risiko for fosteret, hvis de tager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under graviditeten.</w:t>
      </w:r>
    </w:p>
    <w:p w14:paraId="40F39F4F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5D337BC7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Inden iværksættelse af </w:t>
      </w:r>
      <w:proofErr w:type="spellStart"/>
      <w:r w:rsidRPr="00F84019">
        <w:rPr>
          <w:sz w:val="24"/>
          <w:szCs w:val="24"/>
        </w:rPr>
        <w:t>primidonbehandling</w:t>
      </w:r>
      <w:proofErr w:type="spellEnd"/>
      <w:r w:rsidRPr="00F84019">
        <w:rPr>
          <w:sz w:val="24"/>
          <w:szCs w:val="24"/>
        </w:rPr>
        <w:t xml:space="preserve"> hos kvinder i den fertile alder skal det overvejes at gennemføre en graviditetstest for at udelukke graviditet.</w:t>
      </w:r>
    </w:p>
    <w:p w14:paraId="1B207895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47BEA633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Kvinder i den fertile alder skal anvende sikker </w:t>
      </w:r>
      <w:proofErr w:type="spellStart"/>
      <w:r w:rsidRPr="00F84019">
        <w:rPr>
          <w:sz w:val="24"/>
          <w:szCs w:val="24"/>
        </w:rPr>
        <w:t>kontraception</w:t>
      </w:r>
      <w:proofErr w:type="spellEnd"/>
      <w:r w:rsidRPr="00F84019">
        <w:rPr>
          <w:sz w:val="24"/>
          <w:szCs w:val="24"/>
        </w:rPr>
        <w:t xml:space="preserve"> under behandlingen og i 2 måneder efter den sidste dosis. Som følge af enzyminduktion kan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resultere i manglende terapeutisk virkning af p-piller, der indeholder østrogen og/eller gestagen. Kvinder i den fertile alder skal rådes til at anvende andre </w:t>
      </w:r>
      <w:proofErr w:type="spellStart"/>
      <w:r w:rsidRPr="00F84019">
        <w:rPr>
          <w:sz w:val="24"/>
          <w:szCs w:val="24"/>
        </w:rPr>
        <w:t>kontraceptionsmetoder</w:t>
      </w:r>
      <w:proofErr w:type="spellEnd"/>
      <w:r w:rsidRPr="00F84019">
        <w:rPr>
          <w:sz w:val="24"/>
          <w:szCs w:val="24"/>
        </w:rPr>
        <w:t xml:space="preserve"> (se pkt. 4.5 og 4.6).</w:t>
      </w:r>
    </w:p>
    <w:p w14:paraId="77FAC399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6A2EB2F3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Kvinder, der planlægger at blive gravide, skal rådes til at konsultere lægen forinden med henblik på passende rådgivning og drøftelse af andre passende behandlingsmuligheder inden undfangelse og inden </w:t>
      </w:r>
      <w:proofErr w:type="spellStart"/>
      <w:r w:rsidRPr="00F84019">
        <w:rPr>
          <w:sz w:val="24"/>
          <w:szCs w:val="24"/>
        </w:rPr>
        <w:t>seponering</w:t>
      </w:r>
      <w:proofErr w:type="spellEnd"/>
      <w:r w:rsidRPr="00F84019">
        <w:rPr>
          <w:sz w:val="24"/>
          <w:szCs w:val="24"/>
        </w:rPr>
        <w:t xml:space="preserve"> af </w:t>
      </w:r>
      <w:proofErr w:type="spellStart"/>
      <w:r w:rsidRPr="00F84019">
        <w:rPr>
          <w:sz w:val="24"/>
          <w:szCs w:val="24"/>
        </w:rPr>
        <w:t>kontraception</w:t>
      </w:r>
      <w:proofErr w:type="spellEnd"/>
      <w:r w:rsidRPr="00F84019">
        <w:rPr>
          <w:sz w:val="24"/>
          <w:szCs w:val="24"/>
        </w:rPr>
        <w:t>.</w:t>
      </w:r>
    </w:p>
    <w:p w14:paraId="1C94038C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7558E195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Kvinder i den fertile alder skal rådes til at kontakte deres læge med det samme, hvis de bliver gravide eller tror, at de er gravide under behandlingen med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>.</w:t>
      </w:r>
    </w:p>
    <w:p w14:paraId="6DD2F528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5113EC40" w14:textId="77777777" w:rsidR="00F84019" w:rsidRPr="00F84019" w:rsidRDefault="00F84019" w:rsidP="00B637FF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Forsigtighedsregler vedrørende brugen</w:t>
      </w:r>
    </w:p>
    <w:p w14:paraId="045B42AC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Ligesom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er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en enzyminduktor, og det kan derfor potentielt reducere virkningen af visse lægemidler som følge af en progressiv øgning af disse lægemidlers metabolisme (se pkt. 4.5).</w:t>
      </w:r>
    </w:p>
    <w:p w14:paraId="3C1977C8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p w14:paraId="38150F72" w14:textId="77777777" w:rsidR="00F84019" w:rsidRPr="00F84019" w:rsidRDefault="00F84019" w:rsidP="00B637FF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Samtidig indtagelse af dette lægemiddel og alkoholiske drikke eller lægemidler, der indeholder alkohol, er frarådet.</w:t>
      </w:r>
    </w:p>
    <w:p w14:paraId="2B314D9D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D7B42B9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4.5</w:t>
      </w:r>
      <w:r w:rsidRPr="00C5265F">
        <w:rPr>
          <w:b/>
          <w:sz w:val="24"/>
          <w:szCs w:val="24"/>
        </w:rPr>
        <w:tab/>
        <w:t>Interaktion med andre lægemidler og andre former for interaktion</w:t>
      </w:r>
    </w:p>
    <w:p w14:paraId="132045D7" w14:textId="77777777" w:rsidR="00B637FF" w:rsidRPr="00C5265F" w:rsidRDefault="00B637FF" w:rsidP="00B637FF">
      <w:pPr>
        <w:ind w:left="851"/>
        <w:rPr>
          <w:sz w:val="24"/>
          <w:szCs w:val="24"/>
        </w:rPr>
      </w:pPr>
    </w:p>
    <w:p w14:paraId="27E0A677" w14:textId="6CB91324" w:rsidR="00F84019" w:rsidRPr="00F84019" w:rsidRDefault="00F84019" w:rsidP="00B637FF">
      <w:pPr>
        <w:ind w:left="851"/>
        <w:rPr>
          <w:b/>
          <w:bCs/>
          <w:sz w:val="24"/>
          <w:szCs w:val="24"/>
          <w:u w:val="single"/>
        </w:rPr>
      </w:pPr>
      <w:r w:rsidRPr="00F84019">
        <w:rPr>
          <w:b/>
          <w:bCs/>
          <w:sz w:val="24"/>
          <w:szCs w:val="24"/>
          <w:u w:val="single"/>
        </w:rPr>
        <w:t>Kontraindicerede kombinationer</w:t>
      </w:r>
    </w:p>
    <w:p w14:paraId="705EF20D" w14:textId="77777777" w:rsidR="00F84019" w:rsidRPr="00F84019" w:rsidRDefault="00F84019" w:rsidP="00B637FF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og dets hovedmetabolit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er stærke </w:t>
      </w:r>
      <w:proofErr w:type="spellStart"/>
      <w:r w:rsidRPr="00F84019">
        <w:rPr>
          <w:sz w:val="24"/>
          <w:szCs w:val="24"/>
        </w:rPr>
        <w:t>cytochrom</w:t>
      </w:r>
      <w:proofErr w:type="spellEnd"/>
      <w:r w:rsidRPr="00F84019">
        <w:rPr>
          <w:sz w:val="24"/>
          <w:szCs w:val="24"/>
        </w:rPr>
        <w:t> P450-induktorer og fører dermed til livstruende situationer på grund af risikoen for nedsatte plasmakoncentrationer og risikoen for manglende virkning af samtidigt administrerede lægemidler.</w:t>
      </w:r>
    </w:p>
    <w:p w14:paraId="0578E03A" w14:textId="77777777" w:rsidR="00F84019" w:rsidRPr="00F84019" w:rsidRDefault="00F84019" w:rsidP="00B637FF">
      <w:pPr>
        <w:ind w:left="851"/>
        <w:rPr>
          <w:sz w:val="24"/>
          <w:szCs w:val="24"/>
        </w:rPr>
      </w:pPr>
    </w:p>
    <w:tbl>
      <w:tblPr>
        <w:tblStyle w:val="Tabel-Gitter"/>
        <w:tblW w:w="9061" w:type="dxa"/>
        <w:tblInd w:w="846" w:type="dxa"/>
        <w:tblLook w:val="04A0" w:firstRow="1" w:lastRow="0" w:firstColumn="1" w:lastColumn="0" w:noHBand="0" w:noVBand="1"/>
      </w:tblPr>
      <w:tblGrid>
        <w:gridCol w:w="3145"/>
        <w:gridCol w:w="5916"/>
      </w:tblGrid>
      <w:tr w:rsidR="00F84019" w:rsidRPr="00F84019" w14:paraId="7EC8DFAA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BC28" w14:textId="77777777" w:rsidR="00F84019" w:rsidRPr="00F84019" w:rsidRDefault="00F84019" w:rsidP="00B637FF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Risiko for nedsatte plasmakoncentrationer på grund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-induceret øget metabolisme for: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0F04" w14:textId="77777777" w:rsidR="00F84019" w:rsidRPr="00F84019" w:rsidRDefault="00F84019" w:rsidP="00B637FF">
            <w:pPr>
              <w:numPr>
                <w:ilvl w:val="0"/>
                <w:numId w:val="9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Antivirale midler: </w:t>
            </w:r>
            <w:proofErr w:type="spellStart"/>
            <w:r w:rsidRPr="00F84019">
              <w:rPr>
                <w:sz w:val="24"/>
                <w:szCs w:val="24"/>
              </w:rPr>
              <w:t>daclatasvir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dasabuvir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ledipasvir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nelfinavir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rilpivirin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ombitasvir+paritaprevir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10DDE70B" w14:textId="77777777" w:rsidR="00F84019" w:rsidRPr="00F84019" w:rsidRDefault="00F84019" w:rsidP="00B637FF">
            <w:pPr>
              <w:numPr>
                <w:ilvl w:val="0"/>
                <w:numId w:val="9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Lægemidler, der påvirker nervesystemet* (undtagen </w:t>
            </w:r>
            <w:proofErr w:type="spellStart"/>
            <w:r w:rsidRPr="00F84019">
              <w:rPr>
                <w:sz w:val="24"/>
                <w:szCs w:val="24"/>
              </w:rPr>
              <w:t>antiepileptika</w:t>
            </w:r>
            <w:proofErr w:type="spellEnd"/>
            <w:r w:rsidRPr="00F84019">
              <w:rPr>
                <w:sz w:val="24"/>
                <w:szCs w:val="24"/>
              </w:rPr>
              <w:t xml:space="preserve">): </w:t>
            </w:r>
            <w:proofErr w:type="spellStart"/>
            <w:r w:rsidRPr="00F84019">
              <w:rPr>
                <w:sz w:val="24"/>
                <w:szCs w:val="24"/>
              </w:rPr>
              <w:t>lurasidon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2BF55BA0" w14:textId="77777777" w:rsidR="00F84019" w:rsidRPr="00F84019" w:rsidRDefault="00F84019" w:rsidP="00B637FF">
            <w:pPr>
              <w:numPr>
                <w:ilvl w:val="0"/>
                <w:numId w:val="9"/>
              </w:num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Antiinfektiva</w:t>
            </w:r>
            <w:proofErr w:type="spellEnd"/>
            <w:r w:rsidRPr="00F84019">
              <w:rPr>
                <w:sz w:val="24"/>
                <w:szCs w:val="24"/>
              </w:rPr>
              <w:t xml:space="preserve">: </w:t>
            </w:r>
            <w:proofErr w:type="spellStart"/>
            <w:r w:rsidRPr="00F84019">
              <w:rPr>
                <w:sz w:val="24"/>
                <w:szCs w:val="24"/>
              </w:rPr>
              <w:t>delamanid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</w:tc>
      </w:tr>
      <w:tr w:rsidR="00F84019" w:rsidRPr="00F84019" w14:paraId="30F1AAC5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7517" w14:textId="77777777" w:rsidR="00F84019" w:rsidRPr="00F84019" w:rsidRDefault="00F84019" w:rsidP="00B637FF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Risiko for manglende virkning på grund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-induceret øget metabolisme for: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8C4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Antivirale midler: </w:t>
            </w:r>
            <w:proofErr w:type="spellStart"/>
            <w:r w:rsidRPr="00F84019">
              <w:rPr>
                <w:sz w:val="24"/>
                <w:szCs w:val="24"/>
              </w:rPr>
              <w:t>cobicistat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55E79951" w14:textId="77777777" w:rsidR="00F84019" w:rsidRPr="00F84019" w:rsidRDefault="00F84019" w:rsidP="00B637FF">
            <w:pPr>
              <w:ind w:left="32"/>
              <w:rPr>
                <w:sz w:val="24"/>
                <w:szCs w:val="24"/>
              </w:rPr>
            </w:pPr>
          </w:p>
        </w:tc>
      </w:tr>
      <w:tr w:rsidR="00F84019" w:rsidRPr="00F84019" w14:paraId="09592DF4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0216" w14:textId="77777777" w:rsidR="00F84019" w:rsidRPr="00F84019" w:rsidRDefault="00F84019" w:rsidP="00B637FF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Risiko for nedsatte plasmakoncentrationer og risiko for manglende virkning på grund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-induceret øget metabolisme for: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DA82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Antivirale midler: </w:t>
            </w:r>
            <w:proofErr w:type="spellStart"/>
            <w:r w:rsidRPr="00F84019">
              <w:rPr>
                <w:sz w:val="24"/>
                <w:szCs w:val="24"/>
              </w:rPr>
              <w:t>sofosbuvir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79B0A93B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Antimykotika</w:t>
            </w:r>
            <w:proofErr w:type="spellEnd"/>
            <w:r w:rsidRPr="00F84019">
              <w:rPr>
                <w:sz w:val="24"/>
                <w:szCs w:val="24"/>
              </w:rPr>
              <w:t xml:space="preserve">: </w:t>
            </w:r>
            <w:proofErr w:type="spellStart"/>
            <w:r w:rsidRPr="00F84019">
              <w:rPr>
                <w:sz w:val="24"/>
                <w:szCs w:val="24"/>
              </w:rPr>
              <w:t>voriconazol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isavuconazol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</w:tc>
      </w:tr>
      <w:tr w:rsidR="00F84019" w:rsidRPr="00F84019" w14:paraId="427CC4EF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A44F" w14:textId="77777777" w:rsidR="00F84019" w:rsidRPr="00F84019" w:rsidRDefault="00F84019" w:rsidP="00B637FF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Risiko for nedsatte plasmakoncentrationer for: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4D29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Antivirale midler: </w:t>
            </w:r>
            <w:proofErr w:type="spellStart"/>
            <w:r w:rsidRPr="00F84019">
              <w:rPr>
                <w:sz w:val="24"/>
                <w:szCs w:val="24"/>
              </w:rPr>
              <w:t>telaprevir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</w:tc>
      </w:tr>
      <w:tr w:rsidR="00F84019" w:rsidRPr="00F84019" w14:paraId="080088CD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D0A7" w14:textId="77777777" w:rsidR="00F84019" w:rsidRPr="00F84019" w:rsidRDefault="00F84019" w:rsidP="00B637FF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Risiko for nedsat plasmakoncentration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 xml:space="preserve"> og risiko for manglende virkning for: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699D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Perikon.</w:t>
            </w:r>
          </w:p>
        </w:tc>
      </w:tr>
      <w:tr w:rsidR="00F84019" w:rsidRPr="00F84019" w14:paraId="3F0710E2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CF02" w14:textId="77777777" w:rsidR="00F84019" w:rsidRPr="00F84019" w:rsidRDefault="00F84019" w:rsidP="00B637FF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Antagonistisk virkning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 xml:space="preserve"> for: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2B7D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Cholsyre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</w:tc>
      </w:tr>
    </w:tbl>
    <w:p w14:paraId="0D1F89F8" w14:textId="49D60C1A" w:rsidR="00C5265F" w:rsidRDefault="00C5265F" w:rsidP="00F84019">
      <w:pPr>
        <w:tabs>
          <w:tab w:val="left" w:pos="851"/>
        </w:tabs>
        <w:ind w:left="851"/>
        <w:rPr>
          <w:sz w:val="24"/>
          <w:szCs w:val="24"/>
        </w:rPr>
      </w:pPr>
    </w:p>
    <w:p w14:paraId="339B0D34" w14:textId="77777777" w:rsidR="00C5265F" w:rsidRDefault="00C526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E29761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</w:p>
    <w:p w14:paraId="0DFC96BC" w14:textId="77777777" w:rsidR="00F84019" w:rsidRPr="00F84019" w:rsidRDefault="00F84019" w:rsidP="00F84019">
      <w:pPr>
        <w:tabs>
          <w:tab w:val="left" w:pos="851"/>
        </w:tabs>
        <w:ind w:left="851"/>
        <w:rPr>
          <w:b/>
          <w:bCs/>
          <w:sz w:val="24"/>
          <w:szCs w:val="24"/>
          <w:u w:val="single"/>
        </w:rPr>
      </w:pPr>
      <w:r w:rsidRPr="00F84019">
        <w:rPr>
          <w:b/>
          <w:bCs/>
          <w:sz w:val="24"/>
          <w:szCs w:val="24"/>
          <w:u w:val="single"/>
        </w:rPr>
        <w:t>Frarådede kombinationer</w:t>
      </w:r>
    </w:p>
    <w:p w14:paraId="2E2F6125" w14:textId="77777777" w:rsidR="00F84019" w:rsidRPr="00F84019" w:rsidRDefault="00F84019" w:rsidP="00F84019">
      <w:pPr>
        <w:tabs>
          <w:tab w:val="left" w:pos="851"/>
        </w:tabs>
        <w:ind w:left="851"/>
        <w:rPr>
          <w:b/>
          <w:bCs/>
          <w:sz w:val="24"/>
          <w:szCs w:val="24"/>
          <w:u w:val="single"/>
        </w:rPr>
      </w:pPr>
    </w:p>
    <w:tbl>
      <w:tblPr>
        <w:tblStyle w:val="Tabel-Gitter"/>
        <w:tblW w:w="9061" w:type="dxa"/>
        <w:tblInd w:w="846" w:type="dxa"/>
        <w:tblLook w:val="04A0" w:firstRow="1" w:lastRow="0" w:firstColumn="1" w:lastColumn="0" w:noHBand="0" w:noVBand="1"/>
      </w:tblPr>
      <w:tblGrid>
        <w:gridCol w:w="3145"/>
        <w:gridCol w:w="5916"/>
      </w:tblGrid>
      <w:tr w:rsidR="00F84019" w:rsidRPr="00F84019" w14:paraId="4D1E32D9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A0C8" w14:textId="77777777" w:rsidR="00F84019" w:rsidRPr="00F84019" w:rsidRDefault="00F84019" w:rsidP="00B637FF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Risiko for nedsatte plasmakoncentrationer på grund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-induceret øget metabolisme for:</w:t>
            </w:r>
          </w:p>
          <w:p w14:paraId="485AF86A" w14:textId="77777777" w:rsidR="00F84019" w:rsidRPr="00F84019" w:rsidRDefault="00F84019" w:rsidP="00B637FF">
            <w:pPr>
              <w:ind w:left="32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D997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Lægemidler, der påvirker nervesystemet* (undtagen </w:t>
            </w:r>
            <w:proofErr w:type="spellStart"/>
            <w:r w:rsidRPr="00F84019">
              <w:rPr>
                <w:sz w:val="24"/>
                <w:szCs w:val="24"/>
              </w:rPr>
              <w:t>antiepileptika</w:t>
            </w:r>
            <w:proofErr w:type="spellEnd"/>
            <w:r w:rsidRPr="00F84019">
              <w:rPr>
                <w:sz w:val="24"/>
                <w:szCs w:val="24"/>
              </w:rPr>
              <w:t xml:space="preserve">): </w:t>
            </w:r>
            <w:proofErr w:type="spellStart"/>
            <w:r w:rsidRPr="00F84019">
              <w:rPr>
                <w:sz w:val="24"/>
                <w:szCs w:val="24"/>
              </w:rPr>
              <w:t>oxycodon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39C062F4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Antineoplastiske</w:t>
            </w:r>
            <w:proofErr w:type="spellEnd"/>
            <w:r w:rsidRPr="00F84019">
              <w:rPr>
                <w:sz w:val="24"/>
                <w:szCs w:val="24"/>
              </w:rPr>
              <w:t xml:space="preserve"> midler: </w:t>
            </w:r>
            <w:proofErr w:type="spellStart"/>
            <w:r w:rsidRPr="00F84019">
              <w:rPr>
                <w:sz w:val="24"/>
                <w:szCs w:val="24"/>
              </w:rPr>
              <w:t>eribulin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ifosfamid</w:t>
            </w:r>
            <w:proofErr w:type="spellEnd"/>
            <w:r w:rsidRPr="00F84019">
              <w:rPr>
                <w:sz w:val="24"/>
                <w:szCs w:val="24"/>
              </w:rPr>
              <w:t xml:space="preserve"> (+ risiko for øget </w:t>
            </w:r>
            <w:proofErr w:type="spellStart"/>
            <w:r w:rsidRPr="00F84019">
              <w:rPr>
                <w:sz w:val="24"/>
                <w:szCs w:val="24"/>
              </w:rPr>
              <w:t>neurotoksicitet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ifosfamid</w:t>
            </w:r>
            <w:proofErr w:type="spellEnd"/>
            <w:r w:rsidRPr="00F84019">
              <w:rPr>
                <w:sz w:val="24"/>
                <w:szCs w:val="24"/>
              </w:rPr>
              <w:t xml:space="preserve"> som følge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-induceret øget metabolisme).</w:t>
            </w:r>
          </w:p>
          <w:p w14:paraId="24A0F01A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Antivirale midler: </w:t>
            </w:r>
            <w:proofErr w:type="spellStart"/>
            <w:r w:rsidRPr="00F84019">
              <w:rPr>
                <w:sz w:val="24"/>
                <w:szCs w:val="24"/>
              </w:rPr>
              <w:t>boceprevir</w:t>
            </w:r>
            <w:proofErr w:type="spellEnd"/>
            <w:r w:rsidRPr="00F84019">
              <w:rPr>
                <w:sz w:val="24"/>
                <w:szCs w:val="24"/>
              </w:rPr>
              <w:t xml:space="preserve"> (monitorering af kliniske og laboratoriemæssige parametre, især ved indledning af kombination), </w:t>
            </w:r>
            <w:proofErr w:type="spellStart"/>
            <w:r w:rsidRPr="00F84019">
              <w:rPr>
                <w:sz w:val="24"/>
                <w:szCs w:val="24"/>
              </w:rPr>
              <w:t>simeprevir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4D27D788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Kardiovaskulære midler: </w:t>
            </w:r>
            <w:proofErr w:type="spellStart"/>
            <w:r w:rsidRPr="00F84019">
              <w:rPr>
                <w:sz w:val="24"/>
                <w:szCs w:val="24"/>
              </w:rPr>
              <w:t>bosentan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nimodipin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dronedaron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macitentan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0C845E31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Andre terapeutiske klasser: alkohol (+ øget risiko for sedativ virkning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 xml:space="preserve"> og alkohol).</w:t>
            </w:r>
          </w:p>
        </w:tc>
      </w:tr>
      <w:tr w:rsidR="00F84019" w:rsidRPr="00F84019" w14:paraId="3B5FC56A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FC0" w14:textId="77777777" w:rsidR="00F84019" w:rsidRPr="00F84019" w:rsidRDefault="00F84019" w:rsidP="00B637FF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Risiko for manglende virkning for:</w:t>
            </w:r>
          </w:p>
          <w:p w14:paraId="5FAA5852" w14:textId="77777777" w:rsidR="00F84019" w:rsidRPr="00F84019" w:rsidRDefault="00F84019" w:rsidP="00B637FF">
            <w:pPr>
              <w:ind w:left="32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3E3F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Lægemidler, der påvirker nervesystemet* (undtagen </w:t>
            </w:r>
            <w:proofErr w:type="spellStart"/>
            <w:r w:rsidRPr="00F84019">
              <w:rPr>
                <w:sz w:val="24"/>
                <w:szCs w:val="24"/>
              </w:rPr>
              <w:t>antiepileptika</w:t>
            </w:r>
            <w:proofErr w:type="spellEnd"/>
            <w:r w:rsidRPr="00F84019">
              <w:rPr>
                <w:sz w:val="24"/>
                <w:szCs w:val="24"/>
              </w:rPr>
              <w:t xml:space="preserve">): </w:t>
            </w:r>
            <w:proofErr w:type="spellStart"/>
            <w:r w:rsidRPr="00F84019">
              <w:rPr>
                <w:sz w:val="24"/>
                <w:szCs w:val="24"/>
              </w:rPr>
              <w:t>mianserin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</w:tc>
      </w:tr>
      <w:tr w:rsidR="00F84019" w:rsidRPr="00F84019" w14:paraId="41D9317A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4C5" w14:textId="77777777" w:rsidR="00F84019" w:rsidRPr="00F84019" w:rsidRDefault="00F84019" w:rsidP="00B637FF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Risiko for nedsatte plasmakoncentrationer og risiko for manglende virkning på grund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-induceret øget metabolisme for:</w:t>
            </w:r>
          </w:p>
          <w:p w14:paraId="02664B6D" w14:textId="77777777" w:rsidR="00F84019" w:rsidRPr="00F84019" w:rsidRDefault="00F84019" w:rsidP="00B637FF">
            <w:pPr>
              <w:ind w:left="32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509E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Lægemidler, der påvirker nervesystemet* (undtagen </w:t>
            </w:r>
            <w:proofErr w:type="spellStart"/>
            <w:r w:rsidRPr="00F84019">
              <w:rPr>
                <w:sz w:val="24"/>
                <w:szCs w:val="24"/>
              </w:rPr>
              <w:t>antiepileptika</w:t>
            </w:r>
            <w:proofErr w:type="spellEnd"/>
            <w:r w:rsidRPr="00F84019">
              <w:rPr>
                <w:sz w:val="24"/>
                <w:szCs w:val="24"/>
              </w:rPr>
              <w:t xml:space="preserve">): </w:t>
            </w:r>
            <w:proofErr w:type="spellStart"/>
            <w:r w:rsidRPr="00F84019">
              <w:rPr>
                <w:sz w:val="24"/>
                <w:szCs w:val="24"/>
              </w:rPr>
              <w:t>quetiapin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21E983D6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Antiinfektiva</w:t>
            </w:r>
            <w:proofErr w:type="spellEnd"/>
            <w:r w:rsidRPr="00F84019">
              <w:rPr>
                <w:sz w:val="24"/>
                <w:szCs w:val="24"/>
              </w:rPr>
              <w:t xml:space="preserve">: </w:t>
            </w:r>
            <w:proofErr w:type="spellStart"/>
            <w:r w:rsidRPr="00F84019">
              <w:rPr>
                <w:sz w:val="24"/>
                <w:szCs w:val="24"/>
              </w:rPr>
              <w:t>telithromycin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16736955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Antineoplastiske</w:t>
            </w:r>
            <w:proofErr w:type="spellEnd"/>
            <w:r w:rsidRPr="00F84019">
              <w:rPr>
                <w:sz w:val="24"/>
                <w:szCs w:val="24"/>
              </w:rPr>
              <w:t xml:space="preserve"> midler: </w:t>
            </w:r>
            <w:proofErr w:type="spellStart"/>
            <w:r w:rsidRPr="00F84019">
              <w:rPr>
                <w:sz w:val="24"/>
                <w:szCs w:val="24"/>
              </w:rPr>
              <w:t>tyrosinkinasehæmmere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649CAB62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Antimykotika</w:t>
            </w:r>
            <w:proofErr w:type="spellEnd"/>
            <w:r w:rsidRPr="00F84019">
              <w:rPr>
                <w:sz w:val="24"/>
                <w:szCs w:val="24"/>
              </w:rPr>
              <w:t xml:space="preserve">: </w:t>
            </w:r>
            <w:proofErr w:type="spellStart"/>
            <w:r w:rsidRPr="00F84019">
              <w:rPr>
                <w:sz w:val="24"/>
                <w:szCs w:val="24"/>
              </w:rPr>
              <w:t>itraconazol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6967AFB5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  <w:lang w:val="en-US"/>
              </w:rPr>
            </w:pPr>
            <w:proofErr w:type="spellStart"/>
            <w:r w:rsidRPr="00F84019">
              <w:rPr>
                <w:sz w:val="24"/>
                <w:szCs w:val="24"/>
                <w:lang w:val="en-US"/>
              </w:rPr>
              <w:t>Antikoagulantia</w:t>
            </w:r>
            <w:proofErr w:type="spellEnd"/>
            <w:r w:rsidRPr="00F84019">
              <w:rPr>
                <w:sz w:val="24"/>
                <w:szCs w:val="24"/>
                <w:lang w:val="en-US"/>
              </w:rPr>
              <w:t>: apixaban, dabigatran, rivaroxaban, ticagrelor.</w:t>
            </w:r>
          </w:p>
          <w:p w14:paraId="49CC9C2E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Kardiovaskulære midler: </w:t>
            </w:r>
            <w:proofErr w:type="spellStart"/>
            <w:r w:rsidRPr="00F84019">
              <w:rPr>
                <w:sz w:val="24"/>
                <w:szCs w:val="24"/>
              </w:rPr>
              <w:t>ranolazin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499059FE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  <w:lang w:val="nb-NO"/>
              </w:rPr>
            </w:pPr>
            <w:r w:rsidRPr="00F84019">
              <w:rPr>
                <w:sz w:val="24"/>
                <w:szCs w:val="24"/>
                <w:lang w:val="nb-NO"/>
              </w:rPr>
              <w:t>Andre terapeutiske klasser: ivacaftor, praziquantel.</w:t>
            </w:r>
          </w:p>
        </w:tc>
      </w:tr>
      <w:tr w:rsidR="00F84019" w:rsidRPr="00F84019" w14:paraId="02A225F8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E4BF" w14:textId="77777777" w:rsidR="00F84019" w:rsidRPr="00F84019" w:rsidRDefault="00F84019" w:rsidP="00B637FF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Risiko for manglende virkning på grund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-induceret øget metabolisme for:</w:t>
            </w:r>
          </w:p>
          <w:p w14:paraId="2E933B8B" w14:textId="77777777" w:rsidR="00F84019" w:rsidRPr="00F84019" w:rsidRDefault="00F84019" w:rsidP="00B637FF">
            <w:pPr>
              <w:ind w:left="32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1A43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Lægemidler, der påvirker nervesystemet* (undtagen </w:t>
            </w:r>
            <w:proofErr w:type="spellStart"/>
            <w:r w:rsidRPr="00F84019">
              <w:rPr>
                <w:sz w:val="24"/>
                <w:szCs w:val="24"/>
              </w:rPr>
              <w:t>antiepileptika</w:t>
            </w:r>
            <w:proofErr w:type="spellEnd"/>
            <w:r w:rsidRPr="00F84019">
              <w:rPr>
                <w:sz w:val="24"/>
                <w:szCs w:val="24"/>
              </w:rPr>
              <w:t xml:space="preserve">): </w:t>
            </w:r>
            <w:proofErr w:type="spellStart"/>
            <w:r w:rsidRPr="00F84019">
              <w:rPr>
                <w:sz w:val="24"/>
                <w:szCs w:val="24"/>
              </w:rPr>
              <w:t>sertralin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3EDC6337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Antiinfektiva</w:t>
            </w:r>
            <w:proofErr w:type="spellEnd"/>
            <w:r w:rsidRPr="00F84019">
              <w:rPr>
                <w:sz w:val="24"/>
                <w:szCs w:val="24"/>
              </w:rPr>
              <w:t xml:space="preserve">: </w:t>
            </w:r>
            <w:proofErr w:type="spellStart"/>
            <w:r w:rsidRPr="00F84019">
              <w:rPr>
                <w:sz w:val="24"/>
                <w:szCs w:val="24"/>
              </w:rPr>
              <w:t>bedaquilin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27D71DE2" w14:textId="77777777" w:rsidR="00F84019" w:rsidRPr="00F84019" w:rsidRDefault="00F84019" w:rsidP="00B637FF">
            <w:pPr>
              <w:numPr>
                <w:ilvl w:val="0"/>
                <w:numId w:val="10"/>
              </w:numPr>
              <w:ind w:left="436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Hormonelle midler: </w:t>
            </w:r>
            <w:proofErr w:type="spellStart"/>
            <w:r w:rsidRPr="00F84019">
              <w:rPr>
                <w:sz w:val="24"/>
                <w:szCs w:val="24"/>
              </w:rPr>
              <w:t>abirateron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ulipristal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kontraceptiva</w:t>
            </w:r>
            <w:proofErr w:type="spellEnd"/>
            <w:r w:rsidRPr="00F84019">
              <w:rPr>
                <w:sz w:val="24"/>
                <w:szCs w:val="24"/>
              </w:rPr>
              <w:t xml:space="preserve"> af kombinationstypen med østrogen-gestagen (der skal helst anvendes en anden </w:t>
            </w:r>
            <w:proofErr w:type="spellStart"/>
            <w:r w:rsidRPr="00F84019">
              <w:rPr>
                <w:sz w:val="24"/>
                <w:szCs w:val="24"/>
              </w:rPr>
              <w:t>kontraceptionsmetode</w:t>
            </w:r>
            <w:proofErr w:type="spellEnd"/>
            <w:r w:rsidRPr="00F84019">
              <w:rPr>
                <w:sz w:val="24"/>
                <w:szCs w:val="24"/>
              </w:rPr>
              <w:t xml:space="preserve"> under kombinationen og i de efterfølgende cyklusser).</w:t>
            </w:r>
          </w:p>
        </w:tc>
      </w:tr>
    </w:tbl>
    <w:p w14:paraId="21975DC8" w14:textId="77777777" w:rsidR="00F84019" w:rsidRPr="00F84019" w:rsidRDefault="00F84019" w:rsidP="00F84019">
      <w:pPr>
        <w:tabs>
          <w:tab w:val="left" w:pos="851"/>
        </w:tabs>
        <w:ind w:left="851"/>
        <w:rPr>
          <w:b/>
          <w:bCs/>
          <w:sz w:val="24"/>
          <w:szCs w:val="24"/>
          <w:u w:val="single"/>
        </w:rPr>
      </w:pPr>
    </w:p>
    <w:p w14:paraId="46F58E76" w14:textId="77777777" w:rsidR="00F84019" w:rsidRPr="00F84019" w:rsidRDefault="00F84019" w:rsidP="00F84019">
      <w:pPr>
        <w:tabs>
          <w:tab w:val="left" w:pos="851"/>
        </w:tabs>
        <w:ind w:left="851"/>
        <w:rPr>
          <w:b/>
          <w:bCs/>
          <w:sz w:val="24"/>
          <w:szCs w:val="24"/>
          <w:u w:val="single"/>
        </w:rPr>
      </w:pPr>
      <w:r w:rsidRPr="00F84019">
        <w:rPr>
          <w:b/>
          <w:bCs/>
          <w:sz w:val="24"/>
          <w:szCs w:val="24"/>
          <w:u w:val="single"/>
        </w:rPr>
        <w:t>Andre interaktioner:</w:t>
      </w:r>
    </w:p>
    <w:p w14:paraId="55671650" w14:textId="77777777" w:rsidR="00F84019" w:rsidRPr="00F84019" w:rsidRDefault="00F84019" w:rsidP="00F84019">
      <w:pPr>
        <w:tabs>
          <w:tab w:val="left" w:pos="851"/>
        </w:tabs>
        <w:ind w:left="851"/>
        <w:rPr>
          <w:b/>
          <w:bCs/>
          <w:sz w:val="24"/>
          <w:szCs w:val="24"/>
          <w:u w:val="single"/>
        </w:rPr>
      </w:pPr>
    </w:p>
    <w:tbl>
      <w:tblPr>
        <w:tblStyle w:val="Tabel-Gitter"/>
        <w:tblW w:w="9061" w:type="dxa"/>
        <w:tblInd w:w="846" w:type="dxa"/>
        <w:tblLook w:val="04A0" w:firstRow="1" w:lastRow="0" w:firstColumn="1" w:lastColumn="0" w:noHBand="0" w:noVBand="1"/>
      </w:tblPr>
      <w:tblGrid>
        <w:gridCol w:w="3145"/>
        <w:gridCol w:w="5916"/>
      </w:tblGrid>
      <w:tr w:rsidR="00F84019" w:rsidRPr="00F84019" w14:paraId="441D420E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5E8" w14:textId="77777777" w:rsidR="00F84019" w:rsidRPr="00F84019" w:rsidRDefault="00F84019" w:rsidP="00B637FF">
            <w:pPr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Risiko for nedsatte plasmakoncentrationer på grund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-induceret øget metabolisme for:</w:t>
            </w:r>
          </w:p>
          <w:p w14:paraId="38B3F63C" w14:textId="77777777" w:rsidR="00F84019" w:rsidRPr="00F84019" w:rsidRDefault="00F84019" w:rsidP="00B637F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2680" w14:textId="77777777" w:rsidR="00F84019" w:rsidRPr="00F84019" w:rsidRDefault="00F84019" w:rsidP="00B637FF">
            <w:pPr>
              <w:numPr>
                <w:ilvl w:val="0"/>
                <w:numId w:val="11"/>
              </w:numPr>
              <w:ind w:left="436"/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  <w:u w:val="single"/>
              </w:rPr>
              <w:t xml:space="preserve">Andre </w:t>
            </w:r>
            <w:proofErr w:type="spellStart"/>
            <w:r w:rsidRPr="00F84019">
              <w:rPr>
                <w:sz w:val="24"/>
                <w:szCs w:val="24"/>
                <w:u w:val="single"/>
              </w:rPr>
              <w:t>antiepileptika</w:t>
            </w:r>
            <w:proofErr w:type="spellEnd"/>
            <w:r w:rsidRPr="00F84019">
              <w:rPr>
                <w:sz w:val="24"/>
                <w:szCs w:val="24"/>
                <w:u w:val="single"/>
              </w:rPr>
              <w:t xml:space="preserve">: </w:t>
            </w:r>
          </w:p>
          <w:p w14:paraId="19A3DA03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carbamazepin</w:t>
            </w:r>
            <w:proofErr w:type="spellEnd"/>
            <w:r w:rsidRPr="00F84019">
              <w:rPr>
                <w:sz w:val="24"/>
                <w:szCs w:val="24"/>
              </w:rPr>
              <w:t xml:space="preserve"> (progressivt fald i plasmaniveauet af </w:t>
            </w:r>
            <w:proofErr w:type="spellStart"/>
            <w:r w:rsidRPr="00F84019">
              <w:rPr>
                <w:sz w:val="24"/>
                <w:szCs w:val="24"/>
              </w:rPr>
              <w:t>carbamazepin</w:t>
            </w:r>
            <w:proofErr w:type="spellEnd"/>
            <w:r w:rsidRPr="00F84019">
              <w:rPr>
                <w:sz w:val="24"/>
                <w:szCs w:val="24"/>
              </w:rPr>
              <w:t xml:space="preserve"> og dets aktive metabolit uden tilsyneladende ændringer i den antiepileptiske virkning; forsigtighedsreglerne kræver omhyggelig tolkning af plasmakoncentration). </w:t>
            </w:r>
          </w:p>
          <w:p w14:paraId="3DEF72F1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felbamat</w:t>
            </w:r>
            <w:proofErr w:type="spellEnd"/>
            <w:r w:rsidRPr="00F84019">
              <w:rPr>
                <w:sz w:val="24"/>
                <w:szCs w:val="24"/>
              </w:rPr>
              <w:t xml:space="preserve"> (+ risiko for manglende virkning; risiko for øget plasmakoncentration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 xml:space="preserve">; forsigtighedsreglerne kræver monitorering af kliniske og laboratoriemæssige parametre og dosisjustering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016D528F" w14:textId="77777777" w:rsidR="00841B2F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lamotrigin</w:t>
            </w:r>
            <w:proofErr w:type="spellEnd"/>
            <w:r w:rsidRPr="00F84019">
              <w:rPr>
                <w:sz w:val="24"/>
                <w:szCs w:val="24"/>
              </w:rPr>
              <w:t xml:space="preserve"> (forsigtighedsreglerne kræver monitorering af kliniske og laboratoriemæssige parametre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 xml:space="preserve">). </w:t>
            </w:r>
          </w:p>
          <w:p w14:paraId="261956D4" w14:textId="2BF2171C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oxcarbazepin</w:t>
            </w:r>
            <w:proofErr w:type="spellEnd"/>
            <w:r w:rsidRPr="00F84019">
              <w:rPr>
                <w:sz w:val="24"/>
                <w:szCs w:val="24"/>
              </w:rPr>
              <w:t xml:space="preserve"> (+ risiko for nedsat plasmaniveau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 xml:space="preserve"> som følge af </w:t>
            </w:r>
            <w:proofErr w:type="spellStart"/>
            <w:r w:rsidRPr="00F84019">
              <w:rPr>
                <w:sz w:val="24"/>
                <w:szCs w:val="24"/>
              </w:rPr>
              <w:t>oxcarbazepin</w:t>
            </w:r>
            <w:proofErr w:type="spellEnd"/>
            <w:r w:rsidRPr="00F84019">
              <w:rPr>
                <w:sz w:val="24"/>
                <w:szCs w:val="24"/>
              </w:rPr>
              <w:t xml:space="preserve">-induceret øget metabolisme; forsigtighedsreglerne kræver monitorering af kliniske og laboratoriemæssige parametre og dosisjustering af </w:t>
            </w:r>
            <w:proofErr w:type="spellStart"/>
            <w:r w:rsidRPr="00F84019">
              <w:rPr>
                <w:sz w:val="24"/>
                <w:szCs w:val="24"/>
              </w:rPr>
              <w:t>oxcarbazepin</w:t>
            </w:r>
            <w:proofErr w:type="spellEnd"/>
            <w:r w:rsidRPr="00F84019">
              <w:rPr>
                <w:sz w:val="24"/>
                <w:szCs w:val="24"/>
              </w:rPr>
              <w:t>/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3524BD3C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perampanel</w:t>
            </w:r>
            <w:proofErr w:type="spellEnd"/>
          </w:p>
          <w:p w14:paraId="5D7C85CE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phenytoin</w:t>
            </w:r>
            <w:proofErr w:type="spellEnd"/>
            <w:r w:rsidRPr="00F84019">
              <w:rPr>
                <w:sz w:val="24"/>
                <w:szCs w:val="24"/>
              </w:rPr>
              <w:t xml:space="preserve"> (+ risiko for øget </w:t>
            </w:r>
            <w:proofErr w:type="spellStart"/>
            <w:r w:rsidRPr="00F84019">
              <w:rPr>
                <w:sz w:val="24"/>
                <w:szCs w:val="24"/>
              </w:rPr>
              <w:t>phenobarbitalkoncentration</w:t>
            </w:r>
            <w:proofErr w:type="spellEnd"/>
            <w:r w:rsidRPr="00F84019">
              <w:rPr>
                <w:sz w:val="24"/>
                <w:szCs w:val="24"/>
              </w:rPr>
              <w:t xml:space="preserve"> og mulig toksicitet. Mulig toksicitet med </w:t>
            </w:r>
            <w:proofErr w:type="spellStart"/>
            <w:r w:rsidRPr="00F84019">
              <w:rPr>
                <w:sz w:val="24"/>
                <w:szCs w:val="24"/>
              </w:rPr>
              <w:t>phenytoin</w:t>
            </w:r>
            <w:proofErr w:type="spellEnd"/>
            <w:r w:rsidRPr="00F84019">
              <w:rPr>
                <w:sz w:val="24"/>
                <w:szCs w:val="24"/>
              </w:rPr>
              <w:t xml:space="preserve"> ved ophør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 xml:space="preserve">; forsigtighedsreglerne kræver monitorering af kliniske og laboratoriemæssige parametre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/</w:t>
            </w:r>
            <w:proofErr w:type="spellStart"/>
            <w:r w:rsidRPr="00F84019">
              <w:rPr>
                <w:sz w:val="24"/>
                <w:szCs w:val="24"/>
              </w:rPr>
              <w:t>phenytoin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0D2615F7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tiagabin</w:t>
            </w:r>
            <w:proofErr w:type="spellEnd"/>
            <w:r w:rsidRPr="00F84019">
              <w:rPr>
                <w:sz w:val="24"/>
                <w:szCs w:val="24"/>
              </w:rPr>
              <w:t xml:space="preserve"> (forsigtighedsreglerne kræver klinisk monitorering og dosisjustering).</w:t>
            </w:r>
          </w:p>
          <w:p w14:paraId="09256E50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valproinsyre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(+ risiko for øget plasmaniveau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 xml:space="preserve"> og risiko for overdosering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 xml:space="preserve"> som følge af </w:t>
            </w:r>
            <w:proofErr w:type="spellStart"/>
            <w:r w:rsidRPr="00F84019">
              <w:rPr>
                <w:sz w:val="24"/>
                <w:szCs w:val="24"/>
              </w:rPr>
              <w:t>valproinsyre</w:t>
            </w:r>
            <w:proofErr w:type="spellEnd"/>
            <w:r w:rsidRPr="00F84019">
              <w:rPr>
                <w:sz w:val="24"/>
                <w:szCs w:val="24"/>
              </w:rPr>
              <w:t xml:space="preserve">-induceret nedsat metabolisme; risiko for </w:t>
            </w:r>
            <w:proofErr w:type="spellStart"/>
            <w:r w:rsidRPr="00F84019">
              <w:rPr>
                <w:sz w:val="24"/>
                <w:szCs w:val="24"/>
              </w:rPr>
              <w:t>hyperammoniæmi</w:t>
            </w:r>
            <w:proofErr w:type="spellEnd"/>
            <w:r w:rsidRPr="00F84019">
              <w:rPr>
                <w:sz w:val="24"/>
                <w:szCs w:val="24"/>
              </w:rPr>
              <w:t xml:space="preserve"> med øget risiko for encefalopati; forsigtighedsreglerne kræver monitorering af kliniske og laboratoriemæssige parametre og dosisjustering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/</w:t>
            </w:r>
            <w:proofErr w:type="spellStart"/>
            <w:r w:rsidRPr="00F84019">
              <w:rPr>
                <w:sz w:val="24"/>
                <w:szCs w:val="24"/>
              </w:rPr>
              <w:t>valproinsyre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7C05B4C5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zonisamid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(forsigtighedsreglerne kræver klinisk monitorering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01F4F53D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</w:p>
          <w:p w14:paraId="2D70C874" w14:textId="77777777" w:rsidR="00F84019" w:rsidRPr="00F84019" w:rsidRDefault="00F84019" w:rsidP="00B637FF">
            <w:pPr>
              <w:numPr>
                <w:ilvl w:val="0"/>
                <w:numId w:val="11"/>
              </w:numPr>
              <w:ind w:left="436"/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  <w:u w:val="single"/>
              </w:rPr>
              <w:t xml:space="preserve">Lægemidler, der påvirker nervesystemet* (undtagen </w:t>
            </w:r>
            <w:proofErr w:type="spellStart"/>
            <w:r w:rsidRPr="00F84019">
              <w:rPr>
                <w:sz w:val="24"/>
                <w:szCs w:val="24"/>
                <w:u w:val="single"/>
              </w:rPr>
              <w:t>antiepileptika</w:t>
            </w:r>
            <w:proofErr w:type="spellEnd"/>
            <w:r w:rsidRPr="00F84019">
              <w:rPr>
                <w:sz w:val="24"/>
                <w:szCs w:val="24"/>
                <w:u w:val="single"/>
              </w:rPr>
              <w:t xml:space="preserve">): </w:t>
            </w:r>
          </w:p>
          <w:p w14:paraId="5AC6D2D2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r w:rsidRPr="00F84019">
              <w:rPr>
                <w:b/>
                <w:bCs/>
                <w:sz w:val="24"/>
                <w:szCs w:val="24"/>
              </w:rPr>
              <w:t>benzodiazepiner</w:t>
            </w:r>
            <w:r w:rsidRPr="00F84019">
              <w:rPr>
                <w:sz w:val="24"/>
                <w:szCs w:val="24"/>
              </w:rPr>
              <w:t xml:space="preserve"> (øget risiko for CNS-depression og øget risiko for respirationsdepression, hvilket kan være fatalt i tilfælde af overdosering).</w:t>
            </w:r>
          </w:p>
          <w:p w14:paraId="1892BA7A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r w:rsidRPr="00F84019">
              <w:rPr>
                <w:b/>
                <w:bCs/>
                <w:sz w:val="24"/>
                <w:szCs w:val="24"/>
              </w:rPr>
              <w:t>opioider (inklusive fentanyl)</w:t>
            </w:r>
            <w:r w:rsidRPr="00F84019">
              <w:rPr>
                <w:sz w:val="24"/>
                <w:szCs w:val="24"/>
              </w:rPr>
              <w:t xml:space="preserve"> (øget risiko for respirationsdepression, hvilket kan være fatalt i tilfælde af overdosering).</w:t>
            </w:r>
          </w:p>
          <w:p w14:paraId="50089B48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</w:p>
          <w:p w14:paraId="753A0580" w14:textId="77777777" w:rsidR="00F84019" w:rsidRPr="00F84019" w:rsidRDefault="00F84019" w:rsidP="00B637FF">
            <w:pPr>
              <w:numPr>
                <w:ilvl w:val="0"/>
                <w:numId w:val="11"/>
              </w:numPr>
              <w:ind w:left="436"/>
              <w:rPr>
                <w:sz w:val="24"/>
                <w:szCs w:val="24"/>
                <w:u w:val="single"/>
              </w:rPr>
            </w:pPr>
            <w:proofErr w:type="spellStart"/>
            <w:r w:rsidRPr="00F84019">
              <w:rPr>
                <w:sz w:val="24"/>
                <w:szCs w:val="24"/>
                <w:u w:val="single"/>
              </w:rPr>
              <w:t>Antiinfektiva</w:t>
            </w:r>
            <w:proofErr w:type="spellEnd"/>
            <w:r w:rsidRPr="00F84019">
              <w:rPr>
                <w:sz w:val="24"/>
                <w:szCs w:val="24"/>
                <w:u w:val="single"/>
              </w:rPr>
              <w:t xml:space="preserve">: </w:t>
            </w:r>
          </w:p>
          <w:p w14:paraId="4DF1F25D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doxycyclin</w:t>
            </w:r>
            <w:proofErr w:type="spellEnd"/>
            <w:r w:rsidRPr="00F84019">
              <w:rPr>
                <w:sz w:val="24"/>
                <w:szCs w:val="24"/>
              </w:rPr>
              <w:t xml:space="preserve"> (forsigtighedsreglerne kræver klinisk monitorering og dosisjustering under kombinationen).</w:t>
            </w:r>
          </w:p>
          <w:p w14:paraId="55EBC528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metronidazol</w:t>
            </w:r>
            <w:proofErr w:type="spellEnd"/>
            <w:r w:rsidRPr="00F84019">
              <w:rPr>
                <w:sz w:val="24"/>
                <w:szCs w:val="24"/>
              </w:rPr>
              <w:t xml:space="preserve"> (forsigtighedsreglerne kræver klinisk monitorering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50F77489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</w:p>
          <w:p w14:paraId="403E7FEA" w14:textId="77777777" w:rsidR="00F84019" w:rsidRPr="00F84019" w:rsidRDefault="00F84019" w:rsidP="00B637FF">
            <w:pPr>
              <w:numPr>
                <w:ilvl w:val="0"/>
                <w:numId w:val="11"/>
              </w:numPr>
              <w:ind w:left="436"/>
              <w:rPr>
                <w:sz w:val="24"/>
                <w:szCs w:val="24"/>
                <w:u w:val="single"/>
              </w:rPr>
            </w:pPr>
            <w:proofErr w:type="spellStart"/>
            <w:r w:rsidRPr="00F84019">
              <w:rPr>
                <w:sz w:val="24"/>
                <w:szCs w:val="24"/>
                <w:u w:val="single"/>
              </w:rPr>
              <w:t>Antineoplastiske</w:t>
            </w:r>
            <w:proofErr w:type="spellEnd"/>
            <w:r w:rsidRPr="00F84019">
              <w:rPr>
                <w:sz w:val="24"/>
                <w:szCs w:val="24"/>
                <w:u w:val="single"/>
              </w:rPr>
              <w:t xml:space="preserve"> midler: </w:t>
            </w:r>
          </w:p>
          <w:p w14:paraId="38BE0D2C" w14:textId="77777777" w:rsidR="00F84019" w:rsidRPr="00F84019" w:rsidRDefault="00F84019" w:rsidP="00B637FF">
            <w:pPr>
              <w:ind w:left="436"/>
              <w:rPr>
                <w:sz w:val="24"/>
                <w:szCs w:val="24"/>
                <w:lang w:val="nb-NO"/>
              </w:rPr>
            </w:pPr>
            <w:r w:rsidRPr="00F84019">
              <w:rPr>
                <w:b/>
                <w:bCs/>
                <w:sz w:val="24"/>
                <w:szCs w:val="24"/>
                <w:lang w:val="nb-NO"/>
              </w:rPr>
              <w:t>irinotecan</w:t>
            </w:r>
            <w:r w:rsidRPr="00F84019">
              <w:rPr>
                <w:sz w:val="24"/>
                <w:szCs w:val="24"/>
                <w:lang w:val="nb-NO"/>
              </w:rPr>
              <w:t xml:space="preserve"> (+ risiko for manglende virkning).</w:t>
            </w:r>
          </w:p>
          <w:p w14:paraId="6E0C30AA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procarbazin</w:t>
            </w:r>
            <w:proofErr w:type="spellEnd"/>
            <w:r w:rsidRPr="00F84019">
              <w:rPr>
                <w:sz w:val="24"/>
                <w:szCs w:val="24"/>
              </w:rPr>
              <w:t xml:space="preserve"> (+ risiko for øgede overfølsomhedsreaktioner: </w:t>
            </w:r>
            <w:proofErr w:type="spellStart"/>
            <w:r w:rsidRPr="00F84019">
              <w:rPr>
                <w:sz w:val="24"/>
                <w:szCs w:val="24"/>
              </w:rPr>
              <w:t>hypereosinofili</w:t>
            </w:r>
            <w:proofErr w:type="spellEnd"/>
            <w:r w:rsidRPr="00F84019">
              <w:rPr>
                <w:sz w:val="24"/>
                <w:szCs w:val="24"/>
              </w:rPr>
              <w:t>, udslæt).</w:t>
            </w:r>
          </w:p>
          <w:p w14:paraId="64B3E83C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</w:p>
          <w:p w14:paraId="64E13703" w14:textId="77777777" w:rsidR="00F84019" w:rsidRPr="00F84019" w:rsidRDefault="00F84019" w:rsidP="00B637FF">
            <w:pPr>
              <w:numPr>
                <w:ilvl w:val="0"/>
                <w:numId w:val="11"/>
              </w:numPr>
              <w:ind w:left="436"/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  <w:u w:val="single"/>
              </w:rPr>
              <w:t xml:space="preserve">Antivirale midler: </w:t>
            </w:r>
          </w:p>
          <w:p w14:paraId="2F08598A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dolutegravir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(forsigtighedsreglerne kræver klinisk monitorering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6E5FC8BD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maraviroc</w:t>
            </w:r>
            <w:proofErr w:type="spellEnd"/>
            <w:r w:rsidRPr="00F84019">
              <w:rPr>
                <w:sz w:val="24"/>
                <w:szCs w:val="24"/>
              </w:rPr>
              <w:t xml:space="preserve"> (forsigtighedsreglerne kræver monitorering af kliniske og laboratoriemæssige parametre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6BA4F10B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</w:p>
          <w:p w14:paraId="31C032E6" w14:textId="77777777" w:rsidR="00F84019" w:rsidRPr="00F84019" w:rsidRDefault="00F84019" w:rsidP="00B637FF">
            <w:pPr>
              <w:numPr>
                <w:ilvl w:val="0"/>
                <w:numId w:val="11"/>
              </w:numPr>
              <w:ind w:left="436"/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  <w:u w:val="single"/>
              </w:rPr>
              <w:t xml:space="preserve">Kardiovaskulære midler: </w:t>
            </w:r>
          </w:p>
          <w:p w14:paraId="356D7DCB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r w:rsidRPr="00F84019">
              <w:rPr>
                <w:b/>
                <w:bCs/>
                <w:sz w:val="24"/>
                <w:szCs w:val="24"/>
              </w:rPr>
              <w:t>calciumblokkere</w:t>
            </w:r>
            <w:r w:rsidRPr="00F84019">
              <w:rPr>
                <w:sz w:val="24"/>
                <w:szCs w:val="24"/>
              </w:rPr>
              <w:t xml:space="preserve"> (forsigtighedsreglerne kræver monitorering af kliniske og laboratoriemæssige parametre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447F9F3A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r w:rsidRPr="00F84019">
              <w:rPr>
                <w:b/>
                <w:bCs/>
                <w:sz w:val="24"/>
                <w:szCs w:val="24"/>
              </w:rPr>
              <w:t>betablokkere</w:t>
            </w:r>
            <w:r w:rsidRPr="00F84019">
              <w:rPr>
                <w:sz w:val="24"/>
                <w:szCs w:val="24"/>
              </w:rPr>
              <w:t xml:space="preserve"> (</w:t>
            </w:r>
            <w:proofErr w:type="spellStart"/>
            <w:r w:rsidRPr="00F84019">
              <w:rPr>
                <w:sz w:val="24"/>
                <w:szCs w:val="24"/>
              </w:rPr>
              <w:t>metoprolol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propranolol</w:t>
            </w:r>
            <w:proofErr w:type="spellEnd"/>
            <w:r w:rsidRPr="00F84019">
              <w:rPr>
                <w:sz w:val="24"/>
                <w:szCs w:val="24"/>
              </w:rPr>
              <w:t>) (+ risiko for manglende virkning).</w:t>
            </w:r>
          </w:p>
          <w:p w14:paraId="6F0C3CAC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r w:rsidRPr="00F84019">
              <w:rPr>
                <w:b/>
                <w:bCs/>
                <w:sz w:val="24"/>
                <w:szCs w:val="24"/>
              </w:rPr>
              <w:t>klasse IA-</w:t>
            </w:r>
            <w:proofErr w:type="spellStart"/>
            <w:r w:rsidRPr="00F84019">
              <w:rPr>
                <w:b/>
                <w:bCs/>
                <w:sz w:val="24"/>
                <w:szCs w:val="24"/>
              </w:rPr>
              <w:t>antiarytmika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(+ risiko for manglende virkning; forsigtighedsreglerne kræver monitorering (klinisk, ekg, laboratorieparametre)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43809310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propafenon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(forsigtighedsreglerne kræver klinisk monitorering (ekg)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36969AF7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</w:p>
          <w:p w14:paraId="4AC3BA84" w14:textId="77777777" w:rsidR="00F84019" w:rsidRPr="00F84019" w:rsidRDefault="00F84019" w:rsidP="00B637FF">
            <w:pPr>
              <w:numPr>
                <w:ilvl w:val="0"/>
                <w:numId w:val="11"/>
              </w:numPr>
              <w:ind w:left="436"/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  <w:u w:val="single"/>
              </w:rPr>
              <w:t xml:space="preserve">Hormonelle midler: </w:t>
            </w:r>
          </w:p>
          <w:p w14:paraId="51D72A0D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r w:rsidRPr="00F84019">
              <w:rPr>
                <w:b/>
                <w:bCs/>
                <w:sz w:val="24"/>
                <w:szCs w:val="24"/>
              </w:rPr>
              <w:t xml:space="preserve">androgener </w:t>
            </w:r>
            <w:r w:rsidRPr="00F84019">
              <w:rPr>
                <w:sz w:val="24"/>
                <w:szCs w:val="24"/>
              </w:rPr>
              <w:t xml:space="preserve">(+ risiko for manglende virkning; forsigtighedsreglerne kræver monitorering af kliniske og laboratoriemæssige parametre under kombinationen og i 1-2 uger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4675153B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glukokortikosteroider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og </w:t>
            </w:r>
            <w:proofErr w:type="spellStart"/>
            <w:r w:rsidRPr="00F84019">
              <w:rPr>
                <w:b/>
                <w:bCs/>
                <w:sz w:val="24"/>
                <w:szCs w:val="24"/>
              </w:rPr>
              <w:t>mineralkortikosteroider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(+ risiko for manglende virkning; forsigtighedsreglerne kræver monitorering af kliniske og laboratoriemæssige parametre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14BC507A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</w:p>
          <w:p w14:paraId="17681C35" w14:textId="77777777" w:rsidR="00F84019" w:rsidRPr="00F84019" w:rsidRDefault="00F84019" w:rsidP="00B637FF">
            <w:pPr>
              <w:numPr>
                <w:ilvl w:val="0"/>
                <w:numId w:val="11"/>
              </w:numPr>
              <w:ind w:left="436"/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  <w:u w:val="single"/>
              </w:rPr>
              <w:t xml:space="preserve">Andre terapeutiske klasser: </w:t>
            </w:r>
          </w:p>
          <w:p w14:paraId="100EE676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folater</w:t>
            </w:r>
            <w:proofErr w:type="spellEnd"/>
            <w:r w:rsidRPr="00F84019">
              <w:rPr>
                <w:sz w:val="24"/>
                <w:szCs w:val="24"/>
              </w:rPr>
              <w:t xml:space="preserve"> (forsigtighedsreglerne kræver monitorering af kliniske og laboratoriemæssige parametre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folater</w:t>
            </w:r>
            <w:proofErr w:type="spellEnd"/>
            <w:r w:rsidRPr="00F84019">
              <w:rPr>
                <w:sz w:val="24"/>
                <w:szCs w:val="24"/>
              </w:rPr>
              <w:t xml:space="preserve">). </w:t>
            </w:r>
            <w:proofErr w:type="spellStart"/>
            <w:r w:rsidRPr="00F84019">
              <w:rPr>
                <w:b/>
                <w:bCs/>
                <w:sz w:val="24"/>
                <w:szCs w:val="24"/>
              </w:rPr>
              <w:t>immunsuppressiva</w:t>
            </w:r>
            <w:proofErr w:type="spellEnd"/>
            <w:r w:rsidRPr="00F84019">
              <w:rPr>
                <w:sz w:val="24"/>
                <w:szCs w:val="24"/>
              </w:rPr>
              <w:t xml:space="preserve"> (</w:t>
            </w:r>
            <w:proofErr w:type="spellStart"/>
            <w:r w:rsidRPr="00F84019">
              <w:rPr>
                <w:sz w:val="24"/>
                <w:szCs w:val="24"/>
              </w:rPr>
              <w:t>ciclosporin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tacrolimus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sirolimus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everolimus</w:t>
            </w:r>
            <w:proofErr w:type="spellEnd"/>
            <w:r w:rsidRPr="00F84019">
              <w:rPr>
                <w:sz w:val="24"/>
                <w:szCs w:val="24"/>
              </w:rPr>
              <w:t xml:space="preserve">) (+ risiko for manglende virkning; forsigtighedsreglerne kræver monitorering af laboratoriemæssige parametre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26AC021A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jernkelatorer</w:t>
            </w:r>
            <w:proofErr w:type="spellEnd"/>
            <w:r w:rsidRPr="00F84019">
              <w:rPr>
                <w:sz w:val="24"/>
                <w:szCs w:val="24"/>
              </w:rPr>
              <w:t xml:space="preserve"> (</w:t>
            </w:r>
            <w:proofErr w:type="spellStart"/>
            <w:r w:rsidRPr="00F84019">
              <w:rPr>
                <w:sz w:val="24"/>
                <w:szCs w:val="24"/>
              </w:rPr>
              <w:t>deferasirox</w:t>
            </w:r>
            <w:proofErr w:type="spellEnd"/>
            <w:r w:rsidRPr="00F84019">
              <w:rPr>
                <w:sz w:val="24"/>
                <w:szCs w:val="24"/>
              </w:rPr>
              <w:t xml:space="preserve">) (forsigtighedsreglerne kræver monitorering af blodniveauet af jern og dosisjustering under kombinationen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2FD972FE" w14:textId="77777777" w:rsidR="00F84019" w:rsidRPr="00F84019" w:rsidRDefault="00F84019" w:rsidP="00B637FF">
            <w:pPr>
              <w:ind w:left="436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theophyllin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og </w:t>
            </w:r>
            <w:proofErr w:type="spellStart"/>
            <w:r w:rsidRPr="00F84019">
              <w:rPr>
                <w:b/>
                <w:bCs/>
                <w:sz w:val="24"/>
                <w:szCs w:val="24"/>
              </w:rPr>
              <w:t>montelukast</w:t>
            </w:r>
            <w:proofErr w:type="spellEnd"/>
            <w:r w:rsidRPr="00F84019">
              <w:rPr>
                <w:sz w:val="24"/>
                <w:szCs w:val="24"/>
              </w:rPr>
              <w:t xml:space="preserve"> (+ risiko for manglende virkning; forsigtighedsreglerne kræver klinisk monitorering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</w:tc>
      </w:tr>
      <w:tr w:rsidR="00F84019" w:rsidRPr="00F84019" w14:paraId="15D2E586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ED60" w14:textId="77777777" w:rsidR="00F84019" w:rsidRPr="00F84019" w:rsidRDefault="00F84019" w:rsidP="00B637FF">
            <w:pPr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</w:rPr>
              <w:t xml:space="preserve">Risiko for øget plasmakoncentration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 xml:space="preserve"> på grund af øget metabolisme induceret af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50FE" w14:textId="77777777" w:rsidR="00F84019" w:rsidRPr="00F84019" w:rsidRDefault="00F84019" w:rsidP="007A49A8">
            <w:pPr>
              <w:numPr>
                <w:ilvl w:val="0"/>
                <w:numId w:val="11"/>
              </w:numPr>
              <w:ind w:left="436"/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  <w:u w:val="single"/>
              </w:rPr>
              <w:t xml:space="preserve">Andre </w:t>
            </w:r>
            <w:proofErr w:type="spellStart"/>
            <w:r w:rsidRPr="00F84019">
              <w:rPr>
                <w:sz w:val="24"/>
                <w:szCs w:val="24"/>
                <w:u w:val="single"/>
              </w:rPr>
              <w:t>antiepileptika</w:t>
            </w:r>
            <w:proofErr w:type="spellEnd"/>
            <w:r w:rsidRPr="00F84019">
              <w:rPr>
                <w:sz w:val="24"/>
                <w:szCs w:val="24"/>
                <w:u w:val="single"/>
              </w:rPr>
              <w:t>:</w:t>
            </w:r>
          </w:p>
          <w:p w14:paraId="2986074D" w14:textId="509A24E7" w:rsidR="00F84019" w:rsidRPr="00F84019" w:rsidRDefault="007A49A8" w:rsidP="007A49A8">
            <w:pPr>
              <w:ind w:left="436" w:hanging="360"/>
              <w:rPr>
                <w:sz w:val="24"/>
                <w:szCs w:val="24"/>
              </w:rPr>
            </w:pPr>
            <w:r w:rsidRPr="00C5265F">
              <w:rPr>
                <w:b/>
                <w:bCs/>
                <w:sz w:val="24"/>
                <w:szCs w:val="24"/>
              </w:rPr>
              <w:tab/>
            </w:r>
            <w:proofErr w:type="spellStart"/>
            <w:r w:rsidR="00F84019" w:rsidRPr="00F84019">
              <w:rPr>
                <w:b/>
                <w:bCs/>
                <w:sz w:val="24"/>
                <w:szCs w:val="24"/>
              </w:rPr>
              <w:t>stiripentol</w:t>
            </w:r>
            <w:proofErr w:type="spellEnd"/>
            <w:r w:rsidR="00F84019" w:rsidRPr="00F84019">
              <w:rPr>
                <w:sz w:val="24"/>
                <w:szCs w:val="24"/>
              </w:rPr>
              <w:t xml:space="preserve"> (forsigtighedsreglerne kræver monitorering af kliniske og laboratoriemæssige parametre og dosisjustering af </w:t>
            </w:r>
            <w:proofErr w:type="spellStart"/>
            <w:r w:rsidR="00F84019" w:rsidRPr="00F84019">
              <w:rPr>
                <w:sz w:val="24"/>
                <w:szCs w:val="24"/>
              </w:rPr>
              <w:t>primidon</w:t>
            </w:r>
            <w:proofErr w:type="spellEnd"/>
            <w:r w:rsidR="00F84019" w:rsidRPr="00F84019">
              <w:rPr>
                <w:sz w:val="24"/>
                <w:szCs w:val="24"/>
              </w:rPr>
              <w:t>).</w:t>
            </w:r>
          </w:p>
        </w:tc>
      </w:tr>
      <w:tr w:rsidR="00F84019" w:rsidRPr="00F84019" w14:paraId="5BB6A4C1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0345" w14:textId="77777777" w:rsidR="00F84019" w:rsidRPr="00F84019" w:rsidRDefault="00F84019" w:rsidP="00B637FF">
            <w:pPr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</w:rPr>
              <w:t xml:space="preserve">Risiko for manglende virkning og </w:t>
            </w:r>
            <w:proofErr w:type="spellStart"/>
            <w:r w:rsidRPr="00F84019">
              <w:rPr>
                <w:sz w:val="24"/>
                <w:szCs w:val="24"/>
              </w:rPr>
              <w:t>seponeringssyndrom</w:t>
            </w:r>
            <w:proofErr w:type="spellEnd"/>
            <w:r w:rsidRPr="00F84019">
              <w:rPr>
                <w:sz w:val="24"/>
                <w:szCs w:val="24"/>
              </w:rPr>
              <w:t xml:space="preserve"> på grund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-induceret øget metabolisme for: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53BF" w14:textId="77777777" w:rsidR="00F84019" w:rsidRPr="00F84019" w:rsidRDefault="00F84019" w:rsidP="007A49A8">
            <w:pPr>
              <w:numPr>
                <w:ilvl w:val="0"/>
                <w:numId w:val="11"/>
              </w:numPr>
              <w:ind w:left="436"/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  <w:u w:val="single"/>
              </w:rPr>
              <w:t xml:space="preserve">Lægemidler, der påvirker nervesystemet* (undtagen </w:t>
            </w:r>
            <w:proofErr w:type="spellStart"/>
            <w:r w:rsidRPr="00F84019">
              <w:rPr>
                <w:sz w:val="24"/>
                <w:szCs w:val="24"/>
                <w:u w:val="single"/>
              </w:rPr>
              <w:t>antiepileptika</w:t>
            </w:r>
            <w:proofErr w:type="spellEnd"/>
            <w:r w:rsidRPr="00F84019">
              <w:rPr>
                <w:sz w:val="24"/>
                <w:szCs w:val="24"/>
                <w:u w:val="single"/>
              </w:rPr>
              <w:t xml:space="preserve">): </w:t>
            </w:r>
          </w:p>
          <w:p w14:paraId="0A578C86" w14:textId="77777777" w:rsidR="00F84019" w:rsidRPr="00F84019" w:rsidRDefault="00F84019" w:rsidP="007A49A8">
            <w:pPr>
              <w:ind w:left="436"/>
              <w:rPr>
                <w:sz w:val="24"/>
                <w:szCs w:val="24"/>
                <w:u w:val="single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methadon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(forsigtighedsreglerne kræver monitorering og dosisjustering under kombinationen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</w:tc>
      </w:tr>
      <w:tr w:rsidR="00F84019" w:rsidRPr="00F84019" w14:paraId="1E1EEEE1" w14:textId="77777777" w:rsidTr="00B637F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32C" w14:textId="77777777" w:rsidR="00F84019" w:rsidRPr="00F84019" w:rsidRDefault="00F84019" w:rsidP="00B637FF">
            <w:pPr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Risiko for manglende virkning på grund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-induceret øget metabolisme for:</w:t>
            </w:r>
          </w:p>
          <w:p w14:paraId="63784767" w14:textId="77777777" w:rsidR="00F84019" w:rsidRPr="00F84019" w:rsidRDefault="00F84019" w:rsidP="00B637F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202" w14:textId="77777777" w:rsidR="00F84019" w:rsidRPr="00F84019" w:rsidRDefault="00F84019" w:rsidP="007A49A8">
            <w:pPr>
              <w:numPr>
                <w:ilvl w:val="0"/>
                <w:numId w:val="11"/>
              </w:numPr>
              <w:ind w:left="432"/>
              <w:rPr>
                <w:sz w:val="24"/>
                <w:szCs w:val="24"/>
                <w:u w:val="single"/>
              </w:rPr>
            </w:pPr>
            <w:proofErr w:type="spellStart"/>
            <w:r w:rsidRPr="00F84019">
              <w:rPr>
                <w:sz w:val="24"/>
                <w:szCs w:val="24"/>
                <w:u w:val="single"/>
              </w:rPr>
              <w:t>Antiinfektiva</w:t>
            </w:r>
            <w:proofErr w:type="spellEnd"/>
            <w:r w:rsidRPr="00F84019">
              <w:rPr>
                <w:sz w:val="24"/>
                <w:szCs w:val="24"/>
                <w:u w:val="single"/>
              </w:rPr>
              <w:t xml:space="preserve">: </w:t>
            </w:r>
          </w:p>
          <w:p w14:paraId="0A83264F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quinin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(+ risiko for øget </w:t>
            </w:r>
            <w:proofErr w:type="spellStart"/>
            <w:r w:rsidRPr="00F84019">
              <w:rPr>
                <w:sz w:val="24"/>
                <w:szCs w:val="24"/>
              </w:rPr>
              <w:t>phenobarbitalkoncentration</w:t>
            </w:r>
            <w:proofErr w:type="spellEnd"/>
            <w:r w:rsidRPr="00F84019">
              <w:rPr>
                <w:sz w:val="24"/>
                <w:szCs w:val="24"/>
              </w:rPr>
              <w:t xml:space="preserve"> og mulig toksicitet; forsigtighedsreglerne kræver klinisk monitorering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64616549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</w:p>
          <w:p w14:paraId="07779164" w14:textId="77777777" w:rsidR="00F84019" w:rsidRPr="00F84019" w:rsidRDefault="00F84019" w:rsidP="007A49A8">
            <w:pPr>
              <w:numPr>
                <w:ilvl w:val="0"/>
                <w:numId w:val="11"/>
              </w:numPr>
              <w:ind w:left="432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F84019">
              <w:rPr>
                <w:sz w:val="24"/>
                <w:szCs w:val="24"/>
                <w:u w:val="single"/>
              </w:rPr>
              <w:t>Antineoplastiske</w:t>
            </w:r>
            <w:proofErr w:type="spellEnd"/>
            <w:r w:rsidRPr="00F84019">
              <w:rPr>
                <w:sz w:val="24"/>
                <w:szCs w:val="24"/>
                <w:u w:val="single"/>
              </w:rPr>
              <w:t xml:space="preserve"> midler: </w:t>
            </w:r>
          </w:p>
          <w:p w14:paraId="11116413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cabazitaxel</w:t>
            </w:r>
            <w:proofErr w:type="spellEnd"/>
            <w:r w:rsidRPr="00F84019">
              <w:rPr>
                <w:sz w:val="24"/>
                <w:szCs w:val="24"/>
              </w:rPr>
              <w:t>,</w:t>
            </w:r>
            <w:r w:rsidRPr="00F8401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4019">
              <w:rPr>
                <w:b/>
                <w:bCs/>
                <w:sz w:val="24"/>
                <w:szCs w:val="24"/>
              </w:rPr>
              <w:t>docetaxel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6338EFF6" w14:textId="77777777" w:rsidR="00F84019" w:rsidRPr="00F84019" w:rsidRDefault="00F84019" w:rsidP="007A49A8">
            <w:pPr>
              <w:ind w:left="432"/>
              <w:rPr>
                <w:b/>
                <w:bCs/>
                <w:sz w:val="24"/>
                <w:szCs w:val="24"/>
              </w:rPr>
            </w:pPr>
          </w:p>
          <w:p w14:paraId="1A5AA003" w14:textId="77777777" w:rsidR="00F84019" w:rsidRPr="00F84019" w:rsidRDefault="00F84019" w:rsidP="007A49A8">
            <w:pPr>
              <w:numPr>
                <w:ilvl w:val="0"/>
                <w:numId w:val="11"/>
              </w:numPr>
              <w:ind w:left="432"/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  <w:u w:val="single"/>
              </w:rPr>
              <w:t>Antivirale midler:</w:t>
            </w:r>
          </w:p>
          <w:p w14:paraId="21B95F4B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proteasehæmmere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i kombination med ritonavir </w:t>
            </w:r>
            <w:r w:rsidRPr="00F84019">
              <w:rPr>
                <w:sz w:val="24"/>
                <w:szCs w:val="24"/>
              </w:rPr>
              <w:t>(</w:t>
            </w:r>
            <w:proofErr w:type="spellStart"/>
            <w:r w:rsidRPr="00F84019">
              <w:rPr>
                <w:sz w:val="24"/>
                <w:szCs w:val="24"/>
              </w:rPr>
              <w:t>amprenavir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atazanavir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darunavir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fosamprenavir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indinavir</w:t>
            </w:r>
            <w:proofErr w:type="spellEnd"/>
            <w:r w:rsidRPr="00F84019">
              <w:rPr>
                <w:sz w:val="24"/>
                <w:szCs w:val="24"/>
              </w:rPr>
              <w:t xml:space="preserve">, lopinavir, </w:t>
            </w:r>
            <w:proofErr w:type="spellStart"/>
            <w:r w:rsidRPr="00F84019">
              <w:rPr>
                <w:sz w:val="24"/>
                <w:szCs w:val="24"/>
              </w:rPr>
              <w:t>saquinavir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tipranavir</w:t>
            </w:r>
            <w:proofErr w:type="spellEnd"/>
            <w:r w:rsidRPr="00F84019">
              <w:rPr>
                <w:sz w:val="24"/>
                <w:szCs w:val="24"/>
              </w:rPr>
              <w:t>)</w:t>
            </w:r>
            <w:r w:rsidRPr="00F84019">
              <w:rPr>
                <w:b/>
                <w:bCs/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(risiko for nedsat </w:t>
            </w:r>
            <w:proofErr w:type="spellStart"/>
            <w:r w:rsidRPr="00F84019">
              <w:rPr>
                <w:sz w:val="24"/>
                <w:szCs w:val="24"/>
              </w:rPr>
              <w:t>primidonkoncentration</w:t>
            </w:r>
            <w:proofErr w:type="spellEnd"/>
            <w:r w:rsidRPr="00F84019">
              <w:rPr>
                <w:sz w:val="24"/>
                <w:szCs w:val="24"/>
              </w:rPr>
              <w:t xml:space="preserve"> som følge af signifikante CYP3A4-hæmmende egenskaber ved kombination af </w:t>
            </w:r>
            <w:proofErr w:type="spellStart"/>
            <w:r w:rsidRPr="00F84019">
              <w:rPr>
                <w:sz w:val="24"/>
                <w:szCs w:val="24"/>
              </w:rPr>
              <w:t>proteasehæmmere</w:t>
            </w:r>
            <w:proofErr w:type="spellEnd"/>
            <w:r w:rsidRPr="00F84019">
              <w:rPr>
                <w:sz w:val="24"/>
                <w:szCs w:val="24"/>
              </w:rPr>
              <w:t xml:space="preserve"> og ritonavir; forsigtighedsreglerne kræver monitorering af kliniske og laboratoriemæssige parametre, især i starten af behandlingen).</w:t>
            </w:r>
          </w:p>
          <w:p w14:paraId="5F898FAB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</w:p>
          <w:p w14:paraId="3B5981A4" w14:textId="77777777" w:rsidR="00F84019" w:rsidRPr="00F84019" w:rsidRDefault="00F84019" w:rsidP="007A49A8">
            <w:pPr>
              <w:numPr>
                <w:ilvl w:val="0"/>
                <w:numId w:val="11"/>
              </w:numPr>
              <w:ind w:left="432"/>
              <w:rPr>
                <w:sz w:val="24"/>
                <w:szCs w:val="24"/>
                <w:u w:val="single"/>
              </w:rPr>
            </w:pPr>
            <w:proofErr w:type="spellStart"/>
            <w:r w:rsidRPr="00F84019">
              <w:rPr>
                <w:sz w:val="24"/>
                <w:szCs w:val="24"/>
                <w:u w:val="single"/>
              </w:rPr>
              <w:t>Antimykotika</w:t>
            </w:r>
            <w:proofErr w:type="spellEnd"/>
            <w:r w:rsidRPr="00F84019">
              <w:rPr>
                <w:sz w:val="24"/>
                <w:szCs w:val="24"/>
                <w:u w:val="single"/>
              </w:rPr>
              <w:t xml:space="preserve">: </w:t>
            </w:r>
          </w:p>
          <w:p w14:paraId="73CF4758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albendazol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b/>
                <w:bCs/>
                <w:sz w:val="24"/>
                <w:szCs w:val="24"/>
              </w:rPr>
              <w:t>posaconazol</w:t>
            </w:r>
            <w:proofErr w:type="spellEnd"/>
            <w:r w:rsidRPr="00F84019">
              <w:rPr>
                <w:sz w:val="24"/>
                <w:szCs w:val="24"/>
              </w:rPr>
              <w:t xml:space="preserve"> (forsigtighedsreglerne kræver klinisk monitorering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71F0E1D8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</w:p>
          <w:p w14:paraId="41150472" w14:textId="77777777" w:rsidR="00F84019" w:rsidRPr="00F84019" w:rsidRDefault="00F84019" w:rsidP="007A49A8">
            <w:pPr>
              <w:numPr>
                <w:ilvl w:val="0"/>
                <w:numId w:val="11"/>
              </w:numPr>
              <w:ind w:left="432"/>
              <w:rPr>
                <w:sz w:val="24"/>
                <w:szCs w:val="24"/>
                <w:u w:val="single"/>
              </w:rPr>
            </w:pPr>
            <w:proofErr w:type="spellStart"/>
            <w:r w:rsidRPr="00F84019">
              <w:rPr>
                <w:sz w:val="24"/>
                <w:szCs w:val="24"/>
                <w:u w:val="single"/>
              </w:rPr>
              <w:t>Antikoagulantia</w:t>
            </w:r>
            <w:proofErr w:type="spellEnd"/>
            <w:r w:rsidRPr="00F84019">
              <w:rPr>
                <w:sz w:val="24"/>
                <w:szCs w:val="24"/>
                <w:u w:val="single"/>
              </w:rPr>
              <w:t>:</w:t>
            </w:r>
          </w:p>
          <w:p w14:paraId="5E584F52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  <w:r w:rsidRPr="00F84019">
              <w:rPr>
                <w:b/>
                <w:bCs/>
                <w:sz w:val="24"/>
                <w:szCs w:val="24"/>
              </w:rPr>
              <w:t>vitamin K-antagonister</w:t>
            </w:r>
            <w:r w:rsidRPr="00F84019">
              <w:rPr>
                <w:sz w:val="24"/>
                <w:szCs w:val="24"/>
              </w:rPr>
              <w:t xml:space="preserve"> (</w:t>
            </w:r>
            <w:proofErr w:type="spellStart"/>
            <w:r w:rsidRPr="00F84019">
              <w:rPr>
                <w:sz w:val="24"/>
                <w:szCs w:val="24"/>
              </w:rPr>
              <w:t>acenocoumarol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fluindion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phenindion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warfarin</w:t>
            </w:r>
            <w:proofErr w:type="spellEnd"/>
            <w:r w:rsidRPr="00F84019">
              <w:rPr>
                <w:sz w:val="24"/>
                <w:szCs w:val="24"/>
              </w:rPr>
              <w:t xml:space="preserve">): INR-monitorering og dosisjustering er påkrævet under kombinationen og 8 dage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  <w:p w14:paraId="7CE7E8AF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</w:p>
          <w:p w14:paraId="67D670FE" w14:textId="77777777" w:rsidR="00F84019" w:rsidRPr="00F84019" w:rsidRDefault="00F84019" w:rsidP="007A49A8">
            <w:pPr>
              <w:numPr>
                <w:ilvl w:val="0"/>
                <w:numId w:val="11"/>
              </w:numPr>
              <w:ind w:left="432"/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  <w:u w:val="single"/>
              </w:rPr>
              <w:t>Kardiovaskulære midler:</w:t>
            </w:r>
          </w:p>
          <w:p w14:paraId="28B99E03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ivabradin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(forsigtighedsreglerne kræver klinisk monitorering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  <w:p w14:paraId="73EF957B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</w:p>
          <w:p w14:paraId="494678F5" w14:textId="77777777" w:rsidR="00F84019" w:rsidRPr="00F84019" w:rsidRDefault="00F84019" w:rsidP="007A49A8">
            <w:pPr>
              <w:numPr>
                <w:ilvl w:val="0"/>
                <w:numId w:val="11"/>
              </w:numPr>
              <w:ind w:left="432"/>
              <w:rPr>
                <w:sz w:val="24"/>
                <w:szCs w:val="24"/>
                <w:u w:val="single"/>
              </w:rPr>
            </w:pPr>
            <w:r w:rsidRPr="00F84019">
              <w:rPr>
                <w:sz w:val="24"/>
                <w:szCs w:val="24"/>
                <w:u w:val="single"/>
              </w:rPr>
              <w:t>Hormonelle midler:</w:t>
            </w:r>
          </w:p>
          <w:p w14:paraId="2F9B30C9" w14:textId="77777777" w:rsidR="00F84019" w:rsidRPr="00F84019" w:rsidRDefault="00F84019" w:rsidP="007A49A8">
            <w:pPr>
              <w:ind w:left="432"/>
              <w:rPr>
                <w:sz w:val="24"/>
                <w:szCs w:val="24"/>
              </w:rPr>
            </w:pPr>
            <w:proofErr w:type="spellStart"/>
            <w:r w:rsidRPr="00F84019">
              <w:rPr>
                <w:b/>
                <w:bCs/>
                <w:sz w:val="24"/>
                <w:szCs w:val="24"/>
              </w:rPr>
              <w:t>thyreoideahormoner</w:t>
            </w:r>
            <w:proofErr w:type="spellEnd"/>
            <w:r w:rsidRPr="00F84019">
              <w:rPr>
                <w:sz w:val="24"/>
                <w:szCs w:val="24"/>
              </w:rPr>
              <w:t xml:space="preserve"> (forsigtighedsreglerne kræver monitorering af laboratoriemæssige parametre (plasmaniveauet af T3 og T4) og dosisjustering under kombinationen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 xml:space="preserve">); </w:t>
            </w:r>
          </w:p>
          <w:p w14:paraId="6FAB6A6E" w14:textId="77777777" w:rsidR="00F84019" w:rsidRPr="00F84019" w:rsidRDefault="00F84019" w:rsidP="007A49A8">
            <w:pPr>
              <w:ind w:left="432"/>
              <w:rPr>
                <w:sz w:val="24"/>
                <w:szCs w:val="24"/>
                <w:u w:val="single"/>
              </w:rPr>
            </w:pPr>
            <w:r w:rsidRPr="00F84019">
              <w:rPr>
                <w:b/>
                <w:bCs/>
                <w:sz w:val="24"/>
                <w:szCs w:val="24"/>
              </w:rPr>
              <w:t>ikke-</w:t>
            </w:r>
            <w:proofErr w:type="spellStart"/>
            <w:r w:rsidRPr="00F84019">
              <w:rPr>
                <w:b/>
                <w:bCs/>
                <w:sz w:val="24"/>
                <w:szCs w:val="24"/>
              </w:rPr>
              <w:t>kontraceptiv</w:t>
            </w:r>
            <w:proofErr w:type="spellEnd"/>
            <w:r w:rsidRPr="00F84019">
              <w:rPr>
                <w:b/>
                <w:bCs/>
                <w:sz w:val="24"/>
                <w:szCs w:val="24"/>
              </w:rPr>
              <w:t xml:space="preserve"> østrogen-gestagen-kombination </w:t>
            </w:r>
            <w:r w:rsidRPr="00F84019">
              <w:rPr>
                <w:sz w:val="24"/>
                <w:szCs w:val="24"/>
              </w:rPr>
              <w:t xml:space="preserve">(forsigtighedsreglerne kræver klinisk monitorering og dosisjustering under kombinationen og efter </w:t>
            </w:r>
            <w:proofErr w:type="spellStart"/>
            <w:r w:rsidRPr="00F84019">
              <w:rPr>
                <w:sz w:val="24"/>
                <w:szCs w:val="24"/>
              </w:rPr>
              <w:t>seponering</w:t>
            </w:r>
            <w:proofErr w:type="spellEnd"/>
            <w:r w:rsidRPr="00F84019">
              <w:rPr>
                <w:sz w:val="24"/>
                <w:szCs w:val="24"/>
              </w:rPr>
              <w:t xml:space="preserve"> af </w:t>
            </w:r>
            <w:proofErr w:type="spellStart"/>
            <w:r w:rsidRPr="00F84019">
              <w:rPr>
                <w:sz w:val="24"/>
                <w:szCs w:val="24"/>
              </w:rPr>
              <w:t>primidon</w:t>
            </w:r>
            <w:proofErr w:type="spellEnd"/>
            <w:r w:rsidRPr="00F84019">
              <w:rPr>
                <w:sz w:val="24"/>
                <w:szCs w:val="24"/>
              </w:rPr>
              <w:t>).</w:t>
            </w:r>
          </w:p>
        </w:tc>
      </w:tr>
    </w:tbl>
    <w:p w14:paraId="23BEFD64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  <w:r w:rsidRPr="00F84019">
        <w:rPr>
          <w:sz w:val="24"/>
          <w:szCs w:val="24"/>
        </w:rPr>
        <w:t>* De lægemidler, der påvirker nervesystemet, indebærer også øget risiko for additiv CNS-depression.</w:t>
      </w:r>
    </w:p>
    <w:p w14:paraId="602AAD88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0502E52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4.6</w:t>
      </w:r>
      <w:r w:rsidRPr="00C5265F">
        <w:rPr>
          <w:b/>
          <w:sz w:val="24"/>
          <w:szCs w:val="24"/>
        </w:rPr>
        <w:tab/>
      </w:r>
      <w:r w:rsidR="0071241E" w:rsidRPr="00C5265F">
        <w:rPr>
          <w:b/>
          <w:sz w:val="24"/>
          <w:szCs w:val="24"/>
        </w:rPr>
        <w:t>Fertilitet, g</w:t>
      </w:r>
      <w:r w:rsidRPr="00C5265F">
        <w:rPr>
          <w:b/>
          <w:sz w:val="24"/>
          <w:szCs w:val="24"/>
        </w:rPr>
        <w:t>raviditet og amning</w:t>
      </w:r>
    </w:p>
    <w:p w14:paraId="597DA9FF" w14:textId="77777777" w:rsidR="007A49A8" w:rsidRPr="00C5265F" w:rsidRDefault="007A49A8" w:rsidP="007A49A8">
      <w:pPr>
        <w:ind w:left="851"/>
        <w:rPr>
          <w:sz w:val="24"/>
          <w:szCs w:val="24"/>
          <w:u w:val="single"/>
        </w:rPr>
      </w:pPr>
    </w:p>
    <w:p w14:paraId="0B216CED" w14:textId="43136104" w:rsidR="00F84019" w:rsidRPr="00F84019" w:rsidRDefault="00F84019" w:rsidP="007A49A8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Graviditet</w:t>
      </w:r>
    </w:p>
    <w:p w14:paraId="1C5C6D48" w14:textId="77777777" w:rsidR="00F84019" w:rsidRPr="00F84019" w:rsidRDefault="00F84019" w:rsidP="007A49A8">
      <w:pPr>
        <w:ind w:left="851"/>
        <w:rPr>
          <w:i/>
          <w:iCs/>
          <w:sz w:val="24"/>
          <w:szCs w:val="24"/>
        </w:rPr>
      </w:pPr>
      <w:r w:rsidRPr="00F84019">
        <w:rPr>
          <w:i/>
          <w:iCs/>
          <w:sz w:val="24"/>
          <w:szCs w:val="24"/>
        </w:rPr>
        <w:t xml:space="preserve">Risici forbundet med </w:t>
      </w:r>
      <w:proofErr w:type="spellStart"/>
      <w:r w:rsidRPr="00F84019">
        <w:rPr>
          <w:i/>
          <w:iCs/>
          <w:sz w:val="24"/>
          <w:szCs w:val="24"/>
        </w:rPr>
        <w:t>antiepileptika</w:t>
      </w:r>
      <w:proofErr w:type="spellEnd"/>
      <w:r w:rsidRPr="00F84019">
        <w:rPr>
          <w:i/>
          <w:iCs/>
          <w:sz w:val="24"/>
          <w:szCs w:val="24"/>
        </w:rPr>
        <w:t xml:space="preserve"> generelt</w:t>
      </w:r>
    </w:p>
    <w:p w14:paraId="20D92AF1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Alle kvinder i den fertile alder, der får antiepileptisk behandling, skal have specialiseret lægerådgivning vedrørende de potentielle risici for et foster som følge af både anfald og antiepileptisk behandling, i særdeleshed kvinder, der planlægger at blive gravide, og kvinder, der er gravide.</w:t>
      </w:r>
    </w:p>
    <w:p w14:paraId="4651137A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2F650471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Brat </w:t>
      </w:r>
      <w:proofErr w:type="spellStart"/>
      <w:r w:rsidRPr="00F84019">
        <w:rPr>
          <w:sz w:val="24"/>
          <w:szCs w:val="24"/>
        </w:rPr>
        <w:t>seponering</w:t>
      </w:r>
      <w:proofErr w:type="spellEnd"/>
      <w:r w:rsidRPr="00F84019">
        <w:rPr>
          <w:sz w:val="24"/>
          <w:szCs w:val="24"/>
        </w:rPr>
        <w:t xml:space="preserve"> af </w:t>
      </w:r>
      <w:proofErr w:type="spellStart"/>
      <w:r w:rsidRPr="00F84019">
        <w:rPr>
          <w:sz w:val="24"/>
          <w:szCs w:val="24"/>
        </w:rPr>
        <w:t>antiepileptika</w:t>
      </w:r>
      <w:proofErr w:type="spellEnd"/>
      <w:r w:rsidRPr="00F84019">
        <w:rPr>
          <w:sz w:val="24"/>
          <w:szCs w:val="24"/>
        </w:rPr>
        <w:t xml:space="preserve"> skal undgås, da det kan føre til anfald, hvilket kan have alvorlige konsekvenser for både kvinden og det ufødte barn.</w:t>
      </w:r>
    </w:p>
    <w:p w14:paraId="516823B7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232EF3F5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Monoterapi er at foretrække til behandling af epilepsi under graviditet i det omfang, det er muligt, idet behandling med flere </w:t>
      </w:r>
      <w:proofErr w:type="spellStart"/>
      <w:r w:rsidRPr="00F84019">
        <w:rPr>
          <w:sz w:val="24"/>
          <w:szCs w:val="24"/>
        </w:rPr>
        <w:t>antiepileptika</w:t>
      </w:r>
      <w:proofErr w:type="spellEnd"/>
      <w:r w:rsidRPr="00F84019">
        <w:rPr>
          <w:sz w:val="24"/>
          <w:szCs w:val="24"/>
        </w:rPr>
        <w:t xml:space="preserve"> kan være forbundet med en højere risiko for medfødte misdannelser end monoterapi, afhængigt af de kombinerede </w:t>
      </w:r>
      <w:proofErr w:type="spellStart"/>
      <w:r w:rsidRPr="00F84019">
        <w:rPr>
          <w:sz w:val="24"/>
          <w:szCs w:val="24"/>
        </w:rPr>
        <w:t>antiepileptika</w:t>
      </w:r>
      <w:proofErr w:type="spellEnd"/>
      <w:r w:rsidRPr="00F84019">
        <w:rPr>
          <w:sz w:val="24"/>
          <w:szCs w:val="24"/>
        </w:rPr>
        <w:t>.</w:t>
      </w:r>
    </w:p>
    <w:p w14:paraId="5B51B4A0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688B47EC" w14:textId="77777777" w:rsidR="00F84019" w:rsidRPr="00F84019" w:rsidRDefault="00F84019" w:rsidP="007A49A8">
      <w:pPr>
        <w:ind w:left="851"/>
        <w:rPr>
          <w:i/>
          <w:iCs/>
          <w:sz w:val="24"/>
          <w:szCs w:val="24"/>
        </w:rPr>
      </w:pPr>
      <w:r w:rsidRPr="00F84019">
        <w:rPr>
          <w:i/>
          <w:iCs/>
          <w:sz w:val="24"/>
          <w:szCs w:val="24"/>
        </w:rPr>
        <w:t xml:space="preserve">Risici forbundet med </w:t>
      </w:r>
      <w:proofErr w:type="spellStart"/>
      <w:r w:rsidRPr="00F84019">
        <w:rPr>
          <w:i/>
          <w:iCs/>
          <w:sz w:val="24"/>
          <w:szCs w:val="24"/>
        </w:rPr>
        <w:t>primidon</w:t>
      </w:r>
      <w:proofErr w:type="spellEnd"/>
      <w:r w:rsidRPr="00F84019">
        <w:rPr>
          <w:i/>
          <w:iCs/>
          <w:sz w:val="24"/>
          <w:szCs w:val="24"/>
        </w:rPr>
        <w:t xml:space="preserve"> og dets hovedmetabolit </w:t>
      </w:r>
      <w:proofErr w:type="spellStart"/>
      <w:r w:rsidRPr="00F84019">
        <w:rPr>
          <w:i/>
          <w:iCs/>
          <w:sz w:val="24"/>
          <w:szCs w:val="24"/>
        </w:rPr>
        <w:t>phenobarbital</w:t>
      </w:r>
      <w:proofErr w:type="spellEnd"/>
    </w:p>
    <w:p w14:paraId="425314DB" w14:textId="77777777" w:rsidR="00F84019" w:rsidRPr="00F84019" w:rsidRDefault="00F84019" w:rsidP="007A49A8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</w:t>
      </w:r>
      <w:proofErr w:type="spellStart"/>
      <w:r w:rsidRPr="00F84019">
        <w:rPr>
          <w:sz w:val="24"/>
          <w:szCs w:val="24"/>
        </w:rPr>
        <w:t>metaboliseres</w:t>
      </w:r>
      <w:proofErr w:type="spellEnd"/>
      <w:r w:rsidRPr="00F84019">
        <w:rPr>
          <w:sz w:val="24"/>
          <w:szCs w:val="24"/>
        </w:rPr>
        <w:t xml:space="preserve"> i omfattende grad til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.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krydser placenta. Dyreforsøg (data fra litteraturen) har påvist reproduktionstoksicitet hos gnavere (se pkt. 5.3).</w:t>
      </w:r>
    </w:p>
    <w:p w14:paraId="0853F386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23B491F3" w14:textId="2DF5930B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Data fra metaanalyser og observationsstudier viser, at risikoen for større misdannelser er cirka 2 til 3 gange højere end baseline-risikoen for større misdannelser i den generelle population (som er 2-3 %). Risikoen er dosisafhængig; ingen doser er imidlertid påvist at være uden risiko. Monoterapi med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er forbundet med en øget risiko for større medfødte misdannelser, herunder</w:t>
      </w:r>
      <w:r w:rsidR="00C5265F">
        <w:rPr>
          <w:sz w:val="24"/>
          <w:szCs w:val="24"/>
        </w:rPr>
        <w:t xml:space="preserve"> </w:t>
      </w:r>
      <w:r w:rsidRPr="00F84019">
        <w:rPr>
          <w:sz w:val="24"/>
          <w:szCs w:val="24"/>
        </w:rPr>
        <w:t xml:space="preserve">læbe- og ganespalte og kardiovaskulære misdannelser. Der er også rapporteret om andre misdannelser, der berører diverse kropssystemer, herunder tilfælde af </w:t>
      </w:r>
      <w:proofErr w:type="spellStart"/>
      <w:r w:rsidRPr="00F84019">
        <w:rPr>
          <w:sz w:val="24"/>
          <w:szCs w:val="24"/>
        </w:rPr>
        <w:t>hypospadi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dysmorfologiske</w:t>
      </w:r>
      <w:proofErr w:type="spellEnd"/>
      <w:r w:rsidRPr="00F84019">
        <w:rPr>
          <w:sz w:val="24"/>
          <w:szCs w:val="24"/>
        </w:rPr>
        <w:t xml:space="preserve"> ansigtstræk, neuralrørseffekter, </w:t>
      </w:r>
      <w:proofErr w:type="spellStart"/>
      <w:r w:rsidRPr="00F84019">
        <w:rPr>
          <w:sz w:val="24"/>
          <w:szCs w:val="24"/>
        </w:rPr>
        <w:t>kraniofacial</w:t>
      </w:r>
      <w:proofErr w:type="spellEnd"/>
      <w:r w:rsidRPr="00F84019">
        <w:rPr>
          <w:sz w:val="24"/>
          <w:szCs w:val="24"/>
        </w:rPr>
        <w:t xml:space="preserve"> </w:t>
      </w:r>
      <w:proofErr w:type="spellStart"/>
      <w:r w:rsidRPr="00F84019">
        <w:rPr>
          <w:sz w:val="24"/>
          <w:szCs w:val="24"/>
        </w:rPr>
        <w:t>dysmorfi</w:t>
      </w:r>
      <w:proofErr w:type="spellEnd"/>
      <w:r w:rsidRPr="00F84019">
        <w:rPr>
          <w:sz w:val="24"/>
          <w:szCs w:val="24"/>
        </w:rPr>
        <w:t xml:space="preserve"> (</w:t>
      </w:r>
      <w:proofErr w:type="spellStart"/>
      <w:r w:rsidRPr="00F84019">
        <w:rPr>
          <w:sz w:val="24"/>
          <w:szCs w:val="24"/>
        </w:rPr>
        <w:t>mikrocefali</w:t>
      </w:r>
      <w:proofErr w:type="spellEnd"/>
      <w:r w:rsidRPr="00F84019">
        <w:rPr>
          <w:sz w:val="24"/>
          <w:szCs w:val="24"/>
        </w:rPr>
        <w:t>) og fingerabnormiteter.</w:t>
      </w:r>
    </w:p>
    <w:p w14:paraId="614FD3BE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4E7B1044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Data fra et registerstudie tyder på en øget risiko for fødsel af spædbørn, der er små i forhold til deres </w:t>
      </w:r>
      <w:proofErr w:type="spellStart"/>
      <w:r w:rsidRPr="00F84019">
        <w:rPr>
          <w:sz w:val="24"/>
          <w:szCs w:val="24"/>
        </w:rPr>
        <w:t>gestationsalder</w:t>
      </w:r>
      <w:proofErr w:type="spellEnd"/>
      <w:r w:rsidRPr="00F84019">
        <w:rPr>
          <w:sz w:val="24"/>
          <w:szCs w:val="24"/>
        </w:rPr>
        <w:t xml:space="preserve"> eller har reduceret kropslængde, sammenlignet med monoterapi med </w:t>
      </w:r>
      <w:proofErr w:type="spellStart"/>
      <w:r w:rsidRPr="00F84019">
        <w:rPr>
          <w:sz w:val="24"/>
          <w:szCs w:val="24"/>
        </w:rPr>
        <w:t>lamotrigin</w:t>
      </w:r>
      <w:proofErr w:type="spellEnd"/>
      <w:r w:rsidRPr="00F84019">
        <w:rPr>
          <w:sz w:val="24"/>
          <w:szCs w:val="24"/>
        </w:rPr>
        <w:t>.</w:t>
      </w:r>
    </w:p>
    <w:p w14:paraId="622BDE49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47FB91B4" w14:textId="4116E25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Der er rapporteret om </w:t>
      </w:r>
      <w:proofErr w:type="spellStart"/>
      <w:r w:rsidRPr="00F84019">
        <w:rPr>
          <w:sz w:val="24"/>
          <w:szCs w:val="24"/>
        </w:rPr>
        <w:t>neuroudviklingsforstyrrelser</w:t>
      </w:r>
      <w:proofErr w:type="spellEnd"/>
      <w:r w:rsidRPr="00F84019">
        <w:rPr>
          <w:sz w:val="24"/>
          <w:szCs w:val="24"/>
        </w:rPr>
        <w:t xml:space="preserve"> hos børn, der blev eksponeret for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under graviditeten. Studierne relateret til risikoen for </w:t>
      </w:r>
      <w:proofErr w:type="spellStart"/>
      <w:r w:rsidRPr="00F84019">
        <w:rPr>
          <w:sz w:val="24"/>
          <w:szCs w:val="24"/>
        </w:rPr>
        <w:t>neuroudviklings</w:t>
      </w:r>
      <w:r w:rsidR="00C5265F">
        <w:rPr>
          <w:sz w:val="24"/>
          <w:szCs w:val="24"/>
        </w:rPr>
        <w:softHyphen/>
      </w:r>
      <w:r w:rsidRPr="00F84019">
        <w:rPr>
          <w:sz w:val="24"/>
          <w:szCs w:val="24"/>
        </w:rPr>
        <w:t>forstyrrelser</w:t>
      </w:r>
      <w:proofErr w:type="spellEnd"/>
      <w:r w:rsidRPr="00F84019">
        <w:rPr>
          <w:sz w:val="24"/>
          <w:szCs w:val="24"/>
        </w:rPr>
        <w:t xml:space="preserve"> hos børn, der er blevet eksponeret for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under graviditeten, er modstridende, og en risiko kan ikke udelukkes. I prækliniske studier er der også rapporteret om bivirkninger relateret til </w:t>
      </w:r>
      <w:proofErr w:type="spellStart"/>
      <w:r w:rsidRPr="00F84019">
        <w:rPr>
          <w:sz w:val="24"/>
          <w:szCs w:val="24"/>
        </w:rPr>
        <w:t>neuroudvikling</w:t>
      </w:r>
      <w:proofErr w:type="spellEnd"/>
      <w:r w:rsidRPr="00F84019">
        <w:rPr>
          <w:sz w:val="24"/>
          <w:szCs w:val="24"/>
        </w:rPr>
        <w:t xml:space="preserve"> (se pkt. 5.3).</w:t>
      </w:r>
    </w:p>
    <w:p w14:paraId="1911718C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4D3DC274" w14:textId="77777777" w:rsidR="00F84019" w:rsidRPr="00F84019" w:rsidRDefault="00F84019" w:rsidP="007A49A8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bør ikke anvendes under graviditet, medmindre den potentielle fordel vurderes at opveje risiciene efter overvejelser om andre passende behandlingsmuligheder.</w:t>
      </w:r>
    </w:p>
    <w:p w14:paraId="5559B7A1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6DE66D02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Hvis der efter revurdering af behandlingen med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ikke findes nogen anden passende behandlingsmulighed, skal der anvendes den laveste effektive dosis af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. Kvinden skal informeres fuldstændigt om og forstå de risici, der er forbundet med brug af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under graviditeten.</w:t>
      </w:r>
    </w:p>
    <w:p w14:paraId="3BF0D78B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2189C60A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Ved brug i tredje </w:t>
      </w:r>
      <w:proofErr w:type="spellStart"/>
      <w:r w:rsidRPr="00F84019">
        <w:rPr>
          <w:sz w:val="24"/>
          <w:szCs w:val="24"/>
        </w:rPr>
        <w:t>graviditetstrimester</w:t>
      </w:r>
      <w:proofErr w:type="spellEnd"/>
      <w:r w:rsidRPr="00F84019">
        <w:rPr>
          <w:sz w:val="24"/>
          <w:szCs w:val="24"/>
        </w:rPr>
        <w:t xml:space="preserve"> kan der ses </w:t>
      </w:r>
      <w:proofErr w:type="spellStart"/>
      <w:r w:rsidRPr="00F84019">
        <w:rPr>
          <w:sz w:val="24"/>
          <w:szCs w:val="24"/>
        </w:rPr>
        <w:t>seponeringssymptomer</w:t>
      </w:r>
      <w:proofErr w:type="spellEnd"/>
      <w:r w:rsidRPr="00F84019">
        <w:rPr>
          <w:sz w:val="24"/>
          <w:szCs w:val="24"/>
        </w:rPr>
        <w:t xml:space="preserve"> hos det nyfødte spædbarn, herunder sedation, </w:t>
      </w:r>
      <w:proofErr w:type="spellStart"/>
      <w:r w:rsidRPr="00F84019">
        <w:rPr>
          <w:sz w:val="24"/>
          <w:szCs w:val="24"/>
        </w:rPr>
        <w:t>hypotoni</w:t>
      </w:r>
      <w:proofErr w:type="spellEnd"/>
      <w:r w:rsidRPr="00F84019">
        <w:rPr>
          <w:sz w:val="24"/>
          <w:szCs w:val="24"/>
        </w:rPr>
        <w:t xml:space="preserve"> og sutteforstyrrelser.</w:t>
      </w:r>
    </w:p>
    <w:p w14:paraId="3D7F3F9B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55B7EC35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Patienter, der tager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>, skal have tilstrækkeligt folsyretilskud før undfangelsen og under graviditeten.</w:t>
      </w:r>
    </w:p>
    <w:p w14:paraId="0BED915D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33EE43AD" w14:textId="77777777" w:rsidR="00F84019" w:rsidRPr="00F84019" w:rsidRDefault="00F84019" w:rsidP="007A49A8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Kvinder i den fertile alder/</w:t>
      </w:r>
      <w:proofErr w:type="spellStart"/>
      <w:r w:rsidRPr="00F84019">
        <w:rPr>
          <w:sz w:val="24"/>
          <w:szCs w:val="24"/>
          <w:u w:val="single"/>
        </w:rPr>
        <w:t>kontraception</w:t>
      </w:r>
      <w:proofErr w:type="spellEnd"/>
    </w:p>
    <w:p w14:paraId="56A701BD" w14:textId="77777777" w:rsidR="00F84019" w:rsidRPr="00F84019" w:rsidRDefault="00F84019" w:rsidP="007A49A8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</w:t>
      </w:r>
      <w:proofErr w:type="spellStart"/>
      <w:r w:rsidRPr="00F84019">
        <w:rPr>
          <w:sz w:val="24"/>
          <w:szCs w:val="24"/>
        </w:rPr>
        <w:t>metaboliseres</w:t>
      </w:r>
      <w:proofErr w:type="spellEnd"/>
      <w:r w:rsidRPr="00F84019">
        <w:rPr>
          <w:sz w:val="24"/>
          <w:szCs w:val="24"/>
        </w:rPr>
        <w:t xml:space="preserve"> i omfattende grad til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.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bør ikke anvendes hos kvinder i den fertile alder, medmindre den potentielle fordel vurderes at opveje risiciene efter overvejelser om andre passende behandlingsmuligheder.</w:t>
      </w:r>
    </w:p>
    <w:p w14:paraId="5FFA8AD9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29AD82D8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Inden iværksættelse af </w:t>
      </w:r>
      <w:proofErr w:type="spellStart"/>
      <w:r w:rsidRPr="00F84019">
        <w:rPr>
          <w:sz w:val="24"/>
          <w:szCs w:val="24"/>
        </w:rPr>
        <w:t>primidonbehandling</w:t>
      </w:r>
      <w:proofErr w:type="spellEnd"/>
      <w:r w:rsidRPr="00F84019">
        <w:rPr>
          <w:sz w:val="24"/>
          <w:szCs w:val="24"/>
        </w:rPr>
        <w:t xml:space="preserve"> hos kvinder i den fertile alder skal det overvejes at gennemføre en graviditetstest for at udelukke graviditet.</w:t>
      </w:r>
    </w:p>
    <w:p w14:paraId="00817469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015B8EC1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Kvinder i den fertile alder skal anvende sikker </w:t>
      </w:r>
      <w:proofErr w:type="spellStart"/>
      <w:r w:rsidRPr="00F84019">
        <w:rPr>
          <w:sz w:val="24"/>
          <w:szCs w:val="24"/>
        </w:rPr>
        <w:t>kontraception</w:t>
      </w:r>
      <w:proofErr w:type="spellEnd"/>
      <w:r w:rsidRPr="00F84019">
        <w:rPr>
          <w:sz w:val="24"/>
          <w:szCs w:val="24"/>
        </w:rPr>
        <w:t xml:space="preserve"> under behandling med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og i 2 måneder efter den sidste dosis. Som følge af enzyminduktion kan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resultere i manglende terapeutisk virkning af p-piller indeholdende østrogen og/eller gestagen. Kvinder i den fertile alder skal rådes til at anvende andre </w:t>
      </w:r>
      <w:proofErr w:type="spellStart"/>
      <w:r w:rsidRPr="00F84019">
        <w:rPr>
          <w:sz w:val="24"/>
          <w:szCs w:val="24"/>
        </w:rPr>
        <w:t>kontraceptionsmetoder</w:t>
      </w:r>
      <w:proofErr w:type="spellEnd"/>
      <w:r w:rsidRPr="00F84019">
        <w:rPr>
          <w:sz w:val="24"/>
          <w:szCs w:val="24"/>
        </w:rPr>
        <w:t xml:space="preserve"> under behandlingen med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, f.eks. to supplerende </w:t>
      </w:r>
      <w:proofErr w:type="spellStart"/>
      <w:r w:rsidRPr="00F84019">
        <w:rPr>
          <w:sz w:val="24"/>
          <w:szCs w:val="24"/>
        </w:rPr>
        <w:t>kontraceptionsformer</w:t>
      </w:r>
      <w:proofErr w:type="spellEnd"/>
      <w:r w:rsidRPr="00F84019">
        <w:rPr>
          <w:sz w:val="24"/>
          <w:szCs w:val="24"/>
        </w:rPr>
        <w:t xml:space="preserve"> inklusive en barrieremetode, p-piller med høj østrogendosis eller ikke-hormonel spiral (se pkt. 4.5).</w:t>
      </w:r>
    </w:p>
    <w:p w14:paraId="308034D8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41780052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Kvinder i den fertile alder skal informeres om og forstå risikoen for potentiel fosterskade i forbindelse med brug af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under graviditet og vigtigheden af graviditetsplanlægning.</w:t>
      </w:r>
    </w:p>
    <w:p w14:paraId="33B11DAC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2CCC2368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Kvinder, der planlægger at blive gravide, skal rådes til at konsultere lægen forinden med henblik på specialiseret lægerådgivning og drøftelse af andre passende behandlingsmuligheder inden undfangelse og inden </w:t>
      </w:r>
      <w:proofErr w:type="spellStart"/>
      <w:r w:rsidRPr="00F84019">
        <w:rPr>
          <w:sz w:val="24"/>
          <w:szCs w:val="24"/>
        </w:rPr>
        <w:t>seponering</w:t>
      </w:r>
      <w:proofErr w:type="spellEnd"/>
      <w:r w:rsidRPr="00F84019">
        <w:rPr>
          <w:sz w:val="24"/>
          <w:szCs w:val="24"/>
        </w:rPr>
        <w:t xml:space="preserve"> af </w:t>
      </w:r>
      <w:proofErr w:type="spellStart"/>
      <w:r w:rsidRPr="00F84019">
        <w:rPr>
          <w:sz w:val="24"/>
          <w:szCs w:val="24"/>
        </w:rPr>
        <w:t>kontraception</w:t>
      </w:r>
      <w:proofErr w:type="spellEnd"/>
      <w:r w:rsidRPr="00F84019">
        <w:rPr>
          <w:sz w:val="24"/>
          <w:szCs w:val="24"/>
        </w:rPr>
        <w:t>.</w:t>
      </w:r>
    </w:p>
    <w:p w14:paraId="2E77110B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28D598AE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Antiepileptisk behandling skal revurderes regelmæssigt, og i særdeleshed når en kvinde planlægger at blive gravid.</w:t>
      </w:r>
    </w:p>
    <w:p w14:paraId="254F2234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67DFFA4F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Kvinder i den fertile alder skal rådes til at kontakte deres læge med det samme, hvis de bliver gravide eller tror, at de er gravide under behandlingen med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>.</w:t>
      </w:r>
    </w:p>
    <w:p w14:paraId="1692853D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0E0E3527" w14:textId="77777777" w:rsidR="00F84019" w:rsidRPr="00F84019" w:rsidRDefault="00F84019" w:rsidP="007A49A8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Nyfødte</w:t>
      </w:r>
    </w:p>
    <w:p w14:paraId="5219D14A" w14:textId="77777777" w:rsidR="00F84019" w:rsidRPr="00F84019" w:rsidRDefault="00F84019" w:rsidP="007A49A8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Seponeringssymptomer</w:t>
      </w:r>
      <w:proofErr w:type="spellEnd"/>
      <w:r w:rsidRPr="00F84019">
        <w:rPr>
          <w:sz w:val="24"/>
          <w:szCs w:val="24"/>
        </w:rPr>
        <w:t xml:space="preserve"> kan forekomme hos nyfødte, hvis mødre har fået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sidst i graviditeten.</w:t>
      </w:r>
    </w:p>
    <w:p w14:paraId="437EDF98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7554B0A5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Behandling med </w:t>
      </w:r>
      <w:proofErr w:type="spellStart"/>
      <w:r w:rsidRPr="00F84019">
        <w:rPr>
          <w:sz w:val="24"/>
          <w:szCs w:val="24"/>
        </w:rPr>
        <w:t>antikonvulsiva</w:t>
      </w:r>
      <w:proofErr w:type="spellEnd"/>
      <w:r w:rsidRPr="00F84019">
        <w:rPr>
          <w:sz w:val="24"/>
          <w:szCs w:val="24"/>
        </w:rPr>
        <w:t xml:space="preserve"> under graviditet har undertiden været forbundet med koagulationsforstyrrelser hos nyfødte. Derfor skal gravide patienter have vitamin K1 i den sidste måned af graviditeten indtil fødselstidspunktet. Hvis denne forbehandling ikke er blevet givet, kan der gives 10 mg vitamin K1 til moderen på fødselstidspunktet, og der skal straks gives 1 mg til spædbarnet i risiko.</w:t>
      </w:r>
    </w:p>
    <w:p w14:paraId="4D098F65" w14:textId="77777777" w:rsidR="00F84019" w:rsidRPr="00F84019" w:rsidRDefault="00F84019" w:rsidP="007A49A8">
      <w:pPr>
        <w:ind w:left="851"/>
        <w:rPr>
          <w:sz w:val="24"/>
          <w:szCs w:val="24"/>
          <w:u w:val="single"/>
        </w:rPr>
      </w:pPr>
    </w:p>
    <w:p w14:paraId="02CEED70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  <w:u w:val="single"/>
        </w:rPr>
        <w:t>Amning</w:t>
      </w:r>
    </w:p>
    <w:p w14:paraId="577789B3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Amning er frarådet som følge af risikoen for sedation, som kan forårsage suttevanskeligheder og deraf følgende vægtøgningsproblemer i den neonatale periode.</w:t>
      </w:r>
    </w:p>
    <w:p w14:paraId="1FEA71B9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00197A96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  <w:u w:val="single"/>
        </w:rPr>
        <w:t>Fertilitet</w:t>
      </w:r>
    </w:p>
    <w:p w14:paraId="6C807EB1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Der foreligger ingen data fra mennesker om </w:t>
      </w:r>
      <w:proofErr w:type="spellStart"/>
      <w:r w:rsidRPr="00F84019">
        <w:rPr>
          <w:sz w:val="24"/>
          <w:szCs w:val="24"/>
        </w:rPr>
        <w:t>primidons</w:t>
      </w:r>
      <w:proofErr w:type="spellEnd"/>
      <w:r w:rsidRPr="00F84019">
        <w:rPr>
          <w:sz w:val="24"/>
          <w:szCs w:val="24"/>
        </w:rPr>
        <w:t xml:space="preserve"> indvirkning på fertiliteten.</w:t>
      </w:r>
    </w:p>
    <w:p w14:paraId="188940F8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Hos dyr er der set virkninger på fertiliteten (se pkt. 5.3).</w:t>
      </w:r>
    </w:p>
    <w:p w14:paraId="515FE74A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738DF77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4.7</w:t>
      </w:r>
      <w:r w:rsidRPr="00C5265F">
        <w:rPr>
          <w:b/>
          <w:sz w:val="24"/>
          <w:szCs w:val="24"/>
        </w:rPr>
        <w:tab/>
        <w:t xml:space="preserve">Virkning på evnen til at føre motorkøretøj </w:t>
      </w:r>
      <w:r w:rsidR="0071241E" w:rsidRPr="00C5265F">
        <w:rPr>
          <w:b/>
          <w:sz w:val="24"/>
          <w:szCs w:val="24"/>
        </w:rPr>
        <w:t>og</w:t>
      </w:r>
      <w:r w:rsidRPr="00C5265F">
        <w:rPr>
          <w:b/>
          <w:sz w:val="24"/>
          <w:szCs w:val="24"/>
        </w:rPr>
        <w:t xml:space="preserve"> betjene maskiner</w:t>
      </w:r>
    </w:p>
    <w:p w14:paraId="3978C814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Mærkning.</w:t>
      </w:r>
    </w:p>
    <w:p w14:paraId="69A06C1F" w14:textId="7407D73A" w:rsidR="00F84019" w:rsidRPr="00F84019" w:rsidRDefault="00F84019" w:rsidP="007A49A8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</w:t>
      </w:r>
      <w:r w:rsidR="00C5265F">
        <w:rPr>
          <w:sz w:val="24"/>
          <w:szCs w:val="24"/>
        </w:rPr>
        <w:t>"</w:t>
      </w:r>
      <w:proofErr w:type="spellStart"/>
      <w:r w:rsidR="00C5265F">
        <w:rPr>
          <w:sz w:val="24"/>
          <w:szCs w:val="24"/>
        </w:rPr>
        <w:t>Afortas</w:t>
      </w:r>
      <w:proofErr w:type="spellEnd"/>
      <w:r w:rsidR="00C5265F">
        <w:rPr>
          <w:sz w:val="24"/>
          <w:szCs w:val="24"/>
        </w:rPr>
        <w:t>"</w:t>
      </w:r>
      <w:r w:rsidRPr="00F84019">
        <w:rPr>
          <w:sz w:val="24"/>
          <w:szCs w:val="24"/>
        </w:rPr>
        <w:t xml:space="preserve"> kan på grund af bivirkninger, såsom døsighed, synsforstyrrelser og nedsat reaktionstid, i væsentlig grad påvirke evnen til at føre motorkøretøj eller betjene maskiner. </w:t>
      </w:r>
    </w:p>
    <w:p w14:paraId="717854A8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054B85A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4.8</w:t>
      </w:r>
      <w:r w:rsidRPr="00C5265F">
        <w:rPr>
          <w:b/>
          <w:sz w:val="24"/>
          <w:szCs w:val="24"/>
        </w:rPr>
        <w:tab/>
        <w:t>Bivirkninger</w:t>
      </w:r>
    </w:p>
    <w:p w14:paraId="0CABEBC9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I starten af behandlingen er de mest almindelige bivirkninger døsighed, svimmelhed og </w:t>
      </w:r>
      <w:proofErr w:type="spellStart"/>
      <w:r w:rsidRPr="00F84019">
        <w:rPr>
          <w:sz w:val="24"/>
          <w:szCs w:val="24"/>
        </w:rPr>
        <w:t>ataksi</w:t>
      </w:r>
      <w:proofErr w:type="spellEnd"/>
      <w:r w:rsidRPr="00F84019">
        <w:rPr>
          <w:sz w:val="24"/>
          <w:szCs w:val="24"/>
        </w:rPr>
        <w:t>; disse kan forsvinde ved fortsat behandling og/eller dosisreduktion.</w:t>
      </w:r>
    </w:p>
    <w:p w14:paraId="3A813AB6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0AB636E8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Der kan lejlighedsvist forekomme en idiosynkratisk reaktion, der omfatter synsforstyrrelser, kvalme, hovedpine, svimmelhed, opkastning, nystagmus og </w:t>
      </w:r>
      <w:proofErr w:type="spellStart"/>
      <w:r w:rsidRPr="00F84019">
        <w:rPr>
          <w:sz w:val="24"/>
          <w:szCs w:val="24"/>
        </w:rPr>
        <w:t>ataksi</w:t>
      </w:r>
      <w:proofErr w:type="spellEnd"/>
      <w:r w:rsidRPr="00F84019">
        <w:rPr>
          <w:sz w:val="24"/>
          <w:szCs w:val="24"/>
        </w:rPr>
        <w:t xml:space="preserve">; disse symptomer er som regel forbigående, også i tilfælde hvor de er udtalte. I tilfælde af en akut og svær form er </w:t>
      </w:r>
      <w:proofErr w:type="spellStart"/>
      <w:r w:rsidRPr="00F84019">
        <w:rPr>
          <w:sz w:val="24"/>
          <w:szCs w:val="24"/>
        </w:rPr>
        <w:t>seponering</w:t>
      </w:r>
      <w:proofErr w:type="spellEnd"/>
      <w:r w:rsidRPr="00F84019">
        <w:rPr>
          <w:sz w:val="24"/>
          <w:szCs w:val="24"/>
        </w:rPr>
        <w:t xml:space="preserve"> af behandlingen påkrævet.</w:t>
      </w:r>
    </w:p>
    <w:p w14:paraId="0B650D25" w14:textId="77777777" w:rsidR="00F84019" w:rsidRPr="00F84019" w:rsidRDefault="00F84019" w:rsidP="007A49A8">
      <w:pPr>
        <w:ind w:left="851"/>
        <w:rPr>
          <w:sz w:val="24"/>
          <w:szCs w:val="24"/>
        </w:rPr>
      </w:pPr>
    </w:p>
    <w:p w14:paraId="3EB5F405" w14:textId="77777777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Andre bivirkninger, der er set efter markedsføringen, kan omfatte:</w:t>
      </w:r>
    </w:p>
    <w:p w14:paraId="655F4AC4" w14:textId="6864F775" w:rsidR="00F84019" w:rsidRPr="00F84019" w:rsidRDefault="00F84019" w:rsidP="007A49A8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Hyppighederne er defineret som: meget almindelig (≥ 1/10), almindelig (≥ 1/100 til &lt;</w:t>
      </w:r>
      <w:r w:rsidR="00C5265F">
        <w:rPr>
          <w:sz w:val="24"/>
          <w:szCs w:val="24"/>
        </w:rPr>
        <w:t> </w:t>
      </w:r>
      <w:r w:rsidRPr="00F84019">
        <w:rPr>
          <w:sz w:val="24"/>
          <w:szCs w:val="24"/>
        </w:rPr>
        <w:t>1/10), ikke almindelig (≥ 1/1.000 til &lt; 1/100), sjælden (≥ 1/10.000 til &lt; 1/1.000), meget sjælden (&lt; 1/10.000), ikke kendt (kan ikke estimeres ud fra forhåndenværende data).</w:t>
      </w:r>
    </w:p>
    <w:p w14:paraId="13C43113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556"/>
        <w:gridCol w:w="3013"/>
        <w:gridCol w:w="4059"/>
      </w:tblGrid>
      <w:tr w:rsidR="00F84019" w:rsidRPr="00F84019" w14:paraId="35E7262A" w14:textId="77777777" w:rsidTr="007A49A8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60A5" w14:textId="77777777" w:rsidR="00F84019" w:rsidRPr="00F84019" w:rsidRDefault="00F84019" w:rsidP="007A49A8">
            <w:pPr>
              <w:ind w:left="3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835E" w14:textId="77777777" w:rsidR="00F84019" w:rsidRPr="00F84019" w:rsidRDefault="00F84019" w:rsidP="007A49A8">
            <w:pPr>
              <w:ind w:left="32"/>
              <w:rPr>
                <w:b/>
                <w:bCs/>
                <w:sz w:val="24"/>
                <w:szCs w:val="24"/>
              </w:rPr>
            </w:pPr>
            <w:r w:rsidRPr="00F84019">
              <w:rPr>
                <w:b/>
                <w:bCs/>
                <w:sz w:val="24"/>
                <w:szCs w:val="24"/>
              </w:rPr>
              <w:t>Systemorganklasse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766F" w14:textId="77777777" w:rsidR="00F84019" w:rsidRPr="00F84019" w:rsidRDefault="00F84019" w:rsidP="007A49A8">
            <w:pPr>
              <w:ind w:left="32"/>
              <w:rPr>
                <w:b/>
                <w:bCs/>
                <w:sz w:val="24"/>
                <w:szCs w:val="24"/>
              </w:rPr>
            </w:pPr>
            <w:r w:rsidRPr="00F84019">
              <w:rPr>
                <w:b/>
                <w:bCs/>
                <w:sz w:val="24"/>
                <w:szCs w:val="24"/>
              </w:rPr>
              <w:t>Bivirkning</w:t>
            </w:r>
          </w:p>
        </w:tc>
      </w:tr>
      <w:tr w:rsidR="00F84019" w:rsidRPr="00F84019" w14:paraId="465A4EDC" w14:textId="77777777" w:rsidTr="007A49A8"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E8AE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Almindelig </w:t>
            </w:r>
          </w:p>
          <w:p w14:paraId="1A7E49BC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(</w:t>
            </w:r>
            <w:r w:rsidRPr="00F84019">
              <w:rPr>
                <w:sz w:val="24"/>
                <w:szCs w:val="24"/>
              </w:rPr>
              <w:sym w:font="Symbol" w:char="F0B3"/>
            </w:r>
            <w:r w:rsidRPr="00F84019">
              <w:rPr>
                <w:sz w:val="24"/>
                <w:szCs w:val="24"/>
              </w:rPr>
              <w:t> 1/100 til &lt; 1/10)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1C6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Nervesystemet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6C7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Ataksi</w:t>
            </w:r>
            <w:proofErr w:type="spellEnd"/>
            <w:r w:rsidRPr="00F84019">
              <w:rPr>
                <w:sz w:val="24"/>
                <w:szCs w:val="24"/>
              </w:rPr>
              <w:t>, nystagmus.</w:t>
            </w:r>
          </w:p>
        </w:tc>
      </w:tr>
      <w:tr w:rsidR="00F84019" w:rsidRPr="00F84019" w14:paraId="09666825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1B1A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6B5E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Mave-tarm-kanalen 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D475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Kvalme.</w:t>
            </w:r>
          </w:p>
        </w:tc>
      </w:tr>
      <w:tr w:rsidR="00F84019" w:rsidRPr="00F84019" w14:paraId="562F7565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0C8A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CD58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Psykiske forstyrrelser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802F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Apati.</w:t>
            </w:r>
          </w:p>
        </w:tc>
      </w:tr>
      <w:tr w:rsidR="00F84019" w:rsidRPr="00F84019" w14:paraId="1C8C22F3" w14:textId="77777777" w:rsidTr="007A49A8"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9A3A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Ikke almindelig </w:t>
            </w:r>
          </w:p>
          <w:p w14:paraId="1FA48A8C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(</w:t>
            </w:r>
            <w:r w:rsidRPr="00F84019">
              <w:rPr>
                <w:sz w:val="24"/>
                <w:szCs w:val="24"/>
              </w:rPr>
              <w:sym w:font="Symbol" w:char="F0B3"/>
            </w:r>
            <w:r w:rsidRPr="00F84019">
              <w:rPr>
                <w:sz w:val="24"/>
                <w:szCs w:val="24"/>
              </w:rPr>
              <w:t> 1/000 til &lt; 1/100)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F0DC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Nervesystemet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C9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Hovedpine, svimmelhed.</w:t>
            </w:r>
          </w:p>
        </w:tc>
      </w:tr>
      <w:tr w:rsidR="00F84019" w:rsidRPr="00F84019" w14:paraId="52B403AE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7548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1D0F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Mave-tarm-kanalen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6A04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Opkastning.</w:t>
            </w:r>
          </w:p>
        </w:tc>
      </w:tr>
      <w:tr w:rsidR="00F84019" w:rsidRPr="00F84019" w14:paraId="19A793E9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0E17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6710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Hud og subkutane væv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7306" w14:textId="2A75CF68" w:rsidR="00F84019" w:rsidRPr="00F84019" w:rsidRDefault="00F84019" w:rsidP="00D66CCA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Allergiske reaktioner, i særdeleshed</w:t>
            </w:r>
            <w:r w:rsidR="00D66CCA" w:rsidRPr="00C5265F">
              <w:rPr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relateret til huden, herunder: </w:t>
            </w:r>
            <w:proofErr w:type="spellStart"/>
            <w:r w:rsidRPr="00F84019">
              <w:rPr>
                <w:sz w:val="24"/>
                <w:szCs w:val="24"/>
              </w:rPr>
              <w:t>makulopapuløst</w:t>
            </w:r>
            <w:proofErr w:type="spellEnd"/>
            <w:r w:rsidRPr="00F84019">
              <w:rPr>
                <w:sz w:val="24"/>
                <w:szCs w:val="24"/>
              </w:rPr>
              <w:t xml:space="preserve"> udslæt, </w:t>
            </w:r>
            <w:proofErr w:type="spellStart"/>
            <w:r w:rsidRPr="00F84019">
              <w:rPr>
                <w:sz w:val="24"/>
                <w:szCs w:val="24"/>
              </w:rPr>
              <w:t>morbilliformt</w:t>
            </w:r>
            <w:proofErr w:type="spellEnd"/>
            <w:r w:rsidRPr="00F84019">
              <w:rPr>
                <w:sz w:val="24"/>
                <w:szCs w:val="24"/>
              </w:rPr>
              <w:t xml:space="preserve"> udslæt eller </w:t>
            </w:r>
            <w:proofErr w:type="spellStart"/>
            <w:r w:rsidRPr="00F84019">
              <w:rPr>
                <w:sz w:val="24"/>
                <w:szCs w:val="24"/>
              </w:rPr>
              <w:t>scarlatiniformt</w:t>
            </w:r>
            <w:proofErr w:type="spellEnd"/>
            <w:r w:rsidRPr="00F84019">
              <w:rPr>
                <w:sz w:val="24"/>
                <w:szCs w:val="24"/>
              </w:rPr>
              <w:t xml:space="preserve"> udslæt.</w:t>
            </w:r>
          </w:p>
        </w:tc>
      </w:tr>
      <w:tr w:rsidR="00F84019" w:rsidRPr="00F84019" w14:paraId="53B6949E" w14:textId="77777777" w:rsidTr="007A49A8"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063E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Sjælden </w:t>
            </w:r>
          </w:p>
          <w:p w14:paraId="161665FF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(≥ 1/10.000 til &lt; 1/1.000)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A992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Blod og lymfesystem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403F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Megaloblastisk</w:t>
            </w:r>
            <w:proofErr w:type="spellEnd"/>
            <w:r w:rsidRPr="00F84019">
              <w:rPr>
                <w:sz w:val="24"/>
                <w:szCs w:val="24"/>
              </w:rPr>
              <w:t xml:space="preserve"> anæmi*, </w:t>
            </w:r>
            <w:proofErr w:type="spellStart"/>
            <w:r w:rsidRPr="00F84019">
              <w:rPr>
                <w:sz w:val="24"/>
                <w:szCs w:val="24"/>
              </w:rPr>
              <w:t>leukopeni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trombocytopeni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lymfadenopati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</w:tc>
      </w:tr>
      <w:tr w:rsidR="00F84019" w:rsidRPr="00F84019" w14:paraId="795B7341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422C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647B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Psykiske forstyrrelser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9BFF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Psykotiske reaktioner, libidoforstyrrelser.</w:t>
            </w:r>
          </w:p>
        </w:tc>
      </w:tr>
      <w:tr w:rsidR="00F84019" w:rsidRPr="00F84019" w14:paraId="4602447F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7ADA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C8F2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Nervesystemet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DE41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Døsighed.</w:t>
            </w:r>
          </w:p>
        </w:tc>
      </w:tr>
      <w:tr w:rsidR="00F84019" w:rsidRPr="00F84019" w14:paraId="62DBD717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90A7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52AD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Knogler, led, muskler og bindevæv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81ED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Artralgi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4019">
              <w:rPr>
                <w:sz w:val="24"/>
                <w:szCs w:val="24"/>
              </w:rPr>
              <w:t>osteomalaci</w:t>
            </w:r>
            <w:proofErr w:type="spellEnd"/>
            <w:r w:rsidRPr="00F84019">
              <w:rPr>
                <w:sz w:val="24"/>
                <w:szCs w:val="24"/>
              </w:rPr>
              <w:t>.*</w:t>
            </w:r>
            <w:proofErr w:type="gramEnd"/>
            <w:r w:rsidRPr="00F84019">
              <w:rPr>
                <w:sz w:val="24"/>
                <w:szCs w:val="24"/>
              </w:rPr>
              <w:t>*</w:t>
            </w:r>
          </w:p>
          <w:p w14:paraId="66713B16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  <w:p w14:paraId="20F49A9A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Som med </w:t>
            </w:r>
            <w:proofErr w:type="spellStart"/>
            <w:r w:rsidRPr="00F84019">
              <w:rPr>
                <w:sz w:val="24"/>
                <w:szCs w:val="24"/>
              </w:rPr>
              <w:t>phenobarbital</w:t>
            </w:r>
            <w:proofErr w:type="spellEnd"/>
            <w:r w:rsidRPr="00F84019">
              <w:rPr>
                <w:sz w:val="24"/>
                <w:szCs w:val="24"/>
              </w:rPr>
              <w:t xml:space="preserve">, </w:t>
            </w:r>
            <w:proofErr w:type="spellStart"/>
            <w:r w:rsidRPr="00F84019">
              <w:rPr>
                <w:sz w:val="24"/>
                <w:szCs w:val="24"/>
              </w:rPr>
              <w:t>Dupuytrens</w:t>
            </w:r>
            <w:proofErr w:type="spellEnd"/>
            <w:r w:rsidRPr="00F84019">
              <w:rPr>
                <w:sz w:val="24"/>
                <w:szCs w:val="24"/>
              </w:rPr>
              <w:t xml:space="preserve"> </w:t>
            </w:r>
            <w:proofErr w:type="spellStart"/>
            <w:r w:rsidRPr="00F84019">
              <w:rPr>
                <w:sz w:val="24"/>
                <w:szCs w:val="24"/>
              </w:rPr>
              <w:t>kontraktur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</w:tc>
      </w:tr>
      <w:tr w:rsidR="00F84019" w:rsidRPr="00F84019" w14:paraId="30896D04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82B2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AB60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Hud og subkutane væv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49FF" w14:textId="6BD5BB7F" w:rsidR="00F84019" w:rsidRPr="00F84019" w:rsidRDefault="00F84019" w:rsidP="00D66CCA">
            <w:pPr>
              <w:ind w:left="32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Eksfoliativ</w:t>
            </w:r>
            <w:proofErr w:type="spellEnd"/>
            <w:r w:rsidRPr="00F84019">
              <w:rPr>
                <w:sz w:val="24"/>
                <w:szCs w:val="24"/>
              </w:rPr>
              <w:t xml:space="preserve"> </w:t>
            </w:r>
            <w:proofErr w:type="spellStart"/>
            <w:r w:rsidRPr="00F84019">
              <w:rPr>
                <w:sz w:val="24"/>
                <w:szCs w:val="24"/>
              </w:rPr>
              <w:t>dermatitis</w:t>
            </w:r>
            <w:proofErr w:type="spellEnd"/>
            <w:r w:rsidRPr="00F84019">
              <w:rPr>
                <w:sz w:val="24"/>
                <w:szCs w:val="24"/>
              </w:rPr>
              <w:t>, systemisk lupus</w:t>
            </w:r>
            <w:r w:rsidR="00D66CCA" w:rsidRPr="00C5265F">
              <w:rPr>
                <w:sz w:val="24"/>
                <w:szCs w:val="24"/>
              </w:rPr>
              <w:t xml:space="preserve"> </w:t>
            </w:r>
            <w:proofErr w:type="spellStart"/>
            <w:r w:rsidRPr="00F84019">
              <w:rPr>
                <w:sz w:val="24"/>
                <w:szCs w:val="24"/>
              </w:rPr>
              <w:t>erythematosus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</w:tc>
      </w:tr>
      <w:tr w:rsidR="00F84019" w:rsidRPr="00F84019" w14:paraId="35A05BF3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00D5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AA35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Undersøgelser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74A9" w14:textId="1FBC9B03" w:rsidR="00F84019" w:rsidRPr="00F84019" w:rsidRDefault="00F84019" w:rsidP="00D66CCA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Øgede leverenzymer,</w:t>
            </w:r>
            <w:r w:rsidR="00D66CCA" w:rsidRPr="00C5265F">
              <w:rPr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>herunder gamma</w:t>
            </w:r>
            <w:bookmarkStart w:id="2" w:name="_Hlk207297264"/>
            <w:r w:rsidRPr="00F84019">
              <w:rPr>
                <w:sz w:val="24"/>
                <w:szCs w:val="24"/>
              </w:rPr>
              <w:t>-</w:t>
            </w:r>
            <w:proofErr w:type="spellStart"/>
            <w:r w:rsidRPr="00F84019">
              <w:rPr>
                <w:sz w:val="24"/>
                <w:szCs w:val="24"/>
              </w:rPr>
              <w:t>glutamyltransferase</w:t>
            </w:r>
            <w:bookmarkEnd w:id="2"/>
            <w:proofErr w:type="spellEnd"/>
            <w:r w:rsidR="00D66CCA" w:rsidRPr="00C5265F">
              <w:rPr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>(gamma-GT) og alkalisk fosfatase i blodet.</w:t>
            </w:r>
          </w:p>
        </w:tc>
      </w:tr>
      <w:tr w:rsidR="00F84019" w:rsidRPr="00F84019" w14:paraId="000B9302" w14:textId="77777777" w:rsidTr="007A49A8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4A20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Meget sjælden (&lt;1/10.000)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8717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Hud og subkutane væv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528D" w14:textId="77777777" w:rsidR="00F84019" w:rsidRPr="00F84019" w:rsidRDefault="00F84019" w:rsidP="007A49A8">
            <w:pPr>
              <w:ind w:left="32"/>
              <w:rPr>
                <w:sz w:val="24"/>
                <w:szCs w:val="24"/>
                <w:lang w:val="nb-NO"/>
              </w:rPr>
            </w:pPr>
            <w:r w:rsidRPr="00F84019">
              <w:rPr>
                <w:sz w:val="24"/>
                <w:szCs w:val="24"/>
                <w:lang w:val="nb-NO"/>
              </w:rPr>
              <w:t>Svære kutane bivirkninger:</w:t>
            </w:r>
          </w:p>
          <w:p w14:paraId="2F9847E9" w14:textId="30E6EF4A" w:rsidR="00F84019" w:rsidRPr="00F84019" w:rsidRDefault="00F84019" w:rsidP="00D66CCA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  <w:lang w:val="nb-NO"/>
              </w:rPr>
              <w:t>Stevens-Johnsons syndrom (SJS) og toksisk epidermal nekrolyse (TEN) er</w:t>
            </w:r>
            <w:r w:rsidR="00D66CCA" w:rsidRPr="00C5265F">
              <w:rPr>
                <w:sz w:val="24"/>
                <w:szCs w:val="24"/>
                <w:lang w:val="nb-NO"/>
              </w:rPr>
              <w:t xml:space="preserve"> </w:t>
            </w:r>
            <w:r w:rsidRPr="00F84019">
              <w:rPr>
                <w:sz w:val="24"/>
                <w:szCs w:val="24"/>
              </w:rPr>
              <w:t>blevet indberettet (se pkt. 4.4).</w:t>
            </w:r>
          </w:p>
        </w:tc>
      </w:tr>
      <w:tr w:rsidR="00F84019" w:rsidRPr="00F84019" w14:paraId="579209BD" w14:textId="77777777" w:rsidTr="007A49A8"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73A4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Ikke kendt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3219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Metabolisme og ernæring 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B031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Nedsat appetit.</w:t>
            </w:r>
          </w:p>
        </w:tc>
      </w:tr>
      <w:tr w:rsidR="00F84019" w:rsidRPr="00F84019" w14:paraId="0A642AAF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6B82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1784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Psykiske forstyrrelser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62E2" w14:textId="0D38028C" w:rsidR="00F84019" w:rsidRPr="00F84019" w:rsidRDefault="00F84019" w:rsidP="00D66CCA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Selvmordstanker***, forvirrings</w:t>
            </w:r>
            <w:r w:rsidR="00D66CCA" w:rsidRPr="00C5265F">
              <w:rPr>
                <w:sz w:val="24"/>
                <w:szCs w:val="24"/>
              </w:rPr>
              <w:softHyphen/>
            </w:r>
            <w:r w:rsidRPr="00F84019">
              <w:rPr>
                <w:sz w:val="24"/>
                <w:szCs w:val="24"/>
              </w:rPr>
              <w:t>tilstand, hallucinationer.</w:t>
            </w:r>
          </w:p>
        </w:tc>
      </w:tr>
      <w:tr w:rsidR="00F84019" w:rsidRPr="00F84019" w14:paraId="369A5619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1FFD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1164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Nervesystemet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F30E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Balanceforstyrrelser.</w:t>
            </w:r>
          </w:p>
        </w:tc>
      </w:tr>
      <w:tr w:rsidR="00F84019" w:rsidRPr="00F84019" w14:paraId="52F4BD72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DA37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67B7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Hud og subkutane væv 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BD9C" w14:textId="77F195A5" w:rsidR="00F84019" w:rsidRPr="00F84019" w:rsidRDefault="00F84019" w:rsidP="00D66CCA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Overfølsomhedssyndrom: Lægemiddelreaktion med </w:t>
            </w:r>
            <w:proofErr w:type="spellStart"/>
            <w:r w:rsidRPr="00F84019">
              <w:rPr>
                <w:sz w:val="24"/>
                <w:szCs w:val="24"/>
              </w:rPr>
              <w:t>eosinofili</w:t>
            </w:r>
            <w:proofErr w:type="spellEnd"/>
            <w:r w:rsidRPr="00F84019">
              <w:rPr>
                <w:sz w:val="24"/>
                <w:szCs w:val="24"/>
              </w:rPr>
              <w:t xml:space="preserve"> og</w:t>
            </w:r>
            <w:r w:rsidR="00D66CCA" w:rsidRPr="00C5265F">
              <w:rPr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>systemiske symptomer (DRESS) (se</w:t>
            </w:r>
            <w:r w:rsidR="00D66CCA" w:rsidRPr="00C5265F">
              <w:rPr>
                <w:sz w:val="24"/>
                <w:szCs w:val="24"/>
              </w:rPr>
              <w:t xml:space="preserve"> </w:t>
            </w:r>
            <w:r w:rsidRPr="00F84019">
              <w:rPr>
                <w:sz w:val="24"/>
                <w:szCs w:val="24"/>
              </w:rPr>
              <w:t xml:space="preserve">pkt. 4.4), </w:t>
            </w:r>
            <w:proofErr w:type="spellStart"/>
            <w:r w:rsidRPr="00F84019">
              <w:rPr>
                <w:sz w:val="24"/>
                <w:szCs w:val="24"/>
              </w:rPr>
              <w:t>pruritus</w:t>
            </w:r>
            <w:proofErr w:type="spellEnd"/>
            <w:r w:rsidRPr="00F84019">
              <w:rPr>
                <w:sz w:val="24"/>
                <w:szCs w:val="24"/>
              </w:rPr>
              <w:t>.</w:t>
            </w:r>
          </w:p>
        </w:tc>
      </w:tr>
      <w:tr w:rsidR="00F84019" w:rsidRPr="00F84019" w14:paraId="34806233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ABF6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C546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Undersøgelser 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DE27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Nedsat knogletæthed </w:t>
            </w:r>
          </w:p>
        </w:tc>
      </w:tr>
      <w:tr w:rsidR="00F84019" w:rsidRPr="00F84019" w14:paraId="57376083" w14:textId="77777777" w:rsidTr="007A49A8"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04D0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6194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Knogler, led, muskler og bindevæv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1F38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proofErr w:type="spellStart"/>
            <w:r w:rsidRPr="00F84019">
              <w:rPr>
                <w:sz w:val="24"/>
                <w:szCs w:val="24"/>
              </w:rPr>
              <w:t>Osteopeni</w:t>
            </w:r>
            <w:proofErr w:type="spellEnd"/>
            <w:r w:rsidRPr="00F84019">
              <w:rPr>
                <w:sz w:val="24"/>
                <w:szCs w:val="24"/>
              </w:rPr>
              <w:t xml:space="preserve">, osteoporose og frakturer hos patienter i </w:t>
            </w:r>
            <w:proofErr w:type="gramStart"/>
            <w:r w:rsidRPr="00F84019">
              <w:rPr>
                <w:sz w:val="24"/>
                <w:szCs w:val="24"/>
              </w:rPr>
              <w:t>langtidsbehandling.*</w:t>
            </w:r>
            <w:proofErr w:type="gramEnd"/>
            <w:r w:rsidRPr="00F84019">
              <w:rPr>
                <w:sz w:val="24"/>
                <w:szCs w:val="24"/>
              </w:rPr>
              <w:t>***</w:t>
            </w:r>
          </w:p>
        </w:tc>
      </w:tr>
      <w:tr w:rsidR="00F84019" w:rsidRPr="00F84019" w14:paraId="050FF932" w14:textId="77777777" w:rsidTr="007A49A8">
        <w:trPr>
          <w:trHeight w:val="516"/>
        </w:trPr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7223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5572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 xml:space="preserve">Almene symptomer og reaktioner på administrationsstedet 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E11C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Træthed.</w:t>
            </w:r>
          </w:p>
        </w:tc>
      </w:tr>
      <w:tr w:rsidR="00F84019" w:rsidRPr="00F84019" w14:paraId="328D31E5" w14:textId="77777777" w:rsidTr="007A49A8">
        <w:trPr>
          <w:trHeight w:val="516"/>
        </w:trPr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96C1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4EAA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Øjne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C6D2" w14:textId="77777777" w:rsidR="00F84019" w:rsidRPr="00F84019" w:rsidRDefault="00F84019" w:rsidP="007A49A8">
            <w:pPr>
              <w:ind w:left="32"/>
              <w:rPr>
                <w:sz w:val="24"/>
                <w:szCs w:val="24"/>
              </w:rPr>
            </w:pPr>
            <w:r w:rsidRPr="00F84019">
              <w:rPr>
                <w:sz w:val="24"/>
                <w:szCs w:val="24"/>
              </w:rPr>
              <w:t>Nedsat syn.</w:t>
            </w:r>
          </w:p>
        </w:tc>
      </w:tr>
    </w:tbl>
    <w:p w14:paraId="6DBFDC3B" w14:textId="0A06D959" w:rsidR="00F84019" w:rsidRPr="00F84019" w:rsidRDefault="00F84019" w:rsidP="00D66CCA">
      <w:pPr>
        <w:ind w:left="709" w:hanging="709"/>
        <w:rPr>
          <w:sz w:val="24"/>
          <w:szCs w:val="24"/>
        </w:rPr>
      </w:pPr>
      <w:r w:rsidRPr="00F84019">
        <w:rPr>
          <w:sz w:val="24"/>
          <w:szCs w:val="24"/>
        </w:rPr>
        <w:t xml:space="preserve">* </w:t>
      </w:r>
      <w:r w:rsidR="00D66CCA" w:rsidRPr="00C5265F">
        <w:rPr>
          <w:sz w:val="24"/>
          <w:szCs w:val="24"/>
        </w:rPr>
        <w:tab/>
      </w:r>
      <w:r w:rsidRPr="00F84019">
        <w:rPr>
          <w:sz w:val="24"/>
          <w:szCs w:val="24"/>
        </w:rPr>
        <w:t xml:space="preserve">Ligesom det er tilfældet med </w:t>
      </w:r>
      <w:proofErr w:type="spellStart"/>
      <w:r w:rsidRPr="00F84019">
        <w:rPr>
          <w:sz w:val="24"/>
          <w:szCs w:val="24"/>
        </w:rPr>
        <w:t>phenytoin</w:t>
      </w:r>
      <w:proofErr w:type="spellEnd"/>
      <w:r w:rsidRPr="00F84019">
        <w:rPr>
          <w:sz w:val="24"/>
          <w:szCs w:val="24"/>
        </w:rPr>
        <w:t xml:space="preserve"> og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, kan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i enkeltstående tilfælde forårsage </w:t>
      </w:r>
      <w:proofErr w:type="spellStart"/>
      <w:r w:rsidRPr="00F84019">
        <w:rPr>
          <w:sz w:val="24"/>
          <w:szCs w:val="24"/>
        </w:rPr>
        <w:t>megaloblastisk</w:t>
      </w:r>
      <w:proofErr w:type="spellEnd"/>
      <w:r w:rsidRPr="00F84019">
        <w:rPr>
          <w:sz w:val="24"/>
          <w:szCs w:val="24"/>
        </w:rPr>
        <w:t xml:space="preserve"> anæmi, der kræver </w:t>
      </w:r>
      <w:proofErr w:type="spellStart"/>
      <w:r w:rsidRPr="00F84019">
        <w:rPr>
          <w:sz w:val="24"/>
          <w:szCs w:val="24"/>
        </w:rPr>
        <w:t>seponering</w:t>
      </w:r>
      <w:proofErr w:type="spellEnd"/>
      <w:r w:rsidRPr="00F84019">
        <w:rPr>
          <w:sz w:val="24"/>
          <w:szCs w:val="24"/>
        </w:rPr>
        <w:t xml:space="preserve"> af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>. Denne tilstand vil muligvis respondere på behandling med folsyre og/eller vitamin B12.</w:t>
      </w:r>
    </w:p>
    <w:p w14:paraId="2198BDCC" w14:textId="5E225058" w:rsidR="00F84019" w:rsidRPr="00F84019" w:rsidRDefault="00F84019" w:rsidP="00D66CCA">
      <w:pPr>
        <w:ind w:left="709" w:hanging="709"/>
        <w:rPr>
          <w:sz w:val="24"/>
          <w:szCs w:val="24"/>
        </w:rPr>
      </w:pPr>
      <w:r w:rsidRPr="00F84019">
        <w:rPr>
          <w:sz w:val="24"/>
          <w:szCs w:val="24"/>
        </w:rPr>
        <w:t xml:space="preserve">** </w:t>
      </w:r>
      <w:r w:rsidR="00D66CCA" w:rsidRPr="00C5265F">
        <w:rPr>
          <w:sz w:val="24"/>
          <w:szCs w:val="24"/>
        </w:rPr>
        <w:tab/>
      </w:r>
      <w:r w:rsidRPr="00F84019">
        <w:rPr>
          <w:sz w:val="24"/>
          <w:szCs w:val="24"/>
        </w:rPr>
        <w:t xml:space="preserve">Vitamin D-tilskud kan være nødvendigt under langvarig </w:t>
      </w:r>
      <w:proofErr w:type="spellStart"/>
      <w:r w:rsidRPr="00F84019">
        <w:rPr>
          <w:sz w:val="24"/>
          <w:szCs w:val="24"/>
        </w:rPr>
        <w:t>primidonbehandling</w:t>
      </w:r>
      <w:proofErr w:type="spellEnd"/>
      <w:r w:rsidRPr="00F84019">
        <w:rPr>
          <w:sz w:val="24"/>
          <w:szCs w:val="24"/>
        </w:rPr>
        <w:t>, eftersom vitamin D-</w:t>
      </w:r>
      <w:proofErr w:type="spellStart"/>
      <w:r w:rsidRPr="00F84019">
        <w:rPr>
          <w:sz w:val="24"/>
          <w:szCs w:val="24"/>
        </w:rPr>
        <w:t>katabolismen</w:t>
      </w:r>
      <w:proofErr w:type="spellEnd"/>
      <w:r w:rsidRPr="00F84019">
        <w:rPr>
          <w:sz w:val="24"/>
          <w:szCs w:val="24"/>
        </w:rPr>
        <w:t xml:space="preserve"> kan være forøget.</w:t>
      </w:r>
    </w:p>
    <w:p w14:paraId="7BB5F879" w14:textId="65713A40" w:rsidR="00F84019" w:rsidRPr="00F84019" w:rsidRDefault="00F84019" w:rsidP="00D66CCA">
      <w:pPr>
        <w:ind w:left="709" w:hanging="709"/>
        <w:rPr>
          <w:sz w:val="24"/>
          <w:szCs w:val="24"/>
        </w:rPr>
      </w:pPr>
      <w:r w:rsidRPr="00F84019">
        <w:rPr>
          <w:sz w:val="24"/>
          <w:szCs w:val="24"/>
        </w:rPr>
        <w:t xml:space="preserve">*** </w:t>
      </w:r>
      <w:r w:rsidR="00D66CCA" w:rsidRPr="00C5265F">
        <w:rPr>
          <w:sz w:val="24"/>
          <w:szCs w:val="24"/>
        </w:rPr>
        <w:tab/>
      </w:r>
      <w:r w:rsidRPr="00F84019">
        <w:rPr>
          <w:sz w:val="24"/>
          <w:szCs w:val="24"/>
        </w:rPr>
        <w:t>Se pkt. 4.4, Særlige advarsler og forsigtighedsregler vedrørende brugen.</w:t>
      </w:r>
    </w:p>
    <w:p w14:paraId="0F0A3119" w14:textId="43D493E0" w:rsidR="00F84019" w:rsidRPr="00F84019" w:rsidRDefault="00F84019" w:rsidP="00D66CCA">
      <w:pPr>
        <w:ind w:left="709" w:hanging="709"/>
        <w:rPr>
          <w:sz w:val="24"/>
          <w:szCs w:val="24"/>
        </w:rPr>
      </w:pPr>
      <w:r w:rsidRPr="00F84019">
        <w:rPr>
          <w:sz w:val="24"/>
          <w:szCs w:val="24"/>
        </w:rPr>
        <w:t xml:space="preserve">**** </w:t>
      </w:r>
      <w:r w:rsidR="00D66CCA" w:rsidRPr="00C5265F">
        <w:rPr>
          <w:sz w:val="24"/>
          <w:szCs w:val="24"/>
        </w:rPr>
        <w:tab/>
      </w:r>
      <w:r w:rsidRPr="00F84019">
        <w:rPr>
          <w:sz w:val="24"/>
          <w:szCs w:val="24"/>
        </w:rPr>
        <w:t xml:space="preserve">Mekanismen ved hvilken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påvirker knoglemetabolismen er ikke klarlagt.</w:t>
      </w:r>
    </w:p>
    <w:p w14:paraId="150A385E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14:paraId="44212F09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Indberetning af formodede bivirkninger</w:t>
      </w:r>
    </w:p>
    <w:p w14:paraId="481651A6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  <w:r w:rsidRPr="00F84019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F84019">
        <w:rPr>
          <w:sz w:val="24"/>
          <w:szCs w:val="24"/>
        </w:rPr>
        <w:t>risk</w:t>
      </w:r>
      <w:proofErr w:type="spellEnd"/>
      <w:r w:rsidRPr="00F84019">
        <w:rPr>
          <w:sz w:val="24"/>
          <w:szCs w:val="24"/>
        </w:rPr>
        <w:t>-forholdet for lægemidlet. Sundhedspersoner anmodes om at indberette alle formodede bivirkninger via:</w:t>
      </w:r>
    </w:p>
    <w:p w14:paraId="1B471DEE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</w:p>
    <w:p w14:paraId="1253F806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  <w:r w:rsidRPr="00F84019">
        <w:rPr>
          <w:sz w:val="24"/>
          <w:szCs w:val="24"/>
        </w:rPr>
        <w:t>Lægemiddelstyrelsen</w:t>
      </w:r>
    </w:p>
    <w:p w14:paraId="3A5EB960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  <w:r w:rsidRPr="00F84019">
        <w:rPr>
          <w:sz w:val="24"/>
          <w:szCs w:val="24"/>
        </w:rPr>
        <w:t>Axel Heides Gade 1</w:t>
      </w:r>
    </w:p>
    <w:p w14:paraId="5EFA5E62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  <w:r w:rsidRPr="00F84019">
        <w:rPr>
          <w:sz w:val="24"/>
          <w:szCs w:val="24"/>
        </w:rPr>
        <w:t>DK-2300 København S</w:t>
      </w:r>
    </w:p>
    <w:p w14:paraId="4603AC85" w14:textId="77777777" w:rsidR="00F84019" w:rsidRPr="00F84019" w:rsidRDefault="00F84019" w:rsidP="00F84019">
      <w:pPr>
        <w:tabs>
          <w:tab w:val="left" w:pos="851"/>
        </w:tabs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Websted: </w:t>
      </w:r>
      <w:hyperlink r:id="rId8" w:history="1">
        <w:r w:rsidRPr="00F84019">
          <w:rPr>
            <w:rStyle w:val="Hyperlink"/>
            <w:sz w:val="24"/>
            <w:szCs w:val="24"/>
          </w:rPr>
          <w:t>www.meldenbivirkning.dk</w:t>
        </w:r>
      </w:hyperlink>
    </w:p>
    <w:p w14:paraId="23180C57" w14:textId="77777777" w:rsidR="009260DE" w:rsidRPr="00C5265F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6C9E28D0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4.9</w:t>
      </w:r>
      <w:r w:rsidRPr="00C5265F">
        <w:rPr>
          <w:b/>
          <w:sz w:val="24"/>
          <w:szCs w:val="24"/>
        </w:rPr>
        <w:tab/>
        <w:t>Overdosering</w:t>
      </w:r>
    </w:p>
    <w:p w14:paraId="6C3F9732" w14:textId="77777777" w:rsidR="00F84019" w:rsidRPr="00F84019" w:rsidRDefault="00F84019" w:rsidP="00D66CCA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</w:t>
      </w:r>
      <w:proofErr w:type="spellStart"/>
      <w:r w:rsidRPr="00F84019">
        <w:rPr>
          <w:sz w:val="24"/>
          <w:szCs w:val="24"/>
        </w:rPr>
        <w:t>metaboliseres</w:t>
      </w:r>
      <w:proofErr w:type="spellEnd"/>
      <w:r w:rsidRPr="00F84019">
        <w:rPr>
          <w:sz w:val="24"/>
          <w:szCs w:val="24"/>
        </w:rPr>
        <w:t xml:space="preserve"> i omfattende grad til </w:t>
      </w:r>
      <w:proofErr w:type="spellStart"/>
      <w:r w:rsidRPr="00F84019">
        <w:rPr>
          <w:sz w:val="24"/>
          <w:szCs w:val="24"/>
        </w:rPr>
        <w:t>phenobarbiton</w:t>
      </w:r>
      <w:proofErr w:type="spellEnd"/>
      <w:r w:rsidRPr="00F84019">
        <w:rPr>
          <w:sz w:val="24"/>
          <w:szCs w:val="24"/>
        </w:rPr>
        <w:t xml:space="preserve">, og overdosering medfører varierende grader af CNS-depression, som afhængigt af den indtagne dosis kan omfatte </w:t>
      </w:r>
      <w:proofErr w:type="spellStart"/>
      <w:r w:rsidRPr="00F84019">
        <w:rPr>
          <w:sz w:val="24"/>
          <w:szCs w:val="24"/>
        </w:rPr>
        <w:t>ataksi</w:t>
      </w:r>
      <w:proofErr w:type="spellEnd"/>
      <w:r w:rsidRPr="00F84019">
        <w:rPr>
          <w:sz w:val="24"/>
          <w:szCs w:val="24"/>
        </w:rPr>
        <w:t>, bevidsthedstab, respirationsdepression og koma.</w:t>
      </w:r>
    </w:p>
    <w:p w14:paraId="5E985BC3" w14:textId="77777777" w:rsidR="00F84019" w:rsidRPr="00F84019" w:rsidRDefault="00F84019" w:rsidP="00D66CCA">
      <w:pPr>
        <w:ind w:left="851"/>
        <w:rPr>
          <w:sz w:val="24"/>
          <w:szCs w:val="24"/>
        </w:rPr>
      </w:pPr>
    </w:p>
    <w:p w14:paraId="160538C2" w14:textId="77777777" w:rsidR="00F84019" w:rsidRPr="00F84019" w:rsidRDefault="00F84019" w:rsidP="00D66CCA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Krystalluri</w:t>
      </w:r>
      <w:proofErr w:type="spellEnd"/>
      <w:r w:rsidRPr="00F84019">
        <w:rPr>
          <w:sz w:val="24"/>
          <w:szCs w:val="24"/>
        </w:rPr>
        <w:t xml:space="preserve"> kan forekomme ved overdosering og kan anvendes som hjælp til diagnosticering i tilfælde, hvor der er mistanke om overdosering af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>.</w:t>
      </w:r>
    </w:p>
    <w:p w14:paraId="615F3A0C" w14:textId="77777777" w:rsidR="00F84019" w:rsidRPr="00F84019" w:rsidRDefault="00F84019" w:rsidP="00D66CCA">
      <w:pPr>
        <w:ind w:left="851"/>
        <w:rPr>
          <w:sz w:val="24"/>
          <w:szCs w:val="24"/>
        </w:rPr>
      </w:pPr>
    </w:p>
    <w:p w14:paraId="1D42DAD1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Afhængigt af sværhedsgraden af </w:t>
      </w:r>
      <w:proofErr w:type="spellStart"/>
      <w:r w:rsidRPr="00F84019">
        <w:rPr>
          <w:sz w:val="24"/>
          <w:szCs w:val="24"/>
        </w:rPr>
        <w:t>intoksikation</w:t>
      </w:r>
      <w:proofErr w:type="spellEnd"/>
      <w:r w:rsidRPr="00F84019">
        <w:rPr>
          <w:sz w:val="24"/>
          <w:szCs w:val="24"/>
        </w:rPr>
        <w:t xml:space="preserve"> bør behandling omfatte aspiration af maveindhold, administration af aktivt kul, administration af intravenøse væsker, forceret alkalisk diurese (idet der tilstræbes en urin-pH på 8,0) samt generelle understøttende tiltag. I mere livstruende tilfælde er </w:t>
      </w:r>
      <w:proofErr w:type="spellStart"/>
      <w:r w:rsidRPr="00F84019">
        <w:rPr>
          <w:sz w:val="24"/>
          <w:szCs w:val="24"/>
        </w:rPr>
        <w:t>hæmoperfusion</w:t>
      </w:r>
      <w:proofErr w:type="spellEnd"/>
      <w:r w:rsidRPr="00F84019">
        <w:rPr>
          <w:sz w:val="24"/>
          <w:szCs w:val="24"/>
        </w:rPr>
        <w:t xml:space="preserve"> (hvis patienten er </w:t>
      </w:r>
      <w:proofErr w:type="spellStart"/>
      <w:r w:rsidRPr="00F84019">
        <w:rPr>
          <w:sz w:val="24"/>
          <w:szCs w:val="24"/>
        </w:rPr>
        <w:t>hypotensiv</w:t>
      </w:r>
      <w:proofErr w:type="spellEnd"/>
      <w:r w:rsidRPr="00F84019">
        <w:rPr>
          <w:sz w:val="24"/>
          <w:szCs w:val="24"/>
        </w:rPr>
        <w:t>) eller hæmodialyse virkningsfuldt.</w:t>
      </w:r>
    </w:p>
    <w:p w14:paraId="28D15274" w14:textId="77777777" w:rsidR="00F84019" w:rsidRPr="00F84019" w:rsidRDefault="00F84019" w:rsidP="00D66CCA">
      <w:pPr>
        <w:ind w:left="851"/>
        <w:rPr>
          <w:sz w:val="24"/>
          <w:szCs w:val="24"/>
        </w:rPr>
      </w:pPr>
    </w:p>
    <w:p w14:paraId="0154ED68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Der findes ingen specifik antidot.</w:t>
      </w:r>
    </w:p>
    <w:p w14:paraId="6BE89C66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5C4EB97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4.10</w:t>
      </w:r>
      <w:r w:rsidRPr="00C5265F">
        <w:rPr>
          <w:b/>
          <w:sz w:val="24"/>
          <w:szCs w:val="24"/>
        </w:rPr>
        <w:tab/>
        <w:t>Udlevering</w:t>
      </w:r>
    </w:p>
    <w:p w14:paraId="7E8EE77A" w14:textId="296C9591" w:rsidR="009260DE" w:rsidRPr="00C5265F" w:rsidRDefault="00F84019" w:rsidP="009260DE">
      <w:pPr>
        <w:tabs>
          <w:tab w:val="left" w:pos="851"/>
        </w:tabs>
        <w:ind w:left="851"/>
        <w:rPr>
          <w:sz w:val="24"/>
          <w:szCs w:val="24"/>
        </w:rPr>
      </w:pPr>
      <w:r w:rsidRPr="00C5265F">
        <w:rPr>
          <w:sz w:val="24"/>
          <w:szCs w:val="24"/>
        </w:rPr>
        <w:t>B</w:t>
      </w:r>
    </w:p>
    <w:p w14:paraId="4B533B8A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31FFFAA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D9FF121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5.</w:t>
      </w:r>
      <w:r w:rsidRPr="00C5265F">
        <w:rPr>
          <w:b/>
          <w:sz w:val="24"/>
          <w:szCs w:val="24"/>
        </w:rPr>
        <w:tab/>
        <w:t>FARMAKOLOGISKE EGENSKABER</w:t>
      </w:r>
    </w:p>
    <w:p w14:paraId="4BF246B2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88EEDFC" w14:textId="77777777" w:rsidR="009260DE" w:rsidRPr="00C5265F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5.1</w:t>
      </w:r>
      <w:r w:rsidRPr="00C5265F">
        <w:rPr>
          <w:b/>
          <w:sz w:val="24"/>
          <w:szCs w:val="24"/>
        </w:rPr>
        <w:tab/>
      </w:r>
      <w:proofErr w:type="spellStart"/>
      <w:r w:rsidRPr="00C5265F">
        <w:rPr>
          <w:b/>
          <w:sz w:val="24"/>
          <w:szCs w:val="24"/>
        </w:rPr>
        <w:t>Farmakodynamiske</w:t>
      </w:r>
      <w:proofErr w:type="spellEnd"/>
      <w:r w:rsidRPr="00C5265F">
        <w:rPr>
          <w:b/>
          <w:sz w:val="24"/>
          <w:szCs w:val="24"/>
        </w:rPr>
        <w:t xml:space="preserve"> egenskaber</w:t>
      </w:r>
    </w:p>
    <w:p w14:paraId="398BEC25" w14:textId="71E005BB" w:rsidR="00F84019" w:rsidRPr="00F84019" w:rsidRDefault="00F84019" w:rsidP="00D66CCA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Farmakoterapeutisk</w:t>
      </w:r>
      <w:proofErr w:type="spellEnd"/>
      <w:r w:rsidRPr="00F84019">
        <w:rPr>
          <w:sz w:val="24"/>
          <w:szCs w:val="24"/>
        </w:rPr>
        <w:t xml:space="preserve"> klassifikation: </w:t>
      </w:r>
      <w:proofErr w:type="spellStart"/>
      <w:r w:rsidRPr="00F84019">
        <w:rPr>
          <w:sz w:val="24"/>
          <w:szCs w:val="24"/>
        </w:rPr>
        <w:t>Antiepileptika</w:t>
      </w:r>
      <w:proofErr w:type="spellEnd"/>
      <w:r w:rsidRPr="00F84019">
        <w:rPr>
          <w:sz w:val="24"/>
          <w:szCs w:val="24"/>
        </w:rPr>
        <w:t xml:space="preserve"> (barbiturater og derivater)</w:t>
      </w:r>
      <w:r w:rsidR="00D66CCA" w:rsidRPr="00C5265F">
        <w:rPr>
          <w:sz w:val="24"/>
          <w:szCs w:val="24"/>
        </w:rPr>
        <w:t xml:space="preserve">, </w:t>
      </w:r>
      <w:r w:rsidRPr="00F84019">
        <w:rPr>
          <w:sz w:val="24"/>
          <w:szCs w:val="24"/>
        </w:rPr>
        <w:t>ATC-kode: N03AA03</w:t>
      </w:r>
    </w:p>
    <w:p w14:paraId="47EF082E" w14:textId="77777777" w:rsidR="00F84019" w:rsidRPr="00F84019" w:rsidRDefault="00F84019" w:rsidP="00D66CCA">
      <w:pPr>
        <w:ind w:left="851"/>
        <w:rPr>
          <w:sz w:val="24"/>
          <w:szCs w:val="24"/>
        </w:rPr>
      </w:pPr>
    </w:p>
    <w:p w14:paraId="3819A427" w14:textId="77777777" w:rsidR="00F84019" w:rsidRPr="00F84019" w:rsidRDefault="00F84019" w:rsidP="00D66CCA">
      <w:pPr>
        <w:ind w:left="851"/>
        <w:rPr>
          <w:sz w:val="24"/>
          <w:szCs w:val="24"/>
          <w:u w:val="single"/>
        </w:rPr>
      </w:pPr>
      <w:r w:rsidRPr="00F84019">
        <w:rPr>
          <w:sz w:val="24"/>
          <w:szCs w:val="24"/>
          <w:u w:val="single"/>
        </w:rPr>
        <w:t>Virkningsmekanisme</w:t>
      </w:r>
    </w:p>
    <w:p w14:paraId="4ABB4508" w14:textId="77777777" w:rsidR="00F84019" w:rsidRPr="00F84019" w:rsidRDefault="00F84019" w:rsidP="00D66CCA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er et </w:t>
      </w:r>
      <w:proofErr w:type="spellStart"/>
      <w:r w:rsidRPr="00F84019">
        <w:rPr>
          <w:sz w:val="24"/>
          <w:szCs w:val="24"/>
        </w:rPr>
        <w:t>antikonvulsivum</w:t>
      </w:r>
      <w:proofErr w:type="spellEnd"/>
      <w:r w:rsidRPr="00F84019">
        <w:rPr>
          <w:sz w:val="24"/>
          <w:szCs w:val="24"/>
        </w:rPr>
        <w:t xml:space="preserve">, som i høj grad </w:t>
      </w:r>
      <w:proofErr w:type="spellStart"/>
      <w:r w:rsidRPr="00F84019">
        <w:rPr>
          <w:sz w:val="24"/>
          <w:szCs w:val="24"/>
        </w:rPr>
        <w:t>metaboliseres</w:t>
      </w:r>
      <w:proofErr w:type="spellEnd"/>
      <w:r w:rsidRPr="00F84019">
        <w:rPr>
          <w:sz w:val="24"/>
          <w:szCs w:val="24"/>
        </w:rPr>
        <w:t xml:space="preserve"> til de to hovedmetabolitter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og </w:t>
      </w:r>
      <w:proofErr w:type="spellStart"/>
      <w:r w:rsidRPr="00F84019">
        <w:rPr>
          <w:sz w:val="24"/>
          <w:szCs w:val="24"/>
        </w:rPr>
        <w:t>phenylethylmalonamid</w:t>
      </w:r>
      <w:proofErr w:type="spellEnd"/>
      <w:r w:rsidRPr="00F84019">
        <w:rPr>
          <w:sz w:val="24"/>
          <w:szCs w:val="24"/>
        </w:rPr>
        <w:t xml:space="preserve"> (PEMA). Disse tre deles relative bidrag til den kliniske krampestillende virkning er ikke klarlagt til fulde.</w:t>
      </w:r>
    </w:p>
    <w:p w14:paraId="0D542E15" w14:textId="77777777" w:rsidR="00F84019" w:rsidRPr="00F84019" w:rsidRDefault="00F84019" w:rsidP="00D66CCA">
      <w:pPr>
        <w:ind w:left="851"/>
        <w:rPr>
          <w:sz w:val="24"/>
          <w:szCs w:val="24"/>
        </w:rPr>
      </w:pPr>
    </w:p>
    <w:p w14:paraId="71789DDD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Det er desuden påvist, at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undertrykker </w:t>
      </w:r>
      <w:proofErr w:type="spellStart"/>
      <w:r w:rsidRPr="00F84019">
        <w:rPr>
          <w:sz w:val="24"/>
          <w:szCs w:val="24"/>
        </w:rPr>
        <w:t>tremor</w:t>
      </w:r>
      <w:proofErr w:type="spellEnd"/>
      <w:r w:rsidRPr="00F84019">
        <w:rPr>
          <w:sz w:val="24"/>
          <w:szCs w:val="24"/>
        </w:rPr>
        <w:t>, muligvis med bidrag fra disse metabolitter.</w:t>
      </w:r>
    </w:p>
    <w:p w14:paraId="3B4D1701" w14:textId="77777777" w:rsidR="00F84019" w:rsidRPr="00F84019" w:rsidRDefault="00F84019" w:rsidP="00D66CCA">
      <w:pPr>
        <w:ind w:left="851"/>
        <w:rPr>
          <w:sz w:val="24"/>
          <w:szCs w:val="24"/>
        </w:rPr>
      </w:pPr>
    </w:p>
    <w:p w14:paraId="1778549D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Selvom </w:t>
      </w:r>
      <w:proofErr w:type="spellStart"/>
      <w:r w:rsidRPr="00F84019">
        <w:rPr>
          <w:sz w:val="24"/>
          <w:szCs w:val="24"/>
        </w:rPr>
        <w:t>primidons</w:t>
      </w:r>
      <w:proofErr w:type="spellEnd"/>
      <w:r w:rsidRPr="00F84019">
        <w:rPr>
          <w:sz w:val="24"/>
          <w:szCs w:val="24"/>
        </w:rPr>
        <w:t xml:space="preserve"> nøjagtige virkningsmekanisme er ukendt, er det ligesom for andre </w:t>
      </w:r>
      <w:proofErr w:type="spellStart"/>
      <w:r w:rsidRPr="00F84019">
        <w:rPr>
          <w:sz w:val="24"/>
          <w:szCs w:val="24"/>
        </w:rPr>
        <w:t>antikonvulsiva</w:t>
      </w:r>
      <w:proofErr w:type="spellEnd"/>
      <w:r w:rsidRPr="00F84019">
        <w:rPr>
          <w:sz w:val="24"/>
          <w:szCs w:val="24"/>
        </w:rPr>
        <w:t xml:space="preserve"> påvist, at disse stoffer direkte modulerer </w:t>
      </w:r>
      <w:proofErr w:type="spellStart"/>
      <w:r w:rsidRPr="00F84019">
        <w:rPr>
          <w:sz w:val="24"/>
          <w:szCs w:val="24"/>
        </w:rPr>
        <w:t>neuronal</w:t>
      </w:r>
      <w:proofErr w:type="spellEnd"/>
      <w:r w:rsidRPr="00F84019">
        <w:rPr>
          <w:sz w:val="24"/>
          <w:szCs w:val="24"/>
        </w:rPr>
        <w:t xml:space="preserve"> </w:t>
      </w:r>
      <w:proofErr w:type="spellStart"/>
      <w:r w:rsidRPr="00F84019">
        <w:rPr>
          <w:sz w:val="24"/>
          <w:szCs w:val="24"/>
        </w:rPr>
        <w:t>excitabilitet</w:t>
      </w:r>
      <w:proofErr w:type="spellEnd"/>
      <w:r w:rsidRPr="00F84019">
        <w:rPr>
          <w:sz w:val="24"/>
          <w:szCs w:val="24"/>
        </w:rPr>
        <w:t xml:space="preserve"> via:</w:t>
      </w:r>
    </w:p>
    <w:p w14:paraId="7E52B6F1" w14:textId="77777777" w:rsidR="00F84019" w:rsidRPr="00F84019" w:rsidRDefault="00F84019" w:rsidP="00D66CCA">
      <w:pPr>
        <w:numPr>
          <w:ilvl w:val="0"/>
          <w:numId w:val="12"/>
        </w:numPr>
        <w:ind w:left="1276" w:hanging="425"/>
        <w:rPr>
          <w:sz w:val="24"/>
          <w:szCs w:val="24"/>
        </w:rPr>
      </w:pPr>
      <w:r w:rsidRPr="00F84019">
        <w:rPr>
          <w:sz w:val="24"/>
          <w:szCs w:val="24"/>
        </w:rPr>
        <w:t>Forlængelse og forstærkning af virkningen af gamma-</w:t>
      </w:r>
      <w:proofErr w:type="spellStart"/>
      <w:r w:rsidRPr="00F84019">
        <w:rPr>
          <w:sz w:val="24"/>
          <w:szCs w:val="24"/>
        </w:rPr>
        <w:t>aminobutyrat</w:t>
      </w:r>
      <w:proofErr w:type="spellEnd"/>
      <w:r w:rsidRPr="00F84019">
        <w:rPr>
          <w:sz w:val="24"/>
          <w:szCs w:val="24"/>
        </w:rPr>
        <w:t xml:space="preserve"> (GABA), den primære inhibitoriske neurotransmitter i CNS: Barbiturater virker som positive </w:t>
      </w:r>
      <w:proofErr w:type="spellStart"/>
      <w:r w:rsidRPr="00F84019">
        <w:rPr>
          <w:sz w:val="24"/>
          <w:szCs w:val="24"/>
        </w:rPr>
        <w:t>allosteriske</w:t>
      </w:r>
      <w:proofErr w:type="spellEnd"/>
      <w:r w:rsidRPr="00F84019">
        <w:rPr>
          <w:sz w:val="24"/>
          <w:szCs w:val="24"/>
        </w:rPr>
        <w:t xml:space="preserve"> </w:t>
      </w:r>
      <w:proofErr w:type="spellStart"/>
      <w:r w:rsidRPr="00F84019">
        <w:rPr>
          <w:sz w:val="24"/>
          <w:szCs w:val="24"/>
        </w:rPr>
        <w:t>modulatorer</w:t>
      </w:r>
      <w:proofErr w:type="spellEnd"/>
      <w:r w:rsidRPr="00F84019">
        <w:rPr>
          <w:sz w:val="24"/>
          <w:szCs w:val="24"/>
        </w:rPr>
        <w:t>, og ved højere doser som GABA</w:t>
      </w:r>
      <w:r w:rsidRPr="00F84019">
        <w:rPr>
          <w:sz w:val="24"/>
          <w:szCs w:val="24"/>
          <w:vertAlign w:val="subscript"/>
        </w:rPr>
        <w:t>A</w:t>
      </w:r>
      <w:r w:rsidRPr="00F84019">
        <w:rPr>
          <w:sz w:val="24"/>
          <w:szCs w:val="24"/>
        </w:rPr>
        <w:t>-receptoragonister.</w:t>
      </w:r>
    </w:p>
    <w:p w14:paraId="46412653" w14:textId="77777777" w:rsidR="00F84019" w:rsidRPr="00F84019" w:rsidRDefault="00F84019" w:rsidP="00D66CCA">
      <w:pPr>
        <w:numPr>
          <w:ilvl w:val="0"/>
          <w:numId w:val="12"/>
        </w:numPr>
        <w:ind w:left="1276" w:hanging="425"/>
        <w:rPr>
          <w:sz w:val="24"/>
          <w:szCs w:val="24"/>
        </w:rPr>
      </w:pPr>
      <w:r w:rsidRPr="00F84019">
        <w:rPr>
          <w:sz w:val="24"/>
          <w:szCs w:val="24"/>
        </w:rPr>
        <w:t xml:space="preserve">Hæmning af virkningen af glutamat, den primære </w:t>
      </w:r>
      <w:proofErr w:type="spellStart"/>
      <w:r w:rsidRPr="00F84019">
        <w:rPr>
          <w:sz w:val="24"/>
          <w:szCs w:val="24"/>
        </w:rPr>
        <w:t>excitatoriske</w:t>
      </w:r>
      <w:proofErr w:type="spellEnd"/>
      <w:r w:rsidRPr="00F84019">
        <w:rPr>
          <w:sz w:val="24"/>
          <w:szCs w:val="24"/>
        </w:rPr>
        <w:t xml:space="preserve"> neurotransmitter i CNS: Barbiturater blokerer AMPA- og </w:t>
      </w:r>
      <w:proofErr w:type="spellStart"/>
      <w:r w:rsidRPr="00F84019">
        <w:rPr>
          <w:sz w:val="24"/>
          <w:szCs w:val="24"/>
        </w:rPr>
        <w:t>kainsyrereceptorer</w:t>
      </w:r>
      <w:proofErr w:type="spellEnd"/>
      <w:r w:rsidRPr="00F84019">
        <w:rPr>
          <w:sz w:val="24"/>
          <w:szCs w:val="24"/>
        </w:rPr>
        <w:t>, som er undertyper af glutamatreceptorer.</w:t>
      </w:r>
    </w:p>
    <w:p w14:paraId="4C6811D9" w14:textId="77777777" w:rsidR="00F84019" w:rsidRPr="00F84019" w:rsidRDefault="00F84019" w:rsidP="00D66CCA">
      <w:pPr>
        <w:ind w:left="851"/>
        <w:rPr>
          <w:sz w:val="24"/>
          <w:szCs w:val="24"/>
        </w:rPr>
      </w:pPr>
    </w:p>
    <w:p w14:paraId="4F81878D" w14:textId="77777777" w:rsidR="00F84019" w:rsidRPr="00F84019" w:rsidRDefault="00F84019" w:rsidP="00D66CCA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kan ligesom andre </w:t>
      </w:r>
      <w:proofErr w:type="spellStart"/>
      <w:r w:rsidRPr="00F84019">
        <w:rPr>
          <w:sz w:val="24"/>
          <w:szCs w:val="24"/>
        </w:rPr>
        <w:t>antikonvulsiva</w:t>
      </w:r>
      <w:proofErr w:type="spellEnd"/>
      <w:r w:rsidRPr="00F84019">
        <w:rPr>
          <w:sz w:val="24"/>
          <w:szCs w:val="24"/>
        </w:rPr>
        <w:t xml:space="preserve"> inducere leverenzymer.</w:t>
      </w:r>
    </w:p>
    <w:p w14:paraId="2FE6C6AC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360887B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5.2</w:t>
      </w:r>
      <w:r w:rsidRPr="00C5265F">
        <w:rPr>
          <w:b/>
          <w:sz w:val="24"/>
          <w:szCs w:val="24"/>
        </w:rPr>
        <w:tab/>
      </w:r>
      <w:proofErr w:type="spellStart"/>
      <w:r w:rsidRPr="00C5265F">
        <w:rPr>
          <w:b/>
          <w:sz w:val="24"/>
          <w:szCs w:val="24"/>
        </w:rPr>
        <w:t>Farmakokinetiske</w:t>
      </w:r>
      <w:proofErr w:type="spellEnd"/>
      <w:r w:rsidRPr="00C5265F">
        <w:rPr>
          <w:b/>
          <w:sz w:val="24"/>
          <w:szCs w:val="24"/>
        </w:rPr>
        <w:t xml:space="preserve"> egenskaber</w:t>
      </w:r>
    </w:p>
    <w:p w14:paraId="143C1074" w14:textId="77777777" w:rsidR="00D66CCA" w:rsidRPr="00C5265F" w:rsidRDefault="00D66CCA" w:rsidP="00F84019">
      <w:pPr>
        <w:tabs>
          <w:tab w:val="left" w:pos="851"/>
        </w:tabs>
        <w:ind w:left="851"/>
        <w:rPr>
          <w:iCs/>
          <w:sz w:val="24"/>
          <w:szCs w:val="24"/>
          <w:u w:val="single"/>
        </w:rPr>
      </w:pPr>
    </w:p>
    <w:p w14:paraId="0BD39187" w14:textId="3A48C1B5" w:rsidR="00F84019" w:rsidRPr="00F84019" w:rsidRDefault="00F84019" w:rsidP="00D66CCA">
      <w:pPr>
        <w:ind w:left="851"/>
        <w:rPr>
          <w:iCs/>
          <w:sz w:val="24"/>
          <w:szCs w:val="24"/>
          <w:u w:val="single"/>
        </w:rPr>
      </w:pPr>
      <w:r w:rsidRPr="00F84019">
        <w:rPr>
          <w:iCs/>
          <w:sz w:val="24"/>
          <w:szCs w:val="24"/>
          <w:u w:val="single"/>
        </w:rPr>
        <w:t>Absorption</w:t>
      </w:r>
    </w:p>
    <w:p w14:paraId="4E82936D" w14:textId="77777777" w:rsidR="00F84019" w:rsidRPr="00F84019" w:rsidRDefault="00F84019" w:rsidP="00D66CCA">
      <w:pPr>
        <w:ind w:left="851"/>
        <w:rPr>
          <w:iCs/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absorberes hurtigt fra mave-tarm-kanalen, og det maksimale plasmaniveau nås cirka 3 timer efter indtagelse.</w:t>
      </w:r>
    </w:p>
    <w:p w14:paraId="025E9CF6" w14:textId="77777777" w:rsidR="00F84019" w:rsidRPr="00F84019" w:rsidRDefault="00F84019" w:rsidP="00D66CCA">
      <w:pPr>
        <w:ind w:left="851"/>
        <w:rPr>
          <w:iCs/>
          <w:sz w:val="24"/>
          <w:szCs w:val="24"/>
        </w:rPr>
      </w:pPr>
    </w:p>
    <w:p w14:paraId="02B82D1D" w14:textId="77777777" w:rsidR="00F84019" w:rsidRPr="00F84019" w:rsidRDefault="00F84019" w:rsidP="00D66CCA">
      <w:pPr>
        <w:ind w:left="851"/>
        <w:rPr>
          <w:iCs/>
          <w:sz w:val="24"/>
          <w:szCs w:val="24"/>
          <w:u w:val="single"/>
        </w:rPr>
      </w:pPr>
      <w:r w:rsidRPr="00F84019">
        <w:rPr>
          <w:iCs/>
          <w:sz w:val="24"/>
          <w:szCs w:val="24"/>
          <w:u w:val="single"/>
        </w:rPr>
        <w:t>Fordeling</w:t>
      </w:r>
    </w:p>
    <w:p w14:paraId="6EA7574D" w14:textId="77777777" w:rsidR="00F84019" w:rsidRPr="00F84019" w:rsidRDefault="00F84019" w:rsidP="00D66CCA">
      <w:pPr>
        <w:ind w:left="851"/>
        <w:rPr>
          <w:iCs/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fordeles godt til alle organer og væv: Det krydser blod-hjerne- og placentabarrieren og udskilles i modermælken (se pkt. 4.6).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bindes kun delvist til plasmaproteiner (cirka 35 %), hvorimod cirka halvdelen af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bindes.</w:t>
      </w:r>
    </w:p>
    <w:p w14:paraId="24CD046E" w14:textId="0476219E" w:rsidR="00C5265F" w:rsidRDefault="00C5265F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14:paraId="42F46345" w14:textId="77777777" w:rsidR="00F84019" w:rsidRPr="00F84019" w:rsidRDefault="00F84019" w:rsidP="00D66CCA">
      <w:pPr>
        <w:ind w:left="851"/>
        <w:rPr>
          <w:iCs/>
          <w:sz w:val="24"/>
          <w:szCs w:val="24"/>
        </w:rPr>
      </w:pPr>
    </w:p>
    <w:p w14:paraId="682FABAD" w14:textId="77777777" w:rsidR="00F84019" w:rsidRPr="00F84019" w:rsidRDefault="00F84019" w:rsidP="00D66CCA">
      <w:pPr>
        <w:ind w:left="851"/>
        <w:rPr>
          <w:iCs/>
          <w:sz w:val="24"/>
          <w:szCs w:val="24"/>
          <w:u w:val="single"/>
        </w:rPr>
      </w:pPr>
      <w:r w:rsidRPr="00F84019">
        <w:rPr>
          <w:iCs/>
          <w:sz w:val="24"/>
          <w:szCs w:val="24"/>
          <w:u w:val="single"/>
        </w:rPr>
        <w:t>Biotransformation</w:t>
      </w:r>
    </w:p>
    <w:p w14:paraId="07DA0323" w14:textId="77777777" w:rsidR="00F84019" w:rsidRPr="00F84019" w:rsidRDefault="00F84019" w:rsidP="00D66CCA">
      <w:pPr>
        <w:ind w:left="851"/>
        <w:rPr>
          <w:iCs/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</w:t>
      </w:r>
      <w:proofErr w:type="spellStart"/>
      <w:r w:rsidRPr="00F84019">
        <w:rPr>
          <w:sz w:val="24"/>
          <w:szCs w:val="24"/>
        </w:rPr>
        <w:t>metaboliseres</w:t>
      </w:r>
      <w:proofErr w:type="spellEnd"/>
      <w:r w:rsidRPr="00F84019">
        <w:rPr>
          <w:sz w:val="24"/>
          <w:szCs w:val="24"/>
        </w:rPr>
        <w:t xml:space="preserve"> delvist i leveren til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og </w:t>
      </w:r>
      <w:proofErr w:type="spellStart"/>
      <w:r w:rsidRPr="00F84019">
        <w:rPr>
          <w:sz w:val="24"/>
          <w:szCs w:val="24"/>
        </w:rPr>
        <w:t>phenylethylmalonamid</w:t>
      </w:r>
      <w:proofErr w:type="spellEnd"/>
      <w:r w:rsidRPr="00F84019">
        <w:rPr>
          <w:sz w:val="24"/>
          <w:szCs w:val="24"/>
        </w:rPr>
        <w:t xml:space="preserve"> (PEMA), dets primære metabolitter, som begge har krampestillende virkning og komplekse </w:t>
      </w:r>
      <w:proofErr w:type="spellStart"/>
      <w:r w:rsidRPr="00F84019">
        <w:rPr>
          <w:sz w:val="24"/>
          <w:szCs w:val="24"/>
        </w:rPr>
        <w:t>farmakokinetiske</w:t>
      </w:r>
      <w:proofErr w:type="spellEnd"/>
      <w:r w:rsidRPr="00F84019">
        <w:rPr>
          <w:sz w:val="24"/>
          <w:szCs w:val="24"/>
        </w:rPr>
        <w:t xml:space="preserve"> egenskaber.</w:t>
      </w:r>
    </w:p>
    <w:p w14:paraId="51B70FC9" w14:textId="77777777" w:rsidR="00F84019" w:rsidRPr="00F84019" w:rsidRDefault="00F84019" w:rsidP="00D66CCA">
      <w:pPr>
        <w:ind w:left="851"/>
        <w:rPr>
          <w:iCs/>
          <w:sz w:val="24"/>
          <w:szCs w:val="24"/>
        </w:rPr>
      </w:pPr>
    </w:p>
    <w:p w14:paraId="76E56317" w14:textId="77777777" w:rsidR="00F84019" w:rsidRPr="00F84019" w:rsidRDefault="00F84019" w:rsidP="00D66CCA">
      <w:pPr>
        <w:ind w:left="851"/>
        <w:rPr>
          <w:iCs/>
          <w:sz w:val="24"/>
          <w:szCs w:val="24"/>
          <w:u w:val="single"/>
        </w:rPr>
      </w:pPr>
      <w:r w:rsidRPr="00F84019">
        <w:rPr>
          <w:iCs/>
          <w:sz w:val="24"/>
          <w:szCs w:val="24"/>
          <w:u w:val="single"/>
        </w:rPr>
        <w:t>Elimination</w:t>
      </w:r>
    </w:p>
    <w:p w14:paraId="591757B9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har en eliminationshalveringstid på cirka 10 timer, hvilket er betydeligt kortere end halveringstiden for dets primære metabolitter: PEMA (10 til 25 timer) og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(50 til 160 timer). Elimination sker primært via urin med 40 % som uforandret stof og 28 % som PEMA.</w:t>
      </w:r>
    </w:p>
    <w:p w14:paraId="3B304F92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7696B68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5.3</w:t>
      </w:r>
      <w:r w:rsidRPr="00C5265F">
        <w:rPr>
          <w:b/>
          <w:sz w:val="24"/>
          <w:szCs w:val="24"/>
        </w:rPr>
        <w:tab/>
      </w:r>
      <w:r w:rsidR="00BD7931" w:rsidRPr="00C5265F">
        <w:rPr>
          <w:b/>
          <w:sz w:val="24"/>
          <w:szCs w:val="24"/>
        </w:rPr>
        <w:t>Non-</w:t>
      </w:r>
      <w:r w:rsidRPr="00C5265F">
        <w:rPr>
          <w:b/>
          <w:sz w:val="24"/>
          <w:szCs w:val="24"/>
        </w:rPr>
        <w:t>kliniske sikkerhedsdata</w:t>
      </w:r>
    </w:p>
    <w:p w14:paraId="168A9730" w14:textId="77777777" w:rsidR="00D66CCA" w:rsidRPr="00C5265F" w:rsidRDefault="00D66CCA" w:rsidP="00F84019">
      <w:pPr>
        <w:tabs>
          <w:tab w:val="left" w:pos="851"/>
        </w:tabs>
        <w:ind w:left="851"/>
        <w:rPr>
          <w:bCs/>
          <w:sz w:val="24"/>
          <w:szCs w:val="24"/>
          <w:u w:val="single"/>
        </w:rPr>
      </w:pPr>
    </w:p>
    <w:p w14:paraId="1C0D199C" w14:textId="5F4FE17E" w:rsidR="00F84019" w:rsidRPr="00F84019" w:rsidRDefault="00F84019" w:rsidP="00D66CCA">
      <w:pPr>
        <w:ind w:left="851"/>
        <w:rPr>
          <w:bCs/>
          <w:sz w:val="24"/>
          <w:szCs w:val="24"/>
          <w:u w:val="single"/>
        </w:rPr>
      </w:pPr>
      <w:r w:rsidRPr="00F84019">
        <w:rPr>
          <w:bCs/>
          <w:sz w:val="24"/>
          <w:szCs w:val="24"/>
          <w:u w:val="single"/>
        </w:rPr>
        <w:t>Toksicitet efter gentagne doser</w:t>
      </w:r>
    </w:p>
    <w:p w14:paraId="3D9C318A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  <w:r w:rsidRPr="00F84019">
        <w:rPr>
          <w:sz w:val="24"/>
          <w:szCs w:val="24"/>
        </w:rPr>
        <w:t xml:space="preserve">Der er set </w:t>
      </w:r>
      <w:proofErr w:type="spellStart"/>
      <w:r w:rsidRPr="00F84019">
        <w:rPr>
          <w:sz w:val="24"/>
          <w:szCs w:val="24"/>
        </w:rPr>
        <w:t>centrilobulær</w:t>
      </w:r>
      <w:proofErr w:type="spellEnd"/>
      <w:r w:rsidRPr="00F84019">
        <w:rPr>
          <w:sz w:val="24"/>
          <w:szCs w:val="24"/>
        </w:rPr>
        <w:t xml:space="preserve"> </w:t>
      </w:r>
      <w:proofErr w:type="spellStart"/>
      <w:r w:rsidRPr="00F84019">
        <w:rPr>
          <w:sz w:val="24"/>
          <w:szCs w:val="24"/>
        </w:rPr>
        <w:t>hepatocythypertrofi</w:t>
      </w:r>
      <w:proofErr w:type="spellEnd"/>
      <w:r w:rsidRPr="00F84019">
        <w:rPr>
          <w:sz w:val="24"/>
          <w:szCs w:val="24"/>
        </w:rPr>
        <w:t xml:space="preserve"> hos mus og rotter og kronisk </w:t>
      </w:r>
      <w:proofErr w:type="spellStart"/>
      <w:r w:rsidRPr="00F84019">
        <w:rPr>
          <w:sz w:val="24"/>
          <w:szCs w:val="24"/>
        </w:rPr>
        <w:t>nefropati</w:t>
      </w:r>
      <w:proofErr w:type="spellEnd"/>
      <w:r w:rsidRPr="00F84019">
        <w:rPr>
          <w:sz w:val="24"/>
          <w:szCs w:val="24"/>
        </w:rPr>
        <w:t xml:space="preserve"> hos rotter efter administration af klinisk relevante doser af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i 14 uger. Der er også set </w:t>
      </w:r>
      <w:proofErr w:type="spellStart"/>
      <w:r w:rsidRPr="00F84019">
        <w:rPr>
          <w:sz w:val="24"/>
          <w:szCs w:val="24"/>
        </w:rPr>
        <w:t>hepatocellulær</w:t>
      </w:r>
      <w:proofErr w:type="spellEnd"/>
      <w:r w:rsidRPr="00F84019">
        <w:rPr>
          <w:sz w:val="24"/>
          <w:szCs w:val="24"/>
        </w:rPr>
        <w:t xml:space="preserve"> hypertrofi hos hunde, der fik administreret klinisk relevante doser af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i 6 måneder.</w:t>
      </w:r>
    </w:p>
    <w:p w14:paraId="2C2559FE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</w:p>
    <w:p w14:paraId="2FFA3D77" w14:textId="77777777" w:rsidR="00F84019" w:rsidRPr="00F84019" w:rsidRDefault="00F84019" w:rsidP="00D66CCA">
      <w:pPr>
        <w:ind w:left="851"/>
        <w:rPr>
          <w:bCs/>
          <w:sz w:val="24"/>
          <w:szCs w:val="24"/>
          <w:u w:val="single"/>
        </w:rPr>
      </w:pPr>
      <w:r w:rsidRPr="00F84019">
        <w:rPr>
          <w:bCs/>
          <w:sz w:val="24"/>
          <w:szCs w:val="24"/>
          <w:u w:val="single"/>
        </w:rPr>
        <w:t xml:space="preserve">Genotoksicitet </w:t>
      </w:r>
    </w:p>
    <w:p w14:paraId="2E14D00E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blev påvist at være mutagent hos én stamme af </w:t>
      </w:r>
      <w:r w:rsidRPr="00F84019">
        <w:rPr>
          <w:i/>
          <w:iCs/>
          <w:sz w:val="24"/>
          <w:szCs w:val="24"/>
        </w:rPr>
        <w:t xml:space="preserve">Salmonella </w:t>
      </w:r>
      <w:proofErr w:type="spellStart"/>
      <w:r w:rsidRPr="00F84019">
        <w:rPr>
          <w:i/>
          <w:iCs/>
          <w:sz w:val="24"/>
          <w:szCs w:val="24"/>
        </w:rPr>
        <w:t>Typhimurium</w:t>
      </w:r>
      <w:proofErr w:type="spellEnd"/>
      <w:r w:rsidRPr="00F84019">
        <w:rPr>
          <w:sz w:val="24"/>
          <w:szCs w:val="24"/>
        </w:rPr>
        <w:t xml:space="preserve"> (TA1535). Der blev ikke påvist genotoksicitet i andre </w:t>
      </w:r>
      <w:r w:rsidRPr="00F84019">
        <w:rPr>
          <w:i/>
          <w:iCs/>
          <w:sz w:val="24"/>
          <w:szCs w:val="24"/>
        </w:rPr>
        <w:t xml:space="preserve">in </w:t>
      </w:r>
      <w:proofErr w:type="spellStart"/>
      <w:r w:rsidRPr="00F84019">
        <w:rPr>
          <w:i/>
          <w:iCs/>
          <w:sz w:val="24"/>
          <w:szCs w:val="24"/>
        </w:rPr>
        <w:t>vitro</w:t>
      </w:r>
      <w:proofErr w:type="spellEnd"/>
      <w:r w:rsidRPr="00F84019">
        <w:rPr>
          <w:sz w:val="24"/>
          <w:szCs w:val="24"/>
        </w:rPr>
        <w:t xml:space="preserve">- og </w:t>
      </w:r>
      <w:r w:rsidRPr="00F84019">
        <w:rPr>
          <w:i/>
          <w:iCs/>
          <w:sz w:val="24"/>
          <w:szCs w:val="24"/>
        </w:rPr>
        <w:t xml:space="preserve">in </w:t>
      </w:r>
      <w:proofErr w:type="spellStart"/>
      <w:r w:rsidRPr="00F84019">
        <w:rPr>
          <w:i/>
          <w:iCs/>
          <w:sz w:val="24"/>
          <w:szCs w:val="24"/>
        </w:rPr>
        <w:t>vivo</w:t>
      </w:r>
      <w:proofErr w:type="spellEnd"/>
      <w:r w:rsidRPr="00F84019">
        <w:rPr>
          <w:sz w:val="24"/>
          <w:szCs w:val="24"/>
        </w:rPr>
        <w:t>-undersøgelser. Derfor er risikoen for genotoksicitet hos mennesker ukendt.</w:t>
      </w:r>
    </w:p>
    <w:p w14:paraId="6F7E6A0C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</w:p>
    <w:p w14:paraId="5FB73AB4" w14:textId="77777777" w:rsidR="00F84019" w:rsidRPr="00F84019" w:rsidRDefault="00F84019" w:rsidP="00D66CCA">
      <w:pPr>
        <w:ind w:left="851"/>
        <w:rPr>
          <w:bCs/>
          <w:sz w:val="24"/>
          <w:szCs w:val="24"/>
          <w:u w:val="single"/>
        </w:rPr>
      </w:pPr>
      <w:proofErr w:type="spellStart"/>
      <w:r w:rsidRPr="00F84019">
        <w:rPr>
          <w:bCs/>
          <w:sz w:val="24"/>
          <w:szCs w:val="24"/>
          <w:u w:val="single"/>
        </w:rPr>
        <w:t>Karcinogenicitet</w:t>
      </w:r>
      <w:proofErr w:type="spellEnd"/>
    </w:p>
    <w:p w14:paraId="1353FE69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  <w:r w:rsidRPr="00F84019">
        <w:rPr>
          <w:sz w:val="24"/>
          <w:szCs w:val="24"/>
        </w:rPr>
        <w:t xml:space="preserve">I 2-årige standardstudier af </w:t>
      </w:r>
      <w:proofErr w:type="spellStart"/>
      <w:r w:rsidRPr="00F84019">
        <w:rPr>
          <w:sz w:val="24"/>
          <w:szCs w:val="24"/>
        </w:rPr>
        <w:t>karcinogenicitet</w:t>
      </w:r>
      <w:proofErr w:type="spellEnd"/>
      <w:r w:rsidRPr="00F84019">
        <w:rPr>
          <w:sz w:val="24"/>
          <w:szCs w:val="24"/>
        </w:rPr>
        <w:t xml:space="preserve"> er der identificeret en øget forekomst af </w:t>
      </w:r>
      <w:proofErr w:type="spellStart"/>
      <w:r w:rsidRPr="00F84019">
        <w:rPr>
          <w:sz w:val="24"/>
          <w:szCs w:val="24"/>
        </w:rPr>
        <w:t>hepatocellulære</w:t>
      </w:r>
      <w:proofErr w:type="spellEnd"/>
      <w:r w:rsidRPr="00F84019">
        <w:rPr>
          <w:sz w:val="24"/>
          <w:szCs w:val="24"/>
        </w:rPr>
        <w:t xml:space="preserve"> neoplasmer hos han- og </w:t>
      </w:r>
      <w:proofErr w:type="spellStart"/>
      <w:r w:rsidRPr="00F84019">
        <w:rPr>
          <w:sz w:val="24"/>
          <w:szCs w:val="24"/>
        </w:rPr>
        <w:t>hunmus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thyreoideaadenomer</w:t>
      </w:r>
      <w:proofErr w:type="spellEnd"/>
      <w:r w:rsidRPr="00F84019">
        <w:rPr>
          <w:sz w:val="24"/>
          <w:szCs w:val="24"/>
        </w:rPr>
        <w:t xml:space="preserve"> hos </w:t>
      </w:r>
      <w:proofErr w:type="spellStart"/>
      <w:r w:rsidRPr="00F84019">
        <w:rPr>
          <w:sz w:val="24"/>
          <w:szCs w:val="24"/>
        </w:rPr>
        <w:t>hanmus</w:t>
      </w:r>
      <w:proofErr w:type="spellEnd"/>
      <w:r w:rsidRPr="00F84019">
        <w:rPr>
          <w:sz w:val="24"/>
          <w:szCs w:val="24"/>
        </w:rPr>
        <w:t xml:space="preserve"> og hanrotter og kombinerede forekomster af </w:t>
      </w:r>
      <w:proofErr w:type="spellStart"/>
      <w:r w:rsidRPr="00F84019">
        <w:rPr>
          <w:sz w:val="24"/>
          <w:szCs w:val="24"/>
        </w:rPr>
        <w:t>nyretubuli-adenomer</w:t>
      </w:r>
      <w:proofErr w:type="spellEnd"/>
      <w:r w:rsidRPr="00F84019">
        <w:rPr>
          <w:sz w:val="24"/>
          <w:szCs w:val="24"/>
        </w:rPr>
        <w:t xml:space="preserve"> eller karcinomer hos hanrotter ved doser, der betragtes som klinisk relevante. Risikoen for </w:t>
      </w:r>
      <w:proofErr w:type="spellStart"/>
      <w:r w:rsidRPr="00F84019">
        <w:rPr>
          <w:sz w:val="24"/>
          <w:szCs w:val="24"/>
        </w:rPr>
        <w:t>karcinogenicitet</w:t>
      </w:r>
      <w:proofErr w:type="spellEnd"/>
      <w:r w:rsidRPr="00F84019">
        <w:rPr>
          <w:sz w:val="24"/>
          <w:szCs w:val="24"/>
        </w:rPr>
        <w:t xml:space="preserve"> hos mennesker ukendt.</w:t>
      </w:r>
    </w:p>
    <w:p w14:paraId="1853AEA8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</w:p>
    <w:p w14:paraId="5D601276" w14:textId="77777777" w:rsidR="00F84019" w:rsidRPr="00F84019" w:rsidRDefault="00F84019" w:rsidP="00D66CCA">
      <w:pPr>
        <w:ind w:left="851"/>
        <w:rPr>
          <w:bCs/>
          <w:sz w:val="24"/>
          <w:szCs w:val="24"/>
          <w:u w:val="single"/>
        </w:rPr>
      </w:pPr>
      <w:r w:rsidRPr="00F84019">
        <w:rPr>
          <w:bCs/>
          <w:sz w:val="24"/>
          <w:szCs w:val="24"/>
          <w:u w:val="single"/>
        </w:rPr>
        <w:t>Reproduktionstoksicitet</w:t>
      </w:r>
    </w:p>
    <w:p w14:paraId="49B111E2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  <w:r w:rsidRPr="00F84019">
        <w:rPr>
          <w:sz w:val="24"/>
          <w:szCs w:val="24"/>
        </w:rPr>
        <w:t xml:space="preserve">Dyreforsøg har vist, at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er </w:t>
      </w:r>
      <w:proofErr w:type="spellStart"/>
      <w:r w:rsidRPr="00F84019">
        <w:rPr>
          <w:sz w:val="24"/>
          <w:szCs w:val="24"/>
        </w:rPr>
        <w:t>teratogent</w:t>
      </w:r>
      <w:proofErr w:type="spellEnd"/>
      <w:r w:rsidRPr="00F84019">
        <w:rPr>
          <w:sz w:val="24"/>
          <w:szCs w:val="24"/>
        </w:rPr>
        <w:t xml:space="preserve"> og hæmmer den </w:t>
      </w:r>
      <w:proofErr w:type="spellStart"/>
      <w:r w:rsidRPr="00F84019">
        <w:rPr>
          <w:sz w:val="24"/>
          <w:szCs w:val="24"/>
        </w:rPr>
        <w:t>postnatale</w:t>
      </w:r>
      <w:proofErr w:type="spellEnd"/>
      <w:r w:rsidRPr="00F84019">
        <w:rPr>
          <w:sz w:val="24"/>
          <w:szCs w:val="24"/>
        </w:rPr>
        <w:t xml:space="preserve"> udvikling ved doser, der betragtes at være klinisk relevante. </w:t>
      </w:r>
      <w:proofErr w:type="spellStart"/>
      <w:r w:rsidRPr="00F84019">
        <w:rPr>
          <w:sz w:val="24"/>
          <w:szCs w:val="24"/>
        </w:rPr>
        <w:t>Teratogene</w:t>
      </w:r>
      <w:proofErr w:type="spellEnd"/>
      <w:r w:rsidRPr="00F84019">
        <w:rPr>
          <w:sz w:val="24"/>
          <w:szCs w:val="24"/>
        </w:rPr>
        <w:t xml:space="preserve"> virkninger hos mus omfattede ganedefekter, forstørrede hjerneventrikler, klumpfod, åbne øjne og blødning i </w:t>
      </w:r>
      <w:proofErr w:type="spellStart"/>
      <w:r w:rsidRPr="00F84019">
        <w:rPr>
          <w:sz w:val="24"/>
          <w:szCs w:val="24"/>
        </w:rPr>
        <w:t>subaraknoidalrummet</w:t>
      </w:r>
      <w:proofErr w:type="spellEnd"/>
      <w:r w:rsidRPr="00F84019">
        <w:rPr>
          <w:sz w:val="24"/>
          <w:szCs w:val="24"/>
        </w:rPr>
        <w:t xml:space="preserve">. Det er også påvist, at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er embryoletalt hos mus og rotter ved klinisk relevante doser. Virkninger på den </w:t>
      </w:r>
      <w:proofErr w:type="spellStart"/>
      <w:r w:rsidRPr="00F84019">
        <w:rPr>
          <w:sz w:val="24"/>
          <w:szCs w:val="24"/>
        </w:rPr>
        <w:t>postnatale</w:t>
      </w:r>
      <w:proofErr w:type="spellEnd"/>
      <w:r w:rsidRPr="00F84019">
        <w:rPr>
          <w:sz w:val="24"/>
          <w:szCs w:val="24"/>
        </w:rPr>
        <w:t xml:space="preserve"> udvikling omfatter nedsat hukommelses- og læringsudvikling hos hanrotter fra kuld af eksponerede hunrotter. Der er set virkninger på fertiliteten hos dyr ved doser, der anses for at være klinisk relevante.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forårsagede reduceret sædblærevægt og forlænget brunstcyklus hos mus. I et 5-dages studie hos </w:t>
      </w:r>
      <w:proofErr w:type="spellStart"/>
      <w:r w:rsidRPr="00F84019">
        <w:rPr>
          <w:sz w:val="24"/>
          <w:szCs w:val="24"/>
        </w:rPr>
        <w:t>hanmus</w:t>
      </w:r>
      <w:proofErr w:type="spellEnd"/>
      <w:r w:rsidRPr="00F84019">
        <w:rPr>
          <w:sz w:val="24"/>
          <w:szCs w:val="24"/>
        </w:rPr>
        <w:t xml:space="preserve"> forårsagede </w:t>
      </w:r>
      <w:proofErr w:type="spellStart"/>
      <w:r w:rsidRPr="00F84019">
        <w:rPr>
          <w:sz w:val="24"/>
          <w:szCs w:val="24"/>
        </w:rPr>
        <w:t>primidon</w:t>
      </w:r>
      <w:proofErr w:type="spellEnd"/>
      <w:r w:rsidRPr="00F84019">
        <w:rPr>
          <w:sz w:val="24"/>
          <w:szCs w:val="24"/>
        </w:rPr>
        <w:t xml:space="preserve"> en dosisafhængig stigning i sædcellehovedabnormiteter.</w:t>
      </w:r>
    </w:p>
    <w:p w14:paraId="2907DCDA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</w:p>
    <w:p w14:paraId="2DB05131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  <w:r w:rsidRPr="00F84019">
        <w:rPr>
          <w:sz w:val="24"/>
          <w:szCs w:val="24"/>
        </w:rPr>
        <w:t xml:space="preserve">I offentliggjorte studier er der rapporteret om </w:t>
      </w:r>
      <w:proofErr w:type="spellStart"/>
      <w:r w:rsidRPr="00F84019">
        <w:rPr>
          <w:sz w:val="24"/>
          <w:szCs w:val="24"/>
        </w:rPr>
        <w:t>teratogene</w:t>
      </w:r>
      <w:proofErr w:type="spellEnd"/>
      <w:r w:rsidRPr="00F84019">
        <w:rPr>
          <w:sz w:val="24"/>
          <w:szCs w:val="24"/>
        </w:rPr>
        <w:t xml:space="preserve"> virkninger (morfologiske defekter) hos gnavere, der er blevet eksponeret for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(</w:t>
      </w:r>
      <w:proofErr w:type="spellStart"/>
      <w:r w:rsidRPr="00F84019">
        <w:rPr>
          <w:sz w:val="24"/>
          <w:szCs w:val="24"/>
        </w:rPr>
        <w:t>primidons</w:t>
      </w:r>
      <w:proofErr w:type="spellEnd"/>
      <w:r w:rsidRPr="00F84019">
        <w:rPr>
          <w:sz w:val="24"/>
          <w:szCs w:val="24"/>
        </w:rPr>
        <w:t xml:space="preserve"> hovedmetabolit). Ganespalte er konsekvent rapporteret i alle prækliniske studier, men der er også rapporteret om andre misdannelser (f.eks. </w:t>
      </w:r>
      <w:proofErr w:type="spellStart"/>
      <w:r w:rsidRPr="00F84019">
        <w:rPr>
          <w:sz w:val="24"/>
          <w:szCs w:val="24"/>
        </w:rPr>
        <w:t>umbilikalhernie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spina</w:t>
      </w:r>
      <w:proofErr w:type="spellEnd"/>
      <w:r w:rsidRPr="00F84019">
        <w:rPr>
          <w:sz w:val="24"/>
          <w:szCs w:val="24"/>
        </w:rPr>
        <w:t xml:space="preserve"> </w:t>
      </w:r>
      <w:proofErr w:type="spellStart"/>
      <w:r w:rsidRPr="00F84019">
        <w:rPr>
          <w:sz w:val="24"/>
          <w:szCs w:val="24"/>
        </w:rPr>
        <w:t>bifida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exencefali</w:t>
      </w:r>
      <w:proofErr w:type="spellEnd"/>
      <w:r w:rsidRPr="00F84019">
        <w:rPr>
          <w:sz w:val="24"/>
          <w:szCs w:val="24"/>
        </w:rPr>
        <w:t xml:space="preserve">, </w:t>
      </w:r>
      <w:proofErr w:type="spellStart"/>
      <w:r w:rsidRPr="00F84019">
        <w:rPr>
          <w:sz w:val="24"/>
          <w:szCs w:val="24"/>
        </w:rPr>
        <w:t>exomfalos</w:t>
      </w:r>
      <w:proofErr w:type="spellEnd"/>
      <w:r w:rsidRPr="00F84019">
        <w:rPr>
          <w:sz w:val="24"/>
          <w:szCs w:val="24"/>
        </w:rPr>
        <w:t xml:space="preserve"> plus sammenvoksede ribben) i enkelte studier eller arter.</w:t>
      </w:r>
    </w:p>
    <w:p w14:paraId="60278EE7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</w:p>
    <w:p w14:paraId="68A22668" w14:textId="77777777" w:rsidR="00F84019" w:rsidRPr="00F84019" w:rsidRDefault="00F84019" w:rsidP="00D66CCA">
      <w:pPr>
        <w:ind w:left="851"/>
        <w:rPr>
          <w:bCs/>
          <w:sz w:val="24"/>
          <w:szCs w:val="24"/>
        </w:rPr>
      </w:pPr>
      <w:r w:rsidRPr="00F84019">
        <w:rPr>
          <w:sz w:val="24"/>
          <w:szCs w:val="24"/>
        </w:rPr>
        <w:t xml:space="preserve">Derudover er indgivelse af </w:t>
      </w:r>
      <w:proofErr w:type="spellStart"/>
      <w:r w:rsidRPr="00F84019">
        <w:rPr>
          <w:sz w:val="24"/>
          <w:szCs w:val="24"/>
        </w:rPr>
        <w:t>phenobarbital</w:t>
      </w:r>
      <w:proofErr w:type="spellEnd"/>
      <w:r w:rsidRPr="00F84019">
        <w:rPr>
          <w:sz w:val="24"/>
          <w:szCs w:val="24"/>
        </w:rPr>
        <w:t xml:space="preserve"> hos rotter/mus under drægtigheden eller den tidlige </w:t>
      </w:r>
      <w:proofErr w:type="spellStart"/>
      <w:r w:rsidRPr="00F84019">
        <w:rPr>
          <w:sz w:val="24"/>
          <w:szCs w:val="24"/>
        </w:rPr>
        <w:t>postnatale</w:t>
      </w:r>
      <w:proofErr w:type="spellEnd"/>
      <w:r w:rsidRPr="00F84019">
        <w:rPr>
          <w:sz w:val="24"/>
          <w:szCs w:val="24"/>
        </w:rPr>
        <w:t xml:space="preserve"> periode blevet forbundet med uønskede virkninger på </w:t>
      </w:r>
      <w:proofErr w:type="spellStart"/>
      <w:r w:rsidRPr="00F84019">
        <w:rPr>
          <w:sz w:val="24"/>
          <w:szCs w:val="24"/>
        </w:rPr>
        <w:t>neuroudviklingen</w:t>
      </w:r>
      <w:proofErr w:type="spellEnd"/>
      <w:r w:rsidRPr="00F84019">
        <w:rPr>
          <w:sz w:val="24"/>
          <w:szCs w:val="24"/>
        </w:rPr>
        <w:t>, herunder ændringer i bevægelsesaktivitet, kognition og læringsmønstre, men dataene fra de offentliggjorte studier er uoverensstemmende.</w:t>
      </w:r>
    </w:p>
    <w:p w14:paraId="66864924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  <w:bookmarkStart w:id="3" w:name="_Hlk208595427"/>
      <w:bookmarkEnd w:id="3"/>
    </w:p>
    <w:p w14:paraId="48B0D24E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280C736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6.</w:t>
      </w:r>
      <w:r w:rsidRPr="00C5265F">
        <w:rPr>
          <w:b/>
          <w:sz w:val="24"/>
          <w:szCs w:val="24"/>
        </w:rPr>
        <w:tab/>
        <w:t>FARMACEUTISKE OPLYSNINGER</w:t>
      </w:r>
    </w:p>
    <w:p w14:paraId="61674A64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29DCE1F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6.1</w:t>
      </w:r>
      <w:r w:rsidRPr="00C5265F">
        <w:rPr>
          <w:b/>
          <w:sz w:val="24"/>
          <w:szCs w:val="24"/>
        </w:rPr>
        <w:tab/>
        <w:t>Hjælpestoffer</w:t>
      </w:r>
    </w:p>
    <w:p w14:paraId="5C1B90DB" w14:textId="77777777" w:rsidR="00F84019" w:rsidRPr="00F84019" w:rsidRDefault="00F84019" w:rsidP="00D66CCA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Carmellosecalcium</w:t>
      </w:r>
      <w:proofErr w:type="spellEnd"/>
    </w:p>
    <w:p w14:paraId="28910F08" w14:textId="77777777" w:rsidR="00F84019" w:rsidRPr="00F84019" w:rsidRDefault="00F84019" w:rsidP="00D66CCA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Povidon</w:t>
      </w:r>
      <w:proofErr w:type="spellEnd"/>
    </w:p>
    <w:p w14:paraId="5FFA67D7" w14:textId="77777777" w:rsidR="00F84019" w:rsidRPr="00F84019" w:rsidRDefault="00F84019" w:rsidP="00D66CCA">
      <w:pPr>
        <w:ind w:left="851"/>
        <w:rPr>
          <w:sz w:val="24"/>
          <w:szCs w:val="24"/>
        </w:rPr>
      </w:pPr>
      <w:proofErr w:type="spellStart"/>
      <w:r w:rsidRPr="00F84019">
        <w:rPr>
          <w:sz w:val="24"/>
          <w:szCs w:val="24"/>
        </w:rPr>
        <w:t>Magnesiumstearat</w:t>
      </w:r>
      <w:proofErr w:type="spellEnd"/>
    </w:p>
    <w:p w14:paraId="246E9D51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Stearinsyre</w:t>
      </w:r>
    </w:p>
    <w:p w14:paraId="1A4E179A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0EC37DA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6.2</w:t>
      </w:r>
      <w:r w:rsidRPr="00C5265F">
        <w:rPr>
          <w:b/>
          <w:sz w:val="24"/>
          <w:szCs w:val="24"/>
        </w:rPr>
        <w:tab/>
        <w:t>Uforligeligheder</w:t>
      </w:r>
    </w:p>
    <w:p w14:paraId="21F7BE26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Ikke relevant.</w:t>
      </w:r>
    </w:p>
    <w:p w14:paraId="21E39C67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3F3E1B4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6.3</w:t>
      </w:r>
      <w:r w:rsidRPr="00C5265F">
        <w:rPr>
          <w:b/>
          <w:sz w:val="24"/>
          <w:szCs w:val="24"/>
        </w:rPr>
        <w:tab/>
        <w:t>Opbevaringstid</w:t>
      </w:r>
    </w:p>
    <w:p w14:paraId="12BAB130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3 år</w:t>
      </w:r>
    </w:p>
    <w:p w14:paraId="14E5E23C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224D0F7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6.4</w:t>
      </w:r>
      <w:r w:rsidRPr="00C5265F">
        <w:rPr>
          <w:b/>
          <w:sz w:val="24"/>
          <w:szCs w:val="24"/>
        </w:rPr>
        <w:tab/>
        <w:t>Særlige opbevaringsforhold</w:t>
      </w:r>
    </w:p>
    <w:p w14:paraId="3D229988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Dette lægemiddel kræver ingen særlige forholdsregler vedrørende opbevaringen.</w:t>
      </w:r>
    </w:p>
    <w:p w14:paraId="42EC4486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D0DB360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6.5</w:t>
      </w:r>
      <w:r w:rsidRPr="00C5265F">
        <w:rPr>
          <w:b/>
          <w:sz w:val="24"/>
          <w:szCs w:val="24"/>
        </w:rPr>
        <w:tab/>
        <w:t>Emballagetype og pakningsstørrelser</w:t>
      </w:r>
    </w:p>
    <w:p w14:paraId="16FB113D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 xml:space="preserve">HDPE-beholdere med børnesikret lukning indeholdende 100 tabletter. </w:t>
      </w:r>
    </w:p>
    <w:p w14:paraId="5CA369C6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41DADB2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6.6</w:t>
      </w:r>
      <w:r w:rsidRPr="00C5265F">
        <w:rPr>
          <w:b/>
          <w:sz w:val="24"/>
          <w:szCs w:val="24"/>
        </w:rPr>
        <w:tab/>
        <w:t xml:space="preserve">Regler for </w:t>
      </w:r>
      <w:r w:rsidR="00BD7931" w:rsidRPr="00C5265F">
        <w:rPr>
          <w:b/>
          <w:sz w:val="24"/>
          <w:szCs w:val="24"/>
        </w:rPr>
        <w:t>bortskaffelse</w:t>
      </w:r>
      <w:r w:rsidRPr="00C5265F">
        <w:rPr>
          <w:b/>
          <w:sz w:val="24"/>
          <w:szCs w:val="24"/>
        </w:rPr>
        <w:t xml:space="preserve"> og anden håndtering</w:t>
      </w:r>
    </w:p>
    <w:p w14:paraId="0B6D7680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Ikke anvendt lægemiddel samt affald heraf skal bortskaffes i henhold til lokale retningslinjer.</w:t>
      </w:r>
    </w:p>
    <w:p w14:paraId="06E8344A" w14:textId="77777777" w:rsidR="009260DE" w:rsidRPr="00C5265F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152AB15C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7.</w:t>
      </w:r>
      <w:r w:rsidRPr="00C5265F">
        <w:rPr>
          <w:b/>
          <w:sz w:val="24"/>
          <w:szCs w:val="24"/>
        </w:rPr>
        <w:tab/>
        <w:t>INDEHAVER AF MARKEDSFØRINGSTILLADELSEN</w:t>
      </w:r>
    </w:p>
    <w:p w14:paraId="177D941E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2care4 Generics ApS</w:t>
      </w:r>
    </w:p>
    <w:p w14:paraId="47A80549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Stenhuggervej 12</w:t>
      </w:r>
    </w:p>
    <w:p w14:paraId="13DF98D0" w14:textId="77777777" w:rsidR="00F84019" w:rsidRPr="00F84019" w:rsidRDefault="00F84019" w:rsidP="00D66CCA">
      <w:pPr>
        <w:ind w:left="851"/>
        <w:rPr>
          <w:sz w:val="24"/>
          <w:szCs w:val="24"/>
        </w:rPr>
      </w:pPr>
      <w:r w:rsidRPr="00F84019">
        <w:rPr>
          <w:sz w:val="24"/>
          <w:szCs w:val="24"/>
        </w:rPr>
        <w:t>6710 Esbjerg V</w:t>
      </w:r>
    </w:p>
    <w:p w14:paraId="75DE879C" w14:textId="77777777" w:rsidR="00641C65" w:rsidRPr="00C5265F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505637B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8.</w:t>
      </w:r>
      <w:r w:rsidRPr="00C5265F">
        <w:rPr>
          <w:b/>
          <w:sz w:val="24"/>
          <w:szCs w:val="24"/>
        </w:rPr>
        <w:tab/>
        <w:t>MARKEDSFØRINGSTILLADELSESNUMMER (</w:t>
      </w:r>
      <w:r w:rsidR="00BF6243" w:rsidRPr="00C5265F">
        <w:rPr>
          <w:b/>
          <w:sz w:val="24"/>
          <w:szCs w:val="24"/>
        </w:rPr>
        <w:t>-</w:t>
      </w:r>
      <w:r w:rsidRPr="00C5265F">
        <w:rPr>
          <w:b/>
          <w:sz w:val="24"/>
          <w:szCs w:val="24"/>
        </w:rPr>
        <w:t>NUMRE)</w:t>
      </w:r>
    </w:p>
    <w:p w14:paraId="3C138225" w14:textId="5DD6BBF1" w:rsidR="00F84019" w:rsidRPr="00F84019" w:rsidRDefault="00F84019" w:rsidP="00D66CCA">
      <w:pPr>
        <w:tabs>
          <w:tab w:val="left" w:pos="851"/>
          <w:tab w:val="left" w:pos="1985"/>
        </w:tabs>
        <w:ind w:left="851"/>
        <w:jc w:val="both"/>
        <w:rPr>
          <w:sz w:val="24"/>
          <w:szCs w:val="24"/>
          <w:lang w:val="nb-NO"/>
        </w:rPr>
      </w:pPr>
      <w:r w:rsidRPr="00F84019">
        <w:rPr>
          <w:sz w:val="24"/>
          <w:szCs w:val="24"/>
          <w:lang w:val="nb-NO"/>
        </w:rPr>
        <w:t>50 mg</w:t>
      </w:r>
      <w:r w:rsidRPr="00C5265F">
        <w:rPr>
          <w:sz w:val="24"/>
          <w:szCs w:val="24"/>
          <w:lang w:val="nb-NO"/>
        </w:rPr>
        <w:t xml:space="preserve">: </w:t>
      </w:r>
      <w:r w:rsidR="00D66CCA" w:rsidRPr="00C5265F">
        <w:rPr>
          <w:sz w:val="24"/>
          <w:szCs w:val="24"/>
          <w:lang w:val="nb-NO"/>
        </w:rPr>
        <w:tab/>
      </w:r>
      <w:r w:rsidRPr="00F84019">
        <w:rPr>
          <w:sz w:val="24"/>
          <w:szCs w:val="24"/>
          <w:lang w:val="nb-NO"/>
        </w:rPr>
        <w:t>72562</w:t>
      </w:r>
    </w:p>
    <w:p w14:paraId="53748D99" w14:textId="11F4EC89" w:rsidR="00F84019" w:rsidRPr="00F84019" w:rsidRDefault="00F84019" w:rsidP="00D66CCA">
      <w:pPr>
        <w:tabs>
          <w:tab w:val="left" w:pos="851"/>
          <w:tab w:val="left" w:pos="1985"/>
        </w:tabs>
        <w:ind w:left="851"/>
        <w:jc w:val="both"/>
        <w:rPr>
          <w:sz w:val="24"/>
          <w:szCs w:val="24"/>
          <w:lang w:val="nb-NO"/>
        </w:rPr>
      </w:pPr>
      <w:r w:rsidRPr="00F84019">
        <w:rPr>
          <w:sz w:val="24"/>
          <w:szCs w:val="24"/>
          <w:lang w:val="nb-NO"/>
        </w:rPr>
        <w:t>125 mg</w:t>
      </w:r>
      <w:r w:rsidRPr="00C5265F">
        <w:rPr>
          <w:sz w:val="24"/>
          <w:szCs w:val="24"/>
          <w:lang w:val="nb-NO"/>
        </w:rPr>
        <w:t xml:space="preserve">: </w:t>
      </w:r>
      <w:r w:rsidR="00D66CCA" w:rsidRPr="00C5265F">
        <w:rPr>
          <w:sz w:val="24"/>
          <w:szCs w:val="24"/>
          <w:lang w:val="nb-NO"/>
        </w:rPr>
        <w:tab/>
      </w:r>
      <w:r w:rsidRPr="00F84019">
        <w:rPr>
          <w:sz w:val="24"/>
          <w:szCs w:val="24"/>
          <w:lang w:val="nb-NO"/>
        </w:rPr>
        <w:t>72565</w:t>
      </w:r>
    </w:p>
    <w:p w14:paraId="3968FD5A" w14:textId="7C231164" w:rsidR="00F84019" w:rsidRPr="00F84019" w:rsidRDefault="00F84019" w:rsidP="00D66CCA">
      <w:pPr>
        <w:tabs>
          <w:tab w:val="left" w:pos="851"/>
          <w:tab w:val="left" w:pos="1985"/>
        </w:tabs>
        <w:ind w:left="851"/>
        <w:jc w:val="both"/>
        <w:rPr>
          <w:sz w:val="24"/>
          <w:szCs w:val="24"/>
          <w:lang w:val="nb-NO"/>
        </w:rPr>
      </w:pPr>
      <w:r w:rsidRPr="00F84019">
        <w:rPr>
          <w:sz w:val="24"/>
          <w:szCs w:val="24"/>
          <w:lang w:val="nb-NO"/>
        </w:rPr>
        <w:t>250 mg</w:t>
      </w:r>
      <w:r w:rsidRPr="00C5265F">
        <w:rPr>
          <w:sz w:val="24"/>
          <w:szCs w:val="24"/>
          <w:lang w:val="nb-NO"/>
        </w:rPr>
        <w:t xml:space="preserve">: </w:t>
      </w:r>
      <w:r w:rsidR="00D66CCA" w:rsidRPr="00C5265F">
        <w:rPr>
          <w:sz w:val="24"/>
          <w:szCs w:val="24"/>
          <w:lang w:val="nb-NO"/>
        </w:rPr>
        <w:tab/>
      </w:r>
      <w:r w:rsidRPr="00F84019">
        <w:rPr>
          <w:sz w:val="24"/>
          <w:szCs w:val="24"/>
          <w:lang w:val="nb-NO"/>
        </w:rPr>
        <w:t>72566</w:t>
      </w:r>
    </w:p>
    <w:p w14:paraId="550F2BF0" w14:textId="77777777" w:rsidR="009260DE" w:rsidRPr="00C5265F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42158A1A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9.</w:t>
      </w:r>
      <w:r w:rsidRPr="00C5265F">
        <w:rPr>
          <w:b/>
          <w:sz w:val="24"/>
          <w:szCs w:val="24"/>
        </w:rPr>
        <w:tab/>
        <w:t>DATO FOR FØRSTE MARKEDSFØRINGSTILLADELSE</w:t>
      </w:r>
    </w:p>
    <w:p w14:paraId="4F5FE135" w14:textId="080D5072" w:rsidR="009260DE" w:rsidRPr="00C5265F" w:rsidRDefault="00D94F23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26. marts 2026</w:t>
      </w:r>
    </w:p>
    <w:p w14:paraId="2C4F9F52" w14:textId="77777777" w:rsidR="009260DE" w:rsidRPr="00C5265F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59FEA4E" w14:textId="77777777" w:rsidR="009260DE" w:rsidRPr="00C5265F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5265F">
        <w:rPr>
          <w:b/>
          <w:sz w:val="24"/>
          <w:szCs w:val="24"/>
        </w:rPr>
        <w:t>10.</w:t>
      </w:r>
      <w:r w:rsidRPr="00C5265F">
        <w:rPr>
          <w:b/>
          <w:sz w:val="24"/>
          <w:szCs w:val="24"/>
        </w:rPr>
        <w:tab/>
        <w:t>DATO FOR ÆNDRING AF TEKSTEN</w:t>
      </w:r>
    </w:p>
    <w:p w14:paraId="62EC59D2" w14:textId="19F83975" w:rsidR="009260DE" w:rsidRPr="00C5265F" w:rsidRDefault="00F84019" w:rsidP="009260DE">
      <w:pPr>
        <w:tabs>
          <w:tab w:val="left" w:pos="851"/>
        </w:tabs>
        <w:ind w:left="851"/>
        <w:rPr>
          <w:sz w:val="24"/>
          <w:szCs w:val="24"/>
        </w:rPr>
      </w:pPr>
      <w:r w:rsidRPr="00C5265F">
        <w:rPr>
          <w:sz w:val="24"/>
          <w:szCs w:val="24"/>
        </w:rPr>
        <w:t>-</w:t>
      </w:r>
    </w:p>
    <w:sectPr w:rsidR="009260DE" w:rsidRPr="00C5265F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579E" w14:textId="77777777" w:rsidR="00891B76" w:rsidRDefault="00891B76">
      <w:r>
        <w:separator/>
      </w:r>
    </w:p>
  </w:endnote>
  <w:endnote w:type="continuationSeparator" w:id="0">
    <w:p w14:paraId="17F77955" w14:textId="77777777" w:rsidR="00891B76" w:rsidRDefault="0089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1214" w14:textId="77777777" w:rsidR="000259B9" w:rsidRDefault="000259B9">
    <w:pPr>
      <w:pStyle w:val="Sidefod"/>
      <w:pBdr>
        <w:bottom w:val="single" w:sz="6" w:space="1" w:color="auto"/>
      </w:pBdr>
    </w:pPr>
  </w:p>
  <w:p w14:paraId="02D22FB5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547CED32" w14:textId="63CBAE7D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F67384">
      <w:rPr>
        <w:i/>
        <w:noProof/>
        <w:sz w:val="18"/>
        <w:szCs w:val="18"/>
      </w:rPr>
      <w:t>Primidon Afortas, tabletter 50 mg, 125 mg og 250 mg.docx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5F95" w14:textId="77777777" w:rsidR="00891B76" w:rsidRDefault="00891B76">
      <w:r>
        <w:separator/>
      </w:r>
    </w:p>
  </w:footnote>
  <w:footnote w:type="continuationSeparator" w:id="0">
    <w:p w14:paraId="41C8AD77" w14:textId="77777777" w:rsidR="00891B76" w:rsidRDefault="0089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FB1432D"/>
    <w:multiLevelType w:val="hybridMultilevel"/>
    <w:tmpl w:val="99FE3F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4" w15:restartNumberingAfterBreak="0">
    <w:nsid w:val="3E4C3AEB"/>
    <w:multiLevelType w:val="hybridMultilevel"/>
    <w:tmpl w:val="7004DA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FC33702"/>
    <w:multiLevelType w:val="hybridMultilevel"/>
    <w:tmpl w:val="EE70C84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B296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6497267"/>
    <w:multiLevelType w:val="hybridMultilevel"/>
    <w:tmpl w:val="69148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6466D1"/>
    <w:multiLevelType w:val="hybridMultilevel"/>
    <w:tmpl w:val="7932E7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886"/>
    <w:multiLevelType w:val="hybridMultilevel"/>
    <w:tmpl w:val="F6F83688"/>
    <w:lvl w:ilvl="0" w:tplc="25B29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9736E"/>
    <w:multiLevelType w:val="hybridMultilevel"/>
    <w:tmpl w:val="EC121A18"/>
    <w:lvl w:ilvl="0" w:tplc="04090001">
      <w:start w:val="1"/>
      <w:numFmt w:val="bullet"/>
      <w:lvlText w:val=""/>
      <w:lvlJc w:val="left"/>
      <w:pPr>
        <w:ind w:left="-1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</w:abstractNum>
  <w:num w:numId="1" w16cid:durableId="16043377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314227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875142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0106782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583817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2338460">
    <w:abstractNumId w:val="1"/>
  </w:num>
  <w:num w:numId="7" w16cid:durableId="1288853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649794">
    <w:abstractNumId w:val="4"/>
  </w:num>
  <w:num w:numId="9" w16cid:durableId="1332417078">
    <w:abstractNumId w:val="6"/>
  </w:num>
  <w:num w:numId="10" w16cid:durableId="949900916">
    <w:abstractNumId w:val="8"/>
  </w:num>
  <w:num w:numId="11" w16cid:durableId="865096762">
    <w:abstractNumId w:val="11"/>
  </w:num>
  <w:num w:numId="12" w16cid:durableId="43339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76"/>
    <w:rsid w:val="000259B9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1454E2"/>
    <w:rsid w:val="001D300D"/>
    <w:rsid w:val="00206CE8"/>
    <w:rsid w:val="0021526C"/>
    <w:rsid w:val="00283A2B"/>
    <w:rsid w:val="002B30AD"/>
    <w:rsid w:val="002C1EC0"/>
    <w:rsid w:val="002C2C01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532310"/>
    <w:rsid w:val="00565F0F"/>
    <w:rsid w:val="00594A86"/>
    <w:rsid w:val="00596D86"/>
    <w:rsid w:val="00637F5A"/>
    <w:rsid w:val="00641C65"/>
    <w:rsid w:val="006560B1"/>
    <w:rsid w:val="006756DD"/>
    <w:rsid w:val="006A3A2E"/>
    <w:rsid w:val="006B2650"/>
    <w:rsid w:val="0071241E"/>
    <w:rsid w:val="00737275"/>
    <w:rsid w:val="00740EEC"/>
    <w:rsid w:val="0078011A"/>
    <w:rsid w:val="00782AF4"/>
    <w:rsid w:val="00790EE7"/>
    <w:rsid w:val="007A49A8"/>
    <w:rsid w:val="007B6649"/>
    <w:rsid w:val="0082576E"/>
    <w:rsid w:val="00841B2F"/>
    <w:rsid w:val="00891B76"/>
    <w:rsid w:val="0089346F"/>
    <w:rsid w:val="00907F75"/>
    <w:rsid w:val="009260DE"/>
    <w:rsid w:val="0093258A"/>
    <w:rsid w:val="009351FB"/>
    <w:rsid w:val="009C7BA3"/>
    <w:rsid w:val="009D1F5A"/>
    <w:rsid w:val="00A10294"/>
    <w:rsid w:val="00B003BF"/>
    <w:rsid w:val="00B373D7"/>
    <w:rsid w:val="00B55271"/>
    <w:rsid w:val="00B637FF"/>
    <w:rsid w:val="00BD7931"/>
    <w:rsid w:val="00BF6243"/>
    <w:rsid w:val="00C36276"/>
    <w:rsid w:val="00C42586"/>
    <w:rsid w:val="00C45F6B"/>
    <w:rsid w:val="00C5265F"/>
    <w:rsid w:val="00C60CCD"/>
    <w:rsid w:val="00C84483"/>
    <w:rsid w:val="00C95551"/>
    <w:rsid w:val="00CB20D7"/>
    <w:rsid w:val="00D020B0"/>
    <w:rsid w:val="00D11748"/>
    <w:rsid w:val="00D237F6"/>
    <w:rsid w:val="00D34D98"/>
    <w:rsid w:val="00D366CF"/>
    <w:rsid w:val="00D66CCA"/>
    <w:rsid w:val="00D93992"/>
    <w:rsid w:val="00D94F23"/>
    <w:rsid w:val="00E108AA"/>
    <w:rsid w:val="00E3749A"/>
    <w:rsid w:val="00E7437F"/>
    <w:rsid w:val="00E865B8"/>
    <w:rsid w:val="00EC0B9B"/>
    <w:rsid w:val="00ED5E9F"/>
    <w:rsid w:val="00F66D4F"/>
    <w:rsid w:val="00F67384"/>
    <w:rsid w:val="00F84019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D3B9D"/>
  <w15:chartTrackingRefBased/>
  <w15:docId w15:val="{A6CE7665-D394-4BF4-BE0D-5C70FF1E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table" w:styleId="Tabel-Gitter">
    <w:name w:val="Table Grid"/>
    <w:basedOn w:val="Tabel-Normal"/>
    <w:rsid w:val="00F8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8401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84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61</TotalTime>
  <Pages>17</Pages>
  <Words>4782</Words>
  <Characters>32840</Characters>
  <Application>Microsoft Office Word</Application>
  <DocSecurity>0</DocSecurity>
  <Lines>273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2024100113, MT</dc:description>
  <cp:lastModifiedBy>Gitte Jørgensen</cp:lastModifiedBy>
  <cp:revision>7</cp:revision>
  <cp:lastPrinted>2012-08-22T08:53:00Z</cp:lastPrinted>
  <dcterms:created xsi:type="dcterms:W3CDTF">2026-03-25T13:01:00Z</dcterms:created>
  <dcterms:modified xsi:type="dcterms:W3CDTF">2026-03-26T09:24:00Z</dcterms:modified>
</cp:coreProperties>
</file>