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6351F8D0" wp14:editId="5AC321A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1313A7">
        <w:rPr>
          <w:szCs w:val="24"/>
        </w:rPr>
        <w:t>3. maj</w:t>
      </w:r>
      <w:r w:rsidR="007C31DE">
        <w:rPr>
          <w:szCs w:val="24"/>
        </w:rPr>
        <w:t xml:space="preserve"> 2023</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1313A7" w:rsidRDefault="001313A7" w:rsidP="009260DE">
      <w:pPr>
        <w:jc w:val="center"/>
        <w:rPr>
          <w:b/>
          <w:sz w:val="24"/>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B133CC" w:rsidP="009260DE">
      <w:pPr>
        <w:jc w:val="center"/>
        <w:rPr>
          <w:b/>
          <w:sz w:val="24"/>
          <w:szCs w:val="24"/>
        </w:rPr>
      </w:pPr>
      <w:r>
        <w:rPr>
          <w:b/>
          <w:sz w:val="24"/>
          <w:szCs w:val="24"/>
        </w:rPr>
        <w:t>Progestan, bløde vaginalkapsler</w:t>
      </w:r>
      <w:r w:rsidR="001313A7">
        <w:rPr>
          <w:b/>
          <w:sz w:val="24"/>
          <w:szCs w:val="24"/>
        </w:rPr>
        <w:t xml:space="preserve"> 200 mg</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060CBA" w:rsidP="009260DE">
      <w:pPr>
        <w:tabs>
          <w:tab w:val="left" w:pos="851"/>
        </w:tabs>
        <w:ind w:left="851"/>
        <w:rPr>
          <w:sz w:val="24"/>
          <w:szCs w:val="24"/>
        </w:rPr>
      </w:pPr>
      <w:r>
        <w:rPr>
          <w:sz w:val="24"/>
          <w:szCs w:val="24"/>
        </w:rPr>
        <w:t>32946</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Default="00307234" w:rsidP="009260DE">
      <w:pPr>
        <w:tabs>
          <w:tab w:val="left" w:pos="851"/>
        </w:tabs>
        <w:ind w:left="851"/>
        <w:rPr>
          <w:sz w:val="24"/>
          <w:szCs w:val="24"/>
        </w:rPr>
      </w:pPr>
      <w:r>
        <w:rPr>
          <w:sz w:val="24"/>
          <w:szCs w:val="24"/>
        </w:rPr>
        <w:t>Progestan</w:t>
      </w:r>
    </w:p>
    <w:p w:rsidR="00307234" w:rsidRPr="00C84483" w:rsidRDefault="00307234"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307234" w:rsidRDefault="00307234" w:rsidP="00307234">
      <w:pPr>
        <w:tabs>
          <w:tab w:val="left" w:pos="851"/>
        </w:tabs>
        <w:ind w:left="851"/>
        <w:rPr>
          <w:sz w:val="24"/>
          <w:szCs w:val="24"/>
        </w:rPr>
      </w:pPr>
      <w:r w:rsidRPr="00051E7F">
        <w:rPr>
          <w:sz w:val="24"/>
          <w:szCs w:val="24"/>
        </w:rPr>
        <w:t>Hver kapsel indeholder 200 mg progesteron (mikroniseret).</w:t>
      </w:r>
    </w:p>
    <w:p w:rsidR="00307234" w:rsidRPr="00051E7F" w:rsidRDefault="00307234" w:rsidP="00307234">
      <w:pPr>
        <w:tabs>
          <w:tab w:val="left" w:pos="851"/>
        </w:tabs>
        <w:ind w:left="851"/>
        <w:rPr>
          <w:sz w:val="24"/>
          <w:szCs w:val="24"/>
        </w:rPr>
      </w:pPr>
    </w:p>
    <w:p w:rsidR="00307234" w:rsidRDefault="00307234" w:rsidP="00307234">
      <w:pPr>
        <w:tabs>
          <w:tab w:val="left" w:pos="851"/>
        </w:tabs>
        <w:ind w:left="851"/>
        <w:rPr>
          <w:sz w:val="24"/>
          <w:szCs w:val="24"/>
        </w:rPr>
      </w:pPr>
      <w:r w:rsidRPr="00051E7F">
        <w:rPr>
          <w:sz w:val="24"/>
          <w:szCs w:val="24"/>
        </w:rPr>
        <w:t xml:space="preserve">Hjælpestoffer, som behandleren skal være opmærksom på: </w:t>
      </w:r>
      <w:r>
        <w:rPr>
          <w:sz w:val="24"/>
          <w:szCs w:val="24"/>
        </w:rPr>
        <w:t>S</w:t>
      </w:r>
      <w:r w:rsidRPr="00051E7F">
        <w:rPr>
          <w:sz w:val="24"/>
          <w:szCs w:val="24"/>
        </w:rPr>
        <w:t>ojalecithin</w:t>
      </w:r>
      <w:r>
        <w:rPr>
          <w:sz w:val="24"/>
          <w:szCs w:val="24"/>
        </w:rPr>
        <w:t>.</w:t>
      </w:r>
    </w:p>
    <w:p w:rsidR="00307234" w:rsidRPr="00051E7F" w:rsidRDefault="00307234" w:rsidP="00307234">
      <w:pPr>
        <w:tabs>
          <w:tab w:val="left" w:pos="851"/>
        </w:tabs>
        <w:ind w:left="851"/>
        <w:rPr>
          <w:sz w:val="24"/>
          <w:szCs w:val="24"/>
        </w:rPr>
      </w:pPr>
    </w:p>
    <w:p w:rsidR="00307234" w:rsidRPr="00051E7F" w:rsidRDefault="00307234" w:rsidP="00307234">
      <w:pPr>
        <w:tabs>
          <w:tab w:val="left" w:pos="851"/>
        </w:tabs>
        <w:ind w:left="851"/>
        <w:rPr>
          <w:sz w:val="24"/>
          <w:szCs w:val="24"/>
        </w:rPr>
      </w:pPr>
      <w:r w:rsidRPr="00051E7F">
        <w:rPr>
          <w:sz w:val="24"/>
          <w:szCs w:val="24"/>
        </w:rPr>
        <w:t>Alle hjælpestoffer er anført under pkt. 6.1.</w:t>
      </w:r>
    </w:p>
    <w:p w:rsidR="00307234" w:rsidRPr="00C84483" w:rsidRDefault="00307234"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060CBA" w:rsidRPr="00060CBA" w:rsidRDefault="00060CBA" w:rsidP="00060CBA">
      <w:pPr>
        <w:tabs>
          <w:tab w:val="left" w:pos="851"/>
        </w:tabs>
        <w:ind w:left="851"/>
        <w:rPr>
          <w:sz w:val="24"/>
          <w:szCs w:val="24"/>
        </w:rPr>
      </w:pPr>
      <w:r>
        <w:rPr>
          <w:sz w:val="24"/>
          <w:szCs w:val="24"/>
        </w:rPr>
        <w:t>Bløde v</w:t>
      </w:r>
      <w:r w:rsidRPr="00060CBA">
        <w:rPr>
          <w:sz w:val="24"/>
          <w:szCs w:val="24"/>
        </w:rPr>
        <w:t>aginalkaps</w:t>
      </w:r>
      <w:r>
        <w:rPr>
          <w:sz w:val="24"/>
          <w:szCs w:val="24"/>
        </w:rPr>
        <w:t>ler</w:t>
      </w:r>
    </w:p>
    <w:p w:rsidR="00060CBA" w:rsidRPr="00060CBA" w:rsidRDefault="00060CBA" w:rsidP="00060CBA">
      <w:pPr>
        <w:tabs>
          <w:tab w:val="left" w:pos="851"/>
        </w:tabs>
        <w:ind w:left="851"/>
        <w:rPr>
          <w:sz w:val="24"/>
          <w:szCs w:val="24"/>
        </w:rPr>
      </w:pPr>
    </w:p>
    <w:p w:rsidR="00060CBA" w:rsidRPr="00060CBA" w:rsidRDefault="00060CBA" w:rsidP="00060CBA">
      <w:pPr>
        <w:tabs>
          <w:tab w:val="left" w:pos="851"/>
        </w:tabs>
        <w:ind w:left="851"/>
        <w:rPr>
          <w:sz w:val="24"/>
          <w:szCs w:val="24"/>
        </w:rPr>
      </w:pPr>
      <w:r w:rsidRPr="00060CBA">
        <w:rPr>
          <w:sz w:val="24"/>
          <w:szCs w:val="24"/>
        </w:rPr>
        <w:t>Ovale, let gule, bløde kapsler, der indeholder en hvidlig, olieagtig suspension.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060CBA" w:rsidRPr="00060CBA" w:rsidRDefault="00060CBA" w:rsidP="00060CBA">
      <w:pPr>
        <w:tabs>
          <w:tab w:val="left" w:pos="851"/>
        </w:tabs>
        <w:ind w:left="851"/>
        <w:rPr>
          <w:sz w:val="24"/>
          <w:szCs w:val="24"/>
        </w:rPr>
      </w:pPr>
      <w:r w:rsidRPr="00060CBA">
        <w:rPr>
          <w:sz w:val="24"/>
          <w:szCs w:val="24"/>
        </w:rPr>
        <w:t xml:space="preserve">Progestan er indiceret hos kvinder til: </w:t>
      </w:r>
    </w:p>
    <w:p w:rsidR="00060CBA" w:rsidRPr="00060CBA" w:rsidRDefault="00060CBA" w:rsidP="00307234">
      <w:pPr>
        <w:numPr>
          <w:ilvl w:val="0"/>
          <w:numId w:val="6"/>
        </w:numPr>
        <w:tabs>
          <w:tab w:val="left" w:pos="851"/>
        </w:tabs>
        <w:ind w:left="1134" w:hanging="283"/>
        <w:rPr>
          <w:sz w:val="24"/>
          <w:szCs w:val="24"/>
        </w:rPr>
      </w:pPr>
      <w:r w:rsidRPr="00060CBA">
        <w:rPr>
          <w:sz w:val="24"/>
          <w:szCs w:val="24"/>
        </w:rPr>
        <w:t>Supplementering i lutealfasen under cyklusser med fertilitetsbehandling (assisteret reproduktionsteknologi (ART)).</w:t>
      </w:r>
    </w:p>
    <w:p w:rsidR="00060CBA" w:rsidRPr="00060CBA" w:rsidRDefault="00060CBA" w:rsidP="00307234">
      <w:pPr>
        <w:numPr>
          <w:ilvl w:val="0"/>
          <w:numId w:val="6"/>
        </w:numPr>
        <w:tabs>
          <w:tab w:val="left" w:pos="851"/>
        </w:tabs>
        <w:ind w:left="1134" w:hanging="283"/>
        <w:rPr>
          <w:sz w:val="24"/>
          <w:szCs w:val="24"/>
        </w:rPr>
      </w:pPr>
      <w:r w:rsidRPr="00060CBA">
        <w:rPr>
          <w:sz w:val="24"/>
          <w:szCs w:val="24"/>
        </w:rPr>
        <w:t>Forebyggelse af præterm fødsel hos kvinder med enkeltfoldsgraviditet, der har en kort cervix (cervix ≤25 mm ved ultralyd i andet trimester) og/eller spontan præterm fødsel i anamnesen (se pkt. 4.4).</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rsidR="00307234" w:rsidRPr="00307234" w:rsidRDefault="00307234" w:rsidP="00307234">
      <w:pPr>
        <w:tabs>
          <w:tab w:val="left" w:pos="851"/>
        </w:tabs>
        <w:ind w:left="851"/>
        <w:rPr>
          <w:sz w:val="24"/>
          <w:szCs w:val="24"/>
        </w:rPr>
      </w:pPr>
    </w:p>
    <w:p w:rsidR="00307234" w:rsidRPr="00307234" w:rsidRDefault="00307234" w:rsidP="00307234">
      <w:pPr>
        <w:tabs>
          <w:tab w:val="left" w:pos="851"/>
        </w:tabs>
        <w:ind w:left="851"/>
        <w:rPr>
          <w:sz w:val="24"/>
          <w:szCs w:val="24"/>
          <w:u w:val="single"/>
        </w:rPr>
      </w:pPr>
      <w:r w:rsidRPr="00307234">
        <w:rPr>
          <w:sz w:val="24"/>
          <w:szCs w:val="24"/>
          <w:u w:val="single"/>
        </w:rPr>
        <w:t>Dosering</w:t>
      </w:r>
    </w:p>
    <w:p w:rsidR="00307234" w:rsidRPr="00307234" w:rsidRDefault="00307234" w:rsidP="00307234">
      <w:pPr>
        <w:tabs>
          <w:tab w:val="left" w:pos="851"/>
        </w:tabs>
        <w:ind w:left="851"/>
        <w:rPr>
          <w:sz w:val="24"/>
          <w:szCs w:val="24"/>
        </w:rPr>
      </w:pPr>
      <w:bookmarkStart w:id="1" w:name="_Hlk105510122"/>
      <w:r w:rsidRPr="00307234">
        <w:rPr>
          <w:b/>
          <w:bCs/>
          <w:sz w:val="24"/>
          <w:szCs w:val="24"/>
        </w:rPr>
        <w:t xml:space="preserve">Supplementering i lutealfasen under cyklusser med </w:t>
      </w:r>
      <w:r w:rsidRPr="00307234">
        <w:rPr>
          <w:sz w:val="24"/>
          <w:szCs w:val="24"/>
        </w:rPr>
        <w:t>fertilitetsbehandling</w:t>
      </w:r>
      <w:r w:rsidRPr="00307234">
        <w:rPr>
          <w:b/>
          <w:bCs/>
          <w:sz w:val="24"/>
          <w:szCs w:val="24"/>
        </w:rPr>
        <w:t xml:space="preserve"> (assisteret reproduktionsteknologi)</w:t>
      </w:r>
      <w:r w:rsidRPr="00307234">
        <w:rPr>
          <w:sz w:val="24"/>
          <w:szCs w:val="24"/>
        </w:rPr>
        <w:t xml:space="preserve"> </w:t>
      </w:r>
      <w:bookmarkEnd w:id="1"/>
      <w:r w:rsidRPr="00307234">
        <w:rPr>
          <w:b/>
          <w:sz w:val="24"/>
          <w:szCs w:val="24"/>
        </w:rPr>
        <w:t>–</w:t>
      </w:r>
      <w:r w:rsidRPr="00307234">
        <w:rPr>
          <w:sz w:val="24"/>
          <w:szCs w:val="24"/>
        </w:rPr>
        <w:t xml:space="preserve"> Den anbefalede dosis er 600 mg/dag, fordelt på tre doser: én om morgenen, én om middagen og den tredje ved sengetid. Behandlingen startes senest på </w:t>
      </w:r>
      <w:r w:rsidRPr="00307234">
        <w:rPr>
          <w:sz w:val="24"/>
          <w:szCs w:val="24"/>
        </w:rPr>
        <w:lastRenderedPageBreak/>
        <w:t>den tredje dag efter udtagning af oocytter. Ved bekræftelse af graviditet fortsættes behandlingen som minimum indtil 7. uge, men ikke længere end til 12. graviditetsuge.</w:t>
      </w:r>
    </w:p>
    <w:p w:rsidR="00307234" w:rsidRPr="00307234" w:rsidRDefault="00307234" w:rsidP="00307234">
      <w:pPr>
        <w:tabs>
          <w:tab w:val="left" w:pos="851"/>
        </w:tabs>
        <w:ind w:left="851"/>
        <w:rPr>
          <w:sz w:val="24"/>
          <w:szCs w:val="24"/>
        </w:rPr>
      </w:pPr>
    </w:p>
    <w:p w:rsidR="00307234" w:rsidRPr="00307234" w:rsidRDefault="00307234" w:rsidP="00307234">
      <w:pPr>
        <w:tabs>
          <w:tab w:val="left" w:pos="851"/>
        </w:tabs>
        <w:ind w:left="851"/>
        <w:rPr>
          <w:sz w:val="24"/>
          <w:szCs w:val="24"/>
        </w:rPr>
      </w:pPr>
      <w:r w:rsidRPr="00307234">
        <w:rPr>
          <w:b/>
          <w:bCs/>
          <w:sz w:val="24"/>
          <w:szCs w:val="24"/>
        </w:rPr>
        <w:t>Forebyggelse af præterm fødsel hos kvinder med enkeltfoldsgraviditet, der har en kort cervix og/eller spontan præterm fødsel i anamnesen</w:t>
      </w:r>
      <w:r w:rsidRPr="00307234">
        <w:rPr>
          <w:sz w:val="24"/>
          <w:szCs w:val="24"/>
        </w:rPr>
        <w:t xml:space="preserve"> </w:t>
      </w:r>
      <w:r w:rsidRPr="00307234">
        <w:rPr>
          <w:b/>
          <w:sz w:val="24"/>
          <w:szCs w:val="24"/>
        </w:rPr>
        <w:t>–</w:t>
      </w:r>
      <w:r w:rsidRPr="00307234">
        <w:rPr>
          <w:bCs/>
          <w:sz w:val="24"/>
          <w:szCs w:val="24"/>
        </w:rPr>
        <w:t xml:space="preserve"> </w:t>
      </w:r>
      <w:r w:rsidRPr="00307234">
        <w:rPr>
          <w:sz w:val="24"/>
          <w:szCs w:val="24"/>
        </w:rPr>
        <w:t>Den anbefalede dosis er 200 mg om dagen, der tages om aftenen ved sengetid fra omkring uge 20 til uge 34 i graviditeten. For oplysninger om fælles beslutningstagen, se pkt. 4.4.</w:t>
      </w:r>
    </w:p>
    <w:p w:rsidR="00307234" w:rsidRPr="00307234" w:rsidRDefault="00307234" w:rsidP="00307234">
      <w:pPr>
        <w:tabs>
          <w:tab w:val="left" w:pos="851"/>
        </w:tabs>
        <w:ind w:left="851"/>
        <w:rPr>
          <w:sz w:val="24"/>
          <w:szCs w:val="24"/>
        </w:rPr>
      </w:pPr>
    </w:p>
    <w:p w:rsidR="00307234" w:rsidRPr="00307234" w:rsidRDefault="00307234" w:rsidP="00307234">
      <w:pPr>
        <w:tabs>
          <w:tab w:val="left" w:pos="851"/>
        </w:tabs>
        <w:ind w:left="851"/>
        <w:rPr>
          <w:sz w:val="24"/>
          <w:szCs w:val="24"/>
        </w:rPr>
      </w:pPr>
      <w:r w:rsidRPr="00307234">
        <w:rPr>
          <w:i/>
          <w:sz w:val="24"/>
          <w:szCs w:val="24"/>
        </w:rPr>
        <w:t>Pædiatrisk population</w:t>
      </w:r>
    </w:p>
    <w:p w:rsidR="00307234" w:rsidRPr="00307234" w:rsidRDefault="00307234" w:rsidP="00307234">
      <w:pPr>
        <w:tabs>
          <w:tab w:val="left" w:pos="851"/>
        </w:tabs>
        <w:ind w:left="851"/>
        <w:rPr>
          <w:sz w:val="24"/>
          <w:szCs w:val="24"/>
        </w:rPr>
      </w:pPr>
      <w:r w:rsidRPr="00307234">
        <w:rPr>
          <w:sz w:val="24"/>
          <w:szCs w:val="24"/>
        </w:rPr>
        <w:t>Det er ikke relevant at anvende Progestan hos den pædiatriske population.</w:t>
      </w:r>
    </w:p>
    <w:p w:rsidR="00307234" w:rsidRPr="00307234" w:rsidRDefault="00307234" w:rsidP="00307234">
      <w:pPr>
        <w:tabs>
          <w:tab w:val="left" w:pos="851"/>
        </w:tabs>
        <w:ind w:left="851"/>
        <w:rPr>
          <w:bCs/>
          <w:i/>
          <w:iCs/>
          <w:sz w:val="24"/>
          <w:szCs w:val="24"/>
        </w:rPr>
      </w:pPr>
    </w:p>
    <w:p w:rsidR="00307234" w:rsidRPr="00307234" w:rsidRDefault="00307234" w:rsidP="00307234">
      <w:pPr>
        <w:tabs>
          <w:tab w:val="left" w:pos="851"/>
        </w:tabs>
        <w:ind w:left="851"/>
        <w:rPr>
          <w:bCs/>
          <w:i/>
          <w:iCs/>
          <w:sz w:val="24"/>
          <w:szCs w:val="24"/>
        </w:rPr>
      </w:pPr>
      <w:r w:rsidRPr="00307234">
        <w:rPr>
          <w:bCs/>
          <w:i/>
          <w:iCs/>
          <w:sz w:val="24"/>
          <w:szCs w:val="24"/>
        </w:rPr>
        <w:t>Ældre patienter</w:t>
      </w:r>
    </w:p>
    <w:p w:rsidR="00307234" w:rsidRPr="00307234" w:rsidRDefault="00307234" w:rsidP="00307234">
      <w:pPr>
        <w:tabs>
          <w:tab w:val="left" w:pos="851"/>
        </w:tabs>
        <w:ind w:left="851"/>
        <w:rPr>
          <w:sz w:val="24"/>
          <w:szCs w:val="24"/>
        </w:rPr>
      </w:pPr>
      <w:r w:rsidRPr="00307234">
        <w:rPr>
          <w:sz w:val="24"/>
          <w:szCs w:val="24"/>
        </w:rPr>
        <w:t>Det er ikke relevant at anvende Progestan hos ældre.</w:t>
      </w:r>
    </w:p>
    <w:p w:rsidR="00307234" w:rsidRPr="00307234" w:rsidRDefault="00307234" w:rsidP="00307234">
      <w:pPr>
        <w:tabs>
          <w:tab w:val="left" w:pos="851"/>
        </w:tabs>
        <w:ind w:left="851"/>
        <w:rPr>
          <w:sz w:val="24"/>
          <w:szCs w:val="24"/>
        </w:rPr>
      </w:pPr>
    </w:p>
    <w:p w:rsidR="00307234" w:rsidRPr="00307234" w:rsidRDefault="00307234" w:rsidP="00307234">
      <w:pPr>
        <w:tabs>
          <w:tab w:val="left" w:pos="851"/>
        </w:tabs>
        <w:ind w:left="851"/>
        <w:rPr>
          <w:i/>
          <w:sz w:val="24"/>
          <w:szCs w:val="24"/>
        </w:rPr>
      </w:pPr>
      <w:r w:rsidRPr="00307234">
        <w:rPr>
          <w:sz w:val="24"/>
          <w:szCs w:val="24"/>
          <w:u w:val="single"/>
        </w:rPr>
        <w:t>Administration</w:t>
      </w:r>
    </w:p>
    <w:p w:rsidR="00307234" w:rsidRPr="00307234" w:rsidRDefault="00307234" w:rsidP="00307234">
      <w:pPr>
        <w:tabs>
          <w:tab w:val="left" w:pos="851"/>
        </w:tabs>
        <w:ind w:left="851"/>
        <w:rPr>
          <w:sz w:val="24"/>
          <w:szCs w:val="24"/>
        </w:rPr>
      </w:pPr>
      <w:r w:rsidRPr="00307234">
        <w:rPr>
          <w:sz w:val="24"/>
          <w:szCs w:val="24"/>
        </w:rPr>
        <w:t>Vaginal anvendelse</w:t>
      </w:r>
      <w:r w:rsidR="009D3BF4">
        <w:rPr>
          <w:sz w:val="24"/>
          <w:szCs w:val="24"/>
        </w:rPr>
        <w:t>.</w:t>
      </w:r>
    </w:p>
    <w:p w:rsidR="00307234" w:rsidRPr="00307234" w:rsidRDefault="00307234" w:rsidP="00307234">
      <w:pPr>
        <w:tabs>
          <w:tab w:val="left" w:pos="851"/>
        </w:tabs>
        <w:ind w:left="851"/>
        <w:rPr>
          <w:sz w:val="24"/>
          <w:szCs w:val="24"/>
        </w:rPr>
      </w:pPr>
      <w:r w:rsidRPr="00307234">
        <w:rPr>
          <w:sz w:val="24"/>
          <w:szCs w:val="24"/>
        </w:rPr>
        <w:t>Hver Progestan kapsel skal indføres dybt i vaginaen.</w:t>
      </w:r>
    </w:p>
    <w:p w:rsidR="00307234" w:rsidRPr="00307234" w:rsidRDefault="00307234" w:rsidP="00307234">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9D3BF4" w:rsidRPr="009D3BF4" w:rsidRDefault="009D3BF4" w:rsidP="009D3BF4">
      <w:pPr>
        <w:numPr>
          <w:ilvl w:val="0"/>
          <w:numId w:val="7"/>
        </w:numPr>
        <w:tabs>
          <w:tab w:val="left" w:pos="851"/>
        </w:tabs>
        <w:ind w:left="1134" w:hanging="283"/>
        <w:rPr>
          <w:sz w:val="24"/>
          <w:szCs w:val="24"/>
        </w:rPr>
      </w:pPr>
      <w:r w:rsidRPr="009D3BF4">
        <w:rPr>
          <w:sz w:val="24"/>
          <w:szCs w:val="24"/>
        </w:rPr>
        <w:t>Overfølsomhed over for det aktive stof eller over for et eller flere af hjælpestofferne anført i pkt. 6.1.</w:t>
      </w:r>
    </w:p>
    <w:p w:rsidR="009D3BF4" w:rsidRPr="009D3BF4" w:rsidRDefault="009D3BF4" w:rsidP="009D3BF4">
      <w:pPr>
        <w:numPr>
          <w:ilvl w:val="0"/>
          <w:numId w:val="7"/>
        </w:numPr>
        <w:tabs>
          <w:tab w:val="left" w:pos="851"/>
        </w:tabs>
        <w:ind w:left="1134" w:hanging="283"/>
        <w:rPr>
          <w:sz w:val="24"/>
          <w:szCs w:val="24"/>
        </w:rPr>
      </w:pPr>
      <w:r w:rsidRPr="009D3BF4">
        <w:rPr>
          <w:sz w:val="24"/>
          <w:szCs w:val="24"/>
        </w:rPr>
        <w:t>Ikterus.</w:t>
      </w:r>
    </w:p>
    <w:p w:rsidR="009D3BF4" w:rsidRPr="009D3BF4" w:rsidRDefault="009D3BF4" w:rsidP="009D3BF4">
      <w:pPr>
        <w:numPr>
          <w:ilvl w:val="0"/>
          <w:numId w:val="7"/>
        </w:numPr>
        <w:tabs>
          <w:tab w:val="left" w:pos="851"/>
        </w:tabs>
        <w:ind w:left="1134" w:hanging="283"/>
        <w:rPr>
          <w:sz w:val="24"/>
          <w:szCs w:val="24"/>
        </w:rPr>
      </w:pPr>
      <w:r w:rsidRPr="009D3BF4">
        <w:rPr>
          <w:sz w:val="24"/>
          <w:szCs w:val="24"/>
        </w:rPr>
        <w:t>Svær hepatisk dysfunktion.</w:t>
      </w:r>
    </w:p>
    <w:p w:rsidR="009D3BF4" w:rsidRPr="009D3BF4" w:rsidRDefault="009D3BF4" w:rsidP="009D3BF4">
      <w:pPr>
        <w:numPr>
          <w:ilvl w:val="0"/>
          <w:numId w:val="7"/>
        </w:numPr>
        <w:tabs>
          <w:tab w:val="left" w:pos="851"/>
        </w:tabs>
        <w:ind w:left="1134" w:hanging="283"/>
        <w:rPr>
          <w:sz w:val="24"/>
          <w:szCs w:val="24"/>
        </w:rPr>
      </w:pPr>
      <w:r w:rsidRPr="009D3BF4">
        <w:rPr>
          <w:sz w:val="24"/>
          <w:szCs w:val="24"/>
        </w:rPr>
        <w:t>Udiagnosticeret vaginalblødning.</w:t>
      </w:r>
    </w:p>
    <w:p w:rsidR="009D3BF4" w:rsidRPr="009D3BF4" w:rsidRDefault="009D3BF4" w:rsidP="009D3BF4">
      <w:pPr>
        <w:numPr>
          <w:ilvl w:val="0"/>
          <w:numId w:val="7"/>
        </w:numPr>
        <w:tabs>
          <w:tab w:val="left" w:pos="851"/>
        </w:tabs>
        <w:ind w:left="1134" w:hanging="283"/>
        <w:rPr>
          <w:sz w:val="24"/>
          <w:szCs w:val="24"/>
          <w:lang w:val="sv-SE"/>
        </w:rPr>
      </w:pPr>
      <w:r w:rsidRPr="009D3BF4">
        <w:rPr>
          <w:sz w:val="24"/>
          <w:szCs w:val="24"/>
          <w:lang w:val="sv-SE"/>
        </w:rPr>
        <w:t>Karcinom i mammae eller genitalkanalen.</w:t>
      </w:r>
    </w:p>
    <w:p w:rsidR="009D3BF4" w:rsidRPr="009D3BF4" w:rsidRDefault="009D3BF4" w:rsidP="009D3BF4">
      <w:pPr>
        <w:numPr>
          <w:ilvl w:val="0"/>
          <w:numId w:val="7"/>
        </w:numPr>
        <w:tabs>
          <w:tab w:val="left" w:pos="851"/>
        </w:tabs>
        <w:ind w:left="1134" w:hanging="283"/>
        <w:rPr>
          <w:sz w:val="24"/>
          <w:szCs w:val="24"/>
        </w:rPr>
      </w:pPr>
      <w:r w:rsidRPr="009D3BF4">
        <w:rPr>
          <w:sz w:val="24"/>
          <w:szCs w:val="24"/>
        </w:rPr>
        <w:t>Tromboflebitis.</w:t>
      </w:r>
    </w:p>
    <w:p w:rsidR="009D3BF4" w:rsidRPr="009D3BF4" w:rsidRDefault="009D3BF4" w:rsidP="009D3BF4">
      <w:pPr>
        <w:numPr>
          <w:ilvl w:val="0"/>
          <w:numId w:val="7"/>
        </w:numPr>
        <w:tabs>
          <w:tab w:val="left" w:pos="851"/>
        </w:tabs>
        <w:ind w:left="1134" w:hanging="283"/>
        <w:rPr>
          <w:sz w:val="24"/>
          <w:szCs w:val="24"/>
        </w:rPr>
      </w:pPr>
      <w:r w:rsidRPr="009D3BF4">
        <w:rPr>
          <w:sz w:val="24"/>
          <w:szCs w:val="24"/>
        </w:rPr>
        <w:t>Tromboemboliske sygdomme.</w:t>
      </w:r>
    </w:p>
    <w:p w:rsidR="009D3BF4" w:rsidRPr="009D3BF4" w:rsidRDefault="009D3BF4" w:rsidP="009D3BF4">
      <w:pPr>
        <w:numPr>
          <w:ilvl w:val="0"/>
          <w:numId w:val="7"/>
        </w:numPr>
        <w:tabs>
          <w:tab w:val="left" w:pos="851"/>
        </w:tabs>
        <w:ind w:left="1134" w:hanging="283"/>
        <w:rPr>
          <w:sz w:val="24"/>
          <w:szCs w:val="24"/>
        </w:rPr>
      </w:pPr>
      <w:r w:rsidRPr="009D3BF4">
        <w:rPr>
          <w:sz w:val="24"/>
          <w:szCs w:val="24"/>
        </w:rPr>
        <w:t>Cerebral blødning.</w:t>
      </w:r>
    </w:p>
    <w:p w:rsidR="009D3BF4" w:rsidRPr="009D3BF4" w:rsidRDefault="009D3BF4" w:rsidP="009D3BF4">
      <w:pPr>
        <w:numPr>
          <w:ilvl w:val="0"/>
          <w:numId w:val="7"/>
        </w:numPr>
        <w:tabs>
          <w:tab w:val="left" w:pos="851"/>
        </w:tabs>
        <w:ind w:left="1134" w:hanging="283"/>
        <w:rPr>
          <w:sz w:val="24"/>
          <w:szCs w:val="24"/>
        </w:rPr>
      </w:pPr>
      <w:r w:rsidRPr="009D3BF4">
        <w:rPr>
          <w:sz w:val="24"/>
          <w:szCs w:val="24"/>
        </w:rPr>
        <w:t>Porfyri.</w:t>
      </w:r>
    </w:p>
    <w:p w:rsidR="009D3BF4" w:rsidRPr="009D3BF4" w:rsidRDefault="009D3BF4" w:rsidP="009D3BF4">
      <w:pPr>
        <w:numPr>
          <w:ilvl w:val="0"/>
          <w:numId w:val="7"/>
        </w:numPr>
        <w:tabs>
          <w:tab w:val="left" w:pos="851"/>
        </w:tabs>
        <w:ind w:left="1134" w:hanging="283"/>
        <w:rPr>
          <w:iCs/>
          <w:sz w:val="24"/>
          <w:szCs w:val="24"/>
        </w:rPr>
      </w:pPr>
      <w:r w:rsidRPr="009D3BF4">
        <w:rPr>
          <w:iCs/>
          <w:sz w:val="24"/>
          <w:szCs w:val="24"/>
        </w:rPr>
        <w:t>Missed abortion.</w:t>
      </w:r>
    </w:p>
    <w:p w:rsidR="009D3BF4" w:rsidRPr="009D3BF4" w:rsidRDefault="009D3BF4" w:rsidP="009D3BF4">
      <w:pPr>
        <w:numPr>
          <w:ilvl w:val="0"/>
          <w:numId w:val="7"/>
        </w:numPr>
        <w:tabs>
          <w:tab w:val="left" w:pos="851"/>
        </w:tabs>
        <w:ind w:left="1134" w:hanging="283"/>
        <w:rPr>
          <w:sz w:val="24"/>
          <w:szCs w:val="24"/>
        </w:rPr>
      </w:pPr>
      <w:r w:rsidRPr="009D3BF4">
        <w:rPr>
          <w:sz w:val="24"/>
          <w:szCs w:val="24"/>
        </w:rPr>
        <w:t>Præterm vandafgang (PPROM) (se pkt. 4.4).</w:t>
      </w:r>
    </w:p>
    <w:p w:rsidR="009D3BF4" w:rsidRPr="009D3BF4" w:rsidRDefault="009D3BF4" w:rsidP="009D3BF4">
      <w:pPr>
        <w:numPr>
          <w:ilvl w:val="0"/>
          <w:numId w:val="7"/>
        </w:numPr>
        <w:tabs>
          <w:tab w:val="left" w:pos="851"/>
        </w:tabs>
        <w:ind w:left="1134" w:hanging="283"/>
        <w:rPr>
          <w:sz w:val="24"/>
          <w:szCs w:val="24"/>
        </w:rPr>
      </w:pPr>
      <w:r w:rsidRPr="009D3BF4">
        <w:rPr>
          <w:sz w:val="24"/>
          <w:szCs w:val="24"/>
        </w:rPr>
        <w:t>Allergi over for jordnødder eller soja (se pkt. 4.4).</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9D3BF4" w:rsidRPr="009D3BF4" w:rsidRDefault="009D3BF4" w:rsidP="009D3BF4">
      <w:pPr>
        <w:tabs>
          <w:tab w:val="left" w:pos="851"/>
        </w:tabs>
        <w:ind w:left="851"/>
        <w:rPr>
          <w:b/>
          <w:sz w:val="24"/>
          <w:szCs w:val="24"/>
        </w:rPr>
      </w:pPr>
    </w:p>
    <w:p w:rsidR="009D3BF4" w:rsidRPr="002B271C" w:rsidRDefault="009D3BF4" w:rsidP="009D3BF4">
      <w:pPr>
        <w:tabs>
          <w:tab w:val="left" w:pos="851"/>
        </w:tabs>
        <w:ind w:left="851"/>
        <w:rPr>
          <w:bCs/>
          <w:iCs/>
          <w:sz w:val="24"/>
          <w:szCs w:val="24"/>
          <w:u w:val="single"/>
        </w:rPr>
      </w:pPr>
      <w:r w:rsidRPr="002B271C">
        <w:rPr>
          <w:bCs/>
          <w:iCs/>
          <w:sz w:val="24"/>
          <w:szCs w:val="24"/>
          <w:u w:val="single"/>
        </w:rPr>
        <w:t>Advarsler</w:t>
      </w:r>
    </w:p>
    <w:p w:rsidR="009D3BF4" w:rsidRPr="009D3BF4" w:rsidRDefault="009D3BF4" w:rsidP="009D3BF4">
      <w:pPr>
        <w:numPr>
          <w:ilvl w:val="0"/>
          <w:numId w:val="8"/>
        </w:numPr>
        <w:tabs>
          <w:tab w:val="left" w:pos="851"/>
        </w:tabs>
        <w:ind w:left="1134" w:hanging="283"/>
        <w:rPr>
          <w:sz w:val="24"/>
          <w:szCs w:val="24"/>
        </w:rPr>
      </w:pPr>
      <w:r w:rsidRPr="009D3BF4">
        <w:rPr>
          <w:sz w:val="24"/>
          <w:szCs w:val="24"/>
        </w:rPr>
        <w:t>Der skal gennemføres en komplet lægeundersøgelse før opstart af behandlingen og regelmæssigt under behandlingen.</w:t>
      </w:r>
    </w:p>
    <w:p w:rsidR="009D3BF4" w:rsidRPr="009D3BF4" w:rsidRDefault="009D3BF4" w:rsidP="009D3BF4">
      <w:pPr>
        <w:numPr>
          <w:ilvl w:val="0"/>
          <w:numId w:val="8"/>
        </w:numPr>
        <w:tabs>
          <w:tab w:val="left" w:pos="851"/>
        </w:tabs>
        <w:ind w:left="1134" w:hanging="283"/>
        <w:rPr>
          <w:sz w:val="24"/>
          <w:szCs w:val="24"/>
        </w:rPr>
      </w:pPr>
      <w:r w:rsidRPr="009D3BF4">
        <w:rPr>
          <w:sz w:val="24"/>
          <w:szCs w:val="24"/>
        </w:rPr>
        <w:t>Progestan er ikke velegnet som kontraceptivum.</w:t>
      </w:r>
    </w:p>
    <w:p w:rsidR="009D3BF4" w:rsidRPr="009D3BF4" w:rsidRDefault="009D3BF4" w:rsidP="009D3BF4">
      <w:pPr>
        <w:numPr>
          <w:ilvl w:val="0"/>
          <w:numId w:val="8"/>
        </w:numPr>
        <w:tabs>
          <w:tab w:val="left" w:pos="851"/>
        </w:tabs>
        <w:ind w:left="1134" w:hanging="283"/>
        <w:rPr>
          <w:sz w:val="24"/>
          <w:szCs w:val="24"/>
        </w:rPr>
      </w:pPr>
      <w:r w:rsidRPr="009D3BF4">
        <w:rPr>
          <w:sz w:val="24"/>
          <w:szCs w:val="24"/>
        </w:rPr>
        <w:t>I sjældne tilfælde kan brug af mikroniseret progesteron i andet og tredje graviditetstrimester medføre udvikling af graviditetskolestase eller hepatocellulær leversygdom.</w:t>
      </w:r>
    </w:p>
    <w:p w:rsidR="009D3BF4" w:rsidRPr="009D3BF4" w:rsidRDefault="009D3BF4" w:rsidP="009D3BF4">
      <w:pPr>
        <w:numPr>
          <w:ilvl w:val="0"/>
          <w:numId w:val="8"/>
        </w:numPr>
        <w:tabs>
          <w:tab w:val="left" w:pos="851"/>
        </w:tabs>
        <w:ind w:left="1134" w:hanging="283"/>
        <w:rPr>
          <w:sz w:val="24"/>
          <w:szCs w:val="24"/>
        </w:rPr>
      </w:pPr>
      <w:r w:rsidRPr="009D3BF4">
        <w:rPr>
          <w:sz w:val="24"/>
          <w:szCs w:val="24"/>
        </w:rPr>
        <w:t xml:space="preserve">Behandlingen skal seponeres ved diagnosticering af </w:t>
      </w:r>
      <w:r w:rsidRPr="009D3BF4">
        <w:rPr>
          <w:iCs/>
          <w:sz w:val="24"/>
          <w:szCs w:val="24"/>
        </w:rPr>
        <w:t>missed abortion</w:t>
      </w:r>
      <w:r w:rsidRPr="009D3BF4">
        <w:rPr>
          <w:sz w:val="24"/>
          <w:szCs w:val="24"/>
        </w:rPr>
        <w:t>.</w:t>
      </w:r>
    </w:p>
    <w:p w:rsidR="009D3BF4" w:rsidRPr="009D3BF4" w:rsidRDefault="009D3BF4" w:rsidP="009D3BF4">
      <w:pPr>
        <w:tabs>
          <w:tab w:val="left" w:pos="851"/>
        </w:tabs>
        <w:ind w:left="851"/>
        <w:rPr>
          <w:sz w:val="24"/>
          <w:szCs w:val="24"/>
        </w:rPr>
      </w:pPr>
    </w:p>
    <w:p w:rsidR="009D3BF4" w:rsidRPr="002B271C" w:rsidRDefault="009D3BF4" w:rsidP="009D3BF4">
      <w:pPr>
        <w:tabs>
          <w:tab w:val="left" w:pos="851"/>
        </w:tabs>
        <w:ind w:left="851"/>
        <w:rPr>
          <w:bCs/>
          <w:iCs/>
          <w:sz w:val="24"/>
          <w:szCs w:val="24"/>
          <w:u w:val="single"/>
        </w:rPr>
      </w:pPr>
      <w:r w:rsidRPr="002B271C">
        <w:rPr>
          <w:bCs/>
          <w:iCs/>
          <w:sz w:val="24"/>
          <w:szCs w:val="24"/>
          <w:u w:val="single"/>
        </w:rPr>
        <w:t>Forsigtighedsregler</w:t>
      </w:r>
    </w:p>
    <w:p w:rsidR="009D3BF4" w:rsidRPr="009D3BF4" w:rsidRDefault="009D3BF4" w:rsidP="009D3BF4">
      <w:pPr>
        <w:numPr>
          <w:ilvl w:val="0"/>
          <w:numId w:val="9"/>
        </w:numPr>
        <w:tabs>
          <w:tab w:val="left" w:pos="851"/>
        </w:tabs>
        <w:ind w:left="1134" w:hanging="283"/>
        <w:rPr>
          <w:sz w:val="24"/>
          <w:szCs w:val="24"/>
        </w:rPr>
      </w:pPr>
      <w:r w:rsidRPr="009D3BF4">
        <w:rPr>
          <w:sz w:val="24"/>
          <w:szCs w:val="24"/>
        </w:rPr>
        <w:t>Enhver vaginalblødning skal altid undersøges.</w:t>
      </w:r>
    </w:p>
    <w:p w:rsidR="002B271C" w:rsidRDefault="002B271C">
      <w:pPr>
        <w:rPr>
          <w:sz w:val="24"/>
          <w:szCs w:val="24"/>
        </w:rPr>
      </w:pPr>
      <w:r>
        <w:rPr>
          <w:sz w:val="24"/>
          <w:szCs w:val="24"/>
        </w:rPr>
        <w:br w:type="page"/>
      </w:r>
    </w:p>
    <w:p w:rsidR="009D3BF4" w:rsidRPr="009D3BF4" w:rsidRDefault="009D3BF4" w:rsidP="009D3BF4">
      <w:pPr>
        <w:tabs>
          <w:tab w:val="left" w:pos="851"/>
        </w:tabs>
        <w:ind w:left="851"/>
        <w:rPr>
          <w:sz w:val="24"/>
          <w:szCs w:val="24"/>
        </w:rPr>
      </w:pPr>
    </w:p>
    <w:p w:rsidR="009D3BF4" w:rsidRPr="009D3BF4" w:rsidRDefault="009D3BF4" w:rsidP="009D3BF4">
      <w:pPr>
        <w:tabs>
          <w:tab w:val="left" w:pos="851"/>
        </w:tabs>
        <w:ind w:left="851"/>
        <w:rPr>
          <w:i/>
          <w:iCs/>
          <w:sz w:val="24"/>
          <w:szCs w:val="24"/>
        </w:rPr>
      </w:pPr>
      <w:r w:rsidRPr="009D3BF4">
        <w:rPr>
          <w:i/>
          <w:iCs/>
          <w:sz w:val="24"/>
          <w:szCs w:val="24"/>
        </w:rPr>
        <w:t xml:space="preserve">Specifik advarsel i forbindelse med supplementering i lutealfasen under cyklusser med </w:t>
      </w:r>
      <w:r w:rsidRPr="009D3BF4">
        <w:rPr>
          <w:sz w:val="24"/>
          <w:szCs w:val="24"/>
        </w:rPr>
        <w:t>fertilitetsbehandling (</w:t>
      </w:r>
      <w:r w:rsidRPr="009D3BF4">
        <w:rPr>
          <w:i/>
          <w:iCs/>
          <w:sz w:val="24"/>
          <w:szCs w:val="24"/>
        </w:rPr>
        <w:t>assisteret reproduktionsteknologi):</w:t>
      </w:r>
    </w:p>
    <w:p w:rsidR="009D3BF4" w:rsidRPr="009D3BF4" w:rsidRDefault="009D3BF4" w:rsidP="009D3BF4">
      <w:pPr>
        <w:numPr>
          <w:ilvl w:val="0"/>
          <w:numId w:val="9"/>
        </w:numPr>
        <w:tabs>
          <w:tab w:val="left" w:pos="851"/>
        </w:tabs>
        <w:ind w:left="1134" w:hanging="283"/>
        <w:rPr>
          <w:sz w:val="24"/>
          <w:szCs w:val="24"/>
        </w:rPr>
      </w:pPr>
      <w:r w:rsidRPr="009D3BF4">
        <w:rPr>
          <w:sz w:val="24"/>
          <w:szCs w:val="24"/>
        </w:rPr>
        <w:t>Progestan bør kun anvendes i de første tre måneder af graviditeten og må kun administreres vaginalt.</w:t>
      </w:r>
    </w:p>
    <w:p w:rsidR="009D3BF4" w:rsidRPr="009D3BF4" w:rsidRDefault="009D3BF4" w:rsidP="009D3BF4">
      <w:pPr>
        <w:tabs>
          <w:tab w:val="left" w:pos="851"/>
        </w:tabs>
        <w:ind w:left="851"/>
        <w:rPr>
          <w:sz w:val="24"/>
          <w:szCs w:val="24"/>
        </w:rPr>
      </w:pPr>
    </w:p>
    <w:p w:rsidR="009D3BF4" w:rsidRPr="009D3BF4" w:rsidRDefault="009D3BF4" w:rsidP="009D3BF4">
      <w:pPr>
        <w:tabs>
          <w:tab w:val="left" w:pos="851"/>
        </w:tabs>
        <w:ind w:left="851"/>
        <w:rPr>
          <w:i/>
          <w:iCs/>
          <w:sz w:val="24"/>
          <w:szCs w:val="24"/>
        </w:rPr>
      </w:pPr>
      <w:r w:rsidRPr="009D3BF4">
        <w:rPr>
          <w:i/>
          <w:sz w:val="24"/>
          <w:szCs w:val="24"/>
        </w:rPr>
        <w:t>Specifikke advarsler i forbindelse med forebyggelse af præterm fødsel hos kvinder med enkeltfoldsgraviditet, der har en kort cervix og/eller spontan præterm fødsel i anamnesen</w:t>
      </w:r>
      <w:r w:rsidRPr="009D3BF4">
        <w:rPr>
          <w:sz w:val="24"/>
          <w:szCs w:val="24"/>
        </w:rPr>
        <w:t xml:space="preserve">: </w:t>
      </w:r>
    </w:p>
    <w:p w:rsidR="009D3BF4" w:rsidRPr="009D3BF4" w:rsidRDefault="009D3BF4" w:rsidP="009D3BF4">
      <w:pPr>
        <w:tabs>
          <w:tab w:val="left" w:pos="851"/>
        </w:tabs>
        <w:ind w:left="851"/>
        <w:rPr>
          <w:sz w:val="24"/>
          <w:szCs w:val="24"/>
        </w:rPr>
      </w:pPr>
      <w:r w:rsidRPr="009D3BF4">
        <w:rPr>
          <w:sz w:val="24"/>
          <w:szCs w:val="24"/>
        </w:rPr>
        <w:t>Inden behandlingen iværksættes:</w:t>
      </w:r>
    </w:p>
    <w:p w:rsidR="009D3BF4" w:rsidRPr="009D3BF4" w:rsidRDefault="009D3BF4" w:rsidP="009D3BF4">
      <w:pPr>
        <w:numPr>
          <w:ilvl w:val="0"/>
          <w:numId w:val="9"/>
        </w:numPr>
        <w:tabs>
          <w:tab w:val="left" w:pos="851"/>
        </w:tabs>
        <w:ind w:left="1134" w:hanging="283"/>
        <w:rPr>
          <w:sz w:val="24"/>
          <w:szCs w:val="24"/>
        </w:rPr>
      </w:pPr>
      <w:r w:rsidRPr="009D3BF4">
        <w:rPr>
          <w:sz w:val="24"/>
          <w:szCs w:val="24"/>
        </w:rPr>
        <w:t>Risiciene og fordelene ved de tilgængelige muligheder skal drøftes med patienten. Lægen og patienten skal i fællesskab træffe en beslutning om hvilken behandling, der er mest velegnet (se pkt. 5.1)</w:t>
      </w:r>
    </w:p>
    <w:p w:rsidR="009D3BF4" w:rsidRPr="009D3BF4" w:rsidRDefault="009D3BF4" w:rsidP="009D3BF4">
      <w:pPr>
        <w:numPr>
          <w:ilvl w:val="0"/>
          <w:numId w:val="9"/>
        </w:numPr>
        <w:tabs>
          <w:tab w:val="left" w:pos="851"/>
        </w:tabs>
        <w:ind w:left="1134" w:hanging="283"/>
        <w:rPr>
          <w:sz w:val="24"/>
          <w:szCs w:val="24"/>
        </w:rPr>
      </w:pPr>
      <w:r w:rsidRPr="009D3BF4">
        <w:rPr>
          <w:sz w:val="24"/>
          <w:szCs w:val="24"/>
        </w:rPr>
        <w:t>Præterm vandafgang (PPROM) skal udelukkes (se pkt. 4.3). I tilfælde af vandafgang under behandlingen, skal yderligere behandling med Progestan seponeres.</w:t>
      </w:r>
    </w:p>
    <w:p w:rsidR="009D3BF4" w:rsidRPr="009D3BF4" w:rsidRDefault="009D3BF4" w:rsidP="009D3BF4">
      <w:pPr>
        <w:tabs>
          <w:tab w:val="left" w:pos="851"/>
        </w:tabs>
        <w:ind w:left="851"/>
        <w:rPr>
          <w:b/>
          <w:bCs/>
          <w:i/>
          <w:iCs/>
          <w:sz w:val="24"/>
          <w:szCs w:val="24"/>
        </w:rPr>
      </w:pPr>
    </w:p>
    <w:p w:rsidR="009D3BF4" w:rsidRPr="009D3BF4" w:rsidRDefault="009D3BF4" w:rsidP="009D3BF4">
      <w:pPr>
        <w:tabs>
          <w:tab w:val="left" w:pos="851"/>
        </w:tabs>
        <w:ind w:left="851"/>
        <w:rPr>
          <w:sz w:val="24"/>
          <w:szCs w:val="24"/>
        </w:rPr>
      </w:pPr>
      <w:r w:rsidRPr="009D3BF4">
        <w:rPr>
          <w:b/>
          <w:bCs/>
          <w:sz w:val="24"/>
          <w:szCs w:val="24"/>
        </w:rPr>
        <w:t>Progestan indeholder sojalecithin</w:t>
      </w:r>
      <w:r w:rsidRPr="009D3BF4">
        <w:rPr>
          <w:sz w:val="24"/>
          <w:szCs w:val="24"/>
        </w:rPr>
        <w:t xml:space="preserve"> og kan forårsage overfølsomhedsreaktioner (urticaria og anafylaktisk shock hos overfølsomme patienter). Da der er en mulig sammenhæng mellem sojaallergi og jordnøddeallergi, skal patienter med allergi over for jordnødder undgå at anvende Progestan (se pkt. 4.3).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FE47CC" w:rsidRPr="00FE47CC" w:rsidRDefault="00FE47CC" w:rsidP="00FE47CC">
      <w:pPr>
        <w:tabs>
          <w:tab w:val="left" w:pos="851"/>
        </w:tabs>
        <w:ind w:left="851"/>
        <w:rPr>
          <w:sz w:val="24"/>
          <w:szCs w:val="24"/>
        </w:rPr>
      </w:pPr>
      <w:r w:rsidRPr="00FE47CC">
        <w:rPr>
          <w:sz w:val="24"/>
          <w:szCs w:val="24"/>
        </w:rPr>
        <w:t>Progestan kan interferere med virkningen af bromocriptin og kan øge plasmakoncentrationen af ciclosporin. Progestan kan påvirke resultaterne af laboratorieprøver vedrørende leverfunktionen og/eller endokrine funktioner.</w:t>
      </w:r>
    </w:p>
    <w:p w:rsidR="00FE47CC" w:rsidRPr="00FE47CC" w:rsidRDefault="00FE47CC" w:rsidP="00FE47CC">
      <w:pPr>
        <w:tabs>
          <w:tab w:val="left" w:pos="851"/>
        </w:tabs>
        <w:ind w:left="851"/>
        <w:rPr>
          <w:sz w:val="24"/>
          <w:szCs w:val="24"/>
        </w:rPr>
      </w:pPr>
    </w:p>
    <w:p w:rsidR="00FE47CC" w:rsidRPr="00FE47CC" w:rsidRDefault="00FE47CC" w:rsidP="00FE47CC">
      <w:pPr>
        <w:tabs>
          <w:tab w:val="left" w:pos="851"/>
        </w:tabs>
        <w:ind w:left="851"/>
        <w:rPr>
          <w:sz w:val="24"/>
          <w:szCs w:val="24"/>
        </w:rPr>
      </w:pPr>
      <w:r w:rsidRPr="00FE47CC">
        <w:rPr>
          <w:sz w:val="24"/>
          <w:szCs w:val="24"/>
        </w:rPr>
        <w:t>Rifamyciner (såsom rifampicin) og antibiotika fremskynder metabolismen af Progestan.</w:t>
      </w:r>
    </w:p>
    <w:p w:rsidR="00FE47CC" w:rsidRPr="00FE47CC" w:rsidRDefault="00FE47CC" w:rsidP="00FE47CC">
      <w:pPr>
        <w:tabs>
          <w:tab w:val="left" w:pos="851"/>
        </w:tabs>
        <w:ind w:left="851"/>
        <w:rPr>
          <w:sz w:val="24"/>
          <w:szCs w:val="24"/>
        </w:rPr>
      </w:pPr>
    </w:p>
    <w:p w:rsidR="00FE47CC" w:rsidRPr="00FE47CC" w:rsidRDefault="00FE47CC" w:rsidP="00FE47CC">
      <w:pPr>
        <w:tabs>
          <w:tab w:val="left" w:pos="851"/>
        </w:tabs>
        <w:ind w:left="851"/>
        <w:rPr>
          <w:sz w:val="24"/>
          <w:szCs w:val="24"/>
        </w:rPr>
      </w:pPr>
      <w:r w:rsidRPr="00FE47CC">
        <w:rPr>
          <w:sz w:val="24"/>
          <w:szCs w:val="24"/>
        </w:rPr>
        <w:t>Metabolismen af progesteron via humane levermikrosomer blev hæmmet af ketoconazol (IC</w:t>
      </w:r>
      <w:r w:rsidRPr="00FE47CC">
        <w:rPr>
          <w:sz w:val="24"/>
          <w:szCs w:val="24"/>
          <w:vertAlign w:val="subscript"/>
        </w:rPr>
        <w:t>50</w:t>
      </w:r>
      <w:r w:rsidRPr="00741295">
        <w:rPr>
          <w:sz w:val="24"/>
          <w:szCs w:val="24"/>
        </w:rPr>
        <w:t> </w:t>
      </w:r>
      <w:r w:rsidRPr="00FE47CC">
        <w:rPr>
          <w:sz w:val="24"/>
          <w:szCs w:val="24"/>
        </w:rPr>
        <w:t>&lt;0,1 μM). Ketoconazol er en cytochrom P450 3A4-hæmmer. Disse data tyder derfor på, at ketoconazol kan øge biotilgængeligheden af progesteron. Den kliniske relevans af in vitro-fundene er ikke kendt.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rsidR="00FE47CC" w:rsidRPr="00FE47CC" w:rsidRDefault="00FE47CC" w:rsidP="00FE47CC">
      <w:pPr>
        <w:tabs>
          <w:tab w:val="left" w:pos="851"/>
        </w:tabs>
        <w:ind w:left="851"/>
        <w:rPr>
          <w:sz w:val="24"/>
          <w:szCs w:val="24"/>
        </w:rPr>
      </w:pPr>
      <w:r w:rsidRPr="00FE47CC">
        <w:rPr>
          <w:sz w:val="24"/>
          <w:szCs w:val="24"/>
        </w:rPr>
        <w:t>Naturligt progesteron kan gives oralt, vaginalt eller intramuskulært til behandling af lutealfaseinsufficiens indtil minimum 7. graviditetsuge og senest til 12. graviditetsuge. Naturligt progesteron kan også gives vaginalt til forebyggelse af præterm fødsel fra 20. graviditetsuge til 34. graviditetsuge.</w:t>
      </w:r>
    </w:p>
    <w:p w:rsidR="00FE47CC" w:rsidRPr="00FE47CC" w:rsidRDefault="00FE47CC" w:rsidP="00FE47CC">
      <w:pPr>
        <w:tabs>
          <w:tab w:val="left" w:pos="851"/>
        </w:tabs>
        <w:ind w:left="851"/>
        <w:rPr>
          <w:sz w:val="24"/>
          <w:szCs w:val="24"/>
          <w:u w:val="single"/>
        </w:rPr>
      </w:pPr>
    </w:p>
    <w:p w:rsidR="00FE47CC" w:rsidRPr="00FE47CC" w:rsidRDefault="00FE47CC" w:rsidP="00FE47CC">
      <w:pPr>
        <w:tabs>
          <w:tab w:val="left" w:pos="851"/>
        </w:tabs>
        <w:ind w:left="851"/>
        <w:rPr>
          <w:sz w:val="24"/>
          <w:szCs w:val="24"/>
          <w:u w:val="single"/>
        </w:rPr>
      </w:pPr>
      <w:r w:rsidRPr="00FE47CC">
        <w:rPr>
          <w:sz w:val="24"/>
          <w:szCs w:val="24"/>
          <w:u w:val="single"/>
        </w:rPr>
        <w:t>Graviditet</w:t>
      </w:r>
    </w:p>
    <w:p w:rsidR="00FE47CC" w:rsidRPr="00FE47CC" w:rsidRDefault="00FE47CC" w:rsidP="00FE47CC">
      <w:pPr>
        <w:tabs>
          <w:tab w:val="left" w:pos="851"/>
        </w:tabs>
        <w:ind w:left="851"/>
        <w:rPr>
          <w:sz w:val="24"/>
          <w:szCs w:val="24"/>
        </w:rPr>
      </w:pPr>
      <w:r w:rsidRPr="00FE47CC">
        <w:rPr>
          <w:sz w:val="24"/>
          <w:szCs w:val="24"/>
        </w:rPr>
        <w:t>Der er ikke fundet nogen forbindelse mellem maternel brug af naturligt progesteron i den tidlige graviditet og føtale misdannelser.</w:t>
      </w:r>
    </w:p>
    <w:p w:rsidR="00FE47CC" w:rsidRPr="00FE47CC" w:rsidRDefault="00FE47CC" w:rsidP="00FE47CC">
      <w:pPr>
        <w:tabs>
          <w:tab w:val="left" w:pos="851"/>
        </w:tabs>
        <w:ind w:left="851"/>
        <w:rPr>
          <w:sz w:val="24"/>
          <w:szCs w:val="24"/>
        </w:rPr>
      </w:pPr>
    </w:p>
    <w:p w:rsidR="00FE47CC" w:rsidRPr="00FE47CC" w:rsidRDefault="00FE47CC" w:rsidP="00FE47CC">
      <w:pPr>
        <w:tabs>
          <w:tab w:val="left" w:pos="851"/>
        </w:tabs>
        <w:ind w:left="851"/>
        <w:rPr>
          <w:sz w:val="24"/>
          <w:szCs w:val="24"/>
        </w:rPr>
      </w:pPr>
      <w:r w:rsidRPr="00FE47CC">
        <w:rPr>
          <w:iCs/>
          <w:sz w:val="24"/>
          <w:szCs w:val="24"/>
          <w:u w:val="single"/>
        </w:rPr>
        <w:t>Amning</w:t>
      </w:r>
      <w:r w:rsidRPr="00FE47CC">
        <w:rPr>
          <w:sz w:val="24"/>
          <w:szCs w:val="24"/>
          <w:u w:val="single"/>
        </w:rPr>
        <w:t xml:space="preserve"> </w:t>
      </w:r>
    </w:p>
    <w:p w:rsidR="00FE47CC" w:rsidRPr="00FE47CC" w:rsidRDefault="00FE47CC" w:rsidP="00FE47CC">
      <w:pPr>
        <w:tabs>
          <w:tab w:val="left" w:pos="851"/>
        </w:tabs>
        <w:ind w:left="851"/>
        <w:rPr>
          <w:sz w:val="24"/>
          <w:szCs w:val="24"/>
        </w:rPr>
      </w:pPr>
      <w:r w:rsidRPr="00FE47CC">
        <w:rPr>
          <w:sz w:val="24"/>
          <w:szCs w:val="24"/>
        </w:rPr>
        <w:t xml:space="preserve">Progesteron er ikke indiceret i ammeperioden.  </w:t>
      </w:r>
    </w:p>
    <w:p w:rsidR="00FE47CC" w:rsidRPr="00FE47CC" w:rsidRDefault="00FE47CC" w:rsidP="00FE47CC">
      <w:pPr>
        <w:tabs>
          <w:tab w:val="left" w:pos="851"/>
        </w:tabs>
        <w:ind w:left="851"/>
        <w:rPr>
          <w:sz w:val="24"/>
          <w:szCs w:val="24"/>
        </w:rPr>
      </w:pPr>
      <w:r w:rsidRPr="00FE47CC">
        <w:rPr>
          <w:sz w:val="24"/>
          <w:szCs w:val="24"/>
        </w:rPr>
        <w:t>Progesteron udskilles i modermælken i detekterbare mængder.</w:t>
      </w:r>
    </w:p>
    <w:p w:rsidR="00FE47CC" w:rsidRPr="00FE47CC" w:rsidRDefault="00FE47CC" w:rsidP="00FE47CC">
      <w:pPr>
        <w:tabs>
          <w:tab w:val="left" w:pos="851"/>
        </w:tabs>
        <w:ind w:left="851"/>
        <w:rPr>
          <w:sz w:val="24"/>
          <w:szCs w:val="24"/>
        </w:rPr>
      </w:pPr>
    </w:p>
    <w:p w:rsidR="00FE47CC" w:rsidRPr="00FE47CC" w:rsidRDefault="00FE47CC" w:rsidP="00FE47CC">
      <w:pPr>
        <w:tabs>
          <w:tab w:val="left" w:pos="851"/>
        </w:tabs>
        <w:ind w:left="851"/>
        <w:rPr>
          <w:iCs/>
          <w:sz w:val="24"/>
          <w:szCs w:val="24"/>
          <w:u w:val="single"/>
        </w:rPr>
      </w:pPr>
      <w:r w:rsidRPr="00FE47CC">
        <w:rPr>
          <w:iCs/>
          <w:sz w:val="24"/>
          <w:szCs w:val="24"/>
          <w:u w:val="single"/>
        </w:rPr>
        <w:t>Fertilitet</w:t>
      </w:r>
    </w:p>
    <w:p w:rsidR="00FE47CC" w:rsidRPr="00FE47CC" w:rsidRDefault="00FE47CC" w:rsidP="00FE47CC">
      <w:pPr>
        <w:tabs>
          <w:tab w:val="left" w:pos="851"/>
        </w:tabs>
        <w:ind w:left="851"/>
        <w:rPr>
          <w:sz w:val="24"/>
          <w:szCs w:val="24"/>
        </w:rPr>
      </w:pPr>
      <w:r w:rsidRPr="00FE47CC">
        <w:rPr>
          <w:sz w:val="24"/>
          <w:szCs w:val="24"/>
        </w:rPr>
        <w:t>Eftersom dette lægemiddel er indiceret til støtte ved luteal insufficiens hos subfertile eller infertile kvinder, er der ingen kendt skadelig indvirkning på fertiliteten.</w:t>
      </w:r>
    </w:p>
    <w:p w:rsidR="00F604B3" w:rsidRDefault="00F604B3">
      <w:pPr>
        <w:rPr>
          <w:sz w:val="24"/>
          <w:szCs w:val="24"/>
        </w:rPr>
      </w:pPr>
      <w:r>
        <w:rPr>
          <w:sz w:val="24"/>
          <w:szCs w:val="24"/>
        </w:rPr>
        <w:br w:type="page"/>
      </w:r>
    </w:p>
    <w:p w:rsidR="00FE47CC" w:rsidRPr="00FE47CC" w:rsidRDefault="00FE47CC" w:rsidP="00FE47CC">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rsidR="00F83FAD" w:rsidRPr="00F83FAD" w:rsidRDefault="00F83FAD" w:rsidP="00F83FAD">
      <w:pPr>
        <w:tabs>
          <w:tab w:val="left" w:pos="851"/>
        </w:tabs>
        <w:ind w:left="851"/>
        <w:rPr>
          <w:sz w:val="24"/>
          <w:szCs w:val="24"/>
        </w:rPr>
      </w:pPr>
      <w:r w:rsidRPr="00F83FAD">
        <w:rPr>
          <w:sz w:val="24"/>
          <w:szCs w:val="24"/>
        </w:rPr>
        <w:t>Ikke mærkning</w:t>
      </w:r>
      <w:r>
        <w:rPr>
          <w:sz w:val="24"/>
          <w:szCs w:val="24"/>
        </w:rPr>
        <w:t>.</w:t>
      </w:r>
    </w:p>
    <w:p w:rsidR="00F83FAD" w:rsidRPr="00F83FAD" w:rsidRDefault="00F83FAD" w:rsidP="00F83FAD">
      <w:pPr>
        <w:tabs>
          <w:tab w:val="left" w:pos="851"/>
        </w:tabs>
        <w:ind w:left="851"/>
        <w:rPr>
          <w:sz w:val="24"/>
          <w:szCs w:val="24"/>
        </w:rPr>
      </w:pPr>
      <w:r w:rsidRPr="00F83FAD">
        <w:rPr>
          <w:sz w:val="24"/>
          <w:szCs w:val="24"/>
        </w:rPr>
        <w:t>Progestan påvirker kun i ubetydelig grad evnen til at føre motorkøretøj og betjene maskiner.</w:t>
      </w:r>
    </w:p>
    <w:p w:rsidR="00F83FAD" w:rsidRPr="00F83FAD" w:rsidRDefault="00F83FAD" w:rsidP="00F83FAD">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E36A8D" w:rsidRDefault="00E36A8D" w:rsidP="00E36A8D">
      <w:pPr>
        <w:tabs>
          <w:tab w:val="left" w:pos="851"/>
        </w:tabs>
        <w:ind w:left="851"/>
        <w:rPr>
          <w:iCs/>
          <w:sz w:val="24"/>
          <w:szCs w:val="24"/>
        </w:rPr>
      </w:pPr>
      <w:r w:rsidRPr="00E36A8D">
        <w:rPr>
          <w:iCs/>
          <w:sz w:val="24"/>
          <w:szCs w:val="24"/>
        </w:rPr>
        <w:t>Lokal intolerans (brænden, kløe eller olieagtigt udflåd) er set i kliniske studier og rapporteret i publikationer, men forekomsten er ekstremt sjælden.</w:t>
      </w:r>
    </w:p>
    <w:p w:rsidR="00E36A8D" w:rsidRPr="00E36A8D" w:rsidRDefault="00E36A8D" w:rsidP="00E36A8D">
      <w:pPr>
        <w:tabs>
          <w:tab w:val="left" w:pos="851"/>
        </w:tabs>
        <w:ind w:left="851"/>
        <w:rPr>
          <w:iCs/>
          <w:sz w:val="24"/>
          <w:szCs w:val="24"/>
        </w:rPr>
      </w:pPr>
    </w:p>
    <w:p w:rsidR="00E36A8D" w:rsidRDefault="00E36A8D" w:rsidP="00E36A8D">
      <w:pPr>
        <w:tabs>
          <w:tab w:val="left" w:pos="851"/>
        </w:tabs>
        <w:ind w:left="851"/>
        <w:rPr>
          <w:iCs/>
          <w:sz w:val="24"/>
          <w:szCs w:val="24"/>
        </w:rPr>
      </w:pPr>
      <w:r w:rsidRPr="00E36A8D">
        <w:rPr>
          <w:iCs/>
          <w:sz w:val="24"/>
          <w:szCs w:val="24"/>
        </w:rPr>
        <w:t>Ved brug i henhold til anbefalingerne kan der forekomme forbigående træthed eller svimmelhed inden for 1-3 timer efter administration af lægemidlet.</w:t>
      </w:r>
    </w:p>
    <w:p w:rsidR="00E36A8D" w:rsidRPr="00E36A8D" w:rsidRDefault="00E36A8D" w:rsidP="00E36A8D">
      <w:pPr>
        <w:tabs>
          <w:tab w:val="left" w:pos="851"/>
        </w:tabs>
        <w:ind w:left="851"/>
        <w:rPr>
          <w:iCs/>
          <w:sz w:val="24"/>
          <w:szCs w:val="24"/>
        </w:rPr>
      </w:pPr>
    </w:p>
    <w:p w:rsidR="00E36A8D" w:rsidRPr="00277EF4" w:rsidRDefault="00E36A8D" w:rsidP="00E36A8D">
      <w:pPr>
        <w:tabs>
          <w:tab w:val="left" w:pos="851"/>
        </w:tabs>
        <w:ind w:left="851"/>
        <w:rPr>
          <w:iCs/>
          <w:sz w:val="24"/>
          <w:szCs w:val="24"/>
          <w:u w:val="single"/>
        </w:rPr>
      </w:pPr>
      <w:r w:rsidRPr="00277EF4">
        <w:rPr>
          <w:iCs/>
          <w:sz w:val="24"/>
          <w:szCs w:val="24"/>
          <w:u w:val="single"/>
        </w:rPr>
        <w:t>Indberetning af formodede bivirkninger efter godkendelse</w:t>
      </w:r>
    </w:p>
    <w:p w:rsidR="00E36A8D" w:rsidRPr="00E36A8D" w:rsidRDefault="00E36A8D" w:rsidP="00E36A8D">
      <w:pPr>
        <w:tabs>
          <w:tab w:val="left" w:pos="851"/>
        </w:tabs>
        <w:ind w:left="851"/>
        <w:rPr>
          <w:iCs/>
          <w:sz w:val="24"/>
          <w:szCs w:val="24"/>
        </w:rPr>
      </w:pPr>
      <w:r w:rsidRPr="00E36A8D">
        <w:rPr>
          <w:iCs/>
          <w:sz w:val="24"/>
          <w:szCs w:val="24"/>
        </w:rPr>
        <w:t>Nedenstående oplysninger er baseret på omfattende erfaring med vaginal administration af progesteron efter markedsføringen.</w:t>
      </w:r>
    </w:p>
    <w:p w:rsidR="00E36A8D" w:rsidRPr="00E36A8D" w:rsidRDefault="00E36A8D" w:rsidP="00E36A8D">
      <w:pPr>
        <w:tabs>
          <w:tab w:val="left" w:pos="851"/>
        </w:tabs>
        <w:ind w:left="851"/>
        <w:rPr>
          <w:iCs/>
          <w:sz w:val="24"/>
          <w:szCs w:val="24"/>
        </w:rPr>
      </w:pPr>
      <w:r w:rsidRPr="00E36A8D">
        <w:rPr>
          <w:iCs/>
          <w:sz w:val="24"/>
          <w:szCs w:val="24"/>
        </w:rPr>
        <w:t>Bivirkningerne er opført efter hyppighed ved brug af følgende konvention: Meget almindelig (≥1/10), almindelig (≥1/100 til &lt; 1/10), ikke almindelig (≥1/1.000 til &lt;1/100), sjælden (≥1/10.000 til &lt;1/1.000), meget sjælden (&lt;1/10.000), ikke kendt (kan ikke estimeres ud fra forhåndenværende data).</w:t>
      </w:r>
    </w:p>
    <w:p w:rsidR="00E36A8D" w:rsidRPr="00E36A8D" w:rsidRDefault="00E36A8D" w:rsidP="00E36A8D">
      <w:pPr>
        <w:tabs>
          <w:tab w:val="left" w:pos="851"/>
        </w:tabs>
        <w:ind w:left="851"/>
        <w:rPr>
          <w:iCs/>
          <w:sz w:val="24"/>
          <w:szCs w:val="24"/>
        </w:rPr>
      </w:pPr>
    </w:p>
    <w:tbl>
      <w:tblPr>
        <w:tblStyle w:val="Tabel-Gitter"/>
        <w:tblW w:w="8788" w:type="dxa"/>
        <w:tblInd w:w="846" w:type="dxa"/>
        <w:tblLook w:val="04A0" w:firstRow="1" w:lastRow="0" w:firstColumn="1" w:lastColumn="0" w:noHBand="0" w:noVBand="1"/>
      </w:tblPr>
      <w:tblGrid>
        <w:gridCol w:w="4390"/>
        <w:gridCol w:w="4398"/>
      </w:tblGrid>
      <w:tr w:rsidR="00E36A8D" w:rsidRPr="00E36A8D" w:rsidTr="00741295">
        <w:trPr>
          <w:trHeight w:val="283"/>
          <w:tblHeader/>
        </w:trPr>
        <w:tc>
          <w:tcPr>
            <w:tcW w:w="4390" w:type="dxa"/>
            <w:tcBorders>
              <w:top w:val="single" w:sz="4" w:space="0" w:color="auto"/>
              <w:left w:val="single" w:sz="4" w:space="0" w:color="auto"/>
              <w:bottom w:val="single" w:sz="4" w:space="0" w:color="auto"/>
              <w:right w:val="single" w:sz="4" w:space="0" w:color="auto"/>
            </w:tcBorders>
            <w:vAlign w:val="center"/>
            <w:hideMark/>
          </w:tcPr>
          <w:p w:rsidR="00E36A8D" w:rsidRPr="00E36A8D" w:rsidRDefault="00E36A8D" w:rsidP="00277EF4">
            <w:pPr>
              <w:ind w:left="32"/>
              <w:rPr>
                <w:b/>
                <w:bCs/>
                <w:iCs/>
                <w:sz w:val="24"/>
                <w:szCs w:val="24"/>
              </w:rPr>
            </w:pPr>
            <w:r w:rsidRPr="00E36A8D">
              <w:rPr>
                <w:b/>
                <w:bCs/>
                <w:iCs/>
                <w:sz w:val="24"/>
                <w:szCs w:val="24"/>
              </w:rPr>
              <w:t>Systemorganklasse</w:t>
            </w:r>
          </w:p>
        </w:tc>
        <w:tc>
          <w:tcPr>
            <w:tcW w:w="4398" w:type="dxa"/>
            <w:tcBorders>
              <w:top w:val="single" w:sz="4" w:space="0" w:color="auto"/>
              <w:left w:val="single" w:sz="4" w:space="0" w:color="auto"/>
              <w:bottom w:val="single" w:sz="4" w:space="0" w:color="auto"/>
              <w:right w:val="single" w:sz="4" w:space="0" w:color="auto"/>
            </w:tcBorders>
            <w:vAlign w:val="center"/>
            <w:hideMark/>
          </w:tcPr>
          <w:p w:rsidR="00E36A8D" w:rsidRPr="00E36A8D" w:rsidRDefault="00E36A8D" w:rsidP="00277EF4">
            <w:pPr>
              <w:ind w:left="36"/>
              <w:rPr>
                <w:b/>
                <w:bCs/>
                <w:iCs/>
                <w:sz w:val="24"/>
                <w:szCs w:val="24"/>
                <w:lang w:val="da-DK"/>
              </w:rPr>
            </w:pPr>
            <w:r w:rsidRPr="00E36A8D">
              <w:rPr>
                <w:b/>
                <w:bCs/>
                <w:iCs/>
                <w:sz w:val="24"/>
                <w:szCs w:val="24"/>
                <w:lang w:val="da-DK"/>
              </w:rPr>
              <w:t xml:space="preserve">Hyppigheden ikke kendt: </w:t>
            </w:r>
          </w:p>
          <w:p w:rsidR="00E36A8D" w:rsidRPr="00E36A8D" w:rsidRDefault="00E36A8D" w:rsidP="00277EF4">
            <w:pPr>
              <w:ind w:left="36"/>
              <w:rPr>
                <w:b/>
                <w:bCs/>
                <w:iCs/>
                <w:sz w:val="24"/>
                <w:szCs w:val="24"/>
                <w:lang w:val="da-DK"/>
              </w:rPr>
            </w:pPr>
            <w:r w:rsidRPr="00E36A8D">
              <w:rPr>
                <w:b/>
                <w:bCs/>
                <w:iCs/>
                <w:sz w:val="24"/>
                <w:szCs w:val="24"/>
                <w:lang w:val="da-DK"/>
              </w:rPr>
              <w:t>(kan ikke estimeres ud fra forhåndenværende data)</w:t>
            </w:r>
          </w:p>
        </w:tc>
      </w:tr>
      <w:tr w:rsidR="00E36A8D" w:rsidRPr="00E36A8D" w:rsidTr="00741295">
        <w:trPr>
          <w:trHeight w:val="283"/>
        </w:trPr>
        <w:tc>
          <w:tcPr>
            <w:tcW w:w="4390" w:type="dxa"/>
            <w:tcBorders>
              <w:top w:val="single" w:sz="4" w:space="0" w:color="auto"/>
              <w:left w:val="single" w:sz="4" w:space="0" w:color="auto"/>
              <w:bottom w:val="single" w:sz="4" w:space="0" w:color="auto"/>
              <w:right w:val="single" w:sz="4" w:space="0" w:color="auto"/>
            </w:tcBorders>
            <w:vAlign w:val="center"/>
            <w:hideMark/>
          </w:tcPr>
          <w:p w:rsidR="00E36A8D" w:rsidRPr="00E36A8D" w:rsidRDefault="00E36A8D" w:rsidP="00277EF4">
            <w:pPr>
              <w:ind w:left="32"/>
              <w:rPr>
                <w:iCs/>
                <w:sz w:val="24"/>
                <w:szCs w:val="24"/>
              </w:rPr>
            </w:pPr>
            <w:r w:rsidRPr="00E36A8D">
              <w:rPr>
                <w:iCs/>
                <w:sz w:val="24"/>
                <w:szCs w:val="24"/>
              </w:rPr>
              <w:t>Hud og subkutane væv</w:t>
            </w:r>
          </w:p>
        </w:tc>
        <w:tc>
          <w:tcPr>
            <w:tcW w:w="4398" w:type="dxa"/>
            <w:tcBorders>
              <w:top w:val="single" w:sz="4" w:space="0" w:color="auto"/>
              <w:left w:val="single" w:sz="4" w:space="0" w:color="auto"/>
              <w:bottom w:val="single" w:sz="4" w:space="0" w:color="auto"/>
              <w:right w:val="single" w:sz="4" w:space="0" w:color="auto"/>
            </w:tcBorders>
            <w:vAlign w:val="center"/>
          </w:tcPr>
          <w:p w:rsidR="00E36A8D" w:rsidRPr="00E36A8D" w:rsidRDefault="00E36A8D" w:rsidP="00277EF4">
            <w:pPr>
              <w:ind w:left="36"/>
              <w:rPr>
                <w:iCs/>
                <w:sz w:val="24"/>
                <w:szCs w:val="24"/>
              </w:rPr>
            </w:pPr>
            <w:r w:rsidRPr="00E36A8D">
              <w:rPr>
                <w:iCs/>
                <w:sz w:val="24"/>
                <w:szCs w:val="24"/>
              </w:rPr>
              <w:t>Pruritus</w:t>
            </w:r>
          </w:p>
          <w:p w:rsidR="00E36A8D" w:rsidRPr="00E36A8D" w:rsidRDefault="00E36A8D" w:rsidP="00277EF4">
            <w:pPr>
              <w:ind w:left="36"/>
              <w:rPr>
                <w:iCs/>
                <w:sz w:val="24"/>
                <w:szCs w:val="24"/>
              </w:rPr>
            </w:pPr>
          </w:p>
        </w:tc>
      </w:tr>
      <w:tr w:rsidR="00E36A8D" w:rsidRPr="00E36A8D" w:rsidTr="00741295">
        <w:trPr>
          <w:trHeight w:val="283"/>
        </w:trPr>
        <w:tc>
          <w:tcPr>
            <w:tcW w:w="4390" w:type="dxa"/>
            <w:tcBorders>
              <w:top w:val="single" w:sz="4" w:space="0" w:color="auto"/>
              <w:left w:val="single" w:sz="4" w:space="0" w:color="auto"/>
              <w:bottom w:val="single" w:sz="4" w:space="0" w:color="auto"/>
              <w:right w:val="single" w:sz="4" w:space="0" w:color="auto"/>
            </w:tcBorders>
            <w:vAlign w:val="center"/>
            <w:hideMark/>
          </w:tcPr>
          <w:p w:rsidR="00E36A8D" w:rsidRPr="00E36A8D" w:rsidRDefault="00E36A8D" w:rsidP="00277EF4">
            <w:pPr>
              <w:ind w:left="32"/>
              <w:rPr>
                <w:iCs/>
                <w:sz w:val="24"/>
                <w:szCs w:val="24"/>
                <w:lang w:val="da-DK"/>
              </w:rPr>
            </w:pPr>
            <w:r w:rsidRPr="00E36A8D">
              <w:rPr>
                <w:iCs/>
                <w:sz w:val="24"/>
                <w:szCs w:val="24"/>
                <w:lang w:val="da-DK"/>
              </w:rPr>
              <w:t>Det reproduktive system og mammae</w:t>
            </w:r>
          </w:p>
        </w:tc>
        <w:tc>
          <w:tcPr>
            <w:tcW w:w="4398" w:type="dxa"/>
            <w:tcBorders>
              <w:top w:val="single" w:sz="4" w:space="0" w:color="auto"/>
              <w:left w:val="single" w:sz="4" w:space="0" w:color="auto"/>
              <w:bottom w:val="single" w:sz="4" w:space="0" w:color="auto"/>
              <w:right w:val="single" w:sz="4" w:space="0" w:color="auto"/>
            </w:tcBorders>
            <w:vAlign w:val="center"/>
            <w:hideMark/>
          </w:tcPr>
          <w:p w:rsidR="00E36A8D" w:rsidRPr="00E36A8D" w:rsidRDefault="00E36A8D" w:rsidP="00277EF4">
            <w:pPr>
              <w:ind w:left="36"/>
              <w:rPr>
                <w:iCs/>
                <w:sz w:val="24"/>
                <w:szCs w:val="24"/>
                <w:vertAlign w:val="superscript"/>
              </w:rPr>
            </w:pPr>
            <w:r w:rsidRPr="00E36A8D">
              <w:rPr>
                <w:iCs/>
                <w:sz w:val="24"/>
                <w:szCs w:val="24"/>
              </w:rPr>
              <w:t>Vaginalblødning</w:t>
            </w:r>
          </w:p>
          <w:p w:rsidR="00E36A8D" w:rsidRPr="00E36A8D" w:rsidRDefault="00E36A8D" w:rsidP="00277EF4">
            <w:pPr>
              <w:ind w:left="36"/>
              <w:rPr>
                <w:iCs/>
                <w:sz w:val="24"/>
                <w:szCs w:val="24"/>
              </w:rPr>
            </w:pPr>
            <w:r w:rsidRPr="00E36A8D">
              <w:rPr>
                <w:iCs/>
                <w:sz w:val="24"/>
                <w:szCs w:val="24"/>
              </w:rPr>
              <w:t>Vaginalt udflåd</w:t>
            </w:r>
          </w:p>
        </w:tc>
      </w:tr>
      <w:tr w:rsidR="00E36A8D" w:rsidRPr="00E36A8D" w:rsidTr="00741295">
        <w:trPr>
          <w:trHeight w:val="283"/>
        </w:trPr>
        <w:tc>
          <w:tcPr>
            <w:tcW w:w="4390" w:type="dxa"/>
            <w:tcBorders>
              <w:top w:val="single" w:sz="4" w:space="0" w:color="auto"/>
              <w:left w:val="single" w:sz="4" w:space="0" w:color="auto"/>
              <w:bottom w:val="single" w:sz="4" w:space="0" w:color="auto"/>
              <w:right w:val="single" w:sz="4" w:space="0" w:color="auto"/>
            </w:tcBorders>
            <w:vAlign w:val="center"/>
            <w:hideMark/>
          </w:tcPr>
          <w:p w:rsidR="00E36A8D" w:rsidRPr="00E36A8D" w:rsidRDefault="00E36A8D" w:rsidP="00277EF4">
            <w:pPr>
              <w:ind w:left="32"/>
              <w:rPr>
                <w:iCs/>
                <w:sz w:val="24"/>
                <w:szCs w:val="24"/>
                <w:lang w:val="da-DK"/>
              </w:rPr>
            </w:pPr>
            <w:r w:rsidRPr="00E36A8D">
              <w:rPr>
                <w:iCs/>
                <w:sz w:val="24"/>
                <w:szCs w:val="24"/>
                <w:lang w:val="da-DK"/>
              </w:rPr>
              <w:t>Almene symptomer og reaktioner på administrationsstedet</w:t>
            </w:r>
          </w:p>
        </w:tc>
        <w:tc>
          <w:tcPr>
            <w:tcW w:w="4398" w:type="dxa"/>
            <w:tcBorders>
              <w:top w:val="single" w:sz="4" w:space="0" w:color="auto"/>
              <w:left w:val="single" w:sz="4" w:space="0" w:color="auto"/>
              <w:bottom w:val="single" w:sz="4" w:space="0" w:color="auto"/>
              <w:right w:val="single" w:sz="4" w:space="0" w:color="auto"/>
            </w:tcBorders>
            <w:hideMark/>
          </w:tcPr>
          <w:p w:rsidR="00E36A8D" w:rsidRPr="00E36A8D" w:rsidRDefault="00E36A8D" w:rsidP="00277EF4">
            <w:pPr>
              <w:ind w:left="36"/>
              <w:rPr>
                <w:iCs/>
                <w:sz w:val="24"/>
                <w:szCs w:val="24"/>
              </w:rPr>
            </w:pPr>
            <w:r w:rsidRPr="00E36A8D">
              <w:rPr>
                <w:iCs/>
                <w:sz w:val="24"/>
                <w:szCs w:val="24"/>
              </w:rPr>
              <w:t>Brændende fornemmelse</w:t>
            </w:r>
          </w:p>
        </w:tc>
      </w:tr>
    </w:tbl>
    <w:p w:rsidR="00E36A8D" w:rsidRPr="00E36A8D" w:rsidRDefault="00E36A8D" w:rsidP="00E36A8D">
      <w:pPr>
        <w:tabs>
          <w:tab w:val="left" w:pos="851"/>
        </w:tabs>
        <w:ind w:left="851"/>
        <w:rPr>
          <w:iCs/>
          <w:sz w:val="24"/>
          <w:szCs w:val="24"/>
        </w:rPr>
      </w:pPr>
    </w:p>
    <w:p w:rsidR="00E36A8D" w:rsidRPr="00E36A8D" w:rsidRDefault="00E36A8D" w:rsidP="00E36A8D">
      <w:pPr>
        <w:tabs>
          <w:tab w:val="left" w:pos="851"/>
        </w:tabs>
        <w:ind w:left="851"/>
        <w:rPr>
          <w:sz w:val="24"/>
          <w:szCs w:val="24"/>
          <w:u w:val="single"/>
        </w:rPr>
      </w:pPr>
      <w:r w:rsidRPr="00E36A8D">
        <w:rPr>
          <w:sz w:val="24"/>
          <w:szCs w:val="24"/>
          <w:u w:val="single"/>
        </w:rPr>
        <w:t>Indberetning af formodede bivirkninger</w:t>
      </w:r>
    </w:p>
    <w:p w:rsidR="00E36A8D" w:rsidRPr="00E36A8D" w:rsidRDefault="00E36A8D" w:rsidP="00E36A8D">
      <w:pPr>
        <w:tabs>
          <w:tab w:val="left" w:pos="851"/>
        </w:tabs>
        <w:ind w:left="851"/>
        <w:rPr>
          <w:sz w:val="24"/>
          <w:szCs w:val="24"/>
        </w:rPr>
      </w:pPr>
      <w:r w:rsidRPr="00E36A8D">
        <w:rPr>
          <w:sz w:val="24"/>
          <w:szCs w:val="24"/>
        </w:rPr>
        <w:t>Når lægemidlet er godkendt, er indberetning af formodede bivirkninger vigtig. Det muliggør løbende overvågning af benefit/risk-forholdet for lægemidlet. Sundhedspersoner anmodes om at indberette alle formodede bivirkninger via:</w:t>
      </w:r>
    </w:p>
    <w:p w:rsidR="00E36A8D" w:rsidRPr="00E36A8D" w:rsidRDefault="00E36A8D" w:rsidP="00E36A8D">
      <w:pPr>
        <w:tabs>
          <w:tab w:val="left" w:pos="851"/>
        </w:tabs>
        <w:ind w:left="851"/>
        <w:rPr>
          <w:sz w:val="24"/>
          <w:szCs w:val="24"/>
        </w:rPr>
      </w:pPr>
    </w:p>
    <w:p w:rsidR="00E36A8D" w:rsidRPr="00E36A8D" w:rsidRDefault="00E36A8D" w:rsidP="00E36A8D">
      <w:pPr>
        <w:tabs>
          <w:tab w:val="left" w:pos="851"/>
        </w:tabs>
        <w:ind w:left="851"/>
        <w:rPr>
          <w:sz w:val="24"/>
          <w:szCs w:val="24"/>
        </w:rPr>
      </w:pPr>
      <w:r w:rsidRPr="00E36A8D">
        <w:rPr>
          <w:sz w:val="24"/>
          <w:szCs w:val="24"/>
        </w:rPr>
        <w:t>Lægemiddelstyrelsen</w:t>
      </w:r>
    </w:p>
    <w:p w:rsidR="00E36A8D" w:rsidRPr="00E36A8D" w:rsidRDefault="00E36A8D" w:rsidP="00E36A8D">
      <w:pPr>
        <w:tabs>
          <w:tab w:val="left" w:pos="851"/>
        </w:tabs>
        <w:ind w:left="851"/>
        <w:rPr>
          <w:sz w:val="24"/>
          <w:szCs w:val="24"/>
        </w:rPr>
      </w:pPr>
      <w:r w:rsidRPr="00E36A8D">
        <w:rPr>
          <w:sz w:val="24"/>
          <w:szCs w:val="24"/>
        </w:rPr>
        <w:t>Axel Heides Gade 1</w:t>
      </w:r>
    </w:p>
    <w:p w:rsidR="00E36A8D" w:rsidRPr="00E36A8D" w:rsidRDefault="00E36A8D" w:rsidP="00E36A8D">
      <w:pPr>
        <w:tabs>
          <w:tab w:val="left" w:pos="851"/>
        </w:tabs>
        <w:ind w:left="851"/>
        <w:rPr>
          <w:sz w:val="24"/>
          <w:szCs w:val="24"/>
        </w:rPr>
      </w:pPr>
      <w:r w:rsidRPr="00E36A8D">
        <w:rPr>
          <w:sz w:val="24"/>
          <w:szCs w:val="24"/>
        </w:rPr>
        <w:t>DK-2300 København S</w:t>
      </w:r>
    </w:p>
    <w:p w:rsidR="00E36A8D" w:rsidRPr="00E36A8D" w:rsidRDefault="00E36A8D" w:rsidP="00E36A8D">
      <w:pPr>
        <w:tabs>
          <w:tab w:val="left" w:pos="851"/>
        </w:tabs>
        <w:ind w:left="851"/>
        <w:rPr>
          <w:sz w:val="24"/>
          <w:szCs w:val="24"/>
        </w:rPr>
      </w:pPr>
      <w:r w:rsidRPr="00E36A8D">
        <w:rPr>
          <w:sz w:val="24"/>
          <w:szCs w:val="24"/>
        </w:rPr>
        <w:t>Websted: www.meldenbivirkning.dk</w:t>
      </w:r>
    </w:p>
    <w:p w:rsidR="009260DE" w:rsidRPr="00A10294" w:rsidRDefault="009260DE" w:rsidP="00A10294">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277EF4" w:rsidRPr="00277EF4" w:rsidRDefault="00277EF4" w:rsidP="00277EF4">
      <w:pPr>
        <w:tabs>
          <w:tab w:val="left" w:pos="851"/>
        </w:tabs>
        <w:ind w:left="851"/>
        <w:rPr>
          <w:iCs/>
          <w:sz w:val="24"/>
          <w:szCs w:val="24"/>
        </w:rPr>
      </w:pPr>
      <w:r w:rsidRPr="00277EF4">
        <w:rPr>
          <w:iCs/>
          <w:sz w:val="24"/>
          <w:szCs w:val="24"/>
        </w:rPr>
        <w:t>Symptomerne på overdosering kan omfatte døsighed, svimmelhed, eufori eller dysmenorré. Behandlingen består af observation og, om nødvendigt, symptomatisk og understøttende behandling.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3353E5"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3353E5" w:rsidRDefault="003353E5">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DE1CAB" w:rsidRPr="00DE1CAB" w:rsidRDefault="00DE1CAB" w:rsidP="00DE1CAB">
      <w:pPr>
        <w:tabs>
          <w:tab w:val="left" w:pos="851"/>
        </w:tabs>
        <w:ind w:left="851"/>
        <w:rPr>
          <w:sz w:val="24"/>
          <w:szCs w:val="24"/>
        </w:rPr>
      </w:pPr>
      <w:r w:rsidRPr="00DE1CAB">
        <w:rPr>
          <w:sz w:val="24"/>
          <w:szCs w:val="24"/>
        </w:rPr>
        <w:t xml:space="preserve">Farmakoterapeutisk klassifikation: </w:t>
      </w:r>
      <w:r>
        <w:rPr>
          <w:sz w:val="24"/>
          <w:szCs w:val="24"/>
        </w:rPr>
        <w:t>K</w:t>
      </w:r>
      <w:r w:rsidRPr="00DE1CAB">
        <w:rPr>
          <w:sz w:val="24"/>
          <w:szCs w:val="24"/>
        </w:rPr>
        <w:t>ønshormoner og modulatorer af genitalsystemet, gestagener, ATC-kode: G03DA04.</w:t>
      </w:r>
    </w:p>
    <w:p w:rsidR="00DE1CAB" w:rsidRPr="00DE1CAB" w:rsidRDefault="00DE1CAB" w:rsidP="00DE1CAB">
      <w:pPr>
        <w:tabs>
          <w:tab w:val="left" w:pos="851"/>
        </w:tabs>
        <w:ind w:left="851"/>
        <w:rPr>
          <w:sz w:val="24"/>
          <w:szCs w:val="24"/>
        </w:rPr>
      </w:pPr>
    </w:p>
    <w:p w:rsidR="00DE1CAB" w:rsidRPr="00DE1CAB" w:rsidRDefault="00DE1CAB" w:rsidP="00DE1CAB">
      <w:pPr>
        <w:tabs>
          <w:tab w:val="left" w:pos="851"/>
        </w:tabs>
        <w:ind w:left="851"/>
        <w:rPr>
          <w:sz w:val="24"/>
          <w:szCs w:val="24"/>
          <w:u w:val="single"/>
        </w:rPr>
      </w:pPr>
      <w:r w:rsidRPr="00DE1CAB">
        <w:rPr>
          <w:sz w:val="24"/>
          <w:szCs w:val="24"/>
          <w:u w:val="single"/>
        </w:rPr>
        <w:t>Virkningsmekanisme</w:t>
      </w:r>
    </w:p>
    <w:p w:rsidR="00DE1CAB" w:rsidRDefault="00DE1CAB" w:rsidP="00DE1CAB">
      <w:pPr>
        <w:tabs>
          <w:tab w:val="left" w:pos="851"/>
        </w:tabs>
        <w:ind w:left="851"/>
        <w:rPr>
          <w:b/>
          <w:sz w:val="24"/>
          <w:szCs w:val="24"/>
        </w:rPr>
      </w:pPr>
    </w:p>
    <w:p w:rsidR="00DE1CAB" w:rsidRPr="00DE1CAB" w:rsidRDefault="00DE1CAB" w:rsidP="00DE1CAB">
      <w:pPr>
        <w:tabs>
          <w:tab w:val="left" w:pos="851"/>
        </w:tabs>
        <w:ind w:left="851"/>
        <w:rPr>
          <w:sz w:val="24"/>
          <w:szCs w:val="24"/>
        </w:rPr>
      </w:pPr>
      <w:r w:rsidRPr="00DE1CAB">
        <w:rPr>
          <w:b/>
          <w:sz w:val="24"/>
          <w:szCs w:val="24"/>
        </w:rPr>
        <w:t xml:space="preserve">Supplementering i lutealfasen </w:t>
      </w:r>
      <w:r w:rsidRPr="00DE1CAB">
        <w:rPr>
          <w:bCs/>
          <w:sz w:val="24"/>
          <w:szCs w:val="24"/>
        </w:rPr>
        <w:t>under ART:</w:t>
      </w:r>
      <w:r w:rsidRPr="00DE1CAB">
        <w:rPr>
          <w:sz w:val="24"/>
          <w:szCs w:val="24"/>
        </w:rPr>
        <w:t xml:space="preserve"> </w:t>
      </w:r>
    </w:p>
    <w:p w:rsidR="00DE1CAB" w:rsidRPr="00DE1CAB" w:rsidRDefault="00DE1CAB" w:rsidP="00DE1CAB">
      <w:pPr>
        <w:tabs>
          <w:tab w:val="left" w:pos="851"/>
        </w:tabs>
        <w:ind w:left="851"/>
        <w:rPr>
          <w:sz w:val="24"/>
          <w:szCs w:val="24"/>
        </w:rPr>
      </w:pPr>
      <w:r w:rsidRPr="00DE1CAB">
        <w:rPr>
          <w:sz w:val="24"/>
          <w:szCs w:val="24"/>
        </w:rPr>
        <w:t>Progesteron er et naturligt gestagen, det primære og vigtigste hormon for corpus luteum og placenta. Det virker på endometriet ved at omdanne proliferationsfasen til sekretionsfasen. Progestan har alle egenskaberne ved endogent progesteron med induktion af et fuldt sekretorisk endometrie og i særdeleshed gestagen, antiøstrogen, let antiandrogen og antialdosteron virkning.</w:t>
      </w:r>
    </w:p>
    <w:p w:rsidR="00DE1CAB" w:rsidRPr="00DE1CAB" w:rsidRDefault="00DE1CAB" w:rsidP="00DE1CAB">
      <w:pPr>
        <w:tabs>
          <w:tab w:val="left" w:pos="851"/>
        </w:tabs>
        <w:ind w:left="851"/>
        <w:rPr>
          <w:sz w:val="24"/>
          <w:szCs w:val="24"/>
        </w:rPr>
      </w:pPr>
    </w:p>
    <w:p w:rsidR="00DE1CAB" w:rsidRPr="00DE1CAB" w:rsidRDefault="00DE1CAB" w:rsidP="00DE1CAB">
      <w:pPr>
        <w:tabs>
          <w:tab w:val="left" w:pos="851"/>
        </w:tabs>
        <w:ind w:left="851"/>
        <w:rPr>
          <w:bCs/>
          <w:sz w:val="24"/>
          <w:szCs w:val="24"/>
          <w:u w:val="single"/>
        </w:rPr>
      </w:pPr>
      <w:r w:rsidRPr="00DE1CAB">
        <w:rPr>
          <w:bCs/>
          <w:sz w:val="24"/>
          <w:szCs w:val="24"/>
          <w:u w:val="single"/>
        </w:rPr>
        <w:t xml:space="preserve">Forebyggelse af præterm fødsel </w:t>
      </w:r>
    </w:p>
    <w:p w:rsidR="00DE1CAB" w:rsidRPr="00DE1CAB" w:rsidRDefault="00DE1CAB" w:rsidP="00DE1CAB">
      <w:pPr>
        <w:tabs>
          <w:tab w:val="left" w:pos="851"/>
        </w:tabs>
        <w:ind w:left="851"/>
        <w:rPr>
          <w:sz w:val="24"/>
          <w:szCs w:val="24"/>
        </w:rPr>
      </w:pPr>
      <w:r w:rsidRPr="00DE1CAB">
        <w:rPr>
          <w:sz w:val="24"/>
          <w:szCs w:val="24"/>
        </w:rPr>
        <w:t xml:space="preserve">Progesteron er vigtigt under graviditeten for at holde livmoderen i ro ved at begrænse produktionen af stimulerende prostaglandiner, der fremkalder livmoderkontraktioner. Progesteron begrænser også frigivelsen af matrixmetalloproteinaser, der kan forårsage cervikal udslettelse og blødgøring ved at hæmme ekspressionen af kontraktionsassocierede proteingener (ionkanaler, oxytocin- og prostaglandinreceptorer og </w:t>
      </w:r>
      <w:r w:rsidRPr="00DE1CAB">
        <w:rPr>
          <w:i/>
          <w:sz w:val="24"/>
          <w:szCs w:val="24"/>
        </w:rPr>
        <w:t>gap junctions</w:t>
      </w:r>
      <w:r w:rsidRPr="00DE1CAB">
        <w:rPr>
          <w:sz w:val="24"/>
          <w:szCs w:val="24"/>
        </w:rPr>
        <w:t xml:space="preserve">) i myometriet.  </w:t>
      </w:r>
    </w:p>
    <w:p w:rsidR="00DE1CAB" w:rsidRPr="00DE1CAB" w:rsidRDefault="00DE1CAB" w:rsidP="00DE1CAB">
      <w:pPr>
        <w:tabs>
          <w:tab w:val="left" w:pos="851"/>
        </w:tabs>
        <w:ind w:left="851"/>
        <w:rPr>
          <w:sz w:val="24"/>
          <w:szCs w:val="24"/>
        </w:rPr>
      </w:pPr>
      <w:r w:rsidRPr="00DE1CAB">
        <w:rPr>
          <w:sz w:val="24"/>
          <w:szCs w:val="24"/>
        </w:rPr>
        <w:t xml:space="preserve">Selvom progesteronniveauet i den maternelle cirkulation ikke ændrer sig signifikant i ugerne op til indtræden af veer, er indtræden af veer ved eller før terminen forbundet med et funktionelt ophør af progesteronaktivitet på livmoderniveau.  </w:t>
      </w:r>
    </w:p>
    <w:p w:rsidR="00DE1CAB" w:rsidRPr="00DE1CAB" w:rsidRDefault="00DE1CAB" w:rsidP="00DE1CAB">
      <w:pPr>
        <w:tabs>
          <w:tab w:val="left" w:pos="851"/>
        </w:tabs>
        <w:ind w:left="851"/>
        <w:rPr>
          <w:sz w:val="24"/>
          <w:szCs w:val="24"/>
        </w:rPr>
      </w:pPr>
    </w:p>
    <w:p w:rsidR="00DE1CAB" w:rsidRPr="00DE1CAB" w:rsidRDefault="00DE1CAB" w:rsidP="00DE1CAB">
      <w:pPr>
        <w:tabs>
          <w:tab w:val="left" w:pos="851"/>
        </w:tabs>
        <w:ind w:left="851"/>
        <w:rPr>
          <w:bCs/>
          <w:sz w:val="24"/>
          <w:szCs w:val="24"/>
          <w:u w:val="single"/>
        </w:rPr>
      </w:pPr>
      <w:r w:rsidRPr="00DE1CAB">
        <w:rPr>
          <w:bCs/>
          <w:sz w:val="24"/>
          <w:szCs w:val="24"/>
          <w:u w:val="single"/>
        </w:rPr>
        <w:t>Klinisk virkning/sikkerhedsstudier</w:t>
      </w:r>
    </w:p>
    <w:p w:rsidR="00DE1CAB" w:rsidRPr="00DE1CAB" w:rsidRDefault="00DE1CAB" w:rsidP="00DE1CAB">
      <w:pPr>
        <w:tabs>
          <w:tab w:val="left" w:pos="851"/>
        </w:tabs>
        <w:ind w:left="851"/>
        <w:rPr>
          <w:sz w:val="24"/>
          <w:szCs w:val="24"/>
        </w:rPr>
      </w:pPr>
      <w:r w:rsidRPr="00DE1CAB">
        <w:rPr>
          <w:sz w:val="24"/>
          <w:szCs w:val="24"/>
        </w:rPr>
        <w:t>I en meta-analyse af individuelle deltagerdata fra randomiserede, kontrollerede studier (EPPPIC 2021) blev det konkluderet, at vaginalt progesteron reducerede fødsel før 34. gestationsuge ved højrisiko-enkeltfoldsgraviditet. Studier af enkeltfoldsgraviditeter omfattede primært kvinder med tidligere spontan præterm fødsel eller kort cervix. Præterm fødsel før uge 34 var reduceret hos sådanne kvinder, der fik vaginal progesteron (ni studier, 3769 kvinder; relativ risiko [RR] 0,78; 95</w:t>
      </w:r>
      <w:r w:rsidR="004D3D71">
        <w:rPr>
          <w:sz w:val="24"/>
          <w:szCs w:val="24"/>
        </w:rPr>
        <w:t xml:space="preserve"> %</w:t>
      </w:r>
      <w:r w:rsidRPr="00DE1CAB">
        <w:rPr>
          <w:sz w:val="24"/>
          <w:szCs w:val="24"/>
        </w:rPr>
        <w:t xml:space="preserve"> CI 0,68–0,90). Grundet den højere underliggende risiko var den absolutte risikoreduktion større hos kvinder med kort cervix, og derfor kan behandlingen være mest nyttig for sådanne kvinder. I forbindelse med fælles beslutningstagen hos kvinder med højrisiko-enkeltfoldsgraviditet bør den individuelle risiko, de potentielle fordele, skader og praktikaliteter ved interventionen drøftes. Evidensen understøttede ikke gestagenbehandling ved uselekterede flerfoldsgraviditeter.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375283" w:rsidRPr="00375283" w:rsidRDefault="00375283" w:rsidP="00375283">
      <w:pPr>
        <w:tabs>
          <w:tab w:val="left" w:pos="851"/>
        </w:tabs>
        <w:ind w:left="851"/>
        <w:rPr>
          <w:sz w:val="24"/>
          <w:szCs w:val="24"/>
        </w:rPr>
      </w:pPr>
      <w:r w:rsidRPr="00375283">
        <w:rPr>
          <w:sz w:val="24"/>
          <w:szCs w:val="24"/>
        </w:rPr>
        <w:t xml:space="preserve">Den farmakokinetiske profil ved forskellig dosering (f.eks. 300 mg vs. 600 mg) af progesteron administreret i vagina er ikke-lineær. Systemiske progesteronkoncentrationer er de samme med forskellige doseringer </w:t>
      </w:r>
      <w:bookmarkStart w:id="2" w:name="_Hlk17963831"/>
      <w:r w:rsidRPr="00375283">
        <w:rPr>
          <w:sz w:val="24"/>
          <w:szCs w:val="24"/>
        </w:rPr>
        <w:t xml:space="preserve">på grund af lokale </w:t>
      </w:r>
      <w:bookmarkStart w:id="3" w:name="_Hlk64040780"/>
      <w:r w:rsidRPr="00375283">
        <w:rPr>
          <w:sz w:val="24"/>
          <w:szCs w:val="24"/>
        </w:rPr>
        <w:t>farmakokinetiske</w:t>
      </w:r>
      <w:bookmarkEnd w:id="3"/>
      <w:r w:rsidRPr="00375283">
        <w:rPr>
          <w:sz w:val="24"/>
          <w:szCs w:val="24"/>
        </w:rPr>
        <w:t xml:space="preserve"> processer</w:t>
      </w:r>
      <w:bookmarkEnd w:id="2"/>
      <w:r w:rsidRPr="00375283">
        <w:rPr>
          <w:sz w:val="24"/>
          <w:szCs w:val="24"/>
        </w:rPr>
        <w:t>, såsom direkte passiv diffusion eller transport via den lokale blodcirkulation eller lymfecirkulation, der medfører, at progesteron transporteres fra vaginaen til livmoderen.</w:t>
      </w:r>
    </w:p>
    <w:p w:rsidR="00375283" w:rsidRPr="00375283" w:rsidRDefault="00375283" w:rsidP="00375283">
      <w:pPr>
        <w:tabs>
          <w:tab w:val="left" w:pos="851"/>
        </w:tabs>
        <w:ind w:left="851"/>
        <w:rPr>
          <w:sz w:val="24"/>
          <w:szCs w:val="24"/>
          <w:u w:val="single"/>
        </w:rPr>
      </w:pPr>
    </w:p>
    <w:p w:rsidR="00375283" w:rsidRPr="00375283" w:rsidRDefault="00375283" w:rsidP="00375283">
      <w:pPr>
        <w:tabs>
          <w:tab w:val="left" w:pos="851"/>
        </w:tabs>
        <w:ind w:left="851"/>
        <w:rPr>
          <w:sz w:val="24"/>
          <w:szCs w:val="24"/>
          <w:u w:val="single"/>
        </w:rPr>
      </w:pPr>
      <w:r w:rsidRPr="00375283">
        <w:rPr>
          <w:sz w:val="24"/>
          <w:szCs w:val="24"/>
          <w:u w:val="single"/>
        </w:rPr>
        <w:t>Absorption</w:t>
      </w:r>
    </w:p>
    <w:p w:rsidR="00375283" w:rsidRPr="00375283" w:rsidRDefault="00375283" w:rsidP="00375283">
      <w:pPr>
        <w:tabs>
          <w:tab w:val="left" w:pos="851"/>
        </w:tabs>
        <w:ind w:left="851"/>
        <w:rPr>
          <w:sz w:val="24"/>
          <w:szCs w:val="24"/>
        </w:rPr>
      </w:pPr>
      <w:r w:rsidRPr="00375283">
        <w:rPr>
          <w:sz w:val="24"/>
          <w:szCs w:val="24"/>
        </w:rPr>
        <w:t xml:space="preserve">Mikroniseret progesteron administreret i vaginaen absorberes hurtigt, og der opnås stabile koncentrationer i plasma (4-12 ng/ml afhængigt af den daglige dosering) og et </w:t>
      </w:r>
      <w:r w:rsidRPr="00375283">
        <w:rPr>
          <w:sz w:val="24"/>
          <w:szCs w:val="24"/>
        </w:rPr>
        <w:lastRenderedPageBreak/>
        <w:t>gennemsnitligt C</w:t>
      </w:r>
      <w:r w:rsidRPr="00375283">
        <w:rPr>
          <w:sz w:val="24"/>
          <w:szCs w:val="24"/>
          <w:vertAlign w:val="subscript"/>
        </w:rPr>
        <w:t xml:space="preserve">max </w:t>
      </w:r>
      <w:r w:rsidRPr="00375283">
        <w:rPr>
          <w:sz w:val="24"/>
          <w:szCs w:val="24"/>
        </w:rPr>
        <w:t xml:space="preserve">efter cirka 8 timer med mindre individuel fluktuation end med oralt indtaget medicin. </w:t>
      </w:r>
    </w:p>
    <w:p w:rsidR="00375283" w:rsidRPr="00375283" w:rsidRDefault="00375283" w:rsidP="00375283">
      <w:pPr>
        <w:tabs>
          <w:tab w:val="left" w:pos="851"/>
        </w:tabs>
        <w:ind w:left="851"/>
        <w:rPr>
          <w:sz w:val="24"/>
          <w:szCs w:val="24"/>
        </w:rPr>
      </w:pPr>
    </w:p>
    <w:p w:rsidR="00375283" w:rsidRPr="00375283" w:rsidRDefault="00375283" w:rsidP="00375283">
      <w:pPr>
        <w:tabs>
          <w:tab w:val="left" w:pos="851"/>
        </w:tabs>
        <w:ind w:left="851"/>
        <w:rPr>
          <w:sz w:val="24"/>
          <w:szCs w:val="24"/>
        </w:rPr>
      </w:pPr>
      <w:r w:rsidRPr="00375283">
        <w:rPr>
          <w:sz w:val="24"/>
          <w:szCs w:val="24"/>
        </w:rPr>
        <w:t xml:space="preserve">Ved en daglig dosis progesteron på 600 mg administreret i vaginaen var plasmakoncentrationen af progesteron stabil gennem hele administrationsperioden, så den højeste gennemsnitskoncentration var 11,63 ng/ml.  </w:t>
      </w:r>
    </w:p>
    <w:p w:rsidR="00375283" w:rsidRPr="00375283" w:rsidRDefault="00375283" w:rsidP="00375283">
      <w:pPr>
        <w:tabs>
          <w:tab w:val="left" w:pos="851"/>
        </w:tabs>
        <w:ind w:left="851"/>
        <w:rPr>
          <w:sz w:val="24"/>
          <w:szCs w:val="24"/>
          <w:u w:val="single"/>
        </w:rPr>
      </w:pPr>
    </w:p>
    <w:p w:rsidR="00375283" w:rsidRPr="00375283" w:rsidRDefault="00375283" w:rsidP="00375283">
      <w:pPr>
        <w:tabs>
          <w:tab w:val="left" w:pos="851"/>
        </w:tabs>
        <w:ind w:left="851"/>
        <w:rPr>
          <w:sz w:val="24"/>
          <w:szCs w:val="24"/>
          <w:u w:val="single"/>
        </w:rPr>
      </w:pPr>
      <w:r w:rsidRPr="00375283">
        <w:rPr>
          <w:sz w:val="24"/>
          <w:szCs w:val="24"/>
          <w:u w:val="single"/>
        </w:rPr>
        <w:t>Fordeling</w:t>
      </w:r>
    </w:p>
    <w:p w:rsidR="00375283" w:rsidRPr="00375283" w:rsidRDefault="00375283" w:rsidP="00375283">
      <w:pPr>
        <w:tabs>
          <w:tab w:val="left" w:pos="851"/>
        </w:tabs>
        <w:ind w:left="851"/>
        <w:rPr>
          <w:sz w:val="24"/>
          <w:szCs w:val="24"/>
        </w:rPr>
      </w:pPr>
      <w:r w:rsidRPr="00375283">
        <w:rPr>
          <w:sz w:val="24"/>
          <w:szCs w:val="24"/>
        </w:rPr>
        <w:t xml:space="preserve">Mikroniseret progesteron administreret i vaginaen gennemgår den første metaboliske cyklus i livmoderen, hvor progesteron fordeles primært eller selektivt i livmoderen, hvilket medfører højere hormonniveauer i livmoderen og nærliggende væv. </w:t>
      </w:r>
    </w:p>
    <w:p w:rsidR="00375283" w:rsidRPr="00375283" w:rsidRDefault="00375283" w:rsidP="00375283">
      <w:pPr>
        <w:tabs>
          <w:tab w:val="left" w:pos="851"/>
        </w:tabs>
        <w:ind w:left="851"/>
        <w:rPr>
          <w:sz w:val="24"/>
          <w:szCs w:val="24"/>
        </w:rPr>
      </w:pPr>
    </w:p>
    <w:p w:rsidR="00375283" w:rsidRPr="00375283" w:rsidRDefault="00375283" w:rsidP="00375283">
      <w:pPr>
        <w:tabs>
          <w:tab w:val="left" w:pos="851"/>
        </w:tabs>
        <w:ind w:left="851"/>
        <w:rPr>
          <w:sz w:val="24"/>
          <w:szCs w:val="24"/>
        </w:rPr>
      </w:pPr>
      <w:r w:rsidRPr="00375283">
        <w:rPr>
          <w:sz w:val="24"/>
          <w:szCs w:val="24"/>
        </w:rPr>
        <w:t>Progesteron transporteres via lymfe- og blodkarrene, og cirka 96</w:t>
      </w:r>
      <w:r w:rsidR="004D3D71">
        <w:rPr>
          <w:sz w:val="24"/>
          <w:szCs w:val="24"/>
        </w:rPr>
        <w:t xml:space="preserve"> %</w:t>
      </w:r>
      <w:r w:rsidRPr="00375283">
        <w:rPr>
          <w:sz w:val="24"/>
          <w:szCs w:val="24"/>
        </w:rPr>
        <w:t>-99</w:t>
      </w:r>
      <w:r w:rsidR="004D3D71">
        <w:rPr>
          <w:sz w:val="24"/>
          <w:szCs w:val="24"/>
        </w:rPr>
        <w:t xml:space="preserve"> %</w:t>
      </w:r>
      <w:r w:rsidRPr="00375283">
        <w:rPr>
          <w:sz w:val="24"/>
          <w:szCs w:val="24"/>
        </w:rPr>
        <w:t xml:space="preserve"> bindes til serumproteiner, primært til serumalbumin (50</w:t>
      </w:r>
      <w:r w:rsidR="004D3D71">
        <w:rPr>
          <w:sz w:val="24"/>
          <w:szCs w:val="24"/>
        </w:rPr>
        <w:t xml:space="preserve"> %</w:t>
      </w:r>
      <w:r w:rsidRPr="00375283">
        <w:rPr>
          <w:sz w:val="24"/>
          <w:szCs w:val="24"/>
        </w:rPr>
        <w:t>-54</w:t>
      </w:r>
      <w:r w:rsidR="004D3D71">
        <w:rPr>
          <w:sz w:val="24"/>
          <w:szCs w:val="24"/>
        </w:rPr>
        <w:t xml:space="preserve"> %</w:t>
      </w:r>
      <w:r w:rsidRPr="00375283">
        <w:rPr>
          <w:sz w:val="24"/>
          <w:szCs w:val="24"/>
        </w:rPr>
        <w:t>) og transkortin (43</w:t>
      </w:r>
      <w:r w:rsidR="004D3D71">
        <w:rPr>
          <w:sz w:val="24"/>
          <w:szCs w:val="24"/>
        </w:rPr>
        <w:t xml:space="preserve"> %</w:t>
      </w:r>
      <w:r w:rsidRPr="00375283">
        <w:rPr>
          <w:sz w:val="24"/>
          <w:szCs w:val="24"/>
        </w:rPr>
        <w:t>-48</w:t>
      </w:r>
      <w:r w:rsidR="004D3D71">
        <w:rPr>
          <w:sz w:val="24"/>
          <w:szCs w:val="24"/>
        </w:rPr>
        <w:t xml:space="preserve"> %</w:t>
      </w:r>
      <w:r w:rsidRPr="00375283">
        <w:rPr>
          <w:sz w:val="24"/>
          <w:szCs w:val="24"/>
        </w:rPr>
        <w:t xml:space="preserve">). </w:t>
      </w:r>
    </w:p>
    <w:p w:rsidR="00375283" w:rsidRPr="00375283" w:rsidRDefault="00375283" w:rsidP="00375283">
      <w:pPr>
        <w:tabs>
          <w:tab w:val="left" w:pos="851"/>
        </w:tabs>
        <w:ind w:left="851"/>
        <w:rPr>
          <w:sz w:val="24"/>
          <w:szCs w:val="24"/>
          <w:u w:val="single"/>
        </w:rPr>
      </w:pPr>
    </w:p>
    <w:p w:rsidR="00375283" w:rsidRPr="00375283" w:rsidRDefault="00375283" w:rsidP="00375283">
      <w:pPr>
        <w:tabs>
          <w:tab w:val="left" w:pos="851"/>
        </w:tabs>
        <w:ind w:left="851"/>
        <w:rPr>
          <w:sz w:val="24"/>
          <w:szCs w:val="24"/>
          <w:u w:val="single"/>
        </w:rPr>
      </w:pPr>
      <w:r w:rsidRPr="00375283">
        <w:rPr>
          <w:sz w:val="24"/>
          <w:szCs w:val="24"/>
          <w:u w:val="single"/>
        </w:rPr>
        <w:t>Elimination</w:t>
      </w:r>
    </w:p>
    <w:p w:rsidR="00375283" w:rsidRPr="00375283" w:rsidRDefault="00375283" w:rsidP="00375283">
      <w:pPr>
        <w:tabs>
          <w:tab w:val="left" w:pos="851"/>
        </w:tabs>
        <w:ind w:left="851"/>
        <w:rPr>
          <w:sz w:val="24"/>
          <w:szCs w:val="24"/>
        </w:rPr>
      </w:pPr>
      <w:r w:rsidRPr="00375283">
        <w:rPr>
          <w:sz w:val="24"/>
          <w:szCs w:val="24"/>
        </w:rPr>
        <w:t>Ved at administrere progesteron i vaginaen kan førstepassage-metabolismen i leveren undgås, hvilket muliggør opretholdelse af højere koncentrationer i plasma i længere tid.</w:t>
      </w:r>
    </w:p>
    <w:p w:rsidR="00375283" w:rsidRPr="00375283" w:rsidRDefault="00375283" w:rsidP="00375283">
      <w:pPr>
        <w:tabs>
          <w:tab w:val="left" w:pos="851"/>
        </w:tabs>
        <w:ind w:left="851"/>
        <w:rPr>
          <w:sz w:val="24"/>
          <w:szCs w:val="24"/>
        </w:rPr>
      </w:pPr>
    </w:p>
    <w:p w:rsidR="00375283" w:rsidRPr="00375283" w:rsidRDefault="00375283" w:rsidP="00375283">
      <w:pPr>
        <w:tabs>
          <w:tab w:val="left" w:pos="851"/>
        </w:tabs>
        <w:ind w:left="851"/>
        <w:rPr>
          <w:sz w:val="24"/>
          <w:szCs w:val="24"/>
        </w:rPr>
      </w:pPr>
      <w:r w:rsidRPr="00375283">
        <w:rPr>
          <w:sz w:val="24"/>
          <w:szCs w:val="24"/>
        </w:rPr>
        <w:t>95</w:t>
      </w:r>
      <w:r w:rsidR="004D3D71">
        <w:rPr>
          <w:sz w:val="24"/>
          <w:szCs w:val="24"/>
        </w:rPr>
        <w:t xml:space="preserve"> %</w:t>
      </w:r>
      <w:r w:rsidRPr="00375283">
        <w:rPr>
          <w:sz w:val="24"/>
          <w:szCs w:val="24"/>
        </w:rPr>
        <w:t xml:space="preserve"> af progesteron elimineres via urinen som glycuronkonjugerede metabolitter, primært som 3 α, 5 β–pregnanediol (pregnandiol). </w:t>
      </w:r>
    </w:p>
    <w:p w:rsidR="00375283" w:rsidRPr="00375283" w:rsidRDefault="00375283" w:rsidP="00375283">
      <w:pPr>
        <w:tabs>
          <w:tab w:val="left" w:pos="851"/>
        </w:tabs>
        <w:ind w:left="851"/>
        <w:rPr>
          <w:sz w:val="24"/>
          <w:szCs w:val="24"/>
          <w:u w:val="single"/>
        </w:rPr>
      </w:pPr>
    </w:p>
    <w:p w:rsidR="00375283" w:rsidRPr="00375283" w:rsidRDefault="00375283" w:rsidP="00375283">
      <w:pPr>
        <w:tabs>
          <w:tab w:val="left" w:pos="851"/>
        </w:tabs>
        <w:ind w:left="851"/>
        <w:rPr>
          <w:iCs/>
          <w:sz w:val="24"/>
          <w:szCs w:val="24"/>
          <w:u w:val="single"/>
        </w:rPr>
      </w:pPr>
      <w:r w:rsidRPr="00375283">
        <w:rPr>
          <w:iCs/>
          <w:sz w:val="24"/>
          <w:szCs w:val="24"/>
          <w:u w:val="single"/>
        </w:rPr>
        <w:t>Biotransformation</w:t>
      </w:r>
    </w:p>
    <w:p w:rsidR="00375283" w:rsidRPr="00375283" w:rsidRDefault="00375283" w:rsidP="00375283">
      <w:pPr>
        <w:tabs>
          <w:tab w:val="left" w:pos="851"/>
        </w:tabs>
        <w:ind w:left="851"/>
        <w:rPr>
          <w:sz w:val="24"/>
          <w:szCs w:val="24"/>
        </w:rPr>
      </w:pPr>
      <w:r w:rsidRPr="00375283">
        <w:rPr>
          <w:sz w:val="24"/>
          <w:szCs w:val="24"/>
        </w:rPr>
        <w:t>Progesteron metaboliseres via leveren.</w:t>
      </w:r>
    </w:p>
    <w:p w:rsidR="00375283" w:rsidRPr="00375283" w:rsidRDefault="00375283" w:rsidP="00375283">
      <w:pPr>
        <w:tabs>
          <w:tab w:val="left" w:pos="851"/>
        </w:tabs>
        <w:ind w:left="851"/>
        <w:rPr>
          <w:sz w:val="24"/>
          <w:szCs w:val="24"/>
        </w:rPr>
      </w:pPr>
    </w:p>
    <w:p w:rsidR="00375283" w:rsidRPr="00375283" w:rsidRDefault="00375283" w:rsidP="00375283">
      <w:pPr>
        <w:tabs>
          <w:tab w:val="left" w:pos="851"/>
        </w:tabs>
        <w:ind w:left="851"/>
        <w:rPr>
          <w:sz w:val="24"/>
          <w:szCs w:val="24"/>
        </w:rPr>
      </w:pPr>
      <w:r w:rsidRPr="00375283">
        <w:rPr>
          <w:sz w:val="24"/>
          <w:szCs w:val="24"/>
        </w:rPr>
        <w:t>Oralt progesteron udskilles via galdeblæren og nyrerne med en halveringstid på 5-95 minutter. Det kan påvises i urinen efter 24 timer, og en lille mængde (8-17</w:t>
      </w:r>
      <w:r w:rsidR="004D3D71">
        <w:rPr>
          <w:sz w:val="24"/>
          <w:szCs w:val="24"/>
        </w:rPr>
        <w:t xml:space="preserve"> %</w:t>
      </w:r>
      <w:r w:rsidRPr="00375283">
        <w:rPr>
          <w:sz w:val="24"/>
          <w:szCs w:val="24"/>
        </w:rPr>
        <w:t xml:space="preserve">) udskilles i fæces. </w:t>
      </w:r>
    </w:p>
    <w:p w:rsidR="00375283" w:rsidRPr="00375283" w:rsidRDefault="00375283" w:rsidP="00375283">
      <w:pPr>
        <w:tabs>
          <w:tab w:val="left" w:pos="851"/>
        </w:tabs>
        <w:ind w:left="851"/>
        <w:rPr>
          <w:sz w:val="24"/>
          <w:szCs w:val="24"/>
        </w:rPr>
      </w:pPr>
    </w:p>
    <w:p w:rsidR="00375283" w:rsidRPr="00375283" w:rsidRDefault="00375283" w:rsidP="00375283">
      <w:pPr>
        <w:tabs>
          <w:tab w:val="left" w:pos="851"/>
        </w:tabs>
        <w:ind w:left="851"/>
        <w:rPr>
          <w:sz w:val="24"/>
          <w:szCs w:val="24"/>
        </w:rPr>
      </w:pPr>
      <w:r w:rsidRPr="00375283">
        <w:rPr>
          <w:sz w:val="24"/>
          <w:szCs w:val="24"/>
        </w:rPr>
        <w:t>Efter vaginal administration er de observerbare niveauer af pregnanolon og 5α-dihydroprogesteron meget lave på grund af den manglende førstepassage-metabolisme.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rsidR="00375283" w:rsidRPr="00375283" w:rsidRDefault="00375283" w:rsidP="00375283">
      <w:pPr>
        <w:tabs>
          <w:tab w:val="left" w:pos="851"/>
        </w:tabs>
        <w:ind w:left="851"/>
        <w:rPr>
          <w:sz w:val="24"/>
          <w:szCs w:val="24"/>
        </w:rPr>
      </w:pPr>
      <w:r w:rsidRPr="00375283">
        <w:rPr>
          <w:sz w:val="24"/>
          <w:szCs w:val="24"/>
        </w:rPr>
        <w:t>Prækliniske data viste ingen speciel risiko for mennesker vurderet ud fra konventionelle studier af sikkerhedsfarmakologi og toksicitet.</w:t>
      </w:r>
    </w:p>
    <w:p w:rsidR="009260DE" w:rsidRDefault="009260DE" w:rsidP="009260DE">
      <w:pPr>
        <w:tabs>
          <w:tab w:val="left" w:pos="851"/>
        </w:tabs>
        <w:ind w:left="851"/>
        <w:rPr>
          <w:sz w:val="24"/>
          <w:szCs w:val="24"/>
        </w:rPr>
      </w:pPr>
    </w:p>
    <w:p w:rsidR="00375283" w:rsidRPr="00C84483" w:rsidRDefault="00375283"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93192F" w:rsidRPr="0093192F" w:rsidRDefault="0093192F" w:rsidP="0093192F">
      <w:pPr>
        <w:tabs>
          <w:tab w:val="left" w:pos="851"/>
        </w:tabs>
        <w:rPr>
          <w:sz w:val="24"/>
          <w:szCs w:val="24"/>
        </w:rPr>
      </w:pPr>
    </w:p>
    <w:p w:rsidR="0093192F" w:rsidRPr="0093192F" w:rsidRDefault="0093192F" w:rsidP="0093192F">
      <w:pPr>
        <w:tabs>
          <w:tab w:val="left" w:pos="851"/>
        </w:tabs>
        <w:ind w:left="851"/>
        <w:rPr>
          <w:sz w:val="24"/>
          <w:szCs w:val="24"/>
          <w:u w:val="single"/>
        </w:rPr>
      </w:pPr>
      <w:bookmarkStart w:id="4" w:name="_Hlk1119892"/>
      <w:r w:rsidRPr="0093192F">
        <w:rPr>
          <w:sz w:val="24"/>
          <w:szCs w:val="24"/>
          <w:u w:val="single"/>
        </w:rPr>
        <w:t>Kapselindhold</w:t>
      </w:r>
    </w:p>
    <w:p w:rsidR="0093192F" w:rsidRPr="0093192F" w:rsidRDefault="0093192F" w:rsidP="0093192F">
      <w:pPr>
        <w:tabs>
          <w:tab w:val="left" w:pos="851"/>
        </w:tabs>
        <w:ind w:left="851"/>
        <w:rPr>
          <w:sz w:val="24"/>
          <w:szCs w:val="24"/>
        </w:rPr>
      </w:pPr>
      <w:r w:rsidRPr="0093192F">
        <w:rPr>
          <w:sz w:val="24"/>
          <w:szCs w:val="24"/>
        </w:rPr>
        <w:t>Solsikkeolie, renset</w:t>
      </w:r>
    </w:p>
    <w:p w:rsidR="0093192F" w:rsidRPr="0093192F" w:rsidRDefault="0093192F" w:rsidP="0093192F">
      <w:pPr>
        <w:tabs>
          <w:tab w:val="left" w:pos="851"/>
        </w:tabs>
        <w:ind w:left="851"/>
        <w:rPr>
          <w:sz w:val="24"/>
          <w:szCs w:val="24"/>
        </w:rPr>
      </w:pPr>
      <w:r w:rsidRPr="0093192F">
        <w:rPr>
          <w:sz w:val="24"/>
          <w:szCs w:val="24"/>
        </w:rPr>
        <w:t xml:space="preserve">Sojalecithin </w:t>
      </w:r>
    </w:p>
    <w:p w:rsidR="0093192F" w:rsidRPr="0093192F" w:rsidRDefault="0093192F" w:rsidP="0093192F">
      <w:pPr>
        <w:tabs>
          <w:tab w:val="left" w:pos="851"/>
        </w:tabs>
        <w:ind w:left="851"/>
        <w:rPr>
          <w:sz w:val="24"/>
          <w:szCs w:val="24"/>
        </w:rPr>
      </w:pPr>
    </w:p>
    <w:p w:rsidR="0093192F" w:rsidRPr="0093192F" w:rsidRDefault="0093192F" w:rsidP="0093192F">
      <w:pPr>
        <w:tabs>
          <w:tab w:val="left" w:pos="851"/>
        </w:tabs>
        <w:ind w:left="851"/>
        <w:rPr>
          <w:sz w:val="24"/>
          <w:szCs w:val="24"/>
          <w:u w:val="single"/>
        </w:rPr>
      </w:pPr>
      <w:r w:rsidRPr="0093192F">
        <w:rPr>
          <w:sz w:val="24"/>
          <w:szCs w:val="24"/>
          <w:u w:val="single"/>
        </w:rPr>
        <w:t>Kapselskal</w:t>
      </w:r>
    </w:p>
    <w:p w:rsidR="0093192F" w:rsidRPr="0093192F" w:rsidRDefault="0093192F" w:rsidP="0093192F">
      <w:pPr>
        <w:tabs>
          <w:tab w:val="left" w:pos="851"/>
        </w:tabs>
        <w:ind w:left="851"/>
        <w:rPr>
          <w:sz w:val="24"/>
          <w:szCs w:val="24"/>
        </w:rPr>
      </w:pPr>
      <w:r w:rsidRPr="0093192F">
        <w:rPr>
          <w:sz w:val="24"/>
          <w:szCs w:val="24"/>
        </w:rPr>
        <w:t>Gelatine</w:t>
      </w:r>
    </w:p>
    <w:p w:rsidR="0093192F" w:rsidRPr="0093192F" w:rsidRDefault="0093192F" w:rsidP="0093192F">
      <w:pPr>
        <w:tabs>
          <w:tab w:val="left" w:pos="851"/>
        </w:tabs>
        <w:ind w:left="851"/>
        <w:rPr>
          <w:sz w:val="24"/>
          <w:szCs w:val="24"/>
        </w:rPr>
      </w:pPr>
      <w:r w:rsidRPr="0093192F">
        <w:rPr>
          <w:sz w:val="24"/>
          <w:szCs w:val="24"/>
        </w:rPr>
        <w:t>Glycerol</w:t>
      </w:r>
    </w:p>
    <w:p w:rsidR="0093192F" w:rsidRPr="0093192F" w:rsidRDefault="0093192F" w:rsidP="0093192F">
      <w:pPr>
        <w:tabs>
          <w:tab w:val="left" w:pos="851"/>
        </w:tabs>
        <w:ind w:left="851"/>
        <w:rPr>
          <w:sz w:val="24"/>
          <w:szCs w:val="24"/>
        </w:rPr>
      </w:pPr>
      <w:r w:rsidRPr="0093192F">
        <w:rPr>
          <w:sz w:val="24"/>
          <w:szCs w:val="24"/>
        </w:rPr>
        <w:t>Titandioxid (E171)</w:t>
      </w:r>
    </w:p>
    <w:p w:rsidR="0093192F" w:rsidRPr="0093192F" w:rsidRDefault="0093192F" w:rsidP="0093192F">
      <w:pPr>
        <w:tabs>
          <w:tab w:val="left" w:pos="851"/>
        </w:tabs>
        <w:ind w:left="851"/>
        <w:rPr>
          <w:sz w:val="24"/>
          <w:szCs w:val="24"/>
        </w:rPr>
      </w:pPr>
      <w:r w:rsidRPr="0093192F">
        <w:rPr>
          <w:sz w:val="24"/>
          <w:szCs w:val="24"/>
        </w:rPr>
        <w:t>Vand, renset</w:t>
      </w:r>
      <w:bookmarkEnd w:id="4"/>
    </w:p>
    <w:p w:rsidR="0093192F" w:rsidRPr="00C84483" w:rsidRDefault="0093192F"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6.2</w:t>
      </w:r>
      <w:r w:rsidRPr="00C84483">
        <w:rPr>
          <w:b/>
          <w:sz w:val="24"/>
          <w:szCs w:val="24"/>
        </w:rPr>
        <w:tab/>
        <w:t>Uforligeligheder</w:t>
      </w:r>
    </w:p>
    <w:p w:rsidR="0093192F" w:rsidRPr="0093192F" w:rsidRDefault="0093192F" w:rsidP="0093192F">
      <w:pPr>
        <w:tabs>
          <w:tab w:val="left" w:pos="851"/>
        </w:tabs>
        <w:ind w:left="851"/>
        <w:rPr>
          <w:sz w:val="24"/>
          <w:szCs w:val="24"/>
        </w:rPr>
      </w:pPr>
      <w:r w:rsidRPr="0093192F">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9260DE" w:rsidRPr="00C84483" w:rsidRDefault="009260DE" w:rsidP="009260DE">
      <w:pPr>
        <w:tabs>
          <w:tab w:val="left" w:pos="851"/>
        </w:tabs>
        <w:ind w:left="851" w:hanging="851"/>
        <w:rPr>
          <w:sz w:val="24"/>
          <w:szCs w:val="24"/>
        </w:rPr>
      </w:pPr>
      <w:r w:rsidRPr="00C84483">
        <w:rPr>
          <w:sz w:val="24"/>
          <w:szCs w:val="24"/>
        </w:rPr>
        <w:tab/>
      </w:r>
      <w:r w:rsidR="0093192F">
        <w:rPr>
          <w:sz w:val="24"/>
          <w:szCs w:val="24"/>
        </w:rPr>
        <w:t>3 år.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93192F" w:rsidRPr="0093192F" w:rsidRDefault="0093192F" w:rsidP="0093192F">
      <w:pPr>
        <w:tabs>
          <w:tab w:val="left" w:pos="851"/>
        </w:tabs>
        <w:ind w:left="851"/>
        <w:rPr>
          <w:sz w:val="24"/>
          <w:szCs w:val="24"/>
        </w:rPr>
      </w:pPr>
      <w:r w:rsidRPr="0093192F">
        <w:rPr>
          <w:sz w:val="24"/>
          <w:szCs w:val="24"/>
        </w:rPr>
        <w:t>Dette lægemiddel kræver ingen særlige forholdsregler vedrørende opbevaringen.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93192F" w:rsidRDefault="001A6193" w:rsidP="0093192F">
      <w:pPr>
        <w:tabs>
          <w:tab w:val="left" w:pos="851"/>
        </w:tabs>
        <w:ind w:left="851"/>
        <w:rPr>
          <w:sz w:val="24"/>
          <w:szCs w:val="24"/>
        </w:rPr>
      </w:pPr>
      <w:r>
        <w:rPr>
          <w:sz w:val="24"/>
          <w:szCs w:val="24"/>
        </w:rPr>
        <w:t>B</w:t>
      </w:r>
      <w:r w:rsidR="0093192F" w:rsidRPr="0093192F">
        <w:rPr>
          <w:sz w:val="24"/>
          <w:szCs w:val="24"/>
        </w:rPr>
        <w:t>listerkort af PVC/aluminium, der er indlagt i æsker.</w:t>
      </w:r>
    </w:p>
    <w:p w:rsidR="001A6193" w:rsidRPr="0093192F" w:rsidRDefault="001A6193" w:rsidP="0093192F">
      <w:pPr>
        <w:tabs>
          <w:tab w:val="left" w:pos="851"/>
        </w:tabs>
        <w:ind w:left="851"/>
        <w:rPr>
          <w:sz w:val="24"/>
          <w:szCs w:val="24"/>
        </w:rPr>
      </w:pPr>
    </w:p>
    <w:p w:rsidR="0093192F" w:rsidRPr="0093192F" w:rsidRDefault="0093192F" w:rsidP="0093192F">
      <w:pPr>
        <w:tabs>
          <w:tab w:val="left" w:pos="851"/>
        </w:tabs>
        <w:ind w:left="851"/>
        <w:rPr>
          <w:sz w:val="24"/>
          <w:szCs w:val="24"/>
        </w:rPr>
      </w:pPr>
      <w:r w:rsidRPr="0093192F">
        <w:rPr>
          <w:sz w:val="24"/>
          <w:szCs w:val="24"/>
        </w:rPr>
        <w:t xml:space="preserve">Pakningsstørrelser: 15, 21, 45 </w:t>
      </w:r>
      <w:r w:rsidR="001A6193">
        <w:rPr>
          <w:sz w:val="24"/>
          <w:szCs w:val="24"/>
        </w:rPr>
        <w:t>og</w:t>
      </w:r>
      <w:r w:rsidRPr="0093192F">
        <w:rPr>
          <w:sz w:val="24"/>
          <w:szCs w:val="24"/>
        </w:rPr>
        <w:t xml:space="preserve"> 90 kapsler.</w:t>
      </w:r>
    </w:p>
    <w:p w:rsidR="0093192F" w:rsidRPr="0093192F" w:rsidRDefault="0093192F" w:rsidP="0093192F">
      <w:pPr>
        <w:tabs>
          <w:tab w:val="left" w:pos="851"/>
        </w:tabs>
        <w:ind w:left="851"/>
        <w:rPr>
          <w:sz w:val="24"/>
          <w:szCs w:val="24"/>
        </w:rPr>
      </w:pPr>
      <w:r w:rsidRPr="0093192F">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rsidR="001A6193" w:rsidRPr="001A6193" w:rsidRDefault="001A6193" w:rsidP="001A6193">
      <w:pPr>
        <w:tabs>
          <w:tab w:val="left" w:pos="851"/>
        </w:tabs>
        <w:ind w:left="851"/>
        <w:rPr>
          <w:sz w:val="24"/>
          <w:szCs w:val="24"/>
        </w:rPr>
      </w:pPr>
      <w:r w:rsidRPr="001A6193">
        <w:rPr>
          <w:sz w:val="24"/>
          <w:szCs w:val="24"/>
        </w:rPr>
        <w:t>Ikke anvendt lægemiddel samt affald heraf skal bortskaffes i henhold til lokale retningslinjer.</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585C67" w:rsidRPr="007C31DE" w:rsidRDefault="00585C67" w:rsidP="00585C67">
      <w:pPr>
        <w:ind w:left="851"/>
        <w:rPr>
          <w:sz w:val="24"/>
          <w:szCs w:val="24"/>
        </w:rPr>
      </w:pPr>
      <w:bookmarkStart w:id="5" w:name="_Hlk128038383"/>
      <w:r w:rsidRPr="007C31DE">
        <w:rPr>
          <w:sz w:val="24"/>
          <w:szCs w:val="24"/>
        </w:rPr>
        <w:t>Besins Healthcare SA</w:t>
      </w:r>
    </w:p>
    <w:p w:rsidR="00585C67" w:rsidRPr="007C31DE" w:rsidRDefault="00585C67" w:rsidP="00585C67">
      <w:pPr>
        <w:ind w:left="851"/>
        <w:rPr>
          <w:rFonts w:ascii="Calibri" w:hAnsi="Calibri" w:cs="Calibri"/>
          <w:sz w:val="24"/>
          <w:szCs w:val="24"/>
        </w:rPr>
      </w:pPr>
      <w:r w:rsidRPr="007C31DE">
        <w:rPr>
          <w:sz w:val="24"/>
          <w:szCs w:val="24"/>
        </w:rPr>
        <w:t>Rue Washington 80</w:t>
      </w:r>
    </w:p>
    <w:p w:rsidR="00585C67" w:rsidRPr="00585C67" w:rsidRDefault="00585C67" w:rsidP="00585C67">
      <w:pPr>
        <w:ind w:left="851"/>
        <w:rPr>
          <w:sz w:val="24"/>
          <w:szCs w:val="24"/>
        </w:rPr>
      </w:pPr>
      <w:r w:rsidRPr="00585C67">
        <w:rPr>
          <w:sz w:val="24"/>
          <w:szCs w:val="24"/>
        </w:rPr>
        <w:t>1050 Ixelles</w:t>
      </w:r>
    </w:p>
    <w:p w:rsidR="00585C67" w:rsidRPr="00585C67" w:rsidRDefault="00585C67" w:rsidP="00585C67">
      <w:pPr>
        <w:ind w:left="851"/>
        <w:rPr>
          <w:sz w:val="24"/>
          <w:szCs w:val="24"/>
        </w:rPr>
      </w:pPr>
      <w:r w:rsidRPr="00585C67">
        <w:rPr>
          <w:sz w:val="24"/>
          <w:szCs w:val="24"/>
        </w:rPr>
        <w:t>Belgien</w:t>
      </w:r>
    </w:p>
    <w:bookmarkEnd w:id="5"/>
    <w:p w:rsidR="009260DE" w:rsidRPr="00585C67" w:rsidRDefault="009260DE" w:rsidP="00585C67">
      <w:pPr>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rsidR="009260DE" w:rsidRPr="00C84483" w:rsidRDefault="00786CEB" w:rsidP="009260DE">
      <w:pPr>
        <w:tabs>
          <w:tab w:val="left" w:pos="851"/>
        </w:tabs>
        <w:ind w:left="851"/>
        <w:rPr>
          <w:sz w:val="24"/>
          <w:szCs w:val="24"/>
        </w:rPr>
      </w:pPr>
      <w:r>
        <w:rPr>
          <w:sz w:val="24"/>
          <w:szCs w:val="24"/>
        </w:rPr>
        <w:t>67624</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7C31DE" w:rsidP="009260DE">
      <w:pPr>
        <w:tabs>
          <w:tab w:val="left" w:pos="851"/>
        </w:tabs>
        <w:ind w:left="851"/>
        <w:rPr>
          <w:sz w:val="24"/>
          <w:szCs w:val="24"/>
        </w:rPr>
      </w:pPr>
      <w:r>
        <w:rPr>
          <w:sz w:val="24"/>
          <w:szCs w:val="24"/>
        </w:rPr>
        <w:t>23. februar 2023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1313A7" w:rsidP="009260DE">
      <w:pPr>
        <w:tabs>
          <w:tab w:val="left" w:pos="851"/>
        </w:tabs>
        <w:ind w:left="851"/>
        <w:rPr>
          <w:sz w:val="24"/>
          <w:szCs w:val="24"/>
        </w:rPr>
      </w:pPr>
      <w:r>
        <w:rPr>
          <w:sz w:val="24"/>
          <w:szCs w:val="24"/>
        </w:rPr>
        <w:t>3. maj 2023</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33CC" w:rsidRDefault="00B133CC">
      <w:r>
        <w:separator/>
      </w:r>
    </w:p>
  </w:endnote>
  <w:endnote w:type="continuationSeparator" w:id="0">
    <w:p w:rsidR="00B133CC" w:rsidRDefault="00B13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307234">
      <w:rPr>
        <w:i/>
        <w:noProof/>
        <w:sz w:val="18"/>
        <w:szCs w:val="18"/>
      </w:rPr>
      <w:t>Progestan, bløde vaginalkapsler 200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33CC" w:rsidRDefault="00B133CC">
      <w:r>
        <w:separator/>
      </w:r>
    </w:p>
  </w:footnote>
  <w:footnote w:type="continuationSeparator" w:id="0">
    <w:p w:rsidR="00B133CC" w:rsidRDefault="00B13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06048C6"/>
    <w:multiLevelType w:val="hybridMultilevel"/>
    <w:tmpl w:val="27E006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1986A45"/>
    <w:multiLevelType w:val="hybridMultilevel"/>
    <w:tmpl w:val="7F6E2EDC"/>
    <w:lvl w:ilvl="0" w:tplc="08090001">
      <w:start w:val="1"/>
      <w:numFmt w:val="bullet"/>
      <w:lvlText w:val=""/>
      <w:lvlJc w:val="left"/>
      <w:pPr>
        <w:ind w:left="720" w:hanging="360"/>
      </w:pPr>
      <w:rPr>
        <w:rFonts w:ascii="Symbol" w:hAnsi="Symbol" w:hint="default"/>
      </w:rPr>
    </w:lvl>
    <w:lvl w:ilvl="1" w:tplc="02A26D5A">
      <w:numFmt w:val="bullet"/>
      <w:lvlText w:val="•"/>
      <w:lvlJc w:val="left"/>
      <w:pPr>
        <w:ind w:left="1800" w:hanging="720"/>
      </w:pPr>
      <w:rPr>
        <w:rFonts w:ascii="Times New Roman" w:eastAsiaTheme="minorHAnsi"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8A02D2F"/>
    <w:multiLevelType w:val="hybridMultilevel"/>
    <w:tmpl w:val="7A0E0658"/>
    <w:lvl w:ilvl="0" w:tplc="9A04F902">
      <w:start w:val="4"/>
      <w:numFmt w:val="bullet"/>
      <w:lvlText w:val="-"/>
      <w:lvlJc w:val="left"/>
      <w:pPr>
        <w:ind w:left="720" w:hanging="360"/>
      </w:pPr>
      <w:rPr>
        <w:rFonts w:ascii="Times New Roman" w:eastAsia="Arial"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DB7634B"/>
    <w:multiLevelType w:val="hybridMultilevel"/>
    <w:tmpl w:val="B1CA05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3CC"/>
    <w:rsid w:val="000259B9"/>
    <w:rsid w:val="00041491"/>
    <w:rsid w:val="00050D16"/>
    <w:rsid w:val="00051E7F"/>
    <w:rsid w:val="00060CBA"/>
    <w:rsid w:val="000730CA"/>
    <w:rsid w:val="00074F2A"/>
    <w:rsid w:val="000A1CA8"/>
    <w:rsid w:val="000A466B"/>
    <w:rsid w:val="000B058C"/>
    <w:rsid w:val="000D68B0"/>
    <w:rsid w:val="000E4EE6"/>
    <w:rsid w:val="001313A7"/>
    <w:rsid w:val="00137901"/>
    <w:rsid w:val="001454E2"/>
    <w:rsid w:val="001A6193"/>
    <w:rsid w:val="001D48B1"/>
    <w:rsid w:val="00206CE8"/>
    <w:rsid w:val="0021526C"/>
    <w:rsid w:val="00277EF4"/>
    <w:rsid w:val="00283A2B"/>
    <w:rsid w:val="002B271C"/>
    <w:rsid w:val="002B30AD"/>
    <w:rsid w:val="002C1EC0"/>
    <w:rsid w:val="002C2C01"/>
    <w:rsid w:val="00307234"/>
    <w:rsid w:val="003353E5"/>
    <w:rsid w:val="00375283"/>
    <w:rsid w:val="003902F5"/>
    <w:rsid w:val="003A29AE"/>
    <w:rsid w:val="003A32D7"/>
    <w:rsid w:val="003B4074"/>
    <w:rsid w:val="003C769A"/>
    <w:rsid w:val="003D3A90"/>
    <w:rsid w:val="003F1838"/>
    <w:rsid w:val="0045746C"/>
    <w:rsid w:val="0049104B"/>
    <w:rsid w:val="004D3D71"/>
    <w:rsid w:val="004E3B12"/>
    <w:rsid w:val="00532310"/>
    <w:rsid w:val="00565F0F"/>
    <w:rsid w:val="00585C67"/>
    <w:rsid w:val="00594A86"/>
    <w:rsid w:val="00596D86"/>
    <w:rsid w:val="00637F5A"/>
    <w:rsid w:val="00641C65"/>
    <w:rsid w:val="006560B1"/>
    <w:rsid w:val="006756DD"/>
    <w:rsid w:val="0071241E"/>
    <w:rsid w:val="00737275"/>
    <w:rsid w:val="00740EEC"/>
    <w:rsid w:val="00741295"/>
    <w:rsid w:val="0078011A"/>
    <w:rsid w:val="00782AF4"/>
    <w:rsid w:val="00786CEB"/>
    <w:rsid w:val="00790EE7"/>
    <w:rsid w:val="007B6649"/>
    <w:rsid w:val="007C31DE"/>
    <w:rsid w:val="0082576E"/>
    <w:rsid w:val="00907F75"/>
    <w:rsid w:val="009260DE"/>
    <w:rsid w:val="0093192F"/>
    <w:rsid w:val="0093258A"/>
    <w:rsid w:val="009C7BA3"/>
    <w:rsid w:val="009D1F5A"/>
    <w:rsid w:val="009D3BF4"/>
    <w:rsid w:val="00A10294"/>
    <w:rsid w:val="00B003BF"/>
    <w:rsid w:val="00B133CC"/>
    <w:rsid w:val="00B373D7"/>
    <w:rsid w:val="00B55271"/>
    <w:rsid w:val="00BD7931"/>
    <w:rsid w:val="00BF6243"/>
    <w:rsid w:val="00C04FA2"/>
    <w:rsid w:val="00C36276"/>
    <w:rsid w:val="00C42586"/>
    <w:rsid w:val="00C45F6B"/>
    <w:rsid w:val="00C60CCD"/>
    <w:rsid w:val="00C84483"/>
    <w:rsid w:val="00C95551"/>
    <w:rsid w:val="00CB20D7"/>
    <w:rsid w:val="00D020B0"/>
    <w:rsid w:val="00D11748"/>
    <w:rsid w:val="00D237F6"/>
    <w:rsid w:val="00D34D98"/>
    <w:rsid w:val="00D366CF"/>
    <w:rsid w:val="00D93992"/>
    <w:rsid w:val="00DC0FF3"/>
    <w:rsid w:val="00DE1CAB"/>
    <w:rsid w:val="00E108AA"/>
    <w:rsid w:val="00E36A8D"/>
    <w:rsid w:val="00E3749A"/>
    <w:rsid w:val="00E7437F"/>
    <w:rsid w:val="00E865B8"/>
    <w:rsid w:val="00EC0B9B"/>
    <w:rsid w:val="00ED5E9F"/>
    <w:rsid w:val="00F604B3"/>
    <w:rsid w:val="00F66D4F"/>
    <w:rsid w:val="00F83FAD"/>
    <w:rsid w:val="00FB6D01"/>
    <w:rsid w:val="00FE47C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848A86-489D-4C8E-9B82-A57251673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rsid w:val="00E36A8D"/>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2893485">
      <w:bodyDiv w:val="1"/>
      <w:marLeft w:val="0"/>
      <w:marRight w:val="0"/>
      <w:marTop w:val="0"/>
      <w:marBottom w:val="0"/>
      <w:divBdr>
        <w:top w:val="none" w:sz="0" w:space="0" w:color="auto"/>
        <w:left w:val="none" w:sz="0" w:space="0" w:color="auto"/>
        <w:bottom w:val="none" w:sz="0" w:space="0" w:color="auto"/>
        <w:right w:val="none" w:sz="0" w:space="0" w:color="auto"/>
      </w:divBdr>
    </w:div>
    <w:div w:id="243881204">
      <w:bodyDiv w:val="1"/>
      <w:marLeft w:val="0"/>
      <w:marRight w:val="0"/>
      <w:marTop w:val="0"/>
      <w:marBottom w:val="0"/>
      <w:divBdr>
        <w:top w:val="none" w:sz="0" w:space="0" w:color="auto"/>
        <w:left w:val="none" w:sz="0" w:space="0" w:color="auto"/>
        <w:bottom w:val="none" w:sz="0" w:space="0" w:color="auto"/>
        <w:right w:val="none" w:sz="0" w:space="0" w:color="auto"/>
      </w:divBdr>
    </w:div>
    <w:div w:id="322514055">
      <w:bodyDiv w:val="1"/>
      <w:marLeft w:val="0"/>
      <w:marRight w:val="0"/>
      <w:marTop w:val="0"/>
      <w:marBottom w:val="0"/>
      <w:divBdr>
        <w:top w:val="none" w:sz="0" w:space="0" w:color="auto"/>
        <w:left w:val="none" w:sz="0" w:space="0" w:color="auto"/>
        <w:bottom w:val="none" w:sz="0" w:space="0" w:color="auto"/>
        <w:right w:val="none" w:sz="0" w:space="0" w:color="auto"/>
      </w:divBdr>
    </w:div>
    <w:div w:id="410322172">
      <w:bodyDiv w:val="1"/>
      <w:marLeft w:val="0"/>
      <w:marRight w:val="0"/>
      <w:marTop w:val="0"/>
      <w:marBottom w:val="0"/>
      <w:divBdr>
        <w:top w:val="none" w:sz="0" w:space="0" w:color="auto"/>
        <w:left w:val="none" w:sz="0" w:space="0" w:color="auto"/>
        <w:bottom w:val="none" w:sz="0" w:space="0" w:color="auto"/>
        <w:right w:val="none" w:sz="0" w:space="0" w:color="auto"/>
      </w:divBdr>
    </w:div>
    <w:div w:id="502471884">
      <w:bodyDiv w:val="1"/>
      <w:marLeft w:val="0"/>
      <w:marRight w:val="0"/>
      <w:marTop w:val="0"/>
      <w:marBottom w:val="0"/>
      <w:divBdr>
        <w:top w:val="none" w:sz="0" w:space="0" w:color="auto"/>
        <w:left w:val="none" w:sz="0" w:space="0" w:color="auto"/>
        <w:bottom w:val="none" w:sz="0" w:space="0" w:color="auto"/>
        <w:right w:val="none" w:sz="0" w:space="0" w:color="auto"/>
      </w:divBdr>
    </w:div>
    <w:div w:id="567230634">
      <w:bodyDiv w:val="1"/>
      <w:marLeft w:val="0"/>
      <w:marRight w:val="0"/>
      <w:marTop w:val="0"/>
      <w:marBottom w:val="0"/>
      <w:divBdr>
        <w:top w:val="none" w:sz="0" w:space="0" w:color="auto"/>
        <w:left w:val="none" w:sz="0" w:space="0" w:color="auto"/>
        <w:bottom w:val="none" w:sz="0" w:space="0" w:color="auto"/>
        <w:right w:val="none" w:sz="0" w:space="0" w:color="auto"/>
      </w:divBdr>
    </w:div>
    <w:div w:id="592325028">
      <w:bodyDiv w:val="1"/>
      <w:marLeft w:val="0"/>
      <w:marRight w:val="0"/>
      <w:marTop w:val="0"/>
      <w:marBottom w:val="0"/>
      <w:divBdr>
        <w:top w:val="none" w:sz="0" w:space="0" w:color="auto"/>
        <w:left w:val="none" w:sz="0" w:space="0" w:color="auto"/>
        <w:bottom w:val="none" w:sz="0" w:space="0" w:color="auto"/>
        <w:right w:val="none" w:sz="0" w:space="0" w:color="auto"/>
      </w:divBdr>
    </w:div>
    <w:div w:id="661586182">
      <w:bodyDiv w:val="1"/>
      <w:marLeft w:val="0"/>
      <w:marRight w:val="0"/>
      <w:marTop w:val="0"/>
      <w:marBottom w:val="0"/>
      <w:divBdr>
        <w:top w:val="none" w:sz="0" w:space="0" w:color="auto"/>
        <w:left w:val="none" w:sz="0" w:space="0" w:color="auto"/>
        <w:bottom w:val="none" w:sz="0" w:space="0" w:color="auto"/>
        <w:right w:val="none" w:sz="0" w:space="0" w:color="auto"/>
      </w:divBdr>
    </w:div>
    <w:div w:id="673068685">
      <w:bodyDiv w:val="1"/>
      <w:marLeft w:val="0"/>
      <w:marRight w:val="0"/>
      <w:marTop w:val="0"/>
      <w:marBottom w:val="0"/>
      <w:divBdr>
        <w:top w:val="none" w:sz="0" w:space="0" w:color="auto"/>
        <w:left w:val="none" w:sz="0" w:space="0" w:color="auto"/>
        <w:bottom w:val="none" w:sz="0" w:space="0" w:color="auto"/>
        <w:right w:val="none" w:sz="0" w:space="0" w:color="auto"/>
      </w:divBdr>
    </w:div>
    <w:div w:id="719983572">
      <w:bodyDiv w:val="1"/>
      <w:marLeft w:val="0"/>
      <w:marRight w:val="0"/>
      <w:marTop w:val="0"/>
      <w:marBottom w:val="0"/>
      <w:divBdr>
        <w:top w:val="none" w:sz="0" w:space="0" w:color="auto"/>
        <w:left w:val="none" w:sz="0" w:space="0" w:color="auto"/>
        <w:bottom w:val="none" w:sz="0" w:space="0" w:color="auto"/>
        <w:right w:val="none" w:sz="0" w:space="0" w:color="auto"/>
      </w:divBdr>
    </w:div>
    <w:div w:id="753160163">
      <w:bodyDiv w:val="1"/>
      <w:marLeft w:val="0"/>
      <w:marRight w:val="0"/>
      <w:marTop w:val="0"/>
      <w:marBottom w:val="0"/>
      <w:divBdr>
        <w:top w:val="none" w:sz="0" w:space="0" w:color="auto"/>
        <w:left w:val="none" w:sz="0" w:space="0" w:color="auto"/>
        <w:bottom w:val="none" w:sz="0" w:space="0" w:color="auto"/>
        <w:right w:val="none" w:sz="0" w:space="0" w:color="auto"/>
      </w:divBdr>
    </w:div>
    <w:div w:id="781611398">
      <w:bodyDiv w:val="1"/>
      <w:marLeft w:val="0"/>
      <w:marRight w:val="0"/>
      <w:marTop w:val="0"/>
      <w:marBottom w:val="0"/>
      <w:divBdr>
        <w:top w:val="none" w:sz="0" w:space="0" w:color="auto"/>
        <w:left w:val="none" w:sz="0" w:space="0" w:color="auto"/>
        <w:bottom w:val="none" w:sz="0" w:space="0" w:color="auto"/>
        <w:right w:val="none" w:sz="0" w:space="0" w:color="auto"/>
      </w:divBdr>
    </w:div>
    <w:div w:id="930351649">
      <w:bodyDiv w:val="1"/>
      <w:marLeft w:val="0"/>
      <w:marRight w:val="0"/>
      <w:marTop w:val="0"/>
      <w:marBottom w:val="0"/>
      <w:divBdr>
        <w:top w:val="none" w:sz="0" w:space="0" w:color="auto"/>
        <w:left w:val="none" w:sz="0" w:space="0" w:color="auto"/>
        <w:bottom w:val="none" w:sz="0" w:space="0" w:color="auto"/>
        <w:right w:val="none" w:sz="0" w:space="0" w:color="auto"/>
      </w:divBdr>
    </w:div>
    <w:div w:id="938368817">
      <w:bodyDiv w:val="1"/>
      <w:marLeft w:val="0"/>
      <w:marRight w:val="0"/>
      <w:marTop w:val="0"/>
      <w:marBottom w:val="0"/>
      <w:divBdr>
        <w:top w:val="none" w:sz="0" w:space="0" w:color="auto"/>
        <w:left w:val="none" w:sz="0" w:space="0" w:color="auto"/>
        <w:bottom w:val="none" w:sz="0" w:space="0" w:color="auto"/>
        <w:right w:val="none" w:sz="0" w:space="0" w:color="auto"/>
      </w:divBdr>
    </w:div>
    <w:div w:id="1028290938">
      <w:bodyDiv w:val="1"/>
      <w:marLeft w:val="0"/>
      <w:marRight w:val="0"/>
      <w:marTop w:val="0"/>
      <w:marBottom w:val="0"/>
      <w:divBdr>
        <w:top w:val="none" w:sz="0" w:space="0" w:color="auto"/>
        <w:left w:val="none" w:sz="0" w:space="0" w:color="auto"/>
        <w:bottom w:val="none" w:sz="0" w:space="0" w:color="auto"/>
        <w:right w:val="none" w:sz="0" w:space="0" w:color="auto"/>
      </w:divBdr>
    </w:div>
    <w:div w:id="1124695500">
      <w:bodyDiv w:val="1"/>
      <w:marLeft w:val="0"/>
      <w:marRight w:val="0"/>
      <w:marTop w:val="0"/>
      <w:marBottom w:val="0"/>
      <w:divBdr>
        <w:top w:val="none" w:sz="0" w:space="0" w:color="auto"/>
        <w:left w:val="none" w:sz="0" w:space="0" w:color="auto"/>
        <w:bottom w:val="none" w:sz="0" w:space="0" w:color="auto"/>
        <w:right w:val="none" w:sz="0" w:space="0" w:color="auto"/>
      </w:divBdr>
    </w:div>
    <w:div w:id="1304002156">
      <w:bodyDiv w:val="1"/>
      <w:marLeft w:val="0"/>
      <w:marRight w:val="0"/>
      <w:marTop w:val="0"/>
      <w:marBottom w:val="0"/>
      <w:divBdr>
        <w:top w:val="none" w:sz="0" w:space="0" w:color="auto"/>
        <w:left w:val="none" w:sz="0" w:space="0" w:color="auto"/>
        <w:bottom w:val="none" w:sz="0" w:space="0" w:color="auto"/>
        <w:right w:val="none" w:sz="0" w:space="0" w:color="auto"/>
      </w:divBdr>
    </w:div>
    <w:div w:id="1318454951">
      <w:bodyDiv w:val="1"/>
      <w:marLeft w:val="0"/>
      <w:marRight w:val="0"/>
      <w:marTop w:val="0"/>
      <w:marBottom w:val="0"/>
      <w:divBdr>
        <w:top w:val="none" w:sz="0" w:space="0" w:color="auto"/>
        <w:left w:val="none" w:sz="0" w:space="0" w:color="auto"/>
        <w:bottom w:val="none" w:sz="0" w:space="0" w:color="auto"/>
        <w:right w:val="none" w:sz="0" w:space="0" w:color="auto"/>
      </w:divBdr>
    </w:div>
    <w:div w:id="1393113987">
      <w:bodyDiv w:val="1"/>
      <w:marLeft w:val="0"/>
      <w:marRight w:val="0"/>
      <w:marTop w:val="0"/>
      <w:marBottom w:val="0"/>
      <w:divBdr>
        <w:top w:val="none" w:sz="0" w:space="0" w:color="auto"/>
        <w:left w:val="none" w:sz="0" w:space="0" w:color="auto"/>
        <w:bottom w:val="none" w:sz="0" w:space="0" w:color="auto"/>
        <w:right w:val="none" w:sz="0" w:space="0" w:color="auto"/>
      </w:divBdr>
    </w:div>
    <w:div w:id="1405757954">
      <w:bodyDiv w:val="1"/>
      <w:marLeft w:val="0"/>
      <w:marRight w:val="0"/>
      <w:marTop w:val="0"/>
      <w:marBottom w:val="0"/>
      <w:divBdr>
        <w:top w:val="none" w:sz="0" w:space="0" w:color="auto"/>
        <w:left w:val="none" w:sz="0" w:space="0" w:color="auto"/>
        <w:bottom w:val="none" w:sz="0" w:space="0" w:color="auto"/>
        <w:right w:val="none" w:sz="0" w:space="0" w:color="auto"/>
      </w:divBdr>
    </w:div>
    <w:div w:id="1420715678">
      <w:bodyDiv w:val="1"/>
      <w:marLeft w:val="0"/>
      <w:marRight w:val="0"/>
      <w:marTop w:val="0"/>
      <w:marBottom w:val="0"/>
      <w:divBdr>
        <w:top w:val="none" w:sz="0" w:space="0" w:color="auto"/>
        <w:left w:val="none" w:sz="0" w:space="0" w:color="auto"/>
        <w:bottom w:val="none" w:sz="0" w:space="0" w:color="auto"/>
        <w:right w:val="none" w:sz="0" w:space="0" w:color="auto"/>
      </w:divBdr>
    </w:div>
    <w:div w:id="1442987982">
      <w:bodyDiv w:val="1"/>
      <w:marLeft w:val="0"/>
      <w:marRight w:val="0"/>
      <w:marTop w:val="0"/>
      <w:marBottom w:val="0"/>
      <w:divBdr>
        <w:top w:val="none" w:sz="0" w:space="0" w:color="auto"/>
        <w:left w:val="none" w:sz="0" w:space="0" w:color="auto"/>
        <w:bottom w:val="none" w:sz="0" w:space="0" w:color="auto"/>
        <w:right w:val="none" w:sz="0" w:space="0" w:color="auto"/>
      </w:divBdr>
    </w:div>
    <w:div w:id="1487283551">
      <w:bodyDiv w:val="1"/>
      <w:marLeft w:val="0"/>
      <w:marRight w:val="0"/>
      <w:marTop w:val="0"/>
      <w:marBottom w:val="0"/>
      <w:divBdr>
        <w:top w:val="none" w:sz="0" w:space="0" w:color="auto"/>
        <w:left w:val="none" w:sz="0" w:space="0" w:color="auto"/>
        <w:bottom w:val="none" w:sz="0" w:space="0" w:color="auto"/>
        <w:right w:val="none" w:sz="0" w:space="0" w:color="auto"/>
      </w:divBdr>
    </w:div>
    <w:div w:id="1541163209">
      <w:bodyDiv w:val="1"/>
      <w:marLeft w:val="0"/>
      <w:marRight w:val="0"/>
      <w:marTop w:val="0"/>
      <w:marBottom w:val="0"/>
      <w:divBdr>
        <w:top w:val="none" w:sz="0" w:space="0" w:color="auto"/>
        <w:left w:val="none" w:sz="0" w:space="0" w:color="auto"/>
        <w:bottom w:val="none" w:sz="0" w:space="0" w:color="auto"/>
        <w:right w:val="none" w:sz="0" w:space="0" w:color="auto"/>
      </w:divBdr>
    </w:div>
    <w:div w:id="1557467920">
      <w:bodyDiv w:val="1"/>
      <w:marLeft w:val="0"/>
      <w:marRight w:val="0"/>
      <w:marTop w:val="0"/>
      <w:marBottom w:val="0"/>
      <w:divBdr>
        <w:top w:val="none" w:sz="0" w:space="0" w:color="auto"/>
        <w:left w:val="none" w:sz="0" w:space="0" w:color="auto"/>
        <w:bottom w:val="none" w:sz="0" w:space="0" w:color="auto"/>
        <w:right w:val="none" w:sz="0" w:space="0" w:color="auto"/>
      </w:divBdr>
    </w:div>
    <w:div w:id="1681424162">
      <w:bodyDiv w:val="1"/>
      <w:marLeft w:val="0"/>
      <w:marRight w:val="0"/>
      <w:marTop w:val="0"/>
      <w:marBottom w:val="0"/>
      <w:divBdr>
        <w:top w:val="none" w:sz="0" w:space="0" w:color="auto"/>
        <w:left w:val="none" w:sz="0" w:space="0" w:color="auto"/>
        <w:bottom w:val="none" w:sz="0" w:space="0" w:color="auto"/>
        <w:right w:val="none" w:sz="0" w:space="0" w:color="auto"/>
      </w:divBdr>
    </w:div>
    <w:div w:id="1749771096">
      <w:bodyDiv w:val="1"/>
      <w:marLeft w:val="0"/>
      <w:marRight w:val="0"/>
      <w:marTop w:val="0"/>
      <w:marBottom w:val="0"/>
      <w:divBdr>
        <w:top w:val="none" w:sz="0" w:space="0" w:color="auto"/>
        <w:left w:val="none" w:sz="0" w:space="0" w:color="auto"/>
        <w:bottom w:val="none" w:sz="0" w:space="0" w:color="auto"/>
        <w:right w:val="none" w:sz="0" w:space="0" w:color="auto"/>
      </w:divBdr>
    </w:div>
    <w:div w:id="1779063904">
      <w:bodyDiv w:val="1"/>
      <w:marLeft w:val="0"/>
      <w:marRight w:val="0"/>
      <w:marTop w:val="0"/>
      <w:marBottom w:val="0"/>
      <w:divBdr>
        <w:top w:val="none" w:sz="0" w:space="0" w:color="auto"/>
        <w:left w:val="none" w:sz="0" w:space="0" w:color="auto"/>
        <w:bottom w:val="none" w:sz="0" w:space="0" w:color="auto"/>
        <w:right w:val="none" w:sz="0" w:space="0" w:color="auto"/>
      </w:divBdr>
    </w:div>
    <w:div w:id="1791362870">
      <w:bodyDiv w:val="1"/>
      <w:marLeft w:val="0"/>
      <w:marRight w:val="0"/>
      <w:marTop w:val="0"/>
      <w:marBottom w:val="0"/>
      <w:divBdr>
        <w:top w:val="none" w:sz="0" w:space="0" w:color="auto"/>
        <w:left w:val="none" w:sz="0" w:space="0" w:color="auto"/>
        <w:bottom w:val="none" w:sz="0" w:space="0" w:color="auto"/>
        <w:right w:val="none" w:sz="0" w:space="0" w:color="auto"/>
      </w:divBdr>
    </w:div>
    <w:div w:id="1798059580">
      <w:bodyDiv w:val="1"/>
      <w:marLeft w:val="0"/>
      <w:marRight w:val="0"/>
      <w:marTop w:val="0"/>
      <w:marBottom w:val="0"/>
      <w:divBdr>
        <w:top w:val="none" w:sz="0" w:space="0" w:color="auto"/>
        <w:left w:val="none" w:sz="0" w:space="0" w:color="auto"/>
        <w:bottom w:val="none" w:sz="0" w:space="0" w:color="auto"/>
        <w:right w:val="none" w:sz="0" w:space="0" w:color="auto"/>
      </w:divBdr>
    </w:div>
    <w:div w:id="1801026724">
      <w:bodyDiv w:val="1"/>
      <w:marLeft w:val="0"/>
      <w:marRight w:val="0"/>
      <w:marTop w:val="0"/>
      <w:marBottom w:val="0"/>
      <w:divBdr>
        <w:top w:val="none" w:sz="0" w:space="0" w:color="auto"/>
        <w:left w:val="none" w:sz="0" w:space="0" w:color="auto"/>
        <w:bottom w:val="none" w:sz="0" w:space="0" w:color="auto"/>
        <w:right w:val="none" w:sz="0" w:space="0" w:color="auto"/>
      </w:divBdr>
    </w:div>
    <w:div w:id="1866362033">
      <w:bodyDiv w:val="1"/>
      <w:marLeft w:val="0"/>
      <w:marRight w:val="0"/>
      <w:marTop w:val="0"/>
      <w:marBottom w:val="0"/>
      <w:divBdr>
        <w:top w:val="none" w:sz="0" w:space="0" w:color="auto"/>
        <w:left w:val="none" w:sz="0" w:space="0" w:color="auto"/>
        <w:bottom w:val="none" w:sz="0" w:space="0" w:color="auto"/>
        <w:right w:val="none" w:sz="0" w:space="0" w:color="auto"/>
      </w:divBdr>
    </w:div>
    <w:div w:id="1971786753">
      <w:bodyDiv w:val="1"/>
      <w:marLeft w:val="0"/>
      <w:marRight w:val="0"/>
      <w:marTop w:val="0"/>
      <w:marBottom w:val="0"/>
      <w:divBdr>
        <w:top w:val="none" w:sz="0" w:space="0" w:color="auto"/>
        <w:left w:val="none" w:sz="0" w:space="0" w:color="auto"/>
        <w:bottom w:val="none" w:sz="0" w:space="0" w:color="auto"/>
        <w:right w:val="none" w:sz="0" w:space="0" w:color="auto"/>
      </w:divBdr>
    </w:div>
    <w:div w:id="1989434248">
      <w:bodyDiv w:val="1"/>
      <w:marLeft w:val="0"/>
      <w:marRight w:val="0"/>
      <w:marTop w:val="0"/>
      <w:marBottom w:val="0"/>
      <w:divBdr>
        <w:top w:val="none" w:sz="0" w:space="0" w:color="auto"/>
        <w:left w:val="none" w:sz="0" w:space="0" w:color="auto"/>
        <w:bottom w:val="none" w:sz="0" w:space="0" w:color="auto"/>
        <w:right w:val="none" w:sz="0" w:space="0" w:color="auto"/>
      </w:divBdr>
    </w:div>
    <w:div w:id="1991909721">
      <w:bodyDiv w:val="1"/>
      <w:marLeft w:val="0"/>
      <w:marRight w:val="0"/>
      <w:marTop w:val="0"/>
      <w:marBottom w:val="0"/>
      <w:divBdr>
        <w:top w:val="none" w:sz="0" w:space="0" w:color="auto"/>
        <w:left w:val="none" w:sz="0" w:space="0" w:color="auto"/>
        <w:bottom w:val="none" w:sz="0" w:space="0" w:color="auto"/>
        <w:right w:val="none" w:sz="0" w:space="0" w:color="auto"/>
      </w:divBdr>
    </w:div>
    <w:div w:id="1995066235">
      <w:bodyDiv w:val="1"/>
      <w:marLeft w:val="0"/>
      <w:marRight w:val="0"/>
      <w:marTop w:val="0"/>
      <w:marBottom w:val="0"/>
      <w:divBdr>
        <w:top w:val="none" w:sz="0" w:space="0" w:color="auto"/>
        <w:left w:val="none" w:sz="0" w:space="0" w:color="auto"/>
        <w:bottom w:val="none" w:sz="0" w:space="0" w:color="auto"/>
        <w:right w:val="none" w:sz="0" w:space="0" w:color="auto"/>
      </w:divBdr>
    </w:div>
    <w:div w:id="2031758149">
      <w:bodyDiv w:val="1"/>
      <w:marLeft w:val="0"/>
      <w:marRight w:val="0"/>
      <w:marTop w:val="0"/>
      <w:marBottom w:val="0"/>
      <w:divBdr>
        <w:top w:val="none" w:sz="0" w:space="0" w:color="auto"/>
        <w:left w:val="none" w:sz="0" w:space="0" w:color="auto"/>
        <w:bottom w:val="none" w:sz="0" w:space="0" w:color="auto"/>
        <w:right w:val="none" w:sz="0" w:space="0" w:color="auto"/>
      </w:divBdr>
    </w:div>
    <w:div w:id="2055158466">
      <w:bodyDiv w:val="1"/>
      <w:marLeft w:val="0"/>
      <w:marRight w:val="0"/>
      <w:marTop w:val="0"/>
      <w:marBottom w:val="0"/>
      <w:divBdr>
        <w:top w:val="none" w:sz="0" w:space="0" w:color="auto"/>
        <w:left w:val="none" w:sz="0" w:space="0" w:color="auto"/>
        <w:bottom w:val="none" w:sz="0" w:space="0" w:color="auto"/>
        <w:right w:val="none" w:sz="0" w:space="0" w:color="auto"/>
      </w:divBdr>
    </w:div>
    <w:div w:id="2071883725">
      <w:bodyDiv w:val="1"/>
      <w:marLeft w:val="0"/>
      <w:marRight w:val="0"/>
      <w:marTop w:val="0"/>
      <w:marBottom w:val="0"/>
      <w:divBdr>
        <w:top w:val="none" w:sz="0" w:space="0" w:color="auto"/>
        <w:left w:val="none" w:sz="0" w:space="0" w:color="auto"/>
        <w:bottom w:val="none" w:sz="0" w:space="0" w:color="auto"/>
        <w:right w:val="none" w:sz="0" w:space="0" w:color="auto"/>
      </w:divBdr>
    </w:div>
    <w:div w:id="2093119160">
      <w:bodyDiv w:val="1"/>
      <w:marLeft w:val="0"/>
      <w:marRight w:val="0"/>
      <w:marTop w:val="0"/>
      <w:marBottom w:val="0"/>
      <w:divBdr>
        <w:top w:val="none" w:sz="0" w:space="0" w:color="auto"/>
        <w:left w:val="none" w:sz="0" w:space="0" w:color="auto"/>
        <w:bottom w:val="none" w:sz="0" w:space="0" w:color="auto"/>
        <w:right w:val="none" w:sz="0" w:space="0" w:color="auto"/>
      </w:divBdr>
    </w:div>
    <w:div w:id="211323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37</TotalTime>
  <Pages>7</Pages>
  <Words>1623</Words>
  <Characters>11210</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2022040079 mt - efterfølgende tilføjet 200 mg i overskriften, fordi en ny styrke på 300 mg er godkendt d. 3.5.2023 i sag 2022114624</dc:description>
  <cp:lastModifiedBy>Hanne Thy Iversen</cp:lastModifiedBy>
  <cp:revision>15</cp:revision>
  <cp:lastPrinted>2012-08-22T08:53:00Z</cp:lastPrinted>
  <dcterms:created xsi:type="dcterms:W3CDTF">2023-02-16T14:43:00Z</dcterms:created>
  <dcterms:modified xsi:type="dcterms:W3CDTF">2023-05-03T10:51:00Z</dcterms:modified>
</cp:coreProperties>
</file>