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65980" w14:textId="77777777" w:rsidR="009260DE" w:rsidRPr="00D97986" w:rsidRDefault="0021526C" w:rsidP="009260DE">
      <w:pPr>
        <w:rPr>
          <w:sz w:val="24"/>
          <w:szCs w:val="24"/>
        </w:rPr>
      </w:pPr>
      <w:bookmarkStart w:id="0" w:name="_GoBack"/>
      <w:bookmarkEnd w:id="0"/>
      <w:r w:rsidRPr="00D97986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464FEBEC" wp14:editId="031A9514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D97986">
        <w:rPr>
          <w:sz w:val="24"/>
          <w:szCs w:val="24"/>
        </w:rPr>
        <w:br w:type="textWrapping" w:clear="all"/>
      </w:r>
    </w:p>
    <w:p w14:paraId="3107CFBB" w14:textId="498B3994" w:rsidR="009260DE" w:rsidRPr="00D97986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D97986">
        <w:rPr>
          <w:b w:val="0"/>
          <w:szCs w:val="24"/>
          <w:lang w:eastAsia="en-US"/>
        </w:rPr>
        <w:tab/>
      </w:r>
      <w:r w:rsidR="005A093B">
        <w:rPr>
          <w:szCs w:val="24"/>
        </w:rPr>
        <w:t>25. november 2024</w:t>
      </w:r>
    </w:p>
    <w:p w14:paraId="13B91613" w14:textId="77777777" w:rsidR="009260DE" w:rsidRPr="00D97986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3E9081E9" w14:textId="77777777" w:rsidR="009260DE" w:rsidRPr="00D97986" w:rsidRDefault="009260DE" w:rsidP="009260DE">
      <w:pPr>
        <w:pStyle w:val="Titel"/>
        <w:jc w:val="left"/>
        <w:rPr>
          <w:b w:val="0"/>
          <w:szCs w:val="24"/>
        </w:rPr>
      </w:pPr>
    </w:p>
    <w:p w14:paraId="48D4AB86" w14:textId="77777777" w:rsidR="009260DE" w:rsidRPr="00D97986" w:rsidRDefault="009260DE" w:rsidP="009260DE">
      <w:pPr>
        <w:pStyle w:val="Titel"/>
        <w:jc w:val="left"/>
        <w:rPr>
          <w:b w:val="0"/>
          <w:szCs w:val="24"/>
        </w:rPr>
      </w:pPr>
    </w:p>
    <w:p w14:paraId="21C51264" w14:textId="77777777" w:rsidR="009260DE" w:rsidRPr="00D97986" w:rsidRDefault="009260DE" w:rsidP="009260DE">
      <w:pPr>
        <w:jc w:val="center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PRODUKTRESUMÉ</w:t>
      </w:r>
    </w:p>
    <w:p w14:paraId="205F5096" w14:textId="77777777" w:rsidR="009260DE" w:rsidRPr="00D97986" w:rsidRDefault="009260DE" w:rsidP="009260DE">
      <w:pPr>
        <w:jc w:val="center"/>
        <w:rPr>
          <w:b/>
          <w:sz w:val="24"/>
          <w:szCs w:val="24"/>
        </w:rPr>
      </w:pPr>
    </w:p>
    <w:p w14:paraId="03A33E32" w14:textId="77777777" w:rsidR="009260DE" w:rsidRPr="00D97986" w:rsidRDefault="009260DE" w:rsidP="009260DE">
      <w:pPr>
        <w:jc w:val="center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for</w:t>
      </w:r>
    </w:p>
    <w:p w14:paraId="2895C461" w14:textId="77777777" w:rsidR="000B058C" w:rsidRPr="00D97986" w:rsidRDefault="000B058C" w:rsidP="009260DE">
      <w:pPr>
        <w:jc w:val="center"/>
        <w:rPr>
          <w:b/>
          <w:sz w:val="24"/>
          <w:szCs w:val="24"/>
        </w:rPr>
      </w:pPr>
    </w:p>
    <w:p w14:paraId="149B8A44" w14:textId="70D802F4" w:rsidR="009260DE" w:rsidRPr="00D97986" w:rsidRDefault="007C3C33" w:rsidP="009260DE">
      <w:pPr>
        <w:jc w:val="center"/>
        <w:rPr>
          <w:b/>
          <w:sz w:val="24"/>
          <w:szCs w:val="24"/>
        </w:rPr>
      </w:pPr>
      <w:proofErr w:type="spellStart"/>
      <w:r w:rsidRPr="00D97986">
        <w:rPr>
          <w:b/>
          <w:sz w:val="24"/>
          <w:szCs w:val="24"/>
        </w:rPr>
        <w:t>Progestan</w:t>
      </w:r>
      <w:proofErr w:type="spellEnd"/>
      <w:r w:rsidRPr="00D97986">
        <w:rPr>
          <w:b/>
          <w:sz w:val="24"/>
          <w:szCs w:val="24"/>
        </w:rPr>
        <w:t>, bløde vaginalkapsler 400 mg</w:t>
      </w:r>
    </w:p>
    <w:p w14:paraId="2E14220E" w14:textId="77777777" w:rsidR="009260DE" w:rsidRPr="00D97986" w:rsidRDefault="009260DE" w:rsidP="009260DE">
      <w:pPr>
        <w:jc w:val="both"/>
        <w:rPr>
          <w:sz w:val="24"/>
          <w:szCs w:val="24"/>
        </w:rPr>
      </w:pPr>
    </w:p>
    <w:p w14:paraId="556B3446" w14:textId="77777777" w:rsidR="009260DE" w:rsidRPr="00D97986" w:rsidRDefault="009260DE" w:rsidP="009260DE">
      <w:pPr>
        <w:jc w:val="both"/>
        <w:rPr>
          <w:sz w:val="24"/>
          <w:szCs w:val="24"/>
        </w:rPr>
      </w:pPr>
    </w:p>
    <w:p w14:paraId="0CC13C52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0.</w:t>
      </w:r>
      <w:r w:rsidRPr="00D97986">
        <w:rPr>
          <w:b/>
          <w:sz w:val="24"/>
          <w:szCs w:val="24"/>
        </w:rPr>
        <w:tab/>
        <w:t>D.SP.NR.</w:t>
      </w:r>
    </w:p>
    <w:p w14:paraId="6C33D5ED" w14:textId="4E3308E4" w:rsidR="009260DE" w:rsidRPr="00D97986" w:rsidRDefault="007C3C33" w:rsidP="009260DE">
      <w:pPr>
        <w:tabs>
          <w:tab w:val="left" w:pos="851"/>
        </w:tabs>
        <w:ind w:left="851"/>
        <w:rPr>
          <w:sz w:val="24"/>
          <w:szCs w:val="24"/>
        </w:rPr>
      </w:pPr>
      <w:r w:rsidRPr="00D97986">
        <w:rPr>
          <w:sz w:val="24"/>
          <w:szCs w:val="24"/>
        </w:rPr>
        <w:t>32946</w:t>
      </w:r>
    </w:p>
    <w:p w14:paraId="1BA2D185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04CAEDC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1.</w:t>
      </w:r>
      <w:r w:rsidRPr="00D97986">
        <w:rPr>
          <w:b/>
          <w:sz w:val="24"/>
          <w:szCs w:val="24"/>
        </w:rPr>
        <w:tab/>
        <w:t>LÆGEMIDLETS NAVN</w:t>
      </w:r>
    </w:p>
    <w:p w14:paraId="28DD1C11" w14:textId="10F2D1C1" w:rsidR="009260DE" w:rsidRPr="00D97986" w:rsidRDefault="007C3C33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D97986">
        <w:rPr>
          <w:sz w:val="24"/>
          <w:szCs w:val="24"/>
        </w:rPr>
        <w:t>Progestan</w:t>
      </w:r>
      <w:proofErr w:type="spellEnd"/>
    </w:p>
    <w:p w14:paraId="458A9277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21B459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2.</w:t>
      </w:r>
      <w:r w:rsidRPr="00D97986">
        <w:rPr>
          <w:b/>
          <w:sz w:val="24"/>
          <w:szCs w:val="24"/>
        </w:rPr>
        <w:tab/>
        <w:t>KVALITATIV OG KVANTITATIV SAMMENSÆTNING</w:t>
      </w:r>
    </w:p>
    <w:p w14:paraId="34D900E0" w14:textId="77777777" w:rsidR="00CE092E" w:rsidRPr="00D97986" w:rsidRDefault="00CE092E" w:rsidP="00CE092E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>Hver kapsel indeholder 400 mg progesteron.</w:t>
      </w:r>
    </w:p>
    <w:p w14:paraId="0403538A" w14:textId="77777777" w:rsidR="00CE092E" w:rsidRPr="00D97986" w:rsidRDefault="00CE092E" w:rsidP="00CE092E">
      <w:pPr>
        <w:ind w:left="851"/>
        <w:rPr>
          <w:sz w:val="24"/>
          <w:szCs w:val="24"/>
          <w:u w:val="single"/>
        </w:rPr>
      </w:pPr>
    </w:p>
    <w:p w14:paraId="0EA89786" w14:textId="77777777" w:rsidR="00CE092E" w:rsidRPr="00D97986" w:rsidRDefault="00CE092E" w:rsidP="00CE092E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 xml:space="preserve">Hjælpestoffer, som behandleren skal være opmærksom på: </w:t>
      </w:r>
      <w:proofErr w:type="spellStart"/>
      <w:r w:rsidRPr="00D97986">
        <w:rPr>
          <w:sz w:val="24"/>
          <w:szCs w:val="24"/>
        </w:rPr>
        <w:t>Sojalecithin</w:t>
      </w:r>
      <w:proofErr w:type="spellEnd"/>
      <w:r w:rsidRPr="00D97986">
        <w:rPr>
          <w:sz w:val="24"/>
          <w:szCs w:val="24"/>
        </w:rPr>
        <w:t>.</w:t>
      </w:r>
    </w:p>
    <w:p w14:paraId="74C9A09B" w14:textId="77777777" w:rsidR="00CE092E" w:rsidRPr="00D97986" w:rsidRDefault="00CE092E" w:rsidP="00CE092E">
      <w:pPr>
        <w:ind w:left="851"/>
        <w:rPr>
          <w:sz w:val="24"/>
          <w:szCs w:val="24"/>
        </w:rPr>
      </w:pPr>
    </w:p>
    <w:p w14:paraId="76234B99" w14:textId="77777777" w:rsidR="00CE092E" w:rsidRPr="00D97986" w:rsidRDefault="00CE092E" w:rsidP="00CE092E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>Alle hjælpestoffer er anført under pkt. 6.1.</w:t>
      </w:r>
    </w:p>
    <w:p w14:paraId="110B16F9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17D0C0C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3.</w:t>
      </w:r>
      <w:r w:rsidRPr="00D97986">
        <w:rPr>
          <w:b/>
          <w:sz w:val="24"/>
          <w:szCs w:val="24"/>
        </w:rPr>
        <w:tab/>
        <w:t>LÆGEMIDDELFORM</w:t>
      </w:r>
    </w:p>
    <w:p w14:paraId="41213087" w14:textId="718B8B9C" w:rsidR="00CE092E" w:rsidRPr="00D97986" w:rsidRDefault="00CE092E" w:rsidP="00CE092E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>Bløde vaginalkapsler</w:t>
      </w:r>
    </w:p>
    <w:p w14:paraId="314F936B" w14:textId="2B01C242" w:rsidR="00CE092E" w:rsidRPr="00D97986" w:rsidRDefault="00CE092E" w:rsidP="00CE092E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>Aflang, gullig, blød kapsel (cirka 2,5 cm </w:t>
      </w:r>
      <w:r w:rsidR="003546E1">
        <w:rPr>
          <w:sz w:val="24"/>
          <w:szCs w:val="24"/>
        </w:rPr>
        <w:t>×</w:t>
      </w:r>
      <w:r w:rsidRPr="00D97986">
        <w:rPr>
          <w:sz w:val="24"/>
          <w:szCs w:val="24"/>
        </w:rPr>
        <w:t> 0,9 cm), der indeholder en hvidlig, olieagtig suspension.</w:t>
      </w:r>
    </w:p>
    <w:p w14:paraId="7EDB5BD6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05F2883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DA20887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4.</w:t>
      </w:r>
      <w:r w:rsidRPr="00D97986">
        <w:rPr>
          <w:b/>
          <w:sz w:val="24"/>
          <w:szCs w:val="24"/>
        </w:rPr>
        <w:tab/>
        <w:t>KLINISKE OPLYSNINGER</w:t>
      </w:r>
    </w:p>
    <w:p w14:paraId="6C2DDBD6" w14:textId="77777777" w:rsidR="009260DE" w:rsidRPr="00D97986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365794CF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D97986">
        <w:rPr>
          <w:b/>
          <w:sz w:val="24"/>
          <w:szCs w:val="24"/>
        </w:rPr>
        <w:t>4.1</w:t>
      </w:r>
      <w:r w:rsidRPr="00D97986">
        <w:rPr>
          <w:b/>
          <w:sz w:val="24"/>
          <w:szCs w:val="24"/>
        </w:rPr>
        <w:tab/>
        <w:t>Terapeutiske indikationer</w:t>
      </w:r>
    </w:p>
    <w:p w14:paraId="7458DD19" w14:textId="77777777" w:rsidR="00CE092E" w:rsidRPr="00D97986" w:rsidRDefault="00CE092E" w:rsidP="00CE092E">
      <w:pPr>
        <w:ind w:left="851"/>
        <w:rPr>
          <w:sz w:val="24"/>
          <w:szCs w:val="24"/>
        </w:rPr>
      </w:pPr>
      <w:proofErr w:type="spellStart"/>
      <w:r w:rsidRPr="00D97986">
        <w:rPr>
          <w:sz w:val="24"/>
          <w:szCs w:val="24"/>
        </w:rPr>
        <w:t>Progestan</w:t>
      </w:r>
      <w:proofErr w:type="spellEnd"/>
      <w:r w:rsidRPr="00D97986">
        <w:rPr>
          <w:sz w:val="24"/>
          <w:szCs w:val="24"/>
        </w:rPr>
        <w:t xml:space="preserve"> er indiceret til forebyggelse af abort hos kvinder, som oplever blødning i første </w:t>
      </w:r>
      <w:proofErr w:type="spellStart"/>
      <w:r w:rsidRPr="00D97986">
        <w:rPr>
          <w:sz w:val="24"/>
          <w:szCs w:val="24"/>
        </w:rPr>
        <w:t>graviditetstrimester</w:t>
      </w:r>
      <w:proofErr w:type="spellEnd"/>
      <w:r w:rsidRPr="00D97986">
        <w:rPr>
          <w:sz w:val="24"/>
          <w:szCs w:val="24"/>
        </w:rPr>
        <w:t>, og som har tilbagevendende aborter i anamnesen (se pkt. 4.2 og 5.1).</w:t>
      </w:r>
    </w:p>
    <w:p w14:paraId="38767277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312195F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4.2</w:t>
      </w:r>
      <w:r w:rsidRPr="00D97986">
        <w:rPr>
          <w:b/>
          <w:sz w:val="24"/>
          <w:szCs w:val="24"/>
        </w:rPr>
        <w:tab/>
        <w:t xml:space="preserve">Dosering og </w:t>
      </w:r>
      <w:r w:rsidR="002C1EC0" w:rsidRPr="00D97986">
        <w:rPr>
          <w:b/>
          <w:sz w:val="24"/>
          <w:szCs w:val="24"/>
        </w:rPr>
        <w:t>administration</w:t>
      </w:r>
    </w:p>
    <w:p w14:paraId="25FB5BC9" w14:textId="77777777" w:rsidR="00CE092E" w:rsidRPr="00D97986" w:rsidRDefault="00CE092E" w:rsidP="00CE092E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>Behandlingen bør altid tilpasses den enkelte patient. Beslutningen om at behandle kvinder, der har oplevet tilbagevendende aborter, bør ske efter yderligere undersøgelse og efter lægens skøn.</w:t>
      </w:r>
      <w:bookmarkStart w:id="1" w:name="_Hlk110581352"/>
    </w:p>
    <w:p w14:paraId="36FCFFB1" w14:textId="77777777" w:rsidR="00CE092E" w:rsidRPr="00D97986" w:rsidRDefault="00CE092E" w:rsidP="00CE092E">
      <w:pPr>
        <w:ind w:left="851"/>
        <w:rPr>
          <w:sz w:val="24"/>
          <w:szCs w:val="24"/>
        </w:rPr>
      </w:pPr>
    </w:p>
    <w:p w14:paraId="22EA02B1" w14:textId="77777777" w:rsidR="00CE092E" w:rsidRPr="00D97986" w:rsidRDefault="00CE092E" w:rsidP="00CE092E">
      <w:pPr>
        <w:ind w:left="851"/>
        <w:rPr>
          <w:sz w:val="24"/>
          <w:szCs w:val="24"/>
          <w:u w:val="single"/>
        </w:rPr>
      </w:pPr>
      <w:r w:rsidRPr="00D97986">
        <w:rPr>
          <w:sz w:val="24"/>
          <w:szCs w:val="24"/>
          <w:u w:val="single"/>
        </w:rPr>
        <w:t>Dosering</w:t>
      </w:r>
    </w:p>
    <w:p w14:paraId="06760E88" w14:textId="77777777" w:rsidR="00CE092E" w:rsidRPr="00D97986" w:rsidRDefault="00CE092E" w:rsidP="00CE092E">
      <w:pPr>
        <w:ind w:left="851"/>
        <w:rPr>
          <w:sz w:val="24"/>
          <w:szCs w:val="24"/>
        </w:rPr>
      </w:pPr>
      <w:bookmarkStart w:id="2" w:name="_Hlk510563323"/>
    </w:p>
    <w:p w14:paraId="7A181CCB" w14:textId="77777777" w:rsidR="00CE092E" w:rsidRPr="00D97986" w:rsidRDefault="00CE092E" w:rsidP="00CE092E">
      <w:pPr>
        <w:ind w:left="851"/>
        <w:rPr>
          <w:b/>
          <w:noProof/>
          <w:sz w:val="24"/>
          <w:szCs w:val="24"/>
        </w:rPr>
      </w:pPr>
      <w:r w:rsidRPr="00D97986">
        <w:rPr>
          <w:b/>
          <w:sz w:val="24"/>
          <w:szCs w:val="24"/>
        </w:rPr>
        <w:t>Kun vaginal anvendelse.</w:t>
      </w:r>
    </w:p>
    <w:bookmarkEnd w:id="2"/>
    <w:p w14:paraId="0A158A17" w14:textId="77777777" w:rsidR="00CE092E" w:rsidRPr="00D97986" w:rsidRDefault="00CE092E" w:rsidP="00CE092E">
      <w:pPr>
        <w:ind w:left="851"/>
        <w:rPr>
          <w:sz w:val="24"/>
          <w:szCs w:val="24"/>
        </w:rPr>
      </w:pPr>
    </w:p>
    <w:p w14:paraId="775F4F05" w14:textId="77777777" w:rsidR="00CE092E" w:rsidRPr="00D97986" w:rsidRDefault="00CE092E" w:rsidP="00CE092E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lastRenderedPageBreak/>
        <w:t xml:space="preserve">Den anbefalede dosis er 400 mg to gange om dagen (morgen og aften). Behandlingen bør indledes i det første </w:t>
      </w:r>
      <w:proofErr w:type="spellStart"/>
      <w:r w:rsidRPr="00D97986">
        <w:rPr>
          <w:sz w:val="24"/>
          <w:szCs w:val="24"/>
        </w:rPr>
        <w:t>graviditetstrimester</w:t>
      </w:r>
      <w:proofErr w:type="spellEnd"/>
      <w:r w:rsidRPr="00D97986">
        <w:rPr>
          <w:sz w:val="24"/>
          <w:szCs w:val="24"/>
        </w:rPr>
        <w:t>, ved det første tegn på vaginalblødning (se pkt. 4.4 Særlige advarsler og forsigtighedsregler vedrørende brugen) og bør fortsættes indtil 16. </w:t>
      </w:r>
      <w:proofErr w:type="spellStart"/>
      <w:r w:rsidRPr="00D97986">
        <w:rPr>
          <w:sz w:val="24"/>
          <w:szCs w:val="24"/>
        </w:rPr>
        <w:t>gestationsuge</w:t>
      </w:r>
      <w:proofErr w:type="spellEnd"/>
      <w:r w:rsidRPr="00D97986">
        <w:rPr>
          <w:sz w:val="24"/>
          <w:szCs w:val="24"/>
        </w:rPr>
        <w:t>.</w:t>
      </w:r>
    </w:p>
    <w:p w14:paraId="1E677BA3" w14:textId="77777777" w:rsidR="00CE092E" w:rsidRPr="00D97986" w:rsidRDefault="00CE092E" w:rsidP="00CE092E">
      <w:pPr>
        <w:ind w:left="851"/>
        <w:rPr>
          <w:sz w:val="24"/>
          <w:szCs w:val="24"/>
        </w:rPr>
      </w:pPr>
    </w:p>
    <w:p w14:paraId="02FEE9C5" w14:textId="77777777" w:rsidR="00CE092E" w:rsidRPr="00D97986" w:rsidRDefault="00CE092E" w:rsidP="00CE092E">
      <w:pPr>
        <w:ind w:left="851"/>
        <w:rPr>
          <w:bCs/>
          <w:i/>
          <w:iCs/>
          <w:sz w:val="24"/>
          <w:szCs w:val="24"/>
        </w:rPr>
      </w:pPr>
      <w:r w:rsidRPr="00D97986">
        <w:rPr>
          <w:bCs/>
          <w:i/>
          <w:iCs/>
          <w:sz w:val="24"/>
          <w:szCs w:val="24"/>
        </w:rPr>
        <w:t>Pædiatrisk population</w:t>
      </w:r>
    </w:p>
    <w:p w14:paraId="085ADDF9" w14:textId="77777777" w:rsidR="00CE092E" w:rsidRPr="00D97986" w:rsidRDefault="00CE092E" w:rsidP="00CE092E">
      <w:pPr>
        <w:ind w:left="851"/>
        <w:rPr>
          <w:bCs/>
          <w:i/>
          <w:iCs/>
          <w:sz w:val="24"/>
          <w:szCs w:val="24"/>
        </w:rPr>
      </w:pPr>
    </w:p>
    <w:p w14:paraId="21023DCD" w14:textId="77777777" w:rsidR="00CE092E" w:rsidRPr="00D97986" w:rsidRDefault="00CE092E" w:rsidP="00CE092E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 xml:space="preserve">Det er ikke relevant at anvende </w:t>
      </w:r>
      <w:proofErr w:type="spellStart"/>
      <w:r w:rsidRPr="00D97986">
        <w:rPr>
          <w:sz w:val="24"/>
          <w:szCs w:val="24"/>
        </w:rPr>
        <w:t>Progestan</w:t>
      </w:r>
      <w:proofErr w:type="spellEnd"/>
      <w:r w:rsidRPr="00D97986">
        <w:rPr>
          <w:sz w:val="24"/>
          <w:szCs w:val="24"/>
        </w:rPr>
        <w:t xml:space="preserve"> hos den pædiatriske population.</w:t>
      </w:r>
    </w:p>
    <w:p w14:paraId="6E09AF9C" w14:textId="77777777" w:rsidR="00CE092E" w:rsidRPr="00D97986" w:rsidRDefault="00CE092E" w:rsidP="00CE092E">
      <w:pPr>
        <w:ind w:left="851"/>
        <w:rPr>
          <w:bCs/>
          <w:i/>
          <w:iCs/>
          <w:sz w:val="24"/>
          <w:szCs w:val="24"/>
        </w:rPr>
      </w:pPr>
    </w:p>
    <w:p w14:paraId="04A2F5F0" w14:textId="77777777" w:rsidR="00CE092E" w:rsidRPr="00D97986" w:rsidRDefault="00CE092E" w:rsidP="00CE092E">
      <w:pPr>
        <w:ind w:left="851"/>
        <w:rPr>
          <w:bCs/>
          <w:i/>
          <w:iCs/>
          <w:sz w:val="24"/>
          <w:szCs w:val="24"/>
        </w:rPr>
      </w:pPr>
      <w:r w:rsidRPr="00D97986">
        <w:rPr>
          <w:bCs/>
          <w:i/>
          <w:iCs/>
          <w:sz w:val="24"/>
          <w:szCs w:val="24"/>
        </w:rPr>
        <w:t>Ældre patienter</w:t>
      </w:r>
    </w:p>
    <w:p w14:paraId="7AC1B699" w14:textId="77777777" w:rsidR="00CE092E" w:rsidRPr="00D97986" w:rsidRDefault="00CE092E" w:rsidP="00CE092E">
      <w:pPr>
        <w:ind w:left="851"/>
        <w:rPr>
          <w:bCs/>
          <w:i/>
          <w:iCs/>
          <w:sz w:val="24"/>
          <w:szCs w:val="24"/>
        </w:rPr>
      </w:pPr>
    </w:p>
    <w:p w14:paraId="7487178C" w14:textId="77777777" w:rsidR="00CE092E" w:rsidRPr="00D97986" w:rsidRDefault="00CE092E" w:rsidP="00CE092E">
      <w:pPr>
        <w:ind w:left="851"/>
        <w:rPr>
          <w:noProof/>
          <w:sz w:val="24"/>
          <w:szCs w:val="24"/>
        </w:rPr>
      </w:pPr>
      <w:r w:rsidRPr="00D97986">
        <w:rPr>
          <w:sz w:val="24"/>
          <w:szCs w:val="24"/>
        </w:rPr>
        <w:t xml:space="preserve">Det er ikke relevant at anvende </w:t>
      </w:r>
      <w:proofErr w:type="spellStart"/>
      <w:r w:rsidRPr="00D97986">
        <w:rPr>
          <w:sz w:val="24"/>
          <w:szCs w:val="24"/>
        </w:rPr>
        <w:t>Progestan</w:t>
      </w:r>
      <w:proofErr w:type="spellEnd"/>
      <w:r w:rsidRPr="00D97986">
        <w:rPr>
          <w:sz w:val="24"/>
          <w:szCs w:val="24"/>
        </w:rPr>
        <w:t xml:space="preserve"> hos ældre.</w:t>
      </w:r>
    </w:p>
    <w:p w14:paraId="7D9F3B62" w14:textId="77777777" w:rsidR="00CE092E" w:rsidRPr="00D97986" w:rsidRDefault="00CE092E" w:rsidP="00CE092E">
      <w:pPr>
        <w:ind w:left="851"/>
        <w:rPr>
          <w:sz w:val="24"/>
          <w:szCs w:val="24"/>
        </w:rPr>
      </w:pPr>
    </w:p>
    <w:p w14:paraId="60B62399" w14:textId="77777777" w:rsidR="00CE092E" w:rsidRPr="00D97986" w:rsidRDefault="00CE092E" w:rsidP="00CE092E">
      <w:pPr>
        <w:ind w:left="851"/>
        <w:rPr>
          <w:sz w:val="24"/>
          <w:szCs w:val="24"/>
          <w:u w:val="single"/>
        </w:rPr>
      </w:pPr>
      <w:r w:rsidRPr="00D97986">
        <w:rPr>
          <w:sz w:val="24"/>
          <w:szCs w:val="24"/>
          <w:u w:val="single"/>
        </w:rPr>
        <w:t xml:space="preserve">Administration </w:t>
      </w:r>
    </w:p>
    <w:p w14:paraId="4CE02B7D" w14:textId="77777777" w:rsidR="00CE092E" w:rsidRPr="00D97986" w:rsidRDefault="00CE092E" w:rsidP="00CE092E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>Vaginal</w:t>
      </w:r>
    </w:p>
    <w:p w14:paraId="4EF13C7E" w14:textId="77777777" w:rsidR="00CE092E" w:rsidRPr="00D97986" w:rsidRDefault="00CE092E" w:rsidP="00CE092E">
      <w:pPr>
        <w:ind w:left="851"/>
        <w:rPr>
          <w:sz w:val="24"/>
          <w:szCs w:val="24"/>
        </w:rPr>
      </w:pPr>
    </w:p>
    <w:p w14:paraId="17AA7EB3" w14:textId="77777777" w:rsidR="00CE092E" w:rsidRPr="00D97986" w:rsidRDefault="00CE092E" w:rsidP="00CE092E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 xml:space="preserve">Hver </w:t>
      </w:r>
      <w:proofErr w:type="spellStart"/>
      <w:r w:rsidRPr="00D97986">
        <w:rPr>
          <w:sz w:val="24"/>
          <w:szCs w:val="24"/>
        </w:rPr>
        <w:t>Progestan</w:t>
      </w:r>
      <w:proofErr w:type="spellEnd"/>
      <w:r w:rsidRPr="00D97986">
        <w:rPr>
          <w:sz w:val="24"/>
          <w:szCs w:val="24"/>
        </w:rPr>
        <w:t xml:space="preserve"> kapsel skal indføres dybt i vagina.</w:t>
      </w:r>
      <w:bookmarkEnd w:id="1"/>
    </w:p>
    <w:p w14:paraId="13142D93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82509C4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4.3</w:t>
      </w:r>
      <w:r w:rsidRPr="00D97986">
        <w:rPr>
          <w:b/>
          <w:sz w:val="24"/>
          <w:szCs w:val="24"/>
        </w:rPr>
        <w:tab/>
        <w:t>Kontraindikationer</w:t>
      </w:r>
    </w:p>
    <w:p w14:paraId="7A313F64" w14:textId="77777777" w:rsidR="00CE092E" w:rsidRPr="00D97986" w:rsidRDefault="00CE092E" w:rsidP="00CE092E">
      <w:pPr>
        <w:pStyle w:val="Listeafsnit"/>
        <w:numPr>
          <w:ilvl w:val="0"/>
          <w:numId w:val="8"/>
        </w:numPr>
        <w:tabs>
          <w:tab w:val="clear" w:pos="567"/>
        </w:tabs>
        <w:ind w:left="1276" w:hanging="425"/>
        <w:rPr>
          <w:noProof/>
          <w:sz w:val="24"/>
          <w:szCs w:val="24"/>
        </w:rPr>
      </w:pPr>
      <w:bookmarkStart w:id="3" w:name="_Hlk110577315"/>
      <w:r w:rsidRPr="00D97986">
        <w:rPr>
          <w:sz w:val="24"/>
          <w:szCs w:val="24"/>
        </w:rPr>
        <w:t>Overfølsomhed over for det aktive stof eller over for et eller flere af hjælpestofferne anført i pkt. 6.1</w:t>
      </w:r>
    </w:p>
    <w:p w14:paraId="4E59E91F" w14:textId="77777777" w:rsidR="00CE092E" w:rsidRPr="00D97986" w:rsidRDefault="00CE092E" w:rsidP="00CE092E">
      <w:pPr>
        <w:pStyle w:val="Listeafsnit"/>
        <w:numPr>
          <w:ilvl w:val="0"/>
          <w:numId w:val="8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D97986">
        <w:rPr>
          <w:sz w:val="24"/>
          <w:szCs w:val="24"/>
        </w:rPr>
        <w:t>Gulsot</w:t>
      </w:r>
    </w:p>
    <w:p w14:paraId="6A512599" w14:textId="77777777" w:rsidR="00CE092E" w:rsidRPr="00D97986" w:rsidRDefault="00CE092E" w:rsidP="00CE092E">
      <w:pPr>
        <w:pStyle w:val="Listeafsnit"/>
        <w:numPr>
          <w:ilvl w:val="0"/>
          <w:numId w:val="8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D97986">
        <w:rPr>
          <w:sz w:val="24"/>
          <w:szCs w:val="24"/>
        </w:rPr>
        <w:t xml:space="preserve">Svær </w:t>
      </w:r>
      <w:proofErr w:type="spellStart"/>
      <w:r w:rsidRPr="00D97986">
        <w:rPr>
          <w:sz w:val="24"/>
          <w:szCs w:val="24"/>
        </w:rPr>
        <w:t>hepatisk</w:t>
      </w:r>
      <w:proofErr w:type="spellEnd"/>
      <w:r w:rsidRPr="00D97986">
        <w:rPr>
          <w:sz w:val="24"/>
          <w:szCs w:val="24"/>
        </w:rPr>
        <w:t xml:space="preserve"> dysfunktion</w:t>
      </w:r>
    </w:p>
    <w:p w14:paraId="461C4888" w14:textId="77777777" w:rsidR="00CE092E" w:rsidRPr="00D97986" w:rsidRDefault="00CE092E" w:rsidP="00CE092E">
      <w:pPr>
        <w:pStyle w:val="Listeafsnit"/>
        <w:numPr>
          <w:ilvl w:val="0"/>
          <w:numId w:val="8"/>
        </w:numPr>
        <w:tabs>
          <w:tab w:val="clear" w:pos="567"/>
        </w:tabs>
        <w:ind w:left="1276" w:hanging="425"/>
        <w:rPr>
          <w:sz w:val="24"/>
          <w:szCs w:val="24"/>
        </w:rPr>
      </w:pPr>
      <w:proofErr w:type="spellStart"/>
      <w:r w:rsidRPr="00D97986">
        <w:rPr>
          <w:sz w:val="24"/>
          <w:szCs w:val="24"/>
        </w:rPr>
        <w:t>Udiagnosticeret</w:t>
      </w:r>
      <w:proofErr w:type="spellEnd"/>
      <w:r w:rsidRPr="00D97986">
        <w:rPr>
          <w:sz w:val="24"/>
          <w:szCs w:val="24"/>
        </w:rPr>
        <w:t xml:space="preserve"> vaginalblødning</w:t>
      </w:r>
    </w:p>
    <w:p w14:paraId="46175D1A" w14:textId="77777777" w:rsidR="00CE092E" w:rsidRPr="00D97986" w:rsidRDefault="00CE092E" w:rsidP="00CE092E">
      <w:pPr>
        <w:pStyle w:val="Listeafsnit"/>
        <w:numPr>
          <w:ilvl w:val="0"/>
          <w:numId w:val="8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D97986">
        <w:rPr>
          <w:sz w:val="24"/>
          <w:szCs w:val="24"/>
        </w:rPr>
        <w:t>Karcinom i mammae eller genitalkanalen</w:t>
      </w:r>
    </w:p>
    <w:p w14:paraId="095B842B" w14:textId="77777777" w:rsidR="00CE092E" w:rsidRPr="00D97986" w:rsidRDefault="00CE092E" w:rsidP="00CE092E">
      <w:pPr>
        <w:pStyle w:val="Listeafsnit"/>
        <w:numPr>
          <w:ilvl w:val="0"/>
          <w:numId w:val="8"/>
        </w:numPr>
        <w:tabs>
          <w:tab w:val="clear" w:pos="567"/>
        </w:tabs>
        <w:ind w:left="1276" w:hanging="425"/>
        <w:rPr>
          <w:sz w:val="24"/>
          <w:szCs w:val="24"/>
        </w:rPr>
      </w:pPr>
      <w:proofErr w:type="spellStart"/>
      <w:r w:rsidRPr="00D97986">
        <w:rPr>
          <w:sz w:val="24"/>
          <w:szCs w:val="24"/>
        </w:rPr>
        <w:t>Tromboflebitis</w:t>
      </w:r>
      <w:proofErr w:type="spellEnd"/>
    </w:p>
    <w:p w14:paraId="16EA114F" w14:textId="77777777" w:rsidR="00CE092E" w:rsidRPr="00D97986" w:rsidRDefault="00CE092E" w:rsidP="00CE092E">
      <w:pPr>
        <w:pStyle w:val="Listeafsnit"/>
        <w:numPr>
          <w:ilvl w:val="0"/>
          <w:numId w:val="8"/>
        </w:numPr>
        <w:tabs>
          <w:tab w:val="clear" w:pos="567"/>
        </w:tabs>
        <w:ind w:left="1276" w:hanging="425"/>
        <w:rPr>
          <w:sz w:val="24"/>
          <w:szCs w:val="24"/>
        </w:rPr>
      </w:pPr>
      <w:proofErr w:type="spellStart"/>
      <w:r w:rsidRPr="00D97986">
        <w:rPr>
          <w:sz w:val="24"/>
          <w:szCs w:val="24"/>
        </w:rPr>
        <w:t>Tromboemboliske</w:t>
      </w:r>
      <w:proofErr w:type="spellEnd"/>
      <w:r w:rsidRPr="00D97986">
        <w:rPr>
          <w:sz w:val="24"/>
          <w:szCs w:val="24"/>
        </w:rPr>
        <w:t xml:space="preserve"> sygdomme</w:t>
      </w:r>
    </w:p>
    <w:p w14:paraId="2CA6B335" w14:textId="77777777" w:rsidR="00CE092E" w:rsidRPr="00D97986" w:rsidRDefault="00CE092E" w:rsidP="00CE092E">
      <w:pPr>
        <w:pStyle w:val="Listeafsnit"/>
        <w:numPr>
          <w:ilvl w:val="0"/>
          <w:numId w:val="8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D97986">
        <w:rPr>
          <w:sz w:val="24"/>
          <w:szCs w:val="24"/>
        </w:rPr>
        <w:t xml:space="preserve">Cerebral </w:t>
      </w:r>
      <w:proofErr w:type="spellStart"/>
      <w:r w:rsidRPr="00D97986">
        <w:rPr>
          <w:sz w:val="24"/>
          <w:szCs w:val="24"/>
        </w:rPr>
        <w:t>hæmoragi</w:t>
      </w:r>
      <w:proofErr w:type="spellEnd"/>
    </w:p>
    <w:p w14:paraId="1235B1E0" w14:textId="77777777" w:rsidR="00CE092E" w:rsidRPr="00D97986" w:rsidRDefault="00CE092E" w:rsidP="00CE092E">
      <w:pPr>
        <w:pStyle w:val="Listeafsnit"/>
        <w:numPr>
          <w:ilvl w:val="0"/>
          <w:numId w:val="8"/>
        </w:numPr>
        <w:tabs>
          <w:tab w:val="clear" w:pos="567"/>
        </w:tabs>
        <w:ind w:left="1276" w:hanging="425"/>
        <w:rPr>
          <w:sz w:val="24"/>
          <w:szCs w:val="24"/>
        </w:rPr>
      </w:pPr>
      <w:proofErr w:type="spellStart"/>
      <w:r w:rsidRPr="00D97986">
        <w:rPr>
          <w:sz w:val="24"/>
          <w:szCs w:val="24"/>
        </w:rPr>
        <w:t>Porfyri</w:t>
      </w:r>
      <w:proofErr w:type="spellEnd"/>
    </w:p>
    <w:p w14:paraId="30F5AC01" w14:textId="77777777" w:rsidR="00CE092E" w:rsidRPr="00D97986" w:rsidRDefault="00CE092E" w:rsidP="00CE092E">
      <w:pPr>
        <w:pStyle w:val="Listeafsnit"/>
        <w:numPr>
          <w:ilvl w:val="0"/>
          <w:numId w:val="8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D97986">
        <w:rPr>
          <w:sz w:val="24"/>
          <w:szCs w:val="24"/>
        </w:rPr>
        <w:t>Allergi over for jordnødder eller soja (se pkt. 4.4)</w:t>
      </w:r>
      <w:bookmarkEnd w:id="3"/>
    </w:p>
    <w:p w14:paraId="2D5B6E4C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7A31B9F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4.4</w:t>
      </w:r>
      <w:r w:rsidRPr="00D97986">
        <w:rPr>
          <w:b/>
          <w:sz w:val="24"/>
          <w:szCs w:val="24"/>
        </w:rPr>
        <w:tab/>
        <w:t>Særlige advarsler og forsigtighedsregler vedrørende brugen</w:t>
      </w:r>
    </w:p>
    <w:p w14:paraId="3C985FC9" w14:textId="77777777" w:rsidR="00D97986" w:rsidRDefault="00D97986" w:rsidP="00CE092E">
      <w:pPr>
        <w:ind w:left="851"/>
        <w:rPr>
          <w:sz w:val="24"/>
          <w:szCs w:val="24"/>
        </w:rPr>
      </w:pPr>
    </w:p>
    <w:p w14:paraId="3E5E6D2A" w14:textId="1177D0F7" w:rsidR="00CE092E" w:rsidRPr="00D97986" w:rsidRDefault="00CE092E" w:rsidP="00CE092E">
      <w:pPr>
        <w:ind w:left="851"/>
        <w:rPr>
          <w:i/>
          <w:iCs/>
          <w:noProof/>
          <w:sz w:val="24"/>
          <w:szCs w:val="24"/>
          <w:u w:val="single"/>
        </w:rPr>
      </w:pPr>
      <w:r w:rsidRPr="00D97986">
        <w:rPr>
          <w:sz w:val="24"/>
          <w:szCs w:val="24"/>
          <w:u w:val="single"/>
        </w:rPr>
        <w:t>Advarsler:</w:t>
      </w:r>
    </w:p>
    <w:p w14:paraId="478EC0B8" w14:textId="77777777" w:rsidR="00CE092E" w:rsidRPr="00D97986" w:rsidRDefault="00CE092E" w:rsidP="00CE092E">
      <w:pPr>
        <w:ind w:left="851"/>
        <w:rPr>
          <w:sz w:val="24"/>
          <w:szCs w:val="24"/>
        </w:rPr>
      </w:pPr>
    </w:p>
    <w:p w14:paraId="4A84323A" w14:textId="77777777" w:rsidR="00CE092E" w:rsidRPr="00D97986" w:rsidRDefault="00CE092E" w:rsidP="00CE092E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>Der skal gennemføres en komplet lægeundersøgelse før opstart af behandlingen og regelmæssigt under behandlingen.</w:t>
      </w:r>
    </w:p>
    <w:p w14:paraId="4C87BDAD" w14:textId="77777777" w:rsidR="00CE092E" w:rsidRPr="00D97986" w:rsidRDefault="00CE092E" w:rsidP="00CE092E">
      <w:pPr>
        <w:ind w:left="851"/>
        <w:rPr>
          <w:noProof/>
          <w:sz w:val="24"/>
          <w:szCs w:val="24"/>
        </w:rPr>
      </w:pPr>
    </w:p>
    <w:p w14:paraId="0E847130" w14:textId="77777777" w:rsidR="00CE092E" w:rsidRPr="00D97986" w:rsidRDefault="00CE092E" w:rsidP="00CE092E">
      <w:pPr>
        <w:ind w:left="851"/>
        <w:rPr>
          <w:sz w:val="24"/>
          <w:szCs w:val="24"/>
        </w:rPr>
      </w:pPr>
      <w:proofErr w:type="spellStart"/>
      <w:r w:rsidRPr="00D97986">
        <w:rPr>
          <w:sz w:val="24"/>
          <w:szCs w:val="24"/>
        </w:rPr>
        <w:t>Progestan</w:t>
      </w:r>
      <w:proofErr w:type="spellEnd"/>
      <w:r w:rsidRPr="00D97986">
        <w:rPr>
          <w:sz w:val="24"/>
          <w:szCs w:val="24"/>
        </w:rPr>
        <w:t xml:space="preserve"> bør kun anvendes ved truende abort i første </w:t>
      </w:r>
      <w:proofErr w:type="spellStart"/>
      <w:r w:rsidRPr="00D97986">
        <w:rPr>
          <w:sz w:val="24"/>
          <w:szCs w:val="24"/>
        </w:rPr>
        <w:t>graviditetstrimester</w:t>
      </w:r>
      <w:proofErr w:type="spellEnd"/>
      <w:r w:rsidRPr="00D97986">
        <w:rPr>
          <w:sz w:val="24"/>
          <w:szCs w:val="24"/>
        </w:rPr>
        <w:t>, frem til 16. graviditetsuge, og må kun administreres vaginalt.</w:t>
      </w:r>
    </w:p>
    <w:p w14:paraId="09F70207" w14:textId="77777777" w:rsidR="00CE092E" w:rsidRPr="00D97986" w:rsidRDefault="00CE092E" w:rsidP="00CE092E">
      <w:pPr>
        <w:ind w:left="851"/>
        <w:rPr>
          <w:sz w:val="24"/>
          <w:szCs w:val="24"/>
        </w:rPr>
      </w:pPr>
      <w:bookmarkStart w:id="4" w:name="_Hlk531622444"/>
    </w:p>
    <w:p w14:paraId="641573DF" w14:textId="77777777" w:rsidR="00CE092E" w:rsidRPr="00D97986" w:rsidRDefault="00CE092E" w:rsidP="00CE092E">
      <w:pPr>
        <w:ind w:left="851"/>
        <w:rPr>
          <w:noProof/>
          <w:sz w:val="24"/>
          <w:szCs w:val="24"/>
        </w:rPr>
      </w:pPr>
      <w:proofErr w:type="spellStart"/>
      <w:r w:rsidRPr="00D97986">
        <w:rPr>
          <w:sz w:val="24"/>
          <w:szCs w:val="24"/>
        </w:rPr>
        <w:t>Progestan</w:t>
      </w:r>
      <w:proofErr w:type="spellEnd"/>
      <w:r w:rsidRPr="00D97986">
        <w:rPr>
          <w:sz w:val="24"/>
          <w:szCs w:val="24"/>
        </w:rPr>
        <w:t xml:space="preserve"> er ikke velegnet som </w:t>
      </w:r>
      <w:proofErr w:type="spellStart"/>
      <w:r w:rsidRPr="00D97986">
        <w:rPr>
          <w:sz w:val="24"/>
          <w:szCs w:val="24"/>
        </w:rPr>
        <w:t>kontraceptivum</w:t>
      </w:r>
      <w:proofErr w:type="spellEnd"/>
      <w:r w:rsidRPr="00D97986">
        <w:rPr>
          <w:sz w:val="24"/>
          <w:szCs w:val="24"/>
        </w:rPr>
        <w:t>.</w:t>
      </w:r>
    </w:p>
    <w:bookmarkEnd w:id="4"/>
    <w:p w14:paraId="260B2E18" w14:textId="77777777" w:rsidR="00CE092E" w:rsidRPr="00D97986" w:rsidRDefault="00CE092E" w:rsidP="00CE092E">
      <w:pPr>
        <w:ind w:left="851"/>
        <w:rPr>
          <w:sz w:val="24"/>
          <w:szCs w:val="24"/>
        </w:rPr>
      </w:pPr>
    </w:p>
    <w:p w14:paraId="15F420C5" w14:textId="77777777" w:rsidR="00CE092E" w:rsidRPr="00D97986" w:rsidRDefault="00CE092E" w:rsidP="00CE092E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 xml:space="preserve">Behandlingen skal seponeres ved diagnosticering af </w:t>
      </w:r>
      <w:proofErr w:type="spellStart"/>
      <w:r w:rsidRPr="00D97986">
        <w:rPr>
          <w:i/>
          <w:sz w:val="24"/>
          <w:szCs w:val="24"/>
        </w:rPr>
        <w:t>missed</w:t>
      </w:r>
      <w:proofErr w:type="spellEnd"/>
      <w:r w:rsidRPr="00D97986">
        <w:rPr>
          <w:i/>
          <w:sz w:val="24"/>
          <w:szCs w:val="24"/>
        </w:rPr>
        <w:t xml:space="preserve"> </w:t>
      </w:r>
      <w:proofErr w:type="spellStart"/>
      <w:r w:rsidRPr="00D97986">
        <w:rPr>
          <w:i/>
          <w:sz w:val="24"/>
          <w:szCs w:val="24"/>
        </w:rPr>
        <w:t>abortion</w:t>
      </w:r>
      <w:proofErr w:type="spellEnd"/>
      <w:r w:rsidRPr="00D97986">
        <w:rPr>
          <w:sz w:val="24"/>
          <w:szCs w:val="24"/>
        </w:rPr>
        <w:t>.</w:t>
      </w:r>
    </w:p>
    <w:p w14:paraId="5199D512" w14:textId="77777777" w:rsidR="00CE092E" w:rsidRPr="00D97986" w:rsidRDefault="00CE092E" w:rsidP="00CE092E">
      <w:pPr>
        <w:ind w:left="851"/>
        <w:rPr>
          <w:bCs/>
          <w:iCs/>
          <w:sz w:val="24"/>
          <w:szCs w:val="24"/>
        </w:rPr>
      </w:pPr>
      <w:bookmarkStart w:id="5" w:name="_Hlk63410813"/>
    </w:p>
    <w:p w14:paraId="158FF386" w14:textId="77777777" w:rsidR="00CE092E" w:rsidRPr="00D97986" w:rsidRDefault="00CE092E" w:rsidP="00CE092E">
      <w:pPr>
        <w:ind w:left="851"/>
        <w:rPr>
          <w:i/>
          <w:iCs/>
          <w:noProof/>
          <w:sz w:val="24"/>
          <w:szCs w:val="24"/>
        </w:rPr>
      </w:pPr>
      <w:r w:rsidRPr="00D97986">
        <w:rPr>
          <w:i/>
          <w:iCs/>
          <w:sz w:val="24"/>
          <w:szCs w:val="24"/>
        </w:rPr>
        <w:t>Forsigtighedsregler:</w:t>
      </w:r>
    </w:p>
    <w:p w14:paraId="4E7E294E" w14:textId="77777777" w:rsidR="00CE092E" w:rsidRPr="00D97986" w:rsidRDefault="00CE092E" w:rsidP="00CE092E">
      <w:pPr>
        <w:ind w:left="851"/>
        <w:rPr>
          <w:sz w:val="24"/>
          <w:szCs w:val="24"/>
        </w:rPr>
      </w:pPr>
    </w:p>
    <w:p w14:paraId="59037611" w14:textId="77777777" w:rsidR="00CE092E" w:rsidRPr="00D97986" w:rsidRDefault="00CE092E" w:rsidP="00CE092E">
      <w:pPr>
        <w:ind w:left="851"/>
        <w:rPr>
          <w:rFonts w:eastAsia="Arial"/>
          <w:sz w:val="24"/>
          <w:szCs w:val="24"/>
        </w:rPr>
      </w:pPr>
      <w:r w:rsidRPr="00D97986">
        <w:rPr>
          <w:sz w:val="24"/>
          <w:szCs w:val="24"/>
        </w:rPr>
        <w:t>Enhver vaginalblødning bør altid undersøges.</w:t>
      </w:r>
    </w:p>
    <w:p w14:paraId="74D5571E" w14:textId="77777777" w:rsidR="00CE092E" w:rsidRPr="00D97986" w:rsidRDefault="00CE092E" w:rsidP="00CE092E">
      <w:pPr>
        <w:ind w:left="851"/>
        <w:rPr>
          <w:sz w:val="24"/>
          <w:szCs w:val="24"/>
        </w:rPr>
      </w:pPr>
    </w:p>
    <w:p w14:paraId="377C1E26" w14:textId="77777777" w:rsidR="00CE092E" w:rsidRPr="00D97986" w:rsidRDefault="00CE092E" w:rsidP="00CE092E">
      <w:pPr>
        <w:ind w:left="851"/>
        <w:rPr>
          <w:noProof/>
          <w:sz w:val="24"/>
          <w:szCs w:val="24"/>
        </w:rPr>
      </w:pPr>
      <w:proofErr w:type="spellStart"/>
      <w:r w:rsidRPr="00D97986">
        <w:rPr>
          <w:b/>
          <w:sz w:val="24"/>
          <w:szCs w:val="24"/>
        </w:rPr>
        <w:t>Progestan</w:t>
      </w:r>
      <w:proofErr w:type="spellEnd"/>
      <w:r w:rsidRPr="00D97986">
        <w:rPr>
          <w:b/>
          <w:sz w:val="24"/>
          <w:szCs w:val="24"/>
        </w:rPr>
        <w:t xml:space="preserve"> indeholder </w:t>
      </w:r>
      <w:proofErr w:type="spellStart"/>
      <w:r w:rsidRPr="00D97986">
        <w:rPr>
          <w:b/>
          <w:sz w:val="24"/>
          <w:szCs w:val="24"/>
        </w:rPr>
        <w:t>sojalecithin</w:t>
      </w:r>
      <w:proofErr w:type="spellEnd"/>
      <w:r w:rsidRPr="00D97986">
        <w:rPr>
          <w:sz w:val="24"/>
          <w:szCs w:val="24"/>
        </w:rPr>
        <w:t xml:space="preserve"> og kan forårsage overfølsomhedsreaktioner (</w:t>
      </w:r>
      <w:proofErr w:type="spellStart"/>
      <w:r w:rsidRPr="00D97986">
        <w:rPr>
          <w:sz w:val="24"/>
          <w:szCs w:val="24"/>
        </w:rPr>
        <w:t>urticaria</w:t>
      </w:r>
      <w:proofErr w:type="spellEnd"/>
      <w:r w:rsidRPr="00D97986">
        <w:rPr>
          <w:sz w:val="24"/>
          <w:szCs w:val="24"/>
        </w:rPr>
        <w:t xml:space="preserve"> og </w:t>
      </w:r>
      <w:proofErr w:type="spellStart"/>
      <w:r w:rsidRPr="00D97986">
        <w:rPr>
          <w:sz w:val="24"/>
          <w:szCs w:val="24"/>
        </w:rPr>
        <w:t>anafylaktisk</w:t>
      </w:r>
      <w:proofErr w:type="spellEnd"/>
      <w:r w:rsidRPr="00D97986">
        <w:rPr>
          <w:sz w:val="24"/>
          <w:szCs w:val="24"/>
        </w:rPr>
        <w:t xml:space="preserve"> </w:t>
      </w:r>
      <w:proofErr w:type="spellStart"/>
      <w:r w:rsidRPr="00D97986">
        <w:rPr>
          <w:sz w:val="24"/>
          <w:szCs w:val="24"/>
        </w:rPr>
        <w:t>shock</w:t>
      </w:r>
      <w:proofErr w:type="spellEnd"/>
      <w:r w:rsidRPr="00D97986">
        <w:rPr>
          <w:sz w:val="24"/>
          <w:szCs w:val="24"/>
        </w:rPr>
        <w:t xml:space="preserve"> hos overfølsomme patienter). Da der er en muligt sammenhæng </w:t>
      </w:r>
      <w:r w:rsidRPr="00D97986">
        <w:rPr>
          <w:sz w:val="24"/>
          <w:szCs w:val="24"/>
        </w:rPr>
        <w:lastRenderedPageBreak/>
        <w:t xml:space="preserve">mellem sojaallergi og jordnøddeallergi, skal patienter med allergi over for jordnødder undgå at anvende </w:t>
      </w:r>
      <w:proofErr w:type="spellStart"/>
      <w:r w:rsidRPr="00D97986">
        <w:rPr>
          <w:sz w:val="24"/>
          <w:szCs w:val="24"/>
        </w:rPr>
        <w:t>Progestan</w:t>
      </w:r>
      <w:proofErr w:type="spellEnd"/>
      <w:r w:rsidRPr="00D97986">
        <w:rPr>
          <w:sz w:val="24"/>
          <w:szCs w:val="24"/>
        </w:rPr>
        <w:t xml:space="preserve"> (se pkt. 4.3).</w:t>
      </w:r>
    </w:p>
    <w:bookmarkEnd w:id="5"/>
    <w:p w14:paraId="18494FF0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8C745E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4.5</w:t>
      </w:r>
      <w:r w:rsidRPr="00D97986">
        <w:rPr>
          <w:b/>
          <w:sz w:val="24"/>
          <w:szCs w:val="24"/>
        </w:rPr>
        <w:tab/>
        <w:t>Interaktion med andre lægemidler og andre former for interaktion</w:t>
      </w:r>
    </w:p>
    <w:p w14:paraId="34E28620" w14:textId="77777777" w:rsidR="00CE092E" w:rsidRPr="00D97986" w:rsidRDefault="00CE092E" w:rsidP="00CE092E">
      <w:pPr>
        <w:ind w:left="851"/>
        <w:rPr>
          <w:sz w:val="24"/>
          <w:szCs w:val="24"/>
        </w:rPr>
      </w:pPr>
      <w:proofErr w:type="spellStart"/>
      <w:r w:rsidRPr="00D97986">
        <w:rPr>
          <w:sz w:val="24"/>
          <w:szCs w:val="24"/>
        </w:rPr>
        <w:t>Progestan</w:t>
      </w:r>
      <w:proofErr w:type="spellEnd"/>
      <w:r w:rsidRPr="00D97986">
        <w:rPr>
          <w:sz w:val="24"/>
          <w:szCs w:val="24"/>
        </w:rPr>
        <w:t xml:space="preserve"> kan interferere med virkningen af </w:t>
      </w:r>
      <w:proofErr w:type="spellStart"/>
      <w:r w:rsidRPr="00D97986">
        <w:rPr>
          <w:sz w:val="24"/>
          <w:szCs w:val="24"/>
        </w:rPr>
        <w:t>bromocriptin</w:t>
      </w:r>
      <w:proofErr w:type="spellEnd"/>
      <w:r w:rsidRPr="00D97986">
        <w:rPr>
          <w:sz w:val="24"/>
          <w:szCs w:val="24"/>
        </w:rPr>
        <w:t xml:space="preserve"> og kan øge plasmakoncentrationen af </w:t>
      </w:r>
      <w:proofErr w:type="spellStart"/>
      <w:r w:rsidRPr="00D97986">
        <w:rPr>
          <w:sz w:val="24"/>
          <w:szCs w:val="24"/>
        </w:rPr>
        <w:t>ciclosporin</w:t>
      </w:r>
      <w:proofErr w:type="spellEnd"/>
      <w:r w:rsidRPr="00D97986">
        <w:rPr>
          <w:sz w:val="24"/>
          <w:szCs w:val="24"/>
        </w:rPr>
        <w:t xml:space="preserve">. </w:t>
      </w:r>
      <w:proofErr w:type="spellStart"/>
      <w:r w:rsidRPr="00D97986">
        <w:rPr>
          <w:sz w:val="24"/>
          <w:szCs w:val="24"/>
        </w:rPr>
        <w:t>Progestan</w:t>
      </w:r>
      <w:proofErr w:type="spellEnd"/>
      <w:r w:rsidRPr="00D97986">
        <w:rPr>
          <w:sz w:val="24"/>
          <w:szCs w:val="24"/>
        </w:rPr>
        <w:t xml:space="preserve"> kan påvirke resultaterne af lever- og/eller endokrine funktioner.</w:t>
      </w:r>
    </w:p>
    <w:p w14:paraId="71403D0F" w14:textId="77777777" w:rsidR="00CE092E" w:rsidRPr="00D97986" w:rsidRDefault="00CE092E" w:rsidP="00CE092E">
      <w:pPr>
        <w:ind w:left="851"/>
        <w:rPr>
          <w:sz w:val="24"/>
          <w:szCs w:val="24"/>
        </w:rPr>
      </w:pPr>
    </w:p>
    <w:p w14:paraId="48735492" w14:textId="77777777" w:rsidR="00CE092E" w:rsidRPr="00D97986" w:rsidRDefault="00CE092E" w:rsidP="00CE092E">
      <w:pPr>
        <w:ind w:left="851"/>
        <w:rPr>
          <w:sz w:val="24"/>
          <w:szCs w:val="24"/>
        </w:rPr>
      </w:pPr>
      <w:proofErr w:type="spellStart"/>
      <w:r w:rsidRPr="00D97986">
        <w:rPr>
          <w:sz w:val="24"/>
          <w:szCs w:val="24"/>
        </w:rPr>
        <w:t>Rifamyciner</w:t>
      </w:r>
      <w:proofErr w:type="spellEnd"/>
      <w:r w:rsidRPr="00D97986">
        <w:rPr>
          <w:sz w:val="24"/>
          <w:szCs w:val="24"/>
        </w:rPr>
        <w:t xml:space="preserve"> (såsom </w:t>
      </w:r>
      <w:proofErr w:type="spellStart"/>
      <w:r w:rsidRPr="00D97986">
        <w:rPr>
          <w:sz w:val="24"/>
          <w:szCs w:val="24"/>
        </w:rPr>
        <w:t>rifampicin</w:t>
      </w:r>
      <w:proofErr w:type="spellEnd"/>
      <w:r w:rsidRPr="00D97986">
        <w:rPr>
          <w:sz w:val="24"/>
          <w:szCs w:val="24"/>
        </w:rPr>
        <w:t xml:space="preserve">) og antibakterielle midler fremskynder metabolismen af </w:t>
      </w:r>
      <w:proofErr w:type="spellStart"/>
      <w:r w:rsidRPr="00D97986">
        <w:rPr>
          <w:sz w:val="24"/>
          <w:szCs w:val="24"/>
        </w:rPr>
        <w:t>Progestan</w:t>
      </w:r>
      <w:proofErr w:type="spellEnd"/>
      <w:r w:rsidRPr="00D97986">
        <w:rPr>
          <w:sz w:val="24"/>
          <w:szCs w:val="24"/>
        </w:rPr>
        <w:t>.</w:t>
      </w:r>
    </w:p>
    <w:p w14:paraId="0B804314" w14:textId="77777777" w:rsidR="00CE092E" w:rsidRPr="00D97986" w:rsidRDefault="00CE092E" w:rsidP="00CE092E">
      <w:pPr>
        <w:ind w:left="851"/>
        <w:rPr>
          <w:sz w:val="24"/>
          <w:szCs w:val="24"/>
        </w:rPr>
      </w:pPr>
    </w:p>
    <w:p w14:paraId="529A082B" w14:textId="77777777" w:rsidR="00CE092E" w:rsidRPr="00D97986" w:rsidRDefault="00CE092E" w:rsidP="00CE092E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 xml:space="preserve">Metabolismen af progesteron via humane </w:t>
      </w:r>
      <w:proofErr w:type="spellStart"/>
      <w:r w:rsidRPr="00D97986">
        <w:rPr>
          <w:sz w:val="24"/>
          <w:szCs w:val="24"/>
        </w:rPr>
        <w:t>levermikrosomer</w:t>
      </w:r>
      <w:proofErr w:type="spellEnd"/>
      <w:r w:rsidRPr="00D97986">
        <w:rPr>
          <w:sz w:val="24"/>
          <w:szCs w:val="24"/>
        </w:rPr>
        <w:t xml:space="preserve"> blev hæmmet af </w:t>
      </w:r>
      <w:proofErr w:type="spellStart"/>
      <w:r w:rsidRPr="00D97986">
        <w:rPr>
          <w:sz w:val="24"/>
          <w:szCs w:val="24"/>
        </w:rPr>
        <w:t>ketoconazol</w:t>
      </w:r>
      <w:proofErr w:type="spellEnd"/>
      <w:r w:rsidRPr="00D97986">
        <w:rPr>
          <w:sz w:val="24"/>
          <w:szCs w:val="24"/>
        </w:rPr>
        <w:t xml:space="preserve"> (IC50 &lt;0,1 </w:t>
      </w:r>
      <w:proofErr w:type="spellStart"/>
      <w:r w:rsidRPr="00D97986">
        <w:rPr>
          <w:sz w:val="24"/>
          <w:szCs w:val="24"/>
        </w:rPr>
        <w:t>μM</w:t>
      </w:r>
      <w:proofErr w:type="spellEnd"/>
      <w:r w:rsidRPr="00D97986">
        <w:rPr>
          <w:sz w:val="24"/>
          <w:szCs w:val="24"/>
        </w:rPr>
        <w:t xml:space="preserve">). </w:t>
      </w:r>
      <w:proofErr w:type="spellStart"/>
      <w:r w:rsidRPr="00D97986">
        <w:rPr>
          <w:sz w:val="24"/>
          <w:szCs w:val="24"/>
        </w:rPr>
        <w:t>Ketoconazol</w:t>
      </w:r>
      <w:proofErr w:type="spellEnd"/>
      <w:r w:rsidRPr="00D97986">
        <w:rPr>
          <w:sz w:val="24"/>
          <w:szCs w:val="24"/>
        </w:rPr>
        <w:t xml:space="preserve"> er en kendt </w:t>
      </w:r>
      <w:proofErr w:type="spellStart"/>
      <w:r w:rsidRPr="00D97986">
        <w:rPr>
          <w:sz w:val="24"/>
          <w:szCs w:val="24"/>
        </w:rPr>
        <w:t>cytochrom</w:t>
      </w:r>
      <w:proofErr w:type="spellEnd"/>
      <w:r w:rsidRPr="00D97986">
        <w:rPr>
          <w:sz w:val="24"/>
          <w:szCs w:val="24"/>
        </w:rPr>
        <w:t xml:space="preserve"> P450 3A4-hæmmer. Disse data tyder således på, at </w:t>
      </w:r>
      <w:proofErr w:type="spellStart"/>
      <w:r w:rsidRPr="00D97986">
        <w:rPr>
          <w:sz w:val="24"/>
          <w:szCs w:val="24"/>
        </w:rPr>
        <w:t>ketoconazol</w:t>
      </w:r>
      <w:proofErr w:type="spellEnd"/>
      <w:r w:rsidRPr="00D97986">
        <w:rPr>
          <w:sz w:val="24"/>
          <w:szCs w:val="24"/>
        </w:rPr>
        <w:t xml:space="preserve"> kan øge biotilgængeligheden af progesteron. Den kliniske relevans af </w:t>
      </w:r>
      <w:r w:rsidRPr="00D97986">
        <w:rPr>
          <w:i/>
          <w:iCs/>
          <w:sz w:val="24"/>
          <w:szCs w:val="24"/>
        </w:rPr>
        <w:t xml:space="preserve">in </w:t>
      </w:r>
      <w:proofErr w:type="spellStart"/>
      <w:r w:rsidRPr="00D97986">
        <w:rPr>
          <w:i/>
          <w:iCs/>
          <w:sz w:val="24"/>
          <w:szCs w:val="24"/>
        </w:rPr>
        <w:t>vitro</w:t>
      </w:r>
      <w:proofErr w:type="spellEnd"/>
      <w:r w:rsidRPr="00D97986">
        <w:rPr>
          <w:sz w:val="24"/>
          <w:szCs w:val="24"/>
        </w:rPr>
        <w:t>-fundene er ikke kendt.</w:t>
      </w:r>
    </w:p>
    <w:p w14:paraId="255DEE39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F88CD5C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4.6</w:t>
      </w:r>
      <w:r w:rsidRPr="00D97986">
        <w:rPr>
          <w:b/>
          <w:sz w:val="24"/>
          <w:szCs w:val="24"/>
        </w:rPr>
        <w:tab/>
      </w:r>
      <w:r w:rsidR="0071241E" w:rsidRPr="00D97986">
        <w:rPr>
          <w:b/>
          <w:sz w:val="24"/>
          <w:szCs w:val="24"/>
        </w:rPr>
        <w:t>Fertilitet, g</w:t>
      </w:r>
      <w:r w:rsidRPr="00D97986">
        <w:rPr>
          <w:b/>
          <w:sz w:val="24"/>
          <w:szCs w:val="24"/>
        </w:rPr>
        <w:t>raviditet og amning</w:t>
      </w:r>
    </w:p>
    <w:p w14:paraId="49B942A0" w14:textId="77777777" w:rsidR="00D97986" w:rsidRDefault="00D97986" w:rsidP="00CE092E">
      <w:pPr>
        <w:ind w:left="851"/>
        <w:rPr>
          <w:sz w:val="24"/>
          <w:szCs w:val="24"/>
        </w:rPr>
      </w:pPr>
    </w:p>
    <w:p w14:paraId="099BAB9E" w14:textId="3C9F6382" w:rsidR="00CE092E" w:rsidRPr="00D97986" w:rsidRDefault="00CE092E" w:rsidP="00CE092E">
      <w:pPr>
        <w:ind w:left="851"/>
        <w:rPr>
          <w:sz w:val="24"/>
          <w:szCs w:val="24"/>
          <w:u w:val="single"/>
        </w:rPr>
      </w:pPr>
      <w:r w:rsidRPr="00D97986">
        <w:rPr>
          <w:sz w:val="24"/>
          <w:szCs w:val="24"/>
          <w:u w:val="single"/>
        </w:rPr>
        <w:t>Graviditet</w:t>
      </w:r>
    </w:p>
    <w:p w14:paraId="3413783C" w14:textId="77777777" w:rsidR="00CE092E" w:rsidRPr="00D97986" w:rsidRDefault="00CE092E" w:rsidP="00CE092E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 xml:space="preserve">Der er ikke fundet nogen forbindelse mellem </w:t>
      </w:r>
      <w:proofErr w:type="spellStart"/>
      <w:r w:rsidRPr="00D97986">
        <w:rPr>
          <w:sz w:val="24"/>
          <w:szCs w:val="24"/>
        </w:rPr>
        <w:t>maternel</w:t>
      </w:r>
      <w:proofErr w:type="spellEnd"/>
      <w:r w:rsidRPr="00D97986">
        <w:rPr>
          <w:sz w:val="24"/>
          <w:szCs w:val="24"/>
        </w:rPr>
        <w:t xml:space="preserve"> brug af naturligt progesteron i den tidlige graviditet og </w:t>
      </w:r>
      <w:proofErr w:type="spellStart"/>
      <w:r w:rsidRPr="00D97986">
        <w:rPr>
          <w:sz w:val="24"/>
          <w:szCs w:val="24"/>
        </w:rPr>
        <w:t>føtale</w:t>
      </w:r>
      <w:proofErr w:type="spellEnd"/>
      <w:r w:rsidRPr="00D97986">
        <w:rPr>
          <w:sz w:val="24"/>
          <w:szCs w:val="24"/>
        </w:rPr>
        <w:t xml:space="preserve"> misdannelser.</w:t>
      </w:r>
    </w:p>
    <w:p w14:paraId="69F8533C" w14:textId="77777777" w:rsidR="00CE092E" w:rsidRPr="00D97986" w:rsidRDefault="00CE092E" w:rsidP="00CE092E">
      <w:pPr>
        <w:ind w:left="851"/>
        <w:rPr>
          <w:sz w:val="24"/>
          <w:szCs w:val="24"/>
        </w:rPr>
      </w:pPr>
    </w:p>
    <w:p w14:paraId="769E22E6" w14:textId="77777777" w:rsidR="00CE092E" w:rsidRPr="00D97986" w:rsidRDefault="00CE092E" w:rsidP="00CE092E">
      <w:pPr>
        <w:ind w:left="851"/>
        <w:rPr>
          <w:sz w:val="24"/>
          <w:szCs w:val="24"/>
          <w:u w:val="single"/>
        </w:rPr>
      </w:pPr>
      <w:r w:rsidRPr="00D97986">
        <w:rPr>
          <w:sz w:val="24"/>
          <w:szCs w:val="24"/>
          <w:u w:val="single"/>
        </w:rPr>
        <w:t>Amning</w:t>
      </w:r>
    </w:p>
    <w:p w14:paraId="2BADC64B" w14:textId="77777777" w:rsidR="00CE092E" w:rsidRPr="00D97986" w:rsidRDefault="00CE092E" w:rsidP="00CE092E">
      <w:pPr>
        <w:ind w:left="851"/>
        <w:rPr>
          <w:sz w:val="24"/>
          <w:szCs w:val="24"/>
        </w:rPr>
      </w:pPr>
      <w:proofErr w:type="spellStart"/>
      <w:r w:rsidRPr="00D97986">
        <w:rPr>
          <w:sz w:val="24"/>
          <w:szCs w:val="24"/>
        </w:rPr>
        <w:t>Progestan</w:t>
      </w:r>
      <w:proofErr w:type="spellEnd"/>
      <w:r w:rsidRPr="00D97986">
        <w:rPr>
          <w:sz w:val="24"/>
          <w:szCs w:val="24"/>
        </w:rPr>
        <w:t xml:space="preserve"> er ikke indiceret i </w:t>
      </w:r>
      <w:proofErr w:type="spellStart"/>
      <w:r w:rsidRPr="00D97986">
        <w:rPr>
          <w:sz w:val="24"/>
          <w:szCs w:val="24"/>
        </w:rPr>
        <w:t>ammeperioden</w:t>
      </w:r>
      <w:proofErr w:type="spellEnd"/>
      <w:r w:rsidRPr="00D97986">
        <w:rPr>
          <w:sz w:val="24"/>
          <w:szCs w:val="24"/>
        </w:rPr>
        <w:t>. Progesteron udskilles i modermælken i sporbare mængder.</w:t>
      </w:r>
    </w:p>
    <w:p w14:paraId="449D0516" w14:textId="77777777" w:rsidR="00CE092E" w:rsidRPr="00D97986" w:rsidRDefault="00CE092E" w:rsidP="00CE092E">
      <w:pPr>
        <w:ind w:left="851"/>
        <w:rPr>
          <w:sz w:val="24"/>
          <w:szCs w:val="24"/>
        </w:rPr>
      </w:pPr>
    </w:p>
    <w:p w14:paraId="56D8EEAA" w14:textId="77777777" w:rsidR="00CE092E" w:rsidRPr="00D97986" w:rsidRDefault="00CE092E" w:rsidP="00CE092E">
      <w:pPr>
        <w:ind w:left="851"/>
        <w:rPr>
          <w:sz w:val="24"/>
          <w:szCs w:val="24"/>
          <w:u w:val="single"/>
        </w:rPr>
      </w:pPr>
      <w:r w:rsidRPr="00D97986">
        <w:rPr>
          <w:sz w:val="24"/>
          <w:szCs w:val="24"/>
          <w:u w:val="single"/>
        </w:rPr>
        <w:t>Fertilitet</w:t>
      </w:r>
    </w:p>
    <w:p w14:paraId="5B48C925" w14:textId="77777777" w:rsidR="00CE092E" w:rsidRPr="00D97986" w:rsidRDefault="00CE092E" w:rsidP="00CE092E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>Eftersom dette lægemiddel er indiceret til forebyggelse af abort hos kvinder, er der ingen kendt skadelig indvirkning på fertiliteten.</w:t>
      </w:r>
    </w:p>
    <w:p w14:paraId="1BACB40B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83BCA6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4.7</w:t>
      </w:r>
      <w:r w:rsidRPr="00D97986">
        <w:rPr>
          <w:b/>
          <w:sz w:val="24"/>
          <w:szCs w:val="24"/>
        </w:rPr>
        <w:tab/>
        <w:t xml:space="preserve">Virkning på evnen til at føre motorkøretøj </w:t>
      </w:r>
      <w:r w:rsidR="0071241E" w:rsidRPr="00D97986">
        <w:rPr>
          <w:b/>
          <w:sz w:val="24"/>
          <w:szCs w:val="24"/>
        </w:rPr>
        <w:t>og</w:t>
      </w:r>
      <w:r w:rsidRPr="00D97986">
        <w:rPr>
          <w:b/>
          <w:sz w:val="24"/>
          <w:szCs w:val="24"/>
        </w:rPr>
        <w:t xml:space="preserve"> betjene maskiner</w:t>
      </w:r>
    </w:p>
    <w:p w14:paraId="4BEE513F" w14:textId="77777777" w:rsidR="00CE092E" w:rsidRPr="00D97986" w:rsidRDefault="00CE092E" w:rsidP="00CE092E">
      <w:pPr>
        <w:ind w:left="851"/>
        <w:rPr>
          <w:sz w:val="24"/>
          <w:szCs w:val="24"/>
        </w:rPr>
      </w:pPr>
      <w:bookmarkStart w:id="6" w:name="_Hlk110578865"/>
      <w:r w:rsidRPr="00D97986">
        <w:rPr>
          <w:sz w:val="24"/>
          <w:szCs w:val="24"/>
        </w:rPr>
        <w:t>Ikke mærkning.</w:t>
      </w:r>
    </w:p>
    <w:p w14:paraId="10AFB8B4" w14:textId="77777777" w:rsidR="00CE092E" w:rsidRPr="00D97986" w:rsidRDefault="00CE092E" w:rsidP="00CE092E">
      <w:pPr>
        <w:ind w:left="851"/>
        <w:rPr>
          <w:noProof/>
          <w:sz w:val="24"/>
          <w:szCs w:val="24"/>
        </w:rPr>
      </w:pPr>
      <w:proofErr w:type="spellStart"/>
      <w:r w:rsidRPr="00D97986">
        <w:rPr>
          <w:sz w:val="24"/>
          <w:szCs w:val="24"/>
        </w:rPr>
        <w:t>Progestan</w:t>
      </w:r>
      <w:proofErr w:type="spellEnd"/>
      <w:r w:rsidRPr="00D97986">
        <w:rPr>
          <w:sz w:val="24"/>
          <w:szCs w:val="24"/>
        </w:rPr>
        <w:t xml:space="preserve"> kan påvirke evnen til at føre motorkøretøj og betjene maskiner i moderat grad.</w:t>
      </w:r>
      <w:bookmarkEnd w:id="6"/>
    </w:p>
    <w:p w14:paraId="60671914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E3A04BB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4.8</w:t>
      </w:r>
      <w:r w:rsidRPr="00D97986">
        <w:rPr>
          <w:b/>
          <w:sz w:val="24"/>
          <w:szCs w:val="24"/>
        </w:rPr>
        <w:tab/>
        <w:t>Bivirkninger</w:t>
      </w:r>
    </w:p>
    <w:p w14:paraId="1251692E" w14:textId="77777777" w:rsidR="00CE092E" w:rsidRPr="00D97986" w:rsidRDefault="00CE092E" w:rsidP="00D97986">
      <w:pPr>
        <w:ind w:left="851"/>
        <w:rPr>
          <w:sz w:val="24"/>
          <w:szCs w:val="24"/>
        </w:rPr>
      </w:pPr>
      <w:bookmarkStart w:id="7" w:name="_Hlk110578932"/>
      <w:bookmarkStart w:id="8" w:name="_Hlk110581472"/>
      <w:r w:rsidRPr="00D97986">
        <w:rPr>
          <w:sz w:val="24"/>
          <w:szCs w:val="24"/>
        </w:rPr>
        <w:t xml:space="preserve">Lokal </w:t>
      </w:r>
      <w:proofErr w:type="spellStart"/>
      <w:r w:rsidRPr="00D97986">
        <w:rPr>
          <w:sz w:val="24"/>
          <w:szCs w:val="24"/>
        </w:rPr>
        <w:t>intolerans</w:t>
      </w:r>
      <w:proofErr w:type="spellEnd"/>
      <w:r w:rsidRPr="00D97986">
        <w:rPr>
          <w:sz w:val="24"/>
          <w:szCs w:val="24"/>
        </w:rPr>
        <w:t xml:space="preserve"> (svie, kløe eller olieagtigt udflåd) er set, men forekomsten er ekstremt sjælden.</w:t>
      </w:r>
    </w:p>
    <w:p w14:paraId="583CB8C4" w14:textId="77777777" w:rsidR="00CE092E" w:rsidRPr="00D97986" w:rsidRDefault="00CE092E" w:rsidP="00D97986">
      <w:pPr>
        <w:ind w:left="851"/>
        <w:rPr>
          <w:sz w:val="24"/>
          <w:szCs w:val="24"/>
        </w:rPr>
      </w:pPr>
      <w:bookmarkStart w:id="9" w:name="_Hlk42764370"/>
    </w:p>
    <w:p w14:paraId="2C8913BE" w14:textId="5180C333" w:rsidR="00CE092E" w:rsidRPr="00D97986" w:rsidRDefault="00CE092E" w:rsidP="00D97986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>Ved brug i henhold til anbefalingerne kan der forekomme forbigående træthed eller svimmelhed i løbet af 1-3 timer efter indtagelse af lægemidlet.</w:t>
      </w:r>
    </w:p>
    <w:p w14:paraId="53CD4A47" w14:textId="43104360" w:rsidR="00D97986" w:rsidRPr="00D97986" w:rsidRDefault="00D97986" w:rsidP="00D97986">
      <w:pPr>
        <w:ind w:left="851"/>
        <w:rPr>
          <w:sz w:val="24"/>
          <w:szCs w:val="24"/>
        </w:rPr>
      </w:pPr>
    </w:p>
    <w:p w14:paraId="6278D49B" w14:textId="77777777" w:rsidR="00D97986" w:rsidRPr="00D97986" w:rsidRDefault="00D97986" w:rsidP="00D97986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 xml:space="preserve">Bivirkninger er bedømt ved brug af følgende hyppighedskonventioner: Meget almindelig (≥ 1/10), almindelig (≥ 1/100 til &lt; 1/10), ikke almindelig (≥ 1/1 000 til &lt; 1/100), sjælden </w:t>
      </w:r>
    </w:p>
    <w:p w14:paraId="50812FAD" w14:textId="77777777" w:rsidR="00D97986" w:rsidRPr="00D97986" w:rsidRDefault="00D97986" w:rsidP="00D97986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>(≥ 1/10 000 til &lt; 1/1 000), meget sjælden (&lt; 1/10 000), ikke kendt (kan ikke estimeres ud fra forhåndenværende data).</w:t>
      </w:r>
    </w:p>
    <w:p w14:paraId="45EA6257" w14:textId="77777777" w:rsidR="00D97986" w:rsidRPr="00D97986" w:rsidRDefault="00D97986" w:rsidP="00D97986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tbl>
      <w:tblPr>
        <w:tblStyle w:val="Tabel-Gitter"/>
        <w:tblW w:w="8788" w:type="dxa"/>
        <w:tblInd w:w="846" w:type="dxa"/>
        <w:tblLook w:val="04A0" w:firstRow="1" w:lastRow="0" w:firstColumn="1" w:lastColumn="0" w:noHBand="0" w:noVBand="1"/>
      </w:tblPr>
      <w:tblGrid>
        <w:gridCol w:w="3119"/>
        <w:gridCol w:w="5669"/>
      </w:tblGrid>
      <w:tr w:rsidR="00CE092E" w:rsidRPr="00D97986" w14:paraId="50CBF029" w14:textId="77777777" w:rsidTr="00D97986">
        <w:tc>
          <w:tcPr>
            <w:tcW w:w="3119" w:type="dxa"/>
            <w:hideMark/>
          </w:tcPr>
          <w:p w14:paraId="50B0A7E1" w14:textId="77777777" w:rsidR="00CE092E" w:rsidRPr="00D97986" w:rsidRDefault="00CE092E">
            <w:pPr>
              <w:tabs>
                <w:tab w:val="left" w:pos="130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0" w:name="_Hlk110578945"/>
            <w:bookmarkEnd w:id="7"/>
            <w:bookmarkEnd w:id="9"/>
            <w:r w:rsidRPr="00D97986">
              <w:rPr>
                <w:rFonts w:ascii="Times New Roman" w:hAnsi="Times New Roman"/>
                <w:b/>
                <w:bCs/>
                <w:sz w:val="24"/>
                <w:szCs w:val="24"/>
              </w:rPr>
              <w:t>Systemorganklasse</w:t>
            </w:r>
          </w:p>
        </w:tc>
        <w:tc>
          <w:tcPr>
            <w:tcW w:w="5669" w:type="dxa"/>
            <w:hideMark/>
          </w:tcPr>
          <w:p w14:paraId="2425498B" w14:textId="77777777" w:rsidR="00CE092E" w:rsidRPr="00D97986" w:rsidRDefault="00CE092E">
            <w:pPr>
              <w:tabs>
                <w:tab w:val="left" w:pos="130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986">
              <w:rPr>
                <w:rFonts w:ascii="Times New Roman" w:hAnsi="Times New Roman"/>
                <w:b/>
                <w:bCs/>
                <w:sz w:val="24"/>
                <w:szCs w:val="24"/>
              </w:rPr>
              <w:t>Hyppigheden ikke kendt</w:t>
            </w:r>
          </w:p>
          <w:p w14:paraId="45831510" w14:textId="77777777" w:rsidR="00CE092E" w:rsidRPr="00D97986" w:rsidRDefault="00CE092E">
            <w:pPr>
              <w:tabs>
                <w:tab w:val="left" w:pos="130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986">
              <w:rPr>
                <w:rFonts w:ascii="Times New Roman" w:hAnsi="Times New Roman"/>
                <w:b/>
                <w:bCs/>
                <w:sz w:val="24"/>
                <w:szCs w:val="24"/>
              </w:rPr>
              <w:t>(kan ikke estimeres ud fra forhåndenværende data)</w:t>
            </w:r>
          </w:p>
        </w:tc>
      </w:tr>
      <w:tr w:rsidR="00CE092E" w:rsidRPr="00D97986" w14:paraId="5A04F0D5" w14:textId="77777777" w:rsidTr="00D97986">
        <w:tc>
          <w:tcPr>
            <w:tcW w:w="3119" w:type="dxa"/>
            <w:hideMark/>
          </w:tcPr>
          <w:p w14:paraId="3AC93D92" w14:textId="77777777" w:rsidR="00CE092E" w:rsidRPr="00D97986" w:rsidRDefault="00CE092E">
            <w:pPr>
              <w:tabs>
                <w:tab w:val="left" w:pos="1304"/>
              </w:tabs>
              <w:rPr>
                <w:rFonts w:ascii="Times New Roman" w:hAnsi="Times New Roman"/>
                <w:sz w:val="24"/>
                <w:szCs w:val="24"/>
              </w:rPr>
            </w:pPr>
            <w:r w:rsidRPr="00D97986">
              <w:rPr>
                <w:rFonts w:ascii="Times New Roman" w:hAnsi="Times New Roman"/>
                <w:sz w:val="24"/>
                <w:szCs w:val="24"/>
              </w:rPr>
              <w:t>Hud og subkutane væv</w:t>
            </w:r>
          </w:p>
        </w:tc>
        <w:tc>
          <w:tcPr>
            <w:tcW w:w="5669" w:type="dxa"/>
            <w:hideMark/>
          </w:tcPr>
          <w:p w14:paraId="554BDA5C" w14:textId="77777777" w:rsidR="00CE092E" w:rsidRPr="00D97986" w:rsidRDefault="00CE092E">
            <w:pPr>
              <w:tabs>
                <w:tab w:val="left" w:pos="130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986">
              <w:rPr>
                <w:rFonts w:ascii="Times New Roman" w:hAnsi="Times New Roman"/>
                <w:sz w:val="24"/>
                <w:szCs w:val="24"/>
              </w:rPr>
              <w:t>Pruritus</w:t>
            </w:r>
            <w:proofErr w:type="spellEnd"/>
          </w:p>
        </w:tc>
      </w:tr>
      <w:tr w:rsidR="00CE092E" w:rsidRPr="00D97986" w14:paraId="2929F730" w14:textId="77777777" w:rsidTr="00D97986">
        <w:tc>
          <w:tcPr>
            <w:tcW w:w="3119" w:type="dxa"/>
            <w:hideMark/>
          </w:tcPr>
          <w:p w14:paraId="0A980D6C" w14:textId="77777777" w:rsidR="00CE092E" w:rsidRPr="00D97986" w:rsidRDefault="00CE092E">
            <w:pPr>
              <w:tabs>
                <w:tab w:val="left" w:pos="1304"/>
              </w:tabs>
              <w:rPr>
                <w:rFonts w:ascii="Times New Roman" w:hAnsi="Times New Roman"/>
                <w:sz w:val="24"/>
                <w:szCs w:val="24"/>
              </w:rPr>
            </w:pPr>
            <w:r w:rsidRPr="00D97986">
              <w:rPr>
                <w:rFonts w:ascii="Times New Roman" w:hAnsi="Times New Roman"/>
                <w:sz w:val="24"/>
                <w:szCs w:val="24"/>
              </w:rPr>
              <w:t>Det reproduktive system og mammae</w:t>
            </w:r>
          </w:p>
        </w:tc>
        <w:tc>
          <w:tcPr>
            <w:tcW w:w="5669" w:type="dxa"/>
            <w:hideMark/>
          </w:tcPr>
          <w:p w14:paraId="0647AD3F" w14:textId="77777777" w:rsidR="00CE092E" w:rsidRPr="00D97986" w:rsidRDefault="00CE092E">
            <w:pPr>
              <w:tabs>
                <w:tab w:val="left" w:pos="1304"/>
              </w:tabs>
              <w:rPr>
                <w:rFonts w:ascii="Times New Roman" w:hAnsi="Times New Roman"/>
                <w:sz w:val="24"/>
                <w:szCs w:val="24"/>
              </w:rPr>
            </w:pPr>
            <w:r w:rsidRPr="00D97986">
              <w:rPr>
                <w:rFonts w:ascii="Times New Roman" w:hAnsi="Times New Roman"/>
                <w:sz w:val="24"/>
                <w:szCs w:val="24"/>
              </w:rPr>
              <w:t>Vaginalt udflåd</w:t>
            </w:r>
          </w:p>
          <w:p w14:paraId="06CE0888" w14:textId="77777777" w:rsidR="00CE092E" w:rsidRPr="00D97986" w:rsidRDefault="00CE092E">
            <w:pPr>
              <w:tabs>
                <w:tab w:val="left" w:pos="1304"/>
              </w:tabs>
              <w:rPr>
                <w:rFonts w:ascii="Times New Roman" w:hAnsi="Times New Roman"/>
                <w:sz w:val="24"/>
                <w:szCs w:val="24"/>
              </w:rPr>
            </w:pPr>
            <w:r w:rsidRPr="00D97986">
              <w:rPr>
                <w:rFonts w:ascii="Times New Roman" w:hAnsi="Times New Roman"/>
                <w:sz w:val="24"/>
                <w:szCs w:val="24"/>
              </w:rPr>
              <w:t>Vaginalblødning</w:t>
            </w:r>
          </w:p>
        </w:tc>
      </w:tr>
      <w:tr w:rsidR="00CE092E" w:rsidRPr="00D97986" w14:paraId="7D2DEC9A" w14:textId="77777777" w:rsidTr="00D97986">
        <w:trPr>
          <w:trHeight w:val="283"/>
        </w:trPr>
        <w:tc>
          <w:tcPr>
            <w:tcW w:w="3119" w:type="dxa"/>
            <w:hideMark/>
          </w:tcPr>
          <w:p w14:paraId="49FCC59A" w14:textId="77777777" w:rsidR="00CE092E" w:rsidRPr="00D97986" w:rsidRDefault="00CE092E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D97986">
              <w:rPr>
                <w:rFonts w:ascii="Times New Roman" w:hAnsi="Times New Roman"/>
                <w:sz w:val="24"/>
                <w:szCs w:val="24"/>
              </w:rPr>
              <w:lastRenderedPageBreak/>
              <w:t>Almene symptomer og reaktioner på administrationsstedet</w:t>
            </w:r>
          </w:p>
        </w:tc>
        <w:tc>
          <w:tcPr>
            <w:tcW w:w="5669" w:type="dxa"/>
            <w:hideMark/>
          </w:tcPr>
          <w:p w14:paraId="013584A2" w14:textId="77777777" w:rsidR="00CE092E" w:rsidRPr="00D97986" w:rsidRDefault="00CE092E">
            <w:pPr>
              <w:rPr>
                <w:rFonts w:ascii="Times New Roman" w:hAnsi="Times New Roman"/>
                <w:sz w:val="24"/>
                <w:szCs w:val="24"/>
              </w:rPr>
            </w:pPr>
            <w:r w:rsidRPr="00D97986">
              <w:rPr>
                <w:rFonts w:ascii="Times New Roman" w:hAnsi="Times New Roman"/>
                <w:sz w:val="24"/>
                <w:szCs w:val="24"/>
              </w:rPr>
              <w:t>Brændende fornemmelse.</w:t>
            </w:r>
          </w:p>
        </w:tc>
      </w:tr>
    </w:tbl>
    <w:p w14:paraId="65DAC129" w14:textId="77777777" w:rsidR="00CE092E" w:rsidRPr="00D97986" w:rsidRDefault="00CE092E" w:rsidP="00D97986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bookmarkEnd w:id="8"/>
    <w:bookmarkEnd w:id="10"/>
    <w:p w14:paraId="143138F5" w14:textId="77777777" w:rsidR="00CE092E" w:rsidRPr="00D97986" w:rsidRDefault="00CE092E" w:rsidP="00D97986">
      <w:pPr>
        <w:ind w:left="851"/>
        <w:rPr>
          <w:sz w:val="24"/>
          <w:szCs w:val="24"/>
          <w:u w:val="single"/>
        </w:rPr>
      </w:pPr>
      <w:r w:rsidRPr="00D97986">
        <w:rPr>
          <w:noProof/>
          <w:sz w:val="24"/>
          <w:szCs w:val="24"/>
          <w:u w:val="single"/>
        </w:rPr>
        <w:t>Indberetning af formodede bivirkninger</w:t>
      </w:r>
    </w:p>
    <w:p w14:paraId="3F62DA88" w14:textId="77777777" w:rsidR="00CE092E" w:rsidRPr="00D97986" w:rsidRDefault="00CE092E" w:rsidP="00D97986">
      <w:pPr>
        <w:ind w:left="851"/>
        <w:rPr>
          <w:noProof/>
          <w:sz w:val="24"/>
          <w:szCs w:val="24"/>
        </w:rPr>
      </w:pPr>
      <w:r w:rsidRPr="00D97986">
        <w:rPr>
          <w:noProof/>
          <w:sz w:val="24"/>
          <w:szCs w:val="24"/>
        </w:rPr>
        <w:t>Når lægemidlet er godkendt, er indberetning af formodede bivirkninger vigtig.</w:t>
      </w:r>
      <w:r w:rsidRPr="00D97986">
        <w:rPr>
          <w:sz w:val="24"/>
          <w:szCs w:val="24"/>
        </w:rPr>
        <w:t xml:space="preserve"> </w:t>
      </w:r>
      <w:r w:rsidRPr="00D97986">
        <w:rPr>
          <w:noProof/>
          <w:sz w:val="24"/>
          <w:szCs w:val="24"/>
        </w:rPr>
        <w:t>Det muliggør løbende overvågning af benefit/risk-forholdet for lægemidlet.</w:t>
      </w:r>
      <w:r w:rsidRPr="00D97986">
        <w:rPr>
          <w:sz w:val="24"/>
          <w:szCs w:val="24"/>
        </w:rPr>
        <w:t xml:space="preserve"> </w:t>
      </w:r>
      <w:r w:rsidRPr="00D97986">
        <w:rPr>
          <w:noProof/>
          <w:sz w:val="24"/>
          <w:szCs w:val="24"/>
        </w:rPr>
        <w:t>Sundhedspersoner anmodes om at indberette alle formodede bivirkninger via:</w:t>
      </w:r>
    </w:p>
    <w:p w14:paraId="4E6670D7" w14:textId="77777777" w:rsidR="00CE092E" w:rsidRPr="00D97986" w:rsidRDefault="00CE092E" w:rsidP="00D97986">
      <w:pPr>
        <w:ind w:left="851"/>
        <w:rPr>
          <w:noProof/>
          <w:sz w:val="24"/>
          <w:szCs w:val="24"/>
        </w:rPr>
      </w:pPr>
    </w:p>
    <w:p w14:paraId="4B03D55A" w14:textId="77777777" w:rsidR="00CE092E" w:rsidRPr="00D97986" w:rsidRDefault="00CE092E" w:rsidP="00D97986">
      <w:pPr>
        <w:ind w:left="851"/>
        <w:rPr>
          <w:noProof/>
          <w:sz w:val="24"/>
          <w:szCs w:val="24"/>
        </w:rPr>
      </w:pPr>
      <w:r w:rsidRPr="00D97986">
        <w:rPr>
          <w:noProof/>
          <w:sz w:val="24"/>
          <w:szCs w:val="24"/>
        </w:rPr>
        <w:t>Lægemiddelstyrelsen</w:t>
      </w:r>
    </w:p>
    <w:p w14:paraId="6D1CB117" w14:textId="77777777" w:rsidR="00CE092E" w:rsidRPr="00D97986" w:rsidRDefault="00CE092E" w:rsidP="00D97986">
      <w:pPr>
        <w:ind w:left="851"/>
        <w:rPr>
          <w:noProof/>
          <w:sz w:val="24"/>
          <w:szCs w:val="24"/>
        </w:rPr>
      </w:pPr>
      <w:r w:rsidRPr="00D97986">
        <w:rPr>
          <w:noProof/>
          <w:sz w:val="24"/>
          <w:szCs w:val="24"/>
        </w:rPr>
        <w:t>Axel Heides Gade 1</w:t>
      </w:r>
    </w:p>
    <w:p w14:paraId="00C29F91" w14:textId="77777777" w:rsidR="00CE092E" w:rsidRPr="00D97986" w:rsidRDefault="00CE092E" w:rsidP="00D97986">
      <w:pPr>
        <w:ind w:left="851"/>
        <w:rPr>
          <w:noProof/>
          <w:sz w:val="24"/>
          <w:szCs w:val="24"/>
        </w:rPr>
      </w:pPr>
      <w:r w:rsidRPr="00D97986">
        <w:rPr>
          <w:noProof/>
          <w:sz w:val="24"/>
          <w:szCs w:val="24"/>
        </w:rPr>
        <w:t>DK-2300 København S</w:t>
      </w:r>
    </w:p>
    <w:p w14:paraId="457039D8" w14:textId="77777777" w:rsidR="00CE092E" w:rsidRPr="00D97986" w:rsidRDefault="00CE092E" w:rsidP="00D97986">
      <w:pPr>
        <w:ind w:left="851"/>
        <w:rPr>
          <w:noProof/>
          <w:sz w:val="24"/>
          <w:szCs w:val="24"/>
        </w:rPr>
      </w:pPr>
      <w:r w:rsidRPr="00D97986">
        <w:rPr>
          <w:noProof/>
          <w:sz w:val="24"/>
          <w:szCs w:val="24"/>
        </w:rPr>
        <w:t xml:space="preserve">Websted: </w:t>
      </w:r>
      <w:hyperlink r:id="rId8" w:history="1">
        <w:r w:rsidRPr="00D97986">
          <w:rPr>
            <w:rStyle w:val="Hyperlink"/>
            <w:noProof/>
            <w:sz w:val="24"/>
            <w:szCs w:val="24"/>
          </w:rPr>
          <w:t>www.meldenbivirkning.dk</w:t>
        </w:r>
      </w:hyperlink>
    </w:p>
    <w:p w14:paraId="6A505A0D" w14:textId="77777777" w:rsidR="009260DE" w:rsidRPr="00D97986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279B975D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4.9</w:t>
      </w:r>
      <w:r w:rsidRPr="00D97986">
        <w:rPr>
          <w:b/>
          <w:sz w:val="24"/>
          <w:szCs w:val="24"/>
        </w:rPr>
        <w:tab/>
        <w:t>Overdosering</w:t>
      </w:r>
    </w:p>
    <w:p w14:paraId="472C8C67" w14:textId="77777777" w:rsidR="00CE092E" w:rsidRPr="00D97986" w:rsidRDefault="00CE092E" w:rsidP="00D97986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 xml:space="preserve">Symptomerne på overdosering kan omfatte døsighed, svimmelhed, eufori og </w:t>
      </w:r>
      <w:proofErr w:type="spellStart"/>
      <w:r w:rsidRPr="00D97986">
        <w:rPr>
          <w:sz w:val="24"/>
          <w:szCs w:val="24"/>
        </w:rPr>
        <w:t>dysmenoré</w:t>
      </w:r>
      <w:proofErr w:type="spellEnd"/>
      <w:r w:rsidRPr="00D97986">
        <w:rPr>
          <w:sz w:val="24"/>
          <w:szCs w:val="24"/>
        </w:rPr>
        <w:t>. Behandlingen består af observation og, om nødvendigt, symptomatisk og understøttende behandling.</w:t>
      </w:r>
    </w:p>
    <w:p w14:paraId="0DD625C0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B72E787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4.10</w:t>
      </w:r>
      <w:r w:rsidRPr="00D97986">
        <w:rPr>
          <w:b/>
          <w:sz w:val="24"/>
          <w:szCs w:val="24"/>
        </w:rPr>
        <w:tab/>
        <w:t>Udlevering</w:t>
      </w:r>
    </w:p>
    <w:p w14:paraId="32290966" w14:textId="591F443F" w:rsidR="009260DE" w:rsidRPr="00D97986" w:rsidRDefault="00CE092E" w:rsidP="009260DE">
      <w:pPr>
        <w:tabs>
          <w:tab w:val="left" w:pos="851"/>
        </w:tabs>
        <w:ind w:left="851"/>
        <w:rPr>
          <w:sz w:val="24"/>
          <w:szCs w:val="24"/>
        </w:rPr>
      </w:pPr>
      <w:r w:rsidRPr="00D97986">
        <w:rPr>
          <w:sz w:val="24"/>
          <w:szCs w:val="24"/>
        </w:rPr>
        <w:t>B</w:t>
      </w:r>
    </w:p>
    <w:p w14:paraId="6B5A627F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581972E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79168B2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5.</w:t>
      </w:r>
      <w:r w:rsidRPr="00D97986">
        <w:rPr>
          <w:b/>
          <w:sz w:val="24"/>
          <w:szCs w:val="24"/>
        </w:rPr>
        <w:tab/>
        <w:t>FARMAKOLOGISKE EGENSKABER</w:t>
      </w:r>
    </w:p>
    <w:p w14:paraId="006A5C38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B6084DF" w14:textId="77777777" w:rsidR="009260DE" w:rsidRPr="00D97986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5.1</w:t>
      </w:r>
      <w:r w:rsidRPr="00D97986">
        <w:rPr>
          <w:b/>
          <w:sz w:val="24"/>
          <w:szCs w:val="24"/>
        </w:rPr>
        <w:tab/>
      </w:r>
      <w:proofErr w:type="spellStart"/>
      <w:r w:rsidRPr="00D97986">
        <w:rPr>
          <w:b/>
          <w:sz w:val="24"/>
          <w:szCs w:val="24"/>
        </w:rPr>
        <w:t>Farmakodynamiske</w:t>
      </w:r>
      <w:proofErr w:type="spellEnd"/>
      <w:r w:rsidRPr="00D97986">
        <w:rPr>
          <w:b/>
          <w:sz w:val="24"/>
          <w:szCs w:val="24"/>
        </w:rPr>
        <w:t xml:space="preserve"> egenskaber</w:t>
      </w:r>
    </w:p>
    <w:p w14:paraId="56BEDCDB" w14:textId="77777777" w:rsidR="00CE092E" w:rsidRPr="00D97986" w:rsidRDefault="00CE092E" w:rsidP="00D97986">
      <w:pPr>
        <w:ind w:left="851"/>
        <w:rPr>
          <w:noProof/>
          <w:sz w:val="24"/>
          <w:szCs w:val="24"/>
        </w:rPr>
      </w:pPr>
      <w:proofErr w:type="spellStart"/>
      <w:r w:rsidRPr="00D97986">
        <w:rPr>
          <w:sz w:val="24"/>
          <w:szCs w:val="24"/>
        </w:rPr>
        <w:t>Farmakoterapeutisk</w:t>
      </w:r>
      <w:proofErr w:type="spellEnd"/>
      <w:r w:rsidRPr="00D97986">
        <w:rPr>
          <w:sz w:val="24"/>
          <w:szCs w:val="24"/>
        </w:rPr>
        <w:t xml:space="preserve"> klassifikation: Kønshormoner og </w:t>
      </w:r>
      <w:proofErr w:type="spellStart"/>
      <w:r w:rsidRPr="00D97986">
        <w:rPr>
          <w:sz w:val="24"/>
          <w:szCs w:val="24"/>
        </w:rPr>
        <w:t>modulatorer</w:t>
      </w:r>
      <w:proofErr w:type="spellEnd"/>
      <w:r w:rsidRPr="00D97986">
        <w:rPr>
          <w:sz w:val="24"/>
          <w:szCs w:val="24"/>
        </w:rPr>
        <w:t xml:space="preserve"> af genitalsystemet, gestagener, ATC-kode: G03DA04.</w:t>
      </w:r>
    </w:p>
    <w:p w14:paraId="732B9153" w14:textId="77777777" w:rsidR="00CE092E" w:rsidRPr="00D97986" w:rsidRDefault="00CE092E" w:rsidP="00D97986">
      <w:pPr>
        <w:ind w:left="851"/>
        <w:rPr>
          <w:sz w:val="24"/>
          <w:szCs w:val="24"/>
          <w:u w:val="single"/>
        </w:rPr>
      </w:pPr>
    </w:p>
    <w:p w14:paraId="69732033" w14:textId="77777777" w:rsidR="00CE092E" w:rsidRPr="00D97986" w:rsidRDefault="00CE092E" w:rsidP="00D97986">
      <w:pPr>
        <w:ind w:left="851"/>
        <w:rPr>
          <w:sz w:val="24"/>
          <w:szCs w:val="24"/>
          <w:u w:val="single"/>
        </w:rPr>
      </w:pPr>
      <w:r w:rsidRPr="00D97986">
        <w:rPr>
          <w:sz w:val="24"/>
          <w:szCs w:val="24"/>
          <w:u w:val="single"/>
        </w:rPr>
        <w:t>Virkningsmekanisme</w:t>
      </w:r>
    </w:p>
    <w:p w14:paraId="00A738E5" w14:textId="77777777" w:rsidR="00CE092E" w:rsidRPr="00D97986" w:rsidRDefault="00CE092E" w:rsidP="00D97986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 xml:space="preserve">Progesteron er et naturligt endogent hormon i corpus </w:t>
      </w:r>
      <w:proofErr w:type="spellStart"/>
      <w:r w:rsidRPr="00D97986">
        <w:rPr>
          <w:sz w:val="24"/>
          <w:szCs w:val="24"/>
        </w:rPr>
        <w:t>luteum</w:t>
      </w:r>
      <w:proofErr w:type="spellEnd"/>
      <w:r w:rsidRPr="00D97986">
        <w:rPr>
          <w:sz w:val="24"/>
          <w:szCs w:val="24"/>
        </w:rPr>
        <w:t xml:space="preserve">, og er det vigtigste hormon for corpus </w:t>
      </w:r>
      <w:proofErr w:type="spellStart"/>
      <w:r w:rsidRPr="00D97986">
        <w:rPr>
          <w:sz w:val="24"/>
          <w:szCs w:val="24"/>
        </w:rPr>
        <w:t>luteum</w:t>
      </w:r>
      <w:proofErr w:type="spellEnd"/>
      <w:r w:rsidRPr="00D97986">
        <w:rPr>
          <w:sz w:val="24"/>
          <w:szCs w:val="24"/>
        </w:rPr>
        <w:t xml:space="preserve"> og placenta. Det virker på </w:t>
      </w:r>
      <w:proofErr w:type="spellStart"/>
      <w:r w:rsidRPr="00D97986">
        <w:rPr>
          <w:sz w:val="24"/>
          <w:szCs w:val="24"/>
        </w:rPr>
        <w:t>endometriet</w:t>
      </w:r>
      <w:proofErr w:type="spellEnd"/>
      <w:r w:rsidRPr="00D97986">
        <w:rPr>
          <w:sz w:val="24"/>
          <w:szCs w:val="24"/>
        </w:rPr>
        <w:t xml:space="preserve"> ved at omdanne </w:t>
      </w:r>
      <w:proofErr w:type="spellStart"/>
      <w:r w:rsidRPr="00D97986">
        <w:rPr>
          <w:sz w:val="24"/>
          <w:szCs w:val="24"/>
        </w:rPr>
        <w:t>proliferationsfasen</w:t>
      </w:r>
      <w:proofErr w:type="spellEnd"/>
      <w:r w:rsidRPr="00D97986">
        <w:rPr>
          <w:sz w:val="24"/>
          <w:szCs w:val="24"/>
        </w:rPr>
        <w:t xml:space="preserve"> til sekretionsfasen. </w:t>
      </w:r>
      <w:proofErr w:type="spellStart"/>
      <w:r w:rsidRPr="00D97986">
        <w:rPr>
          <w:sz w:val="24"/>
          <w:szCs w:val="24"/>
        </w:rPr>
        <w:t>Progestan</w:t>
      </w:r>
      <w:proofErr w:type="spellEnd"/>
      <w:r w:rsidRPr="00D97986">
        <w:rPr>
          <w:sz w:val="24"/>
          <w:szCs w:val="24"/>
        </w:rPr>
        <w:t xml:space="preserve"> har alle egenskaberne ved endogent progesteron med induktion af et fuldt </w:t>
      </w:r>
      <w:proofErr w:type="spellStart"/>
      <w:r w:rsidRPr="00D97986">
        <w:rPr>
          <w:sz w:val="24"/>
          <w:szCs w:val="24"/>
        </w:rPr>
        <w:t>sekretorisk</w:t>
      </w:r>
      <w:proofErr w:type="spellEnd"/>
      <w:r w:rsidRPr="00D97986">
        <w:rPr>
          <w:sz w:val="24"/>
          <w:szCs w:val="24"/>
        </w:rPr>
        <w:t xml:space="preserve"> </w:t>
      </w:r>
      <w:proofErr w:type="spellStart"/>
      <w:r w:rsidRPr="00D97986">
        <w:rPr>
          <w:sz w:val="24"/>
          <w:szCs w:val="24"/>
        </w:rPr>
        <w:t>endometrie</w:t>
      </w:r>
      <w:proofErr w:type="spellEnd"/>
      <w:r w:rsidRPr="00D97986">
        <w:rPr>
          <w:sz w:val="24"/>
          <w:szCs w:val="24"/>
        </w:rPr>
        <w:t xml:space="preserve"> og har i særdeleshed gestagen, anti-østrogen, let </w:t>
      </w:r>
      <w:proofErr w:type="spellStart"/>
      <w:r w:rsidRPr="00D97986">
        <w:rPr>
          <w:sz w:val="24"/>
          <w:szCs w:val="24"/>
        </w:rPr>
        <w:t>anti-androgen</w:t>
      </w:r>
      <w:proofErr w:type="spellEnd"/>
      <w:r w:rsidRPr="00D97986">
        <w:rPr>
          <w:sz w:val="24"/>
          <w:szCs w:val="24"/>
        </w:rPr>
        <w:t xml:space="preserve"> og </w:t>
      </w:r>
      <w:proofErr w:type="spellStart"/>
      <w:r w:rsidRPr="00D97986">
        <w:rPr>
          <w:sz w:val="24"/>
          <w:szCs w:val="24"/>
        </w:rPr>
        <w:t>anti-aldosteron</w:t>
      </w:r>
      <w:proofErr w:type="spellEnd"/>
      <w:r w:rsidRPr="00D97986">
        <w:rPr>
          <w:sz w:val="24"/>
          <w:szCs w:val="24"/>
        </w:rPr>
        <w:t xml:space="preserve"> virkning.</w:t>
      </w:r>
    </w:p>
    <w:p w14:paraId="2A3E600A" w14:textId="77777777" w:rsidR="00CE092E" w:rsidRPr="00D97986" w:rsidRDefault="00CE092E" w:rsidP="00D97986">
      <w:pPr>
        <w:ind w:left="851"/>
        <w:rPr>
          <w:sz w:val="24"/>
          <w:szCs w:val="24"/>
        </w:rPr>
      </w:pPr>
      <w:bookmarkStart w:id="11" w:name="_Hlk125370739"/>
    </w:p>
    <w:p w14:paraId="35F737FA" w14:textId="77777777" w:rsidR="00CE092E" w:rsidRPr="00D97986" w:rsidRDefault="00CE092E" w:rsidP="00D97986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 xml:space="preserve">De </w:t>
      </w:r>
      <w:proofErr w:type="spellStart"/>
      <w:r w:rsidRPr="00D97986">
        <w:rPr>
          <w:sz w:val="24"/>
          <w:szCs w:val="24"/>
        </w:rPr>
        <w:t>farmakodynamiske</w:t>
      </w:r>
      <w:proofErr w:type="spellEnd"/>
      <w:r w:rsidRPr="00D97986">
        <w:rPr>
          <w:sz w:val="24"/>
          <w:szCs w:val="24"/>
        </w:rPr>
        <w:t xml:space="preserve"> virkninger ved truende og tilbagevendende abort består i, at progesteron modulerer det </w:t>
      </w:r>
      <w:proofErr w:type="spellStart"/>
      <w:r w:rsidRPr="00D97986">
        <w:rPr>
          <w:sz w:val="24"/>
          <w:szCs w:val="24"/>
        </w:rPr>
        <w:t>maternelle</w:t>
      </w:r>
      <w:proofErr w:type="spellEnd"/>
      <w:r w:rsidRPr="00D97986">
        <w:rPr>
          <w:sz w:val="24"/>
          <w:szCs w:val="24"/>
        </w:rPr>
        <w:t xml:space="preserve"> immunrespons for at beskytte fosteret, forbedrer den </w:t>
      </w:r>
      <w:proofErr w:type="spellStart"/>
      <w:r w:rsidRPr="00D97986">
        <w:rPr>
          <w:sz w:val="24"/>
          <w:szCs w:val="24"/>
        </w:rPr>
        <w:t>uteroplacentale</w:t>
      </w:r>
      <w:proofErr w:type="spellEnd"/>
      <w:r w:rsidRPr="00D97986">
        <w:rPr>
          <w:sz w:val="24"/>
          <w:szCs w:val="24"/>
        </w:rPr>
        <w:t xml:space="preserve"> cirkulation, opretholder den </w:t>
      </w:r>
      <w:proofErr w:type="spellStart"/>
      <w:r w:rsidRPr="00D97986">
        <w:rPr>
          <w:sz w:val="24"/>
          <w:szCs w:val="24"/>
        </w:rPr>
        <w:t>cervikale</w:t>
      </w:r>
      <w:proofErr w:type="spellEnd"/>
      <w:r w:rsidRPr="00D97986">
        <w:rPr>
          <w:sz w:val="24"/>
          <w:szCs w:val="24"/>
        </w:rPr>
        <w:t xml:space="preserve"> integritet igennem graviditeten, fremmer afslapning af </w:t>
      </w:r>
      <w:proofErr w:type="spellStart"/>
      <w:r w:rsidRPr="00D97986">
        <w:rPr>
          <w:sz w:val="24"/>
          <w:szCs w:val="24"/>
        </w:rPr>
        <w:t>myometriet</w:t>
      </w:r>
      <w:proofErr w:type="spellEnd"/>
      <w:r w:rsidRPr="00D97986">
        <w:rPr>
          <w:sz w:val="24"/>
          <w:szCs w:val="24"/>
        </w:rPr>
        <w:t xml:space="preserve">, hæmmer </w:t>
      </w:r>
      <w:proofErr w:type="spellStart"/>
      <w:r w:rsidRPr="00D97986">
        <w:rPr>
          <w:sz w:val="24"/>
          <w:szCs w:val="24"/>
        </w:rPr>
        <w:t>prostaglandinproduktionen</w:t>
      </w:r>
      <w:proofErr w:type="spellEnd"/>
      <w:r w:rsidRPr="00D97986">
        <w:rPr>
          <w:sz w:val="24"/>
          <w:szCs w:val="24"/>
        </w:rPr>
        <w:t xml:space="preserve"> og har antiinflammatoriske egenskaber.</w:t>
      </w:r>
      <w:bookmarkEnd w:id="11"/>
    </w:p>
    <w:p w14:paraId="682B36B7" w14:textId="77777777" w:rsidR="00CE092E" w:rsidRPr="00D97986" w:rsidRDefault="00CE092E" w:rsidP="00D97986">
      <w:pPr>
        <w:ind w:left="851"/>
        <w:rPr>
          <w:sz w:val="24"/>
          <w:szCs w:val="24"/>
          <w:u w:val="single"/>
        </w:rPr>
      </w:pPr>
    </w:p>
    <w:p w14:paraId="5CDEF82D" w14:textId="77777777" w:rsidR="00CE092E" w:rsidRPr="00D97986" w:rsidRDefault="00CE092E" w:rsidP="00D97986">
      <w:pPr>
        <w:ind w:left="851"/>
        <w:rPr>
          <w:sz w:val="24"/>
          <w:szCs w:val="24"/>
          <w:u w:val="single"/>
        </w:rPr>
      </w:pPr>
      <w:r w:rsidRPr="00D97986">
        <w:rPr>
          <w:sz w:val="24"/>
          <w:szCs w:val="24"/>
          <w:u w:val="single"/>
        </w:rPr>
        <w:t>Klinisk virkning og sikkerhed</w:t>
      </w:r>
    </w:p>
    <w:p w14:paraId="70E3AD30" w14:textId="77777777" w:rsidR="00CE092E" w:rsidRPr="00D97986" w:rsidRDefault="00CE092E" w:rsidP="00D97986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 xml:space="preserve">Virkningen og sikkerheden af </w:t>
      </w:r>
      <w:proofErr w:type="spellStart"/>
      <w:r w:rsidRPr="00D97986">
        <w:rPr>
          <w:sz w:val="24"/>
          <w:szCs w:val="24"/>
        </w:rPr>
        <w:t>mikroniseret</w:t>
      </w:r>
      <w:proofErr w:type="spellEnd"/>
      <w:r w:rsidRPr="00D97986">
        <w:rPr>
          <w:sz w:val="24"/>
          <w:szCs w:val="24"/>
        </w:rPr>
        <w:t xml:space="preserve"> progesteron til forebyggelse af abort hos kvinder med dobbelte risikofaktorer for blødning i den tidlige graviditet og tidligere aborter i anamnesen blev bedømt i PRISM-studiet. Fordelen ved behandling med vaginalt progesteron 400 mg to gange dagligt steg i takt med antallet af tidligere aborter. Fordelen nåede statistisk signifikans i den </w:t>
      </w:r>
      <w:proofErr w:type="spellStart"/>
      <w:r w:rsidRPr="00D97986">
        <w:rPr>
          <w:sz w:val="24"/>
          <w:szCs w:val="24"/>
        </w:rPr>
        <w:t>forudspecificerede</w:t>
      </w:r>
      <w:proofErr w:type="spellEnd"/>
      <w:r w:rsidRPr="00D97986">
        <w:rPr>
          <w:sz w:val="24"/>
          <w:szCs w:val="24"/>
        </w:rPr>
        <w:t xml:space="preserve"> undergruppe af kvinder med tre eller flere tidligere aborter og blødning i den aktuelle graviditet; raten for levendefødsler var 72% (98/137) med progesteron vs. 57% (85/148) med placebo (rateforskel 15%; risikoratio 1,28, 95% CI 1,08-1,51; P = 0,004). For denne gruppe var NNT (</w:t>
      </w:r>
      <w:proofErr w:type="spellStart"/>
      <w:r w:rsidRPr="00D97986">
        <w:rPr>
          <w:i/>
          <w:iCs/>
          <w:sz w:val="24"/>
          <w:szCs w:val="24"/>
        </w:rPr>
        <w:t>Number</w:t>
      </w:r>
      <w:proofErr w:type="spellEnd"/>
      <w:r w:rsidRPr="00D97986">
        <w:rPr>
          <w:i/>
          <w:iCs/>
          <w:sz w:val="24"/>
          <w:szCs w:val="24"/>
        </w:rPr>
        <w:t xml:space="preserve"> </w:t>
      </w:r>
      <w:proofErr w:type="spellStart"/>
      <w:r w:rsidRPr="00D97986">
        <w:rPr>
          <w:i/>
          <w:iCs/>
          <w:sz w:val="24"/>
          <w:szCs w:val="24"/>
        </w:rPr>
        <w:t>Needed</w:t>
      </w:r>
      <w:proofErr w:type="spellEnd"/>
      <w:r w:rsidRPr="00D97986">
        <w:rPr>
          <w:i/>
          <w:iCs/>
          <w:sz w:val="24"/>
          <w:szCs w:val="24"/>
        </w:rPr>
        <w:t xml:space="preserve"> to </w:t>
      </w:r>
      <w:proofErr w:type="spellStart"/>
      <w:r w:rsidRPr="00D97986">
        <w:rPr>
          <w:i/>
          <w:iCs/>
          <w:sz w:val="24"/>
          <w:szCs w:val="24"/>
        </w:rPr>
        <w:t>Treat</w:t>
      </w:r>
      <w:proofErr w:type="spellEnd"/>
      <w:r w:rsidRPr="00D97986">
        <w:rPr>
          <w:sz w:val="24"/>
          <w:szCs w:val="24"/>
        </w:rPr>
        <w:t xml:space="preserve"> </w:t>
      </w:r>
      <w:r w:rsidRPr="00D97986">
        <w:rPr>
          <w:sz w:val="24"/>
          <w:szCs w:val="24"/>
        </w:rPr>
        <w:lastRenderedPageBreak/>
        <w:t>- Antal patienter, der skal behandles, for at én patient undgår én uønsket hændelse) var 8 (95% CI 7-10). Ud fra et sikkerhedsperspektiv var progesteron 400 mg veltolereret.</w:t>
      </w:r>
    </w:p>
    <w:p w14:paraId="0175ECBB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4077DB1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5.2</w:t>
      </w:r>
      <w:r w:rsidRPr="00D97986">
        <w:rPr>
          <w:b/>
          <w:sz w:val="24"/>
          <w:szCs w:val="24"/>
        </w:rPr>
        <w:tab/>
      </w:r>
      <w:proofErr w:type="spellStart"/>
      <w:r w:rsidRPr="00D97986">
        <w:rPr>
          <w:b/>
          <w:sz w:val="24"/>
          <w:szCs w:val="24"/>
        </w:rPr>
        <w:t>Farmakokinetiske</w:t>
      </w:r>
      <w:proofErr w:type="spellEnd"/>
      <w:r w:rsidRPr="00D97986">
        <w:rPr>
          <w:b/>
          <w:sz w:val="24"/>
          <w:szCs w:val="24"/>
        </w:rPr>
        <w:t xml:space="preserve"> egenskaber</w:t>
      </w:r>
    </w:p>
    <w:p w14:paraId="64E7471E" w14:textId="77777777" w:rsidR="00CE092E" w:rsidRPr="00D97986" w:rsidRDefault="00CE092E" w:rsidP="00D97986">
      <w:pPr>
        <w:ind w:left="851"/>
        <w:rPr>
          <w:sz w:val="24"/>
          <w:szCs w:val="24"/>
        </w:rPr>
      </w:pPr>
      <w:proofErr w:type="spellStart"/>
      <w:r w:rsidRPr="00D97986">
        <w:rPr>
          <w:sz w:val="24"/>
          <w:szCs w:val="24"/>
        </w:rPr>
        <w:t>Progestan</w:t>
      </w:r>
      <w:proofErr w:type="spellEnd"/>
      <w:r w:rsidRPr="00D97986">
        <w:rPr>
          <w:sz w:val="24"/>
          <w:szCs w:val="24"/>
        </w:rPr>
        <w:t xml:space="preserve"> har lokal virkning på vagina og uterus. Virkningen af vaginalt progesteron er relateret til den samlede mængde progesteron, der akkumuleres i </w:t>
      </w:r>
      <w:proofErr w:type="spellStart"/>
      <w:r w:rsidRPr="00D97986">
        <w:rPr>
          <w:sz w:val="24"/>
          <w:szCs w:val="24"/>
        </w:rPr>
        <w:t>endometriet</w:t>
      </w:r>
      <w:proofErr w:type="spellEnd"/>
      <w:r w:rsidRPr="00D97986">
        <w:rPr>
          <w:sz w:val="24"/>
          <w:szCs w:val="24"/>
        </w:rPr>
        <w:t>, og ikke til den mængde, der absorberes systemisk.</w:t>
      </w:r>
    </w:p>
    <w:p w14:paraId="17A03E1D" w14:textId="77777777" w:rsidR="00CE092E" w:rsidRPr="00D97986" w:rsidRDefault="00CE092E" w:rsidP="00D97986">
      <w:pPr>
        <w:ind w:left="851"/>
        <w:rPr>
          <w:sz w:val="24"/>
          <w:szCs w:val="24"/>
          <w:u w:val="single"/>
        </w:rPr>
      </w:pPr>
    </w:p>
    <w:p w14:paraId="797BADCE" w14:textId="77777777" w:rsidR="00CE092E" w:rsidRPr="00D97986" w:rsidRDefault="00CE092E" w:rsidP="00D97986">
      <w:pPr>
        <w:ind w:left="851"/>
        <w:rPr>
          <w:sz w:val="24"/>
          <w:szCs w:val="24"/>
          <w:u w:val="single"/>
        </w:rPr>
      </w:pPr>
      <w:r w:rsidRPr="00D97986">
        <w:rPr>
          <w:sz w:val="24"/>
          <w:szCs w:val="24"/>
          <w:u w:val="single"/>
        </w:rPr>
        <w:t>Absorption</w:t>
      </w:r>
    </w:p>
    <w:p w14:paraId="18C7BEC9" w14:textId="77777777" w:rsidR="00CE092E" w:rsidRPr="00D97986" w:rsidRDefault="00CE092E" w:rsidP="00D97986">
      <w:pPr>
        <w:ind w:left="851"/>
        <w:rPr>
          <w:sz w:val="24"/>
          <w:szCs w:val="24"/>
        </w:rPr>
      </w:pPr>
      <w:proofErr w:type="spellStart"/>
      <w:r w:rsidRPr="00D97986">
        <w:rPr>
          <w:sz w:val="24"/>
          <w:szCs w:val="24"/>
        </w:rPr>
        <w:t>Mikroniseret</w:t>
      </w:r>
      <w:proofErr w:type="spellEnd"/>
      <w:r w:rsidRPr="00D97986">
        <w:rPr>
          <w:sz w:val="24"/>
          <w:szCs w:val="24"/>
        </w:rPr>
        <w:t xml:space="preserve"> progesteron absorberes hurtigt efter vaginal administration. I modsætning til oralt progesteron undergår vaginalt progesteron ikke førstepassage-metabolisme i mave-tarm-kanalen og leveren. Som følge af ”førstepassage-effekten i livmoderen” opnås der relativt høje koncentrationer i livmodervæv og nærtliggende væv med lav systemisk eksponering for progesteron og dets metabolitter.</w:t>
      </w:r>
    </w:p>
    <w:p w14:paraId="41EEDDBE" w14:textId="77777777" w:rsidR="00CE092E" w:rsidRPr="00D97986" w:rsidRDefault="00CE092E" w:rsidP="00D97986">
      <w:pPr>
        <w:ind w:left="851"/>
        <w:rPr>
          <w:sz w:val="24"/>
          <w:szCs w:val="24"/>
        </w:rPr>
      </w:pPr>
    </w:p>
    <w:p w14:paraId="03BD88C2" w14:textId="4BCD05F6" w:rsidR="00CE092E" w:rsidRPr="00D97986" w:rsidRDefault="00CE092E" w:rsidP="00D97986">
      <w:pPr>
        <w:ind w:left="851"/>
        <w:rPr>
          <w:sz w:val="24"/>
          <w:szCs w:val="24"/>
        </w:rPr>
      </w:pPr>
      <w:bookmarkStart w:id="12" w:name="_Hlk125370957"/>
      <w:r w:rsidRPr="00D97986">
        <w:rPr>
          <w:sz w:val="24"/>
          <w:szCs w:val="24"/>
        </w:rPr>
        <w:t>Plasmaeksponeringen efter administration af forskellige vaginale doser (f.eks. 200 mg til 600 mg) er non-lineær og stiger mindre end proportionelt med dosis. I et rapporteret klinisk studie resulterede administration af en daglig vaginal dosis progesteron på 600 mg i stabile plasmakoncentrationer igennem hele administrationsperioden med en maksimal gennemsnitlig plasmakoncentration svarende til cirka 11,6 </w:t>
      </w:r>
      <w:proofErr w:type="spellStart"/>
      <w:r w:rsidRPr="00D97986">
        <w:rPr>
          <w:sz w:val="24"/>
          <w:szCs w:val="24"/>
        </w:rPr>
        <w:t>ng</w:t>
      </w:r>
      <w:proofErr w:type="spellEnd"/>
      <w:r w:rsidRPr="00D97986">
        <w:rPr>
          <w:sz w:val="24"/>
          <w:szCs w:val="24"/>
        </w:rPr>
        <w:t>/ml.</w:t>
      </w:r>
    </w:p>
    <w:bookmarkEnd w:id="12"/>
    <w:p w14:paraId="19343FF0" w14:textId="77777777" w:rsidR="00CE092E" w:rsidRPr="00D97986" w:rsidRDefault="00CE092E" w:rsidP="00D97986">
      <w:pPr>
        <w:ind w:left="851"/>
        <w:rPr>
          <w:sz w:val="24"/>
          <w:szCs w:val="24"/>
          <w:u w:val="single"/>
        </w:rPr>
      </w:pPr>
    </w:p>
    <w:p w14:paraId="04859C47" w14:textId="77777777" w:rsidR="00CE092E" w:rsidRPr="00D97986" w:rsidRDefault="00CE092E" w:rsidP="00D97986">
      <w:pPr>
        <w:ind w:left="851"/>
        <w:rPr>
          <w:sz w:val="24"/>
          <w:szCs w:val="24"/>
          <w:u w:val="single"/>
        </w:rPr>
      </w:pPr>
      <w:r w:rsidRPr="00D97986">
        <w:rPr>
          <w:sz w:val="24"/>
          <w:szCs w:val="24"/>
          <w:u w:val="single"/>
        </w:rPr>
        <w:t>Fordeling</w:t>
      </w:r>
    </w:p>
    <w:p w14:paraId="14C90B37" w14:textId="77777777" w:rsidR="00CE092E" w:rsidRPr="00D97986" w:rsidRDefault="00CE092E" w:rsidP="00D97986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>Vaginalt akkumuleret progesteron undergår den første metaboliske cyklus i livmoderen og forårsager således høje hormonniveau i livmoderen og nærtliggende væv.</w:t>
      </w:r>
    </w:p>
    <w:p w14:paraId="7FBFF207" w14:textId="77777777" w:rsidR="00CE092E" w:rsidRPr="00D97986" w:rsidRDefault="00CE092E" w:rsidP="00D97986">
      <w:pPr>
        <w:ind w:left="851"/>
        <w:rPr>
          <w:sz w:val="24"/>
          <w:szCs w:val="24"/>
        </w:rPr>
      </w:pPr>
    </w:p>
    <w:p w14:paraId="14206985" w14:textId="1C0375DB" w:rsidR="00CE092E" w:rsidRPr="00D97986" w:rsidRDefault="00CE092E" w:rsidP="00D97986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 xml:space="preserve">Den lille mængde progesteron, der bliver absorberet, transporteres via lymfe- og blodkar, og cirka 96% - 99% bindes til serumproteiner, primært til serumalbumin (50% - 54%) og </w:t>
      </w:r>
      <w:proofErr w:type="spellStart"/>
      <w:r w:rsidRPr="00D97986">
        <w:rPr>
          <w:sz w:val="24"/>
          <w:szCs w:val="24"/>
        </w:rPr>
        <w:t>transcortin</w:t>
      </w:r>
      <w:proofErr w:type="spellEnd"/>
      <w:r w:rsidRPr="00D97986">
        <w:rPr>
          <w:sz w:val="24"/>
          <w:szCs w:val="24"/>
        </w:rPr>
        <w:t xml:space="preserve"> (43% - 48%).</w:t>
      </w:r>
    </w:p>
    <w:p w14:paraId="3A7CCA04" w14:textId="77777777" w:rsidR="00CE092E" w:rsidRPr="00D97986" w:rsidRDefault="00CE092E" w:rsidP="00D97986">
      <w:pPr>
        <w:ind w:left="851"/>
        <w:rPr>
          <w:sz w:val="24"/>
          <w:szCs w:val="24"/>
        </w:rPr>
      </w:pPr>
    </w:p>
    <w:p w14:paraId="605EDCDC" w14:textId="77777777" w:rsidR="00CE092E" w:rsidRPr="00D97986" w:rsidRDefault="00CE092E" w:rsidP="00D97986">
      <w:pPr>
        <w:ind w:left="851"/>
        <w:rPr>
          <w:sz w:val="24"/>
          <w:szCs w:val="24"/>
          <w:u w:val="single"/>
        </w:rPr>
      </w:pPr>
      <w:r w:rsidRPr="00D97986">
        <w:rPr>
          <w:sz w:val="24"/>
          <w:szCs w:val="24"/>
          <w:u w:val="single"/>
        </w:rPr>
        <w:t>Biotransformation</w:t>
      </w:r>
    </w:p>
    <w:p w14:paraId="324BC2DB" w14:textId="77777777" w:rsidR="00CE092E" w:rsidRPr="00D97986" w:rsidRDefault="00CE092E" w:rsidP="00D97986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 xml:space="preserve">Efter vaginal administration er de observerbare plasmaniveauer af </w:t>
      </w:r>
      <w:proofErr w:type="spellStart"/>
      <w:r w:rsidRPr="00D97986">
        <w:rPr>
          <w:sz w:val="24"/>
          <w:szCs w:val="24"/>
        </w:rPr>
        <w:t>pregnenolon</w:t>
      </w:r>
      <w:proofErr w:type="spellEnd"/>
      <w:r w:rsidRPr="00D97986">
        <w:rPr>
          <w:sz w:val="24"/>
          <w:szCs w:val="24"/>
        </w:rPr>
        <w:t xml:space="preserve"> og </w:t>
      </w:r>
    </w:p>
    <w:p w14:paraId="1F7F2AB8" w14:textId="77777777" w:rsidR="00CE092E" w:rsidRPr="00D97986" w:rsidRDefault="00CE092E" w:rsidP="00D97986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>5α-</w:t>
      </w:r>
      <w:proofErr w:type="spellStart"/>
      <w:r w:rsidRPr="00D97986">
        <w:rPr>
          <w:sz w:val="24"/>
          <w:szCs w:val="24"/>
        </w:rPr>
        <w:t>dihydroprogesteron</w:t>
      </w:r>
      <w:proofErr w:type="spellEnd"/>
      <w:r w:rsidRPr="00D97986">
        <w:rPr>
          <w:sz w:val="24"/>
          <w:szCs w:val="24"/>
        </w:rPr>
        <w:t xml:space="preserve"> meget lave, eftersom der ikke sker nogen førstepassage-metabolisme.</w:t>
      </w:r>
    </w:p>
    <w:p w14:paraId="6C96A28B" w14:textId="77777777" w:rsidR="00CE092E" w:rsidRPr="00D97986" w:rsidRDefault="00CE092E" w:rsidP="00D97986">
      <w:pPr>
        <w:ind w:left="851"/>
        <w:rPr>
          <w:sz w:val="24"/>
          <w:szCs w:val="24"/>
        </w:rPr>
      </w:pPr>
    </w:p>
    <w:p w14:paraId="69E69632" w14:textId="77777777" w:rsidR="00CE092E" w:rsidRPr="00D97986" w:rsidRDefault="00CE092E" w:rsidP="00D97986">
      <w:pPr>
        <w:ind w:left="851"/>
        <w:rPr>
          <w:sz w:val="24"/>
          <w:szCs w:val="24"/>
          <w:u w:val="single"/>
        </w:rPr>
      </w:pPr>
      <w:r w:rsidRPr="00D97986">
        <w:rPr>
          <w:sz w:val="24"/>
          <w:szCs w:val="24"/>
          <w:u w:val="single"/>
        </w:rPr>
        <w:t>Elimination</w:t>
      </w:r>
    </w:p>
    <w:p w14:paraId="4E1CE4FD" w14:textId="77777777" w:rsidR="00CE092E" w:rsidRPr="00D97986" w:rsidRDefault="00CE092E" w:rsidP="00D97986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 xml:space="preserve">95% af systemisk absorberet progesteron bliver elimineret via urinen som </w:t>
      </w:r>
      <w:proofErr w:type="spellStart"/>
      <w:r w:rsidRPr="00D97986">
        <w:rPr>
          <w:sz w:val="24"/>
          <w:szCs w:val="24"/>
        </w:rPr>
        <w:t>glucurokonjugerede</w:t>
      </w:r>
      <w:proofErr w:type="spellEnd"/>
      <w:r w:rsidRPr="00D97986">
        <w:rPr>
          <w:sz w:val="24"/>
          <w:szCs w:val="24"/>
        </w:rPr>
        <w:t xml:space="preserve"> metabolitter. </w:t>
      </w:r>
    </w:p>
    <w:p w14:paraId="611A01BC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C16935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5.3</w:t>
      </w:r>
      <w:r w:rsidRPr="00D97986">
        <w:rPr>
          <w:b/>
          <w:sz w:val="24"/>
          <w:szCs w:val="24"/>
        </w:rPr>
        <w:tab/>
      </w:r>
      <w:r w:rsidR="00BD7931" w:rsidRPr="00D97986">
        <w:rPr>
          <w:b/>
          <w:sz w:val="24"/>
          <w:szCs w:val="24"/>
        </w:rPr>
        <w:t>Non-</w:t>
      </w:r>
      <w:r w:rsidRPr="00D97986">
        <w:rPr>
          <w:b/>
          <w:sz w:val="24"/>
          <w:szCs w:val="24"/>
        </w:rPr>
        <w:t>kliniske sikkerhedsdata</w:t>
      </w:r>
    </w:p>
    <w:p w14:paraId="70AABA9E" w14:textId="77777777" w:rsidR="00CE092E" w:rsidRPr="00D97986" w:rsidRDefault="00CE092E" w:rsidP="00D97986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>Non-kliniske data viser ingen speciel risiko for mennesker vurderet ud fra konventionelle studier af sikkerhedsfarmakologi og toksicitet.</w:t>
      </w:r>
    </w:p>
    <w:p w14:paraId="2340BB80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565E3B6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0DD7829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6.</w:t>
      </w:r>
      <w:r w:rsidRPr="00D97986">
        <w:rPr>
          <w:b/>
          <w:sz w:val="24"/>
          <w:szCs w:val="24"/>
        </w:rPr>
        <w:tab/>
        <w:t>FARMACEUTISKE OPLYSNINGER</w:t>
      </w:r>
    </w:p>
    <w:p w14:paraId="3B579BD4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B01F32D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6.1</w:t>
      </w:r>
      <w:r w:rsidRPr="00D97986">
        <w:rPr>
          <w:b/>
          <w:sz w:val="24"/>
          <w:szCs w:val="24"/>
        </w:rPr>
        <w:tab/>
        <w:t>Hjælpestoffer</w:t>
      </w:r>
    </w:p>
    <w:p w14:paraId="6D46DF72" w14:textId="77777777" w:rsidR="00CE092E" w:rsidRPr="00D97986" w:rsidRDefault="00CE092E" w:rsidP="00D97986">
      <w:pPr>
        <w:ind w:left="851"/>
        <w:rPr>
          <w:sz w:val="24"/>
          <w:szCs w:val="24"/>
        </w:rPr>
      </w:pPr>
      <w:bookmarkStart w:id="13" w:name="_Hlk110579964"/>
      <w:bookmarkStart w:id="14" w:name="_Hlk110581560"/>
    </w:p>
    <w:p w14:paraId="52F6F972" w14:textId="77777777" w:rsidR="00CE092E" w:rsidRPr="00D97986" w:rsidRDefault="00CE092E" w:rsidP="00D97986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>Kapselindhold:</w:t>
      </w:r>
    </w:p>
    <w:p w14:paraId="67CC6CF1" w14:textId="77777777" w:rsidR="00CE092E" w:rsidRPr="00D97986" w:rsidRDefault="00CE092E" w:rsidP="00D97986">
      <w:pPr>
        <w:pStyle w:val="Listeafsnit"/>
        <w:numPr>
          <w:ilvl w:val="0"/>
          <w:numId w:val="9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D97986">
        <w:rPr>
          <w:sz w:val="24"/>
          <w:szCs w:val="24"/>
        </w:rPr>
        <w:t>Solsikkeolie, renset</w:t>
      </w:r>
    </w:p>
    <w:p w14:paraId="287C5449" w14:textId="77777777" w:rsidR="00CE092E" w:rsidRPr="00D97986" w:rsidRDefault="00CE092E" w:rsidP="00D97986">
      <w:pPr>
        <w:pStyle w:val="Listeafsnit"/>
        <w:numPr>
          <w:ilvl w:val="0"/>
          <w:numId w:val="9"/>
        </w:numPr>
        <w:tabs>
          <w:tab w:val="clear" w:pos="567"/>
        </w:tabs>
        <w:ind w:left="1276" w:hanging="425"/>
        <w:rPr>
          <w:noProof/>
          <w:sz w:val="24"/>
          <w:szCs w:val="24"/>
        </w:rPr>
      </w:pPr>
      <w:proofErr w:type="spellStart"/>
      <w:r w:rsidRPr="00D97986">
        <w:rPr>
          <w:sz w:val="24"/>
          <w:szCs w:val="24"/>
        </w:rPr>
        <w:t>Sojalecithin</w:t>
      </w:r>
      <w:proofErr w:type="spellEnd"/>
    </w:p>
    <w:p w14:paraId="44BA3C3A" w14:textId="77777777" w:rsidR="00CE092E" w:rsidRPr="00D97986" w:rsidRDefault="00CE092E" w:rsidP="00D97986">
      <w:pPr>
        <w:ind w:left="851"/>
        <w:rPr>
          <w:sz w:val="24"/>
          <w:szCs w:val="24"/>
        </w:rPr>
      </w:pPr>
    </w:p>
    <w:p w14:paraId="37A55064" w14:textId="77777777" w:rsidR="00CE092E" w:rsidRPr="00D97986" w:rsidRDefault="00CE092E" w:rsidP="00D97986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lastRenderedPageBreak/>
        <w:t xml:space="preserve">Kapselskal: </w:t>
      </w:r>
    </w:p>
    <w:p w14:paraId="5C09E591" w14:textId="77777777" w:rsidR="00CE092E" w:rsidRPr="00D97986" w:rsidRDefault="00CE092E" w:rsidP="00D97986">
      <w:pPr>
        <w:pStyle w:val="Listeafsnit"/>
        <w:numPr>
          <w:ilvl w:val="0"/>
          <w:numId w:val="10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D97986">
        <w:rPr>
          <w:sz w:val="24"/>
          <w:szCs w:val="24"/>
        </w:rPr>
        <w:t xml:space="preserve">Gelatine </w:t>
      </w:r>
    </w:p>
    <w:p w14:paraId="02B8D255" w14:textId="77777777" w:rsidR="00CE092E" w:rsidRPr="00D97986" w:rsidRDefault="00CE092E" w:rsidP="00D97986">
      <w:pPr>
        <w:pStyle w:val="Listeafsnit"/>
        <w:numPr>
          <w:ilvl w:val="0"/>
          <w:numId w:val="10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D97986">
        <w:rPr>
          <w:sz w:val="24"/>
          <w:szCs w:val="24"/>
        </w:rPr>
        <w:t xml:space="preserve">Glycerol (E422) </w:t>
      </w:r>
    </w:p>
    <w:p w14:paraId="0769B484" w14:textId="77777777" w:rsidR="00CE092E" w:rsidRPr="00D97986" w:rsidRDefault="00CE092E" w:rsidP="00D97986">
      <w:pPr>
        <w:pStyle w:val="Listeafsnit"/>
        <w:numPr>
          <w:ilvl w:val="0"/>
          <w:numId w:val="10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D97986">
        <w:rPr>
          <w:sz w:val="24"/>
          <w:szCs w:val="24"/>
        </w:rPr>
        <w:t xml:space="preserve">Titandioxid (E171) </w:t>
      </w:r>
    </w:p>
    <w:p w14:paraId="7D3ED0D1" w14:textId="77777777" w:rsidR="00CE092E" w:rsidRPr="00D97986" w:rsidRDefault="00CE092E" w:rsidP="00D97986">
      <w:pPr>
        <w:pStyle w:val="Listeafsnit"/>
        <w:numPr>
          <w:ilvl w:val="0"/>
          <w:numId w:val="10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D97986">
        <w:rPr>
          <w:sz w:val="24"/>
          <w:szCs w:val="24"/>
        </w:rPr>
        <w:t>Vand, renset</w:t>
      </w:r>
      <w:bookmarkEnd w:id="13"/>
    </w:p>
    <w:bookmarkEnd w:id="14"/>
    <w:p w14:paraId="59DF5B0F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8B53746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6.2</w:t>
      </w:r>
      <w:r w:rsidRPr="00D97986">
        <w:rPr>
          <w:b/>
          <w:sz w:val="24"/>
          <w:szCs w:val="24"/>
        </w:rPr>
        <w:tab/>
        <w:t>Uforligeligheder</w:t>
      </w:r>
    </w:p>
    <w:p w14:paraId="5D233DF0" w14:textId="77777777" w:rsidR="00CE092E" w:rsidRPr="00D97986" w:rsidRDefault="00CE092E" w:rsidP="00D97986">
      <w:pPr>
        <w:ind w:left="851"/>
        <w:rPr>
          <w:noProof/>
          <w:sz w:val="24"/>
          <w:szCs w:val="24"/>
        </w:rPr>
      </w:pPr>
      <w:r w:rsidRPr="00D97986">
        <w:rPr>
          <w:sz w:val="24"/>
          <w:szCs w:val="24"/>
        </w:rPr>
        <w:t>Ikke relevant.</w:t>
      </w:r>
    </w:p>
    <w:p w14:paraId="73088B1B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9CD7D9A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6.3</w:t>
      </w:r>
      <w:r w:rsidRPr="00D97986">
        <w:rPr>
          <w:b/>
          <w:sz w:val="24"/>
          <w:szCs w:val="24"/>
        </w:rPr>
        <w:tab/>
        <w:t>Opbevaringstid</w:t>
      </w:r>
    </w:p>
    <w:p w14:paraId="0166604F" w14:textId="77777777" w:rsidR="00CE092E" w:rsidRPr="00D97986" w:rsidRDefault="00CE092E" w:rsidP="00D97986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>3 år.</w:t>
      </w:r>
    </w:p>
    <w:p w14:paraId="12D8DECE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4E8365E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6.4</w:t>
      </w:r>
      <w:r w:rsidRPr="00D97986">
        <w:rPr>
          <w:b/>
          <w:sz w:val="24"/>
          <w:szCs w:val="24"/>
        </w:rPr>
        <w:tab/>
        <w:t>Særlige opbevaringsforhold</w:t>
      </w:r>
    </w:p>
    <w:p w14:paraId="60139387" w14:textId="77777777" w:rsidR="00CE092E" w:rsidRPr="00D97986" w:rsidRDefault="00CE092E" w:rsidP="00D97986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>Opbevares i den originale yderpakning (flasken).</w:t>
      </w:r>
    </w:p>
    <w:p w14:paraId="22451288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EE4AFF7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6.5</w:t>
      </w:r>
      <w:r w:rsidRPr="00D97986">
        <w:rPr>
          <w:b/>
          <w:sz w:val="24"/>
          <w:szCs w:val="24"/>
        </w:rPr>
        <w:tab/>
        <w:t>Emballagetype og pakningsstørrelser</w:t>
      </w:r>
    </w:p>
    <w:p w14:paraId="0F1FB6D5" w14:textId="77777777" w:rsidR="00CE092E" w:rsidRPr="00D97986" w:rsidRDefault="00CE092E" w:rsidP="00D97986">
      <w:pPr>
        <w:ind w:left="851"/>
        <w:rPr>
          <w:sz w:val="24"/>
          <w:szCs w:val="24"/>
        </w:rPr>
      </w:pPr>
      <w:proofErr w:type="spellStart"/>
      <w:r w:rsidRPr="00D97986">
        <w:rPr>
          <w:sz w:val="24"/>
          <w:szCs w:val="24"/>
        </w:rPr>
        <w:t>Progestan</w:t>
      </w:r>
      <w:proofErr w:type="spellEnd"/>
      <w:r w:rsidRPr="00D97986">
        <w:rPr>
          <w:sz w:val="24"/>
          <w:szCs w:val="24"/>
        </w:rPr>
        <w:t xml:space="preserve"> er pakket i hvide HDPE-flasker med et hvidt, børnesikret skruelåg af polypropylen (PP) og en aftrækkelig, sølvfarvet forsegling. Flasken udleveres i en kartonæske.</w:t>
      </w:r>
    </w:p>
    <w:p w14:paraId="4EB5BF7A" w14:textId="77777777" w:rsidR="00CE092E" w:rsidRPr="00D97986" w:rsidRDefault="00CE092E" w:rsidP="00D97986">
      <w:pPr>
        <w:ind w:left="851"/>
        <w:rPr>
          <w:sz w:val="24"/>
          <w:szCs w:val="24"/>
        </w:rPr>
      </w:pPr>
    </w:p>
    <w:p w14:paraId="2D7F8AB5" w14:textId="77777777" w:rsidR="00CE092E" w:rsidRPr="00D97986" w:rsidRDefault="00CE092E" w:rsidP="00D97986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>Pakningsstørrelser: 15 kapsler.</w:t>
      </w:r>
    </w:p>
    <w:p w14:paraId="3BF67564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902543E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6.6</w:t>
      </w:r>
      <w:r w:rsidRPr="00D97986">
        <w:rPr>
          <w:b/>
          <w:sz w:val="24"/>
          <w:szCs w:val="24"/>
        </w:rPr>
        <w:tab/>
        <w:t xml:space="preserve">Regler for </w:t>
      </w:r>
      <w:r w:rsidR="00BD7931" w:rsidRPr="00D97986">
        <w:rPr>
          <w:b/>
          <w:sz w:val="24"/>
          <w:szCs w:val="24"/>
        </w:rPr>
        <w:t>bortskaffelse</w:t>
      </w:r>
      <w:r w:rsidRPr="00D97986">
        <w:rPr>
          <w:b/>
          <w:sz w:val="24"/>
          <w:szCs w:val="24"/>
        </w:rPr>
        <w:t xml:space="preserve"> og anden håndtering</w:t>
      </w:r>
    </w:p>
    <w:p w14:paraId="35CC26F8" w14:textId="77777777" w:rsidR="00CE092E" w:rsidRPr="00D97986" w:rsidRDefault="00CE092E" w:rsidP="00D97986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>Ikke anvendt lægemiddel samt affald heraf skal bortskaffes i henhold til lokale retningslinjer.</w:t>
      </w:r>
    </w:p>
    <w:p w14:paraId="26609AFA" w14:textId="77777777" w:rsidR="009260DE" w:rsidRPr="00D97986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63262F67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7.</w:t>
      </w:r>
      <w:r w:rsidRPr="00D97986">
        <w:rPr>
          <w:b/>
          <w:sz w:val="24"/>
          <w:szCs w:val="24"/>
        </w:rPr>
        <w:tab/>
        <w:t>INDEHAVER AF MARKEDSFØRINGSTILLADELSEN</w:t>
      </w:r>
    </w:p>
    <w:p w14:paraId="60F4E8A8" w14:textId="77777777" w:rsidR="00CE092E" w:rsidRPr="00D97986" w:rsidRDefault="00CE092E" w:rsidP="00D97986">
      <w:pPr>
        <w:ind w:left="851"/>
        <w:rPr>
          <w:sz w:val="24"/>
          <w:szCs w:val="24"/>
        </w:rPr>
      </w:pPr>
      <w:proofErr w:type="spellStart"/>
      <w:r w:rsidRPr="00D97986">
        <w:rPr>
          <w:sz w:val="24"/>
          <w:szCs w:val="24"/>
        </w:rPr>
        <w:t>Besins</w:t>
      </w:r>
      <w:proofErr w:type="spellEnd"/>
      <w:r w:rsidRPr="00D97986">
        <w:rPr>
          <w:sz w:val="24"/>
          <w:szCs w:val="24"/>
        </w:rPr>
        <w:t xml:space="preserve"> Healthcare SA</w:t>
      </w:r>
    </w:p>
    <w:p w14:paraId="2E8E6859" w14:textId="77777777" w:rsidR="00CE092E" w:rsidRPr="00D97986" w:rsidRDefault="00CE092E" w:rsidP="00D97986">
      <w:pPr>
        <w:tabs>
          <w:tab w:val="left" w:pos="1304"/>
        </w:tabs>
        <w:ind w:left="851"/>
        <w:rPr>
          <w:sz w:val="24"/>
          <w:szCs w:val="24"/>
        </w:rPr>
      </w:pPr>
      <w:r w:rsidRPr="00D97986">
        <w:rPr>
          <w:sz w:val="24"/>
          <w:szCs w:val="24"/>
        </w:rPr>
        <w:t>Rue Washington 80</w:t>
      </w:r>
    </w:p>
    <w:p w14:paraId="2845E6B7" w14:textId="77777777" w:rsidR="00CE092E" w:rsidRPr="00D97986" w:rsidRDefault="00CE092E" w:rsidP="00D97986">
      <w:pPr>
        <w:tabs>
          <w:tab w:val="left" w:pos="1304"/>
        </w:tabs>
        <w:ind w:left="851"/>
        <w:rPr>
          <w:sz w:val="24"/>
          <w:szCs w:val="24"/>
        </w:rPr>
      </w:pPr>
      <w:r w:rsidRPr="00D97986">
        <w:rPr>
          <w:sz w:val="24"/>
          <w:szCs w:val="24"/>
        </w:rPr>
        <w:t xml:space="preserve">1050 </w:t>
      </w:r>
      <w:proofErr w:type="spellStart"/>
      <w:r w:rsidRPr="00D97986">
        <w:rPr>
          <w:sz w:val="24"/>
          <w:szCs w:val="24"/>
        </w:rPr>
        <w:t>Ixelles</w:t>
      </w:r>
      <w:proofErr w:type="spellEnd"/>
    </w:p>
    <w:p w14:paraId="1CB0BFCB" w14:textId="77777777" w:rsidR="00CE092E" w:rsidRPr="00D97986" w:rsidRDefault="00CE092E" w:rsidP="00D97986">
      <w:pPr>
        <w:ind w:left="851"/>
        <w:rPr>
          <w:sz w:val="24"/>
          <w:szCs w:val="24"/>
        </w:rPr>
      </w:pPr>
      <w:r w:rsidRPr="00D97986">
        <w:rPr>
          <w:sz w:val="24"/>
          <w:szCs w:val="24"/>
        </w:rPr>
        <w:t xml:space="preserve">Belgien </w:t>
      </w:r>
    </w:p>
    <w:p w14:paraId="49F09C82" w14:textId="77777777" w:rsidR="00641C65" w:rsidRPr="00D97986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EB0F30E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8.</w:t>
      </w:r>
      <w:r w:rsidRPr="00D97986">
        <w:rPr>
          <w:b/>
          <w:sz w:val="24"/>
          <w:szCs w:val="24"/>
        </w:rPr>
        <w:tab/>
        <w:t>MARKEDSFØRINGSTILLADELSESNUMMER (</w:t>
      </w:r>
      <w:r w:rsidR="00BF6243" w:rsidRPr="00D97986">
        <w:rPr>
          <w:b/>
          <w:sz w:val="24"/>
          <w:szCs w:val="24"/>
        </w:rPr>
        <w:t>-</w:t>
      </w:r>
      <w:r w:rsidRPr="00D97986">
        <w:rPr>
          <w:b/>
          <w:sz w:val="24"/>
          <w:szCs w:val="24"/>
        </w:rPr>
        <w:t>NUMRE)</w:t>
      </w:r>
    </w:p>
    <w:p w14:paraId="55693308" w14:textId="0FFEB9EF" w:rsidR="009260DE" w:rsidRPr="00D97986" w:rsidRDefault="00CE092E" w:rsidP="009260DE">
      <w:pPr>
        <w:tabs>
          <w:tab w:val="left" w:pos="851"/>
        </w:tabs>
        <w:ind w:left="851"/>
        <w:rPr>
          <w:sz w:val="24"/>
          <w:szCs w:val="24"/>
        </w:rPr>
      </w:pPr>
      <w:r w:rsidRPr="00D97986">
        <w:rPr>
          <w:sz w:val="24"/>
          <w:szCs w:val="24"/>
        </w:rPr>
        <w:t>71563</w:t>
      </w:r>
    </w:p>
    <w:p w14:paraId="3FD796AB" w14:textId="77777777" w:rsidR="009260DE" w:rsidRPr="00D97986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4CBBF304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9.</w:t>
      </w:r>
      <w:r w:rsidRPr="00D97986">
        <w:rPr>
          <w:b/>
          <w:sz w:val="24"/>
          <w:szCs w:val="24"/>
        </w:rPr>
        <w:tab/>
        <w:t>DATO FOR FØRSTE MARKEDSFØRINGSTILLADELSE</w:t>
      </w:r>
    </w:p>
    <w:p w14:paraId="6166B293" w14:textId="05725DF4" w:rsidR="009260DE" w:rsidRPr="00D97986" w:rsidRDefault="005F3EAA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23. februar 20</w:t>
      </w:r>
      <w:r w:rsidR="009F4A44">
        <w:rPr>
          <w:sz w:val="24"/>
          <w:szCs w:val="24"/>
        </w:rPr>
        <w:t>23</w:t>
      </w:r>
    </w:p>
    <w:p w14:paraId="3BDD8E3D" w14:textId="77777777" w:rsidR="009260DE" w:rsidRPr="00D9798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A69606" w14:textId="77777777" w:rsidR="009260DE" w:rsidRPr="00D9798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7986">
        <w:rPr>
          <w:b/>
          <w:sz w:val="24"/>
          <w:szCs w:val="24"/>
        </w:rPr>
        <w:t>10.</w:t>
      </w:r>
      <w:r w:rsidRPr="00D97986">
        <w:rPr>
          <w:b/>
          <w:sz w:val="24"/>
          <w:szCs w:val="24"/>
        </w:rPr>
        <w:tab/>
        <w:t>DATO FOR ÆNDRING AF TEKSTEN</w:t>
      </w:r>
    </w:p>
    <w:p w14:paraId="3AD6322E" w14:textId="7D4B8527" w:rsidR="009260DE" w:rsidRPr="00D97986" w:rsidRDefault="00CE092E" w:rsidP="009260DE">
      <w:pPr>
        <w:tabs>
          <w:tab w:val="left" w:pos="851"/>
        </w:tabs>
        <w:ind w:left="851"/>
        <w:rPr>
          <w:sz w:val="24"/>
          <w:szCs w:val="24"/>
        </w:rPr>
      </w:pPr>
      <w:r w:rsidRPr="00D97986">
        <w:rPr>
          <w:sz w:val="24"/>
          <w:szCs w:val="24"/>
        </w:rPr>
        <w:t>-</w:t>
      </w:r>
    </w:p>
    <w:sectPr w:rsidR="009260DE" w:rsidRPr="00D97986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4A5D6" w14:textId="77777777" w:rsidR="003936C4" w:rsidRDefault="003936C4">
      <w:r>
        <w:separator/>
      </w:r>
    </w:p>
  </w:endnote>
  <w:endnote w:type="continuationSeparator" w:id="0">
    <w:p w14:paraId="0507DABF" w14:textId="77777777" w:rsidR="003936C4" w:rsidRDefault="0039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64026" w14:textId="77777777" w:rsidR="000259B9" w:rsidRDefault="000259B9">
    <w:pPr>
      <w:pStyle w:val="Sidefod"/>
      <w:pBdr>
        <w:bottom w:val="single" w:sz="6" w:space="1" w:color="auto"/>
      </w:pBdr>
    </w:pPr>
  </w:p>
  <w:p w14:paraId="50D7DB3A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04022FCB" w14:textId="04F9C6ED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546E1">
      <w:rPr>
        <w:i/>
        <w:noProof/>
        <w:sz w:val="18"/>
        <w:szCs w:val="18"/>
      </w:rPr>
      <w:t>Progestan, bløde vaginal kapsler 400 mg.docx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BCC19" w14:textId="77777777" w:rsidR="003936C4" w:rsidRDefault="003936C4">
      <w:r>
        <w:separator/>
      </w:r>
    </w:p>
  </w:footnote>
  <w:footnote w:type="continuationSeparator" w:id="0">
    <w:p w14:paraId="483D925F" w14:textId="77777777" w:rsidR="003936C4" w:rsidRDefault="0039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A2B"/>
    <w:multiLevelType w:val="hybridMultilevel"/>
    <w:tmpl w:val="8BF6F200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36A76B2"/>
    <w:multiLevelType w:val="hybridMultilevel"/>
    <w:tmpl w:val="C0062E44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B1159E1"/>
    <w:multiLevelType w:val="hybridMultilevel"/>
    <w:tmpl w:val="BD6A10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3EE6994"/>
    <w:multiLevelType w:val="hybridMultilevel"/>
    <w:tmpl w:val="64E41648"/>
    <w:lvl w:ilvl="0" w:tplc="F6105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01D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44B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8F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EBB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068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6D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6A2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FC7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7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ADA4BF9"/>
    <w:multiLevelType w:val="hybridMultilevel"/>
    <w:tmpl w:val="A4CC94F8"/>
    <w:lvl w:ilvl="0" w:tplc="6F6AAC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4C3E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8248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2E2E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4281C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3E16C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2868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169F1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91A54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C4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206CE8"/>
    <w:rsid w:val="0021526C"/>
    <w:rsid w:val="00283A2B"/>
    <w:rsid w:val="002B30AD"/>
    <w:rsid w:val="002C1EC0"/>
    <w:rsid w:val="002C2C01"/>
    <w:rsid w:val="003546E1"/>
    <w:rsid w:val="003936C4"/>
    <w:rsid w:val="003A29AE"/>
    <w:rsid w:val="003A32D7"/>
    <w:rsid w:val="003B4074"/>
    <w:rsid w:val="003C769A"/>
    <w:rsid w:val="003D3A90"/>
    <w:rsid w:val="003F1838"/>
    <w:rsid w:val="004251C1"/>
    <w:rsid w:val="0045746C"/>
    <w:rsid w:val="0049104B"/>
    <w:rsid w:val="004E3B12"/>
    <w:rsid w:val="00532310"/>
    <w:rsid w:val="00565F0F"/>
    <w:rsid w:val="00594A86"/>
    <w:rsid w:val="00596D86"/>
    <w:rsid w:val="005A093B"/>
    <w:rsid w:val="005F3EAA"/>
    <w:rsid w:val="00637F5A"/>
    <w:rsid w:val="00641C65"/>
    <w:rsid w:val="006560B1"/>
    <w:rsid w:val="006756DD"/>
    <w:rsid w:val="0071241E"/>
    <w:rsid w:val="00737275"/>
    <w:rsid w:val="00740EEC"/>
    <w:rsid w:val="0078011A"/>
    <w:rsid w:val="00782AF4"/>
    <w:rsid w:val="00790EE7"/>
    <w:rsid w:val="007B6649"/>
    <w:rsid w:val="007C3C33"/>
    <w:rsid w:val="0082576E"/>
    <w:rsid w:val="0089346F"/>
    <w:rsid w:val="00907F75"/>
    <w:rsid w:val="009260DE"/>
    <w:rsid w:val="0093258A"/>
    <w:rsid w:val="009C7BA3"/>
    <w:rsid w:val="009D1F5A"/>
    <w:rsid w:val="009F4A44"/>
    <w:rsid w:val="00A10294"/>
    <w:rsid w:val="00B003BF"/>
    <w:rsid w:val="00B373D7"/>
    <w:rsid w:val="00B55271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CE092E"/>
    <w:rsid w:val="00D020B0"/>
    <w:rsid w:val="00D11748"/>
    <w:rsid w:val="00D237F6"/>
    <w:rsid w:val="00D34D98"/>
    <w:rsid w:val="00D366CF"/>
    <w:rsid w:val="00D93992"/>
    <w:rsid w:val="00D97986"/>
    <w:rsid w:val="00E108AA"/>
    <w:rsid w:val="00E3749A"/>
    <w:rsid w:val="00E7437F"/>
    <w:rsid w:val="00E865B8"/>
    <w:rsid w:val="00EC0B9B"/>
    <w:rsid w:val="00ED5E9F"/>
    <w:rsid w:val="00F66D4F"/>
    <w:rsid w:val="00FB6D01"/>
    <w:rsid w:val="00F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DDCAB"/>
  <w15:chartTrackingRefBased/>
  <w15:docId w15:val="{A1BC01A8-38BF-4403-A9EE-C4E18756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semiHidden/>
    <w:unhideWhenUsed/>
    <w:rsid w:val="00CE092E"/>
    <w:rPr>
      <w:color w:val="0000FF"/>
      <w:u w:val="single"/>
    </w:rPr>
  </w:style>
  <w:style w:type="table" w:styleId="Tabel-Gitter">
    <w:name w:val="Table Grid"/>
    <w:basedOn w:val="Tabel-Normal"/>
    <w:uiPriority w:val="59"/>
    <w:rsid w:val="00CE092E"/>
    <w:rPr>
      <w:rFonts w:ascii="Calibri" w:eastAsia="Calibri" w:hAnsi="Calibri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E092E"/>
    <w:pPr>
      <w:tabs>
        <w:tab w:val="left" w:pos="567"/>
      </w:tabs>
      <w:spacing w:line="260" w:lineRule="exact"/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79</TotalTime>
  <Pages>6</Pages>
  <Words>1307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2024041393, MT</dc:description>
  <cp:lastModifiedBy>Gitte Jørgensen</cp:lastModifiedBy>
  <cp:revision>8</cp:revision>
  <cp:lastPrinted>2012-08-22T08:53:00Z</cp:lastPrinted>
  <dcterms:created xsi:type="dcterms:W3CDTF">2024-11-25T09:51:00Z</dcterms:created>
  <dcterms:modified xsi:type="dcterms:W3CDTF">2024-11-25T12:05:00Z</dcterms:modified>
</cp:coreProperties>
</file>