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D83F9" w14:textId="77777777" w:rsidR="009260DE" w:rsidRPr="00B008C1" w:rsidRDefault="0021526C" w:rsidP="009260DE">
      <w:pPr>
        <w:rPr>
          <w:sz w:val="24"/>
          <w:szCs w:val="24"/>
        </w:rPr>
      </w:pPr>
      <w:r w:rsidRPr="00B008C1">
        <w:rPr>
          <w:noProof/>
          <w:sz w:val="24"/>
          <w:szCs w:val="24"/>
          <w:lang w:eastAsia="da-DK"/>
        </w:rPr>
        <w:drawing>
          <wp:anchor distT="0" distB="0" distL="114300" distR="114300" simplePos="0" relativeHeight="251658240" behindDoc="0" locked="0" layoutInCell="1" allowOverlap="1" wp14:anchorId="56F9D055" wp14:editId="48BA259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B008C1">
        <w:rPr>
          <w:sz w:val="24"/>
          <w:szCs w:val="24"/>
        </w:rPr>
        <w:br w:type="textWrapping" w:clear="all"/>
      </w:r>
    </w:p>
    <w:p w14:paraId="7752A71E" w14:textId="5A28DB75" w:rsidR="009260DE" w:rsidRPr="00B008C1" w:rsidRDefault="009260DE" w:rsidP="009260DE">
      <w:pPr>
        <w:pStyle w:val="Titel"/>
        <w:tabs>
          <w:tab w:val="right" w:pos="9356"/>
        </w:tabs>
        <w:jc w:val="left"/>
        <w:rPr>
          <w:b w:val="0"/>
          <w:szCs w:val="24"/>
          <w:lang w:eastAsia="en-US"/>
        </w:rPr>
      </w:pPr>
      <w:r w:rsidRPr="00B008C1">
        <w:rPr>
          <w:b w:val="0"/>
          <w:szCs w:val="24"/>
          <w:lang w:eastAsia="en-US"/>
        </w:rPr>
        <w:tab/>
      </w:r>
      <w:r w:rsidR="00A07818">
        <w:rPr>
          <w:szCs w:val="24"/>
        </w:rPr>
        <w:t>10. juni 2026</w:t>
      </w:r>
    </w:p>
    <w:p w14:paraId="38E223A8" w14:textId="77777777" w:rsidR="009260DE" w:rsidRPr="00B008C1" w:rsidRDefault="009260DE" w:rsidP="009260DE">
      <w:pPr>
        <w:pStyle w:val="Titel"/>
        <w:tabs>
          <w:tab w:val="left" w:pos="8222"/>
        </w:tabs>
        <w:jc w:val="left"/>
        <w:rPr>
          <w:b w:val="0"/>
          <w:szCs w:val="24"/>
        </w:rPr>
      </w:pPr>
    </w:p>
    <w:p w14:paraId="567EC450" w14:textId="77777777" w:rsidR="009260DE" w:rsidRPr="00B008C1" w:rsidRDefault="009260DE" w:rsidP="009260DE">
      <w:pPr>
        <w:pStyle w:val="Titel"/>
        <w:jc w:val="left"/>
        <w:rPr>
          <w:b w:val="0"/>
          <w:szCs w:val="24"/>
        </w:rPr>
      </w:pPr>
    </w:p>
    <w:p w14:paraId="583E1A8F" w14:textId="77777777" w:rsidR="009260DE" w:rsidRPr="00B008C1" w:rsidRDefault="009260DE" w:rsidP="009260DE">
      <w:pPr>
        <w:pStyle w:val="Titel"/>
        <w:jc w:val="left"/>
        <w:rPr>
          <w:b w:val="0"/>
          <w:szCs w:val="24"/>
        </w:rPr>
      </w:pPr>
    </w:p>
    <w:p w14:paraId="618DD68F" w14:textId="77777777" w:rsidR="009260DE" w:rsidRPr="00B008C1" w:rsidRDefault="009260DE" w:rsidP="009260DE">
      <w:pPr>
        <w:jc w:val="center"/>
        <w:rPr>
          <w:b/>
          <w:sz w:val="24"/>
          <w:szCs w:val="24"/>
        </w:rPr>
      </w:pPr>
      <w:r w:rsidRPr="00B008C1">
        <w:rPr>
          <w:b/>
          <w:sz w:val="24"/>
          <w:szCs w:val="24"/>
        </w:rPr>
        <w:t>PRODUKTRESUMÉ</w:t>
      </w:r>
    </w:p>
    <w:p w14:paraId="196D1A65" w14:textId="77777777" w:rsidR="009260DE" w:rsidRPr="00B008C1" w:rsidRDefault="009260DE" w:rsidP="009260DE">
      <w:pPr>
        <w:jc w:val="center"/>
        <w:rPr>
          <w:b/>
          <w:sz w:val="24"/>
          <w:szCs w:val="24"/>
        </w:rPr>
      </w:pPr>
    </w:p>
    <w:p w14:paraId="099A647E" w14:textId="77777777" w:rsidR="009260DE" w:rsidRPr="00B008C1" w:rsidRDefault="009260DE" w:rsidP="009260DE">
      <w:pPr>
        <w:jc w:val="center"/>
        <w:rPr>
          <w:b/>
          <w:sz w:val="24"/>
          <w:szCs w:val="24"/>
        </w:rPr>
      </w:pPr>
      <w:r w:rsidRPr="00B008C1">
        <w:rPr>
          <w:b/>
          <w:sz w:val="24"/>
          <w:szCs w:val="24"/>
        </w:rPr>
        <w:t>for</w:t>
      </w:r>
    </w:p>
    <w:p w14:paraId="030DFA69" w14:textId="77777777" w:rsidR="000B058C" w:rsidRPr="00B008C1" w:rsidRDefault="000B058C" w:rsidP="009260DE">
      <w:pPr>
        <w:jc w:val="center"/>
        <w:rPr>
          <w:b/>
          <w:sz w:val="24"/>
          <w:szCs w:val="24"/>
        </w:rPr>
      </w:pPr>
    </w:p>
    <w:p w14:paraId="4A4C504E" w14:textId="2724E37F" w:rsidR="009260DE" w:rsidRPr="00B008C1" w:rsidRDefault="00EB105A" w:rsidP="009260DE">
      <w:pPr>
        <w:jc w:val="center"/>
        <w:rPr>
          <w:b/>
          <w:sz w:val="24"/>
          <w:szCs w:val="24"/>
        </w:rPr>
      </w:pPr>
      <w:r w:rsidRPr="00B008C1">
        <w:rPr>
          <w:b/>
          <w:sz w:val="24"/>
          <w:szCs w:val="24"/>
        </w:rPr>
        <w:t>Progesteron "Laboratorios Farmalan"</w:t>
      </w:r>
      <w:r w:rsidR="0029456D">
        <w:rPr>
          <w:b/>
          <w:sz w:val="24"/>
          <w:szCs w:val="24"/>
        </w:rPr>
        <w:t>, injektionsvæske, opløsning</w:t>
      </w:r>
    </w:p>
    <w:p w14:paraId="6CB1A916" w14:textId="77777777" w:rsidR="009260DE" w:rsidRPr="00B008C1" w:rsidRDefault="009260DE" w:rsidP="009260DE">
      <w:pPr>
        <w:jc w:val="both"/>
        <w:rPr>
          <w:sz w:val="24"/>
          <w:szCs w:val="24"/>
        </w:rPr>
      </w:pPr>
    </w:p>
    <w:p w14:paraId="76B09F49" w14:textId="77777777" w:rsidR="009260DE" w:rsidRPr="00B008C1" w:rsidRDefault="009260DE" w:rsidP="009260DE">
      <w:pPr>
        <w:jc w:val="both"/>
        <w:rPr>
          <w:sz w:val="24"/>
          <w:szCs w:val="24"/>
        </w:rPr>
      </w:pPr>
    </w:p>
    <w:p w14:paraId="70DB9BBE" w14:textId="77777777" w:rsidR="009260DE" w:rsidRPr="00B008C1" w:rsidRDefault="009260DE" w:rsidP="009260DE">
      <w:pPr>
        <w:tabs>
          <w:tab w:val="left" w:pos="851"/>
        </w:tabs>
        <w:ind w:left="851" w:hanging="851"/>
        <w:rPr>
          <w:b/>
          <w:sz w:val="24"/>
          <w:szCs w:val="24"/>
        </w:rPr>
      </w:pPr>
      <w:r w:rsidRPr="00B008C1">
        <w:rPr>
          <w:b/>
          <w:sz w:val="24"/>
          <w:szCs w:val="24"/>
        </w:rPr>
        <w:t>0.</w:t>
      </w:r>
      <w:r w:rsidRPr="00B008C1">
        <w:rPr>
          <w:b/>
          <w:sz w:val="24"/>
          <w:szCs w:val="24"/>
        </w:rPr>
        <w:tab/>
        <w:t>D.SP.NR.</w:t>
      </w:r>
    </w:p>
    <w:p w14:paraId="33F2BB57" w14:textId="71AF7E92" w:rsidR="009260DE" w:rsidRPr="00B008C1" w:rsidRDefault="00EB105A" w:rsidP="009260DE">
      <w:pPr>
        <w:tabs>
          <w:tab w:val="left" w:pos="851"/>
        </w:tabs>
        <w:ind w:left="851"/>
        <w:rPr>
          <w:sz w:val="24"/>
          <w:szCs w:val="24"/>
        </w:rPr>
      </w:pPr>
      <w:r w:rsidRPr="00B008C1">
        <w:rPr>
          <w:sz w:val="24"/>
          <w:szCs w:val="24"/>
        </w:rPr>
        <w:t>34346</w:t>
      </w:r>
    </w:p>
    <w:p w14:paraId="0209C111" w14:textId="77777777" w:rsidR="009260DE" w:rsidRPr="00B008C1" w:rsidRDefault="009260DE" w:rsidP="009260DE">
      <w:pPr>
        <w:tabs>
          <w:tab w:val="left" w:pos="851"/>
        </w:tabs>
        <w:ind w:left="851"/>
        <w:rPr>
          <w:sz w:val="24"/>
          <w:szCs w:val="24"/>
        </w:rPr>
      </w:pPr>
    </w:p>
    <w:p w14:paraId="4B404F17" w14:textId="77777777" w:rsidR="009260DE" w:rsidRPr="00B008C1" w:rsidRDefault="009260DE" w:rsidP="009260DE">
      <w:pPr>
        <w:tabs>
          <w:tab w:val="left" w:pos="851"/>
        </w:tabs>
        <w:ind w:left="851" w:hanging="851"/>
        <w:rPr>
          <w:b/>
          <w:sz w:val="24"/>
          <w:szCs w:val="24"/>
        </w:rPr>
      </w:pPr>
      <w:r w:rsidRPr="00B008C1">
        <w:rPr>
          <w:b/>
          <w:sz w:val="24"/>
          <w:szCs w:val="24"/>
        </w:rPr>
        <w:t>1.</w:t>
      </w:r>
      <w:r w:rsidRPr="00B008C1">
        <w:rPr>
          <w:b/>
          <w:sz w:val="24"/>
          <w:szCs w:val="24"/>
        </w:rPr>
        <w:tab/>
        <w:t>LÆGEMIDLETS NAVN</w:t>
      </w:r>
    </w:p>
    <w:p w14:paraId="7D26FBBF" w14:textId="0966FE11" w:rsidR="009260DE" w:rsidRPr="00B008C1" w:rsidRDefault="00EB105A" w:rsidP="009260DE">
      <w:pPr>
        <w:tabs>
          <w:tab w:val="left" w:pos="851"/>
        </w:tabs>
        <w:ind w:left="851"/>
        <w:rPr>
          <w:sz w:val="24"/>
          <w:szCs w:val="24"/>
        </w:rPr>
      </w:pPr>
      <w:r w:rsidRPr="00B008C1">
        <w:rPr>
          <w:sz w:val="24"/>
          <w:szCs w:val="24"/>
        </w:rPr>
        <w:t>Progesteron "Laboratorios Farmalan"</w:t>
      </w:r>
    </w:p>
    <w:p w14:paraId="5B94CFC9" w14:textId="77777777" w:rsidR="009260DE" w:rsidRPr="00B008C1" w:rsidRDefault="009260DE" w:rsidP="009260DE">
      <w:pPr>
        <w:tabs>
          <w:tab w:val="left" w:pos="851"/>
        </w:tabs>
        <w:ind w:left="851"/>
        <w:rPr>
          <w:sz w:val="24"/>
          <w:szCs w:val="24"/>
        </w:rPr>
      </w:pPr>
    </w:p>
    <w:p w14:paraId="76F44688" w14:textId="77777777" w:rsidR="009260DE" w:rsidRPr="00B008C1" w:rsidRDefault="009260DE" w:rsidP="009260DE">
      <w:pPr>
        <w:tabs>
          <w:tab w:val="left" w:pos="851"/>
        </w:tabs>
        <w:ind w:left="851" w:hanging="851"/>
        <w:rPr>
          <w:b/>
          <w:sz w:val="24"/>
          <w:szCs w:val="24"/>
        </w:rPr>
      </w:pPr>
      <w:r w:rsidRPr="00B008C1">
        <w:rPr>
          <w:b/>
          <w:sz w:val="24"/>
          <w:szCs w:val="24"/>
        </w:rPr>
        <w:t>2.</w:t>
      </w:r>
      <w:r w:rsidRPr="00B008C1">
        <w:rPr>
          <w:b/>
          <w:sz w:val="24"/>
          <w:szCs w:val="24"/>
        </w:rPr>
        <w:tab/>
        <w:t>KVALITATIV OG KVANTITATIV SAMMENSÆTNING</w:t>
      </w:r>
    </w:p>
    <w:p w14:paraId="2A73FF70" w14:textId="77777777" w:rsidR="006E00B5" w:rsidRPr="006E00B5" w:rsidRDefault="006E00B5" w:rsidP="009168B8">
      <w:pPr>
        <w:ind w:left="851"/>
        <w:rPr>
          <w:sz w:val="24"/>
          <w:szCs w:val="24"/>
        </w:rPr>
      </w:pPr>
      <w:r w:rsidRPr="006E00B5">
        <w:rPr>
          <w:sz w:val="24"/>
          <w:szCs w:val="24"/>
        </w:rPr>
        <w:t>Hvert hætteglas på 1,112 ml indeholder 25 mg progesteron (22,48 mg/ml).</w:t>
      </w:r>
    </w:p>
    <w:p w14:paraId="3F1B4574" w14:textId="77777777" w:rsidR="006E00B5" w:rsidRPr="006E00B5" w:rsidRDefault="006E00B5" w:rsidP="009168B8">
      <w:pPr>
        <w:ind w:left="851"/>
        <w:rPr>
          <w:sz w:val="24"/>
          <w:szCs w:val="24"/>
        </w:rPr>
      </w:pPr>
    </w:p>
    <w:p w14:paraId="14443DD9" w14:textId="77777777" w:rsidR="006E00B5" w:rsidRPr="006E00B5" w:rsidRDefault="006E00B5" w:rsidP="009168B8">
      <w:pPr>
        <w:ind w:left="851"/>
        <w:rPr>
          <w:sz w:val="24"/>
          <w:szCs w:val="24"/>
        </w:rPr>
      </w:pPr>
      <w:r w:rsidRPr="006E00B5">
        <w:rPr>
          <w:sz w:val="24"/>
          <w:szCs w:val="24"/>
        </w:rPr>
        <w:t>Alle hjælpestoffer er anført under pkt. 6.1.</w:t>
      </w:r>
    </w:p>
    <w:p w14:paraId="5EFBA9D5" w14:textId="77777777" w:rsidR="009260DE" w:rsidRPr="00B008C1" w:rsidRDefault="009260DE" w:rsidP="009260DE">
      <w:pPr>
        <w:tabs>
          <w:tab w:val="left" w:pos="851"/>
        </w:tabs>
        <w:ind w:left="851"/>
        <w:rPr>
          <w:sz w:val="24"/>
          <w:szCs w:val="24"/>
        </w:rPr>
      </w:pPr>
    </w:p>
    <w:p w14:paraId="77AF3ED2" w14:textId="77777777" w:rsidR="009260DE" w:rsidRPr="00B008C1" w:rsidRDefault="009260DE" w:rsidP="009260DE">
      <w:pPr>
        <w:tabs>
          <w:tab w:val="left" w:pos="851"/>
        </w:tabs>
        <w:ind w:left="851" w:hanging="851"/>
        <w:rPr>
          <w:b/>
          <w:sz w:val="24"/>
          <w:szCs w:val="24"/>
        </w:rPr>
      </w:pPr>
      <w:r w:rsidRPr="00B008C1">
        <w:rPr>
          <w:b/>
          <w:sz w:val="24"/>
          <w:szCs w:val="24"/>
        </w:rPr>
        <w:t>3.</w:t>
      </w:r>
      <w:r w:rsidRPr="00B008C1">
        <w:rPr>
          <w:b/>
          <w:sz w:val="24"/>
          <w:szCs w:val="24"/>
        </w:rPr>
        <w:tab/>
        <w:t>LÆGEMIDDELFORM</w:t>
      </w:r>
    </w:p>
    <w:p w14:paraId="4907584C" w14:textId="2A75A612" w:rsidR="006E00B5" w:rsidRPr="006E00B5" w:rsidRDefault="006E00B5" w:rsidP="009168B8">
      <w:pPr>
        <w:ind w:left="851"/>
        <w:rPr>
          <w:sz w:val="24"/>
          <w:szCs w:val="24"/>
        </w:rPr>
      </w:pPr>
      <w:r w:rsidRPr="006E00B5">
        <w:rPr>
          <w:sz w:val="24"/>
          <w:szCs w:val="24"/>
        </w:rPr>
        <w:t>Injektionsvæske, opløsning</w:t>
      </w:r>
    </w:p>
    <w:p w14:paraId="39D3269D" w14:textId="77777777" w:rsidR="006E00B5" w:rsidRPr="006E00B5" w:rsidRDefault="006E00B5" w:rsidP="009168B8">
      <w:pPr>
        <w:ind w:left="851"/>
        <w:rPr>
          <w:sz w:val="24"/>
          <w:szCs w:val="24"/>
        </w:rPr>
      </w:pPr>
    </w:p>
    <w:p w14:paraId="747D280E" w14:textId="77777777" w:rsidR="006E00B5" w:rsidRPr="006E00B5" w:rsidRDefault="006E00B5" w:rsidP="009168B8">
      <w:pPr>
        <w:ind w:left="851"/>
        <w:rPr>
          <w:sz w:val="24"/>
          <w:szCs w:val="24"/>
        </w:rPr>
      </w:pPr>
      <w:r w:rsidRPr="006E00B5">
        <w:rPr>
          <w:sz w:val="24"/>
          <w:szCs w:val="24"/>
        </w:rPr>
        <w:t>Klar, farveløs til lysebrun opløsning, praktisk taget fri for synlige partikler.</w:t>
      </w:r>
    </w:p>
    <w:p w14:paraId="2DF3CADA" w14:textId="77777777" w:rsidR="009260DE" w:rsidRPr="00B008C1" w:rsidRDefault="009260DE" w:rsidP="009260DE">
      <w:pPr>
        <w:tabs>
          <w:tab w:val="left" w:pos="851"/>
        </w:tabs>
        <w:ind w:left="851"/>
        <w:rPr>
          <w:sz w:val="24"/>
          <w:szCs w:val="24"/>
        </w:rPr>
      </w:pPr>
    </w:p>
    <w:p w14:paraId="7CB9D652" w14:textId="77777777" w:rsidR="009260DE" w:rsidRPr="00B008C1" w:rsidRDefault="009260DE" w:rsidP="009260DE">
      <w:pPr>
        <w:tabs>
          <w:tab w:val="left" w:pos="851"/>
        </w:tabs>
        <w:ind w:left="851"/>
        <w:rPr>
          <w:sz w:val="24"/>
          <w:szCs w:val="24"/>
        </w:rPr>
      </w:pPr>
    </w:p>
    <w:p w14:paraId="006012C9" w14:textId="77777777" w:rsidR="009260DE" w:rsidRPr="00B008C1" w:rsidRDefault="009260DE" w:rsidP="009260DE">
      <w:pPr>
        <w:tabs>
          <w:tab w:val="left" w:pos="851"/>
        </w:tabs>
        <w:ind w:left="851" w:hanging="851"/>
        <w:rPr>
          <w:b/>
          <w:sz w:val="24"/>
          <w:szCs w:val="24"/>
        </w:rPr>
      </w:pPr>
      <w:r w:rsidRPr="00B008C1">
        <w:rPr>
          <w:b/>
          <w:sz w:val="24"/>
          <w:szCs w:val="24"/>
        </w:rPr>
        <w:t>4.</w:t>
      </w:r>
      <w:r w:rsidRPr="00B008C1">
        <w:rPr>
          <w:b/>
          <w:sz w:val="24"/>
          <w:szCs w:val="24"/>
        </w:rPr>
        <w:tab/>
        <w:t>KLINISKE OPLYSNINGER</w:t>
      </w:r>
    </w:p>
    <w:p w14:paraId="00BD5A67" w14:textId="77777777" w:rsidR="009260DE" w:rsidRPr="00B008C1" w:rsidRDefault="009260DE" w:rsidP="009260DE">
      <w:pPr>
        <w:tabs>
          <w:tab w:val="left" w:pos="851"/>
        </w:tabs>
        <w:ind w:left="851"/>
        <w:rPr>
          <w:b/>
          <w:sz w:val="24"/>
          <w:szCs w:val="24"/>
        </w:rPr>
      </w:pPr>
    </w:p>
    <w:p w14:paraId="7B41C96E" w14:textId="77777777" w:rsidR="009260DE" w:rsidRPr="00B008C1" w:rsidRDefault="009260DE" w:rsidP="009260DE">
      <w:pPr>
        <w:tabs>
          <w:tab w:val="left" w:pos="851"/>
        </w:tabs>
        <w:ind w:left="851" w:hanging="851"/>
        <w:rPr>
          <w:b/>
          <w:sz w:val="24"/>
          <w:szCs w:val="24"/>
          <w:u w:val="single"/>
        </w:rPr>
      </w:pPr>
      <w:r w:rsidRPr="00B008C1">
        <w:rPr>
          <w:b/>
          <w:sz w:val="24"/>
          <w:szCs w:val="24"/>
        </w:rPr>
        <w:t>4.1</w:t>
      </w:r>
      <w:r w:rsidRPr="00B008C1">
        <w:rPr>
          <w:b/>
          <w:sz w:val="24"/>
          <w:szCs w:val="24"/>
        </w:rPr>
        <w:tab/>
        <w:t>Terapeutiske indikationer</w:t>
      </w:r>
    </w:p>
    <w:p w14:paraId="3619E5E8" w14:textId="1E5E5640" w:rsidR="006E00B5" w:rsidRPr="006E00B5" w:rsidRDefault="006E00B5" w:rsidP="009168B8">
      <w:pPr>
        <w:ind w:left="851"/>
        <w:rPr>
          <w:i/>
          <w:sz w:val="24"/>
          <w:szCs w:val="24"/>
        </w:rPr>
      </w:pPr>
      <w:r w:rsidRPr="006E00B5">
        <w:rPr>
          <w:sz w:val="24"/>
          <w:szCs w:val="24"/>
        </w:rPr>
        <w:t xml:space="preserve">Progesteron </w:t>
      </w:r>
      <w:r w:rsidR="00B008C1">
        <w:rPr>
          <w:sz w:val="24"/>
          <w:szCs w:val="24"/>
        </w:rPr>
        <w:t>"</w:t>
      </w:r>
      <w:r w:rsidRPr="006E00B5">
        <w:rPr>
          <w:sz w:val="24"/>
          <w:szCs w:val="24"/>
        </w:rPr>
        <w:t>Laboratorios Farmalan</w:t>
      </w:r>
      <w:r w:rsidR="00B008C1">
        <w:rPr>
          <w:sz w:val="24"/>
          <w:szCs w:val="24"/>
        </w:rPr>
        <w:t>"</w:t>
      </w:r>
      <w:r w:rsidRPr="006E00B5">
        <w:rPr>
          <w:sz w:val="24"/>
          <w:szCs w:val="24"/>
        </w:rPr>
        <w:t xml:space="preserve"> er indiceret hos voksne til luteal støtte som en del af et assisteret reproduktiv teknologi (ART)-behandlingsprogram hos infertile kvinder, der ikke er i stand til at bruge, eller ikke kan tåle, vaginale præparater.</w:t>
      </w:r>
    </w:p>
    <w:p w14:paraId="209EE52C" w14:textId="77777777" w:rsidR="009260DE" w:rsidRPr="00B008C1" w:rsidRDefault="009260DE" w:rsidP="009260DE">
      <w:pPr>
        <w:tabs>
          <w:tab w:val="left" w:pos="851"/>
        </w:tabs>
        <w:ind w:left="851"/>
        <w:rPr>
          <w:sz w:val="24"/>
          <w:szCs w:val="24"/>
        </w:rPr>
      </w:pPr>
    </w:p>
    <w:p w14:paraId="0ACA823C" w14:textId="77777777" w:rsidR="009260DE" w:rsidRPr="00B008C1" w:rsidRDefault="009260DE" w:rsidP="009260DE">
      <w:pPr>
        <w:tabs>
          <w:tab w:val="left" w:pos="851"/>
        </w:tabs>
        <w:ind w:left="851" w:hanging="851"/>
        <w:rPr>
          <w:b/>
          <w:sz w:val="24"/>
          <w:szCs w:val="24"/>
        </w:rPr>
      </w:pPr>
      <w:r w:rsidRPr="00B008C1">
        <w:rPr>
          <w:b/>
          <w:sz w:val="24"/>
          <w:szCs w:val="24"/>
        </w:rPr>
        <w:t>4.2</w:t>
      </w:r>
      <w:r w:rsidRPr="00B008C1">
        <w:rPr>
          <w:b/>
          <w:sz w:val="24"/>
          <w:szCs w:val="24"/>
        </w:rPr>
        <w:tab/>
        <w:t xml:space="preserve">Dosering og </w:t>
      </w:r>
      <w:r w:rsidR="002C1EC0" w:rsidRPr="00B008C1">
        <w:rPr>
          <w:b/>
          <w:sz w:val="24"/>
          <w:szCs w:val="24"/>
        </w:rPr>
        <w:t>administration</w:t>
      </w:r>
    </w:p>
    <w:p w14:paraId="4834C6E8" w14:textId="77777777" w:rsidR="00B008C1" w:rsidRDefault="00B008C1" w:rsidP="009168B8">
      <w:pPr>
        <w:ind w:left="851"/>
        <w:rPr>
          <w:sz w:val="24"/>
          <w:szCs w:val="24"/>
          <w:u w:val="single"/>
        </w:rPr>
      </w:pPr>
    </w:p>
    <w:p w14:paraId="4329B707" w14:textId="7E70CB50" w:rsidR="006E00B5" w:rsidRPr="006E00B5" w:rsidRDefault="006E00B5" w:rsidP="009168B8">
      <w:pPr>
        <w:ind w:left="851"/>
        <w:rPr>
          <w:sz w:val="24"/>
          <w:szCs w:val="24"/>
          <w:u w:val="single"/>
        </w:rPr>
      </w:pPr>
      <w:r w:rsidRPr="006E00B5">
        <w:rPr>
          <w:sz w:val="24"/>
          <w:szCs w:val="24"/>
          <w:u w:val="single"/>
        </w:rPr>
        <w:t>Dosering</w:t>
      </w:r>
    </w:p>
    <w:p w14:paraId="325F4D87" w14:textId="77777777" w:rsidR="006E00B5" w:rsidRPr="006E00B5" w:rsidRDefault="006E00B5" w:rsidP="009168B8">
      <w:pPr>
        <w:ind w:left="851"/>
        <w:rPr>
          <w:sz w:val="24"/>
          <w:szCs w:val="24"/>
        </w:rPr>
      </w:pPr>
    </w:p>
    <w:p w14:paraId="0D2E008C" w14:textId="77777777" w:rsidR="006E00B5" w:rsidRPr="006E00B5" w:rsidRDefault="006E00B5" w:rsidP="009168B8">
      <w:pPr>
        <w:ind w:left="851"/>
        <w:rPr>
          <w:bCs/>
          <w:i/>
          <w:iCs/>
          <w:sz w:val="24"/>
          <w:szCs w:val="24"/>
        </w:rPr>
      </w:pPr>
      <w:r w:rsidRPr="006E00B5">
        <w:rPr>
          <w:bCs/>
          <w:i/>
          <w:iCs/>
          <w:sz w:val="24"/>
          <w:szCs w:val="24"/>
        </w:rPr>
        <w:t>Voksne</w:t>
      </w:r>
    </w:p>
    <w:p w14:paraId="38D7BFCB" w14:textId="77777777" w:rsidR="006E00B5" w:rsidRPr="006E00B5" w:rsidRDefault="006E00B5" w:rsidP="009168B8">
      <w:pPr>
        <w:ind w:left="851"/>
        <w:rPr>
          <w:sz w:val="24"/>
          <w:szCs w:val="24"/>
        </w:rPr>
      </w:pPr>
    </w:p>
    <w:p w14:paraId="47E5ACC8" w14:textId="77777777" w:rsidR="006E00B5" w:rsidRPr="006E00B5" w:rsidRDefault="006E00B5" w:rsidP="009168B8">
      <w:pPr>
        <w:ind w:left="851"/>
        <w:rPr>
          <w:sz w:val="24"/>
          <w:szCs w:val="24"/>
        </w:rPr>
      </w:pPr>
      <w:r w:rsidRPr="006E00B5">
        <w:rPr>
          <w:sz w:val="24"/>
          <w:szCs w:val="24"/>
        </w:rPr>
        <w:t>25 mg injiceres én gang dagligt fra dagen for oocytudtagning, sædvanligvis indtil 12 ugers bekræftet graviditet.</w:t>
      </w:r>
    </w:p>
    <w:p w14:paraId="51224CEC" w14:textId="77777777" w:rsidR="006E00B5" w:rsidRPr="006E00B5" w:rsidRDefault="006E00B5" w:rsidP="009168B8">
      <w:pPr>
        <w:ind w:left="851"/>
        <w:rPr>
          <w:sz w:val="24"/>
          <w:szCs w:val="24"/>
        </w:rPr>
      </w:pPr>
    </w:p>
    <w:p w14:paraId="2BEDD287" w14:textId="77777777" w:rsidR="006E00B5" w:rsidRPr="006E00B5" w:rsidRDefault="006E00B5" w:rsidP="009168B8">
      <w:pPr>
        <w:ind w:left="851"/>
        <w:rPr>
          <w:sz w:val="24"/>
          <w:szCs w:val="24"/>
        </w:rPr>
      </w:pPr>
      <w:r w:rsidRPr="006E00B5">
        <w:rPr>
          <w:sz w:val="24"/>
          <w:szCs w:val="24"/>
        </w:rPr>
        <w:t>Da indikationerne for dette lægemiddel er begrænset til kvinder i den fertile alder, er doseringsanbefalinger for børn og ældre ikke relevante.</w:t>
      </w:r>
    </w:p>
    <w:p w14:paraId="5DB241E2" w14:textId="77777777" w:rsidR="006E00B5" w:rsidRPr="006E00B5" w:rsidRDefault="006E00B5" w:rsidP="009168B8">
      <w:pPr>
        <w:ind w:left="851"/>
        <w:rPr>
          <w:sz w:val="24"/>
          <w:szCs w:val="24"/>
        </w:rPr>
      </w:pPr>
    </w:p>
    <w:p w14:paraId="1A9667D3" w14:textId="77777777" w:rsidR="006E00B5" w:rsidRPr="006E00B5" w:rsidRDefault="006E00B5" w:rsidP="009168B8">
      <w:pPr>
        <w:ind w:left="851"/>
        <w:rPr>
          <w:bCs/>
          <w:iCs/>
          <w:sz w:val="24"/>
          <w:szCs w:val="24"/>
        </w:rPr>
      </w:pPr>
      <w:r w:rsidRPr="006E00B5">
        <w:rPr>
          <w:sz w:val="24"/>
          <w:szCs w:val="24"/>
        </w:rPr>
        <w:t>Injektionsvæsken administreres subkutant (25 mg) af patienten selv efter oplæring eller intramuskulært (25 mg) af en læge.</w:t>
      </w:r>
    </w:p>
    <w:p w14:paraId="1719D2A3" w14:textId="77777777" w:rsidR="006E00B5" w:rsidRPr="006E00B5" w:rsidRDefault="006E00B5" w:rsidP="009168B8">
      <w:pPr>
        <w:ind w:left="851"/>
        <w:rPr>
          <w:sz w:val="24"/>
          <w:szCs w:val="24"/>
          <w:u w:val="single"/>
        </w:rPr>
      </w:pPr>
    </w:p>
    <w:p w14:paraId="54B2678B" w14:textId="77777777" w:rsidR="006E00B5" w:rsidRPr="006E00B5" w:rsidRDefault="006E00B5" w:rsidP="009168B8">
      <w:pPr>
        <w:ind w:left="851"/>
        <w:rPr>
          <w:sz w:val="24"/>
          <w:szCs w:val="24"/>
          <w:u w:val="single"/>
        </w:rPr>
      </w:pPr>
      <w:r w:rsidRPr="006E00B5">
        <w:rPr>
          <w:sz w:val="24"/>
          <w:szCs w:val="24"/>
          <w:u w:val="single"/>
        </w:rPr>
        <w:t>Særlige populationer</w:t>
      </w:r>
    </w:p>
    <w:p w14:paraId="5B3B1F67" w14:textId="77777777" w:rsidR="006E00B5" w:rsidRPr="006E00B5" w:rsidRDefault="006E00B5" w:rsidP="009168B8">
      <w:pPr>
        <w:ind w:left="851"/>
        <w:rPr>
          <w:sz w:val="24"/>
          <w:szCs w:val="24"/>
          <w:u w:val="single"/>
        </w:rPr>
      </w:pPr>
    </w:p>
    <w:p w14:paraId="06309F71" w14:textId="77777777" w:rsidR="006E00B5" w:rsidRPr="006E00B5" w:rsidRDefault="006E00B5" w:rsidP="009168B8">
      <w:pPr>
        <w:ind w:left="851"/>
        <w:rPr>
          <w:bCs/>
          <w:i/>
          <w:iCs/>
          <w:sz w:val="24"/>
          <w:szCs w:val="24"/>
        </w:rPr>
      </w:pPr>
      <w:r w:rsidRPr="006E00B5">
        <w:rPr>
          <w:bCs/>
          <w:i/>
          <w:iCs/>
          <w:sz w:val="24"/>
          <w:szCs w:val="24"/>
        </w:rPr>
        <w:t>Ældre</w:t>
      </w:r>
    </w:p>
    <w:p w14:paraId="1261708B" w14:textId="77777777" w:rsidR="006E00B5" w:rsidRPr="006E00B5" w:rsidRDefault="006E00B5" w:rsidP="009168B8">
      <w:pPr>
        <w:ind w:left="851"/>
        <w:rPr>
          <w:bCs/>
          <w:sz w:val="24"/>
          <w:szCs w:val="24"/>
        </w:rPr>
      </w:pPr>
      <w:r w:rsidRPr="006E00B5">
        <w:rPr>
          <w:bCs/>
          <w:sz w:val="24"/>
          <w:szCs w:val="24"/>
        </w:rPr>
        <w:t>Der foreligger ingen kliniske data for patienter over 65 år.</w:t>
      </w:r>
    </w:p>
    <w:p w14:paraId="3F274AB4" w14:textId="77777777" w:rsidR="006E00B5" w:rsidRPr="006E00B5" w:rsidRDefault="006E00B5" w:rsidP="009168B8">
      <w:pPr>
        <w:ind w:left="851"/>
        <w:rPr>
          <w:bCs/>
          <w:i/>
          <w:iCs/>
          <w:sz w:val="24"/>
          <w:szCs w:val="24"/>
        </w:rPr>
      </w:pPr>
    </w:p>
    <w:p w14:paraId="6169BCCC" w14:textId="77777777" w:rsidR="006E00B5" w:rsidRPr="006E00B5" w:rsidRDefault="006E00B5" w:rsidP="009168B8">
      <w:pPr>
        <w:ind w:left="851"/>
        <w:rPr>
          <w:bCs/>
          <w:i/>
          <w:iCs/>
          <w:sz w:val="24"/>
          <w:szCs w:val="24"/>
        </w:rPr>
      </w:pPr>
      <w:r w:rsidRPr="006E00B5">
        <w:rPr>
          <w:bCs/>
          <w:i/>
          <w:iCs/>
          <w:sz w:val="24"/>
          <w:szCs w:val="24"/>
        </w:rPr>
        <w:t>Nedsat nyre- og leverfunktion</w:t>
      </w:r>
    </w:p>
    <w:p w14:paraId="307CBD0B" w14:textId="77777777" w:rsidR="006E00B5" w:rsidRPr="006E00B5" w:rsidRDefault="006E00B5" w:rsidP="009168B8">
      <w:pPr>
        <w:ind w:left="851"/>
        <w:rPr>
          <w:bCs/>
          <w:sz w:val="24"/>
          <w:szCs w:val="24"/>
        </w:rPr>
      </w:pPr>
      <w:r w:rsidRPr="006E00B5">
        <w:rPr>
          <w:bCs/>
          <w:sz w:val="24"/>
          <w:szCs w:val="24"/>
        </w:rPr>
        <w:t>Der er ingen erfaring med brug af dette lægemiddel hos patienter med nedsat lever- eller nyrefunktion.</w:t>
      </w:r>
    </w:p>
    <w:p w14:paraId="3C6D2E28" w14:textId="77777777" w:rsidR="006E00B5" w:rsidRPr="006E00B5" w:rsidRDefault="006E00B5" w:rsidP="009168B8">
      <w:pPr>
        <w:ind w:left="851"/>
        <w:rPr>
          <w:bCs/>
          <w:sz w:val="24"/>
          <w:szCs w:val="24"/>
        </w:rPr>
      </w:pPr>
    </w:p>
    <w:p w14:paraId="4390823B" w14:textId="77777777" w:rsidR="006E00B5" w:rsidRPr="006E00B5" w:rsidRDefault="006E00B5" w:rsidP="009168B8">
      <w:pPr>
        <w:ind w:left="851"/>
        <w:rPr>
          <w:bCs/>
          <w:i/>
          <w:iCs/>
          <w:sz w:val="24"/>
          <w:szCs w:val="24"/>
        </w:rPr>
      </w:pPr>
      <w:r w:rsidRPr="006E00B5">
        <w:rPr>
          <w:bCs/>
          <w:i/>
          <w:iCs/>
          <w:sz w:val="24"/>
          <w:szCs w:val="24"/>
        </w:rPr>
        <w:t>Pædiatrisk population</w:t>
      </w:r>
    </w:p>
    <w:p w14:paraId="19E0F923" w14:textId="77777777" w:rsidR="006E00B5" w:rsidRPr="006E00B5" w:rsidRDefault="006E00B5" w:rsidP="009168B8">
      <w:pPr>
        <w:ind w:left="851"/>
        <w:rPr>
          <w:bCs/>
          <w:sz w:val="24"/>
          <w:szCs w:val="24"/>
        </w:rPr>
      </w:pPr>
      <w:r w:rsidRPr="006E00B5">
        <w:rPr>
          <w:bCs/>
          <w:sz w:val="24"/>
          <w:szCs w:val="24"/>
        </w:rPr>
        <w:t>Sikkerhed og virkning af dette lægemiddel hos børn (0 til 18 år) er ikke klarlagt.</w:t>
      </w:r>
    </w:p>
    <w:p w14:paraId="66C2762D" w14:textId="77777777" w:rsidR="006E00B5" w:rsidRPr="006E00B5" w:rsidRDefault="006E00B5" w:rsidP="009168B8">
      <w:pPr>
        <w:ind w:left="851"/>
        <w:rPr>
          <w:bCs/>
          <w:sz w:val="24"/>
          <w:szCs w:val="24"/>
        </w:rPr>
      </w:pPr>
    </w:p>
    <w:p w14:paraId="4D3C7A9B" w14:textId="77777777" w:rsidR="006E00B5" w:rsidRPr="006E00B5" w:rsidRDefault="006E00B5" w:rsidP="009168B8">
      <w:pPr>
        <w:ind w:left="851"/>
        <w:rPr>
          <w:sz w:val="24"/>
          <w:szCs w:val="24"/>
        </w:rPr>
      </w:pPr>
      <w:r w:rsidRPr="006E00B5">
        <w:rPr>
          <w:bCs/>
          <w:sz w:val="24"/>
          <w:szCs w:val="24"/>
        </w:rPr>
        <w:t>Der er ingen relevant anvendelse af dette lægemiddel hos den pædiatriske population eller hos ældre ved indikationen luteal støtte som led i et behandlingsprogram for assisteret reproduktiv teknologi (ART) hos infertile kvinder.</w:t>
      </w:r>
    </w:p>
    <w:p w14:paraId="2438797B" w14:textId="77777777" w:rsidR="006E00B5" w:rsidRPr="006E00B5" w:rsidRDefault="006E00B5" w:rsidP="009168B8">
      <w:pPr>
        <w:ind w:left="851"/>
        <w:rPr>
          <w:sz w:val="24"/>
          <w:szCs w:val="24"/>
        </w:rPr>
      </w:pPr>
    </w:p>
    <w:p w14:paraId="2599301D" w14:textId="77777777" w:rsidR="006E00B5" w:rsidRPr="006E00B5" w:rsidRDefault="006E00B5" w:rsidP="009168B8">
      <w:pPr>
        <w:ind w:left="851"/>
        <w:rPr>
          <w:sz w:val="24"/>
          <w:szCs w:val="24"/>
          <w:u w:val="single"/>
        </w:rPr>
      </w:pPr>
      <w:r w:rsidRPr="006E00B5">
        <w:rPr>
          <w:sz w:val="24"/>
          <w:szCs w:val="24"/>
          <w:u w:val="single"/>
        </w:rPr>
        <w:t>Administration</w:t>
      </w:r>
    </w:p>
    <w:p w14:paraId="00D78681" w14:textId="77777777" w:rsidR="006E00B5" w:rsidRPr="006E00B5" w:rsidRDefault="006E00B5" w:rsidP="009168B8">
      <w:pPr>
        <w:ind w:left="851"/>
        <w:rPr>
          <w:sz w:val="24"/>
          <w:szCs w:val="24"/>
          <w:u w:val="single"/>
        </w:rPr>
      </w:pPr>
    </w:p>
    <w:p w14:paraId="674FBEA7" w14:textId="77777777" w:rsidR="006E00B5" w:rsidRPr="006E00B5" w:rsidRDefault="006E00B5" w:rsidP="009168B8">
      <w:pPr>
        <w:ind w:left="851"/>
        <w:rPr>
          <w:iCs/>
          <w:sz w:val="24"/>
          <w:szCs w:val="24"/>
        </w:rPr>
      </w:pPr>
      <w:r w:rsidRPr="006E00B5">
        <w:rPr>
          <w:iCs/>
          <w:sz w:val="24"/>
          <w:szCs w:val="24"/>
        </w:rPr>
        <w:t>Behandling skal indledes under tilsyn af en læge med erfaring i behandling af fertilitetsproblemer.</w:t>
      </w:r>
    </w:p>
    <w:p w14:paraId="79520AEC" w14:textId="77777777" w:rsidR="006E00B5" w:rsidRPr="006E00B5" w:rsidRDefault="006E00B5" w:rsidP="009168B8">
      <w:pPr>
        <w:ind w:left="851"/>
        <w:rPr>
          <w:iCs/>
          <w:sz w:val="24"/>
          <w:szCs w:val="24"/>
        </w:rPr>
      </w:pPr>
    </w:p>
    <w:p w14:paraId="5B79E782" w14:textId="77777777" w:rsidR="006E00B5" w:rsidRPr="006E00B5" w:rsidRDefault="006E00B5" w:rsidP="009168B8">
      <w:pPr>
        <w:ind w:left="851"/>
        <w:rPr>
          <w:iCs/>
          <w:sz w:val="24"/>
          <w:szCs w:val="24"/>
        </w:rPr>
      </w:pPr>
      <w:r w:rsidRPr="006E00B5">
        <w:rPr>
          <w:iCs/>
          <w:sz w:val="24"/>
          <w:szCs w:val="24"/>
        </w:rPr>
        <w:t>Denne injektionsvæske er beregnet til intramuskulær eller subkutan administration.</w:t>
      </w:r>
    </w:p>
    <w:p w14:paraId="6EB35618" w14:textId="77777777" w:rsidR="006E00B5" w:rsidRPr="006E00B5" w:rsidRDefault="006E00B5" w:rsidP="009168B8">
      <w:pPr>
        <w:ind w:left="851"/>
        <w:rPr>
          <w:iCs/>
          <w:sz w:val="24"/>
          <w:szCs w:val="24"/>
        </w:rPr>
      </w:pPr>
    </w:p>
    <w:p w14:paraId="70FAB7D3" w14:textId="77777777" w:rsidR="006E00B5" w:rsidRPr="006E00B5" w:rsidRDefault="006E00B5" w:rsidP="009168B8">
      <w:pPr>
        <w:ind w:left="851"/>
        <w:rPr>
          <w:i/>
          <w:sz w:val="24"/>
          <w:szCs w:val="24"/>
        </w:rPr>
      </w:pPr>
      <w:r w:rsidRPr="006E00B5">
        <w:rPr>
          <w:i/>
          <w:sz w:val="24"/>
          <w:szCs w:val="24"/>
        </w:rPr>
        <w:t>Intramuskulær administration</w:t>
      </w:r>
    </w:p>
    <w:p w14:paraId="5D6B0313" w14:textId="77777777" w:rsidR="006E00B5" w:rsidRPr="006E00B5" w:rsidRDefault="006E00B5" w:rsidP="009168B8">
      <w:pPr>
        <w:ind w:left="851"/>
        <w:rPr>
          <w:iCs/>
          <w:sz w:val="24"/>
          <w:szCs w:val="24"/>
        </w:rPr>
      </w:pPr>
      <w:r w:rsidRPr="006E00B5">
        <w:rPr>
          <w:iCs/>
          <w:sz w:val="24"/>
          <w:szCs w:val="24"/>
        </w:rPr>
        <w:t>Vælg et passende område (femorale quadriceps i højre eller venstre lår). Rens det valgte område, indsæt en dyb injektion (nål i en vinkel på 90°). Opløsningen skal injiceres langsomt for at minimere lokal vævsskade.</w:t>
      </w:r>
    </w:p>
    <w:p w14:paraId="6D61DF9E" w14:textId="77777777" w:rsidR="006E00B5" w:rsidRPr="006E00B5" w:rsidRDefault="006E00B5" w:rsidP="009168B8">
      <w:pPr>
        <w:ind w:left="851"/>
        <w:rPr>
          <w:iCs/>
          <w:sz w:val="24"/>
          <w:szCs w:val="24"/>
        </w:rPr>
      </w:pPr>
    </w:p>
    <w:p w14:paraId="5ECCA9EE" w14:textId="77777777" w:rsidR="006E00B5" w:rsidRPr="006E00B5" w:rsidRDefault="006E00B5" w:rsidP="009168B8">
      <w:pPr>
        <w:ind w:left="851"/>
        <w:rPr>
          <w:i/>
          <w:sz w:val="24"/>
          <w:szCs w:val="24"/>
        </w:rPr>
      </w:pPr>
      <w:r w:rsidRPr="006E00B5">
        <w:rPr>
          <w:i/>
          <w:sz w:val="24"/>
          <w:szCs w:val="24"/>
        </w:rPr>
        <w:t>Subkutan administration</w:t>
      </w:r>
    </w:p>
    <w:p w14:paraId="6CA00146" w14:textId="77777777" w:rsidR="006E00B5" w:rsidRPr="006E00B5" w:rsidRDefault="006E00B5" w:rsidP="009168B8">
      <w:pPr>
        <w:ind w:left="851"/>
        <w:rPr>
          <w:iCs/>
          <w:sz w:val="24"/>
          <w:szCs w:val="24"/>
        </w:rPr>
      </w:pPr>
      <w:r w:rsidRPr="006E00B5">
        <w:rPr>
          <w:iCs/>
          <w:sz w:val="24"/>
          <w:szCs w:val="24"/>
        </w:rPr>
        <w:t>Vælg et passende område (forsiden af låret, nedre abdomen), rens det valgte område, klem huden fast sammen og indsæt nålen i en vinkel på 45° til 90°. Langsom injektion er nødvendig for at minimere lokal vævsskade.</w:t>
      </w:r>
    </w:p>
    <w:p w14:paraId="21EB3D1B" w14:textId="77777777" w:rsidR="009260DE" w:rsidRPr="00B008C1" w:rsidRDefault="009260DE" w:rsidP="009260DE">
      <w:pPr>
        <w:tabs>
          <w:tab w:val="left" w:pos="851"/>
        </w:tabs>
        <w:ind w:left="851"/>
        <w:rPr>
          <w:sz w:val="24"/>
          <w:szCs w:val="24"/>
        </w:rPr>
      </w:pPr>
    </w:p>
    <w:p w14:paraId="5893F984" w14:textId="77777777" w:rsidR="009260DE" w:rsidRPr="00B008C1" w:rsidRDefault="009260DE" w:rsidP="009260DE">
      <w:pPr>
        <w:tabs>
          <w:tab w:val="left" w:pos="851"/>
        </w:tabs>
        <w:ind w:left="851" w:hanging="851"/>
        <w:rPr>
          <w:b/>
          <w:sz w:val="24"/>
          <w:szCs w:val="24"/>
        </w:rPr>
      </w:pPr>
      <w:r w:rsidRPr="00B008C1">
        <w:rPr>
          <w:b/>
          <w:sz w:val="24"/>
          <w:szCs w:val="24"/>
        </w:rPr>
        <w:t>4.3</w:t>
      </w:r>
      <w:r w:rsidRPr="00B008C1">
        <w:rPr>
          <w:b/>
          <w:sz w:val="24"/>
          <w:szCs w:val="24"/>
        </w:rPr>
        <w:tab/>
        <w:t>Kontraindikationer</w:t>
      </w:r>
    </w:p>
    <w:p w14:paraId="66114CCE" w14:textId="77777777" w:rsidR="006E00B5" w:rsidRPr="006E00B5" w:rsidRDefault="006E00B5" w:rsidP="009168B8">
      <w:pPr>
        <w:ind w:left="851"/>
        <w:rPr>
          <w:sz w:val="24"/>
          <w:szCs w:val="24"/>
        </w:rPr>
      </w:pPr>
      <w:r w:rsidRPr="006E00B5">
        <w:rPr>
          <w:sz w:val="24"/>
          <w:szCs w:val="24"/>
        </w:rPr>
        <w:t>Dette lægemiddel må ikke anvendes hos personer med nogen af følgende tilstande:</w:t>
      </w:r>
    </w:p>
    <w:p w14:paraId="40BC7977" w14:textId="77777777" w:rsidR="006E00B5" w:rsidRPr="006E00B5" w:rsidRDefault="006E00B5" w:rsidP="009168B8">
      <w:pPr>
        <w:ind w:left="851"/>
        <w:rPr>
          <w:sz w:val="24"/>
          <w:szCs w:val="24"/>
        </w:rPr>
      </w:pPr>
    </w:p>
    <w:p w14:paraId="198CA306" w14:textId="77777777" w:rsidR="006E00B5" w:rsidRPr="006E00B5" w:rsidRDefault="006E00B5" w:rsidP="009168B8">
      <w:pPr>
        <w:numPr>
          <w:ilvl w:val="0"/>
          <w:numId w:val="6"/>
        </w:numPr>
        <w:ind w:left="1276" w:hanging="425"/>
        <w:rPr>
          <w:sz w:val="24"/>
          <w:szCs w:val="24"/>
        </w:rPr>
      </w:pPr>
      <w:r w:rsidRPr="006E00B5">
        <w:rPr>
          <w:sz w:val="24"/>
          <w:szCs w:val="24"/>
        </w:rPr>
        <w:t>overfølsomhed over for det aktive stof eller over for et eller flere af hjælpestofferne anført i pkt. 6.1</w:t>
      </w:r>
    </w:p>
    <w:p w14:paraId="4356DA06" w14:textId="77777777" w:rsidR="006E00B5" w:rsidRPr="006E00B5" w:rsidRDefault="006E00B5" w:rsidP="009168B8">
      <w:pPr>
        <w:numPr>
          <w:ilvl w:val="0"/>
          <w:numId w:val="6"/>
        </w:numPr>
        <w:ind w:left="1276" w:hanging="425"/>
        <w:rPr>
          <w:sz w:val="24"/>
          <w:szCs w:val="24"/>
        </w:rPr>
      </w:pPr>
      <w:r w:rsidRPr="006E00B5">
        <w:rPr>
          <w:sz w:val="24"/>
          <w:szCs w:val="24"/>
        </w:rPr>
        <w:t>udiagnostiseret vaginal blødning</w:t>
      </w:r>
    </w:p>
    <w:p w14:paraId="75F6DE89" w14:textId="0693EFFF" w:rsidR="006E00B5" w:rsidRPr="006E00B5" w:rsidRDefault="006E00B5" w:rsidP="009168B8">
      <w:pPr>
        <w:numPr>
          <w:ilvl w:val="0"/>
          <w:numId w:val="6"/>
        </w:numPr>
        <w:ind w:left="1276" w:hanging="425"/>
        <w:rPr>
          <w:sz w:val="24"/>
          <w:szCs w:val="24"/>
        </w:rPr>
      </w:pPr>
      <w:r w:rsidRPr="006E00B5">
        <w:rPr>
          <w:sz w:val="24"/>
          <w:szCs w:val="24"/>
        </w:rPr>
        <w:t xml:space="preserve">kendt </w:t>
      </w:r>
      <w:r w:rsidR="00B008C1" w:rsidRPr="00B008C1">
        <w:rPr>
          <w:sz w:val="24"/>
          <w:szCs w:val="24"/>
        </w:rPr>
        <w:t>"</w:t>
      </w:r>
      <w:r w:rsidRPr="006E00B5">
        <w:rPr>
          <w:sz w:val="24"/>
          <w:szCs w:val="24"/>
        </w:rPr>
        <w:t>missed abortion</w:t>
      </w:r>
      <w:r w:rsidR="00B008C1" w:rsidRPr="00B008C1">
        <w:rPr>
          <w:sz w:val="24"/>
          <w:szCs w:val="24"/>
        </w:rPr>
        <w:t>"</w:t>
      </w:r>
      <w:r w:rsidRPr="006E00B5">
        <w:rPr>
          <w:sz w:val="24"/>
          <w:szCs w:val="24"/>
        </w:rPr>
        <w:t xml:space="preserve"> eller ektopisk graviditet</w:t>
      </w:r>
    </w:p>
    <w:p w14:paraId="1AC41D1E" w14:textId="77777777" w:rsidR="006E00B5" w:rsidRPr="006E00B5" w:rsidRDefault="006E00B5" w:rsidP="009168B8">
      <w:pPr>
        <w:numPr>
          <w:ilvl w:val="0"/>
          <w:numId w:val="6"/>
        </w:numPr>
        <w:ind w:left="1276" w:hanging="425"/>
        <w:rPr>
          <w:sz w:val="24"/>
          <w:szCs w:val="24"/>
        </w:rPr>
      </w:pPr>
      <w:r w:rsidRPr="006E00B5">
        <w:rPr>
          <w:sz w:val="24"/>
          <w:szCs w:val="24"/>
        </w:rPr>
        <w:t>svær leverinsufficiens eller leversygdom</w:t>
      </w:r>
    </w:p>
    <w:p w14:paraId="709DB860" w14:textId="77777777" w:rsidR="006E00B5" w:rsidRPr="006E00B5" w:rsidRDefault="006E00B5" w:rsidP="009168B8">
      <w:pPr>
        <w:numPr>
          <w:ilvl w:val="0"/>
          <w:numId w:val="6"/>
        </w:numPr>
        <w:ind w:left="1276" w:hanging="425"/>
        <w:rPr>
          <w:sz w:val="24"/>
          <w:szCs w:val="24"/>
        </w:rPr>
      </w:pPr>
      <w:r w:rsidRPr="006E00B5">
        <w:rPr>
          <w:sz w:val="24"/>
          <w:szCs w:val="24"/>
        </w:rPr>
        <w:t>kendt eller mistanke om bryst- eller kræft i underlivet</w:t>
      </w:r>
    </w:p>
    <w:p w14:paraId="6DB728B8" w14:textId="77777777" w:rsidR="006E00B5" w:rsidRPr="006E00B5" w:rsidRDefault="006E00B5" w:rsidP="009168B8">
      <w:pPr>
        <w:numPr>
          <w:ilvl w:val="0"/>
          <w:numId w:val="6"/>
        </w:numPr>
        <w:ind w:left="1276" w:hanging="425"/>
        <w:rPr>
          <w:sz w:val="24"/>
          <w:szCs w:val="24"/>
        </w:rPr>
      </w:pPr>
      <w:r w:rsidRPr="006E00B5">
        <w:rPr>
          <w:sz w:val="24"/>
          <w:szCs w:val="24"/>
        </w:rPr>
        <w:t>aktiv eller tidligere arteriel eller venøs tromboemboli eller svær tromboflebitis</w:t>
      </w:r>
    </w:p>
    <w:p w14:paraId="26A1FFC6" w14:textId="77777777" w:rsidR="006E00B5" w:rsidRPr="006E00B5" w:rsidRDefault="006E00B5" w:rsidP="009168B8">
      <w:pPr>
        <w:numPr>
          <w:ilvl w:val="0"/>
          <w:numId w:val="6"/>
        </w:numPr>
        <w:ind w:left="1276" w:hanging="425"/>
        <w:rPr>
          <w:sz w:val="24"/>
          <w:szCs w:val="24"/>
        </w:rPr>
      </w:pPr>
      <w:r w:rsidRPr="006E00B5">
        <w:rPr>
          <w:sz w:val="24"/>
          <w:szCs w:val="24"/>
        </w:rPr>
        <w:t>porfyri</w:t>
      </w:r>
    </w:p>
    <w:p w14:paraId="2FDE1C2F" w14:textId="77777777" w:rsidR="006E00B5" w:rsidRPr="006E00B5" w:rsidRDefault="006E00B5" w:rsidP="009168B8">
      <w:pPr>
        <w:numPr>
          <w:ilvl w:val="0"/>
          <w:numId w:val="6"/>
        </w:numPr>
        <w:ind w:left="1276" w:hanging="425"/>
        <w:rPr>
          <w:sz w:val="24"/>
          <w:szCs w:val="24"/>
        </w:rPr>
      </w:pPr>
      <w:r w:rsidRPr="006E00B5">
        <w:rPr>
          <w:sz w:val="24"/>
          <w:szCs w:val="24"/>
        </w:rPr>
        <w:t>anamnese med idiopatisk gulsot, svær pruritus eller pemfigoid gestationis under graviditet.</w:t>
      </w:r>
    </w:p>
    <w:p w14:paraId="632DF60A" w14:textId="77777777" w:rsidR="009260DE" w:rsidRPr="00B008C1" w:rsidRDefault="009260DE" w:rsidP="009260DE">
      <w:pPr>
        <w:tabs>
          <w:tab w:val="left" w:pos="851"/>
        </w:tabs>
        <w:ind w:left="851"/>
        <w:rPr>
          <w:sz w:val="24"/>
          <w:szCs w:val="24"/>
        </w:rPr>
      </w:pPr>
    </w:p>
    <w:p w14:paraId="7544DBA9" w14:textId="77777777" w:rsidR="009260DE" w:rsidRPr="00B008C1" w:rsidRDefault="009260DE" w:rsidP="009260DE">
      <w:pPr>
        <w:tabs>
          <w:tab w:val="left" w:pos="851"/>
        </w:tabs>
        <w:ind w:left="851" w:hanging="851"/>
        <w:rPr>
          <w:b/>
          <w:sz w:val="24"/>
          <w:szCs w:val="24"/>
        </w:rPr>
      </w:pPr>
      <w:r w:rsidRPr="00B008C1">
        <w:rPr>
          <w:b/>
          <w:sz w:val="24"/>
          <w:szCs w:val="24"/>
        </w:rPr>
        <w:lastRenderedPageBreak/>
        <w:t>4.4</w:t>
      </w:r>
      <w:r w:rsidRPr="00B008C1">
        <w:rPr>
          <w:b/>
          <w:sz w:val="24"/>
          <w:szCs w:val="24"/>
        </w:rPr>
        <w:tab/>
        <w:t>Særlige advarsler og forsigtighedsregler vedrørende brugen</w:t>
      </w:r>
    </w:p>
    <w:p w14:paraId="6A6F9ADA" w14:textId="77777777" w:rsidR="006E00B5" w:rsidRPr="006E00B5" w:rsidRDefault="006E00B5" w:rsidP="009168B8">
      <w:pPr>
        <w:ind w:left="851"/>
        <w:rPr>
          <w:sz w:val="24"/>
          <w:szCs w:val="24"/>
        </w:rPr>
      </w:pPr>
      <w:r w:rsidRPr="006E00B5">
        <w:rPr>
          <w:sz w:val="24"/>
          <w:szCs w:val="24"/>
        </w:rPr>
        <w:t>Progesteronbehandling skal seponeres, hvis der er mistanke om en af følgende tilstande: myokardieinfarkt, cerebrovaskulære lidelser, arteriel eller venøs tromboemboli, tromboflebitis eller retinal trombose.</w:t>
      </w:r>
    </w:p>
    <w:p w14:paraId="56949288" w14:textId="77777777" w:rsidR="006E00B5" w:rsidRPr="006E00B5" w:rsidRDefault="006E00B5" w:rsidP="009168B8">
      <w:pPr>
        <w:ind w:left="851"/>
        <w:rPr>
          <w:sz w:val="24"/>
          <w:szCs w:val="24"/>
        </w:rPr>
      </w:pPr>
    </w:p>
    <w:p w14:paraId="1CC6567B" w14:textId="77777777" w:rsidR="006E00B5" w:rsidRPr="006E00B5" w:rsidRDefault="006E00B5" w:rsidP="009168B8">
      <w:pPr>
        <w:ind w:left="851"/>
        <w:rPr>
          <w:sz w:val="24"/>
          <w:szCs w:val="24"/>
        </w:rPr>
      </w:pPr>
      <w:r w:rsidRPr="006E00B5">
        <w:rPr>
          <w:sz w:val="24"/>
          <w:szCs w:val="24"/>
        </w:rPr>
        <w:t>Forsigtighed er indiceret hos patienter med mild til moderat nedsat leverfunktion.</w:t>
      </w:r>
    </w:p>
    <w:p w14:paraId="7FF075CF" w14:textId="77777777" w:rsidR="006E00B5" w:rsidRPr="006E00B5" w:rsidRDefault="006E00B5" w:rsidP="009168B8">
      <w:pPr>
        <w:ind w:left="851"/>
        <w:rPr>
          <w:sz w:val="24"/>
          <w:szCs w:val="24"/>
        </w:rPr>
      </w:pPr>
    </w:p>
    <w:p w14:paraId="46E49131" w14:textId="77777777" w:rsidR="006E00B5" w:rsidRPr="006E00B5" w:rsidRDefault="006E00B5" w:rsidP="009168B8">
      <w:pPr>
        <w:ind w:left="851"/>
        <w:rPr>
          <w:sz w:val="24"/>
          <w:szCs w:val="24"/>
        </w:rPr>
      </w:pPr>
      <w:r w:rsidRPr="006E00B5">
        <w:rPr>
          <w:sz w:val="24"/>
          <w:szCs w:val="24"/>
        </w:rPr>
        <w:t>Forsigtighed er indiceret hos patienter med moderat til svært nedsat nyrefunktion, da der kan ske en akkumulering af cyclodextriner.</w:t>
      </w:r>
    </w:p>
    <w:p w14:paraId="49A2DC8B" w14:textId="77777777" w:rsidR="006E00B5" w:rsidRPr="006E00B5" w:rsidRDefault="006E00B5" w:rsidP="009168B8">
      <w:pPr>
        <w:ind w:left="851"/>
        <w:rPr>
          <w:sz w:val="24"/>
          <w:szCs w:val="24"/>
        </w:rPr>
      </w:pPr>
    </w:p>
    <w:p w14:paraId="07F38EE0" w14:textId="77777777" w:rsidR="006E00B5" w:rsidRPr="006E00B5" w:rsidRDefault="006E00B5" w:rsidP="009168B8">
      <w:pPr>
        <w:ind w:left="851"/>
        <w:rPr>
          <w:sz w:val="24"/>
          <w:szCs w:val="24"/>
        </w:rPr>
      </w:pPr>
      <w:r w:rsidRPr="006E00B5">
        <w:rPr>
          <w:sz w:val="24"/>
          <w:szCs w:val="24"/>
        </w:rPr>
        <w:t>Patienter med depression i anamnesen skal overvåges nøje. Seponering bør overvejes, hvis symptomerne forværres.</w:t>
      </w:r>
    </w:p>
    <w:p w14:paraId="25BCDAB4" w14:textId="77777777" w:rsidR="006E00B5" w:rsidRPr="006E00B5" w:rsidRDefault="006E00B5" w:rsidP="009168B8">
      <w:pPr>
        <w:ind w:left="851"/>
        <w:rPr>
          <w:sz w:val="24"/>
          <w:szCs w:val="24"/>
        </w:rPr>
      </w:pPr>
    </w:p>
    <w:p w14:paraId="591EEF20" w14:textId="77777777" w:rsidR="006E00B5" w:rsidRPr="006E00B5" w:rsidRDefault="006E00B5" w:rsidP="009168B8">
      <w:pPr>
        <w:ind w:left="851"/>
        <w:rPr>
          <w:sz w:val="24"/>
          <w:szCs w:val="24"/>
        </w:rPr>
      </w:pPr>
      <w:r w:rsidRPr="006E00B5">
        <w:rPr>
          <w:sz w:val="24"/>
          <w:szCs w:val="24"/>
        </w:rPr>
        <w:t>Da progesteron kan medføre en vis grad af væskeretention, kræver tilstande, som kan påvirkes af denne faktor (f.eks. epilepsi, migræne, astma, hjerte- eller nyredysfunktion), nøje observation.</w:t>
      </w:r>
    </w:p>
    <w:p w14:paraId="12C88042" w14:textId="77777777" w:rsidR="006E00B5" w:rsidRPr="006E00B5" w:rsidRDefault="006E00B5" w:rsidP="009168B8">
      <w:pPr>
        <w:ind w:left="851"/>
        <w:rPr>
          <w:sz w:val="24"/>
          <w:szCs w:val="24"/>
        </w:rPr>
      </w:pPr>
    </w:p>
    <w:p w14:paraId="30ED3174" w14:textId="77777777" w:rsidR="006E00B5" w:rsidRPr="006E00B5" w:rsidRDefault="006E00B5" w:rsidP="009168B8">
      <w:pPr>
        <w:ind w:left="851"/>
        <w:rPr>
          <w:sz w:val="24"/>
          <w:szCs w:val="24"/>
        </w:rPr>
      </w:pPr>
      <w:r w:rsidRPr="006E00B5">
        <w:rPr>
          <w:sz w:val="24"/>
          <w:szCs w:val="24"/>
        </w:rPr>
        <w:t>Et fald i insulinfølsomhed og dermed i glukosetolerancen er observeret hos et lille antal patienter i behandling med østrogen-progestogen-kombinationslægemidler. Mekanismen bag dette fald er ukendt. Af denne grund bør patienter med diabetes overvåges nøje under progesteronbehandling (se pkt. 4.5).</w:t>
      </w:r>
    </w:p>
    <w:p w14:paraId="168F01F0" w14:textId="77777777" w:rsidR="006E00B5" w:rsidRPr="006E00B5" w:rsidRDefault="006E00B5" w:rsidP="009168B8">
      <w:pPr>
        <w:ind w:left="851"/>
        <w:rPr>
          <w:sz w:val="24"/>
          <w:szCs w:val="24"/>
        </w:rPr>
      </w:pPr>
    </w:p>
    <w:p w14:paraId="074A2304" w14:textId="77777777" w:rsidR="006E00B5" w:rsidRPr="006E00B5" w:rsidRDefault="006E00B5" w:rsidP="009168B8">
      <w:pPr>
        <w:ind w:left="851"/>
        <w:rPr>
          <w:sz w:val="24"/>
          <w:szCs w:val="24"/>
        </w:rPr>
      </w:pPr>
      <w:r w:rsidRPr="006E00B5">
        <w:rPr>
          <w:sz w:val="24"/>
          <w:szCs w:val="24"/>
        </w:rPr>
        <w:t>Brug af kønssteroider kan også øge risikoen for retinale vaskulære læsioner. For at forebygge disse komplikationer bør der udvises forsigtighed hos brugere over 35 år, hos rygere og hos personer med risikofaktorer for aterosklerose. Behandlingen skal ophøre ved forbigående iskæmiske hændelser, forekomst af pludselig svær hovedpine eller synsforstyrrelser relateret til papilødem eller retinal blødning.</w:t>
      </w:r>
    </w:p>
    <w:p w14:paraId="422E073A" w14:textId="77777777" w:rsidR="006E00B5" w:rsidRPr="006E00B5" w:rsidRDefault="006E00B5" w:rsidP="009168B8">
      <w:pPr>
        <w:ind w:left="851"/>
        <w:rPr>
          <w:sz w:val="24"/>
          <w:szCs w:val="24"/>
        </w:rPr>
      </w:pPr>
    </w:p>
    <w:p w14:paraId="7AD80D70" w14:textId="77777777" w:rsidR="006E00B5" w:rsidRPr="006E00B5" w:rsidRDefault="006E00B5" w:rsidP="009168B8">
      <w:pPr>
        <w:ind w:left="851"/>
        <w:rPr>
          <w:sz w:val="24"/>
          <w:szCs w:val="24"/>
        </w:rPr>
      </w:pPr>
      <w:r w:rsidRPr="006E00B5">
        <w:rPr>
          <w:sz w:val="24"/>
          <w:szCs w:val="24"/>
        </w:rPr>
        <w:t>Pludselig seponering af progesteronbehandling kan medføre øget angst, humørsvingninger og øget anfaldstendens.</w:t>
      </w:r>
    </w:p>
    <w:p w14:paraId="4D888BEE" w14:textId="77777777" w:rsidR="006E00B5" w:rsidRPr="006E00B5" w:rsidRDefault="006E00B5" w:rsidP="009168B8">
      <w:pPr>
        <w:ind w:left="851"/>
        <w:rPr>
          <w:sz w:val="24"/>
          <w:szCs w:val="24"/>
        </w:rPr>
      </w:pPr>
    </w:p>
    <w:p w14:paraId="0A6D0840" w14:textId="77777777" w:rsidR="006E00B5" w:rsidRPr="006E00B5" w:rsidRDefault="006E00B5" w:rsidP="009168B8">
      <w:pPr>
        <w:ind w:left="851"/>
        <w:rPr>
          <w:sz w:val="24"/>
          <w:szCs w:val="24"/>
        </w:rPr>
      </w:pPr>
      <w:r w:rsidRPr="006E00B5">
        <w:rPr>
          <w:sz w:val="24"/>
          <w:szCs w:val="24"/>
        </w:rPr>
        <w:t>Før behandling med dette lægemiddel påbegyndes, skal patienten og hendes partner vurderes af en læge med hensyn til årsager til infertilitet eller graviditetskomplikationer.</w:t>
      </w:r>
    </w:p>
    <w:p w14:paraId="735DB924" w14:textId="77777777" w:rsidR="009260DE" w:rsidRPr="00B008C1" w:rsidRDefault="009260DE" w:rsidP="009260DE">
      <w:pPr>
        <w:tabs>
          <w:tab w:val="left" w:pos="851"/>
        </w:tabs>
        <w:ind w:left="851"/>
        <w:rPr>
          <w:sz w:val="24"/>
          <w:szCs w:val="24"/>
        </w:rPr>
      </w:pPr>
    </w:p>
    <w:p w14:paraId="6D948AD8" w14:textId="77777777" w:rsidR="009260DE" w:rsidRPr="00B008C1" w:rsidRDefault="009260DE" w:rsidP="009260DE">
      <w:pPr>
        <w:tabs>
          <w:tab w:val="left" w:pos="851"/>
        </w:tabs>
        <w:ind w:left="851" w:hanging="851"/>
        <w:rPr>
          <w:b/>
          <w:sz w:val="24"/>
          <w:szCs w:val="24"/>
        </w:rPr>
      </w:pPr>
      <w:r w:rsidRPr="00B008C1">
        <w:rPr>
          <w:b/>
          <w:sz w:val="24"/>
          <w:szCs w:val="24"/>
        </w:rPr>
        <w:t>4.5</w:t>
      </w:r>
      <w:r w:rsidRPr="00B008C1">
        <w:rPr>
          <w:b/>
          <w:sz w:val="24"/>
          <w:szCs w:val="24"/>
        </w:rPr>
        <w:tab/>
        <w:t>Interaktion med andre lægemidler og andre former for interaktion</w:t>
      </w:r>
    </w:p>
    <w:p w14:paraId="4DFC0F1D" w14:textId="77777777" w:rsidR="006E00B5" w:rsidRPr="006E00B5" w:rsidRDefault="006E00B5" w:rsidP="009168B8">
      <w:pPr>
        <w:ind w:left="851"/>
        <w:rPr>
          <w:sz w:val="24"/>
          <w:szCs w:val="24"/>
        </w:rPr>
      </w:pPr>
      <w:r w:rsidRPr="006E00B5">
        <w:rPr>
          <w:sz w:val="24"/>
          <w:szCs w:val="24"/>
        </w:rPr>
        <w:t>Lægemidler, der vides at inducere det hepatiske cytochrom P450-3A4-system (f.eks. rifampicin, carbamazepin, griseofulvin, phenobarbital, phenytoin eller perikon [Hypericum perforatum-holdige urtepræparater]) kan øge eliminationshastigheden og derved nedsætte progesterons biotilgængelighed.</w:t>
      </w:r>
    </w:p>
    <w:p w14:paraId="59DC9856" w14:textId="77777777" w:rsidR="006E00B5" w:rsidRPr="006E00B5" w:rsidRDefault="006E00B5" w:rsidP="009168B8">
      <w:pPr>
        <w:ind w:left="851"/>
        <w:rPr>
          <w:sz w:val="24"/>
          <w:szCs w:val="24"/>
        </w:rPr>
      </w:pPr>
    </w:p>
    <w:p w14:paraId="7ECCFC0C" w14:textId="77777777" w:rsidR="006E00B5" w:rsidRPr="006E00B5" w:rsidRDefault="006E00B5" w:rsidP="009168B8">
      <w:pPr>
        <w:ind w:left="851"/>
        <w:rPr>
          <w:sz w:val="24"/>
          <w:szCs w:val="24"/>
        </w:rPr>
      </w:pPr>
      <w:r w:rsidRPr="006E00B5">
        <w:rPr>
          <w:sz w:val="24"/>
          <w:szCs w:val="24"/>
        </w:rPr>
        <w:t>Omvendt kan ketoconazol og andre hæmmere af cytochrom P450-3A4 nedsætte eliminationshastigheden og derved øge progesterons biotilgængelighed.</w:t>
      </w:r>
    </w:p>
    <w:p w14:paraId="18EE4C47" w14:textId="77777777" w:rsidR="006E00B5" w:rsidRPr="006E00B5" w:rsidRDefault="006E00B5" w:rsidP="009168B8">
      <w:pPr>
        <w:ind w:left="851"/>
        <w:rPr>
          <w:sz w:val="24"/>
          <w:szCs w:val="24"/>
        </w:rPr>
      </w:pPr>
    </w:p>
    <w:p w14:paraId="08F0F346" w14:textId="77777777" w:rsidR="006E00B5" w:rsidRPr="006E00B5" w:rsidRDefault="006E00B5" w:rsidP="009168B8">
      <w:pPr>
        <w:ind w:left="851"/>
        <w:rPr>
          <w:sz w:val="24"/>
          <w:szCs w:val="24"/>
        </w:rPr>
      </w:pPr>
      <w:r w:rsidRPr="006E00B5">
        <w:rPr>
          <w:sz w:val="24"/>
          <w:szCs w:val="24"/>
        </w:rPr>
        <w:t>Da progesteron kan påvirke den diabetiske kontrol, kan justering af dosis af antidiabetika være nødvendig (se pkt. 4.4).</w:t>
      </w:r>
    </w:p>
    <w:p w14:paraId="1EB16FBE" w14:textId="77777777" w:rsidR="006E00B5" w:rsidRPr="006E00B5" w:rsidRDefault="006E00B5" w:rsidP="009168B8">
      <w:pPr>
        <w:ind w:left="851"/>
        <w:rPr>
          <w:sz w:val="24"/>
          <w:szCs w:val="24"/>
        </w:rPr>
      </w:pPr>
    </w:p>
    <w:p w14:paraId="18187F0D" w14:textId="77777777" w:rsidR="006E00B5" w:rsidRPr="006E00B5" w:rsidRDefault="006E00B5" w:rsidP="009168B8">
      <w:pPr>
        <w:ind w:left="851"/>
        <w:rPr>
          <w:sz w:val="24"/>
          <w:szCs w:val="24"/>
        </w:rPr>
      </w:pPr>
      <w:r w:rsidRPr="006E00B5">
        <w:rPr>
          <w:sz w:val="24"/>
          <w:szCs w:val="24"/>
        </w:rPr>
        <w:t>Progestogener kan hæmme metabolismen af ciclosporin, hvilket kan medføre forhøjede plasmakoncentrationer af ciclosporin og risiko for toksicitet.</w:t>
      </w:r>
    </w:p>
    <w:p w14:paraId="7ECEE3F2" w14:textId="77777777" w:rsidR="006E00B5" w:rsidRPr="006E00B5" w:rsidRDefault="006E00B5" w:rsidP="006E00B5">
      <w:pPr>
        <w:tabs>
          <w:tab w:val="left" w:pos="851"/>
        </w:tabs>
        <w:ind w:left="851"/>
        <w:rPr>
          <w:sz w:val="24"/>
          <w:szCs w:val="24"/>
        </w:rPr>
      </w:pPr>
    </w:p>
    <w:p w14:paraId="620BAD07" w14:textId="51FFF96E" w:rsidR="006E00B5" w:rsidRPr="006E00B5" w:rsidRDefault="006E00B5" w:rsidP="009168B8">
      <w:pPr>
        <w:ind w:left="851"/>
        <w:rPr>
          <w:sz w:val="24"/>
          <w:szCs w:val="24"/>
        </w:rPr>
      </w:pPr>
      <w:r w:rsidRPr="006E00B5">
        <w:rPr>
          <w:sz w:val="24"/>
          <w:szCs w:val="24"/>
        </w:rPr>
        <w:t>Effekten af samtidig administration af injicerbare produkter på eksponeringen af progesteron fra dette lægemiddel er ikke blevet vurderet. Samtidig anvendelse med andre lægemidler anbefales ikke.</w:t>
      </w:r>
    </w:p>
    <w:p w14:paraId="5C7A81DF" w14:textId="77777777" w:rsidR="009260DE" w:rsidRPr="00B008C1" w:rsidRDefault="009260DE" w:rsidP="009260DE">
      <w:pPr>
        <w:tabs>
          <w:tab w:val="left" w:pos="851"/>
        </w:tabs>
        <w:ind w:left="851"/>
        <w:rPr>
          <w:sz w:val="24"/>
          <w:szCs w:val="24"/>
        </w:rPr>
      </w:pPr>
    </w:p>
    <w:p w14:paraId="62D53F12" w14:textId="77777777" w:rsidR="009260DE" w:rsidRPr="00B008C1" w:rsidRDefault="009260DE" w:rsidP="009260DE">
      <w:pPr>
        <w:tabs>
          <w:tab w:val="left" w:pos="851"/>
        </w:tabs>
        <w:ind w:left="851" w:hanging="851"/>
        <w:rPr>
          <w:b/>
          <w:sz w:val="24"/>
          <w:szCs w:val="24"/>
        </w:rPr>
      </w:pPr>
      <w:r w:rsidRPr="00B008C1">
        <w:rPr>
          <w:b/>
          <w:sz w:val="24"/>
          <w:szCs w:val="24"/>
        </w:rPr>
        <w:t>4.6</w:t>
      </w:r>
      <w:r w:rsidRPr="00B008C1">
        <w:rPr>
          <w:b/>
          <w:sz w:val="24"/>
          <w:szCs w:val="24"/>
        </w:rPr>
        <w:tab/>
      </w:r>
      <w:r w:rsidR="0071241E" w:rsidRPr="00B008C1">
        <w:rPr>
          <w:b/>
          <w:sz w:val="24"/>
          <w:szCs w:val="24"/>
        </w:rPr>
        <w:t>Fertilitet, g</w:t>
      </w:r>
      <w:r w:rsidRPr="00B008C1">
        <w:rPr>
          <w:b/>
          <w:sz w:val="24"/>
          <w:szCs w:val="24"/>
        </w:rPr>
        <w:t>raviditet og amning</w:t>
      </w:r>
    </w:p>
    <w:p w14:paraId="31EAC21C" w14:textId="77777777" w:rsidR="00B008C1" w:rsidRDefault="00B008C1" w:rsidP="009168B8">
      <w:pPr>
        <w:ind w:left="851"/>
        <w:rPr>
          <w:sz w:val="24"/>
          <w:szCs w:val="24"/>
          <w:u w:val="single"/>
        </w:rPr>
      </w:pPr>
    </w:p>
    <w:p w14:paraId="25759E2F" w14:textId="0A106476" w:rsidR="006E00B5" w:rsidRPr="006E00B5" w:rsidRDefault="006E00B5" w:rsidP="009168B8">
      <w:pPr>
        <w:ind w:left="851"/>
        <w:rPr>
          <w:sz w:val="24"/>
          <w:szCs w:val="24"/>
        </w:rPr>
      </w:pPr>
      <w:r w:rsidRPr="006E00B5">
        <w:rPr>
          <w:sz w:val="24"/>
          <w:szCs w:val="24"/>
          <w:u w:val="single"/>
        </w:rPr>
        <w:t>Graviditet</w:t>
      </w:r>
    </w:p>
    <w:p w14:paraId="2C423470" w14:textId="77777777" w:rsidR="006E00B5" w:rsidRPr="006E00B5" w:rsidRDefault="006E00B5" w:rsidP="009168B8">
      <w:pPr>
        <w:ind w:left="851"/>
        <w:rPr>
          <w:sz w:val="24"/>
          <w:szCs w:val="24"/>
        </w:rPr>
      </w:pPr>
      <w:r w:rsidRPr="006E00B5">
        <w:rPr>
          <w:sz w:val="24"/>
          <w:szCs w:val="24"/>
        </w:rPr>
        <w:t>Progesteronbehandling er indiceret til luteal støtte som en del af et assisteret reproduktiv teknologi (ART)-behandlingsprogram hos infertile kvinder.</w:t>
      </w:r>
    </w:p>
    <w:p w14:paraId="02E26B7B" w14:textId="77777777" w:rsidR="006E00B5" w:rsidRPr="006E00B5" w:rsidRDefault="006E00B5" w:rsidP="009168B8">
      <w:pPr>
        <w:ind w:left="851"/>
        <w:rPr>
          <w:sz w:val="24"/>
          <w:szCs w:val="24"/>
        </w:rPr>
      </w:pPr>
    </w:p>
    <w:p w14:paraId="43420967" w14:textId="77777777" w:rsidR="006E00B5" w:rsidRPr="006E00B5" w:rsidRDefault="006E00B5" w:rsidP="009168B8">
      <w:pPr>
        <w:ind w:left="851"/>
        <w:rPr>
          <w:sz w:val="24"/>
          <w:szCs w:val="24"/>
        </w:rPr>
      </w:pPr>
      <w:r w:rsidRPr="006E00B5">
        <w:rPr>
          <w:sz w:val="24"/>
          <w:szCs w:val="24"/>
        </w:rPr>
        <w:t>Der er begrænsede og inkonklusive data om risikoen for medfødte anomalier, herunder genitale misdannelser hos mandlige eller kvindelige spædbørn, efter intrauterin eksponering under graviditet. Hyppigheden af medfødte anomalier, spontan abort og ektopisk graviditet observeret under det kliniske forsøg var sammenlignelig med den hændelsesrate, der er beskrevet i den generelle population, skønt den samlede eksponering er for lav til, at der kan drages konklusioner.</w:t>
      </w:r>
    </w:p>
    <w:p w14:paraId="576F8557" w14:textId="77777777" w:rsidR="006E00B5" w:rsidRPr="006E00B5" w:rsidRDefault="006E00B5" w:rsidP="009168B8">
      <w:pPr>
        <w:ind w:left="851"/>
        <w:rPr>
          <w:sz w:val="24"/>
          <w:szCs w:val="24"/>
        </w:rPr>
      </w:pPr>
    </w:p>
    <w:p w14:paraId="6C5B520A" w14:textId="77777777" w:rsidR="006E00B5" w:rsidRPr="006E00B5" w:rsidRDefault="006E00B5" w:rsidP="009168B8">
      <w:pPr>
        <w:ind w:left="851"/>
        <w:rPr>
          <w:sz w:val="24"/>
          <w:szCs w:val="24"/>
        </w:rPr>
      </w:pPr>
      <w:r w:rsidRPr="006E00B5">
        <w:rPr>
          <w:sz w:val="24"/>
          <w:szCs w:val="24"/>
          <w:u w:val="single"/>
        </w:rPr>
        <w:t>Amning</w:t>
      </w:r>
    </w:p>
    <w:p w14:paraId="06673802" w14:textId="77777777" w:rsidR="006E00B5" w:rsidRPr="006E00B5" w:rsidRDefault="006E00B5" w:rsidP="009168B8">
      <w:pPr>
        <w:ind w:left="851"/>
        <w:rPr>
          <w:sz w:val="24"/>
          <w:szCs w:val="24"/>
        </w:rPr>
      </w:pPr>
      <w:r w:rsidRPr="006E00B5">
        <w:rPr>
          <w:sz w:val="24"/>
          <w:szCs w:val="24"/>
        </w:rPr>
        <w:t>Progesteron udskilles i human mælk; derfor bør dette lægemiddel ikke anvendes under amning.</w:t>
      </w:r>
    </w:p>
    <w:p w14:paraId="40DC4745" w14:textId="77777777" w:rsidR="006E00B5" w:rsidRPr="006E00B5" w:rsidRDefault="006E00B5" w:rsidP="009168B8">
      <w:pPr>
        <w:ind w:left="851"/>
        <w:rPr>
          <w:sz w:val="24"/>
          <w:szCs w:val="24"/>
        </w:rPr>
      </w:pPr>
    </w:p>
    <w:p w14:paraId="5DA6F1CA" w14:textId="77777777" w:rsidR="006E00B5" w:rsidRPr="006E00B5" w:rsidRDefault="006E00B5" w:rsidP="009168B8">
      <w:pPr>
        <w:ind w:left="851"/>
        <w:rPr>
          <w:sz w:val="24"/>
          <w:szCs w:val="24"/>
          <w:u w:val="single"/>
        </w:rPr>
      </w:pPr>
      <w:r w:rsidRPr="006E00B5">
        <w:rPr>
          <w:sz w:val="24"/>
          <w:szCs w:val="24"/>
          <w:u w:val="single"/>
        </w:rPr>
        <w:t>Fertilitet</w:t>
      </w:r>
    </w:p>
    <w:p w14:paraId="6896B669" w14:textId="77777777" w:rsidR="006E00B5" w:rsidRPr="006E00B5" w:rsidRDefault="006E00B5" w:rsidP="009168B8">
      <w:pPr>
        <w:ind w:left="851"/>
        <w:rPr>
          <w:sz w:val="24"/>
          <w:szCs w:val="24"/>
        </w:rPr>
      </w:pPr>
      <w:r w:rsidRPr="006E00B5">
        <w:rPr>
          <w:sz w:val="24"/>
          <w:szCs w:val="24"/>
        </w:rPr>
        <w:t>Dette lægemiddel anvendes til behandling af visse former for infertilitet (se pkt. 4.1 for alle oplysninger).</w:t>
      </w:r>
    </w:p>
    <w:p w14:paraId="4C156465" w14:textId="77777777" w:rsidR="009260DE" w:rsidRPr="00B008C1" w:rsidRDefault="009260DE" w:rsidP="009260DE">
      <w:pPr>
        <w:tabs>
          <w:tab w:val="left" w:pos="851"/>
        </w:tabs>
        <w:ind w:left="851"/>
        <w:rPr>
          <w:sz w:val="24"/>
          <w:szCs w:val="24"/>
        </w:rPr>
      </w:pPr>
    </w:p>
    <w:p w14:paraId="6BB963EF" w14:textId="77777777" w:rsidR="009260DE" w:rsidRPr="00B008C1" w:rsidRDefault="009260DE" w:rsidP="009260DE">
      <w:pPr>
        <w:tabs>
          <w:tab w:val="left" w:pos="851"/>
        </w:tabs>
        <w:ind w:left="851" w:hanging="851"/>
        <w:rPr>
          <w:b/>
          <w:sz w:val="24"/>
          <w:szCs w:val="24"/>
        </w:rPr>
      </w:pPr>
      <w:r w:rsidRPr="00B008C1">
        <w:rPr>
          <w:b/>
          <w:sz w:val="24"/>
          <w:szCs w:val="24"/>
        </w:rPr>
        <w:t>4.7</w:t>
      </w:r>
      <w:r w:rsidRPr="00B008C1">
        <w:rPr>
          <w:b/>
          <w:sz w:val="24"/>
          <w:szCs w:val="24"/>
        </w:rPr>
        <w:tab/>
        <w:t xml:space="preserve">Virkning på evnen til at føre motorkøretøj </w:t>
      </w:r>
      <w:r w:rsidR="0071241E" w:rsidRPr="00B008C1">
        <w:rPr>
          <w:b/>
          <w:sz w:val="24"/>
          <w:szCs w:val="24"/>
        </w:rPr>
        <w:t>og</w:t>
      </w:r>
      <w:r w:rsidRPr="00B008C1">
        <w:rPr>
          <w:b/>
          <w:sz w:val="24"/>
          <w:szCs w:val="24"/>
        </w:rPr>
        <w:t xml:space="preserve"> betjene maskiner</w:t>
      </w:r>
    </w:p>
    <w:p w14:paraId="2192442C" w14:textId="77777777" w:rsidR="006E00B5" w:rsidRPr="006E00B5" w:rsidRDefault="006E00B5" w:rsidP="009168B8">
      <w:pPr>
        <w:ind w:left="851"/>
        <w:rPr>
          <w:sz w:val="24"/>
          <w:szCs w:val="24"/>
        </w:rPr>
      </w:pPr>
      <w:r w:rsidRPr="006E00B5">
        <w:rPr>
          <w:sz w:val="24"/>
          <w:szCs w:val="24"/>
        </w:rPr>
        <w:t>Ikke mærkning.</w:t>
      </w:r>
    </w:p>
    <w:p w14:paraId="034E0B01" w14:textId="77777777" w:rsidR="006E00B5" w:rsidRPr="006E00B5" w:rsidRDefault="006E00B5" w:rsidP="009168B8">
      <w:pPr>
        <w:ind w:left="851"/>
        <w:rPr>
          <w:sz w:val="24"/>
          <w:szCs w:val="24"/>
        </w:rPr>
      </w:pPr>
      <w:r w:rsidRPr="006E00B5">
        <w:rPr>
          <w:sz w:val="24"/>
          <w:szCs w:val="24"/>
        </w:rPr>
        <w:t>Dette lægemiddel påvirker i mindre eller moderat grad evnen til at føre motorkøretøj og betjene maskiner.</w:t>
      </w:r>
    </w:p>
    <w:p w14:paraId="6408CF9F" w14:textId="77777777" w:rsidR="006E00B5" w:rsidRPr="006E00B5" w:rsidRDefault="006E00B5" w:rsidP="009168B8">
      <w:pPr>
        <w:ind w:left="851"/>
        <w:rPr>
          <w:sz w:val="24"/>
          <w:szCs w:val="24"/>
        </w:rPr>
      </w:pPr>
    </w:p>
    <w:p w14:paraId="4111F1B0" w14:textId="77777777" w:rsidR="006E00B5" w:rsidRPr="006E00B5" w:rsidRDefault="006E00B5" w:rsidP="009168B8">
      <w:pPr>
        <w:ind w:left="851"/>
        <w:rPr>
          <w:sz w:val="24"/>
          <w:szCs w:val="24"/>
        </w:rPr>
      </w:pPr>
      <w:r w:rsidRPr="006E00B5">
        <w:rPr>
          <w:sz w:val="24"/>
          <w:szCs w:val="24"/>
        </w:rPr>
        <w:t>Progesteron kan forårsage døsighed og/eller svimmelhed; derfor tilrådes forsigtighed hos bilister og personer, der betjener maskiner.</w:t>
      </w:r>
    </w:p>
    <w:p w14:paraId="097E516A" w14:textId="77777777" w:rsidR="009260DE" w:rsidRPr="00B008C1" w:rsidRDefault="009260DE" w:rsidP="009260DE">
      <w:pPr>
        <w:tabs>
          <w:tab w:val="left" w:pos="851"/>
        </w:tabs>
        <w:ind w:left="851"/>
        <w:rPr>
          <w:sz w:val="24"/>
          <w:szCs w:val="24"/>
        </w:rPr>
      </w:pPr>
    </w:p>
    <w:p w14:paraId="4E0612A5" w14:textId="77777777" w:rsidR="009260DE" w:rsidRPr="00B008C1" w:rsidRDefault="009260DE" w:rsidP="009260DE">
      <w:pPr>
        <w:tabs>
          <w:tab w:val="left" w:pos="851"/>
        </w:tabs>
        <w:ind w:left="851" w:hanging="851"/>
        <w:rPr>
          <w:b/>
          <w:sz w:val="24"/>
          <w:szCs w:val="24"/>
        </w:rPr>
      </w:pPr>
      <w:r w:rsidRPr="00B008C1">
        <w:rPr>
          <w:b/>
          <w:sz w:val="24"/>
          <w:szCs w:val="24"/>
        </w:rPr>
        <w:t>4.8</w:t>
      </w:r>
      <w:r w:rsidRPr="00B008C1">
        <w:rPr>
          <w:b/>
          <w:sz w:val="24"/>
          <w:szCs w:val="24"/>
        </w:rPr>
        <w:tab/>
        <w:t>Bivirkninger</w:t>
      </w:r>
    </w:p>
    <w:p w14:paraId="71B0B363" w14:textId="77777777" w:rsidR="006E00B5" w:rsidRPr="006E00B5" w:rsidRDefault="006E00B5" w:rsidP="009168B8">
      <w:pPr>
        <w:ind w:left="851"/>
        <w:rPr>
          <w:iCs/>
          <w:sz w:val="24"/>
          <w:szCs w:val="24"/>
        </w:rPr>
      </w:pPr>
      <w:r w:rsidRPr="006E00B5">
        <w:rPr>
          <w:iCs/>
          <w:sz w:val="24"/>
          <w:szCs w:val="24"/>
        </w:rPr>
        <w:t>De hyppigst rapporterede bivirkninger under behandling med dette lægemiddel i kliniske forsøg er reaktioner på administrationsstedet samt bryst- og vulvovaginale lidelser.</w:t>
      </w:r>
    </w:p>
    <w:p w14:paraId="22DEC75D" w14:textId="77777777" w:rsidR="006E00B5" w:rsidRPr="006E00B5" w:rsidRDefault="006E00B5" w:rsidP="009168B8">
      <w:pPr>
        <w:ind w:left="851"/>
        <w:rPr>
          <w:iCs/>
          <w:sz w:val="24"/>
          <w:szCs w:val="24"/>
        </w:rPr>
      </w:pPr>
    </w:p>
    <w:p w14:paraId="579311ED" w14:textId="77777777" w:rsidR="006E00B5" w:rsidRPr="006E00B5" w:rsidRDefault="006E00B5" w:rsidP="009168B8">
      <w:pPr>
        <w:ind w:left="851"/>
        <w:rPr>
          <w:iCs/>
          <w:sz w:val="24"/>
          <w:szCs w:val="24"/>
        </w:rPr>
      </w:pPr>
      <w:r w:rsidRPr="006E00B5">
        <w:rPr>
          <w:iCs/>
          <w:sz w:val="24"/>
          <w:szCs w:val="24"/>
        </w:rPr>
        <w:t>Tabellen nedenfor viser de vigtigste bivirkninger hos kvinder behandlet med dette lægemiddel i det pivotale kliniske forsøg. Data er angivet efter systemorganklasse og frekvens.</w:t>
      </w:r>
    </w:p>
    <w:p w14:paraId="40239474" w14:textId="77777777" w:rsidR="006E00B5" w:rsidRPr="006E00B5" w:rsidRDefault="006E00B5" w:rsidP="006E00B5">
      <w:pPr>
        <w:tabs>
          <w:tab w:val="left" w:pos="851"/>
        </w:tabs>
        <w:ind w:left="851"/>
        <w:rPr>
          <w:iCs/>
          <w:sz w:val="24"/>
          <w:szCs w:val="24"/>
          <w:lang w:val="en-US"/>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2479"/>
        <w:gridCol w:w="2744"/>
        <w:gridCol w:w="1833"/>
      </w:tblGrid>
      <w:tr w:rsidR="006E00B5" w:rsidRPr="006E00B5" w14:paraId="2229E62F" w14:textId="77777777" w:rsidTr="00A07818">
        <w:trPr>
          <w:tblHeader/>
          <w:tblCellSpacing w:w="15" w:type="dxa"/>
        </w:trPr>
        <w:tc>
          <w:tcPr>
            <w:tcW w:w="13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02FA70" w14:textId="77777777" w:rsidR="006E00B5" w:rsidRPr="006E00B5" w:rsidRDefault="006E00B5" w:rsidP="009168B8">
            <w:pPr>
              <w:ind w:left="82"/>
              <w:rPr>
                <w:b/>
                <w:bCs/>
                <w:iCs/>
                <w:sz w:val="24"/>
                <w:szCs w:val="24"/>
              </w:rPr>
            </w:pPr>
            <w:r w:rsidRPr="006E00B5">
              <w:rPr>
                <w:b/>
                <w:bCs/>
                <w:iCs/>
                <w:sz w:val="24"/>
                <w:szCs w:val="24"/>
              </w:rPr>
              <w:t>Systemorganklasse (SOC)</w:t>
            </w:r>
          </w:p>
        </w:tc>
        <w:tc>
          <w:tcPr>
            <w:tcW w:w="127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4E5B6C" w14:textId="77777777" w:rsidR="006E00B5" w:rsidRPr="006E00B5" w:rsidRDefault="006E00B5" w:rsidP="009168B8">
            <w:pPr>
              <w:ind w:left="82"/>
              <w:rPr>
                <w:b/>
                <w:bCs/>
                <w:iCs/>
                <w:sz w:val="24"/>
                <w:szCs w:val="24"/>
              </w:rPr>
            </w:pPr>
            <w:r w:rsidRPr="006E00B5">
              <w:rPr>
                <w:b/>
                <w:bCs/>
                <w:iCs/>
                <w:sz w:val="24"/>
                <w:szCs w:val="24"/>
              </w:rPr>
              <w:t>Meget almindelig (≥1/10)</w:t>
            </w:r>
          </w:p>
        </w:tc>
        <w:tc>
          <w:tcPr>
            <w:tcW w:w="14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163C0A" w14:textId="77777777" w:rsidR="006E00B5" w:rsidRPr="006E00B5" w:rsidRDefault="006E00B5" w:rsidP="009168B8">
            <w:pPr>
              <w:ind w:left="82"/>
              <w:rPr>
                <w:b/>
                <w:bCs/>
                <w:iCs/>
                <w:sz w:val="24"/>
                <w:szCs w:val="24"/>
              </w:rPr>
            </w:pPr>
            <w:r w:rsidRPr="006E00B5">
              <w:rPr>
                <w:b/>
                <w:bCs/>
                <w:iCs/>
                <w:sz w:val="24"/>
                <w:szCs w:val="24"/>
              </w:rPr>
              <w:t>Almindelig (≥1/100 til &lt;1/10)</w:t>
            </w:r>
          </w:p>
        </w:tc>
        <w:tc>
          <w:tcPr>
            <w:tcW w:w="9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0A2492" w14:textId="77777777" w:rsidR="006E00B5" w:rsidRPr="006E00B5" w:rsidRDefault="006E00B5" w:rsidP="009168B8">
            <w:pPr>
              <w:ind w:left="82"/>
              <w:rPr>
                <w:b/>
                <w:bCs/>
                <w:iCs/>
                <w:sz w:val="24"/>
                <w:szCs w:val="24"/>
              </w:rPr>
            </w:pPr>
            <w:r w:rsidRPr="006E00B5">
              <w:rPr>
                <w:b/>
                <w:bCs/>
                <w:iCs/>
                <w:sz w:val="24"/>
                <w:szCs w:val="24"/>
              </w:rPr>
              <w:t>Ikke almindelig (≥1/1000 til &lt;1/100)</w:t>
            </w:r>
          </w:p>
        </w:tc>
      </w:tr>
      <w:tr w:rsidR="006E00B5" w:rsidRPr="006E00B5" w14:paraId="6426FF35" w14:textId="77777777" w:rsidTr="00A07818">
        <w:trPr>
          <w:tblCellSpacing w:w="15" w:type="dxa"/>
        </w:trPr>
        <w:tc>
          <w:tcPr>
            <w:tcW w:w="13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705731" w14:textId="77777777" w:rsidR="006E00B5" w:rsidRPr="006E00B5" w:rsidRDefault="006E00B5" w:rsidP="009168B8">
            <w:pPr>
              <w:ind w:left="82"/>
              <w:rPr>
                <w:iCs/>
                <w:sz w:val="24"/>
                <w:szCs w:val="24"/>
              </w:rPr>
            </w:pPr>
            <w:r w:rsidRPr="006E00B5">
              <w:rPr>
                <w:iCs/>
                <w:sz w:val="24"/>
                <w:szCs w:val="24"/>
              </w:rPr>
              <w:t>Psykiske forstyrrelser</w:t>
            </w:r>
          </w:p>
        </w:tc>
        <w:tc>
          <w:tcPr>
            <w:tcW w:w="127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CDBC88" w14:textId="77777777" w:rsidR="006E00B5" w:rsidRPr="006E00B5" w:rsidRDefault="006E00B5" w:rsidP="009168B8">
            <w:pPr>
              <w:ind w:left="82"/>
              <w:rPr>
                <w:iCs/>
                <w:sz w:val="24"/>
                <w:szCs w:val="24"/>
              </w:rPr>
            </w:pPr>
          </w:p>
        </w:tc>
        <w:tc>
          <w:tcPr>
            <w:tcW w:w="14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C67D0E" w14:textId="77777777" w:rsidR="006E00B5" w:rsidRPr="006E00B5" w:rsidRDefault="006E00B5" w:rsidP="009168B8">
            <w:pPr>
              <w:ind w:left="82"/>
              <w:rPr>
                <w:sz w:val="24"/>
                <w:szCs w:val="24"/>
              </w:rPr>
            </w:pPr>
          </w:p>
        </w:tc>
        <w:tc>
          <w:tcPr>
            <w:tcW w:w="9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B85F26" w14:textId="77777777" w:rsidR="006E00B5" w:rsidRPr="006E00B5" w:rsidRDefault="006E00B5" w:rsidP="009168B8">
            <w:pPr>
              <w:ind w:left="82"/>
              <w:rPr>
                <w:iCs/>
                <w:sz w:val="24"/>
                <w:szCs w:val="24"/>
              </w:rPr>
            </w:pPr>
            <w:r w:rsidRPr="006E00B5">
              <w:rPr>
                <w:iCs/>
                <w:sz w:val="24"/>
                <w:szCs w:val="24"/>
              </w:rPr>
              <w:t>Humørændringer</w:t>
            </w:r>
          </w:p>
        </w:tc>
      </w:tr>
      <w:tr w:rsidR="006E00B5" w:rsidRPr="006E00B5" w14:paraId="5B21D91B" w14:textId="77777777" w:rsidTr="00A07818">
        <w:trPr>
          <w:tblCellSpacing w:w="15" w:type="dxa"/>
        </w:trPr>
        <w:tc>
          <w:tcPr>
            <w:tcW w:w="13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197C41" w14:textId="77777777" w:rsidR="006E00B5" w:rsidRPr="006E00B5" w:rsidRDefault="006E00B5" w:rsidP="009168B8">
            <w:pPr>
              <w:ind w:left="82"/>
              <w:rPr>
                <w:iCs/>
                <w:sz w:val="24"/>
                <w:szCs w:val="24"/>
              </w:rPr>
            </w:pPr>
            <w:r w:rsidRPr="006E00B5">
              <w:rPr>
                <w:iCs/>
                <w:sz w:val="24"/>
                <w:szCs w:val="24"/>
              </w:rPr>
              <w:t>Nervesystemet</w:t>
            </w:r>
          </w:p>
        </w:tc>
        <w:tc>
          <w:tcPr>
            <w:tcW w:w="127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C0A7F3" w14:textId="77777777" w:rsidR="006E00B5" w:rsidRPr="006E00B5" w:rsidRDefault="006E00B5" w:rsidP="009168B8">
            <w:pPr>
              <w:ind w:left="82"/>
              <w:rPr>
                <w:iCs/>
                <w:sz w:val="24"/>
                <w:szCs w:val="24"/>
              </w:rPr>
            </w:pPr>
          </w:p>
        </w:tc>
        <w:tc>
          <w:tcPr>
            <w:tcW w:w="14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F7E30D" w14:textId="77777777" w:rsidR="006E00B5" w:rsidRPr="006E00B5" w:rsidRDefault="006E00B5" w:rsidP="009168B8">
            <w:pPr>
              <w:ind w:left="82"/>
              <w:rPr>
                <w:iCs/>
                <w:sz w:val="24"/>
                <w:szCs w:val="24"/>
              </w:rPr>
            </w:pPr>
            <w:r w:rsidRPr="006E00B5">
              <w:rPr>
                <w:iCs/>
                <w:sz w:val="24"/>
                <w:szCs w:val="24"/>
              </w:rPr>
              <w:t xml:space="preserve">Hovedpine </w:t>
            </w:r>
          </w:p>
        </w:tc>
        <w:tc>
          <w:tcPr>
            <w:tcW w:w="9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CE5864" w14:textId="77777777" w:rsidR="006E00B5" w:rsidRPr="006E00B5" w:rsidRDefault="006E00B5" w:rsidP="009168B8">
            <w:pPr>
              <w:ind w:left="82"/>
              <w:rPr>
                <w:iCs/>
                <w:sz w:val="24"/>
                <w:szCs w:val="24"/>
              </w:rPr>
            </w:pPr>
            <w:r w:rsidRPr="006E00B5">
              <w:rPr>
                <w:iCs/>
                <w:sz w:val="24"/>
                <w:szCs w:val="24"/>
              </w:rPr>
              <w:t>Svimmelhed, søvnighed</w:t>
            </w:r>
          </w:p>
        </w:tc>
      </w:tr>
      <w:tr w:rsidR="006E00B5" w:rsidRPr="006E00B5" w14:paraId="659B8F27" w14:textId="77777777" w:rsidTr="00A07818">
        <w:trPr>
          <w:tblCellSpacing w:w="15" w:type="dxa"/>
        </w:trPr>
        <w:tc>
          <w:tcPr>
            <w:tcW w:w="13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92C669" w14:textId="77777777" w:rsidR="006E00B5" w:rsidRPr="006E00B5" w:rsidRDefault="006E00B5" w:rsidP="009168B8">
            <w:pPr>
              <w:ind w:left="82"/>
              <w:rPr>
                <w:iCs/>
                <w:sz w:val="24"/>
                <w:szCs w:val="24"/>
              </w:rPr>
            </w:pPr>
            <w:r w:rsidRPr="006E00B5">
              <w:rPr>
                <w:iCs/>
                <w:sz w:val="24"/>
                <w:szCs w:val="24"/>
              </w:rPr>
              <w:t>Mave-tarm-kanalen</w:t>
            </w:r>
          </w:p>
        </w:tc>
        <w:tc>
          <w:tcPr>
            <w:tcW w:w="127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D28FAC" w14:textId="77777777" w:rsidR="006E00B5" w:rsidRPr="006E00B5" w:rsidRDefault="006E00B5" w:rsidP="009168B8">
            <w:pPr>
              <w:ind w:left="82"/>
              <w:rPr>
                <w:iCs/>
                <w:sz w:val="24"/>
                <w:szCs w:val="24"/>
              </w:rPr>
            </w:pPr>
          </w:p>
        </w:tc>
        <w:tc>
          <w:tcPr>
            <w:tcW w:w="14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DE980B" w14:textId="77777777" w:rsidR="006E00B5" w:rsidRPr="006E00B5" w:rsidRDefault="006E00B5" w:rsidP="009168B8">
            <w:pPr>
              <w:ind w:left="82"/>
              <w:rPr>
                <w:iCs/>
                <w:sz w:val="24"/>
                <w:szCs w:val="24"/>
              </w:rPr>
            </w:pPr>
            <w:r w:rsidRPr="006E00B5">
              <w:rPr>
                <w:iCs/>
                <w:sz w:val="24"/>
                <w:szCs w:val="24"/>
              </w:rPr>
              <w:t xml:space="preserve">Maveudspiling, mavesmerter, kvalme, opkastning, forstoppelse </w:t>
            </w:r>
          </w:p>
        </w:tc>
        <w:tc>
          <w:tcPr>
            <w:tcW w:w="9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7BC0AD" w14:textId="77777777" w:rsidR="006E00B5" w:rsidRPr="006E00B5" w:rsidRDefault="006E00B5" w:rsidP="009168B8">
            <w:pPr>
              <w:ind w:left="82"/>
              <w:rPr>
                <w:iCs/>
                <w:sz w:val="24"/>
                <w:szCs w:val="24"/>
              </w:rPr>
            </w:pPr>
            <w:r w:rsidRPr="006E00B5">
              <w:rPr>
                <w:iCs/>
                <w:sz w:val="24"/>
                <w:szCs w:val="24"/>
              </w:rPr>
              <w:t>Gastrointestinale forstyrrelser</w:t>
            </w:r>
          </w:p>
        </w:tc>
      </w:tr>
      <w:tr w:rsidR="006E00B5" w:rsidRPr="006E00B5" w14:paraId="56046E5E" w14:textId="77777777" w:rsidTr="00A07818">
        <w:trPr>
          <w:tblCellSpacing w:w="15" w:type="dxa"/>
        </w:trPr>
        <w:tc>
          <w:tcPr>
            <w:tcW w:w="13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CFB100" w14:textId="77777777" w:rsidR="006E00B5" w:rsidRPr="006E00B5" w:rsidRDefault="006E00B5" w:rsidP="009168B8">
            <w:pPr>
              <w:ind w:left="82"/>
              <w:rPr>
                <w:iCs/>
                <w:sz w:val="24"/>
                <w:szCs w:val="24"/>
              </w:rPr>
            </w:pPr>
            <w:r w:rsidRPr="006E00B5">
              <w:rPr>
                <w:iCs/>
                <w:sz w:val="24"/>
                <w:szCs w:val="24"/>
              </w:rPr>
              <w:t>Hud og subkutane væv</w:t>
            </w:r>
          </w:p>
        </w:tc>
        <w:tc>
          <w:tcPr>
            <w:tcW w:w="127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C5FAB6" w14:textId="77777777" w:rsidR="006E00B5" w:rsidRPr="006E00B5" w:rsidRDefault="006E00B5" w:rsidP="009168B8">
            <w:pPr>
              <w:ind w:left="82"/>
              <w:rPr>
                <w:iCs/>
                <w:sz w:val="24"/>
                <w:szCs w:val="24"/>
              </w:rPr>
            </w:pPr>
          </w:p>
        </w:tc>
        <w:tc>
          <w:tcPr>
            <w:tcW w:w="14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2FC3F4" w14:textId="77777777" w:rsidR="006E00B5" w:rsidRPr="006E00B5" w:rsidRDefault="006E00B5" w:rsidP="009168B8">
            <w:pPr>
              <w:ind w:left="82"/>
              <w:rPr>
                <w:sz w:val="24"/>
                <w:szCs w:val="24"/>
              </w:rPr>
            </w:pPr>
          </w:p>
        </w:tc>
        <w:tc>
          <w:tcPr>
            <w:tcW w:w="9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7D2515" w14:textId="77777777" w:rsidR="006E00B5" w:rsidRPr="006E00B5" w:rsidRDefault="006E00B5" w:rsidP="009168B8">
            <w:pPr>
              <w:ind w:left="82"/>
              <w:rPr>
                <w:iCs/>
                <w:sz w:val="24"/>
                <w:szCs w:val="24"/>
              </w:rPr>
            </w:pPr>
            <w:r w:rsidRPr="006E00B5">
              <w:rPr>
                <w:iCs/>
                <w:sz w:val="24"/>
                <w:szCs w:val="24"/>
              </w:rPr>
              <w:t>Kløe, udslæt</w:t>
            </w:r>
          </w:p>
        </w:tc>
      </w:tr>
      <w:tr w:rsidR="006E00B5" w:rsidRPr="006E00B5" w14:paraId="250AEE22" w14:textId="77777777" w:rsidTr="00A07818">
        <w:trPr>
          <w:tblCellSpacing w:w="15" w:type="dxa"/>
        </w:trPr>
        <w:tc>
          <w:tcPr>
            <w:tcW w:w="13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0B00E4" w14:textId="77777777" w:rsidR="006E00B5" w:rsidRPr="006E00B5" w:rsidRDefault="006E00B5" w:rsidP="009168B8">
            <w:pPr>
              <w:ind w:left="82"/>
              <w:rPr>
                <w:iCs/>
                <w:sz w:val="24"/>
                <w:szCs w:val="24"/>
              </w:rPr>
            </w:pPr>
            <w:r w:rsidRPr="006E00B5">
              <w:rPr>
                <w:iCs/>
                <w:sz w:val="24"/>
                <w:szCs w:val="24"/>
              </w:rPr>
              <w:t>Det reproduktive system og mammae</w:t>
            </w:r>
          </w:p>
        </w:tc>
        <w:tc>
          <w:tcPr>
            <w:tcW w:w="127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2DDE27" w14:textId="77777777" w:rsidR="006E00B5" w:rsidRPr="006E00B5" w:rsidRDefault="006E00B5" w:rsidP="009168B8">
            <w:pPr>
              <w:ind w:left="82"/>
              <w:rPr>
                <w:iCs/>
                <w:sz w:val="24"/>
                <w:szCs w:val="24"/>
              </w:rPr>
            </w:pPr>
            <w:r w:rsidRPr="006E00B5">
              <w:rPr>
                <w:iCs/>
                <w:sz w:val="24"/>
                <w:szCs w:val="24"/>
              </w:rPr>
              <w:t>Kramper i underlivet, vaginal blødning</w:t>
            </w:r>
          </w:p>
        </w:tc>
        <w:tc>
          <w:tcPr>
            <w:tcW w:w="14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B06844" w14:textId="77777777" w:rsidR="006E00B5" w:rsidRPr="006E00B5" w:rsidRDefault="006E00B5" w:rsidP="009168B8">
            <w:pPr>
              <w:ind w:left="82"/>
              <w:rPr>
                <w:iCs/>
                <w:sz w:val="24"/>
                <w:szCs w:val="24"/>
              </w:rPr>
            </w:pPr>
            <w:r w:rsidRPr="006E00B5">
              <w:rPr>
                <w:iCs/>
                <w:sz w:val="24"/>
                <w:szCs w:val="24"/>
              </w:rPr>
              <w:t xml:space="preserve">Brystømhed, brystsmerter, vaginaludflåd, </w:t>
            </w:r>
          </w:p>
          <w:p w14:paraId="749CF156" w14:textId="77777777" w:rsidR="006E00B5" w:rsidRPr="006E00B5" w:rsidRDefault="006E00B5" w:rsidP="009168B8">
            <w:pPr>
              <w:ind w:left="82"/>
              <w:rPr>
                <w:iCs/>
                <w:sz w:val="24"/>
                <w:szCs w:val="24"/>
              </w:rPr>
            </w:pPr>
            <w:r w:rsidRPr="006E00B5">
              <w:rPr>
                <w:iCs/>
                <w:sz w:val="24"/>
                <w:szCs w:val="24"/>
              </w:rPr>
              <w:t xml:space="preserve">vulvo-vaginal kløe, </w:t>
            </w:r>
          </w:p>
          <w:p w14:paraId="43E35B2A" w14:textId="77777777" w:rsidR="006E00B5" w:rsidRPr="006E00B5" w:rsidRDefault="006E00B5" w:rsidP="009168B8">
            <w:pPr>
              <w:ind w:left="82"/>
              <w:rPr>
                <w:iCs/>
                <w:sz w:val="24"/>
                <w:szCs w:val="24"/>
              </w:rPr>
            </w:pPr>
            <w:r w:rsidRPr="006E00B5">
              <w:rPr>
                <w:iCs/>
                <w:sz w:val="24"/>
                <w:szCs w:val="24"/>
              </w:rPr>
              <w:t xml:space="preserve">vulvo-vaginalt ubehag, </w:t>
            </w:r>
          </w:p>
          <w:p w14:paraId="042D3BE5" w14:textId="77777777" w:rsidR="006E00B5" w:rsidRPr="006E00B5" w:rsidRDefault="006E00B5" w:rsidP="009168B8">
            <w:pPr>
              <w:ind w:left="82"/>
              <w:rPr>
                <w:iCs/>
                <w:sz w:val="24"/>
                <w:szCs w:val="24"/>
              </w:rPr>
            </w:pPr>
            <w:r w:rsidRPr="006E00B5">
              <w:rPr>
                <w:iCs/>
                <w:sz w:val="24"/>
                <w:szCs w:val="24"/>
              </w:rPr>
              <w:t>vulvo-vaginal betændelse, OHSS</w:t>
            </w:r>
          </w:p>
        </w:tc>
        <w:tc>
          <w:tcPr>
            <w:tcW w:w="9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5F674E" w14:textId="77777777" w:rsidR="006E00B5" w:rsidRPr="006E00B5" w:rsidRDefault="006E00B5" w:rsidP="009168B8">
            <w:pPr>
              <w:ind w:left="82"/>
              <w:rPr>
                <w:iCs/>
                <w:sz w:val="24"/>
                <w:szCs w:val="24"/>
              </w:rPr>
            </w:pPr>
            <w:r w:rsidRPr="006E00B5">
              <w:rPr>
                <w:iCs/>
                <w:sz w:val="24"/>
                <w:szCs w:val="24"/>
              </w:rPr>
              <w:t>Brystlidelser</w:t>
            </w:r>
          </w:p>
        </w:tc>
      </w:tr>
      <w:tr w:rsidR="006E00B5" w:rsidRPr="006E00B5" w14:paraId="30976A76" w14:textId="77777777" w:rsidTr="00A07818">
        <w:trPr>
          <w:tblCellSpacing w:w="15" w:type="dxa"/>
        </w:trPr>
        <w:tc>
          <w:tcPr>
            <w:tcW w:w="13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5E5D2D" w14:textId="77777777" w:rsidR="006E00B5" w:rsidRPr="006E00B5" w:rsidRDefault="006E00B5" w:rsidP="009168B8">
            <w:pPr>
              <w:ind w:left="82"/>
              <w:rPr>
                <w:iCs/>
                <w:sz w:val="24"/>
                <w:szCs w:val="24"/>
              </w:rPr>
            </w:pPr>
            <w:r w:rsidRPr="006E00B5">
              <w:rPr>
                <w:iCs/>
                <w:sz w:val="24"/>
                <w:szCs w:val="24"/>
              </w:rPr>
              <w:t>Almene symptomer og reaktioner på administrationsstedet</w:t>
            </w:r>
          </w:p>
        </w:tc>
        <w:tc>
          <w:tcPr>
            <w:tcW w:w="127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29647C" w14:textId="77777777" w:rsidR="006E00B5" w:rsidRPr="006E00B5" w:rsidRDefault="006E00B5" w:rsidP="009168B8">
            <w:pPr>
              <w:ind w:left="82"/>
              <w:rPr>
                <w:iCs/>
                <w:sz w:val="24"/>
                <w:szCs w:val="24"/>
              </w:rPr>
            </w:pPr>
            <w:r w:rsidRPr="006E00B5">
              <w:rPr>
                <w:iCs/>
                <w:sz w:val="24"/>
                <w:szCs w:val="24"/>
              </w:rPr>
              <w:t>Reaktioner på administrationsstedet*</w:t>
            </w:r>
          </w:p>
        </w:tc>
        <w:tc>
          <w:tcPr>
            <w:tcW w:w="14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00BA6C" w14:textId="77777777" w:rsidR="006E00B5" w:rsidRPr="006E00B5" w:rsidRDefault="006E00B5" w:rsidP="009168B8">
            <w:pPr>
              <w:ind w:left="82"/>
              <w:rPr>
                <w:iCs/>
                <w:sz w:val="24"/>
                <w:szCs w:val="24"/>
              </w:rPr>
            </w:pPr>
            <w:r w:rsidRPr="006E00B5">
              <w:rPr>
                <w:iCs/>
                <w:sz w:val="24"/>
                <w:szCs w:val="24"/>
              </w:rPr>
              <w:t xml:space="preserve">Hæmatom på njektionsstedet, induration på injektionsstedet, træthed </w:t>
            </w:r>
          </w:p>
        </w:tc>
        <w:tc>
          <w:tcPr>
            <w:tcW w:w="9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FC7EC0" w14:textId="77777777" w:rsidR="006E00B5" w:rsidRPr="006E00B5" w:rsidRDefault="006E00B5" w:rsidP="009168B8">
            <w:pPr>
              <w:ind w:left="82"/>
              <w:rPr>
                <w:iCs/>
                <w:sz w:val="24"/>
                <w:szCs w:val="24"/>
              </w:rPr>
            </w:pPr>
            <w:r w:rsidRPr="006E00B5">
              <w:rPr>
                <w:iCs/>
                <w:sz w:val="24"/>
                <w:szCs w:val="24"/>
              </w:rPr>
              <w:t>Varmefølelse, utilpashed, smerte</w:t>
            </w:r>
          </w:p>
        </w:tc>
      </w:tr>
    </w:tbl>
    <w:p w14:paraId="3BDBFB1F" w14:textId="77777777" w:rsidR="006E00B5" w:rsidRPr="006E00B5" w:rsidRDefault="006E00B5" w:rsidP="009168B8">
      <w:pPr>
        <w:rPr>
          <w:i/>
          <w:sz w:val="24"/>
          <w:szCs w:val="24"/>
        </w:rPr>
      </w:pPr>
      <w:r w:rsidRPr="006E00B5">
        <w:rPr>
          <w:i/>
          <w:sz w:val="24"/>
          <w:szCs w:val="24"/>
        </w:rPr>
        <w:t>* Reaktioner på administrationsstedet, såsom irritation, smerte, kløe og hævelse.</w:t>
      </w:r>
    </w:p>
    <w:p w14:paraId="013DAE54" w14:textId="77777777" w:rsidR="006E00B5" w:rsidRPr="006E00B5" w:rsidRDefault="006E00B5" w:rsidP="009168B8">
      <w:pPr>
        <w:ind w:left="851"/>
        <w:rPr>
          <w:i/>
          <w:sz w:val="24"/>
          <w:szCs w:val="24"/>
        </w:rPr>
      </w:pPr>
    </w:p>
    <w:p w14:paraId="36558CBB" w14:textId="77777777" w:rsidR="006E00B5" w:rsidRPr="006E00B5" w:rsidRDefault="006E00B5" w:rsidP="009168B8">
      <w:pPr>
        <w:ind w:left="851"/>
        <w:rPr>
          <w:sz w:val="24"/>
          <w:szCs w:val="24"/>
        </w:rPr>
      </w:pPr>
      <w:r w:rsidRPr="006E00B5">
        <w:rPr>
          <w:b/>
          <w:bCs/>
          <w:i/>
          <w:iCs/>
          <w:sz w:val="24"/>
          <w:szCs w:val="24"/>
          <w:u w:val="thick"/>
        </w:rPr>
        <w:t>Klassevirkninger</w:t>
      </w:r>
    </w:p>
    <w:p w14:paraId="0B04AEF7" w14:textId="77777777" w:rsidR="006E00B5" w:rsidRPr="006E00B5" w:rsidRDefault="006E00B5" w:rsidP="009168B8">
      <w:pPr>
        <w:ind w:left="851"/>
        <w:rPr>
          <w:iCs/>
          <w:sz w:val="24"/>
          <w:szCs w:val="24"/>
        </w:rPr>
      </w:pPr>
      <w:r w:rsidRPr="006E00B5">
        <w:rPr>
          <w:iCs/>
          <w:sz w:val="24"/>
          <w:szCs w:val="24"/>
        </w:rPr>
        <w:t>Følgende lidelser er, selvom de ikke er rapporteret af patienter i kliniske studier med dette lægemiddel, blevet beskrevet med andre lægemidler i denne klasse</w:t>
      </w:r>
    </w:p>
    <w:p w14:paraId="4DB8EE2E" w14:textId="77777777" w:rsidR="006E00B5" w:rsidRPr="006E00B5" w:rsidRDefault="006E00B5" w:rsidP="009168B8">
      <w:pPr>
        <w:ind w:left="851"/>
        <w:rPr>
          <w:iCs/>
          <w:sz w:val="24"/>
          <w:szCs w:val="24"/>
        </w:rPr>
      </w:pPr>
    </w:p>
    <w:tbl>
      <w:tblPr>
        <w:tblW w:w="4488"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3"/>
        <w:gridCol w:w="3849"/>
      </w:tblGrid>
      <w:tr w:rsidR="006E00B5" w:rsidRPr="006E00B5" w14:paraId="7DAA5845" w14:textId="77777777" w:rsidTr="006E00B5">
        <w:tc>
          <w:tcPr>
            <w:tcW w:w="2773" w:type="pct"/>
            <w:tcBorders>
              <w:top w:val="single" w:sz="4" w:space="0" w:color="auto"/>
              <w:left w:val="single" w:sz="4" w:space="0" w:color="auto"/>
              <w:bottom w:val="single" w:sz="4" w:space="0" w:color="auto"/>
              <w:right w:val="single" w:sz="4" w:space="0" w:color="auto"/>
            </w:tcBorders>
            <w:hideMark/>
          </w:tcPr>
          <w:p w14:paraId="4A963A3F" w14:textId="77777777" w:rsidR="006E00B5" w:rsidRPr="006E00B5" w:rsidRDefault="006E00B5" w:rsidP="009168B8">
            <w:pPr>
              <w:ind w:left="33"/>
              <w:rPr>
                <w:b/>
                <w:bCs/>
                <w:iCs/>
                <w:sz w:val="24"/>
                <w:szCs w:val="24"/>
                <w:lang w:val="en-GB"/>
              </w:rPr>
            </w:pPr>
            <w:r w:rsidRPr="006E00B5">
              <w:rPr>
                <w:b/>
                <w:bCs/>
                <w:iCs/>
                <w:sz w:val="24"/>
                <w:szCs w:val="24"/>
                <w:lang w:val="en-GB"/>
              </w:rPr>
              <w:t>Systemorganklasse (SOC)</w:t>
            </w:r>
          </w:p>
        </w:tc>
        <w:tc>
          <w:tcPr>
            <w:tcW w:w="2227" w:type="pct"/>
            <w:tcBorders>
              <w:top w:val="single" w:sz="4" w:space="0" w:color="auto"/>
              <w:left w:val="single" w:sz="4" w:space="0" w:color="auto"/>
              <w:bottom w:val="single" w:sz="4" w:space="0" w:color="auto"/>
              <w:right w:val="single" w:sz="4" w:space="0" w:color="auto"/>
            </w:tcBorders>
          </w:tcPr>
          <w:p w14:paraId="00454D12" w14:textId="77777777" w:rsidR="006E00B5" w:rsidRPr="006E00B5" w:rsidRDefault="006E00B5" w:rsidP="009168B8">
            <w:pPr>
              <w:ind w:left="33"/>
              <w:rPr>
                <w:iCs/>
                <w:sz w:val="24"/>
                <w:szCs w:val="24"/>
                <w:lang w:val="en-GB"/>
              </w:rPr>
            </w:pPr>
          </w:p>
        </w:tc>
      </w:tr>
      <w:tr w:rsidR="006E00B5" w:rsidRPr="006E00B5" w14:paraId="3E5BEB99" w14:textId="77777777" w:rsidTr="006E00B5">
        <w:tc>
          <w:tcPr>
            <w:tcW w:w="2773" w:type="pct"/>
            <w:tcBorders>
              <w:top w:val="single" w:sz="4" w:space="0" w:color="auto"/>
              <w:left w:val="single" w:sz="4" w:space="0" w:color="auto"/>
              <w:bottom w:val="single" w:sz="4" w:space="0" w:color="auto"/>
              <w:right w:val="single" w:sz="4" w:space="0" w:color="auto"/>
            </w:tcBorders>
            <w:hideMark/>
          </w:tcPr>
          <w:p w14:paraId="0B0939C5" w14:textId="77777777" w:rsidR="006E00B5" w:rsidRPr="006E00B5" w:rsidRDefault="006E00B5" w:rsidP="009168B8">
            <w:pPr>
              <w:ind w:left="33"/>
              <w:rPr>
                <w:iCs/>
                <w:sz w:val="24"/>
                <w:szCs w:val="24"/>
                <w:lang w:val="en-GB"/>
              </w:rPr>
            </w:pPr>
            <w:r w:rsidRPr="006E00B5">
              <w:rPr>
                <w:iCs/>
                <w:sz w:val="24"/>
                <w:szCs w:val="24"/>
                <w:lang w:val="en-GB"/>
              </w:rPr>
              <w:t>Psykiske forstyrrelser</w:t>
            </w:r>
          </w:p>
        </w:tc>
        <w:tc>
          <w:tcPr>
            <w:tcW w:w="2227" w:type="pct"/>
            <w:tcBorders>
              <w:top w:val="single" w:sz="4" w:space="0" w:color="auto"/>
              <w:left w:val="single" w:sz="4" w:space="0" w:color="auto"/>
              <w:bottom w:val="single" w:sz="4" w:space="0" w:color="auto"/>
              <w:right w:val="single" w:sz="4" w:space="0" w:color="auto"/>
            </w:tcBorders>
            <w:hideMark/>
          </w:tcPr>
          <w:p w14:paraId="7BF9EF3D" w14:textId="77777777" w:rsidR="006E00B5" w:rsidRPr="006E00B5" w:rsidRDefault="006E00B5" w:rsidP="009168B8">
            <w:pPr>
              <w:ind w:left="33"/>
              <w:rPr>
                <w:iCs/>
                <w:sz w:val="24"/>
                <w:szCs w:val="24"/>
                <w:lang w:val="en-GB"/>
              </w:rPr>
            </w:pPr>
            <w:r w:rsidRPr="006E00B5">
              <w:rPr>
                <w:iCs/>
                <w:sz w:val="24"/>
                <w:szCs w:val="24"/>
                <w:lang w:val="en-GB"/>
              </w:rPr>
              <w:t>Depression</w:t>
            </w:r>
          </w:p>
        </w:tc>
      </w:tr>
      <w:tr w:rsidR="006E00B5" w:rsidRPr="006E00B5" w14:paraId="7BA05C5C" w14:textId="77777777" w:rsidTr="006E00B5">
        <w:tc>
          <w:tcPr>
            <w:tcW w:w="2773" w:type="pct"/>
            <w:tcBorders>
              <w:top w:val="single" w:sz="4" w:space="0" w:color="auto"/>
              <w:left w:val="single" w:sz="4" w:space="0" w:color="auto"/>
              <w:bottom w:val="single" w:sz="4" w:space="0" w:color="auto"/>
              <w:right w:val="single" w:sz="4" w:space="0" w:color="auto"/>
            </w:tcBorders>
            <w:hideMark/>
          </w:tcPr>
          <w:p w14:paraId="676A30E9" w14:textId="77777777" w:rsidR="006E00B5" w:rsidRPr="006E00B5" w:rsidRDefault="006E00B5" w:rsidP="009168B8">
            <w:pPr>
              <w:ind w:left="33"/>
              <w:rPr>
                <w:iCs/>
                <w:sz w:val="24"/>
                <w:szCs w:val="24"/>
                <w:lang w:val="en-GB"/>
              </w:rPr>
            </w:pPr>
            <w:r w:rsidRPr="006E00B5">
              <w:rPr>
                <w:iCs/>
                <w:sz w:val="24"/>
                <w:szCs w:val="24"/>
                <w:lang w:val="en-GB"/>
              </w:rPr>
              <w:t>Nervesystemet</w:t>
            </w:r>
          </w:p>
        </w:tc>
        <w:tc>
          <w:tcPr>
            <w:tcW w:w="2227" w:type="pct"/>
            <w:tcBorders>
              <w:top w:val="single" w:sz="4" w:space="0" w:color="auto"/>
              <w:left w:val="single" w:sz="4" w:space="0" w:color="auto"/>
              <w:bottom w:val="single" w:sz="4" w:space="0" w:color="auto"/>
              <w:right w:val="single" w:sz="4" w:space="0" w:color="auto"/>
            </w:tcBorders>
            <w:hideMark/>
          </w:tcPr>
          <w:p w14:paraId="6FE33CCC" w14:textId="77777777" w:rsidR="006E00B5" w:rsidRPr="006E00B5" w:rsidRDefault="006E00B5" w:rsidP="009168B8">
            <w:pPr>
              <w:ind w:left="33"/>
              <w:rPr>
                <w:iCs/>
                <w:sz w:val="24"/>
                <w:szCs w:val="24"/>
                <w:lang w:val="en-GB"/>
              </w:rPr>
            </w:pPr>
            <w:r w:rsidRPr="006E00B5">
              <w:rPr>
                <w:iCs/>
                <w:sz w:val="24"/>
                <w:szCs w:val="24"/>
                <w:lang w:val="en-GB"/>
              </w:rPr>
              <w:t>Søvnløshed</w:t>
            </w:r>
          </w:p>
        </w:tc>
      </w:tr>
      <w:tr w:rsidR="006E00B5" w:rsidRPr="006E00B5" w14:paraId="1E76B7A8" w14:textId="77777777" w:rsidTr="006E00B5">
        <w:tc>
          <w:tcPr>
            <w:tcW w:w="2773" w:type="pct"/>
            <w:tcBorders>
              <w:top w:val="single" w:sz="4" w:space="0" w:color="auto"/>
              <w:left w:val="single" w:sz="4" w:space="0" w:color="auto"/>
              <w:bottom w:val="single" w:sz="4" w:space="0" w:color="auto"/>
              <w:right w:val="single" w:sz="4" w:space="0" w:color="auto"/>
            </w:tcBorders>
            <w:hideMark/>
          </w:tcPr>
          <w:p w14:paraId="5204382C" w14:textId="77777777" w:rsidR="006E00B5" w:rsidRPr="006E00B5" w:rsidRDefault="006E00B5" w:rsidP="009168B8">
            <w:pPr>
              <w:ind w:left="33"/>
              <w:rPr>
                <w:iCs/>
                <w:sz w:val="24"/>
                <w:szCs w:val="24"/>
                <w:lang w:val="en-GB"/>
              </w:rPr>
            </w:pPr>
            <w:r w:rsidRPr="006E00B5">
              <w:rPr>
                <w:iCs/>
                <w:sz w:val="24"/>
                <w:szCs w:val="24"/>
                <w:lang w:val="en-GB"/>
              </w:rPr>
              <w:t>Lever og galdeveje</w:t>
            </w:r>
          </w:p>
        </w:tc>
        <w:tc>
          <w:tcPr>
            <w:tcW w:w="2227" w:type="pct"/>
            <w:tcBorders>
              <w:top w:val="single" w:sz="4" w:space="0" w:color="auto"/>
              <w:left w:val="single" w:sz="4" w:space="0" w:color="auto"/>
              <w:bottom w:val="single" w:sz="4" w:space="0" w:color="auto"/>
              <w:right w:val="single" w:sz="4" w:space="0" w:color="auto"/>
            </w:tcBorders>
            <w:hideMark/>
          </w:tcPr>
          <w:p w14:paraId="06EBC87A" w14:textId="77777777" w:rsidR="006E00B5" w:rsidRPr="006E00B5" w:rsidRDefault="006E00B5" w:rsidP="009168B8">
            <w:pPr>
              <w:ind w:left="33"/>
              <w:rPr>
                <w:iCs/>
                <w:sz w:val="24"/>
                <w:szCs w:val="24"/>
                <w:lang w:val="en-GB"/>
              </w:rPr>
            </w:pPr>
            <w:r w:rsidRPr="006E00B5">
              <w:rPr>
                <w:iCs/>
                <w:sz w:val="24"/>
                <w:szCs w:val="24"/>
                <w:lang w:val="en-GB"/>
              </w:rPr>
              <w:t>Gulsot</w:t>
            </w:r>
          </w:p>
        </w:tc>
      </w:tr>
      <w:tr w:rsidR="006E00B5" w:rsidRPr="006E00B5" w14:paraId="17160D08" w14:textId="77777777" w:rsidTr="006E00B5">
        <w:tc>
          <w:tcPr>
            <w:tcW w:w="2773" w:type="pct"/>
            <w:tcBorders>
              <w:top w:val="single" w:sz="4" w:space="0" w:color="auto"/>
              <w:left w:val="single" w:sz="4" w:space="0" w:color="auto"/>
              <w:bottom w:val="single" w:sz="4" w:space="0" w:color="auto"/>
              <w:right w:val="single" w:sz="4" w:space="0" w:color="auto"/>
            </w:tcBorders>
            <w:hideMark/>
          </w:tcPr>
          <w:p w14:paraId="4B705882" w14:textId="77777777" w:rsidR="006E00B5" w:rsidRPr="006E00B5" w:rsidRDefault="006E00B5" w:rsidP="009168B8">
            <w:pPr>
              <w:ind w:left="33"/>
              <w:rPr>
                <w:iCs/>
                <w:sz w:val="24"/>
                <w:szCs w:val="24"/>
              </w:rPr>
            </w:pPr>
            <w:r w:rsidRPr="006E00B5">
              <w:rPr>
                <w:iCs/>
                <w:sz w:val="24"/>
                <w:szCs w:val="24"/>
              </w:rPr>
              <w:t>Det reproduktive system og mammae</w:t>
            </w:r>
          </w:p>
        </w:tc>
        <w:tc>
          <w:tcPr>
            <w:tcW w:w="2227" w:type="pct"/>
            <w:tcBorders>
              <w:top w:val="single" w:sz="4" w:space="0" w:color="auto"/>
              <w:left w:val="single" w:sz="4" w:space="0" w:color="auto"/>
              <w:bottom w:val="single" w:sz="4" w:space="0" w:color="auto"/>
              <w:right w:val="single" w:sz="4" w:space="0" w:color="auto"/>
            </w:tcBorders>
            <w:hideMark/>
          </w:tcPr>
          <w:p w14:paraId="30006113" w14:textId="77777777" w:rsidR="006E00B5" w:rsidRPr="006E00B5" w:rsidRDefault="006E00B5" w:rsidP="009168B8">
            <w:pPr>
              <w:ind w:left="33"/>
              <w:rPr>
                <w:iCs/>
                <w:sz w:val="24"/>
                <w:szCs w:val="24"/>
                <w:lang w:val="en-GB"/>
              </w:rPr>
            </w:pPr>
            <w:r w:rsidRPr="006E00B5">
              <w:rPr>
                <w:iCs/>
                <w:sz w:val="24"/>
                <w:szCs w:val="24"/>
                <w:lang w:val="en-GB"/>
              </w:rPr>
              <w:t>Menstruationsforstyrrelser</w:t>
            </w:r>
          </w:p>
          <w:p w14:paraId="1998D452" w14:textId="77777777" w:rsidR="006E00B5" w:rsidRPr="006E00B5" w:rsidRDefault="006E00B5" w:rsidP="009168B8">
            <w:pPr>
              <w:ind w:left="33"/>
              <w:rPr>
                <w:iCs/>
                <w:sz w:val="24"/>
                <w:szCs w:val="24"/>
                <w:lang w:val="en-GB"/>
              </w:rPr>
            </w:pPr>
            <w:r w:rsidRPr="006E00B5">
              <w:rPr>
                <w:iCs/>
                <w:sz w:val="24"/>
                <w:szCs w:val="24"/>
                <w:lang w:val="en-GB"/>
              </w:rPr>
              <w:t>Præmenstruelt lignende syndrom</w:t>
            </w:r>
          </w:p>
        </w:tc>
      </w:tr>
      <w:tr w:rsidR="006E00B5" w:rsidRPr="006E00B5" w14:paraId="3B7191C3" w14:textId="77777777" w:rsidTr="006E00B5">
        <w:tc>
          <w:tcPr>
            <w:tcW w:w="2773" w:type="pct"/>
            <w:tcBorders>
              <w:top w:val="single" w:sz="4" w:space="0" w:color="auto"/>
              <w:left w:val="single" w:sz="4" w:space="0" w:color="auto"/>
              <w:bottom w:val="single" w:sz="4" w:space="0" w:color="auto"/>
              <w:right w:val="single" w:sz="4" w:space="0" w:color="auto"/>
            </w:tcBorders>
            <w:hideMark/>
          </w:tcPr>
          <w:p w14:paraId="43FEAB12" w14:textId="77777777" w:rsidR="006E00B5" w:rsidRPr="006E00B5" w:rsidRDefault="006E00B5" w:rsidP="009168B8">
            <w:pPr>
              <w:ind w:left="33"/>
              <w:rPr>
                <w:iCs/>
                <w:sz w:val="24"/>
                <w:szCs w:val="24"/>
                <w:lang w:val="en-GB"/>
              </w:rPr>
            </w:pPr>
            <w:r w:rsidRPr="006E00B5">
              <w:rPr>
                <w:iCs/>
                <w:sz w:val="24"/>
                <w:szCs w:val="24"/>
                <w:lang w:val="en-GB"/>
              </w:rPr>
              <w:t>Hud og subkutane væv</w:t>
            </w:r>
          </w:p>
        </w:tc>
        <w:tc>
          <w:tcPr>
            <w:tcW w:w="2227" w:type="pct"/>
            <w:tcBorders>
              <w:top w:val="single" w:sz="4" w:space="0" w:color="auto"/>
              <w:left w:val="single" w:sz="4" w:space="0" w:color="auto"/>
              <w:bottom w:val="single" w:sz="4" w:space="0" w:color="auto"/>
              <w:right w:val="single" w:sz="4" w:space="0" w:color="auto"/>
            </w:tcBorders>
            <w:hideMark/>
          </w:tcPr>
          <w:p w14:paraId="1BF5B01A" w14:textId="77777777" w:rsidR="006E00B5" w:rsidRPr="006E00B5" w:rsidRDefault="006E00B5" w:rsidP="009168B8">
            <w:pPr>
              <w:ind w:left="33"/>
              <w:rPr>
                <w:iCs/>
                <w:sz w:val="24"/>
                <w:szCs w:val="24"/>
                <w:lang w:val="en-GB"/>
              </w:rPr>
            </w:pPr>
            <w:r w:rsidRPr="006E00B5">
              <w:rPr>
                <w:iCs/>
                <w:sz w:val="24"/>
                <w:szCs w:val="24"/>
                <w:lang w:val="en-GB"/>
              </w:rPr>
              <w:t>Urticaria, acne, hirsutisme, alopecia</w:t>
            </w:r>
          </w:p>
        </w:tc>
      </w:tr>
      <w:tr w:rsidR="006E00B5" w:rsidRPr="006E00B5" w14:paraId="17BF5110" w14:textId="77777777" w:rsidTr="006E00B5">
        <w:tc>
          <w:tcPr>
            <w:tcW w:w="2773" w:type="pct"/>
            <w:tcBorders>
              <w:top w:val="single" w:sz="4" w:space="0" w:color="auto"/>
              <w:left w:val="single" w:sz="4" w:space="0" w:color="auto"/>
              <w:bottom w:val="single" w:sz="4" w:space="0" w:color="auto"/>
              <w:right w:val="single" w:sz="4" w:space="0" w:color="auto"/>
            </w:tcBorders>
            <w:hideMark/>
          </w:tcPr>
          <w:p w14:paraId="0EF1C826" w14:textId="77777777" w:rsidR="006E00B5" w:rsidRPr="006E00B5" w:rsidRDefault="006E00B5" w:rsidP="009168B8">
            <w:pPr>
              <w:ind w:left="33"/>
              <w:rPr>
                <w:iCs/>
                <w:sz w:val="24"/>
                <w:szCs w:val="24"/>
              </w:rPr>
            </w:pPr>
            <w:r w:rsidRPr="006E00B5">
              <w:rPr>
                <w:iCs/>
                <w:sz w:val="24"/>
                <w:szCs w:val="24"/>
              </w:rPr>
              <w:t>Almene symptomer og reaktioner på administrationsstedet</w:t>
            </w:r>
          </w:p>
        </w:tc>
        <w:tc>
          <w:tcPr>
            <w:tcW w:w="2227" w:type="pct"/>
            <w:tcBorders>
              <w:top w:val="single" w:sz="4" w:space="0" w:color="auto"/>
              <w:left w:val="single" w:sz="4" w:space="0" w:color="auto"/>
              <w:bottom w:val="single" w:sz="4" w:space="0" w:color="auto"/>
              <w:right w:val="single" w:sz="4" w:space="0" w:color="auto"/>
            </w:tcBorders>
            <w:hideMark/>
          </w:tcPr>
          <w:p w14:paraId="6C981944" w14:textId="77777777" w:rsidR="006E00B5" w:rsidRPr="006E00B5" w:rsidRDefault="006E00B5" w:rsidP="009168B8">
            <w:pPr>
              <w:ind w:left="33"/>
              <w:rPr>
                <w:iCs/>
                <w:sz w:val="24"/>
                <w:szCs w:val="24"/>
                <w:lang w:val="en-GB"/>
              </w:rPr>
            </w:pPr>
            <w:r w:rsidRPr="006E00B5">
              <w:rPr>
                <w:iCs/>
                <w:sz w:val="24"/>
                <w:szCs w:val="24"/>
                <w:lang w:val="en-GB"/>
              </w:rPr>
              <w:t>Vægtøgning</w:t>
            </w:r>
          </w:p>
          <w:p w14:paraId="220E4023" w14:textId="77777777" w:rsidR="006E00B5" w:rsidRPr="006E00B5" w:rsidRDefault="006E00B5" w:rsidP="009168B8">
            <w:pPr>
              <w:ind w:left="33"/>
              <w:rPr>
                <w:iCs/>
                <w:sz w:val="24"/>
                <w:szCs w:val="24"/>
                <w:lang w:val="en-GB"/>
              </w:rPr>
            </w:pPr>
            <w:r w:rsidRPr="006E00B5">
              <w:rPr>
                <w:iCs/>
                <w:sz w:val="24"/>
                <w:szCs w:val="24"/>
                <w:lang w:val="en-GB"/>
              </w:rPr>
              <w:t>Anafylaktoide reaktioner</w:t>
            </w:r>
          </w:p>
        </w:tc>
      </w:tr>
    </w:tbl>
    <w:p w14:paraId="21959E31" w14:textId="77777777" w:rsidR="006E00B5" w:rsidRPr="006E00B5" w:rsidRDefault="006E00B5" w:rsidP="009168B8">
      <w:pPr>
        <w:ind w:left="851"/>
        <w:rPr>
          <w:sz w:val="24"/>
          <w:szCs w:val="24"/>
          <w:u w:val="single"/>
          <w:lang w:val="en-GB"/>
        </w:rPr>
      </w:pPr>
    </w:p>
    <w:p w14:paraId="03E28D4E" w14:textId="77777777" w:rsidR="006E00B5" w:rsidRPr="006E00B5" w:rsidRDefault="006E00B5" w:rsidP="009168B8">
      <w:pPr>
        <w:ind w:left="851"/>
        <w:rPr>
          <w:sz w:val="24"/>
          <w:szCs w:val="24"/>
          <w:u w:val="single"/>
          <w:lang w:val="en-GB"/>
        </w:rPr>
      </w:pPr>
      <w:r w:rsidRPr="006E00B5">
        <w:rPr>
          <w:sz w:val="24"/>
          <w:szCs w:val="24"/>
          <w:u w:val="single"/>
          <w:lang w:val="en-GB"/>
        </w:rPr>
        <w:t>Indberetning af formodede bivirkninger</w:t>
      </w:r>
    </w:p>
    <w:p w14:paraId="25539219" w14:textId="77777777" w:rsidR="006E00B5" w:rsidRPr="006E00B5" w:rsidRDefault="006E00B5" w:rsidP="009168B8">
      <w:pPr>
        <w:ind w:left="851"/>
        <w:rPr>
          <w:sz w:val="24"/>
          <w:szCs w:val="24"/>
        </w:rPr>
      </w:pPr>
      <w:r w:rsidRPr="006E00B5">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12189BBB" w14:textId="77777777" w:rsidR="006E00B5" w:rsidRPr="006E00B5" w:rsidRDefault="006E00B5" w:rsidP="009168B8">
      <w:pPr>
        <w:ind w:left="851"/>
        <w:rPr>
          <w:sz w:val="24"/>
          <w:szCs w:val="24"/>
        </w:rPr>
      </w:pPr>
    </w:p>
    <w:p w14:paraId="551B15D2" w14:textId="77777777" w:rsidR="006E00B5" w:rsidRPr="006E00B5" w:rsidRDefault="006E00B5" w:rsidP="009168B8">
      <w:pPr>
        <w:ind w:left="851"/>
        <w:rPr>
          <w:sz w:val="24"/>
          <w:szCs w:val="24"/>
        </w:rPr>
      </w:pPr>
      <w:r w:rsidRPr="006E00B5">
        <w:rPr>
          <w:sz w:val="24"/>
          <w:szCs w:val="24"/>
        </w:rPr>
        <w:t>Lægemiddelstyrelsen</w:t>
      </w:r>
    </w:p>
    <w:p w14:paraId="0B20FEAC" w14:textId="77777777" w:rsidR="006E00B5" w:rsidRPr="006E00B5" w:rsidRDefault="006E00B5" w:rsidP="009168B8">
      <w:pPr>
        <w:ind w:left="851"/>
        <w:rPr>
          <w:sz w:val="24"/>
          <w:szCs w:val="24"/>
        </w:rPr>
      </w:pPr>
      <w:r w:rsidRPr="006E00B5">
        <w:rPr>
          <w:sz w:val="24"/>
          <w:szCs w:val="24"/>
        </w:rPr>
        <w:t>Axel Heides Gade 1</w:t>
      </w:r>
    </w:p>
    <w:p w14:paraId="0BD6B6BF" w14:textId="77777777" w:rsidR="006E00B5" w:rsidRPr="006E00B5" w:rsidRDefault="006E00B5" w:rsidP="009168B8">
      <w:pPr>
        <w:ind w:left="851"/>
        <w:rPr>
          <w:sz w:val="24"/>
          <w:szCs w:val="24"/>
        </w:rPr>
      </w:pPr>
      <w:r w:rsidRPr="006E00B5">
        <w:rPr>
          <w:sz w:val="24"/>
          <w:szCs w:val="24"/>
        </w:rPr>
        <w:t>DK-2300 København S</w:t>
      </w:r>
    </w:p>
    <w:p w14:paraId="472D81F2" w14:textId="77777777" w:rsidR="006E00B5" w:rsidRPr="006E00B5" w:rsidRDefault="006E00B5" w:rsidP="009168B8">
      <w:pPr>
        <w:ind w:left="851"/>
        <w:rPr>
          <w:sz w:val="24"/>
          <w:szCs w:val="24"/>
        </w:rPr>
      </w:pPr>
      <w:r w:rsidRPr="006E00B5">
        <w:rPr>
          <w:sz w:val="24"/>
          <w:szCs w:val="24"/>
        </w:rPr>
        <w:t>Websted: www.meldenbivirkning.dk</w:t>
      </w:r>
    </w:p>
    <w:p w14:paraId="364163E2" w14:textId="77777777" w:rsidR="009260DE" w:rsidRPr="00B008C1" w:rsidRDefault="009260DE" w:rsidP="00A10294">
      <w:pPr>
        <w:tabs>
          <w:tab w:val="left" w:pos="851"/>
        </w:tabs>
        <w:ind w:left="851"/>
        <w:rPr>
          <w:sz w:val="24"/>
          <w:szCs w:val="24"/>
        </w:rPr>
      </w:pPr>
    </w:p>
    <w:p w14:paraId="05A1A4E7" w14:textId="77777777" w:rsidR="009260DE" w:rsidRPr="00B008C1" w:rsidRDefault="009260DE" w:rsidP="009260DE">
      <w:pPr>
        <w:tabs>
          <w:tab w:val="left" w:pos="851"/>
        </w:tabs>
        <w:ind w:left="851" w:hanging="851"/>
        <w:rPr>
          <w:b/>
          <w:sz w:val="24"/>
          <w:szCs w:val="24"/>
        </w:rPr>
      </w:pPr>
      <w:r w:rsidRPr="00B008C1">
        <w:rPr>
          <w:b/>
          <w:sz w:val="24"/>
          <w:szCs w:val="24"/>
        </w:rPr>
        <w:t>4.9</w:t>
      </w:r>
      <w:r w:rsidRPr="00B008C1">
        <w:rPr>
          <w:b/>
          <w:sz w:val="24"/>
          <w:szCs w:val="24"/>
        </w:rPr>
        <w:tab/>
        <w:t>Overdosering</w:t>
      </w:r>
    </w:p>
    <w:p w14:paraId="07D0B76B" w14:textId="77777777" w:rsidR="006E00B5" w:rsidRPr="006E00B5" w:rsidRDefault="006E00B5" w:rsidP="009168B8">
      <w:pPr>
        <w:ind w:left="851"/>
        <w:rPr>
          <w:iCs/>
          <w:sz w:val="24"/>
          <w:szCs w:val="24"/>
        </w:rPr>
      </w:pPr>
      <w:r w:rsidRPr="006E00B5">
        <w:rPr>
          <w:iCs/>
          <w:sz w:val="24"/>
          <w:szCs w:val="24"/>
        </w:rPr>
        <w:t>Høje doser af progesteron kan forårsage døsighed.</w:t>
      </w:r>
    </w:p>
    <w:p w14:paraId="6D193732" w14:textId="77777777" w:rsidR="006E00B5" w:rsidRPr="006E00B5" w:rsidRDefault="006E00B5" w:rsidP="009168B8">
      <w:pPr>
        <w:ind w:left="851"/>
        <w:rPr>
          <w:iCs/>
          <w:sz w:val="24"/>
          <w:szCs w:val="24"/>
        </w:rPr>
      </w:pPr>
    </w:p>
    <w:p w14:paraId="7B676342" w14:textId="77777777" w:rsidR="006E00B5" w:rsidRPr="006E00B5" w:rsidRDefault="006E00B5" w:rsidP="009168B8">
      <w:pPr>
        <w:ind w:left="851"/>
        <w:rPr>
          <w:iCs/>
          <w:sz w:val="24"/>
          <w:szCs w:val="24"/>
        </w:rPr>
      </w:pPr>
      <w:r w:rsidRPr="006E00B5">
        <w:rPr>
          <w:iCs/>
          <w:sz w:val="24"/>
          <w:szCs w:val="24"/>
        </w:rPr>
        <w:t>Behandling af overdosering består i seponering af dette lægemiddel sammen med iværksættelse af passende symptomatisk og understøttende behandling.</w:t>
      </w:r>
    </w:p>
    <w:p w14:paraId="21E267C0" w14:textId="77777777" w:rsidR="009260DE" w:rsidRPr="00B008C1" w:rsidRDefault="009260DE" w:rsidP="009260DE">
      <w:pPr>
        <w:tabs>
          <w:tab w:val="left" w:pos="851"/>
        </w:tabs>
        <w:ind w:left="851"/>
        <w:rPr>
          <w:sz w:val="24"/>
          <w:szCs w:val="24"/>
        </w:rPr>
      </w:pPr>
    </w:p>
    <w:p w14:paraId="05B2F324" w14:textId="77777777" w:rsidR="009260DE" w:rsidRPr="00B008C1" w:rsidRDefault="009260DE" w:rsidP="009260DE">
      <w:pPr>
        <w:tabs>
          <w:tab w:val="left" w:pos="851"/>
        </w:tabs>
        <w:ind w:left="851" w:hanging="851"/>
        <w:rPr>
          <w:b/>
          <w:sz w:val="24"/>
          <w:szCs w:val="24"/>
        </w:rPr>
      </w:pPr>
      <w:r w:rsidRPr="00B008C1">
        <w:rPr>
          <w:b/>
          <w:sz w:val="24"/>
          <w:szCs w:val="24"/>
        </w:rPr>
        <w:t>4.10</w:t>
      </w:r>
      <w:r w:rsidRPr="00B008C1">
        <w:rPr>
          <w:b/>
          <w:sz w:val="24"/>
          <w:szCs w:val="24"/>
        </w:rPr>
        <w:tab/>
        <w:t>Udlevering</w:t>
      </w:r>
    </w:p>
    <w:p w14:paraId="3D265D02" w14:textId="14BD3768" w:rsidR="009260DE" w:rsidRPr="00B008C1" w:rsidRDefault="006D66A8" w:rsidP="006D66A8">
      <w:pPr>
        <w:tabs>
          <w:tab w:val="left" w:pos="851"/>
        </w:tabs>
        <w:ind w:left="851"/>
        <w:rPr>
          <w:sz w:val="24"/>
          <w:szCs w:val="24"/>
        </w:rPr>
      </w:pPr>
      <w:r w:rsidRPr="006D66A8">
        <w:rPr>
          <w:sz w:val="24"/>
          <w:szCs w:val="24"/>
        </w:rPr>
        <w:t>NBS –</w:t>
      </w:r>
      <w:r w:rsidRPr="00B008C1">
        <w:rPr>
          <w:sz w:val="24"/>
          <w:szCs w:val="24"/>
        </w:rPr>
        <w:t xml:space="preserve"> kun til sygehuse og efter ordination af speciallæger i gynækologi/obstetrik</w:t>
      </w:r>
    </w:p>
    <w:p w14:paraId="19195916" w14:textId="77777777" w:rsidR="009260DE" w:rsidRDefault="009260DE" w:rsidP="009260DE">
      <w:pPr>
        <w:tabs>
          <w:tab w:val="left" w:pos="851"/>
        </w:tabs>
        <w:ind w:left="851"/>
        <w:rPr>
          <w:sz w:val="24"/>
          <w:szCs w:val="24"/>
        </w:rPr>
      </w:pPr>
    </w:p>
    <w:p w14:paraId="038DA605" w14:textId="77777777" w:rsidR="00B008C1" w:rsidRPr="00B008C1" w:rsidRDefault="00B008C1" w:rsidP="009260DE">
      <w:pPr>
        <w:tabs>
          <w:tab w:val="left" w:pos="851"/>
        </w:tabs>
        <w:ind w:left="851"/>
        <w:rPr>
          <w:sz w:val="24"/>
          <w:szCs w:val="24"/>
        </w:rPr>
      </w:pPr>
    </w:p>
    <w:p w14:paraId="7C7B627A" w14:textId="77777777" w:rsidR="009260DE" w:rsidRPr="00B008C1" w:rsidRDefault="009260DE" w:rsidP="009260DE">
      <w:pPr>
        <w:tabs>
          <w:tab w:val="left" w:pos="851"/>
        </w:tabs>
        <w:ind w:left="851" w:hanging="851"/>
        <w:rPr>
          <w:b/>
          <w:sz w:val="24"/>
          <w:szCs w:val="24"/>
        </w:rPr>
      </w:pPr>
      <w:r w:rsidRPr="00B008C1">
        <w:rPr>
          <w:b/>
          <w:sz w:val="24"/>
          <w:szCs w:val="24"/>
        </w:rPr>
        <w:t>5.</w:t>
      </w:r>
      <w:r w:rsidRPr="00B008C1">
        <w:rPr>
          <w:b/>
          <w:sz w:val="24"/>
          <w:szCs w:val="24"/>
        </w:rPr>
        <w:tab/>
        <w:t>FARMAKOLOGISKE EGENSKABER</w:t>
      </w:r>
    </w:p>
    <w:p w14:paraId="247DD915" w14:textId="77777777" w:rsidR="009260DE" w:rsidRPr="00B008C1" w:rsidRDefault="009260DE" w:rsidP="009260DE">
      <w:pPr>
        <w:tabs>
          <w:tab w:val="left" w:pos="851"/>
        </w:tabs>
        <w:ind w:left="851"/>
        <w:rPr>
          <w:sz w:val="24"/>
          <w:szCs w:val="24"/>
        </w:rPr>
      </w:pPr>
    </w:p>
    <w:p w14:paraId="0AFDD0BA" w14:textId="77777777" w:rsidR="009260DE" w:rsidRPr="00B008C1" w:rsidRDefault="009260DE" w:rsidP="009260DE">
      <w:pPr>
        <w:tabs>
          <w:tab w:val="num" w:pos="851"/>
        </w:tabs>
        <w:ind w:left="851" w:hanging="851"/>
        <w:rPr>
          <w:b/>
          <w:sz w:val="24"/>
          <w:szCs w:val="24"/>
        </w:rPr>
      </w:pPr>
      <w:r w:rsidRPr="00B008C1">
        <w:rPr>
          <w:b/>
          <w:sz w:val="24"/>
          <w:szCs w:val="24"/>
        </w:rPr>
        <w:t>5.1</w:t>
      </w:r>
      <w:r w:rsidRPr="00B008C1">
        <w:rPr>
          <w:b/>
          <w:sz w:val="24"/>
          <w:szCs w:val="24"/>
        </w:rPr>
        <w:tab/>
        <w:t>Farmakodynamiske egenskaber</w:t>
      </w:r>
    </w:p>
    <w:p w14:paraId="256C63C6" w14:textId="77777777" w:rsidR="006E00B5" w:rsidRPr="006E00B5" w:rsidRDefault="006E00B5" w:rsidP="009958AF">
      <w:pPr>
        <w:ind w:left="851"/>
        <w:rPr>
          <w:iCs/>
          <w:sz w:val="24"/>
          <w:szCs w:val="24"/>
        </w:rPr>
      </w:pPr>
      <w:r w:rsidRPr="006E00B5">
        <w:rPr>
          <w:iCs/>
          <w:sz w:val="24"/>
          <w:szCs w:val="24"/>
        </w:rPr>
        <w:t>Farmakoterapeutisk klassifikation: Kønshormoner og modulatorer af genitalsystemet; progestogener; pregnen-(4)-derivater, ATC-kode: G03DA04.</w:t>
      </w:r>
    </w:p>
    <w:p w14:paraId="4A3C5881" w14:textId="77777777" w:rsidR="006E00B5" w:rsidRPr="006E00B5" w:rsidRDefault="006E00B5" w:rsidP="009958AF">
      <w:pPr>
        <w:ind w:left="851"/>
        <w:rPr>
          <w:sz w:val="24"/>
          <w:szCs w:val="24"/>
        </w:rPr>
      </w:pPr>
    </w:p>
    <w:p w14:paraId="081C21D6" w14:textId="77777777" w:rsidR="006E00B5" w:rsidRPr="006E00B5" w:rsidRDefault="006E00B5" w:rsidP="009958AF">
      <w:pPr>
        <w:ind w:left="851"/>
        <w:rPr>
          <w:sz w:val="24"/>
          <w:szCs w:val="24"/>
          <w:lang w:val="fr-FR"/>
        </w:rPr>
      </w:pPr>
      <w:r w:rsidRPr="006E00B5">
        <w:rPr>
          <w:sz w:val="24"/>
          <w:szCs w:val="24"/>
          <w:u w:val="single"/>
          <w:lang w:val="fr-FR"/>
        </w:rPr>
        <w:t>Virkningsmekanisme</w:t>
      </w:r>
    </w:p>
    <w:p w14:paraId="3A4AC178" w14:textId="77777777" w:rsidR="006E00B5" w:rsidRPr="006E00B5" w:rsidRDefault="006E00B5" w:rsidP="009958AF">
      <w:pPr>
        <w:ind w:left="851"/>
        <w:rPr>
          <w:sz w:val="24"/>
          <w:szCs w:val="24"/>
        </w:rPr>
      </w:pPr>
      <w:r w:rsidRPr="006E00B5">
        <w:rPr>
          <w:sz w:val="24"/>
          <w:szCs w:val="24"/>
        </w:rPr>
        <w:t>Progesteron er et naturligt forekommende steroid, der udskilles af ovarierne, placenta og binyrerne. Ved tilstedeværelse af tilstrækkeligt østrogen omdanner progesteron et proliferativt endometrium til et sekretorisk endometrium. Progesteron er nødvendigt for at øge endometriets modtagelighed for implantation af et embryo. Når et embryo er implanteret, virker progesteron ved at opretholde graviditeten.</w:t>
      </w:r>
    </w:p>
    <w:p w14:paraId="60ECF14F" w14:textId="77777777" w:rsidR="006E00B5" w:rsidRPr="006E00B5" w:rsidRDefault="006E00B5" w:rsidP="009958AF">
      <w:pPr>
        <w:ind w:left="851"/>
        <w:rPr>
          <w:sz w:val="24"/>
          <w:szCs w:val="24"/>
        </w:rPr>
      </w:pPr>
    </w:p>
    <w:p w14:paraId="7CF23FEF" w14:textId="77777777" w:rsidR="006E00B5" w:rsidRPr="006E00B5" w:rsidRDefault="006E00B5" w:rsidP="009958AF">
      <w:pPr>
        <w:ind w:left="851"/>
        <w:rPr>
          <w:sz w:val="24"/>
          <w:szCs w:val="24"/>
          <w:u w:val="single"/>
        </w:rPr>
      </w:pPr>
      <w:r w:rsidRPr="006E00B5">
        <w:rPr>
          <w:sz w:val="24"/>
          <w:szCs w:val="24"/>
          <w:u w:val="single"/>
        </w:rPr>
        <w:t>Klinisk virkning og sikkerhed</w:t>
      </w:r>
    </w:p>
    <w:p w14:paraId="748BA4AA" w14:textId="4A203DB7" w:rsidR="006E00B5" w:rsidRPr="006E00B5" w:rsidRDefault="006E00B5" w:rsidP="009958AF">
      <w:pPr>
        <w:ind w:left="851"/>
        <w:rPr>
          <w:sz w:val="24"/>
          <w:szCs w:val="24"/>
        </w:rPr>
      </w:pPr>
      <w:r w:rsidRPr="006E00B5">
        <w:rPr>
          <w:sz w:val="24"/>
          <w:szCs w:val="24"/>
        </w:rPr>
        <w:t>Løbende graviditetsrater efter 10 ugers luteal støtte med dette lægemiddel 25 mg/dag (N</w:t>
      </w:r>
      <w:r w:rsidR="00B008C1">
        <w:rPr>
          <w:sz w:val="24"/>
          <w:szCs w:val="24"/>
        </w:rPr>
        <w:t> </w:t>
      </w:r>
      <w:r w:rsidRPr="006E00B5">
        <w:rPr>
          <w:sz w:val="24"/>
          <w:szCs w:val="24"/>
        </w:rPr>
        <w:t>=</w:t>
      </w:r>
      <w:r w:rsidR="00B008C1">
        <w:rPr>
          <w:sz w:val="24"/>
          <w:szCs w:val="24"/>
        </w:rPr>
        <w:t> </w:t>
      </w:r>
      <w:r w:rsidRPr="006E00B5">
        <w:rPr>
          <w:sz w:val="24"/>
          <w:szCs w:val="24"/>
        </w:rPr>
        <w:t>318) hos patienter, der havde fået foretaget embryotransfer i et klinisk fase III-forsøg, var 29,25 % (95 % CI: 24,25 - 34,25).</w:t>
      </w:r>
    </w:p>
    <w:p w14:paraId="2C38FCE1" w14:textId="77777777" w:rsidR="006E00B5" w:rsidRPr="006E00B5" w:rsidRDefault="006E00B5" w:rsidP="009958AF">
      <w:pPr>
        <w:ind w:left="851"/>
        <w:rPr>
          <w:sz w:val="24"/>
          <w:szCs w:val="24"/>
        </w:rPr>
      </w:pPr>
    </w:p>
    <w:p w14:paraId="214A059A" w14:textId="77777777" w:rsidR="006E00B5" w:rsidRPr="006E00B5" w:rsidRDefault="006E00B5" w:rsidP="009958AF">
      <w:pPr>
        <w:ind w:left="851"/>
        <w:rPr>
          <w:sz w:val="24"/>
          <w:szCs w:val="24"/>
          <w:u w:val="single"/>
        </w:rPr>
      </w:pPr>
      <w:r w:rsidRPr="006E00B5">
        <w:rPr>
          <w:sz w:val="24"/>
          <w:szCs w:val="24"/>
          <w:u w:val="single"/>
        </w:rPr>
        <w:t>Pædiatrisk population</w:t>
      </w:r>
    </w:p>
    <w:p w14:paraId="2FC5B1D3" w14:textId="77777777" w:rsidR="006E00B5" w:rsidRPr="006E00B5" w:rsidRDefault="006E00B5" w:rsidP="009958AF">
      <w:pPr>
        <w:ind w:left="851"/>
        <w:rPr>
          <w:sz w:val="24"/>
          <w:szCs w:val="24"/>
        </w:rPr>
      </w:pPr>
      <w:r w:rsidRPr="006E00B5">
        <w:rPr>
          <w:sz w:val="24"/>
          <w:szCs w:val="24"/>
        </w:rPr>
        <w:t>Det Europæiske Lægemiddelagentur har dispenseret fra kravet om at fremlægge resultaterne af studier med referencelægemidlet indeholdende progesteron i alle undergrupper af den pædiatriske population for den godkendte indikation (se pkt. 4.2 vedrørende information om pædiatrisk anvendelse).</w:t>
      </w:r>
    </w:p>
    <w:p w14:paraId="30C44890" w14:textId="77777777" w:rsidR="009260DE" w:rsidRPr="00B008C1" w:rsidRDefault="009260DE" w:rsidP="009260DE">
      <w:pPr>
        <w:tabs>
          <w:tab w:val="left" w:pos="851"/>
        </w:tabs>
        <w:ind w:left="851"/>
        <w:rPr>
          <w:sz w:val="24"/>
          <w:szCs w:val="24"/>
        </w:rPr>
      </w:pPr>
    </w:p>
    <w:p w14:paraId="752077CD" w14:textId="77777777" w:rsidR="009260DE" w:rsidRPr="00B008C1" w:rsidRDefault="009260DE" w:rsidP="009260DE">
      <w:pPr>
        <w:tabs>
          <w:tab w:val="left" w:pos="851"/>
        </w:tabs>
        <w:ind w:left="851" w:hanging="851"/>
        <w:rPr>
          <w:b/>
          <w:sz w:val="24"/>
          <w:szCs w:val="24"/>
        </w:rPr>
      </w:pPr>
      <w:r w:rsidRPr="00B008C1">
        <w:rPr>
          <w:b/>
          <w:sz w:val="24"/>
          <w:szCs w:val="24"/>
        </w:rPr>
        <w:t>5.2</w:t>
      </w:r>
      <w:r w:rsidRPr="00B008C1">
        <w:rPr>
          <w:b/>
          <w:sz w:val="24"/>
          <w:szCs w:val="24"/>
        </w:rPr>
        <w:tab/>
        <w:t>Farmakokinetiske egenskaber</w:t>
      </w:r>
    </w:p>
    <w:p w14:paraId="6D0308BE" w14:textId="77777777" w:rsidR="00B008C1" w:rsidRDefault="00B008C1" w:rsidP="009958AF">
      <w:pPr>
        <w:ind w:left="851"/>
        <w:rPr>
          <w:sz w:val="24"/>
          <w:szCs w:val="24"/>
          <w:u w:val="single"/>
        </w:rPr>
      </w:pPr>
    </w:p>
    <w:p w14:paraId="4F5526BE" w14:textId="241FA4D3" w:rsidR="006E00B5" w:rsidRPr="006E00B5" w:rsidRDefault="006E00B5" w:rsidP="009958AF">
      <w:pPr>
        <w:ind w:left="851"/>
        <w:rPr>
          <w:sz w:val="24"/>
          <w:szCs w:val="24"/>
          <w:u w:val="single"/>
        </w:rPr>
      </w:pPr>
      <w:r w:rsidRPr="006E00B5">
        <w:rPr>
          <w:sz w:val="24"/>
          <w:szCs w:val="24"/>
          <w:u w:val="single"/>
        </w:rPr>
        <w:t>Absorption</w:t>
      </w:r>
    </w:p>
    <w:p w14:paraId="10BC188C" w14:textId="287355EA" w:rsidR="006E00B5" w:rsidRPr="006E00B5" w:rsidRDefault="006E00B5" w:rsidP="009958AF">
      <w:pPr>
        <w:ind w:left="851"/>
        <w:rPr>
          <w:iCs/>
          <w:sz w:val="24"/>
          <w:szCs w:val="24"/>
        </w:rPr>
      </w:pPr>
      <w:bookmarkStart w:id="0" w:name="_Hlk180666228"/>
      <w:r w:rsidRPr="006E00B5">
        <w:rPr>
          <w:iCs/>
          <w:sz w:val="24"/>
          <w:szCs w:val="24"/>
        </w:rPr>
        <w:t>Progesteronserumkoncentrationer steg efter subkutan (s.c.) administration af 25 mg af dette lægemiddel til 12 raske postmenopausale kvinder. En time efter administration af en enkelt s.c.-dosis var den gennemsnitlige C</w:t>
      </w:r>
      <w:r w:rsidRPr="006E00B5">
        <w:rPr>
          <w:iCs/>
          <w:sz w:val="24"/>
          <w:szCs w:val="24"/>
          <w:vertAlign w:val="subscript"/>
        </w:rPr>
        <w:t>max</w:t>
      </w:r>
      <w:r w:rsidRPr="006E00B5">
        <w:rPr>
          <w:iCs/>
          <w:sz w:val="24"/>
          <w:szCs w:val="24"/>
        </w:rPr>
        <w:t xml:space="preserve"> 50,7 ± 16,3 ng/ml. Progesteronserum</w:t>
      </w:r>
      <w:r w:rsidR="00B008C1" w:rsidRPr="00B008C1">
        <w:rPr>
          <w:iCs/>
          <w:sz w:val="24"/>
          <w:szCs w:val="24"/>
        </w:rPr>
        <w:softHyphen/>
      </w:r>
      <w:r w:rsidRPr="006E00B5">
        <w:rPr>
          <w:iCs/>
          <w:sz w:val="24"/>
          <w:szCs w:val="24"/>
        </w:rPr>
        <w:t>koncentrationen faldt efter et monoeksponentielt henfald, og tolv timer efter administration var den gennemsnitlige koncentration 6,6 ± 1,6 ng/ml. Den minimale serumkoncentration, 1,4 ± 0,5 ng/ml, blev nået ved 96 timer. Farmakokinetisk analyse viste linearitet af de tre testede s.c.-doser (25 mg, 50 mg og 100 mg).</w:t>
      </w:r>
    </w:p>
    <w:p w14:paraId="1B067E51" w14:textId="77777777" w:rsidR="006E00B5" w:rsidRPr="006E00B5" w:rsidRDefault="006E00B5" w:rsidP="009958AF">
      <w:pPr>
        <w:ind w:left="851"/>
        <w:rPr>
          <w:iCs/>
          <w:sz w:val="24"/>
          <w:szCs w:val="24"/>
        </w:rPr>
      </w:pPr>
    </w:p>
    <w:p w14:paraId="63289987" w14:textId="77777777" w:rsidR="006E00B5" w:rsidRPr="006E00B5" w:rsidRDefault="006E00B5" w:rsidP="009958AF">
      <w:pPr>
        <w:ind w:left="851"/>
        <w:rPr>
          <w:iCs/>
          <w:sz w:val="24"/>
          <w:szCs w:val="24"/>
        </w:rPr>
      </w:pPr>
      <w:r w:rsidRPr="006E00B5">
        <w:rPr>
          <w:iCs/>
          <w:sz w:val="24"/>
          <w:szCs w:val="24"/>
        </w:rPr>
        <w:t>Efter multiple doser på 25 mg dagligt administreret subkutant blev steady state-koncentrationer opnået inden for cirka 2 dage efter behandling med dette lægemiddel. Dalværdier på 4,8 ± 1,1 ng/ml blev observeret med AUC-værdier på 346,9 ± 41,9 ng*time/ml på dag 11.</w:t>
      </w:r>
    </w:p>
    <w:p w14:paraId="2796C169" w14:textId="77777777" w:rsidR="006E00B5" w:rsidRPr="006E00B5" w:rsidRDefault="006E00B5" w:rsidP="009958AF">
      <w:pPr>
        <w:ind w:left="851"/>
        <w:rPr>
          <w:iCs/>
          <w:sz w:val="24"/>
          <w:szCs w:val="24"/>
        </w:rPr>
      </w:pPr>
    </w:p>
    <w:p w14:paraId="5D86AC2A" w14:textId="77777777" w:rsidR="006E00B5" w:rsidRPr="006E00B5" w:rsidRDefault="006E00B5" w:rsidP="009958AF">
      <w:pPr>
        <w:ind w:left="851"/>
        <w:rPr>
          <w:sz w:val="24"/>
          <w:szCs w:val="24"/>
          <w:u w:val="single"/>
        </w:rPr>
      </w:pPr>
      <w:r w:rsidRPr="006E00B5">
        <w:rPr>
          <w:sz w:val="24"/>
          <w:szCs w:val="24"/>
          <w:u w:val="single"/>
        </w:rPr>
        <w:t>Fordeling</w:t>
      </w:r>
    </w:p>
    <w:p w14:paraId="1287AAFE" w14:textId="67F13FEC" w:rsidR="006E00B5" w:rsidRPr="006E00B5" w:rsidRDefault="006E00B5" w:rsidP="009958AF">
      <w:pPr>
        <w:ind w:left="851"/>
        <w:rPr>
          <w:iCs/>
          <w:sz w:val="24"/>
          <w:szCs w:val="24"/>
        </w:rPr>
      </w:pPr>
      <w:r w:rsidRPr="006E00B5">
        <w:rPr>
          <w:iCs/>
          <w:sz w:val="24"/>
          <w:szCs w:val="24"/>
        </w:rPr>
        <w:t>Hos mennesker er 96-99 % af progesteron bundet til serumproteiner som albumin (50-54</w:t>
      </w:r>
      <w:r w:rsidR="00B008C1">
        <w:rPr>
          <w:iCs/>
          <w:sz w:val="24"/>
          <w:szCs w:val="24"/>
        </w:rPr>
        <w:t> </w:t>
      </w:r>
      <w:r w:rsidRPr="006E00B5">
        <w:rPr>
          <w:iCs/>
          <w:sz w:val="24"/>
          <w:szCs w:val="24"/>
        </w:rPr>
        <w:t>%) eller transcortin (43-48 %), og resten er frit i plasmaet. På grund af dets lipidopløselighed bevæger progesteron sig fra blodbanen til målcellerne ved passiv diffusion.</w:t>
      </w:r>
    </w:p>
    <w:p w14:paraId="79B77CAE" w14:textId="77777777" w:rsidR="006E00B5" w:rsidRPr="006E00B5" w:rsidRDefault="006E00B5" w:rsidP="009958AF">
      <w:pPr>
        <w:ind w:left="851"/>
        <w:rPr>
          <w:iCs/>
          <w:sz w:val="24"/>
          <w:szCs w:val="24"/>
        </w:rPr>
      </w:pPr>
    </w:p>
    <w:p w14:paraId="0F371813" w14:textId="77777777" w:rsidR="006E00B5" w:rsidRPr="006E00B5" w:rsidRDefault="006E00B5" w:rsidP="009958AF">
      <w:pPr>
        <w:ind w:left="851"/>
        <w:rPr>
          <w:sz w:val="24"/>
          <w:szCs w:val="24"/>
          <w:u w:val="single"/>
        </w:rPr>
      </w:pPr>
      <w:r w:rsidRPr="006E00B5">
        <w:rPr>
          <w:sz w:val="24"/>
          <w:szCs w:val="24"/>
          <w:u w:val="single"/>
        </w:rPr>
        <w:t>Biotransformation</w:t>
      </w:r>
    </w:p>
    <w:p w14:paraId="4FA343EE" w14:textId="77777777" w:rsidR="006E00B5" w:rsidRPr="006E00B5" w:rsidRDefault="006E00B5" w:rsidP="009958AF">
      <w:pPr>
        <w:ind w:left="851"/>
        <w:rPr>
          <w:iCs/>
          <w:sz w:val="24"/>
          <w:szCs w:val="24"/>
        </w:rPr>
      </w:pPr>
      <w:r w:rsidRPr="006E00B5">
        <w:rPr>
          <w:iCs/>
          <w:sz w:val="24"/>
          <w:szCs w:val="24"/>
        </w:rPr>
        <w:t>Progesteron metaboliseres primært i leveren, hovedsageligt til pregnandioler og pregnanoloner. Pregnandioler og pregnanoloner konjugeres i leveren til glucuronid- og sulfatmetabolitter. Progesteronmetabolitter, der udskilles i galden, kan dekonjugeres og kan yderligere metaboliseres i tarmen via reduktion, dehydroxylering og epimerisering.</w:t>
      </w:r>
    </w:p>
    <w:p w14:paraId="4571CFB0" w14:textId="77777777" w:rsidR="006E00B5" w:rsidRPr="006E00B5" w:rsidRDefault="006E00B5" w:rsidP="009958AF">
      <w:pPr>
        <w:ind w:left="851"/>
        <w:rPr>
          <w:iCs/>
          <w:sz w:val="24"/>
          <w:szCs w:val="24"/>
        </w:rPr>
      </w:pPr>
    </w:p>
    <w:p w14:paraId="3A395EB1" w14:textId="77777777" w:rsidR="006E00B5" w:rsidRPr="006E00B5" w:rsidRDefault="006E00B5" w:rsidP="009958AF">
      <w:pPr>
        <w:ind w:left="851"/>
        <w:rPr>
          <w:sz w:val="24"/>
          <w:szCs w:val="24"/>
          <w:u w:val="single"/>
        </w:rPr>
      </w:pPr>
      <w:r w:rsidRPr="006E00B5">
        <w:rPr>
          <w:sz w:val="24"/>
          <w:szCs w:val="24"/>
          <w:u w:val="single"/>
        </w:rPr>
        <w:t>Elimination</w:t>
      </w:r>
    </w:p>
    <w:p w14:paraId="45F27847" w14:textId="77777777" w:rsidR="006E00B5" w:rsidRPr="006E00B5" w:rsidRDefault="006E00B5" w:rsidP="009958AF">
      <w:pPr>
        <w:ind w:left="851"/>
        <w:rPr>
          <w:sz w:val="24"/>
          <w:szCs w:val="24"/>
          <w:u w:val="single"/>
        </w:rPr>
      </w:pPr>
      <w:r w:rsidRPr="006E00B5">
        <w:rPr>
          <w:iCs/>
          <w:sz w:val="24"/>
          <w:szCs w:val="24"/>
        </w:rPr>
        <w:t>Progesteron elimineres via nyrerne og galden.</w:t>
      </w:r>
      <w:bookmarkEnd w:id="0"/>
    </w:p>
    <w:p w14:paraId="2FF8B6DA" w14:textId="77777777" w:rsidR="009260DE" w:rsidRPr="00B008C1" w:rsidRDefault="009260DE" w:rsidP="009260DE">
      <w:pPr>
        <w:tabs>
          <w:tab w:val="left" w:pos="851"/>
        </w:tabs>
        <w:ind w:left="851"/>
        <w:rPr>
          <w:sz w:val="24"/>
          <w:szCs w:val="24"/>
        </w:rPr>
      </w:pPr>
    </w:p>
    <w:p w14:paraId="738BA02F" w14:textId="77777777" w:rsidR="009260DE" w:rsidRPr="00B008C1" w:rsidRDefault="009260DE" w:rsidP="009260DE">
      <w:pPr>
        <w:tabs>
          <w:tab w:val="left" w:pos="851"/>
        </w:tabs>
        <w:ind w:left="851" w:hanging="851"/>
        <w:rPr>
          <w:b/>
          <w:sz w:val="24"/>
          <w:szCs w:val="24"/>
        </w:rPr>
      </w:pPr>
      <w:r w:rsidRPr="00B008C1">
        <w:rPr>
          <w:b/>
          <w:sz w:val="24"/>
          <w:szCs w:val="24"/>
        </w:rPr>
        <w:t>5.3</w:t>
      </w:r>
      <w:r w:rsidRPr="00B008C1">
        <w:rPr>
          <w:b/>
          <w:sz w:val="24"/>
          <w:szCs w:val="24"/>
        </w:rPr>
        <w:tab/>
      </w:r>
      <w:r w:rsidR="00BD7931" w:rsidRPr="00B008C1">
        <w:rPr>
          <w:b/>
          <w:sz w:val="24"/>
          <w:szCs w:val="24"/>
        </w:rPr>
        <w:t>Non-</w:t>
      </w:r>
      <w:r w:rsidRPr="00B008C1">
        <w:rPr>
          <w:b/>
          <w:sz w:val="24"/>
          <w:szCs w:val="24"/>
        </w:rPr>
        <w:t>kliniske sikkerhedsdata</w:t>
      </w:r>
    </w:p>
    <w:p w14:paraId="53FC7299" w14:textId="67DFF88F" w:rsidR="006E00B5" w:rsidRPr="006E00B5" w:rsidRDefault="006E00B5" w:rsidP="009958AF">
      <w:pPr>
        <w:ind w:left="851"/>
        <w:rPr>
          <w:iCs/>
          <w:sz w:val="24"/>
          <w:szCs w:val="24"/>
        </w:rPr>
      </w:pPr>
      <w:r w:rsidRPr="006E00B5">
        <w:rPr>
          <w:iCs/>
          <w:sz w:val="24"/>
          <w:szCs w:val="24"/>
        </w:rPr>
        <w:t xml:space="preserve">Kaniner blev behandlet med 6,7 mg/kg/dag af dette lægemiddel i op til 7 på hinanden følgende dage ved s.c.- og i.m.-injektion. Ingen relevant effekt, som kunne tilskrives behandling med Progesteron </w:t>
      </w:r>
      <w:r w:rsidR="00120176">
        <w:rPr>
          <w:iCs/>
          <w:sz w:val="24"/>
          <w:szCs w:val="24"/>
        </w:rPr>
        <w:t>"</w:t>
      </w:r>
      <w:r w:rsidRPr="006E00B5">
        <w:rPr>
          <w:iCs/>
          <w:sz w:val="24"/>
          <w:szCs w:val="24"/>
        </w:rPr>
        <w:t>Laboratorios Farmalan</w:t>
      </w:r>
      <w:r w:rsidR="00120176">
        <w:rPr>
          <w:iCs/>
          <w:sz w:val="24"/>
          <w:szCs w:val="24"/>
        </w:rPr>
        <w:t>"</w:t>
      </w:r>
      <w:r w:rsidRPr="006E00B5">
        <w:rPr>
          <w:iCs/>
          <w:sz w:val="24"/>
          <w:szCs w:val="24"/>
        </w:rPr>
        <w:t xml:space="preserve"> via den s.c. administrationsvej, blev observeret ved lokal, makroskopisk og histopatologisk undersøgelse.</w:t>
      </w:r>
    </w:p>
    <w:p w14:paraId="16C53818" w14:textId="77777777" w:rsidR="006E00B5" w:rsidRPr="006E00B5" w:rsidRDefault="006E00B5" w:rsidP="009958AF">
      <w:pPr>
        <w:ind w:left="851"/>
        <w:rPr>
          <w:iCs/>
          <w:sz w:val="24"/>
          <w:szCs w:val="24"/>
        </w:rPr>
      </w:pPr>
    </w:p>
    <w:p w14:paraId="2705A266" w14:textId="7ADAB533" w:rsidR="006E00B5" w:rsidRPr="006E00B5" w:rsidRDefault="006E00B5" w:rsidP="009958AF">
      <w:pPr>
        <w:ind w:left="851"/>
        <w:rPr>
          <w:iCs/>
          <w:sz w:val="24"/>
          <w:szCs w:val="24"/>
        </w:rPr>
      </w:pPr>
      <w:r w:rsidRPr="006E00B5">
        <w:rPr>
          <w:iCs/>
          <w:sz w:val="24"/>
          <w:szCs w:val="24"/>
        </w:rPr>
        <w:t xml:space="preserve">Ved lokale undersøgelser havde dyr, der fik vehikel og progesteron via i.m.-ruten i 7 dage, let lokal reaktion såsom hæmatom eller rød induration af musklen. En højere forekomst af ødem blev observeret hos dyr behandlet med dette lægemiddel. Disse tegn blev korreleret med lokal vævsnekrose og makrofagrespons ved histopatologisk undersøgelse. Moderat fibrose var associeret med intramuskulær administration af Progesteron </w:t>
      </w:r>
      <w:r w:rsidR="00120176">
        <w:rPr>
          <w:iCs/>
          <w:sz w:val="24"/>
          <w:szCs w:val="24"/>
        </w:rPr>
        <w:t>"</w:t>
      </w:r>
      <w:r w:rsidRPr="006E00B5">
        <w:rPr>
          <w:iCs/>
          <w:sz w:val="24"/>
          <w:szCs w:val="24"/>
        </w:rPr>
        <w:t>Laboratorios Farmalan</w:t>
      </w:r>
      <w:r w:rsidR="00120176">
        <w:rPr>
          <w:iCs/>
          <w:sz w:val="24"/>
          <w:szCs w:val="24"/>
        </w:rPr>
        <w:t>"</w:t>
      </w:r>
      <w:r w:rsidRPr="006E00B5">
        <w:rPr>
          <w:iCs/>
          <w:sz w:val="24"/>
          <w:szCs w:val="24"/>
        </w:rPr>
        <w:t xml:space="preserve"> efter observationsperioden på syv dage efter behandling. Ingen af de observerede histologiske ændringer var dog udtalte eller omfattende.</w:t>
      </w:r>
    </w:p>
    <w:p w14:paraId="1E33E6F1" w14:textId="77777777" w:rsidR="006E00B5" w:rsidRPr="006E00B5" w:rsidRDefault="006E00B5" w:rsidP="009958AF">
      <w:pPr>
        <w:ind w:left="851"/>
        <w:rPr>
          <w:iCs/>
          <w:sz w:val="24"/>
          <w:szCs w:val="24"/>
        </w:rPr>
      </w:pPr>
    </w:p>
    <w:p w14:paraId="482F74C1" w14:textId="769F339D" w:rsidR="006E00B5" w:rsidRPr="006E00B5" w:rsidRDefault="006E00B5" w:rsidP="009958AF">
      <w:pPr>
        <w:ind w:left="851"/>
        <w:rPr>
          <w:iCs/>
          <w:sz w:val="24"/>
          <w:szCs w:val="24"/>
        </w:rPr>
      </w:pPr>
      <w:r w:rsidRPr="006E00B5">
        <w:rPr>
          <w:iCs/>
          <w:sz w:val="24"/>
          <w:szCs w:val="24"/>
        </w:rPr>
        <w:t>Et længerevarende studie blev udført med administration af dette lægemiddel i doser på 1</w:t>
      </w:r>
      <w:r w:rsidR="00120176">
        <w:rPr>
          <w:iCs/>
          <w:sz w:val="24"/>
          <w:szCs w:val="24"/>
        </w:rPr>
        <w:t> </w:t>
      </w:r>
      <w:r w:rsidRPr="006E00B5">
        <w:rPr>
          <w:iCs/>
          <w:sz w:val="24"/>
          <w:szCs w:val="24"/>
        </w:rPr>
        <w:t>mg/kg/dag s.c. eller 4 mg/kg/dag i.m. Der blev ikke registreret toksikologisk vigtige kliniske tegn, og de mindre tegn, der blev observeret, var generelt sammenlignelige med dem, der sås hos dyr, som fik vehikel. Histopatologisk undersøgelse af injektionsstederne efter 28 dages behandling identificerede mindre ændringer; disse var generelt sammenlignelige med dem, der sås hos dyr, som fik vehikel. Efter observationsperioden efter behandling (14 dage) var der ingen ændringer forbundet med injektion af dette lægemiddel.</w:t>
      </w:r>
    </w:p>
    <w:p w14:paraId="5F9EFBB5" w14:textId="77777777" w:rsidR="006E00B5" w:rsidRPr="006E00B5" w:rsidRDefault="006E00B5" w:rsidP="009958AF">
      <w:pPr>
        <w:ind w:left="851"/>
        <w:rPr>
          <w:iCs/>
          <w:sz w:val="24"/>
          <w:szCs w:val="24"/>
        </w:rPr>
      </w:pPr>
    </w:p>
    <w:p w14:paraId="712B48A9" w14:textId="77777777" w:rsidR="006E00B5" w:rsidRPr="006E00B5" w:rsidRDefault="006E00B5" w:rsidP="009958AF">
      <w:pPr>
        <w:ind w:left="851"/>
        <w:rPr>
          <w:iCs/>
          <w:sz w:val="24"/>
          <w:szCs w:val="24"/>
        </w:rPr>
      </w:pPr>
      <w:r w:rsidRPr="006E00B5">
        <w:rPr>
          <w:iCs/>
          <w:sz w:val="24"/>
          <w:szCs w:val="24"/>
        </w:rPr>
        <w:t>Andre prækliniske studier har ikke vist andre effekter end dem, der kan forklares ud fra progesterons kendte hormonprofil. Det bør dog erindres, at kønssteroider såsom progesteron kan fremme væksten af visse hormonafhængige væv og tumorer.</w:t>
      </w:r>
    </w:p>
    <w:p w14:paraId="248F698B" w14:textId="77777777" w:rsidR="006E00B5" w:rsidRPr="006E00B5" w:rsidRDefault="006E00B5" w:rsidP="009958AF">
      <w:pPr>
        <w:ind w:left="851"/>
        <w:rPr>
          <w:iCs/>
          <w:sz w:val="24"/>
          <w:szCs w:val="24"/>
        </w:rPr>
      </w:pPr>
    </w:p>
    <w:p w14:paraId="2CD0AD93" w14:textId="77777777" w:rsidR="006E00B5" w:rsidRPr="006E00B5" w:rsidRDefault="006E00B5" w:rsidP="009958AF">
      <w:pPr>
        <w:ind w:left="851"/>
        <w:rPr>
          <w:sz w:val="24"/>
          <w:szCs w:val="24"/>
          <w:u w:val="single"/>
        </w:rPr>
      </w:pPr>
      <w:r w:rsidRPr="006E00B5">
        <w:rPr>
          <w:sz w:val="24"/>
          <w:szCs w:val="24"/>
          <w:u w:val="single"/>
        </w:rPr>
        <w:t>Miljørisikovurdering (ERA)</w:t>
      </w:r>
    </w:p>
    <w:p w14:paraId="5C9F9D18" w14:textId="77777777" w:rsidR="006E00B5" w:rsidRPr="006E00B5" w:rsidRDefault="006E00B5" w:rsidP="009958AF">
      <w:pPr>
        <w:ind w:left="851"/>
        <w:rPr>
          <w:sz w:val="24"/>
          <w:szCs w:val="24"/>
        </w:rPr>
      </w:pPr>
      <w:r w:rsidRPr="006E00B5">
        <w:rPr>
          <w:sz w:val="24"/>
          <w:szCs w:val="24"/>
        </w:rPr>
        <w:t>Miljørisikovurderingsstudier har vist, at progesteron kan udgøre en risiko for vandmiljøet.</w:t>
      </w:r>
    </w:p>
    <w:p w14:paraId="18187C19" w14:textId="77777777" w:rsidR="009260DE" w:rsidRPr="00B008C1" w:rsidRDefault="009260DE" w:rsidP="009260DE">
      <w:pPr>
        <w:tabs>
          <w:tab w:val="left" w:pos="851"/>
        </w:tabs>
        <w:ind w:left="851"/>
        <w:rPr>
          <w:sz w:val="24"/>
          <w:szCs w:val="24"/>
        </w:rPr>
      </w:pPr>
    </w:p>
    <w:p w14:paraId="7E5D8B11" w14:textId="77777777" w:rsidR="009260DE" w:rsidRPr="00B008C1" w:rsidRDefault="009260DE" w:rsidP="009260DE">
      <w:pPr>
        <w:tabs>
          <w:tab w:val="left" w:pos="851"/>
        </w:tabs>
        <w:ind w:left="851"/>
        <w:rPr>
          <w:sz w:val="24"/>
          <w:szCs w:val="24"/>
        </w:rPr>
      </w:pPr>
    </w:p>
    <w:p w14:paraId="65AD1006" w14:textId="77777777" w:rsidR="009260DE" w:rsidRPr="00B008C1" w:rsidRDefault="009260DE" w:rsidP="009260DE">
      <w:pPr>
        <w:tabs>
          <w:tab w:val="left" w:pos="851"/>
        </w:tabs>
        <w:ind w:left="851" w:hanging="851"/>
        <w:rPr>
          <w:b/>
          <w:sz w:val="24"/>
          <w:szCs w:val="24"/>
        </w:rPr>
      </w:pPr>
      <w:r w:rsidRPr="00B008C1">
        <w:rPr>
          <w:b/>
          <w:sz w:val="24"/>
          <w:szCs w:val="24"/>
        </w:rPr>
        <w:t>6.</w:t>
      </w:r>
      <w:r w:rsidRPr="00B008C1">
        <w:rPr>
          <w:b/>
          <w:sz w:val="24"/>
          <w:szCs w:val="24"/>
        </w:rPr>
        <w:tab/>
        <w:t>FARMACEUTISKE OPLYSNINGER</w:t>
      </w:r>
    </w:p>
    <w:p w14:paraId="3B4C91F8" w14:textId="77777777" w:rsidR="009260DE" w:rsidRPr="00B008C1" w:rsidRDefault="009260DE" w:rsidP="009260DE">
      <w:pPr>
        <w:tabs>
          <w:tab w:val="left" w:pos="851"/>
        </w:tabs>
        <w:ind w:left="851"/>
        <w:rPr>
          <w:sz w:val="24"/>
          <w:szCs w:val="24"/>
        </w:rPr>
      </w:pPr>
    </w:p>
    <w:p w14:paraId="03889E21" w14:textId="77777777" w:rsidR="009260DE" w:rsidRPr="00B008C1" w:rsidRDefault="009260DE" w:rsidP="009260DE">
      <w:pPr>
        <w:tabs>
          <w:tab w:val="left" w:pos="851"/>
        </w:tabs>
        <w:ind w:left="851" w:hanging="851"/>
        <w:rPr>
          <w:b/>
          <w:sz w:val="24"/>
          <w:szCs w:val="24"/>
        </w:rPr>
      </w:pPr>
      <w:r w:rsidRPr="00B008C1">
        <w:rPr>
          <w:b/>
          <w:sz w:val="24"/>
          <w:szCs w:val="24"/>
        </w:rPr>
        <w:t>6.1</w:t>
      </w:r>
      <w:r w:rsidRPr="00B008C1">
        <w:rPr>
          <w:b/>
          <w:sz w:val="24"/>
          <w:szCs w:val="24"/>
        </w:rPr>
        <w:tab/>
        <w:t>Hjælpestoffer</w:t>
      </w:r>
    </w:p>
    <w:p w14:paraId="732FCA22" w14:textId="77777777" w:rsidR="006E00B5" w:rsidRPr="006E00B5" w:rsidRDefault="006E00B5" w:rsidP="009958AF">
      <w:pPr>
        <w:ind w:left="851"/>
        <w:rPr>
          <w:sz w:val="24"/>
          <w:szCs w:val="24"/>
        </w:rPr>
      </w:pPr>
      <w:r w:rsidRPr="006E00B5">
        <w:rPr>
          <w:sz w:val="24"/>
          <w:szCs w:val="24"/>
        </w:rPr>
        <w:t>Hydroxypropylbetadex</w:t>
      </w:r>
    </w:p>
    <w:p w14:paraId="0B6A7084" w14:textId="77777777" w:rsidR="006E00B5" w:rsidRPr="006E00B5" w:rsidRDefault="006E00B5" w:rsidP="009958AF">
      <w:pPr>
        <w:ind w:left="851"/>
        <w:rPr>
          <w:sz w:val="24"/>
          <w:szCs w:val="24"/>
        </w:rPr>
      </w:pPr>
      <w:r w:rsidRPr="006E00B5">
        <w:rPr>
          <w:sz w:val="24"/>
          <w:szCs w:val="24"/>
        </w:rPr>
        <w:t>Vand til injektionsvæsker</w:t>
      </w:r>
    </w:p>
    <w:p w14:paraId="150F18F9" w14:textId="77777777" w:rsidR="009260DE" w:rsidRPr="00B008C1" w:rsidRDefault="009260DE" w:rsidP="009260DE">
      <w:pPr>
        <w:tabs>
          <w:tab w:val="left" w:pos="851"/>
        </w:tabs>
        <w:ind w:left="851"/>
        <w:rPr>
          <w:sz w:val="24"/>
          <w:szCs w:val="24"/>
        </w:rPr>
      </w:pPr>
    </w:p>
    <w:p w14:paraId="7F3DC55F" w14:textId="77777777" w:rsidR="009260DE" w:rsidRPr="00B008C1" w:rsidRDefault="009260DE" w:rsidP="009260DE">
      <w:pPr>
        <w:tabs>
          <w:tab w:val="left" w:pos="851"/>
        </w:tabs>
        <w:ind w:left="851" w:hanging="851"/>
        <w:rPr>
          <w:b/>
          <w:sz w:val="24"/>
          <w:szCs w:val="24"/>
        </w:rPr>
      </w:pPr>
      <w:r w:rsidRPr="00B008C1">
        <w:rPr>
          <w:b/>
          <w:sz w:val="24"/>
          <w:szCs w:val="24"/>
        </w:rPr>
        <w:t>6.2</w:t>
      </w:r>
      <w:r w:rsidRPr="00B008C1">
        <w:rPr>
          <w:b/>
          <w:sz w:val="24"/>
          <w:szCs w:val="24"/>
        </w:rPr>
        <w:tab/>
        <w:t>Uforligeligheder</w:t>
      </w:r>
    </w:p>
    <w:p w14:paraId="74A74225" w14:textId="77777777" w:rsidR="006E00B5" w:rsidRPr="006E00B5" w:rsidRDefault="006E00B5" w:rsidP="009958AF">
      <w:pPr>
        <w:ind w:left="851"/>
        <w:rPr>
          <w:sz w:val="24"/>
          <w:szCs w:val="24"/>
        </w:rPr>
      </w:pPr>
      <w:r w:rsidRPr="006E00B5">
        <w:rPr>
          <w:sz w:val="24"/>
          <w:szCs w:val="24"/>
        </w:rPr>
        <w:t>Ikke relevant.</w:t>
      </w:r>
    </w:p>
    <w:p w14:paraId="7A05ACBF" w14:textId="77777777" w:rsidR="009260DE" w:rsidRPr="00B008C1" w:rsidRDefault="009260DE" w:rsidP="009260DE">
      <w:pPr>
        <w:tabs>
          <w:tab w:val="left" w:pos="851"/>
        </w:tabs>
        <w:ind w:left="851"/>
        <w:rPr>
          <w:sz w:val="24"/>
          <w:szCs w:val="24"/>
        </w:rPr>
      </w:pPr>
    </w:p>
    <w:p w14:paraId="46C118E4" w14:textId="77777777" w:rsidR="009260DE" w:rsidRPr="00B008C1" w:rsidRDefault="009260DE" w:rsidP="009260DE">
      <w:pPr>
        <w:tabs>
          <w:tab w:val="left" w:pos="851"/>
        </w:tabs>
        <w:ind w:left="851" w:hanging="851"/>
        <w:rPr>
          <w:b/>
          <w:sz w:val="24"/>
          <w:szCs w:val="24"/>
        </w:rPr>
      </w:pPr>
      <w:r w:rsidRPr="00B008C1">
        <w:rPr>
          <w:b/>
          <w:sz w:val="24"/>
          <w:szCs w:val="24"/>
        </w:rPr>
        <w:t>6.3</w:t>
      </w:r>
      <w:r w:rsidRPr="00B008C1">
        <w:rPr>
          <w:b/>
          <w:sz w:val="24"/>
          <w:szCs w:val="24"/>
        </w:rPr>
        <w:tab/>
        <w:t>Opbevaringstid</w:t>
      </w:r>
    </w:p>
    <w:p w14:paraId="49BC7935" w14:textId="77777777" w:rsidR="006E00B5" w:rsidRPr="006E00B5" w:rsidRDefault="006E00B5" w:rsidP="009958AF">
      <w:pPr>
        <w:ind w:left="851"/>
        <w:rPr>
          <w:sz w:val="24"/>
          <w:szCs w:val="24"/>
        </w:rPr>
      </w:pPr>
      <w:r w:rsidRPr="006E00B5">
        <w:rPr>
          <w:sz w:val="24"/>
          <w:szCs w:val="24"/>
        </w:rPr>
        <w:t>1 år</w:t>
      </w:r>
    </w:p>
    <w:p w14:paraId="5E82D585" w14:textId="77777777" w:rsidR="006E00B5" w:rsidRPr="006E00B5" w:rsidRDefault="006E00B5" w:rsidP="009958AF">
      <w:pPr>
        <w:ind w:left="851"/>
        <w:rPr>
          <w:sz w:val="24"/>
          <w:szCs w:val="24"/>
        </w:rPr>
      </w:pPr>
    </w:p>
    <w:p w14:paraId="5C464567" w14:textId="77777777" w:rsidR="006E00B5" w:rsidRPr="006E00B5" w:rsidRDefault="006E00B5" w:rsidP="009958AF">
      <w:pPr>
        <w:ind w:left="851"/>
        <w:rPr>
          <w:sz w:val="24"/>
          <w:szCs w:val="24"/>
        </w:rPr>
      </w:pPr>
      <w:r w:rsidRPr="006E00B5">
        <w:rPr>
          <w:sz w:val="24"/>
          <w:szCs w:val="24"/>
        </w:rPr>
        <w:t>Lægemidlet skal anvendes umiddelbart efter første åbning: Eventuel resterende opløsning skal kasseres.</w:t>
      </w:r>
    </w:p>
    <w:p w14:paraId="7B96AD3C" w14:textId="548C07DE" w:rsidR="00120176" w:rsidRDefault="00120176">
      <w:pPr>
        <w:rPr>
          <w:sz w:val="24"/>
          <w:szCs w:val="24"/>
        </w:rPr>
      </w:pPr>
      <w:r>
        <w:rPr>
          <w:sz w:val="24"/>
          <w:szCs w:val="24"/>
        </w:rPr>
        <w:br w:type="page"/>
      </w:r>
    </w:p>
    <w:p w14:paraId="1B16B6FA" w14:textId="77777777" w:rsidR="009260DE" w:rsidRPr="00B008C1" w:rsidRDefault="009260DE" w:rsidP="009260DE">
      <w:pPr>
        <w:tabs>
          <w:tab w:val="left" w:pos="851"/>
        </w:tabs>
        <w:ind w:left="851"/>
        <w:rPr>
          <w:sz w:val="24"/>
          <w:szCs w:val="24"/>
        </w:rPr>
      </w:pPr>
    </w:p>
    <w:p w14:paraId="5E80E04A" w14:textId="77777777" w:rsidR="009260DE" w:rsidRPr="00B008C1" w:rsidRDefault="009260DE" w:rsidP="009260DE">
      <w:pPr>
        <w:tabs>
          <w:tab w:val="left" w:pos="851"/>
        </w:tabs>
        <w:ind w:left="851" w:hanging="851"/>
        <w:rPr>
          <w:b/>
          <w:sz w:val="24"/>
          <w:szCs w:val="24"/>
        </w:rPr>
      </w:pPr>
      <w:r w:rsidRPr="00B008C1">
        <w:rPr>
          <w:b/>
          <w:sz w:val="24"/>
          <w:szCs w:val="24"/>
        </w:rPr>
        <w:t>6.4</w:t>
      </w:r>
      <w:r w:rsidRPr="00B008C1">
        <w:rPr>
          <w:b/>
          <w:sz w:val="24"/>
          <w:szCs w:val="24"/>
        </w:rPr>
        <w:tab/>
        <w:t>Særlige opbevaringsforhold</w:t>
      </w:r>
    </w:p>
    <w:p w14:paraId="1AA49B36" w14:textId="77777777" w:rsidR="006E00B5" w:rsidRPr="006E00B5" w:rsidRDefault="006E00B5" w:rsidP="009958AF">
      <w:pPr>
        <w:ind w:left="851"/>
        <w:rPr>
          <w:sz w:val="24"/>
          <w:szCs w:val="24"/>
        </w:rPr>
      </w:pPr>
      <w:bookmarkStart w:id="1" w:name="_Hlk180679807"/>
      <w:r w:rsidRPr="006E00B5">
        <w:rPr>
          <w:sz w:val="24"/>
          <w:szCs w:val="24"/>
        </w:rPr>
        <w:t>Dette lægemiddel kræver ingen særlige forholdsregler vedrørende opbevaringstemperatur. Må ikke opbevares i køleskab eller nedfryses.</w:t>
      </w:r>
    </w:p>
    <w:p w14:paraId="37E33538" w14:textId="77777777" w:rsidR="006E00B5" w:rsidRPr="006E00B5" w:rsidRDefault="006E00B5" w:rsidP="009958AF">
      <w:pPr>
        <w:ind w:left="851"/>
        <w:rPr>
          <w:sz w:val="24"/>
          <w:szCs w:val="24"/>
        </w:rPr>
      </w:pPr>
    </w:p>
    <w:p w14:paraId="227D6D94" w14:textId="77777777" w:rsidR="006E00B5" w:rsidRPr="006E00B5" w:rsidRDefault="006E00B5" w:rsidP="009958AF">
      <w:pPr>
        <w:ind w:left="851"/>
        <w:rPr>
          <w:sz w:val="24"/>
          <w:szCs w:val="24"/>
        </w:rPr>
      </w:pPr>
      <w:r w:rsidRPr="006E00B5">
        <w:rPr>
          <w:sz w:val="24"/>
          <w:szCs w:val="24"/>
        </w:rPr>
        <w:t>Opbevares i den originale yderpakning for at beskytte mod lys.</w:t>
      </w:r>
      <w:bookmarkEnd w:id="1"/>
    </w:p>
    <w:p w14:paraId="7AD6862F" w14:textId="77777777" w:rsidR="009260DE" w:rsidRPr="00B008C1" w:rsidRDefault="009260DE" w:rsidP="009260DE">
      <w:pPr>
        <w:tabs>
          <w:tab w:val="left" w:pos="851"/>
        </w:tabs>
        <w:ind w:left="851"/>
        <w:rPr>
          <w:sz w:val="24"/>
          <w:szCs w:val="24"/>
        </w:rPr>
      </w:pPr>
    </w:p>
    <w:p w14:paraId="12E6B1A3" w14:textId="77777777" w:rsidR="009260DE" w:rsidRPr="00B008C1" w:rsidRDefault="009260DE" w:rsidP="009260DE">
      <w:pPr>
        <w:tabs>
          <w:tab w:val="left" w:pos="851"/>
        </w:tabs>
        <w:ind w:left="851" w:hanging="851"/>
        <w:rPr>
          <w:b/>
          <w:sz w:val="24"/>
          <w:szCs w:val="24"/>
        </w:rPr>
      </w:pPr>
      <w:r w:rsidRPr="00B008C1">
        <w:rPr>
          <w:b/>
          <w:sz w:val="24"/>
          <w:szCs w:val="24"/>
        </w:rPr>
        <w:t>6.5</w:t>
      </w:r>
      <w:r w:rsidRPr="00B008C1">
        <w:rPr>
          <w:b/>
          <w:sz w:val="24"/>
          <w:szCs w:val="24"/>
        </w:rPr>
        <w:tab/>
        <w:t>Emballagetype og pakningsstørrelser</w:t>
      </w:r>
    </w:p>
    <w:p w14:paraId="06721F71" w14:textId="77777777" w:rsidR="006E00B5" w:rsidRPr="006E00B5" w:rsidRDefault="006E00B5" w:rsidP="009958AF">
      <w:pPr>
        <w:ind w:left="851"/>
        <w:rPr>
          <w:sz w:val="24"/>
          <w:szCs w:val="24"/>
        </w:rPr>
      </w:pPr>
      <w:r w:rsidRPr="006E00B5">
        <w:rPr>
          <w:sz w:val="24"/>
          <w:szCs w:val="24"/>
        </w:rPr>
        <w:t>Hætteglas af glas med bromobutylgummiprop, aluminiumforsegling og plast-'flip-off'-hætte.</w:t>
      </w:r>
    </w:p>
    <w:p w14:paraId="632CD677" w14:textId="77777777" w:rsidR="006E00B5" w:rsidRPr="006E00B5" w:rsidRDefault="006E00B5" w:rsidP="009958AF">
      <w:pPr>
        <w:ind w:left="851"/>
        <w:rPr>
          <w:sz w:val="24"/>
          <w:szCs w:val="24"/>
        </w:rPr>
      </w:pPr>
    </w:p>
    <w:p w14:paraId="4A2C77B6" w14:textId="77777777" w:rsidR="006E00B5" w:rsidRPr="006E00B5" w:rsidRDefault="006E00B5" w:rsidP="009958AF">
      <w:pPr>
        <w:ind w:left="851"/>
        <w:rPr>
          <w:sz w:val="24"/>
          <w:szCs w:val="24"/>
        </w:rPr>
      </w:pPr>
      <w:r w:rsidRPr="006E00B5">
        <w:rPr>
          <w:sz w:val="24"/>
          <w:szCs w:val="24"/>
        </w:rPr>
        <w:t>Hver pakning indeholder 1, 7 eller 14 hætteglas.</w:t>
      </w:r>
    </w:p>
    <w:p w14:paraId="26F94AD9" w14:textId="77777777" w:rsidR="006E00B5" w:rsidRPr="006E00B5" w:rsidRDefault="006E00B5" w:rsidP="009958AF">
      <w:pPr>
        <w:ind w:left="851"/>
        <w:rPr>
          <w:sz w:val="24"/>
          <w:szCs w:val="24"/>
        </w:rPr>
      </w:pPr>
    </w:p>
    <w:p w14:paraId="44B9367B" w14:textId="77777777" w:rsidR="006E00B5" w:rsidRPr="006E00B5" w:rsidRDefault="006E00B5" w:rsidP="009958AF">
      <w:pPr>
        <w:ind w:left="851"/>
        <w:rPr>
          <w:sz w:val="24"/>
          <w:szCs w:val="24"/>
        </w:rPr>
      </w:pPr>
      <w:r w:rsidRPr="006E00B5">
        <w:rPr>
          <w:sz w:val="24"/>
          <w:szCs w:val="24"/>
        </w:rPr>
        <w:t>Ikke alle pakningsstørrelser er nødvendigvis markedsført.</w:t>
      </w:r>
    </w:p>
    <w:p w14:paraId="32B31FA5" w14:textId="77777777" w:rsidR="009260DE" w:rsidRPr="00B008C1" w:rsidRDefault="009260DE" w:rsidP="009260DE">
      <w:pPr>
        <w:tabs>
          <w:tab w:val="left" w:pos="851"/>
        </w:tabs>
        <w:ind w:left="851"/>
        <w:rPr>
          <w:sz w:val="24"/>
          <w:szCs w:val="24"/>
        </w:rPr>
      </w:pPr>
    </w:p>
    <w:p w14:paraId="1CD1C733" w14:textId="77777777" w:rsidR="009260DE" w:rsidRPr="00B008C1" w:rsidRDefault="009260DE" w:rsidP="009260DE">
      <w:pPr>
        <w:tabs>
          <w:tab w:val="left" w:pos="851"/>
        </w:tabs>
        <w:ind w:left="851" w:hanging="851"/>
        <w:rPr>
          <w:b/>
          <w:sz w:val="24"/>
          <w:szCs w:val="24"/>
        </w:rPr>
      </w:pPr>
      <w:r w:rsidRPr="00B008C1">
        <w:rPr>
          <w:b/>
          <w:sz w:val="24"/>
          <w:szCs w:val="24"/>
        </w:rPr>
        <w:t>6.6</w:t>
      </w:r>
      <w:r w:rsidRPr="00B008C1">
        <w:rPr>
          <w:b/>
          <w:sz w:val="24"/>
          <w:szCs w:val="24"/>
        </w:rPr>
        <w:tab/>
        <w:t xml:space="preserve">Regler for </w:t>
      </w:r>
      <w:r w:rsidR="00BD7931" w:rsidRPr="00B008C1">
        <w:rPr>
          <w:b/>
          <w:sz w:val="24"/>
          <w:szCs w:val="24"/>
        </w:rPr>
        <w:t>bortskaffelse</w:t>
      </w:r>
      <w:r w:rsidRPr="00B008C1">
        <w:rPr>
          <w:b/>
          <w:sz w:val="24"/>
          <w:szCs w:val="24"/>
        </w:rPr>
        <w:t xml:space="preserve"> og anden håndtering</w:t>
      </w:r>
    </w:p>
    <w:p w14:paraId="653B085B" w14:textId="77777777" w:rsidR="006E00B5" w:rsidRPr="006E00B5" w:rsidRDefault="006E00B5" w:rsidP="009958AF">
      <w:pPr>
        <w:ind w:left="851"/>
        <w:rPr>
          <w:iCs/>
          <w:sz w:val="24"/>
          <w:szCs w:val="24"/>
        </w:rPr>
      </w:pPr>
      <w:r w:rsidRPr="006E00B5">
        <w:rPr>
          <w:iCs/>
          <w:sz w:val="24"/>
          <w:szCs w:val="24"/>
        </w:rPr>
        <w:t>Opløsningen er kun til engangsbrug.</w:t>
      </w:r>
    </w:p>
    <w:p w14:paraId="24BC7070" w14:textId="77777777" w:rsidR="006E00B5" w:rsidRPr="006E00B5" w:rsidRDefault="006E00B5" w:rsidP="009958AF">
      <w:pPr>
        <w:ind w:left="851"/>
        <w:rPr>
          <w:iCs/>
          <w:sz w:val="24"/>
          <w:szCs w:val="24"/>
        </w:rPr>
      </w:pPr>
    </w:p>
    <w:p w14:paraId="6C32494F" w14:textId="77777777" w:rsidR="006E00B5" w:rsidRPr="006E00B5" w:rsidRDefault="006E00B5" w:rsidP="009958AF">
      <w:pPr>
        <w:ind w:left="851"/>
        <w:rPr>
          <w:iCs/>
          <w:sz w:val="24"/>
          <w:szCs w:val="24"/>
        </w:rPr>
      </w:pPr>
      <w:r w:rsidRPr="006E00B5">
        <w:rPr>
          <w:iCs/>
          <w:sz w:val="24"/>
          <w:szCs w:val="24"/>
        </w:rPr>
        <w:t>En medicinsk specialist skal udføre alle i.m.-injektioner.</w:t>
      </w:r>
    </w:p>
    <w:p w14:paraId="6033469F" w14:textId="77777777" w:rsidR="006E00B5" w:rsidRPr="006E00B5" w:rsidRDefault="006E00B5" w:rsidP="009958AF">
      <w:pPr>
        <w:ind w:left="851"/>
        <w:rPr>
          <w:iCs/>
          <w:sz w:val="24"/>
          <w:szCs w:val="24"/>
        </w:rPr>
      </w:pPr>
    </w:p>
    <w:p w14:paraId="2A292365" w14:textId="77777777" w:rsidR="006E00B5" w:rsidRPr="006E00B5" w:rsidRDefault="006E00B5" w:rsidP="009958AF">
      <w:pPr>
        <w:ind w:left="851"/>
        <w:rPr>
          <w:iCs/>
          <w:sz w:val="24"/>
          <w:szCs w:val="24"/>
        </w:rPr>
      </w:pPr>
      <w:r w:rsidRPr="006E00B5">
        <w:rPr>
          <w:iCs/>
          <w:sz w:val="24"/>
          <w:szCs w:val="24"/>
        </w:rPr>
        <w:t>Opløsningen bør ikke administreres, hvis den indeholder partikler eller er misfarvet.</w:t>
      </w:r>
    </w:p>
    <w:p w14:paraId="073FA72C" w14:textId="77777777" w:rsidR="006E00B5" w:rsidRPr="006E00B5" w:rsidRDefault="006E00B5" w:rsidP="009958AF">
      <w:pPr>
        <w:ind w:left="851"/>
        <w:rPr>
          <w:iCs/>
          <w:sz w:val="24"/>
          <w:szCs w:val="24"/>
        </w:rPr>
      </w:pPr>
    </w:p>
    <w:p w14:paraId="2FFCEF6B" w14:textId="77777777" w:rsidR="006E00B5" w:rsidRPr="006E00B5" w:rsidRDefault="006E00B5" w:rsidP="009958AF">
      <w:pPr>
        <w:ind w:left="851"/>
        <w:rPr>
          <w:iCs/>
          <w:sz w:val="24"/>
          <w:szCs w:val="24"/>
        </w:rPr>
      </w:pPr>
      <w:r w:rsidRPr="006E00B5">
        <w:rPr>
          <w:iCs/>
          <w:sz w:val="24"/>
          <w:szCs w:val="24"/>
        </w:rPr>
        <w:t>Dette lægemiddel kan udgøre en risiko for miljøet (se pkt. 5.3).</w:t>
      </w:r>
    </w:p>
    <w:p w14:paraId="1579AAB3" w14:textId="77777777" w:rsidR="006E00B5" w:rsidRPr="006E00B5" w:rsidRDefault="006E00B5" w:rsidP="009958AF">
      <w:pPr>
        <w:ind w:left="851"/>
        <w:rPr>
          <w:iCs/>
          <w:sz w:val="24"/>
          <w:szCs w:val="24"/>
        </w:rPr>
      </w:pPr>
    </w:p>
    <w:p w14:paraId="77964BCC" w14:textId="77777777" w:rsidR="006E00B5" w:rsidRPr="006E00B5" w:rsidRDefault="006E00B5" w:rsidP="009958AF">
      <w:pPr>
        <w:ind w:left="851"/>
        <w:rPr>
          <w:sz w:val="24"/>
          <w:szCs w:val="24"/>
        </w:rPr>
      </w:pPr>
      <w:r w:rsidRPr="006E00B5">
        <w:rPr>
          <w:iCs/>
          <w:sz w:val="24"/>
          <w:szCs w:val="24"/>
        </w:rPr>
        <w:t>Ikke anvendt lægemiddel samt affald heraf skal bortskaffes i henhold til lokale retningslinjer.</w:t>
      </w:r>
    </w:p>
    <w:p w14:paraId="7029CEA5" w14:textId="77777777" w:rsidR="009260DE" w:rsidRPr="00B008C1" w:rsidRDefault="009260DE" w:rsidP="000730CA">
      <w:pPr>
        <w:tabs>
          <w:tab w:val="left" w:pos="851"/>
        </w:tabs>
        <w:ind w:left="851"/>
        <w:rPr>
          <w:sz w:val="24"/>
          <w:szCs w:val="24"/>
        </w:rPr>
      </w:pPr>
    </w:p>
    <w:p w14:paraId="0EE98356" w14:textId="77777777" w:rsidR="009260DE" w:rsidRPr="00B008C1" w:rsidRDefault="009260DE" w:rsidP="009260DE">
      <w:pPr>
        <w:tabs>
          <w:tab w:val="left" w:pos="851"/>
        </w:tabs>
        <w:ind w:left="851" w:hanging="851"/>
        <w:rPr>
          <w:b/>
          <w:sz w:val="24"/>
          <w:szCs w:val="24"/>
        </w:rPr>
      </w:pPr>
      <w:r w:rsidRPr="00B008C1">
        <w:rPr>
          <w:b/>
          <w:sz w:val="24"/>
          <w:szCs w:val="24"/>
        </w:rPr>
        <w:t>7.</w:t>
      </w:r>
      <w:r w:rsidRPr="00B008C1">
        <w:rPr>
          <w:b/>
          <w:sz w:val="24"/>
          <w:szCs w:val="24"/>
        </w:rPr>
        <w:tab/>
        <w:t>INDEHAVER AF MARKEDSFØRINGSTILLADELSEN</w:t>
      </w:r>
    </w:p>
    <w:p w14:paraId="4D7A0D85" w14:textId="77777777" w:rsidR="006E00B5" w:rsidRPr="006E00B5" w:rsidRDefault="006E00B5" w:rsidP="006E00B5">
      <w:pPr>
        <w:tabs>
          <w:tab w:val="left" w:pos="851"/>
        </w:tabs>
        <w:ind w:left="851"/>
        <w:rPr>
          <w:iCs/>
          <w:sz w:val="24"/>
          <w:szCs w:val="24"/>
          <w:lang w:val="es-ES"/>
        </w:rPr>
      </w:pPr>
      <w:r w:rsidRPr="006E00B5">
        <w:rPr>
          <w:iCs/>
          <w:sz w:val="24"/>
          <w:szCs w:val="24"/>
          <w:lang w:val="es-ES"/>
        </w:rPr>
        <w:t>Laboratorios Farmalán, S.A.</w:t>
      </w:r>
    </w:p>
    <w:p w14:paraId="5E6588CC" w14:textId="7CE05653" w:rsidR="006E00B5" w:rsidRPr="006E00B5" w:rsidRDefault="006E00B5" w:rsidP="006E00B5">
      <w:pPr>
        <w:tabs>
          <w:tab w:val="left" w:pos="851"/>
        </w:tabs>
        <w:ind w:left="851"/>
        <w:rPr>
          <w:iCs/>
          <w:sz w:val="24"/>
          <w:szCs w:val="24"/>
          <w:lang w:val="es-ES"/>
        </w:rPr>
      </w:pPr>
      <w:r w:rsidRPr="006E00B5">
        <w:rPr>
          <w:iCs/>
          <w:sz w:val="24"/>
          <w:szCs w:val="24"/>
          <w:lang w:val="es-ES"/>
        </w:rPr>
        <w:t>Calle La Vallina, s/n, Edificio 2</w:t>
      </w:r>
    </w:p>
    <w:p w14:paraId="783DE002" w14:textId="77777777" w:rsidR="006E00B5" w:rsidRPr="006E00B5" w:rsidRDefault="006E00B5" w:rsidP="006E00B5">
      <w:pPr>
        <w:tabs>
          <w:tab w:val="left" w:pos="851"/>
        </w:tabs>
        <w:ind w:left="851"/>
        <w:rPr>
          <w:iCs/>
          <w:sz w:val="24"/>
          <w:szCs w:val="24"/>
          <w:lang w:val="es-ES"/>
        </w:rPr>
      </w:pPr>
      <w:r w:rsidRPr="006E00B5">
        <w:rPr>
          <w:iCs/>
          <w:sz w:val="24"/>
          <w:szCs w:val="24"/>
          <w:lang w:val="es-ES"/>
        </w:rPr>
        <w:t>Polígono Industrial Navatejera</w:t>
      </w:r>
    </w:p>
    <w:p w14:paraId="78C7AE20" w14:textId="455CB938" w:rsidR="006E00B5" w:rsidRPr="006E00B5" w:rsidRDefault="006E00B5" w:rsidP="006E00B5">
      <w:pPr>
        <w:tabs>
          <w:tab w:val="left" w:pos="851"/>
        </w:tabs>
        <w:ind w:left="851"/>
        <w:rPr>
          <w:iCs/>
          <w:sz w:val="24"/>
          <w:szCs w:val="24"/>
          <w:lang w:val="es-ES"/>
        </w:rPr>
      </w:pPr>
      <w:r w:rsidRPr="006E00B5">
        <w:rPr>
          <w:iCs/>
          <w:sz w:val="24"/>
          <w:szCs w:val="24"/>
          <w:lang w:val="es-ES"/>
        </w:rPr>
        <w:t>24193 Villaquilambre, León</w:t>
      </w:r>
    </w:p>
    <w:p w14:paraId="1F6FF624" w14:textId="77777777" w:rsidR="006E00B5" w:rsidRPr="006E00B5" w:rsidRDefault="006E00B5" w:rsidP="006E00B5">
      <w:pPr>
        <w:tabs>
          <w:tab w:val="left" w:pos="851"/>
        </w:tabs>
        <w:ind w:left="851"/>
        <w:rPr>
          <w:iCs/>
          <w:sz w:val="24"/>
          <w:szCs w:val="24"/>
          <w:lang w:val="es-ES"/>
        </w:rPr>
      </w:pPr>
      <w:r w:rsidRPr="006E00B5">
        <w:rPr>
          <w:iCs/>
          <w:sz w:val="24"/>
          <w:szCs w:val="24"/>
          <w:lang w:val="es-ES"/>
        </w:rPr>
        <w:t>Spanien</w:t>
      </w:r>
    </w:p>
    <w:p w14:paraId="3348E242" w14:textId="77777777" w:rsidR="00641C65" w:rsidRPr="00B008C1" w:rsidRDefault="00641C65" w:rsidP="009260DE">
      <w:pPr>
        <w:tabs>
          <w:tab w:val="left" w:pos="851"/>
        </w:tabs>
        <w:ind w:left="851"/>
        <w:rPr>
          <w:sz w:val="24"/>
          <w:szCs w:val="24"/>
        </w:rPr>
      </w:pPr>
    </w:p>
    <w:p w14:paraId="0E1CD173" w14:textId="77777777" w:rsidR="009260DE" w:rsidRPr="00B008C1" w:rsidRDefault="009260DE" w:rsidP="009260DE">
      <w:pPr>
        <w:tabs>
          <w:tab w:val="left" w:pos="851"/>
        </w:tabs>
        <w:ind w:left="851" w:hanging="851"/>
        <w:rPr>
          <w:b/>
          <w:sz w:val="24"/>
          <w:szCs w:val="24"/>
        </w:rPr>
      </w:pPr>
      <w:r w:rsidRPr="00B008C1">
        <w:rPr>
          <w:b/>
          <w:sz w:val="24"/>
          <w:szCs w:val="24"/>
        </w:rPr>
        <w:t>8.</w:t>
      </w:r>
      <w:r w:rsidRPr="00B008C1">
        <w:rPr>
          <w:b/>
          <w:sz w:val="24"/>
          <w:szCs w:val="24"/>
        </w:rPr>
        <w:tab/>
        <w:t>MARKEDSFØRINGSTILLADELSESNUMMER (</w:t>
      </w:r>
      <w:r w:rsidR="00BF6243" w:rsidRPr="00B008C1">
        <w:rPr>
          <w:b/>
          <w:sz w:val="24"/>
          <w:szCs w:val="24"/>
        </w:rPr>
        <w:t>-</w:t>
      </w:r>
      <w:r w:rsidRPr="00B008C1">
        <w:rPr>
          <w:b/>
          <w:sz w:val="24"/>
          <w:szCs w:val="24"/>
        </w:rPr>
        <w:t>NUMRE)</w:t>
      </w:r>
    </w:p>
    <w:p w14:paraId="029BE998" w14:textId="084AA2B0" w:rsidR="009260DE" w:rsidRPr="00B008C1" w:rsidRDefault="006E00B5" w:rsidP="009260DE">
      <w:pPr>
        <w:tabs>
          <w:tab w:val="left" w:pos="851"/>
        </w:tabs>
        <w:ind w:left="851"/>
        <w:rPr>
          <w:sz w:val="24"/>
          <w:szCs w:val="24"/>
        </w:rPr>
      </w:pPr>
      <w:r w:rsidRPr="00B008C1">
        <w:rPr>
          <w:sz w:val="24"/>
          <w:szCs w:val="24"/>
        </w:rPr>
        <w:t>72994</w:t>
      </w:r>
    </w:p>
    <w:p w14:paraId="325D2444" w14:textId="77777777" w:rsidR="009260DE" w:rsidRPr="00B008C1" w:rsidRDefault="009260DE" w:rsidP="009260DE">
      <w:pPr>
        <w:tabs>
          <w:tab w:val="left" w:pos="851"/>
        </w:tabs>
        <w:ind w:left="851"/>
        <w:jc w:val="both"/>
        <w:rPr>
          <w:sz w:val="24"/>
          <w:szCs w:val="24"/>
        </w:rPr>
      </w:pPr>
    </w:p>
    <w:p w14:paraId="3A451973" w14:textId="77777777" w:rsidR="009260DE" w:rsidRPr="00B008C1" w:rsidRDefault="009260DE" w:rsidP="009260DE">
      <w:pPr>
        <w:tabs>
          <w:tab w:val="left" w:pos="851"/>
        </w:tabs>
        <w:ind w:left="851" w:hanging="851"/>
        <w:rPr>
          <w:b/>
          <w:sz w:val="24"/>
          <w:szCs w:val="24"/>
        </w:rPr>
      </w:pPr>
      <w:r w:rsidRPr="00B008C1">
        <w:rPr>
          <w:b/>
          <w:sz w:val="24"/>
          <w:szCs w:val="24"/>
        </w:rPr>
        <w:t>9.</w:t>
      </w:r>
      <w:r w:rsidRPr="00B008C1">
        <w:rPr>
          <w:b/>
          <w:sz w:val="24"/>
          <w:szCs w:val="24"/>
        </w:rPr>
        <w:tab/>
        <w:t>DATO FOR FØRSTE MARKEDSFØRINGSTILLADELSE</w:t>
      </w:r>
    </w:p>
    <w:p w14:paraId="07EE2BF8" w14:textId="2D92B4DE" w:rsidR="009260DE" w:rsidRPr="00B008C1" w:rsidRDefault="00A07818" w:rsidP="009260DE">
      <w:pPr>
        <w:tabs>
          <w:tab w:val="left" w:pos="851"/>
        </w:tabs>
        <w:ind w:left="851"/>
        <w:rPr>
          <w:sz w:val="24"/>
          <w:szCs w:val="24"/>
        </w:rPr>
      </w:pPr>
      <w:r>
        <w:rPr>
          <w:sz w:val="24"/>
          <w:szCs w:val="24"/>
        </w:rPr>
        <w:t>10. juni 2026</w:t>
      </w:r>
    </w:p>
    <w:p w14:paraId="57197EBE" w14:textId="77777777" w:rsidR="009260DE" w:rsidRPr="00B008C1" w:rsidRDefault="009260DE" w:rsidP="009260DE">
      <w:pPr>
        <w:tabs>
          <w:tab w:val="left" w:pos="851"/>
        </w:tabs>
        <w:ind w:left="851"/>
        <w:rPr>
          <w:sz w:val="24"/>
          <w:szCs w:val="24"/>
        </w:rPr>
      </w:pPr>
    </w:p>
    <w:p w14:paraId="08201AF7" w14:textId="77777777" w:rsidR="009260DE" w:rsidRPr="00B008C1" w:rsidRDefault="009260DE" w:rsidP="009260DE">
      <w:pPr>
        <w:tabs>
          <w:tab w:val="left" w:pos="851"/>
        </w:tabs>
        <w:ind w:left="851" w:hanging="851"/>
        <w:rPr>
          <w:b/>
          <w:sz w:val="24"/>
          <w:szCs w:val="24"/>
        </w:rPr>
      </w:pPr>
      <w:r w:rsidRPr="00B008C1">
        <w:rPr>
          <w:b/>
          <w:sz w:val="24"/>
          <w:szCs w:val="24"/>
        </w:rPr>
        <w:t>10.</w:t>
      </w:r>
      <w:r w:rsidRPr="00B008C1">
        <w:rPr>
          <w:b/>
          <w:sz w:val="24"/>
          <w:szCs w:val="24"/>
        </w:rPr>
        <w:tab/>
        <w:t>DATO FOR ÆNDRING AF TEKSTEN</w:t>
      </w:r>
    </w:p>
    <w:p w14:paraId="52B72456" w14:textId="0E40B4A1" w:rsidR="009260DE" w:rsidRPr="00B008C1" w:rsidRDefault="006E00B5" w:rsidP="009260DE">
      <w:pPr>
        <w:tabs>
          <w:tab w:val="left" w:pos="851"/>
        </w:tabs>
        <w:ind w:left="851"/>
        <w:rPr>
          <w:sz w:val="24"/>
          <w:szCs w:val="24"/>
        </w:rPr>
      </w:pPr>
      <w:r w:rsidRPr="00B008C1">
        <w:rPr>
          <w:sz w:val="24"/>
          <w:szCs w:val="24"/>
        </w:rPr>
        <w:t>-</w:t>
      </w:r>
    </w:p>
    <w:sectPr w:rsidR="009260DE" w:rsidRPr="00B008C1"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15318" w14:textId="77777777" w:rsidR="00490452" w:rsidRDefault="00490452">
      <w:r>
        <w:separator/>
      </w:r>
    </w:p>
  </w:endnote>
  <w:endnote w:type="continuationSeparator" w:id="0">
    <w:p w14:paraId="403A34F4" w14:textId="77777777" w:rsidR="00490452" w:rsidRDefault="0049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A0B5" w14:textId="77777777" w:rsidR="000259B9" w:rsidRDefault="000259B9">
    <w:pPr>
      <w:pStyle w:val="Sidefod"/>
      <w:pBdr>
        <w:bottom w:val="single" w:sz="6" w:space="1" w:color="auto"/>
      </w:pBdr>
    </w:pPr>
  </w:p>
  <w:p w14:paraId="23C4E332" w14:textId="77777777" w:rsidR="000259B9" w:rsidRDefault="000259B9" w:rsidP="00C42586">
    <w:pPr>
      <w:pStyle w:val="Sidefod"/>
      <w:tabs>
        <w:tab w:val="clear" w:pos="4819"/>
        <w:tab w:val="left" w:pos="8505"/>
      </w:tabs>
      <w:rPr>
        <w:i/>
        <w:sz w:val="18"/>
        <w:szCs w:val="18"/>
      </w:rPr>
    </w:pPr>
  </w:p>
  <w:p w14:paraId="534CCBC8" w14:textId="4A6577AA"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120176">
      <w:rPr>
        <w:i/>
        <w:noProof/>
        <w:sz w:val="18"/>
        <w:szCs w:val="18"/>
      </w:rPr>
      <w:t>Progesteron Laboratorios Farmalan, injektionsvæske, opløsning 25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FE086" w14:textId="77777777" w:rsidR="00490452" w:rsidRDefault="00490452">
      <w:r>
        <w:separator/>
      </w:r>
    </w:p>
  </w:footnote>
  <w:footnote w:type="continuationSeparator" w:id="0">
    <w:p w14:paraId="4D53D197" w14:textId="77777777" w:rsidR="00490452" w:rsidRDefault="00490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7A22250"/>
    <w:multiLevelType w:val="hybridMultilevel"/>
    <w:tmpl w:val="0CCEA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29023625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078577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7503532">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2353793">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209432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2376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52"/>
    <w:rsid w:val="000259B9"/>
    <w:rsid w:val="00041491"/>
    <w:rsid w:val="00050D16"/>
    <w:rsid w:val="000730CA"/>
    <w:rsid w:val="00074F2A"/>
    <w:rsid w:val="000A1CA8"/>
    <w:rsid w:val="000A466B"/>
    <w:rsid w:val="000B058C"/>
    <w:rsid w:val="000D68B0"/>
    <w:rsid w:val="000E4EE6"/>
    <w:rsid w:val="00120176"/>
    <w:rsid w:val="001454E2"/>
    <w:rsid w:val="00206CE8"/>
    <w:rsid w:val="0021526C"/>
    <w:rsid w:val="00283A2B"/>
    <w:rsid w:val="0029456D"/>
    <w:rsid w:val="002B30AD"/>
    <w:rsid w:val="002C1EC0"/>
    <w:rsid w:val="002C2C01"/>
    <w:rsid w:val="003A29AE"/>
    <w:rsid w:val="003A32D7"/>
    <w:rsid w:val="003A528C"/>
    <w:rsid w:val="003B4074"/>
    <w:rsid w:val="003C769A"/>
    <w:rsid w:val="003D3A90"/>
    <w:rsid w:val="003F1838"/>
    <w:rsid w:val="004251C1"/>
    <w:rsid w:val="0045746C"/>
    <w:rsid w:val="00490452"/>
    <w:rsid w:val="0049104B"/>
    <w:rsid w:val="004E3B12"/>
    <w:rsid w:val="00532310"/>
    <w:rsid w:val="00565F0F"/>
    <w:rsid w:val="00594A86"/>
    <w:rsid w:val="00596D86"/>
    <w:rsid w:val="00637F5A"/>
    <w:rsid w:val="00641C65"/>
    <w:rsid w:val="006560B1"/>
    <w:rsid w:val="006756DD"/>
    <w:rsid w:val="006D66A8"/>
    <w:rsid w:val="006E00B5"/>
    <w:rsid w:val="0071241E"/>
    <w:rsid w:val="00737275"/>
    <w:rsid w:val="00740EEC"/>
    <w:rsid w:val="0078011A"/>
    <w:rsid w:val="00782AF4"/>
    <w:rsid w:val="00790EE7"/>
    <w:rsid w:val="007B6649"/>
    <w:rsid w:val="0082576E"/>
    <w:rsid w:val="0089346F"/>
    <w:rsid w:val="00907F75"/>
    <w:rsid w:val="009168B8"/>
    <w:rsid w:val="009260DE"/>
    <w:rsid w:val="0093258A"/>
    <w:rsid w:val="009958AF"/>
    <w:rsid w:val="009C7BA3"/>
    <w:rsid w:val="009D1F5A"/>
    <w:rsid w:val="00A07818"/>
    <w:rsid w:val="00A10294"/>
    <w:rsid w:val="00B003BF"/>
    <w:rsid w:val="00B008C1"/>
    <w:rsid w:val="00B373D7"/>
    <w:rsid w:val="00B55271"/>
    <w:rsid w:val="00BA0658"/>
    <w:rsid w:val="00BD7931"/>
    <w:rsid w:val="00BF6243"/>
    <w:rsid w:val="00C06DB8"/>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B105A"/>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2B6E5"/>
  <w15:chartTrackingRefBased/>
  <w15:docId w15:val="{BADEF824-836E-4649-A435-311DD01D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2827">
      <w:bodyDiv w:val="1"/>
      <w:marLeft w:val="0"/>
      <w:marRight w:val="0"/>
      <w:marTop w:val="0"/>
      <w:marBottom w:val="0"/>
      <w:divBdr>
        <w:top w:val="none" w:sz="0" w:space="0" w:color="auto"/>
        <w:left w:val="none" w:sz="0" w:space="0" w:color="auto"/>
        <w:bottom w:val="none" w:sz="0" w:space="0" w:color="auto"/>
        <w:right w:val="none" w:sz="0" w:space="0" w:color="auto"/>
      </w:divBdr>
    </w:div>
    <w:div w:id="120924716">
      <w:bodyDiv w:val="1"/>
      <w:marLeft w:val="0"/>
      <w:marRight w:val="0"/>
      <w:marTop w:val="0"/>
      <w:marBottom w:val="0"/>
      <w:divBdr>
        <w:top w:val="none" w:sz="0" w:space="0" w:color="auto"/>
        <w:left w:val="none" w:sz="0" w:space="0" w:color="auto"/>
        <w:bottom w:val="none" w:sz="0" w:space="0" w:color="auto"/>
        <w:right w:val="none" w:sz="0" w:space="0" w:color="auto"/>
      </w:divBdr>
    </w:div>
    <w:div w:id="125709556">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00500251">
      <w:bodyDiv w:val="1"/>
      <w:marLeft w:val="0"/>
      <w:marRight w:val="0"/>
      <w:marTop w:val="0"/>
      <w:marBottom w:val="0"/>
      <w:divBdr>
        <w:top w:val="none" w:sz="0" w:space="0" w:color="auto"/>
        <w:left w:val="none" w:sz="0" w:space="0" w:color="auto"/>
        <w:bottom w:val="none" w:sz="0" w:space="0" w:color="auto"/>
        <w:right w:val="none" w:sz="0" w:space="0" w:color="auto"/>
      </w:divBdr>
    </w:div>
    <w:div w:id="333608260">
      <w:bodyDiv w:val="1"/>
      <w:marLeft w:val="0"/>
      <w:marRight w:val="0"/>
      <w:marTop w:val="0"/>
      <w:marBottom w:val="0"/>
      <w:divBdr>
        <w:top w:val="none" w:sz="0" w:space="0" w:color="auto"/>
        <w:left w:val="none" w:sz="0" w:space="0" w:color="auto"/>
        <w:bottom w:val="none" w:sz="0" w:space="0" w:color="auto"/>
        <w:right w:val="none" w:sz="0" w:space="0" w:color="auto"/>
      </w:divBdr>
    </w:div>
    <w:div w:id="384643062">
      <w:bodyDiv w:val="1"/>
      <w:marLeft w:val="0"/>
      <w:marRight w:val="0"/>
      <w:marTop w:val="0"/>
      <w:marBottom w:val="0"/>
      <w:divBdr>
        <w:top w:val="none" w:sz="0" w:space="0" w:color="auto"/>
        <w:left w:val="none" w:sz="0" w:space="0" w:color="auto"/>
        <w:bottom w:val="none" w:sz="0" w:space="0" w:color="auto"/>
        <w:right w:val="none" w:sz="0" w:space="0" w:color="auto"/>
      </w:divBdr>
    </w:div>
    <w:div w:id="469637543">
      <w:bodyDiv w:val="1"/>
      <w:marLeft w:val="0"/>
      <w:marRight w:val="0"/>
      <w:marTop w:val="0"/>
      <w:marBottom w:val="0"/>
      <w:divBdr>
        <w:top w:val="none" w:sz="0" w:space="0" w:color="auto"/>
        <w:left w:val="none" w:sz="0" w:space="0" w:color="auto"/>
        <w:bottom w:val="none" w:sz="0" w:space="0" w:color="auto"/>
        <w:right w:val="none" w:sz="0" w:space="0" w:color="auto"/>
      </w:divBdr>
    </w:div>
    <w:div w:id="477234987">
      <w:bodyDiv w:val="1"/>
      <w:marLeft w:val="0"/>
      <w:marRight w:val="0"/>
      <w:marTop w:val="0"/>
      <w:marBottom w:val="0"/>
      <w:divBdr>
        <w:top w:val="none" w:sz="0" w:space="0" w:color="auto"/>
        <w:left w:val="none" w:sz="0" w:space="0" w:color="auto"/>
        <w:bottom w:val="none" w:sz="0" w:space="0" w:color="auto"/>
        <w:right w:val="none" w:sz="0" w:space="0" w:color="auto"/>
      </w:divBdr>
    </w:div>
    <w:div w:id="515316417">
      <w:bodyDiv w:val="1"/>
      <w:marLeft w:val="0"/>
      <w:marRight w:val="0"/>
      <w:marTop w:val="0"/>
      <w:marBottom w:val="0"/>
      <w:divBdr>
        <w:top w:val="none" w:sz="0" w:space="0" w:color="auto"/>
        <w:left w:val="none" w:sz="0" w:space="0" w:color="auto"/>
        <w:bottom w:val="none" w:sz="0" w:space="0" w:color="auto"/>
        <w:right w:val="none" w:sz="0" w:space="0" w:color="auto"/>
      </w:divBdr>
    </w:div>
    <w:div w:id="588782425">
      <w:bodyDiv w:val="1"/>
      <w:marLeft w:val="0"/>
      <w:marRight w:val="0"/>
      <w:marTop w:val="0"/>
      <w:marBottom w:val="0"/>
      <w:divBdr>
        <w:top w:val="none" w:sz="0" w:space="0" w:color="auto"/>
        <w:left w:val="none" w:sz="0" w:space="0" w:color="auto"/>
        <w:bottom w:val="none" w:sz="0" w:space="0" w:color="auto"/>
        <w:right w:val="none" w:sz="0" w:space="0" w:color="auto"/>
      </w:divBdr>
    </w:div>
    <w:div w:id="604505296">
      <w:bodyDiv w:val="1"/>
      <w:marLeft w:val="0"/>
      <w:marRight w:val="0"/>
      <w:marTop w:val="0"/>
      <w:marBottom w:val="0"/>
      <w:divBdr>
        <w:top w:val="none" w:sz="0" w:space="0" w:color="auto"/>
        <w:left w:val="none" w:sz="0" w:space="0" w:color="auto"/>
        <w:bottom w:val="none" w:sz="0" w:space="0" w:color="auto"/>
        <w:right w:val="none" w:sz="0" w:space="0" w:color="auto"/>
      </w:divBdr>
    </w:div>
    <w:div w:id="674957456">
      <w:bodyDiv w:val="1"/>
      <w:marLeft w:val="0"/>
      <w:marRight w:val="0"/>
      <w:marTop w:val="0"/>
      <w:marBottom w:val="0"/>
      <w:divBdr>
        <w:top w:val="none" w:sz="0" w:space="0" w:color="auto"/>
        <w:left w:val="none" w:sz="0" w:space="0" w:color="auto"/>
        <w:bottom w:val="none" w:sz="0" w:space="0" w:color="auto"/>
        <w:right w:val="none" w:sz="0" w:space="0" w:color="auto"/>
      </w:divBdr>
    </w:div>
    <w:div w:id="677387467">
      <w:bodyDiv w:val="1"/>
      <w:marLeft w:val="0"/>
      <w:marRight w:val="0"/>
      <w:marTop w:val="0"/>
      <w:marBottom w:val="0"/>
      <w:divBdr>
        <w:top w:val="none" w:sz="0" w:space="0" w:color="auto"/>
        <w:left w:val="none" w:sz="0" w:space="0" w:color="auto"/>
        <w:bottom w:val="none" w:sz="0" w:space="0" w:color="auto"/>
        <w:right w:val="none" w:sz="0" w:space="0" w:color="auto"/>
      </w:divBdr>
    </w:div>
    <w:div w:id="677662343">
      <w:bodyDiv w:val="1"/>
      <w:marLeft w:val="0"/>
      <w:marRight w:val="0"/>
      <w:marTop w:val="0"/>
      <w:marBottom w:val="0"/>
      <w:divBdr>
        <w:top w:val="none" w:sz="0" w:space="0" w:color="auto"/>
        <w:left w:val="none" w:sz="0" w:space="0" w:color="auto"/>
        <w:bottom w:val="none" w:sz="0" w:space="0" w:color="auto"/>
        <w:right w:val="none" w:sz="0" w:space="0" w:color="auto"/>
      </w:divBdr>
    </w:div>
    <w:div w:id="737440612">
      <w:bodyDiv w:val="1"/>
      <w:marLeft w:val="0"/>
      <w:marRight w:val="0"/>
      <w:marTop w:val="0"/>
      <w:marBottom w:val="0"/>
      <w:divBdr>
        <w:top w:val="none" w:sz="0" w:space="0" w:color="auto"/>
        <w:left w:val="none" w:sz="0" w:space="0" w:color="auto"/>
        <w:bottom w:val="none" w:sz="0" w:space="0" w:color="auto"/>
        <w:right w:val="none" w:sz="0" w:space="0" w:color="auto"/>
      </w:divBdr>
    </w:div>
    <w:div w:id="855115679">
      <w:bodyDiv w:val="1"/>
      <w:marLeft w:val="0"/>
      <w:marRight w:val="0"/>
      <w:marTop w:val="0"/>
      <w:marBottom w:val="0"/>
      <w:divBdr>
        <w:top w:val="none" w:sz="0" w:space="0" w:color="auto"/>
        <w:left w:val="none" w:sz="0" w:space="0" w:color="auto"/>
        <w:bottom w:val="none" w:sz="0" w:space="0" w:color="auto"/>
        <w:right w:val="none" w:sz="0" w:space="0" w:color="auto"/>
      </w:divBdr>
    </w:div>
    <w:div w:id="914432147">
      <w:bodyDiv w:val="1"/>
      <w:marLeft w:val="0"/>
      <w:marRight w:val="0"/>
      <w:marTop w:val="0"/>
      <w:marBottom w:val="0"/>
      <w:divBdr>
        <w:top w:val="none" w:sz="0" w:space="0" w:color="auto"/>
        <w:left w:val="none" w:sz="0" w:space="0" w:color="auto"/>
        <w:bottom w:val="none" w:sz="0" w:space="0" w:color="auto"/>
        <w:right w:val="none" w:sz="0" w:space="0" w:color="auto"/>
      </w:divBdr>
    </w:div>
    <w:div w:id="960723746">
      <w:bodyDiv w:val="1"/>
      <w:marLeft w:val="0"/>
      <w:marRight w:val="0"/>
      <w:marTop w:val="0"/>
      <w:marBottom w:val="0"/>
      <w:divBdr>
        <w:top w:val="none" w:sz="0" w:space="0" w:color="auto"/>
        <w:left w:val="none" w:sz="0" w:space="0" w:color="auto"/>
        <w:bottom w:val="none" w:sz="0" w:space="0" w:color="auto"/>
        <w:right w:val="none" w:sz="0" w:space="0" w:color="auto"/>
      </w:divBdr>
    </w:div>
    <w:div w:id="1105465263">
      <w:bodyDiv w:val="1"/>
      <w:marLeft w:val="0"/>
      <w:marRight w:val="0"/>
      <w:marTop w:val="0"/>
      <w:marBottom w:val="0"/>
      <w:divBdr>
        <w:top w:val="none" w:sz="0" w:space="0" w:color="auto"/>
        <w:left w:val="none" w:sz="0" w:space="0" w:color="auto"/>
        <w:bottom w:val="none" w:sz="0" w:space="0" w:color="auto"/>
        <w:right w:val="none" w:sz="0" w:space="0" w:color="auto"/>
      </w:divBdr>
    </w:div>
    <w:div w:id="1106651778">
      <w:bodyDiv w:val="1"/>
      <w:marLeft w:val="0"/>
      <w:marRight w:val="0"/>
      <w:marTop w:val="0"/>
      <w:marBottom w:val="0"/>
      <w:divBdr>
        <w:top w:val="none" w:sz="0" w:space="0" w:color="auto"/>
        <w:left w:val="none" w:sz="0" w:space="0" w:color="auto"/>
        <w:bottom w:val="none" w:sz="0" w:space="0" w:color="auto"/>
        <w:right w:val="none" w:sz="0" w:space="0" w:color="auto"/>
      </w:divBdr>
    </w:div>
    <w:div w:id="1203857497">
      <w:bodyDiv w:val="1"/>
      <w:marLeft w:val="0"/>
      <w:marRight w:val="0"/>
      <w:marTop w:val="0"/>
      <w:marBottom w:val="0"/>
      <w:divBdr>
        <w:top w:val="none" w:sz="0" w:space="0" w:color="auto"/>
        <w:left w:val="none" w:sz="0" w:space="0" w:color="auto"/>
        <w:bottom w:val="none" w:sz="0" w:space="0" w:color="auto"/>
        <w:right w:val="none" w:sz="0" w:space="0" w:color="auto"/>
      </w:divBdr>
    </w:div>
    <w:div w:id="1298874066">
      <w:bodyDiv w:val="1"/>
      <w:marLeft w:val="0"/>
      <w:marRight w:val="0"/>
      <w:marTop w:val="0"/>
      <w:marBottom w:val="0"/>
      <w:divBdr>
        <w:top w:val="none" w:sz="0" w:space="0" w:color="auto"/>
        <w:left w:val="none" w:sz="0" w:space="0" w:color="auto"/>
        <w:bottom w:val="none" w:sz="0" w:space="0" w:color="auto"/>
        <w:right w:val="none" w:sz="0" w:space="0" w:color="auto"/>
      </w:divBdr>
    </w:div>
    <w:div w:id="1305620472">
      <w:bodyDiv w:val="1"/>
      <w:marLeft w:val="0"/>
      <w:marRight w:val="0"/>
      <w:marTop w:val="0"/>
      <w:marBottom w:val="0"/>
      <w:divBdr>
        <w:top w:val="none" w:sz="0" w:space="0" w:color="auto"/>
        <w:left w:val="none" w:sz="0" w:space="0" w:color="auto"/>
        <w:bottom w:val="none" w:sz="0" w:space="0" w:color="auto"/>
        <w:right w:val="none" w:sz="0" w:space="0" w:color="auto"/>
      </w:divBdr>
    </w:div>
    <w:div w:id="1307858030">
      <w:bodyDiv w:val="1"/>
      <w:marLeft w:val="0"/>
      <w:marRight w:val="0"/>
      <w:marTop w:val="0"/>
      <w:marBottom w:val="0"/>
      <w:divBdr>
        <w:top w:val="none" w:sz="0" w:space="0" w:color="auto"/>
        <w:left w:val="none" w:sz="0" w:space="0" w:color="auto"/>
        <w:bottom w:val="none" w:sz="0" w:space="0" w:color="auto"/>
        <w:right w:val="none" w:sz="0" w:space="0" w:color="auto"/>
      </w:divBdr>
    </w:div>
    <w:div w:id="1419449055">
      <w:bodyDiv w:val="1"/>
      <w:marLeft w:val="0"/>
      <w:marRight w:val="0"/>
      <w:marTop w:val="0"/>
      <w:marBottom w:val="0"/>
      <w:divBdr>
        <w:top w:val="none" w:sz="0" w:space="0" w:color="auto"/>
        <w:left w:val="none" w:sz="0" w:space="0" w:color="auto"/>
        <w:bottom w:val="none" w:sz="0" w:space="0" w:color="auto"/>
        <w:right w:val="none" w:sz="0" w:space="0" w:color="auto"/>
      </w:divBdr>
    </w:div>
    <w:div w:id="1431700006">
      <w:bodyDiv w:val="1"/>
      <w:marLeft w:val="0"/>
      <w:marRight w:val="0"/>
      <w:marTop w:val="0"/>
      <w:marBottom w:val="0"/>
      <w:divBdr>
        <w:top w:val="none" w:sz="0" w:space="0" w:color="auto"/>
        <w:left w:val="none" w:sz="0" w:space="0" w:color="auto"/>
        <w:bottom w:val="none" w:sz="0" w:space="0" w:color="auto"/>
        <w:right w:val="none" w:sz="0" w:space="0" w:color="auto"/>
      </w:divBdr>
    </w:div>
    <w:div w:id="1439375819">
      <w:bodyDiv w:val="1"/>
      <w:marLeft w:val="0"/>
      <w:marRight w:val="0"/>
      <w:marTop w:val="0"/>
      <w:marBottom w:val="0"/>
      <w:divBdr>
        <w:top w:val="none" w:sz="0" w:space="0" w:color="auto"/>
        <w:left w:val="none" w:sz="0" w:space="0" w:color="auto"/>
        <w:bottom w:val="none" w:sz="0" w:space="0" w:color="auto"/>
        <w:right w:val="none" w:sz="0" w:space="0" w:color="auto"/>
      </w:divBdr>
    </w:div>
    <w:div w:id="1441492752">
      <w:bodyDiv w:val="1"/>
      <w:marLeft w:val="0"/>
      <w:marRight w:val="0"/>
      <w:marTop w:val="0"/>
      <w:marBottom w:val="0"/>
      <w:divBdr>
        <w:top w:val="none" w:sz="0" w:space="0" w:color="auto"/>
        <w:left w:val="none" w:sz="0" w:space="0" w:color="auto"/>
        <w:bottom w:val="none" w:sz="0" w:space="0" w:color="auto"/>
        <w:right w:val="none" w:sz="0" w:space="0" w:color="auto"/>
      </w:divBdr>
    </w:div>
    <w:div w:id="1463769612">
      <w:bodyDiv w:val="1"/>
      <w:marLeft w:val="0"/>
      <w:marRight w:val="0"/>
      <w:marTop w:val="0"/>
      <w:marBottom w:val="0"/>
      <w:divBdr>
        <w:top w:val="none" w:sz="0" w:space="0" w:color="auto"/>
        <w:left w:val="none" w:sz="0" w:space="0" w:color="auto"/>
        <w:bottom w:val="none" w:sz="0" w:space="0" w:color="auto"/>
        <w:right w:val="none" w:sz="0" w:space="0" w:color="auto"/>
      </w:divBdr>
    </w:div>
    <w:div w:id="1484350545">
      <w:bodyDiv w:val="1"/>
      <w:marLeft w:val="0"/>
      <w:marRight w:val="0"/>
      <w:marTop w:val="0"/>
      <w:marBottom w:val="0"/>
      <w:divBdr>
        <w:top w:val="none" w:sz="0" w:space="0" w:color="auto"/>
        <w:left w:val="none" w:sz="0" w:space="0" w:color="auto"/>
        <w:bottom w:val="none" w:sz="0" w:space="0" w:color="auto"/>
        <w:right w:val="none" w:sz="0" w:space="0" w:color="auto"/>
      </w:divBdr>
    </w:div>
    <w:div w:id="1531336771">
      <w:bodyDiv w:val="1"/>
      <w:marLeft w:val="0"/>
      <w:marRight w:val="0"/>
      <w:marTop w:val="0"/>
      <w:marBottom w:val="0"/>
      <w:divBdr>
        <w:top w:val="none" w:sz="0" w:space="0" w:color="auto"/>
        <w:left w:val="none" w:sz="0" w:space="0" w:color="auto"/>
        <w:bottom w:val="none" w:sz="0" w:space="0" w:color="auto"/>
        <w:right w:val="none" w:sz="0" w:space="0" w:color="auto"/>
      </w:divBdr>
    </w:div>
    <w:div w:id="1532566637">
      <w:bodyDiv w:val="1"/>
      <w:marLeft w:val="0"/>
      <w:marRight w:val="0"/>
      <w:marTop w:val="0"/>
      <w:marBottom w:val="0"/>
      <w:divBdr>
        <w:top w:val="none" w:sz="0" w:space="0" w:color="auto"/>
        <w:left w:val="none" w:sz="0" w:space="0" w:color="auto"/>
        <w:bottom w:val="none" w:sz="0" w:space="0" w:color="auto"/>
        <w:right w:val="none" w:sz="0" w:space="0" w:color="auto"/>
      </w:divBdr>
    </w:div>
    <w:div w:id="1560555597">
      <w:bodyDiv w:val="1"/>
      <w:marLeft w:val="0"/>
      <w:marRight w:val="0"/>
      <w:marTop w:val="0"/>
      <w:marBottom w:val="0"/>
      <w:divBdr>
        <w:top w:val="none" w:sz="0" w:space="0" w:color="auto"/>
        <w:left w:val="none" w:sz="0" w:space="0" w:color="auto"/>
        <w:bottom w:val="none" w:sz="0" w:space="0" w:color="auto"/>
        <w:right w:val="none" w:sz="0" w:space="0" w:color="auto"/>
      </w:divBdr>
    </w:div>
    <w:div w:id="1565290686">
      <w:bodyDiv w:val="1"/>
      <w:marLeft w:val="0"/>
      <w:marRight w:val="0"/>
      <w:marTop w:val="0"/>
      <w:marBottom w:val="0"/>
      <w:divBdr>
        <w:top w:val="none" w:sz="0" w:space="0" w:color="auto"/>
        <w:left w:val="none" w:sz="0" w:space="0" w:color="auto"/>
        <w:bottom w:val="none" w:sz="0" w:space="0" w:color="auto"/>
        <w:right w:val="none" w:sz="0" w:space="0" w:color="auto"/>
      </w:divBdr>
    </w:div>
    <w:div w:id="1578438032">
      <w:bodyDiv w:val="1"/>
      <w:marLeft w:val="0"/>
      <w:marRight w:val="0"/>
      <w:marTop w:val="0"/>
      <w:marBottom w:val="0"/>
      <w:divBdr>
        <w:top w:val="none" w:sz="0" w:space="0" w:color="auto"/>
        <w:left w:val="none" w:sz="0" w:space="0" w:color="auto"/>
        <w:bottom w:val="none" w:sz="0" w:space="0" w:color="auto"/>
        <w:right w:val="none" w:sz="0" w:space="0" w:color="auto"/>
      </w:divBdr>
    </w:div>
    <w:div w:id="1683968942">
      <w:bodyDiv w:val="1"/>
      <w:marLeft w:val="0"/>
      <w:marRight w:val="0"/>
      <w:marTop w:val="0"/>
      <w:marBottom w:val="0"/>
      <w:divBdr>
        <w:top w:val="none" w:sz="0" w:space="0" w:color="auto"/>
        <w:left w:val="none" w:sz="0" w:space="0" w:color="auto"/>
        <w:bottom w:val="none" w:sz="0" w:space="0" w:color="auto"/>
        <w:right w:val="none" w:sz="0" w:space="0" w:color="auto"/>
      </w:divBdr>
    </w:div>
    <w:div w:id="1702894460">
      <w:bodyDiv w:val="1"/>
      <w:marLeft w:val="0"/>
      <w:marRight w:val="0"/>
      <w:marTop w:val="0"/>
      <w:marBottom w:val="0"/>
      <w:divBdr>
        <w:top w:val="none" w:sz="0" w:space="0" w:color="auto"/>
        <w:left w:val="none" w:sz="0" w:space="0" w:color="auto"/>
        <w:bottom w:val="none" w:sz="0" w:space="0" w:color="auto"/>
        <w:right w:val="none" w:sz="0" w:space="0" w:color="auto"/>
      </w:divBdr>
    </w:div>
    <w:div w:id="1903590756">
      <w:bodyDiv w:val="1"/>
      <w:marLeft w:val="0"/>
      <w:marRight w:val="0"/>
      <w:marTop w:val="0"/>
      <w:marBottom w:val="0"/>
      <w:divBdr>
        <w:top w:val="none" w:sz="0" w:space="0" w:color="auto"/>
        <w:left w:val="none" w:sz="0" w:space="0" w:color="auto"/>
        <w:bottom w:val="none" w:sz="0" w:space="0" w:color="auto"/>
        <w:right w:val="none" w:sz="0" w:space="0" w:color="auto"/>
      </w:divBdr>
    </w:div>
    <w:div w:id="1995914164">
      <w:bodyDiv w:val="1"/>
      <w:marLeft w:val="0"/>
      <w:marRight w:val="0"/>
      <w:marTop w:val="0"/>
      <w:marBottom w:val="0"/>
      <w:divBdr>
        <w:top w:val="none" w:sz="0" w:space="0" w:color="auto"/>
        <w:left w:val="none" w:sz="0" w:space="0" w:color="auto"/>
        <w:bottom w:val="none" w:sz="0" w:space="0" w:color="auto"/>
        <w:right w:val="none" w:sz="0" w:space="0" w:color="auto"/>
      </w:divBdr>
    </w:div>
    <w:div w:id="2038694703">
      <w:bodyDiv w:val="1"/>
      <w:marLeft w:val="0"/>
      <w:marRight w:val="0"/>
      <w:marTop w:val="0"/>
      <w:marBottom w:val="0"/>
      <w:divBdr>
        <w:top w:val="none" w:sz="0" w:space="0" w:color="auto"/>
        <w:left w:val="none" w:sz="0" w:space="0" w:color="auto"/>
        <w:bottom w:val="none" w:sz="0" w:space="0" w:color="auto"/>
        <w:right w:val="none" w:sz="0" w:space="0" w:color="auto"/>
      </w:divBdr>
    </w:div>
    <w:div w:id="2066296049">
      <w:bodyDiv w:val="1"/>
      <w:marLeft w:val="0"/>
      <w:marRight w:val="0"/>
      <w:marTop w:val="0"/>
      <w:marBottom w:val="0"/>
      <w:divBdr>
        <w:top w:val="none" w:sz="0" w:space="0" w:color="auto"/>
        <w:left w:val="none" w:sz="0" w:space="0" w:color="auto"/>
        <w:bottom w:val="none" w:sz="0" w:space="0" w:color="auto"/>
        <w:right w:val="none" w:sz="0" w:space="0" w:color="auto"/>
      </w:divBdr>
    </w:div>
    <w:div w:id="2080864601">
      <w:bodyDiv w:val="1"/>
      <w:marLeft w:val="0"/>
      <w:marRight w:val="0"/>
      <w:marTop w:val="0"/>
      <w:marBottom w:val="0"/>
      <w:divBdr>
        <w:top w:val="none" w:sz="0" w:space="0" w:color="auto"/>
        <w:left w:val="none" w:sz="0" w:space="0" w:color="auto"/>
        <w:bottom w:val="none" w:sz="0" w:space="0" w:color="auto"/>
        <w:right w:val="none" w:sz="0" w:space="0" w:color="auto"/>
      </w:divBdr>
    </w:div>
    <w:div w:id="2103138204">
      <w:bodyDiv w:val="1"/>
      <w:marLeft w:val="0"/>
      <w:marRight w:val="0"/>
      <w:marTop w:val="0"/>
      <w:marBottom w:val="0"/>
      <w:divBdr>
        <w:top w:val="none" w:sz="0" w:space="0" w:color="auto"/>
        <w:left w:val="none" w:sz="0" w:space="0" w:color="auto"/>
        <w:bottom w:val="none" w:sz="0" w:space="0" w:color="auto"/>
        <w:right w:val="none" w:sz="0" w:space="0" w:color="auto"/>
      </w:divBdr>
    </w:div>
    <w:div w:id="211369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30</TotalTime>
  <Pages>8</Pages>
  <Words>1990</Words>
  <Characters>13581</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2024122405, MT</dc:description>
  <cp:lastModifiedBy>Gitte Jørgensen</cp:lastModifiedBy>
  <cp:revision>10</cp:revision>
  <cp:lastPrinted>2012-08-22T08:53:00Z</cp:lastPrinted>
  <dcterms:created xsi:type="dcterms:W3CDTF">2026-06-10T08:52:00Z</dcterms:created>
  <dcterms:modified xsi:type="dcterms:W3CDTF">2026-06-10T10:42:00Z</dcterms:modified>
</cp:coreProperties>
</file>