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8B8C" w14:textId="176A3B13" w:rsidR="009260DE" w:rsidRPr="00F552BF" w:rsidRDefault="0021526C" w:rsidP="009260DE">
      <w:pPr>
        <w:rPr>
          <w:sz w:val="24"/>
          <w:szCs w:val="24"/>
        </w:rPr>
      </w:pPr>
      <w:r w:rsidRPr="00F552B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88C3F4B" wp14:editId="4764EAB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F552BF">
        <w:rPr>
          <w:sz w:val="24"/>
          <w:szCs w:val="24"/>
        </w:rPr>
        <w:br w:type="textWrapping" w:clear="all"/>
      </w:r>
    </w:p>
    <w:p w14:paraId="7348EABC" w14:textId="1E47B994" w:rsidR="009260DE" w:rsidRPr="00F552BF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F552BF">
        <w:rPr>
          <w:b w:val="0"/>
          <w:szCs w:val="24"/>
          <w:lang w:eastAsia="en-US"/>
        </w:rPr>
        <w:tab/>
      </w:r>
      <w:r w:rsidR="00C210DE">
        <w:rPr>
          <w:szCs w:val="24"/>
        </w:rPr>
        <w:t>1</w:t>
      </w:r>
      <w:r w:rsidR="00B6409A">
        <w:rPr>
          <w:szCs w:val="24"/>
        </w:rPr>
        <w:t>7</w:t>
      </w:r>
      <w:r w:rsidR="00C210DE">
        <w:rPr>
          <w:szCs w:val="24"/>
        </w:rPr>
        <w:t xml:space="preserve">. </w:t>
      </w:r>
      <w:r w:rsidR="00B6409A">
        <w:rPr>
          <w:szCs w:val="24"/>
        </w:rPr>
        <w:t>februar</w:t>
      </w:r>
      <w:r w:rsidR="00C210DE">
        <w:rPr>
          <w:szCs w:val="24"/>
        </w:rPr>
        <w:t xml:space="preserve"> 202</w:t>
      </w:r>
      <w:r w:rsidR="00B6409A">
        <w:rPr>
          <w:szCs w:val="24"/>
        </w:rPr>
        <w:t>5</w:t>
      </w:r>
    </w:p>
    <w:p w14:paraId="4F6225CF" w14:textId="77777777" w:rsidR="009260DE" w:rsidRPr="00F552BF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3514541" w14:textId="77777777" w:rsidR="009260DE" w:rsidRPr="00F552BF" w:rsidRDefault="009260DE" w:rsidP="009260DE">
      <w:pPr>
        <w:pStyle w:val="Titel"/>
        <w:jc w:val="left"/>
        <w:rPr>
          <w:b w:val="0"/>
          <w:szCs w:val="24"/>
        </w:rPr>
      </w:pPr>
    </w:p>
    <w:p w14:paraId="5FDA73ED" w14:textId="77777777" w:rsidR="009260DE" w:rsidRPr="00F552BF" w:rsidRDefault="009260DE" w:rsidP="009260DE">
      <w:pPr>
        <w:pStyle w:val="Titel"/>
        <w:jc w:val="left"/>
        <w:rPr>
          <w:b w:val="0"/>
          <w:szCs w:val="24"/>
        </w:rPr>
      </w:pPr>
    </w:p>
    <w:p w14:paraId="5A9E3679" w14:textId="77777777" w:rsidR="009260DE" w:rsidRPr="00F552BF" w:rsidRDefault="009260DE" w:rsidP="009260DE">
      <w:pPr>
        <w:jc w:val="center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PRODUKTRESUMÉ</w:t>
      </w:r>
    </w:p>
    <w:p w14:paraId="029C959B" w14:textId="77777777" w:rsidR="009260DE" w:rsidRPr="00F552BF" w:rsidRDefault="009260DE" w:rsidP="009260DE">
      <w:pPr>
        <w:jc w:val="center"/>
        <w:rPr>
          <w:b/>
          <w:sz w:val="24"/>
          <w:szCs w:val="24"/>
        </w:rPr>
      </w:pPr>
    </w:p>
    <w:p w14:paraId="4C240006" w14:textId="77777777" w:rsidR="009260DE" w:rsidRPr="00F552BF" w:rsidRDefault="009260DE" w:rsidP="009260DE">
      <w:pPr>
        <w:jc w:val="center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for</w:t>
      </w:r>
    </w:p>
    <w:p w14:paraId="1C21C02C" w14:textId="77777777" w:rsidR="000B058C" w:rsidRPr="00F552BF" w:rsidRDefault="000B058C" w:rsidP="009260DE">
      <w:pPr>
        <w:jc w:val="center"/>
        <w:rPr>
          <w:b/>
          <w:sz w:val="24"/>
          <w:szCs w:val="24"/>
        </w:rPr>
      </w:pPr>
    </w:p>
    <w:p w14:paraId="55D6283B" w14:textId="2BB2DE89" w:rsidR="009260DE" w:rsidRPr="00F552BF" w:rsidRDefault="000D1ACE" w:rsidP="009260DE">
      <w:pPr>
        <w:jc w:val="center"/>
        <w:rPr>
          <w:b/>
          <w:sz w:val="24"/>
          <w:szCs w:val="24"/>
        </w:rPr>
      </w:pPr>
      <w:proofErr w:type="spellStart"/>
      <w:r w:rsidRPr="00F552BF">
        <w:rPr>
          <w:b/>
          <w:sz w:val="24"/>
          <w:szCs w:val="24"/>
        </w:rPr>
        <w:t>Progit</w:t>
      </w:r>
      <w:proofErr w:type="spellEnd"/>
      <w:r w:rsidRPr="00F552BF">
        <w:rPr>
          <w:b/>
          <w:sz w:val="24"/>
          <w:szCs w:val="24"/>
        </w:rPr>
        <w:t>, filmovertrukne tabletter</w:t>
      </w:r>
    </w:p>
    <w:p w14:paraId="13D24DE2" w14:textId="77777777" w:rsidR="009260DE" w:rsidRPr="00F552BF" w:rsidRDefault="009260DE" w:rsidP="009260DE">
      <w:pPr>
        <w:jc w:val="both"/>
        <w:rPr>
          <w:sz w:val="24"/>
          <w:szCs w:val="24"/>
        </w:rPr>
      </w:pPr>
    </w:p>
    <w:p w14:paraId="0602808A" w14:textId="77777777" w:rsidR="009260DE" w:rsidRPr="00F552BF" w:rsidRDefault="009260DE" w:rsidP="009260DE">
      <w:pPr>
        <w:jc w:val="both"/>
        <w:rPr>
          <w:sz w:val="24"/>
          <w:szCs w:val="24"/>
        </w:rPr>
      </w:pPr>
    </w:p>
    <w:p w14:paraId="2909F2C5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0.</w:t>
      </w:r>
      <w:r w:rsidRPr="00F552BF">
        <w:rPr>
          <w:b/>
          <w:sz w:val="24"/>
          <w:szCs w:val="24"/>
        </w:rPr>
        <w:tab/>
        <w:t>D.SP.NR.</w:t>
      </w:r>
    </w:p>
    <w:p w14:paraId="7DB331BA" w14:textId="790163D9" w:rsidR="009260DE" w:rsidRPr="00F552BF" w:rsidRDefault="000D1ACE" w:rsidP="009260DE">
      <w:pPr>
        <w:tabs>
          <w:tab w:val="left" w:pos="851"/>
        </w:tabs>
        <w:ind w:left="851"/>
        <w:rPr>
          <w:sz w:val="24"/>
          <w:szCs w:val="24"/>
        </w:rPr>
      </w:pPr>
      <w:r w:rsidRPr="00F552BF">
        <w:rPr>
          <w:sz w:val="24"/>
          <w:szCs w:val="24"/>
        </w:rPr>
        <w:t>32035</w:t>
      </w:r>
    </w:p>
    <w:p w14:paraId="5E879552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78423C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1.</w:t>
      </w:r>
      <w:r w:rsidRPr="00F552BF">
        <w:rPr>
          <w:b/>
          <w:sz w:val="24"/>
          <w:szCs w:val="24"/>
        </w:rPr>
        <w:tab/>
        <w:t>LÆGEMIDLETS NAVN</w:t>
      </w:r>
    </w:p>
    <w:p w14:paraId="2A91AA4D" w14:textId="16A7CB7B" w:rsidR="009260DE" w:rsidRPr="00F552BF" w:rsidRDefault="000D1ACE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Progit</w:t>
      </w:r>
      <w:proofErr w:type="spellEnd"/>
    </w:p>
    <w:p w14:paraId="313F0FC9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4D5441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2.</w:t>
      </w:r>
      <w:r w:rsidRPr="00F552BF">
        <w:rPr>
          <w:b/>
          <w:sz w:val="24"/>
          <w:szCs w:val="24"/>
        </w:rPr>
        <w:tab/>
        <w:t>KVALITATIV OG KVANTITATIV SAMMENSÆTNING</w:t>
      </w:r>
    </w:p>
    <w:p w14:paraId="7B5F32DD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 xml:space="preserve">Hver filmovertrukket tablet indeholder 50 mg </w:t>
      </w:r>
      <w:proofErr w:type="spellStart"/>
      <w:r w:rsidRPr="00F552BF">
        <w:rPr>
          <w:snapToGrid w:val="0"/>
          <w:sz w:val="24"/>
          <w:szCs w:val="24"/>
        </w:rPr>
        <w:t>itopridhydrochlorid</w:t>
      </w:r>
      <w:proofErr w:type="spellEnd"/>
      <w:r w:rsidRPr="00F552BF">
        <w:rPr>
          <w:snapToGrid w:val="0"/>
          <w:sz w:val="24"/>
          <w:szCs w:val="24"/>
        </w:rPr>
        <w:t>.</w:t>
      </w:r>
    </w:p>
    <w:p w14:paraId="0E2F37A2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</w:p>
    <w:p w14:paraId="4475F255" w14:textId="77777777" w:rsidR="00B3006F" w:rsidRPr="00F552BF" w:rsidRDefault="00B3006F" w:rsidP="00F552BF">
      <w:pPr>
        <w:ind w:left="851"/>
        <w:rPr>
          <w:sz w:val="24"/>
          <w:szCs w:val="24"/>
          <w:u w:val="single"/>
        </w:rPr>
      </w:pPr>
      <w:r w:rsidRPr="00F552BF">
        <w:rPr>
          <w:sz w:val="24"/>
          <w:szCs w:val="24"/>
          <w:u w:val="single"/>
        </w:rPr>
        <w:t>Hjælpestof, som behandleren skal være opmærksom på</w:t>
      </w:r>
    </w:p>
    <w:p w14:paraId="1F3CA434" w14:textId="77777777" w:rsidR="00B3006F" w:rsidRPr="00F552BF" w:rsidRDefault="00B3006F" w:rsidP="00B3006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Hver filmovertrukket tablet indeholder 70,95 mg </w:t>
      </w:r>
      <w:proofErr w:type="spellStart"/>
      <w:r w:rsidRPr="00F552BF">
        <w:rPr>
          <w:sz w:val="24"/>
          <w:szCs w:val="24"/>
        </w:rPr>
        <w:t>lactose</w:t>
      </w:r>
      <w:proofErr w:type="spellEnd"/>
      <w:r w:rsidRPr="00F552BF">
        <w:rPr>
          <w:sz w:val="24"/>
          <w:szCs w:val="24"/>
        </w:rPr>
        <w:t xml:space="preserve"> (som </w:t>
      </w:r>
      <w:proofErr w:type="spellStart"/>
      <w:r w:rsidRPr="00F552BF">
        <w:rPr>
          <w:sz w:val="24"/>
          <w:szCs w:val="24"/>
        </w:rPr>
        <w:t>lactosemonohydrat</w:t>
      </w:r>
      <w:proofErr w:type="spellEnd"/>
      <w:r w:rsidRPr="00F552BF">
        <w:rPr>
          <w:sz w:val="24"/>
          <w:szCs w:val="24"/>
        </w:rPr>
        <w:t>).</w:t>
      </w:r>
    </w:p>
    <w:p w14:paraId="3BE398AB" w14:textId="77777777" w:rsidR="00C210DE" w:rsidRDefault="00C210DE" w:rsidP="00B3006F">
      <w:pPr>
        <w:ind w:left="851"/>
        <w:rPr>
          <w:snapToGrid w:val="0"/>
          <w:sz w:val="24"/>
          <w:szCs w:val="24"/>
        </w:rPr>
      </w:pPr>
    </w:p>
    <w:p w14:paraId="74741E34" w14:textId="337F7621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>Alle hjælpestoffer er anført under pkt. 6.1.</w:t>
      </w:r>
    </w:p>
    <w:p w14:paraId="42BF5D0D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618707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3.</w:t>
      </w:r>
      <w:r w:rsidRPr="00F552BF">
        <w:rPr>
          <w:b/>
          <w:sz w:val="24"/>
          <w:szCs w:val="24"/>
        </w:rPr>
        <w:tab/>
        <w:t>LÆGEMIDDELFORM</w:t>
      </w:r>
    </w:p>
    <w:p w14:paraId="2D90AC49" w14:textId="6CD5742C" w:rsidR="00B3006F" w:rsidRPr="00F552BF" w:rsidRDefault="00B3006F" w:rsidP="00B3006F">
      <w:pPr>
        <w:ind w:left="851"/>
        <w:rPr>
          <w:sz w:val="24"/>
          <w:szCs w:val="24"/>
          <w:lang w:eastAsia="da-DK"/>
        </w:rPr>
      </w:pPr>
      <w:r w:rsidRPr="00F552BF">
        <w:rPr>
          <w:sz w:val="24"/>
          <w:szCs w:val="24"/>
        </w:rPr>
        <w:t>Filmovertruk</w:t>
      </w:r>
      <w:r w:rsidR="002D77AA">
        <w:rPr>
          <w:sz w:val="24"/>
          <w:szCs w:val="24"/>
        </w:rPr>
        <w:t>ne</w:t>
      </w:r>
      <w:r w:rsidRPr="00F552BF">
        <w:rPr>
          <w:sz w:val="24"/>
          <w:szCs w:val="24"/>
        </w:rPr>
        <w:t xml:space="preserve"> tablet</w:t>
      </w:r>
      <w:r w:rsidR="002D77AA">
        <w:rPr>
          <w:sz w:val="24"/>
          <w:szCs w:val="24"/>
        </w:rPr>
        <w:t>ter</w:t>
      </w:r>
    </w:p>
    <w:p w14:paraId="222E3DD2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Hvide til næsten hvide, runde, </w:t>
      </w:r>
      <w:proofErr w:type="spellStart"/>
      <w:r w:rsidRPr="00F552BF">
        <w:rPr>
          <w:sz w:val="24"/>
          <w:szCs w:val="24"/>
        </w:rPr>
        <w:t>bikonvekse</w:t>
      </w:r>
      <w:proofErr w:type="spellEnd"/>
      <w:r w:rsidRPr="00F552BF">
        <w:rPr>
          <w:sz w:val="24"/>
          <w:szCs w:val="24"/>
        </w:rPr>
        <w:t>, filmovertrukne tabletter med delekærv og en diameter på 7 mm.</w:t>
      </w:r>
    </w:p>
    <w:p w14:paraId="630657D6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Tabletten har kun delekærv for at muliggøre deling af tabletten, så den er nemmere at sluge. </w:t>
      </w:r>
    </w:p>
    <w:p w14:paraId="05648F94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>Tabletten kan ikke deles i to lige store doser.</w:t>
      </w:r>
    </w:p>
    <w:p w14:paraId="54F20C26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C8E013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4923AE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</w:t>
      </w:r>
      <w:r w:rsidRPr="00F552BF">
        <w:rPr>
          <w:b/>
          <w:sz w:val="24"/>
          <w:szCs w:val="24"/>
        </w:rPr>
        <w:tab/>
        <w:t>KLINISKE OPLYSNINGER</w:t>
      </w:r>
    </w:p>
    <w:p w14:paraId="55EA7777" w14:textId="77777777" w:rsidR="009260DE" w:rsidRPr="00F552B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EF60559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552BF">
        <w:rPr>
          <w:b/>
          <w:sz w:val="24"/>
          <w:szCs w:val="24"/>
        </w:rPr>
        <w:t>4.1</w:t>
      </w:r>
      <w:r w:rsidRPr="00F552BF">
        <w:rPr>
          <w:b/>
          <w:sz w:val="24"/>
          <w:szCs w:val="24"/>
        </w:rPr>
        <w:tab/>
        <w:t>Terapeutiske indikationer</w:t>
      </w:r>
    </w:p>
    <w:p w14:paraId="1537529D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bookmarkStart w:id="0" w:name="_Hlk56167117"/>
      <w:r w:rsidRPr="00F552BF">
        <w:rPr>
          <w:snapToGrid w:val="0"/>
          <w:sz w:val="24"/>
          <w:szCs w:val="24"/>
        </w:rPr>
        <w:t xml:space="preserve">Behandling af </w:t>
      </w:r>
      <w:proofErr w:type="spellStart"/>
      <w:r w:rsidRPr="00F552BF">
        <w:rPr>
          <w:snapToGrid w:val="0"/>
          <w:sz w:val="24"/>
          <w:szCs w:val="24"/>
        </w:rPr>
        <w:t>gastrointestinale</w:t>
      </w:r>
      <w:proofErr w:type="spellEnd"/>
      <w:r w:rsidRPr="00F552BF">
        <w:rPr>
          <w:snapToGrid w:val="0"/>
          <w:sz w:val="24"/>
          <w:szCs w:val="24"/>
        </w:rPr>
        <w:t xml:space="preserve"> symptomer ved funktionel dyspepsi forårsaget af nedsat </w:t>
      </w:r>
      <w:proofErr w:type="spellStart"/>
      <w:r w:rsidRPr="00F552BF">
        <w:rPr>
          <w:snapToGrid w:val="0"/>
          <w:sz w:val="24"/>
          <w:szCs w:val="24"/>
        </w:rPr>
        <w:t>gastrointestinal</w:t>
      </w:r>
      <w:proofErr w:type="spellEnd"/>
      <w:r w:rsidRPr="00F552BF">
        <w:rPr>
          <w:snapToGrid w:val="0"/>
          <w:sz w:val="24"/>
          <w:szCs w:val="24"/>
        </w:rPr>
        <w:t xml:space="preserve"> </w:t>
      </w:r>
      <w:proofErr w:type="spellStart"/>
      <w:r w:rsidRPr="00F552BF">
        <w:rPr>
          <w:snapToGrid w:val="0"/>
          <w:sz w:val="24"/>
          <w:szCs w:val="24"/>
        </w:rPr>
        <w:t>motilitet</w:t>
      </w:r>
      <w:proofErr w:type="spellEnd"/>
      <w:r w:rsidRPr="00F552BF">
        <w:rPr>
          <w:snapToGrid w:val="0"/>
          <w:sz w:val="24"/>
          <w:szCs w:val="24"/>
        </w:rPr>
        <w:t xml:space="preserve">. </w:t>
      </w:r>
    </w:p>
    <w:p w14:paraId="066909C2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</w:p>
    <w:bookmarkEnd w:id="0"/>
    <w:p w14:paraId="06A81E36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>Lægemidlet er beregnet til voksne.</w:t>
      </w:r>
    </w:p>
    <w:p w14:paraId="7C452F34" w14:textId="2564B94E" w:rsidR="00C210DE" w:rsidRDefault="00C21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25AF5E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30E7C3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4.2</w:t>
      </w:r>
      <w:r w:rsidRPr="00F552BF">
        <w:rPr>
          <w:b/>
          <w:sz w:val="24"/>
          <w:szCs w:val="24"/>
        </w:rPr>
        <w:tab/>
        <w:t xml:space="preserve">Dosering og </w:t>
      </w:r>
      <w:r w:rsidR="002C1EC0" w:rsidRPr="00F552BF">
        <w:rPr>
          <w:b/>
          <w:sz w:val="24"/>
          <w:szCs w:val="24"/>
        </w:rPr>
        <w:t>administration</w:t>
      </w:r>
    </w:p>
    <w:p w14:paraId="709C7388" w14:textId="77777777" w:rsidR="002D77AA" w:rsidRDefault="002D77AA" w:rsidP="00F552BF">
      <w:pPr>
        <w:ind w:left="851"/>
        <w:rPr>
          <w:sz w:val="24"/>
          <w:szCs w:val="24"/>
        </w:rPr>
      </w:pPr>
    </w:p>
    <w:p w14:paraId="6AC789A0" w14:textId="53D6C04F" w:rsidR="00B3006F" w:rsidRPr="002D77AA" w:rsidRDefault="00B3006F" w:rsidP="00F552BF">
      <w:pPr>
        <w:ind w:left="851"/>
        <w:rPr>
          <w:snapToGrid w:val="0"/>
          <w:sz w:val="24"/>
          <w:szCs w:val="24"/>
          <w:u w:val="single"/>
          <w:lang w:eastAsia="da-DK"/>
        </w:rPr>
      </w:pPr>
      <w:r w:rsidRPr="002D77AA">
        <w:rPr>
          <w:sz w:val="24"/>
          <w:szCs w:val="24"/>
          <w:u w:val="single"/>
        </w:rPr>
        <w:t>Dosering</w:t>
      </w:r>
    </w:p>
    <w:p w14:paraId="03F7B0CC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 xml:space="preserve">Den anbefalede dosis til voksne er 1 tablet 3 gange dagligt inden et måltid, svarende til 150 mg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dagligt. Den maksimale daglige dosis er 150 mg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>.</w:t>
      </w:r>
    </w:p>
    <w:p w14:paraId="5046245A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 xml:space="preserve">Denne dosis kan om nødvendigt reduceres under sygdomsforløbet. Den nøjagtige dosis og behandlingsvarighed afhænger af patientens kliniske tilstand. </w:t>
      </w:r>
      <w:proofErr w:type="spellStart"/>
      <w:r w:rsidRPr="00F552BF">
        <w:rPr>
          <w:snapToGrid w:val="0"/>
          <w:sz w:val="24"/>
          <w:szCs w:val="24"/>
        </w:rPr>
        <w:t>Progit</w:t>
      </w:r>
      <w:proofErr w:type="spellEnd"/>
      <w:r w:rsidRPr="00F552BF">
        <w:rPr>
          <w:snapToGrid w:val="0"/>
          <w:sz w:val="24"/>
          <w:szCs w:val="24"/>
        </w:rPr>
        <w:t xml:space="preserve"> må højst anvendes i 8 uger (se pkt. 5.1).</w:t>
      </w:r>
    </w:p>
    <w:p w14:paraId="2DED6AE9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</w:p>
    <w:p w14:paraId="082B3ACC" w14:textId="77777777" w:rsidR="00B3006F" w:rsidRPr="00F552BF" w:rsidRDefault="00B3006F" w:rsidP="00F552BF">
      <w:pPr>
        <w:ind w:left="851"/>
        <w:rPr>
          <w:i/>
          <w:snapToGrid w:val="0"/>
          <w:sz w:val="24"/>
          <w:szCs w:val="24"/>
        </w:rPr>
      </w:pPr>
      <w:r w:rsidRPr="00F552BF">
        <w:rPr>
          <w:i/>
          <w:iCs/>
          <w:snapToGrid w:val="0"/>
          <w:sz w:val="24"/>
          <w:szCs w:val="24"/>
        </w:rPr>
        <w:t>Pædiatrisk population</w:t>
      </w:r>
    </w:p>
    <w:p w14:paraId="7D7B68E4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>Dette lægemiddels sikkerhed hos børn under 16 år er ikke klarlagt.</w:t>
      </w:r>
    </w:p>
    <w:p w14:paraId="0273E94B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</w:p>
    <w:p w14:paraId="33C99C77" w14:textId="77777777" w:rsidR="00B3006F" w:rsidRPr="00F552BF" w:rsidRDefault="00B3006F" w:rsidP="00B3006F">
      <w:pPr>
        <w:ind w:left="851"/>
        <w:rPr>
          <w:i/>
          <w:snapToGrid w:val="0"/>
          <w:sz w:val="24"/>
          <w:szCs w:val="24"/>
        </w:rPr>
      </w:pPr>
      <w:r w:rsidRPr="00F552BF">
        <w:rPr>
          <w:i/>
          <w:iCs/>
          <w:snapToGrid w:val="0"/>
          <w:sz w:val="24"/>
          <w:szCs w:val="24"/>
        </w:rPr>
        <w:t>Nedsat lever- eller nyrefunktion</w:t>
      </w:r>
    </w:p>
    <w:p w14:paraId="5884603E" w14:textId="77777777" w:rsidR="00B3006F" w:rsidRPr="00F552BF" w:rsidRDefault="00B3006F" w:rsidP="00B3006F">
      <w:pPr>
        <w:ind w:left="851"/>
        <w:rPr>
          <w:snapToGrid w:val="0"/>
          <w:color w:val="FF000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</w:t>
      </w:r>
      <w:proofErr w:type="spellStart"/>
      <w:r w:rsidRPr="00F552BF">
        <w:rPr>
          <w:snapToGrid w:val="0"/>
          <w:sz w:val="24"/>
          <w:szCs w:val="24"/>
        </w:rPr>
        <w:t>metaboliseres</w:t>
      </w:r>
      <w:proofErr w:type="spellEnd"/>
      <w:r w:rsidRPr="00F552BF">
        <w:rPr>
          <w:snapToGrid w:val="0"/>
          <w:sz w:val="24"/>
          <w:szCs w:val="24"/>
        </w:rPr>
        <w:t xml:space="preserve"> i leveren.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og dets metabolitter udskilles hovedsagelig gennem nyrerne (se pkt. 5.2). Patienter med nedsat lever- eller nyrefunktion bør overvåges omhyggeligt, og hvis der forekommer bivirkninger, skal der træffes passende foranstaltninger i form af f.eks. reduktion af dosen eller </w:t>
      </w:r>
      <w:proofErr w:type="spellStart"/>
      <w:r w:rsidRPr="00F552BF">
        <w:rPr>
          <w:snapToGrid w:val="0"/>
          <w:sz w:val="24"/>
          <w:szCs w:val="24"/>
        </w:rPr>
        <w:t>seponering</w:t>
      </w:r>
      <w:proofErr w:type="spellEnd"/>
      <w:r w:rsidRPr="00F552BF">
        <w:rPr>
          <w:snapToGrid w:val="0"/>
          <w:sz w:val="24"/>
          <w:szCs w:val="24"/>
        </w:rPr>
        <w:t xml:space="preserve"> af behandlingen.</w:t>
      </w:r>
    </w:p>
    <w:p w14:paraId="696D014A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</w:p>
    <w:p w14:paraId="15D75AC3" w14:textId="77777777" w:rsidR="00B3006F" w:rsidRPr="002D77AA" w:rsidRDefault="00B3006F" w:rsidP="00F552BF">
      <w:pPr>
        <w:ind w:left="851"/>
        <w:rPr>
          <w:i/>
          <w:snapToGrid w:val="0"/>
          <w:sz w:val="24"/>
          <w:szCs w:val="24"/>
        </w:rPr>
      </w:pPr>
      <w:r w:rsidRPr="002D77AA">
        <w:rPr>
          <w:i/>
          <w:snapToGrid w:val="0"/>
          <w:sz w:val="24"/>
          <w:szCs w:val="24"/>
        </w:rPr>
        <w:t>Ældre</w:t>
      </w:r>
    </w:p>
    <w:p w14:paraId="01C1AD61" w14:textId="77777777" w:rsidR="00B3006F" w:rsidRPr="00F552BF" w:rsidRDefault="00B3006F" w:rsidP="00F552B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Kliniske forsøg har vist, at </w:t>
      </w:r>
      <w:proofErr w:type="spellStart"/>
      <w:r w:rsidRPr="00F552BF">
        <w:rPr>
          <w:sz w:val="24"/>
          <w:szCs w:val="24"/>
        </w:rPr>
        <w:t>incidensen</w:t>
      </w:r>
      <w:proofErr w:type="spellEnd"/>
      <w:r w:rsidRPr="00F552BF">
        <w:rPr>
          <w:sz w:val="24"/>
          <w:szCs w:val="24"/>
        </w:rPr>
        <w:t xml:space="preserve"> af bivirkninger hos patienter i alderen 65 år eller derover ikke var højere end hos yngre patienter.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bør administreres med passende forsigtighed hos ældre patienter, da der i denne population oftere ses nedsat lever- og nyrefunktion, andre sygdomme og brug af andre lægemidler.</w:t>
      </w:r>
    </w:p>
    <w:p w14:paraId="7173CB7F" w14:textId="77777777" w:rsidR="00B3006F" w:rsidRPr="00F552BF" w:rsidRDefault="00B3006F" w:rsidP="00F552BF">
      <w:pPr>
        <w:ind w:left="851"/>
        <w:rPr>
          <w:snapToGrid w:val="0"/>
          <w:sz w:val="24"/>
          <w:szCs w:val="24"/>
          <w:u w:val="single"/>
        </w:rPr>
      </w:pPr>
    </w:p>
    <w:p w14:paraId="0252AB05" w14:textId="77777777" w:rsidR="00B3006F" w:rsidRPr="00F552BF" w:rsidRDefault="00B3006F" w:rsidP="00F552BF">
      <w:pPr>
        <w:ind w:left="851"/>
        <w:rPr>
          <w:snapToGrid w:val="0"/>
          <w:sz w:val="24"/>
          <w:szCs w:val="24"/>
          <w:u w:val="single"/>
        </w:rPr>
      </w:pPr>
      <w:r w:rsidRPr="00F552BF">
        <w:rPr>
          <w:snapToGrid w:val="0"/>
          <w:sz w:val="24"/>
          <w:szCs w:val="24"/>
          <w:u w:val="single"/>
        </w:rPr>
        <w:t>Administration</w:t>
      </w:r>
    </w:p>
    <w:p w14:paraId="3877973D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>Tabletterne skal synkes hele med en tilstrækkelig mængde væske inden et måltid.</w:t>
      </w:r>
    </w:p>
    <w:p w14:paraId="3A8E019D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E0BC39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4.3</w:t>
      </w:r>
      <w:r w:rsidRPr="00F552BF">
        <w:rPr>
          <w:b/>
          <w:sz w:val="24"/>
          <w:szCs w:val="24"/>
        </w:rPr>
        <w:tab/>
        <w:t>Kontraindikationer</w:t>
      </w:r>
    </w:p>
    <w:p w14:paraId="2E36930A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>Overfølsomhed over for det aktive stof eller over for et eller flere af hjælpestofferne</w:t>
      </w:r>
      <w:r w:rsidRPr="00F552BF">
        <w:rPr>
          <w:sz w:val="24"/>
          <w:szCs w:val="24"/>
        </w:rPr>
        <w:t xml:space="preserve"> anført i pkt. 6.1</w:t>
      </w:r>
      <w:r w:rsidRPr="00F552BF">
        <w:rPr>
          <w:snapToGrid w:val="0"/>
          <w:sz w:val="24"/>
          <w:szCs w:val="24"/>
        </w:rPr>
        <w:t>.</w:t>
      </w:r>
    </w:p>
    <w:p w14:paraId="7EB3A4F8" w14:textId="77777777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Progit</w:t>
      </w:r>
      <w:proofErr w:type="spellEnd"/>
      <w:r w:rsidRPr="00F552BF">
        <w:rPr>
          <w:sz w:val="24"/>
          <w:szCs w:val="24"/>
        </w:rPr>
        <w:t xml:space="preserve"> 50 mg må ikke anvendes hos patienter, hos hvem øget </w:t>
      </w:r>
      <w:proofErr w:type="spellStart"/>
      <w:r w:rsidRPr="00F552BF">
        <w:rPr>
          <w:sz w:val="24"/>
          <w:szCs w:val="24"/>
        </w:rPr>
        <w:t>gastrointestinal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motilitet</w:t>
      </w:r>
      <w:proofErr w:type="spellEnd"/>
      <w:r w:rsidRPr="00F552BF">
        <w:rPr>
          <w:sz w:val="24"/>
          <w:szCs w:val="24"/>
        </w:rPr>
        <w:t xml:space="preserve"> kan være skadeligt, f.eks. patienter med </w:t>
      </w:r>
      <w:proofErr w:type="spellStart"/>
      <w:r w:rsidRPr="00F552BF">
        <w:rPr>
          <w:sz w:val="24"/>
          <w:szCs w:val="24"/>
        </w:rPr>
        <w:t>gastrointestinal</w:t>
      </w:r>
      <w:proofErr w:type="spellEnd"/>
      <w:r w:rsidRPr="00F552BF">
        <w:rPr>
          <w:sz w:val="24"/>
          <w:szCs w:val="24"/>
        </w:rPr>
        <w:t xml:space="preserve"> blødning, mekanisk obstruktion eller perforation.</w:t>
      </w:r>
    </w:p>
    <w:p w14:paraId="168AE828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F90C96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4.4</w:t>
      </w:r>
      <w:r w:rsidRPr="00F552BF">
        <w:rPr>
          <w:b/>
          <w:sz w:val="24"/>
          <w:szCs w:val="24"/>
        </w:rPr>
        <w:tab/>
        <w:t>Særlige advarsler og forsigtighedsregler vedrørende brugen</w:t>
      </w:r>
    </w:p>
    <w:p w14:paraId="4E4BB1EE" w14:textId="77777777" w:rsidR="00B3006F" w:rsidRPr="00F552BF" w:rsidRDefault="00B3006F" w:rsidP="00B3006F">
      <w:pPr>
        <w:ind w:left="851"/>
        <w:rPr>
          <w:sz w:val="24"/>
          <w:szCs w:val="24"/>
          <w:lang w:eastAsia="da-DK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forstærker acetylkolins aktivitet og kan inducere </w:t>
      </w:r>
      <w:proofErr w:type="spellStart"/>
      <w:r w:rsidRPr="00F552BF">
        <w:rPr>
          <w:sz w:val="24"/>
          <w:szCs w:val="24"/>
        </w:rPr>
        <w:t>kolinerge</w:t>
      </w:r>
      <w:proofErr w:type="spellEnd"/>
      <w:r w:rsidRPr="00F552BF">
        <w:rPr>
          <w:sz w:val="24"/>
          <w:szCs w:val="24"/>
        </w:rPr>
        <w:t xml:space="preserve"> bivirkninger. </w:t>
      </w:r>
    </w:p>
    <w:p w14:paraId="48F5C8AF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Der foreligger ingen data om længerevarende behandling med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>.</w:t>
      </w:r>
    </w:p>
    <w:p w14:paraId="1820B785" w14:textId="77777777" w:rsidR="00B3006F" w:rsidRPr="00F552BF" w:rsidRDefault="00B3006F" w:rsidP="00B3006F">
      <w:pPr>
        <w:ind w:left="851"/>
        <w:rPr>
          <w:sz w:val="24"/>
          <w:szCs w:val="24"/>
        </w:rPr>
      </w:pPr>
    </w:p>
    <w:p w14:paraId="3A2D29E8" w14:textId="77777777" w:rsidR="00B3006F" w:rsidRPr="00F552BF" w:rsidRDefault="00B3006F" w:rsidP="00B3006F">
      <w:pPr>
        <w:ind w:left="851"/>
        <w:rPr>
          <w:i/>
          <w:snapToGrid w:val="0"/>
          <w:sz w:val="24"/>
          <w:szCs w:val="24"/>
        </w:rPr>
      </w:pPr>
      <w:r w:rsidRPr="00F552BF">
        <w:rPr>
          <w:i/>
          <w:iCs/>
          <w:snapToGrid w:val="0"/>
          <w:sz w:val="24"/>
          <w:szCs w:val="24"/>
        </w:rPr>
        <w:t>Nedsat lever- eller nyrefunktion</w:t>
      </w:r>
    </w:p>
    <w:p w14:paraId="71AD72C8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</w:t>
      </w:r>
      <w:proofErr w:type="spellStart"/>
      <w:r w:rsidRPr="00F552BF">
        <w:rPr>
          <w:snapToGrid w:val="0"/>
          <w:sz w:val="24"/>
          <w:szCs w:val="24"/>
        </w:rPr>
        <w:t>metaboliseres</w:t>
      </w:r>
      <w:proofErr w:type="spellEnd"/>
      <w:r w:rsidRPr="00F552BF">
        <w:rPr>
          <w:snapToGrid w:val="0"/>
          <w:sz w:val="24"/>
          <w:szCs w:val="24"/>
        </w:rPr>
        <w:t xml:space="preserve"> i leveren.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og dets metabolitter udskilles hovedsagelig gennem nyrerne. Patienter med nedsat lever- eller nyrefunktion bør overvåges omhyggeligt, og hvis der forekommer bivirkninger, skal der træffes passende foranstaltninger i form af f.eks. reduktion af dosen eller </w:t>
      </w:r>
      <w:proofErr w:type="spellStart"/>
      <w:r w:rsidRPr="00F552BF">
        <w:rPr>
          <w:snapToGrid w:val="0"/>
          <w:sz w:val="24"/>
          <w:szCs w:val="24"/>
        </w:rPr>
        <w:t>seponering</w:t>
      </w:r>
      <w:proofErr w:type="spellEnd"/>
      <w:r w:rsidRPr="00F552BF">
        <w:rPr>
          <w:snapToGrid w:val="0"/>
          <w:sz w:val="24"/>
          <w:szCs w:val="24"/>
        </w:rPr>
        <w:t xml:space="preserve"> af behandlingen.</w:t>
      </w:r>
    </w:p>
    <w:p w14:paraId="26196A21" w14:textId="77777777" w:rsidR="00B3006F" w:rsidRPr="00F552BF" w:rsidRDefault="00B3006F" w:rsidP="00B3006F">
      <w:pPr>
        <w:ind w:left="851"/>
        <w:rPr>
          <w:sz w:val="24"/>
          <w:szCs w:val="24"/>
        </w:rPr>
      </w:pPr>
    </w:p>
    <w:p w14:paraId="3809370D" w14:textId="77777777" w:rsidR="00B3006F" w:rsidRPr="00F552BF" w:rsidRDefault="00B3006F" w:rsidP="00B3006F">
      <w:pPr>
        <w:ind w:left="851"/>
        <w:rPr>
          <w:color w:val="000000"/>
          <w:sz w:val="24"/>
          <w:szCs w:val="24"/>
        </w:rPr>
      </w:pPr>
      <w:r w:rsidRPr="00F552BF">
        <w:rPr>
          <w:color w:val="000000"/>
          <w:sz w:val="24"/>
          <w:szCs w:val="24"/>
        </w:rPr>
        <w:t xml:space="preserve">Bør ikke anvendes til patienter med hereditær </w:t>
      </w:r>
      <w:proofErr w:type="spellStart"/>
      <w:r w:rsidRPr="00F552BF">
        <w:rPr>
          <w:color w:val="000000"/>
          <w:sz w:val="24"/>
          <w:szCs w:val="24"/>
        </w:rPr>
        <w:t>galactoseintolerans</w:t>
      </w:r>
      <w:proofErr w:type="spellEnd"/>
      <w:r w:rsidRPr="00F552BF">
        <w:rPr>
          <w:color w:val="000000"/>
          <w:sz w:val="24"/>
          <w:szCs w:val="24"/>
        </w:rPr>
        <w:t xml:space="preserve">, total </w:t>
      </w:r>
      <w:proofErr w:type="spellStart"/>
      <w:r w:rsidRPr="00F552BF">
        <w:rPr>
          <w:color w:val="000000"/>
          <w:sz w:val="24"/>
          <w:szCs w:val="24"/>
        </w:rPr>
        <w:t>lactasemangel</w:t>
      </w:r>
      <w:proofErr w:type="spellEnd"/>
      <w:r w:rsidRPr="00F552BF">
        <w:rPr>
          <w:color w:val="000000"/>
          <w:sz w:val="24"/>
          <w:szCs w:val="24"/>
        </w:rPr>
        <w:t xml:space="preserve"> eller </w:t>
      </w:r>
      <w:proofErr w:type="spellStart"/>
      <w:r w:rsidRPr="00F552BF">
        <w:rPr>
          <w:color w:val="000000"/>
          <w:sz w:val="24"/>
          <w:szCs w:val="24"/>
        </w:rPr>
        <w:t>glucose</w:t>
      </w:r>
      <w:proofErr w:type="spellEnd"/>
      <w:r w:rsidRPr="00F552BF">
        <w:rPr>
          <w:color w:val="000000"/>
          <w:sz w:val="24"/>
          <w:szCs w:val="24"/>
        </w:rPr>
        <w:t>/</w:t>
      </w:r>
      <w:proofErr w:type="spellStart"/>
      <w:r w:rsidRPr="00F552BF">
        <w:rPr>
          <w:color w:val="000000"/>
          <w:sz w:val="24"/>
          <w:szCs w:val="24"/>
        </w:rPr>
        <w:t>galactosemalabsorption</w:t>
      </w:r>
      <w:proofErr w:type="spellEnd"/>
      <w:r w:rsidRPr="00F552BF">
        <w:rPr>
          <w:color w:val="000000"/>
          <w:sz w:val="24"/>
          <w:szCs w:val="24"/>
        </w:rPr>
        <w:t>.</w:t>
      </w:r>
    </w:p>
    <w:p w14:paraId="5491B700" w14:textId="77777777" w:rsidR="00B3006F" w:rsidRPr="00F552BF" w:rsidRDefault="00B3006F" w:rsidP="00B3006F">
      <w:pPr>
        <w:ind w:left="851"/>
        <w:rPr>
          <w:rFonts w:eastAsiaTheme="majorEastAsia"/>
          <w:sz w:val="24"/>
          <w:szCs w:val="24"/>
        </w:rPr>
      </w:pPr>
    </w:p>
    <w:p w14:paraId="75266D90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>Dette lægemiddel indeholder mindre end 1 mmol natrium (23 mg) pr. tablet og er således stort set natriumfrit.</w:t>
      </w:r>
    </w:p>
    <w:p w14:paraId="4098E754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EF5FED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lastRenderedPageBreak/>
        <w:t>4.5</w:t>
      </w:r>
      <w:r w:rsidRPr="00F552BF">
        <w:rPr>
          <w:b/>
          <w:sz w:val="24"/>
          <w:szCs w:val="24"/>
        </w:rPr>
        <w:tab/>
        <w:t>Interaktion med andre lægemidler og andre former for interaktion</w:t>
      </w:r>
    </w:p>
    <w:p w14:paraId="3E1EEE20" w14:textId="77777777" w:rsidR="00B3006F" w:rsidRPr="00F552BF" w:rsidRDefault="00B3006F" w:rsidP="00B3006F">
      <w:pPr>
        <w:ind w:left="851"/>
        <w:rPr>
          <w:sz w:val="24"/>
          <w:szCs w:val="24"/>
          <w:lang w:eastAsia="da-DK"/>
        </w:rPr>
      </w:pPr>
      <w:r w:rsidRPr="00F552BF">
        <w:rPr>
          <w:sz w:val="24"/>
          <w:szCs w:val="24"/>
        </w:rPr>
        <w:t xml:space="preserve">Der sås ingen interaktion ved administration af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samtidig med </w:t>
      </w:r>
      <w:proofErr w:type="spellStart"/>
      <w:r w:rsidRPr="00F552BF">
        <w:rPr>
          <w:sz w:val="24"/>
          <w:szCs w:val="24"/>
        </w:rPr>
        <w:t>warfarin</w:t>
      </w:r>
      <w:proofErr w:type="spellEnd"/>
      <w:r w:rsidRPr="00F552BF">
        <w:rPr>
          <w:sz w:val="24"/>
          <w:szCs w:val="24"/>
        </w:rPr>
        <w:t xml:space="preserve">, </w:t>
      </w:r>
      <w:proofErr w:type="spellStart"/>
      <w:r w:rsidRPr="00F552BF">
        <w:rPr>
          <w:sz w:val="24"/>
          <w:szCs w:val="24"/>
        </w:rPr>
        <w:t>diazepam</w:t>
      </w:r>
      <w:proofErr w:type="spellEnd"/>
      <w:r w:rsidRPr="00F552BF">
        <w:rPr>
          <w:sz w:val="24"/>
          <w:szCs w:val="24"/>
        </w:rPr>
        <w:t xml:space="preserve">, </w:t>
      </w:r>
      <w:proofErr w:type="spellStart"/>
      <w:r w:rsidRPr="00F552BF">
        <w:rPr>
          <w:sz w:val="24"/>
          <w:szCs w:val="24"/>
        </w:rPr>
        <w:t>diclofenac</w:t>
      </w:r>
      <w:proofErr w:type="spellEnd"/>
      <w:r w:rsidRPr="00F552BF">
        <w:rPr>
          <w:sz w:val="24"/>
          <w:szCs w:val="24"/>
        </w:rPr>
        <w:t xml:space="preserve">, </w:t>
      </w:r>
      <w:proofErr w:type="spellStart"/>
      <w:r w:rsidRPr="00F552BF">
        <w:rPr>
          <w:sz w:val="24"/>
          <w:szCs w:val="24"/>
        </w:rPr>
        <w:t>ticlopidin</w:t>
      </w:r>
      <w:proofErr w:type="spellEnd"/>
      <w:r w:rsidRPr="00F552BF">
        <w:rPr>
          <w:sz w:val="24"/>
          <w:szCs w:val="24"/>
        </w:rPr>
        <w:t xml:space="preserve">, </w:t>
      </w:r>
      <w:proofErr w:type="spellStart"/>
      <w:r w:rsidRPr="00F552BF">
        <w:rPr>
          <w:sz w:val="24"/>
          <w:szCs w:val="24"/>
        </w:rPr>
        <w:t>nifedipin</w:t>
      </w:r>
      <w:proofErr w:type="spellEnd"/>
      <w:r w:rsidRPr="00F552BF">
        <w:rPr>
          <w:sz w:val="24"/>
          <w:szCs w:val="24"/>
        </w:rPr>
        <w:t xml:space="preserve"> eller </w:t>
      </w:r>
      <w:proofErr w:type="spellStart"/>
      <w:r w:rsidRPr="00F552BF">
        <w:rPr>
          <w:sz w:val="24"/>
          <w:szCs w:val="24"/>
        </w:rPr>
        <w:t>nicardipin</w:t>
      </w:r>
      <w:proofErr w:type="spellEnd"/>
      <w:r w:rsidRPr="00F552BF">
        <w:rPr>
          <w:sz w:val="24"/>
          <w:szCs w:val="24"/>
        </w:rPr>
        <w:t xml:space="preserve">. </w:t>
      </w:r>
    </w:p>
    <w:p w14:paraId="43A22355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Lægemiddelinteraktioner, der opstår ved </w:t>
      </w:r>
      <w:proofErr w:type="spellStart"/>
      <w:r w:rsidRPr="00F552BF">
        <w:rPr>
          <w:sz w:val="24"/>
          <w:szCs w:val="24"/>
        </w:rPr>
        <w:t>cytochrom</w:t>
      </w:r>
      <w:proofErr w:type="spellEnd"/>
      <w:r w:rsidRPr="00F552BF">
        <w:rPr>
          <w:sz w:val="24"/>
          <w:szCs w:val="24"/>
        </w:rPr>
        <w:t xml:space="preserve"> P450-metabolisering, forventes ikke, da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hovedsagelig </w:t>
      </w:r>
      <w:proofErr w:type="spellStart"/>
      <w:r w:rsidRPr="00F552BF">
        <w:rPr>
          <w:sz w:val="24"/>
          <w:szCs w:val="24"/>
        </w:rPr>
        <w:t>metaboliseres</w:t>
      </w:r>
      <w:proofErr w:type="spellEnd"/>
      <w:r w:rsidRPr="00F552BF">
        <w:rPr>
          <w:sz w:val="24"/>
          <w:szCs w:val="24"/>
        </w:rPr>
        <w:t xml:space="preserve"> ved </w:t>
      </w:r>
      <w:proofErr w:type="spellStart"/>
      <w:r w:rsidRPr="00F552BF">
        <w:rPr>
          <w:sz w:val="24"/>
          <w:szCs w:val="24"/>
        </w:rPr>
        <w:t>flavin-holdig</w:t>
      </w:r>
      <w:proofErr w:type="spellEnd"/>
      <w:r w:rsidRPr="00F552BF">
        <w:rPr>
          <w:sz w:val="24"/>
          <w:szCs w:val="24"/>
        </w:rPr>
        <w:t xml:space="preserve"> monooxygenase. </w:t>
      </w:r>
    </w:p>
    <w:p w14:paraId="3E324853" w14:textId="21A2C903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har </w:t>
      </w:r>
      <w:proofErr w:type="spellStart"/>
      <w:r w:rsidRPr="00F552BF">
        <w:rPr>
          <w:sz w:val="24"/>
          <w:szCs w:val="24"/>
        </w:rPr>
        <w:t>gastrokinetisk</w:t>
      </w:r>
      <w:proofErr w:type="spellEnd"/>
      <w:r w:rsidRPr="00F552BF">
        <w:rPr>
          <w:sz w:val="24"/>
          <w:szCs w:val="24"/>
        </w:rPr>
        <w:t xml:space="preserve"> effekt, der kan have indvirkning på absorptionen af samtidigt administrerede orale lægemidler. Man skal være særligt opmærksom på lægemidler med et snævert terapeutisk indeks, lægemidler i depotformuleringer og </w:t>
      </w:r>
      <w:proofErr w:type="spellStart"/>
      <w:r w:rsidRPr="00F552BF">
        <w:rPr>
          <w:sz w:val="24"/>
          <w:szCs w:val="24"/>
        </w:rPr>
        <w:t>gastro</w:t>
      </w:r>
      <w:proofErr w:type="spellEnd"/>
      <w:r w:rsidRPr="00F552BF">
        <w:rPr>
          <w:sz w:val="24"/>
          <w:szCs w:val="24"/>
        </w:rPr>
        <w:t xml:space="preserve">-resistente lægemidler. </w:t>
      </w:r>
    </w:p>
    <w:p w14:paraId="2A0D66D4" w14:textId="77777777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Antikolinerge</w:t>
      </w:r>
      <w:proofErr w:type="spellEnd"/>
      <w:r w:rsidRPr="00F552BF">
        <w:rPr>
          <w:sz w:val="24"/>
          <w:szCs w:val="24"/>
        </w:rPr>
        <w:t xml:space="preserve"> stoffer kan reducere virkningen af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. </w:t>
      </w:r>
    </w:p>
    <w:p w14:paraId="5F2EA237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Stoffer som </w:t>
      </w:r>
      <w:proofErr w:type="spellStart"/>
      <w:r w:rsidRPr="00F552BF">
        <w:rPr>
          <w:sz w:val="24"/>
          <w:szCs w:val="24"/>
        </w:rPr>
        <w:t>cimetidin</w:t>
      </w:r>
      <w:proofErr w:type="spellEnd"/>
      <w:r w:rsidRPr="00F552BF">
        <w:rPr>
          <w:sz w:val="24"/>
          <w:szCs w:val="24"/>
        </w:rPr>
        <w:t xml:space="preserve">, </w:t>
      </w:r>
      <w:proofErr w:type="spellStart"/>
      <w:r w:rsidRPr="00F552BF">
        <w:rPr>
          <w:sz w:val="24"/>
          <w:szCs w:val="24"/>
        </w:rPr>
        <w:t>ranitidin</w:t>
      </w:r>
      <w:proofErr w:type="spellEnd"/>
      <w:r w:rsidRPr="00F552BF">
        <w:rPr>
          <w:sz w:val="24"/>
          <w:szCs w:val="24"/>
        </w:rPr>
        <w:t xml:space="preserve">, </w:t>
      </w:r>
      <w:proofErr w:type="spellStart"/>
      <w:r w:rsidRPr="00F552BF">
        <w:rPr>
          <w:sz w:val="24"/>
          <w:szCs w:val="24"/>
        </w:rPr>
        <w:t>teprenon</w:t>
      </w:r>
      <w:proofErr w:type="spellEnd"/>
      <w:r w:rsidRPr="00F552BF">
        <w:rPr>
          <w:sz w:val="24"/>
          <w:szCs w:val="24"/>
        </w:rPr>
        <w:t xml:space="preserve"> og </w:t>
      </w:r>
      <w:proofErr w:type="spellStart"/>
      <w:r w:rsidRPr="00F552BF">
        <w:rPr>
          <w:sz w:val="24"/>
          <w:szCs w:val="24"/>
        </w:rPr>
        <w:t>cetrexat</w:t>
      </w:r>
      <w:proofErr w:type="spellEnd"/>
      <w:r w:rsidRPr="00F552BF">
        <w:rPr>
          <w:sz w:val="24"/>
          <w:szCs w:val="24"/>
        </w:rPr>
        <w:t xml:space="preserve"> har ingen indvirkning på </w:t>
      </w:r>
      <w:proofErr w:type="spellStart"/>
      <w:r w:rsidRPr="00F552BF">
        <w:rPr>
          <w:sz w:val="24"/>
          <w:szCs w:val="24"/>
        </w:rPr>
        <w:t>itoprids</w:t>
      </w:r>
      <w:proofErr w:type="spellEnd"/>
      <w:r w:rsidRPr="00F552BF">
        <w:rPr>
          <w:sz w:val="24"/>
          <w:szCs w:val="24"/>
        </w:rPr>
        <w:t xml:space="preserve"> prokinetiske aktivitet.</w:t>
      </w:r>
    </w:p>
    <w:p w14:paraId="62E1B1A7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6938C0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4.6</w:t>
      </w:r>
      <w:r w:rsidRPr="00F552BF">
        <w:rPr>
          <w:b/>
          <w:sz w:val="24"/>
          <w:szCs w:val="24"/>
        </w:rPr>
        <w:tab/>
      </w:r>
      <w:r w:rsidR="0071241E" w:rsidRPr="00F552BF">
        <w:rPr>
          <w:b/>
          <w:sz w:val="24"/>
          <w:szCs w:val="24"/>
        </w:rPr>
        <w:t>Fertilitet, g</w:t>
      </w:r>
      <w:r w:rsidRPr="00F552BF">
        <w:rPr>
          <w:b/>
          <w:sz w:val="24"/>
          <w:szCs w:val="24"/>
        </w:rPr>
        <w:t>raviditet og amning</w:t>
      </w:r>
    </w:p>
    <w:p w14:paraId="23B55701" w14:textId="77777777" w:rsidR="002D77AA" w:rsidRDefault="002D77AA" w:rsidP="00F552BF">
      <w:pPr>
        <w:ind w:left="851"/>
        <w:rPr>
          <w:snapToGrid w:val="0"/>
          <w:sz w:val="24"/>
          <w:szCs w:val="24"/>
        </w:rPr>
      </w:pPr>
      <w:bookmarkStart w:id="1" w:name="_Hlk56061078"/>
    </w:p>
    <w:p w14:paraId="06DDF1C9" w14:textId="3D092AA2" w:rsidR="00B3006F" w:rsidRPr="002D77AA" w:rsidRDefault="00B3006F" w:rsidP="00F552BF">
      <w:pPr>
        <w:ind w:left="851"/>
        <w:rPr>
          <w:snapToGrid w:val="0"/>
          <w:sz w:val="24"/>
          <w:szCs w:val="24"/>
          <w:u w:val="single"/>
          <w:lang w:eastAsia="da-DK"/>
        </w:rPr>
      </w:pPr>
      <w:r w:rsidRPr="002D77AA">
        <w:rPr>
          <w:snapToGrid w:val="0"/>
          <w:sz w:val="24"/>
          <w:szCs w:val="24"/>
          <w:u w:val="single"/>
        </w:rPr>
        <w:t>Graviditet</w:t>
      </w:r>
    </w:p>
    <w:p w14:paraId="0B916FFC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 xml:space="preserve">Der er ingen eller utilstrækkelige data fra anvendelse af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til gravide kvinder. Derfor må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kun anvendes hos gravide og fertile kvinder, hvis de terapeutiske fordele opvejer de mulige risici betydeligt. </w:t>
      </w:r>
    </w:p>
    <w:p w14:paraId="6581C05B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</w:p>
    <w:p w14:paraId="3DBD4A89" w14:textId="77777777" w:rsidR="00B3006F" w:rsidRPr="002D77AA" w:rsidRDefault="00B3006F" w:rsidP="00F552BF">
      <w:pPr>
        <w:ind w:left="851"/>
        <w:rPr>
          <w:snapToGrid w:val="0"/>
          <w:sz w:val="24"/>
          <w:szCs w:val="24"/>
          <w:u w:val="single"/>
        </w:rPr>
      </w:pPr>
      <w:r w:rsidRPr="002D77AA">
        <w:rPr>
          <w:snapToGrid w:val="0"/>
          <w:sz w:val="24"/>
          <w:szCs w:val="24"/>
          <w:u w:val="single"/>
        </w:rPr>
        <w:t>Amning</w:t>
      </w:r>
    </w:p>
    <w:p w14:paraId="21E13DB1" w14:textId="77777777" w:rsidR="00B3006F" w:rsidRPr="00F552BF" w:rsidRDefault="00B3006F" w:rsidP="00F552BF">
      <w:pPr>
        <w:ind w:left="851"/>
        <w:rPr>
          <w:snapToGrid w:val="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udskilles i mælken hos diegivende rotter. På grund af potentialet for bivirkninger hos spædbørn skal det besluttes, om amning skal ophøre eller behandling med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undlades, under hensyn til fordelene ved amning for barnet i forhold til de terapeutiske fordele for moderen.</w:t>
      </w:r>
    </w:p>
    <w:p w14:paraId="5908738F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</w:p>
    <w:bookmarkEnd w:id="1"/>
    <w:p w14:paraId="344620FF" w14:textId="77777777" w:rsidR="00B3006F" w:rsidRPr="00F552BF" w:rsidRDefault="00B3006F" w:rsidP="00B3006F">
      <w:pPr>
        <w:ind w:left="851"/>
        <w:rPr>
          <w:snapToGrid w:val="0"/>
          <w:sz w:val="24"/>
          <w:szCs w:val="24"/>
          <w:u w:val="single"/>
        </w:rPr>
      </w:pPr>
      <w:r w:rsidRPr="00F552BF">
        <w:rPr>
          <w:snapToGrid w:val="0"/>
          <w:sz w:val="24"/>
          <w:szCs w:val="24"/>
          <w:u w:val="single"/>
        </w:rPr>
        <w:t>Fertilitet</w:t>
      </w:r>
    </w:p>
    <w:p w14:paraId="016CADA2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 xml:space="preserve">Der er ikke påvist nogen indvirkning på fertiliteten ved brug af </w:t>
      </w:r>
      <w:proofErr w:type="spellStart"/>
      <w:r w:rsidRPr="00F552BF">
        <w:rPr>
          <w:snapToGrid w:val="0"/>
          <w:sz w:val="24"/>
          <w:szCs w:val="24"/>
        </w:rPr>
        <w:t>itoprid</w:t>
      </w:r>
      <w:proofErr w:type="spellEnd"/>
      <w:r w:rsidRPr="00F552BF">
        <w:rPr>
          <w:snapToGrid w:val="0"/>
          <w:sz w:val="24"/>
          <w:szCs w:val="24"/>
        </w:rPr>
        <w:t xml:space="preserve"> (se pkt. 5.3).</w:t>
      </w:r>
    </w:p>
    <w:p w14:paraId="69424D8B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A5AD8E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4.7</w:t>
      </w:r>
      <w:r w:rsidRPr="00F552BF">
        <w:rPr>
          <w:b/>
          <w:sz w:val="24"/>
          <w:szCs w:val="24"/>
        </w:rPr>
        <w:tab/>
        <w:t xml:space="preserve">Virkning på evnen til at føre motorkøretøj </w:t>
      </w:r>
      <w:r w:rsidR="0071241E" w:rsidRPr="00F552BF">
        <w:rPr>
          <w:b/>
          <w:sz w:val="24"/>
          <w:szCs w:val="24"/>
        </w:rPr>
        <w:t>og</w:t>
      </w:r>
      <w:r w:rsidRPr="00F552BF">
        <w:rPr>
          <w:b/>
          <w:sz w:val="24"/>
          <w:szCs w:val="24"/>
        </w:rPr>
        <w:t xml:space="preserve"> betjene maskiner</w:t>
      </w:r>
    </w:p>
    <w:p w14:paraId="4DBF1C8D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 xml:space="preserve">Ikke mærkning </w:t>
      </w:r>
    </w:p>
    <w:p w14:paraId="37B723B1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napToGrid w:val="0"/>
          <w:sz w:val="24"/>
          <w:szCs w:val="24"/>
        </w:rPr>
        <w:t>Det er ikke påvist nogen indvirkning på evnen til at føre motorkøretøj og betjene maskiner, men en svækkelse af opmærksomheden kan ikke udelukkes, da der i meget sjældne tilfælde kan forekomme svimmelhed.</w:t>
      </w:r>
    </w:p>
    <w:p w14:paraId="536DC252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C4B11D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4.8</w:t>
      </w:r>
      <w:r w:rsidRPr="00F552BF">
        <w:rPr>
          <w:b/>
          <w:sz w:val="24"/>
          <w:szCs w:val="24"/>
        </w:rPr>
        <w:tab/>
        <w:t>Bivirkninger</w:t>
      </w:r>
    </w:p>
    <w:p w14:paraId="1BDB131D" w14:textId="77777777" w:rsidR="00B3006F" w:rsidRPr="00F552BF" w:rsidRDefault="00B3006F" w:rsidP="00B3006F">
      <w:pPr>
        <w:ind w:left="851"/>
        <w:rPr>
          <w:sz w:val="24"/>
          <w:szCs w:val="24"/>
          <w:lang w:eastAsia="da-DK"/>
        </w:rPr>
      </w:pPr>
      <w:r w:rsidRPr="00F552BF">
        <w:rPr>
          <w:sz w:val="24"/>
          <w:szCs w:val="24"/>
        </w:rPr>
        <w:t xml:space="preserve">Bivirkningerne er opstillet efter hyppighed i henhold til </w:t>
      </w:r>
      <w:proofErr w:type="spellStart"/>
      <w:r w:rsidRPr="00F552BF">
        <w:rPr>
          <w:sz w:val="24"/>
          <w:szCs w:val="24"/>
        </w:rPr>
        <w:t>MedDRA</w:t>
      </w:r>
      <w:proofErr w:type="spellEnd"/>
      <w:r w:rsidRPr="00F552BF">
        <w:rPr>
          <w:sz w:val="24"/>
          <w:szCs w:val="24"/>
        </w:rPr>
        <w:t>-terminologien under anvendelse af følgende konvention:</w:t>
      </w:r>
    </w:p>
    <w:p w14:paraId="3E7910D5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>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14:paraId="4587984A" w14:textId="77777777" w:rsidR="00B3006F" w:rsidRPr="00F552BF" w:rsidRDefault="00B3006F" w:rsidP="00B3006F">
      <w:pPr>
        <w:ind w:left="851"/>
        <w:rPr>
          <w:sz w:val="24"/>
          <w:szCs w:val="24"/>
        </w:rPr>
      </w:pPr>
    </w:p>
    <w:p w14:paraId="7DEA31B6" w14:textId="77777777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var veltolereret, og der sås ingen alvorlige bivirkninger under de kliniske forsøg.</w:t>
      </w:r>
    </w:p>
    <w:p w14:paraId="1C82035D" w14:textId="77777777" w:rsidR="00B3006F" w:rsidRPr="00F552BF" w:rsidRDefault="00B3006F" w:rsidP="00B3006F">
      <w:pPr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3006F" w:rsidRPr="00F552BF" w14:paraId="02518175" w14:textId="77777777" w:rsidTr="00B3006F">
        <w:trPr>
          <w:tblHeader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E28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Systemorganklasse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74A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Bivirkninger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C4CB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Hyppighed</w:t>
            </w:r>
          </w:p>
        </w:tc>
      </w:tr>
      <w:tr w:rsidR="00B3006F" w:rsidRPr="00F552BF" w14:paraId="15EE5E3B" w14:textId="77777777" w:rsidTr="00B3006F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397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Blod og lymfesystem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02C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proofErr w:type="spellStart"/>
            <w:r w:rsidRPr="00F552BF">
              <w:rPr>
                <w:sz w:val="24"/>
                <w:szCs w:val="24"/>
              </w:rPr>
              <w:t>Leukopeni</w:t>
            </w:r>
            <w:proofErr w:type="spellEnd"/>
            <w:r w:rsidRPr="00F552BF">
              <w:rPr>
                <w:sz w:val="24"/>
                <w:szCs w:val="24"/>
              </w:rPr>
              <w:t>*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C7D1" w14:textId="77777777" w:rsidR="00B3006F" w:rsidRPr="00F552BF" w:rsidRDefault="00B3006F">
            <w:pPr>
              <w:rPr>
                <w:iCs/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198A0B61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A93A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992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proofErr w:type="spellStart"/>
            <w:r w:rsidRPr="00F552BF">
              <w:rPr>
                <w:sz w:val="24"/>
                <w:szCs w:val="24"/>
              </w:rPr>
              <w:t>Trombocytopeni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310" w14:textId="77777777" w:rsidR="00B3006F" w:rsidRPr="00F552BF" w:rsidRDefault="00B3006F">
            <w:pPr>
              <w:rPr>
                <w:iCs/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7358D3B8" w14:textId="77777777" w:rsidTr="00B3006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556A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Immunsystemet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0CB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proofErr w:type="spellStart"/>
            <w:r w:rsidRPr="00F552BF">
              <w:rPr>
                <w:sz w:val="24"/>
                <w:szCs w:val="24"/>
              </w:rPr>
              <w:t>Anafylaktoid</w:t>
            </w:r>
            <w:proofErr w:type="spellEnd"/>
            <w:r w:rsidRPr="00F552BF">
              <w:rPr>
                <w:sz w:val="24"/>
                <w:szCs w:val="24"/>
              </w:rPr>
              <w:t xml:space="preserve"> reaktion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B0E" w14:textId="77777777" w:rsidR="00B3006F" w:rsidRPr="00F552BF" w:rsidRDefault="00B3006F">
            <w:pPr>
              <w:rPr>
                <w:iCs/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700F10D2" w14:textId="77777777" w:rsidTr="00B3006F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FAB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Det endokrine system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467C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proofErr w:type="spellStart"/>
            <w:r w:rsidRPr="00F552BF">
              <w:rPr>
                <w:sz w:val="24"/>
                <w:szCs w:val="24"/>
              </w:rPr>
              <w:t>Hyperprolaktinæmi</w:t>
            </w:r>
            <w:proofErr w:type="spellEnd"/>
            <w:r w:rsidRPr="00F552BF">
              <w:rPr>
                <w:sz w:val="24"/>
                <w:szCs w:val="24"/>
              </w:rPr>
              <w:t>**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C1D6" w14:textId="77777777" w:rsidR="00B3006F" w:rsidRPr="00F552BF" w:rsidRDefault="00B3006F">
            <w:pPr>
              <w:rPr>
                <w:iCs/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48DD8806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3FA7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AAC8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proofErr w:type="spellStart"/>
            <w:r w:rsidRPr="00F552BF">
              <w:rPr>
                <w:sz w:val="24"/>
                <w:szCs w:val="24"/>
              </w:rPr>
              <w:t>Gynækomasti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E94" w14:textId="77777777" w:rsidR="00B3006F" w:rsidRPr="00F552BF" w:rsidRDefault="00B3006F">
            <w:pPr>
              <w:rPr>
                <w:iCs/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5B9BECD7" w14:textId="77777777" w:rsidTr="00B3006F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3A39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Nervesystemet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A10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Hovedpine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2D4E" w14:textId="77777777" w:rsidR="00B3006F" w:rsidRPr="00F552BF" w:rsidRDefault="00B3006F">
            <w:pPr>
              <w:rPr>
                <w:iCs/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2E2C680A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D657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801A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Svimmelhed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3DA2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473D2763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0898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B91" w14:textId="77777777" w:rsidR="00B3006F" w:rsidRPr="00F552BF" w:rsidRDefault="00B3006F">
            <w:pPr>
              <w:rPr>
                <w:sz w:val="24"/>
                <w:szCs w:val="24"/>
              </w:rPr>
            </w:pPr>
            <w:proofErr w:type="spellStart"/>
            <w:r w:rsidRPr="00F552BF">
              <w:rPr>
                <w:sz w:val="24"/>
                <w:szCs w:val="24"/>
              </w:rPr>
              <w:t>Tremor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655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7F5F86AC" w14:textId="77777777" w:rsidTr="00B3006F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D6C3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Mave-tarm-kanalen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97E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Diarré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1885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11CBA25A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64F5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D8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Forstoppelse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DE5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45CAF625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0719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30F6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Mavesmerter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0FE8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1831E52C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D27E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893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Øget spytproduktion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036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almindelig</w:t>
            </w:r>
          </w:p>
        </w:tc>
      </w:tr>
      <w:tr w:rsidR="00B3006F" w:rsidRPr="00F552BF" w14:paraId="1B5689B4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7C62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ACAA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Kvalme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9A2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4A58202A" w14:textId="77777777" w:rsidTr="00B3006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8DAA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Lever og galdeveje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9356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Gulsot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F9E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6D45A116" w14:textId="77777777" w:rsidTr="00B3006F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4D7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Hud og subkutane væv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DD2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Udslæt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003B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Sjælden</w:t>
            </w:r>
          </w:p>
        </w:tc>
      </w:tr>
      <w:tr w:rsidR="00B3006F" w:rsidRPr="00F552BF" w14:paraId="01244EEE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B80A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129A" w14:textId="77777777" w:rsidR="00B3006F" w:rsidRPr="00F552BF" w:rsidRDefault="00B3006F">
            <w:pPr>
              <w:rPr>
                <w:sz w:val="24"/>
                <w:szCs w:val="24"/>
              </w:rPr>
            </w:pPr>
            <w:proofErr w:type="spellStart"/>
            <w:r w:rsidRPr="00F552BF">
              <w:rPr>
                <w:sz w:val="24"/>
                <w:szCs w:val="24"/>
              </w:rPr>
              <w:t>Erytem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75EA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Sjælden</w:t>
            </w:r>
          </w:p>
        </w:tc>
      </w:tr>
      <w:tr w:rsidR="00B3006F" w:rsidRPr="00F552BF" w14:paraId="7947B9A3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A76C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576" w14:textId="77777777" w:rsidR="00B3006F" w:rsidRPr="00F552BF" w:rsidRDefault="00B3006F">
            <w:pPr>
              <w:rPr>
                <w:sz w:val="24"/>
                <w:szCs w:val="24"/>
              </w:rPr>
            </w:pPr>
            <w:proofErr w:type="spellStart"/>
            <w:r w:rsidRPr="00F552BF">
              <w:rPr>
                <w:sz w:val="24"/>
                <w:szCs w:val="24"/>
              </w:rPr>
              <w:t>Pruritus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FC08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Sjælden</w:t>
            </w:r>
          </w:p>
        </w:tc>
      </w:tr>
      <w:tr w:rsidR="00B3006F" w:rsidRPr="00F552BF" w14:paraId="1DB49883" w14:textId="77777777" w:rsidTr="00B3006F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049" w14:textId="77777777" w:rsidR="00B3006F" w:rsidRPr="00F552BF" w:rsidRDefault="00B3006F">
            <w:pPr>
              <w:rPr>
                <w:sz w:val="24"/>
                <w:szCs w:val="24"/>
                <w:u w:val="single"/>
              </w:rPr>
            </w:pPr>
            <w:r w:rsidRPr="00F552BF">
              <w:rPr>
                <w:sz w:val="24"/>
                <w:szCs w:val="24"/>
                <w:u w:val="single"/>
              </w:rPr>
              <w:t>Undersøgelser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13EA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Forhøjet ASAT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D838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1ABCCDF3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DF6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7E13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Forhøjet ALAT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7239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6E0C880A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A391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C5AC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Forhøjet gamma-GTP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2B7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69634FBD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E55C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2D5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Forhøjet basisk fosfatase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B53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  <w:tr w:rsidR="00B3006F" w:rsidRPr="00F552BF" w14:paraId="5EBFB4B6" w14:textId="77777777" w:rsidTr="00B3006F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F588" w14:textId="77777777" w:rsidR="00B3006F" w:rsidRPr="00F552BF" w:rsidRDefault="00B3006F">
            <w:pPr>
              <w:rPr>
                <w:rFonts w:eastAsiaTheme="majorEastAsia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D27" w14:textId="77777777" w:rsidR="00B3006F" w:rsidRPr="00F552BF" w:rsidRDefault="00B3006F">
            <w:pPr>
              <w:rPr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Forhøjet bilirubin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243B" w14:textId="77777777" w:rsidR="00B3006F" w:rsidRPr="00F552BF" w:rsidRDefault="00B3006F">
            <w:pPr>
              <w:rPr>
                <w:iCs/>
                <w:sz w:val="24"/>
                <w:szCs w:val="24"/>
              </w:rPr>
            </w:pPr>
            <w:r w:rsidRPr="00F552BF">
              <w:rPr>
                <w:sz w:val="24"/>
                <w:szCs w:val="24"/>
              </w:rPr>
              <w:t>Ikke kendt</w:t>
            </w:r>
          </w:p>
        </w:tc>
      </w:tr>
    </w:tbl>
    <w:p w14:paraId="7B849CAE" w14:textId="77777777" w:rsidR="00B3006F" w:rsidRPr="00F552BF" w:rsidRDefault="00B3006F" w:rsidP="00B3006F">
      <w:pPr>
        <w:rPr>
          <w:rFonts w:eastAsiaTheme="majorEastAsia"/>
          <w:sz w:val="24"/>
          <w:szCs w:val="24"/>
        </w:rPr>
      </w:pPr>
      <w:r w:rsidRPr="00F552BF">
        <w:rPr>
          <w:sz w:val="24"/>
          <w:szCs w:val="24"/>
        </w:rPr>
        <w:t>* Der bør ske omhyggelig overvågning via hæmatologisk undersøgelse. Behandlingen bør seponeres ved konstatering af anomale værdier.</w:t>
      </w:r>
    </w:p>
    <w:p w14:paraId="297BB500" w14:textId="77777777" w:rsidR="00B3006F" w:rsidRPr="00F552BF" w:rsidRDefault="00B3006F" w:rsidP="00B3006F">
      <w:pPr>
        <w:rPr>
          <w:sz w:val="24"/>
          <w:szCs w:val="24"/>
        </w:rPr>
      </w:pPr>
      <w:r w:rsidRPr="00F552BF">
        <w:rPr>
          <w:sz w:val="24"/>
          <w:szCs w:val="24"/>
        </w:rPr>
        <w:t xml:space="preserve">** Hvis der opstår </w:t>
      </w:r>
      <w:proofErr w:type="spellStart"/>
      <w:r w:rsidRPr="00F552BF">
        <w:rPr>
          <w:sz w:val="24"/>
          <w:szCs w:val="24"/>
        </w:rPr>
        <w:t>galaktorré</w:t>
      </w:r>
      <w:proofErr w:type="spellEnd"/>
      <w:r w:rsidRPr="00F552BF">
        <w:rPr>
          <w:sz w:val="24"/>
          <w:szCs w:val="24"/>
        </w:rPr>
        <w:t xml:space="preserve"> eller </w:t>
      </w:r>
      <w:proofErr w:type="spellStart"/>
      <w:r w:rsidRPr="00F552BF">
        <w:rPr>
          <w:sz w:val="24"/>
          <w:szCs w:val="24"/>
        </w:rPr>
        <w:t>gynækomasti</w:t>
      </w:r>
      <w:proofErr w:type="spellEnd"/>
      <w:r w:rsidRPr="00F552BF">
        <w:rPr>
          <w:sz w:val="24"/>
          <w:szCs w:val="24"/>
        </w:rPr>
        <w:t>, skal behandlingen afbrydes eller afsluttes.</w:t>
      </w:r>
    </w:p>
    <w:p w14:paraId="09DB8929" w14:textId="77777777" w:rsidR="00B3006F" w:rsidRPr="00F552BF" w:rsidRDefault="00B3006F" w:rsidP="00B3006F">
      <w:pPr>
        <w:rPr>
          <w:sz w:val="24"/>
          <w:szCs w:val="24"/>
        </w:rPr>
      </w:pPr>
    </w:p>
    <w:p w14:paraId="46299A4C" w14:textId="77777777" w:rsidR="00B3006F" w:rsidRPr="00F552BF" w:rsidRDefault="00B3006F" w:rsidP="00F552BF">
      <w:pPr>
        <w:ind w:left="851"/>
        <w:rPr>
          <w:sz w:val="24"/>
          <w:szCs w:val="24"/>
          <w:u w:val="single"/>
        </w:rPr>
      </w:pPr>
      <w:r w:rsidRPr="00F552BF">
        <w:rPr>
          <w:sz w:val="24"/>
          <w:szCs w:val="24"/>
          <w:u w:val="single"/>
        </w:rPr>
        <w:t xml:space="preserve">Indberetning </w:t>
      </w:r>
      <w:r w:rsidRPr="00F552BF">
        <w:rPr>
          <w:snapToGrid w:val="0"/>
          <w:sz w:val="24"/>
          <w:szCs w:val="24"/>
          <w:u w:val="single"/>
        </w:rPr>
        <w:t>af</w:t>
      </w:r>
      <w:r w:rsidRPr="00F552BF">
        <w:rPr>
          <w:sz w:val="24"/>
          <w:szCs w:val="24"/>
          <w:u w:val="single"/>
        </w:rPr>
        <w:t xml:space="preserve"> formodede bivirkninger</w:t>
      </w:r>
    </w:p>
    <w:p w14:paraId="45113C7C" w14:textId="3F4E1140" w:rsidR="00B3006F" w:rsidRPr="00F552BF" w:rsidRDefault="00B3006F" w:rsidP="00F552B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552BF">
        <w:rPr>
          <w:sz w:val="24"/>
          <w:szCs w:val="24"/>
        </w:rPr>
        <w:t>risk</w:t>
      </w:r>
      <w:proofErr w:type="spellEnd"/>
      <w:r w:rsidRPr="00F552BF">
        <w:rPr>
          <w:sz w:val="24"/>
          <w:szCs w:val="24"/>
        </w:rPr>
        <w:t>-forholdet for lægemidlet. Sundhedspersoner anmodes om at indberette alle formodede bivirkninger via</w:t>
      </w:r>
    </w:p>
    <w:p w14:paraId="30F89194" w14:textId="77777777" w:rsidR="00B3006F" w:rsidRPr="00F552BF" w:rsidRDefault="00B3006F" w:rsidP="00F552BF">
      <w:pPr>
        <w:ind w:left="851"/>
        <w:rPr>
          <w:sz w:val="24"/>
          <w:szCs w:val="24"/>
        </w:rPr>
      </w:pPr>
    </w:p>
    <w:p w14:paraId="414A49F2" w14:textId="77777777" w:rsidR="00B3006F" w:rsidRPr="00F552BF" w:rsidRDefault="00B3006F" w:rsidP="00F552BF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F552BF">
        <w:rPr>
          <w:sz w:val="24"/>
          <w:szCs w:val="24"/>
        </w:rPr>
        <w:t>Lægemiddelstyrelsen</w:t>
      </w:r>
    </w:p>
    <w:p w14:paraId="5A03AE24" w14:textId="77777777" w:rsidR="00B3006F" w:rsidRPr="00F552BF" w:rsidRDefault="00B3006F" w:rsidP="00F552BF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F552BF">
        <w:rPr>
          <w:rFonts w:eastAsia="Calibri"/>
          <w:sz w:val="24"/>
          <w:szCs w:val="24"/>
          <w:lang w:eastAsia="zh-CN"/>
        </w:rPr>
        <w:t>Axel Heides Gade 1</w:t>
      </w:r>
    </w:p>
    <w:p w14:paraId="5A3C8420" w14:textId="77777777" w:rsidR="00B3006F" w:rsidRPr="00F552BF" w:rsidRDefault="00B3006F" w:rsidP="00F552BF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F552BF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F552BF">
        <w:rPr>
          <w:rFonts w:eastAsia="Calibri"/>
          <w:sz w:val="24"/>
          <w:szCs w:val="24"/>
          <w:lang w:eastAsia="zh-CN"/>
        </w:rPr>
        <w:t>København S</w:t>
      </w:r>
    </w:p>
    <w:p w14:paraId="5EA5B2CA" w14:textId="77777777" w:rsidR="00B3006F" w:rsidRPr="00F552BF" w:rsidRDefault="00B3006F" w:rsidP="00F552BF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F552BF">
        <w:rPr>
          <w:rFonts w:eastAsia="Calibri"/>
          <w:sz w:val="24"/>
          <w:szCs w:val="24"/>
          <w:lang w:eastAsia="zh-CN"/>
        </w:rPr>
        <w:t>Websted</w:t>
      </w:r>
      <w:r w:rsidRPr="00F552BF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F552BF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14:paraId="2FA93128" w14:textId="77777777" w:rsidR="009260DE" w:rsidRPr="00F552B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08CF88E7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4.9</w:t>
      </w:r>
      <w:r w:rsidRPr="00F552BF">
        <w:rPr>
          <w:b/>
          <w:sz w:val="24"/>
          <w:szCs w:val="24"/>
        </w:rPr>
        <w:tab/>
        <w:t>Overdosering</w:t>
      </w:r>
    </w:p>
    <w:p w14:paraId="1EFF6823" w14:textId="77777777" w:rsidR="00B3006F" w:rsidRPr="00F552BF" w:rsidRDefault="00B3006F" w:rsidP="00B3006F">
      <w:pPr>
        <w:ind w:left="851"/>
        <w:rPr>
          <w:sz w:val="24"/>
          <w:szCs w:val="24"/>
          <w:lang w:eastAsia="da-DK"/>
        </w:rPr>
      </w:pPr>
      <w:r w:rsidRPr="00F552BF">
        <w:rPr>
          <w:sz w:val="24"/>
          <w:szCs w:val="24"/>
        </w:rPr>
        <w:t>Der er ikke set overdosering hos mennesker. I tilfælde af overdosering bør de sædvanlige foranstaltninger anvendes, herunder maveskylning og symptombehandling.</w:t>
      </w:r>
    </w:p>
    <w:p w14:paraId="1A505904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73A168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4.10</w:t>
      </w:r>
      <w:r w:rsidRPr="00F552BF">
        <w:rPr>
          <w:b/>
          <w:sz w:val="24"/>
          <w:szCs w:val="24"/>
        </w:rPr>
        <w:tab/>
        <w:t>Udlevering</w:t>
      </w:r>
    </w:p>
    <w:p w14:paraId="4A03DA0A" w14:textId="49B1CE8D" w:rsidR="009260DE" w:rsidRPr="00F552BF" w:rsidRDefault="00B3006F" w:rsidP="009260DE">
      <w:pPr>
        <w:tabs>
          <w:tab w:val="left" w:pos="851"/>
        </w:tabs>
        <w:ind w:left="851"/>
        <w:rPr>
          <w:sz w:val="24"/>
          <w:szCs w:val="24"/>
        </w:rPr>
      </w:pPr>
      <w:r w:rsidRPr="00F552BF">
        <w:rPr>
          <w:sz w:val="24"/>
          <w:szCs w:val="24"/>
        </w:rPr>
        <w:t>B</w:t>
      </w:r>
    </w:p>
    <w:p w14:paraId="10D08182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0523D5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3C606C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5.</w:t>
      </w:r>
      <w:r w:rsidRPr="00F552BF">
        <w:rPr>
          <w:b/>
          <w:sz w:val="24"/>
          <w:szCs w:val="24"/>
        </w:rPr>
        <w:tab/>
        <w:t>FARMAKOLOGISKE EGENSKABER</w:t>
      </w:r>
    </w:p>
    <w:p w14:paraId="014BD200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C3F768" w14:textId="77777777" w:rsidR="009260DE" w:rsidRPr="00F552B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5.1</w:t>
      </w:r>
      <w:r w:rsidRPr="00F552BF">
        <w:rPr>
          <w:b/>
          <w:sz w:val="24"/>
          <w:szCs w:val="24"/>
        </w:rPr>
        <w:tab/>
      </w:r>
      <w:proofErr w:type="spellStart"/>
      <w:r w:rsidRPr="00F552BF">
        <w:rPr>
          <w:b/>
          <w:sz w:val="24"/>
          <w:szCs w:val="24"/>
        </w:rPr>
        <w:t>Farmakodynamiske</w:t>
      </w:r>
      <w:proofErr w:type="spellEnd"/>
      <w:r w:rsidRPr="00F552BF">
        <w:rPr>
          <w:b/>
          <w:sz w:val="24"/>
          <w:szCs w:val="24"/>
        </w:rPr>
        <w:t xml:space="preserve"> egenskaber</w:t>
      </w:r>
    </w:p>
    <w:p w14:paraId="4F356CA1" w14:textId="6BD3883B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Farmakoterapeutisk</w:t>
      </w:r>
      <w:proofErr w:type="spellEnd"/>
      <w:r w:rsidRPr="00F552BF">
        <w:rPr>
          <w:sz w:val="24"/>
          <w:szCs w:val="24"/>
        </w:rPr>
        <w:t xml:space="preserve"> klassifikation: Midler mod funktionelle </w:t>
      </w:r>
      <w:proofErr w:type="spellStart"/>
      <w:r w:rsidRPr="00F552BF">
        <w:rPr>
          <w:sz w:val="24"/>
          <w:szCs w:val="24"/>
        </w:rPr>
        <w:t>gastrointestinale</w:t>
      </w:r>
      <w:proofErr w:type="spellEnd"/>
      <w:r w:rsidRPr="00F552BF">
        <w:rPr>
          <w:sz w:val="24"/>
          <w:szCs w:val="24"/>
        </w:rPr>
        <w:t xml:space="preserve"> forstyrrelser, </w:t>
      </w:r>
      <w:proofErr w:type="spellStart"/>
      <w:r w:rsidRPr="00F552BF">
        <w:rPr>
          <w:sz w:val="24"/>
          <w:szCs w:val="24"/>
        </w:rPr>
        <w:t>propulsives</w:t>
      </w:r>
      <w:proofErr w:type="spellEnd"/>
      <w:r w:rsidR="00F552BF">
        <w:rPr>
          <w:sz w:val="24"/>
          <w:szCs w:val="24"/>
        </w:rPr>
        <w:t>,</w:t>
      </w:r>
      <w:r w:rsidRPr="00F552BF">
        <w:rPr>
          <w:sz w:val="24"/>
          <w:szCs w:val="24"/>
        </w:rPr>
        <w:t xml:space="preserve"> ATC-kode: A03FA07</w:t>
      </w:r>
      <w:r w:rsidR="00F552BF">
        <w:rPr>
          <w:sz w:val="24"/>
          <w:szCs w:val="24"/>
        </w:rPr>
        <w:t>.</w:t>
      </w:r>
    </w:p>
    <w:p w14:paraId="4F953DBF" w14:textId="77777777" w:rsidR="00B3006F" w:rsidRPr="00F552BF" w:rsidRDefault="00B3006F" w:rsidP="00B3006F">
      <w:pPr>
        <w:ind w:left="851"/>
        <w:rPr>
          <w:sz w:val="24"/>
          <w:szCs w:val="24"/>
        </w:rPr>
      </w:pPr>
    </w:p>
    <w:p w14:paraId="2B6E9963" w14:textId="77777777" w:rsidR="00B3006F" w:rsidRPr="00F552BF" w:rsidRDefault="00B3006F" w:rsidP="00F552BF">
      <w:pPr>
        <w:ind w:left="851"/>
        <w:rPr>
          <w:sz w:val="24"/>
          <w:szCs w:val="24"/>
          <w:u w:val="single"/>
        </w:rPr>
      </w:pPr>
      <w:r w:rsidRPr="00F552BF">
        <w:rPr>
          <w:sz w:val="24"/>
          <w:szCs w:val="24"/>
          <w:u w:val="single"/>
        </w:rPr>
        <w:t>Virkningsmekanisme</w:t>
      </w:r>
    </w:p>
    <w:p w14:paraId="4CFF2C01" w14:textId="77777777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aktiverer den </w:t>
      </w:r>
      <w:proofErr w:type="spellStart"/>
      <w:r w:rsidRPr="00F552BF">
        <w:rPr>
          <w:sz w:val="24"/>
          <w:szCs w:val="24"/>
        </w:rPr>
        <w:t>gastrointestinale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propulsive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motilitet</w:t>
      </w:r>
      <w:proofErr w:type="spellEnd"/>
      <w:r w:rsidRPr="00F552BF">
        <w:rPr>
          <w:sz w:val="24"/>
          <w:szCs w:val="24"/>
        </w:rPr>
        <w:t xml:space="preserve"> gennem dopamin D</w:t>
      </w:r>
      <w:r w:rsidRPr="00F552BF">
        <w:rPr>
          <w:sz w:val="24"/>
          <w:szCs w:val="24"/>
          <w:vertAlign w:val="subscript"/>
        </w:rPr>
        <w:t>2</w:t>
      </w:r>
      <w:r w:rsidRPr="00F552BF">
        <w:rPr>
          <w:sz w:val="24"/>
          <w:szCs w:val="24"/>
        </w:rPr>
        <w:t xml:space="preserve">-receptor-antagonistisk aktivitet og </w:t>
      </w:r>
      <w:proofErr w:type="spellStart"/>
      <w:r w:rsidRPr="00F552BF">
        <w:rPr>
          <w:sz w:val="24"/>
          <w:szCs w:val="24"/>
        </w:rPr>
        <w:t>acetylkolinesterase</w:t>
      </w:r>
      <w:proofErr w:type="spellEnd"/>
      <w:r w:rsidRPr="00F552BF">
        <w:rPr>
          <w:sz w:val="24"/>
          <w:szCs w:val="24"/>
        </w:rPr>
        <w:t xml:space="preserve">-hæmmende aktivitet.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aktiverer acetylkolins frigivelse og hæmmer dets nedbrydning. Desuden har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antiemetisk</w:t>
      </w:r>
      <w:proofErr w:type="spellEnd"/>
      <w:r w:rsidRPr="00F552BF">
        <w:rPr>
          <w:sz w:val="24"/>
          <w:szCs w:val="24"/>
        </w:rPr>
        <w:t xml:space="preserve"> virkning, der er baseret på interaktion med dopamin D</w:t>
      </w:r>
      <w:r w:rsidRPr="00F552BF">
        <w:rPr>
          <w:sz w:val="24"/>
          <w:szCs w:val="24"/>
          <w:vertAlign w:val="subscript"/>
        </w:rPr>
        <w:t>2</w:t>
      </w:r>
      <w:r w:rsidRPr="00F552BF">
        <w:rPr>
          <w:sz w:val="24"/>
          <w:szCs w:val="24"/>
        </w:rPr>
        <w:t xml:space="preserve">-receptorer i kemoreceptorzonen. </w:t>
      </w:r>
      <w:r w:rsidRPr="00F552BF">
        <w:rPr>
          <w:sz w:val="24"/>
          <w:szCs w:val="24"/>
        </w:rPr>
        <w:lastRenderedPageBreak/>
        <w:t xml:space="preserve">Denne virkning er blevet påvist ved dosisafhængig hæmning af </w:t>
      </w:r>
      <w:proofErr w:type="spellStart"/>
      <w:r w:rsidRPr="00F552BF">
        <w:rPr>
          <w:sz w:val="24"/>
          <w:szCs w:val="24"/>
        </w:rPr>
        <w:t>apomorfininduceret</w:t>
      </w:r>
      <w:proofErr w:type="spellEnd"/>
      <w:r w:rsidRPr="00F552BF">
        <w:rPr>
          <w:sz w:val="24"/>
          <w:szCs w:val="24"/>
        </w:rPr>
        <w:t xml:space="preserve"> opkastning hos hunde. </w:t>
      </w:r>
    </w:p>
    <w:p w14:paraId="7447EF50" w14:textId="77777777" w:rsidR="00B3006F" w:rsidRPr="00F552BF" w:rsidRDefault="00B3006F" w:rsidP="00B3006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fremskynder mavetømning hos mennesker og har ingen indvirkning på plasmakoncentrationen af gastrin.</w:t>
      </w:r>
    </w:p>
    <w:p w14:paraId="06B4BECF" w14:textId="77777777" w:rsidR="00B3006F" w:rsidRPr="00F552BF" w:rsidRDefault="00B3006F" w:rsidP="00B3006F">
      <w:pPr>
        <w:ind w:left="851"/>
        <w:rPr>
          <w:sz w:val="24"/>
          <w:szCs w:val="24"/>
        </w:rPr>
      </w:pPr>
      <w:bookmarkStart w:id="2" w:name="_Hlk57279686"/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har høj specifik aktivitet i den øvre del af mave-tarm-kanalen</w:t>
      </w:r>
      <w:r w:rsidRPr="00F552BF">
        <w:rPr>
          <w:color w:val="70AD47"/>
          <w:sz w:val="24"/>
          <w:szCs w:val="24"/>
        </w:rPr>
        <w:t xml:space="preserve">, </w:t>
      </w:r>
      <w:r w:rsidRPr="00F552BF">
        <w:rPr>
          <w:sz w:val="24"/>
          <w:szCs w:val="24"/>
        </w:rPr>
        <w:t xml:space="preserve">hvor det har positiv effekt på funktionel dyspepsi defineret ved et eller flere af følgende symptomer: oppustethed efter måltider, for tidlig mæthedsfornemmelse, smerter og brændende fornemmelse i </w:t>
      </w:r>
      <w:proofErr w:type="spellStart"/>
      <w:r w:rsidRPr="00F552BF">
        <w:rPr>
          <w:sz w:val="24"/>
          <w:szCs w:val="24"/>
        </w:rPr>
        <w:t>epigastriet</w:t>
      </w:r>
      <w:proofErr w:type="spellEnd"/>
      <w:r w:rsidRPr="00F552BF">
        <w:rPr>
          <w:sz w:val="24"/>
          <w:szCs w:val="24"/>
        </w:rPr>
        <w:t xml:space="preserve"> uden evidens for strukturel sygdom (herunder ved endoskopi af øvre mave-tarm-kanal) til forklaring af symptomerne.</w:t>
      </w:r>
      <w:bookmarkEnd w:id="2"/>
      <w:r w:rsidRPr="00F552BF">
        <w:rPr>
          <w:sz w:val="24"/>
          <w:szCs w:val="24"/>
        </w:rPr>
        <w:t xml:space="preserve"> </w:t>
      </w:r>
    </w:p>
    <w:p w14:paraId="5F08D0A8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>Behandlingsvarigheden i kliniske forsøg var maksimalt 8 uger.</w:t>
      </w:r>
    </w:p>
    <w:p w14:paraId="31982DFC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28EAD9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5.2</w:t>
      </w:r>
      <w:r w:rsidRPr="00F552BF">
        <w:rPr>
          <w:b/>
          <w:sz w:val="24"/>
          <w:szCs w:val="24"/>
        </w:rPr>
        <w:tab/>
      </w:r>
      <w:proofErr w:type="spellStart"/>
      <w:r w:rsidRPr="00F552BF">
        <w:rPr>
          <w:b/>
          <w:sz w:val="24"/>
          <w:szCs w:val="24"/>
        </w:rPr>
        <w:t>Farmakokinetiske</w:t>
      </w:r>
      <w:proofErr w:type="spellEnd"/>
      <w:r w:rsidRPr="00F552BF">
        <w:rPr>
          <w:b/>
          <w:sz w:val="24"/>
          <w:szCs w:val="24"/>
        </w:rPr>
        <w:t xml:space="preserve"> egenskaber</w:t>
      </w:r>
    </w:p>
    <w:p w14:paraId="2D422FE8" w14:textId="77777777" w:rsidR="002D77AA" w:rsidRDefault="002D77AA" w:rsidP="00F552BF">
      <w:pPr>
        <w:ind w:left="851"/>
        <w:rPr>
          <w:sz w:val="24"/>
          <w:szCs w:val="24"/>
        </w:rPr>
      </w:pPr>
    </w:p>
    <w:p w14:paraId="4C208014" w14:textId="7ED78625" w:rsidR="00B3006F" w:rsidRPr="002D77AA" w:rsidRDefault="00B3006F" w:rsidP="00F552BF">
      <w:pPr>
        <w:ind w:left="851"/>
        <w:rPr>
          <w:sz w:val="24"/>
          <w:szCs w:val="24"/>
          <w:u w:val="single"/>
          <w:lang w:eastAsia="da-DK"/>
        </w:rPr>
      </w:pPr>
      <w:r w:rsidRPr="002D77AA">
        <w:rPr>
          <w:sz w:val="24"/>
          <w:szCs w:val="24"/>
          <w:u w:val="single"/>
        </w:rPr>
        <w:t>Absorption</w:t>
      </w:r>
    </w:p>
    <w:p w14:paraId="15DE56EF" w14:textId="77777777" w:rsidR="00B3006F" w:rsidRPr="00F552BF" w:rsidRDefault="00B3006F" w:rsidP="00F552B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absorberes hurtigt og næsten fuldstændigt fra mave-tarm-kanalen. Den relative biotilgængelighed på ca. 60 % skyldes førstepassage-effekt. Mad påvirker ikke produktets biotilgængelighed. Den maksimale plasmakoncentration nås inden for 30-45 minutter efter administration af 50 mg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>.</w:t>
      </w:r>
    </w:p>
    <w:p w14:paraId="0DB9D63C" w14:textId="77777777" w:rsidR="00B3006F" w:rsidRPr="00F552BF" w:rsidRDefault="00B3006F" w:rsidP="00F552B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Efter gentagen administration af doser inden for et interval på 50-200 mg 3 gange dagligt i 7 dage har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og dets metabolitter udvist lineær farmakokinetik med minimal akkumulation.</w:t>
      </w:r>
    </w:p>
    <w:p w14:paraId="2D5C733F" w14:textId="77777777" w:rsidR="00B3006F" w:rsidRPr="00F552BF" w:rsidRDefault="00B3006F" w:rsidP="00F552BF">
      <w:pPr>
        <w:ind w:left="851"/>
        <w:rPr>
          <w:sz w:val="24"/>
          <w:szCs w:val="24"/>
        </w:rPr>
      </w:pPr>
    </w:p>
    <w:p w14:paraId="4EBDFB3F" w14:textId="77777777" w:rsidR="00B3006F" w:rsidRPr="002D77AA" w:rsidRDefault="00B3006F" w:rsidP="00F552BF">
      <w:pPr>
        <w:ind w:left="851"/>
        <w:rPr>
          <w:sz w:val="24"/>
          <w:szCs w:val="24"/>
          <w:u w:val="single"/>
        </w:rPr>
      </w:pPr>
      <w:r w:rsidRPr="002D77AA">
        <w:rPr>
          <w:sz w:val="24"/>
          <w:szCs w:val="24"/>
          <w:u w:val="single"/>
        </w:rPr>
        <w:t>Fordeling</w:t>
      </w:r>
    </w:p>
    <w:p w14:paraId="695C850A" w14:textId="5F349180" w:rsidR="00B3006F" w:rsidRPr="00F552BF" w:rsidRDefault="00B3006F" w:rsidP="00F552B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Ca. 96 % af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binder til plasmaproteiner, navnlig albumin. Mindre</w:t>
      </w:r>
      <w:r w:rsidR="002D77AA">
        <w:rPr>
          <w:sz w:val="24"/>
          <w:szCs w:val="24"/>
        </w:rPr>
        <w:t xml:space="preserve"> </w:t>
      </w:r>
      <w:r w:rsidRPr="00F552BF">
        <w:rPr>
          <w:sz w:val="24"/>
          <w:szCs w:val="24"/>
        </w:rPr>
        <w:t xml:space="preserve">end 15 % af </w:t>
      </w:r>
      <w:proofErr w:type="spellStart"/>
      <w:r w:rsidRPr="00F552BF">
        <w:rPr>
          <w:sz w:val="24"/>
          <w:szCs w:val="24"/>
        </w:rPr>
        <w:t>itoprids</w:t>
      </w:r>
      <w:proofErr w:type="spellEnd"/>
      <w:r w:rsidRPr="00F552BF">
        <w:rPr>
          <w:sz w:val="24"/>
          <w:szCs w:val="24"/>
        </w:rPr>
        <w:t xml:space="preserve"> bundne del binder til alfa-1-syre-glykoprotein.</w:t>
      </w:r>
    </w:p>
    <w:p w14:paraId="1D68B2B7" w14:textId="77777777" w:rsidR="00B3006F" w:rsidRPr="00F552BF" w:rsidRDefault="00B3006F" w:rsidP="00F552B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Hos rotter fordeles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i udstrakt grad i vævene (</w:t>
      </w:r>
      <w:proofErr w:type="spellStart"/>
      <w:r w:rsidRPr="00F552BF">
        <w:rPr>
          <w:sz w:val="24"/>
          <w:szCs w:val="24"/>
        </w:rPr>
        <w:t>Vd</w:t>
      </w:r>
      <w:r w:rsidRPr="00F552BF">
        <w:rPr>
          <w:sz w:val="24"/>
          <w:szCs w:val="24"/>
          <w:vertAlign w:val="subscript"/>
        </w:rPr>
        <w:t>ß</w:t>
      </w:r>
      <w:proofErr w:type="spellEnd"/>
      <w:r w:rsidRPr="00F552BF">
        <w:rPr>
          <w:sz w:val="24"/>
          <w:szCs w:val="24"/>
        </w:rPr>
        <w:t xml:space="preserve"> = 6,1 l/kg), men ikke i centralnervesystemet; der ses høje koncentrationer i nyrer, tyndtarm, lever, binyrer og mavesæk. Proteinbindingen hos rotter var lavere end hos mennesker (78 % mod 96 %). Indtrængningen i centralnervesystemet var minimal.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udskilles i mælken hos diegivende rotter.</w:t>
      </w:r>
    </w:p>
    <w:p w14:paraId="549CE767" w14:textId="77777777" w:rsidR="00B3006F" w:rsidRPr="00F552BF" w:rsidRDefault="00B3006F" w:rsidP="00F552BF">
      <w:pPr>
        <w:ind w:left="851"/>
        <w:rPr>
          <w:sz w:val="24"/>
          <w:szCs w:val="24"/>
        </w:rPr>
      </w:pPr>
    </w:p>
    <w:p w14:paraId="22663ADA" w14:textId="77777777" w:rsidR="00B3006F" w:rsidRPr="002D77AA" w:rsidRDefault="00B3006F" w:rsidP="00F552BF">
      <w:pPr>
        <w:ind w:left="851"/>
        <w:rPr>
          <w:sz w:val="24"/>
          <w:szCs w:val="24"/>
          <w:u w:val="single"/>
        </w:rPr>
      </w:pPr>
      <w:r w:rsidRPr="002D77AA">
        <w:rPr>
          <w:sz w:val="24"/>
          <w:szCs w:val="24"/>
          <w:u w:val="single"/>
        </w:rPr>
        <w:t>Biotransformation</w:t>
      </w:r>
    </w:p>
    <w:p w14:paraId="46EC8E45" w14:textId="77777777" w:rsidR="00B3006F" w:rsidRPr="00F552BF" w:rsidRDefault="00B3006F" w:rsidP="00F552B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metaboliseres</w:t>
      </w:r>
      <w:proofErr w:type="spellEnd"/>
      <w:r w:rsidRPr="00F552BF">
        <w:rPr>
          <w:sz w:val="24"/>
          <w:szCs w:val="24"/>
        </w:rPr>
        <w:t xml:space="preserve"> i udstrakt grad i leveren hos mennesker. Der er identificeret tre metabolitter, hvoraf kun én udviser mindre aktivitet uden farmakologisk betydning (ca. 2-3 % af </w:t>
      </w:r>
      <w:proofErr w:type="spellStart"/>
      <w:r w:rsidRPr="00F552BF">
        <w:rPr>
          <w:sz w:val="24"/>
          <w:szCs w:val="24"/>
        </w:rPr>
        <w:t>itoprids</w:t>
      </w:r>
      <w:proofErr w:type="spellEnd"/>
      <w:r w:rsidRPr="00F552BF">
        <w:rPr>
          <w:sz w:val="24"/>
          <w:szCs w:val="24"/>
        </w:rPr>
        <w:t xml:space="preserve"> effekt).</w:t>
      </w:r>
    </w:p>
    <w:p w14:paraId="7C1AB512" w14:textId="77777777" w:rsidR="00B3006F" w:rsidRPr="00F552BF" w:rsidRDefault="00B3006F" w:rsidP="00F552B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metaboliseres</w:t>
      </w:r>
      <w:proofErr w:type="spellEnd"/>
      <w:r w:rsidRPr="00F552BF">
        <w:rPr>
          <w:sz w:val="24"/>
          <w:szCs w:val="24"/>
        </w:rPr>
        <w:t xml:space="preserve"> ved </w:t>
      </w:r>
      <w:proofErr w:type="spellStart"/>
      <w:r w:rsidRPr="00F552BF">
        <w:rPr>
          <w:sz w:val="24"/>
          <w:szCs w:val="24"/>
        </w:rPr>
        <w:t>flavin-holdig</w:t>
      </w:r>
      <w:proofErr w:type="spellEnd"/>
      <w:r w:rsidRPr="00F552BF">
        <w:rPr>
          <w:sz w:val="24"/>
          <w:szCs w:val="24"/>
        </w:rPr>
        <w:t xml:space="preserve"> monoxygenase (FMO3). Mængden og virkningen af humane FMO-</w:t>
      </w:r>
      <w:proofErr w:type="spellStart"/>
      <w:r w:rsidRPr="00F552BF">
        <w:rPr>
          <w:sz w:val="24"/>
          <w:szCs w:val="24"/>
        </w:rPr>
        <w:t>isoenzymer</w:t>
      </w:r>
      <w:proofErr w:type="spellEnd"/>
      <w:r w:rsidRPr="00F552BF">
        <w:rPr>
          <w:sz w:val="24"/>
          <w:szCs w:val="24"/>
        </w:rPr>
        <w:t xml:space="preserve"> kan være forbundet med genetisk </w:t>
      </w:r>
      <w:proofErr w:type="spellStart"/>
      <w:r w:rsidRPr="00F552BF">
        <w:rPr>
          <w:sz w:val="24"/>
          <w:szCs w:val="24"/>
        </w:rPr>
        <w:t>polymorfi</w:t>
      </w:r>
      <w:proofErr w:type="spellEnd"/>
      <w:r w:rsidRPr="00F552BF">
        <w:rPr>
          <w:sz w:val="24"/>
          <w:szCs w:val="24"/>
        </w:rPr>
        <w:t xml:space="preserve">, som kan medføre en sjælden </w:t>
      </w:r>
      <w:proofErr w:type="spellStart"/>
      <w:r w:rsidRPr="00F552BF">
        <w:rPr>
          <w:sz w:val="24"/>
          <w:szCs w:val="24"/>
        </w:rPr>
        <w:t>autosomal</w:t>
      </w:r>
      <w:proofErr w:type="spellEnd"/>
      <w:r w:rsidRPr="00F552BF">
        <w:rPr>
          <w:sz w:val="24"/>
          <w:szCs w:val="24"/>
        </w:rPr>
        <w:t xml:space="preserve"> recessiv tilstand kaldet </w:t>
      </w:r>
      <w:proofErr w:type="spellStart"/>
      <w:r w:rsidRPr="00F552BF">
        <w:rPr>
          <w:sz w:val="24"/>
          <w:szCs w:val="24"/>
        </w:rPr>
        <w:t>trimethylaminuri</w:t>
      </w:r>
      <w:proofErr w:type="spellEnd"/>
      <w:r w:rsidRPr="00F552BF">
        <w:rPr>
          <w:sz w:val="24"/>
          <w:szCs w:val="24"/>
        </w:rPr>
        <w:t xml:space="preserve"> (fiskelugtsyndrom). Den biologiske halveringstid hos patienter med </w:t>
      </w:r>
      <w:proofErr w:type="spellStart"/>
      <w:r w:rsidRPr="00F552BF">
        <w:rPr>
          <w:sz w:val="24"/>
          <w:szCs w:val="24"/>
        </w:rPr>
        <w:t>trimethylaminuri</w:t>
      </w:r>
      <w:proofErr w:type="spellEnd"/>
      <w:r w:rsidRPr="00F552BF">
        <w:rPr>
          <w:sz w:val="24"/>
          <w:szCs w:val="24"/>
        </w:rPr>
        <w:t xml:space="preserve"> kan være længere.</w:t>
      </w:r>
    </w:p>
    <w:p w14:paraId="27A162BC" w14:textId="77777777" w:rsidR="00B3006F" w:rsidRPr="00F552BF" w:rsidRDefault="00B3006F" w:rsidP="00F552B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Farmakokinetiske</w:t>
      </w:r>
      <w:proofErr w:type="spellEnd"/>
      <w:r w:rsidRPr="00F552BF">
        <w:rPr>
          <w:i/>
          <w:iCs/>
          <w:sz w:val="24"/>
          <w:szCs w:val="24"/>
        </w:rPr>
        <w:t xml:space="preserve"> in </w:t>
      </w:r>
      <w:proofErr w:type="spellStart"/>
      <w:r w:rsidRPr="00F552BF">
        <w:rPr>
          <w:i/>
          <w:iCs/>
          <w:sz w:val="24"/>
          <w:szCs w:val="24"/>
        </w:rPr>
        <w:t>vivo</w:t>
      </w:r>
      <w:proofErr w:type="spellEnd"/>
      <w:r w:rsidRPr="00F552BF">
        <w:rPr>
          <w:sz w:val="24"/>
          <w:szCs w:val="24"/>
        </w:rPr>
        <w:t xml:space="preserve">-studier af CYP-medierede reaktioner viste ingen hæmning eller induktion af CYP2C19 og CYP2E1 forårsaget af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. Administration af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havde ingen indvirkning på indholdet af CYP eller aktiviteten af </w:t>
      </w:r>
      <w:proofErr w:type="spellStart"/>
      <w:r w:rsidRPr="00F552BF">
        <w:rPr>
          <w:sz w:val="24"/>
          <w:szCs w:val="24"/>
        </w:rPr>
        <w:t>uridin</w:t>
      </w:r>
      <w:proofErr w:type="spellEnd"/>
      <w:r w:rsidRPr="00F552BF">
        <w:rPr>
          <w:sz w:val="24"/>
          <w:szCs w:val="24"/>
        </w:rPr>
        <w:t>-</w:t>
      </w:r>
      <w:proofErr w:type="spellStart"/>
      <w:r w:rsidRPr="00F552BF">
        <w:rPr>
          <w:sz w:val="24"/>
          <w:szCs w:val="24"/>
        </w:rPr>
        <w:t>difosfat</w:t>
      </w:r>
      <w:proofErr w:type="spellEnd"/>
      <w:r w:rsidRPr="00F552BF">
        <w:rPr>
          <w:sz w:val="24"/>
          <w:szCs w:val="24"/>
        </w:rPr>
        <w:t>-</w:t>
      </w:r>
      <w:proofErr w:type="spellStart"/>
      <w:r w:rsidRPr="00F552BF">
        <w:rPr>
          <w:sz w:val="24"/>
          <w:szCs w:val="24"/>
        </w:rPr>
        <w:t>glukuronyl</w:t>
      </w:r>
      <w:proofErr w:type="spellEnd"/>
      <w:r w:rsidRPr="00F552BF">
        <w:rPr>
          <w:sz w:val="24"/>
          <w:szCs w:val="24"/>
        </w:rPr>
        <w:t>-transferase.</w:t>
      </w:r>
    </w:p>
    <w:p w14:paraId="75558F0D" w14:textId="77777777" w:rsidR="00B3006F" w:rsidRPr="00F552BF" w:rsidRDefault="00B3006F" w:rsidP="00F552BF">
      <w:pPr>
        <w:ind w:left="851"/>
        <w:rPr>
          <w:sz w:val="24"/>
          <w:szCs w:val="24"/>
        </w:rPr>
      </w:pPr>
    </w:p>
    <w:p w14:paraId="6E5DCDDF" w14:textId="77777777" w:rsidR="00B3006F" w:rsidRPr="002D77AA" w:rsidRDefault="00B3006F" w:rsidP="00F552BF">
      <w:pPr>
        <w:ind w:left="851"/>
        <w:rPr>
          <w:sz w:val="24"/>
          <w:szCs w:val="24"/>
          <w:u w:val="single"/>
        </w:rPr>
      </w:pPr>
      <w:r w:rsidRPr="002D77AA">
        <w:rPr>
          <w:sz w:val="24"/>
          <w:szCs w:val="24"/>
          <w:u w:val="single"/>
        </w:rPr>
        <w:t>Elimination</w:t>
      </w:r>
    </w:p>
    <w:p w14:paraId="1FAFD06F" w14:textId="77777777" w:rsidR="00B3006F" w:rsidRPr="00F552BF" w:rsidRDefault="00B3006F" w:rsidP="00F552BF">
      <w:p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og dets metabolitter udskilles primært via urinen. Mængden af udskilt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og N-oxid efter en oral terapeutisk enkeltdosis hos raske forsøgspersoner var hhv. 3,7 % og 75,4 %.</w:t>
      </w:r>
    </w:p>
    <w:p w14:paraId="36DC05DF" w14:textId="77777777" w:rsidR="00B3006F" w:rsidRPr="00F552BF" w:rsidRDefault="00B3006F" w:rsidP="00F552B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Halveringstiden for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er ca. 6 timer. </w:t>
      </w:r>
    </w:p>
    <w:p w14:paraId="06666472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28244F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lastRenderedPageBreak/>
        <w:t>5.3</w:t>
      </w:r>
      <w:r w:rsidRPr="00F552BF">
        <w:rPr>
          <w:b/>
          <w:sz w:val="24"/>
          <w:szCs w:val="24"/>
        </w:rPr>
        <w:tab/>
      </w:r>
      <w:r w:rsidR="00BD7931" w:rsidRPr="00F552BF">
        <w:rPr>
          <w:b/>
          <w:sz w:val="24"/>
          <w:szCs w:val="24"/>
        </w:rPr>
        <w:t>Non-</w:t>
      </w:r>
      <w:r w:rsidRPr="00F552BF">
        <w:rPr>
          <w:b/>
          <w:sz w:val="24"/>
          <w:szCs w:val="24"/>
        </w:rPr>
        <w:t>kliniske sikkerhedsdata</w:t>
      </w:r>
    </w:p>
    <w:p w14:paraId="3C9EAB09" w14:textId="1F4E3EE8" w:rsidR="00B3006F" w:rsidRPr="00F552BF" w:rsidRDefault="00B3006F" w:rsidP="00B3006F">
      <w:pPr>
        <w:ind w:left="851"/>
        <w:rPr>
          <w:sz w:val="24"/>
          <w:szCs w:val="24"/>
          <w:lang w:eastAsia="da-DK"/>
        </w:rPr>
      </w:pPr>
      <w:r w:rsidRPr="00F552BF">
        <w:rPr>
          <w:sz w:val="24"/>
          <w:szCs w:val="24"/>
        </w:rPr>
        <w:t xml:space="preserve">I non-kliniske sikkerhedsstudier blev der kun iagttaget virkninger ved eksponeringer, der anses for at overstige de terapeutiske humane doser i tilstrækkelig grad. Disse virkninger vurderes derfor til at være af ringe klinisk relevans. Derudover er mennesker mindre følsomme over for den hormonelle effekt, observeret hos dyr. </w:t>
      </w:r>
    </w:p>
    <w:p w14:paraId="2E144D04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Høje doser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 xml:space="preserve"> (30 mg/kg/dag) forårsagede </w:t>
      </w:r>
      <w:proofErr w:type="spellStart"/>
      <w:r w:rsidRPr="00F552BF">
        <w:rPr>
          <w:sz w:val="24"/>
          <w:szCs w:val="24"/>
        </w:rPr>
        <w:t>hyperprolaktinæmi</w:t>
      </w:r>
      <w:proofErr w:type="spellEnd"/>
      <w:r w:rsidRPr="00F552BF">
        <w:rPr>
          <w:sz w:val="24"/>
          <w:szCs w:val="24"/>
        </w:rPr>
        <w:t xml:space="preserve"> og sekundær reversibel </w:t>
      </w:r>
      <w:proofErr w:type="spellStart"/>
      <w:r w:rsidRPr="00F552BF">
        <w:rPr>
          <w:sz w:val="24"/>
          <w:szCs w:val="24"/>
        </w:rPr>
        <w:t>hyperplasi</w:t>
      </w:r>
      <w:proofErr w:type="spellEnd"/>
      <w:r w:rsidRPr="00F552BF">
        <w:rPr>
          <w:sz w:val="24"/>
          <w:szCs w:val="24"/>
        </w:rPr>
        <w:t xml:space="preserve"> i livmoderslimhinden hos rotter, men ikke hos hunde (dosis på op til 100 mg/kg/dag) eller primater (dosis på op til 300 mg/kg/dag).</w:t>
      </w:r>
    </w:p>
    <w:p w14:paraId="5BDB56A3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I et 3-måneders toksicitetsstudie hos hunde sås prostata atrofi efter orale doser på 30 mg/kg/dag, men ikke efter 6 måneders oral administration af højere doser (100 mg/kg/dag) hos rotter eller endnu højere doser (300 mg/kg/dag) hos primater. </w:t>
      </w:r>
    </w:p>
    <w:p w14:paraId="0897904C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Der er ikke udført længerevarende studier af det </w:t>
      </w:r>
      <w:proofErr w:type="spellStart"/>
      <w:r w:rsidRPr="00F552BF">
        <w:rPr>
          <w:sz w:val="24"/>
          <w:szCs w:val="24"/>
        </w:rPr>
        <w:t>karcinogene</w:t>
      </w:r>
      <w:proofErr w:type="spellEnd"/>
      <w:r w:rsidRPr="00F552BF">
        <w:rPr>
          <w:sz w:val="24"/>
          <w:szCs w:val="24"/>
        </w:rPr>
        <w:t xml:space="preserve"> potentiale hos dyr.</w:t>
      </w:r>
    </w:p>
    <w:p w14:paraId="3987685C" w14:textId="77777777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I en række </w:t>
      </w:r>
      <w:r w:rsidRPr="00F552BF">
        <w:rPr>
          <w:i/>
          <w:iCs/>
          <w:sz w:val="24"/>
          <w:szCs w:val="24"/>
        </w:rPr>
        <w:t>in </w:t>
      </w:r>
      <w:proofErr w:type="spellStart"/>
      <w:r w:rsidRPr="00F552BF">
        <w:rPr>
          <w:i/>
          <w:iCs/>
          <w:sz w:val="24"/>
          <w:szCs w:val="24"/>
        </w:rPr>
        <w:t>vitro</w:t>
      </w:r>
      <w:proofErr w:type="spellEnd"/>
      <w:r w:rsidRPr="00F552BF">
        <w:rPr>
          <w:sz w:val="24"/>
          <w:szCs w:val="24"/>
        </w:rPr>
        <w:t xml:space="preserve">- og </w:t>
      </w:r>
      <w:r w:rsidRPr="00F552BF">
        <w:rPr>
          <w:i/>
          <w:iCs/>
          <w:sz w:val="24"/>
          <w:szCs w:val="24"/>
        </w:rPr>
        <w:t>in </w:t>
      </w:r>
      <w:proofErr w:type="spellStart"/>
      <w:r w:rsidRPr="00F552BF">
        <w:rPr>
          <w:i/>
          <w:iCs/>
          <w:sz w:val="24"/>
          <w:szCs w:val="24"/>
        </w:rPr>
        <w:t>vivo</w:t>
      </w:r>
      <w:proofErr w:type="spellEnd"/>
      <w:r w:rsidRPr="00F552BF">
        <w:rPr>
          <w:sz w:val="24"/>
          <w:szCs w:val="24"/>
        </w:rPr>
        <w:t xml:space="preserve">-test er der ikke set nogen </w:t>
      </w:r>
      <w:proofErr w:type="spellStart"/>
      <w:r w:rsidRPr="00F552BF">
        <w:rPr>
          <w:sz w:val="24"/>
          <w:szCs w:val="24"/>
        </w:rPr>
        <w:t>klastogen</w:t>
      </w:r>
      <w:proofErr w:type="spellEnd"/>
      <w:r w:rsidRPr="00F552BF">
        <w:rPr>
          <w:sz w:val="24"/>
          <w:szCs w:val="24"/>
        </w:rPr>
        <w:t xml:space="preserve"> eller mutagen effekt ved </w:t>
      </w:r>
      <w:proofErr w:type="spellStart"/>
      <w:r w:rsidRPr="00F552BF">
        <w:rPr>
          <w:sz w:val="24"/>
          <w:szCs w:val="24"/>
        </w:rPr>
        <w:t>itoprid</w:t>
      </w:r>
      <w:proofErr w:type="spellEnd"/>
      <w:r w:rsidRPr="00F552BF">
        <w:rPr>
          <w:sz w:val="24"/>
          <w:szCs w:val="24"/>
        </w:rPr>
        <w:t>.</w:t>
      </w:r>
    </w:p>
    <w:p w14:paraId="1ABB6678" w14:textId="3CB24D5A" w:rsidR="00B3006F" w:rsidRPr="00F552BF" w:rsidRDefault="00B3006F" w:rsidP="00B3006F">
      <w:p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I fertilitetsstudier hos hunrotter, der fik doser på 30 mg/kg/dag og derover, sås </w:t>
      </w:r>
      <w:proofErr w:type="spellStart"/>
      <w:r w:rsidRPr="00F552BF">
        <w:rPr>
          <w:sz w:val="24"/>
          <w:szCs w:val="24"/>
        </w:rPr>
        <w:t>hyperprolaktinæmi</w:t>
      </w:r>
      <w:proofErr w:type="spellEnd"/>
      <w:r w:rsidRPr="00F552BF">
        <w:rPr>
          <w:sz w:val="24"/>
          <w:szCs w:val="24"/>
        </w:rPr>
        <w:t xml:space="preserve"> og sekundær forlængelse af den </w:t>
      </w:r>
      <w:proofErr w:type="spellStart"/>
      <w:r w:rsidRPr="00F552BF">
        <w:rPr>
          <w:sz w:val="24"/>
          <w:szCs w:val="24"/>
        </w:rPr>
        <w:t>østrale</w:t>
      </w:r>
      <w:proofErr w:type="spellEnd"/>
      <w:r w:rsidRPr="00F552BF">
        <w:rPr>
          <w:sz w:val="24"/>
          <w:szCs w:val="24"/>
        </w:rPr>
        <w:t xml:space="preserve"> cyklus. Der sås forlænget </w:t>
      </w:r>
      <w:proofErr w:type="spellStart"/>
      <w:r w:rsidRPr="00F552BF">
        <w:rPr>
          <w:sz w:val="24"/>
          <w:szCs w:val="24"/>
        </w:rPr>
        <w:t>prækoitalt</w:t>
      </w:r>
      <w:proofErr w:type="spellEnd"/>
      <w:r w:rsidRPr="00F552BF">
        <w:rPr>
          <w:sz w:val="24"/>
          <w:szCs w:val="24"/>
        </w:rPr>
        <w:t xml:space="preserve"> interval ved doser på 300 mg/kg/dag. Der sås ingen kopulations- eller fertilitetsrelaterede bivirkninger.</w:t>
      </w:r>
    </w:p>
    <w:p w14:paraId="1C05BBB3" w14:textId="36CEF520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F6F021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66EA5E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6.</w:t>
      </w:r>
      <w:r w:rsidRPr="00F552BF">
        <w:rPr>
          <w:b/>
          <w:sz w:val="24"/>
          <w:szCs w:val="24"/>
        </w:rPr>
        <w:tab/>
        <w:t>FARMACEUTISKE OPLYSNINGER</w:t>
      </w:r>
    </w:p>
    <w:p w14:paraId="0B3A03D3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B169CD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6.1</w:t>
      </w:r>
      <w:r w:rsidRPr="00F552BF">
        <w:rPr>
          <w:b/>
          <w:sz w:val="24"/>
          <w:szCs w:val="24"/>
        </w:rPr>
        <w:tab/>
        <w:t>Hjælpestoffer</w:t>
      </w:r>
    </w:p>
    <w:p w14:paraId="3E4B9C83" w14:textId="77777777" w:rsidR="002D77AA" w:rsidRDefault="002D77AA" w:rsidP="00B3006F">
      <w:pPr>
        <w:ind w:left="851"/>
        <w:rPr>
          <w:snapToGrid w:val="0"/>
          <w:sz w:val="24"/>
          <w:szCs w:val="24"/>
        </w:rPr>
      </w:pPr>
    </w:p>
    <w:p w14:paraId="3B58ED17" w14:textId="40815FF9" w:rsidR="00B3006F" w:rsidRPr="002D77AA" w:rsidRDefault="00B3006F" w:rsidP="00B3006F">
      <w:pPr>
        <w:ind w:left="851"/>
        <w:rPr>
          <w:snapToGrid w:val="0"/>
          <w:sz w:val="24"/>
          <w:szCs w:val="24"/>
          <w:u w:val="single"/>
          <w:lang w:eastAsia="da-DK"/>
        </w:rPr>
      </w:pPr>
      <w:r w:rsidRPr="002D77AA">
        <w:rPr>
          <w:snapToGrid w:val="0"/>
          <w:sz w:val="24"/>
          <w:szCs w:val="24"/>
          <w:u w:val="single"/>
        </w:rPr>
        <w:t>Tabletkerne:</w:t>
      </w:r>
    </w:p>
    <w:p w14:paraId="5D8C5250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Lactosemonohydrat</w:t>
      </w:r>
      <w:proofErr w:type="spellEnd"/>
    </w:p>
    <w:p w14:paraId="6B3EA16C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Pregelatineret</w:t>
      </w:r>
      <w:proofErr w:type="spellEnd"/>
      <w:r w:rsidRPr="00F552BF">
        <w:rPr>
          <w:snapToGrid w:val="0"/>
          <w:sz w:val="24"/>
          <w:szCs w:val="24"/>
        </w:rPr>
        <w:t xml:space="preserve"> majsstivelse</w:t>
      </w:r>
    </w:p>
    <w:p w14:paraId="5CC3AEAF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Croscarmellosenatrium</w:t>
      </w:r>
      <w:proofErr w:type="spellEnd"/>
    </w:p>
    <w:p w14:paraId="5A11528E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 xml:space="preserve">Vandfri kolloid </w:t>
      </w:r>
      <w:proofErr w:type="spellStart"/>
      <w:r w:rsidRPr="00F552BF">
        <w:rPr>
          <w:snapToGrid w:val="0"/>
          <w:sz w:val="24"/>
          <w:szCs w:val="24"/>
        </w:rPr>
        <w:t>silica</w:t>
      </w:r>
      <w:proofErr w:type="spellEnd"/>
    </w:p>
    <w:p w14:paraId="6598E966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proofErr w:type="spellStart"/>
      <w:r w:rsidRPr="00F552BF">
        <w:rPr>
          <w:snapToGrid w:val="0"/>
          <w:sz w:val="24"/>
          <w:szCs w:val="24"/>
        </w:rPr>
        <w:t>Magnesiumstearat</w:t>
      </w:r>
      <w:proofErr w:type="spellEnd"/>
    </w:p>
    <w:p w14:paraId="68481209" w14:textId="77777777" w:rsidR="002D77AA" w:rsidRDefault="002D77AA" w:rsidP="00B3006F">
      <w:pPr>
        <w:ind w:left="851"/>
        <w:rPr>
          <w:sz w:val="24"/>
          <w:szCs w:val="24"/>
        </w:rPr>
      </w:pPr>
    </w:p>
    <w:p w14:paraId="363EE9C3" w14:textId="75C02B3F" w:rsidR="00B3006F" w:rsidRPr="00F552BF" w:rsidRDefault="00B3006F" w:rsidP="00B3006F">
      <w:pPr>
        <w:ind w:left="851"/>
        <w:rPr>
          <w:sz w:val="24"/>
          <w:szCs w:val="24"/>
        </w:rPr>
      </w:pPr>
      <w:r w:rsidRPr="002D77AA">
        <w:rPr>
          <w:sz w:val="24"/>
          <w:szCs w:val="24"/>
          <w:u w:val="single"/>
        </w:rPr>
        <w:t>Tabletovertræk:</w:t>
      </w:r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opadry</w:t>
      </w:r>
      <w:proofErr w:type="spellEnd"/>
      <w:r w:rsidRPr="00F552BF">
        <w:rPr>
          <w:sz w:val="24"/>
          <w:szCs w:val="24"/>
        </w:rPr>
        <w:t xml:space="preserve"> II </w:t>
      </w:r>
      <w:proofErr w:type="spellStart"/>
      <w:r w:rsidRPr="00F552BF">
        <w:rPr>
          <w:sz w:val="24"/>
          <w:szCs w:val="24"/>
        </w:rPr>
        <w:t>white</w:t>
      </w:r>
      <w:proofErr w:type="spellEnd"/>
      <w:r w:rsidRPr="00F552BF">
        <w:rPr>
          <w:sz w:val="24"/>
          <w:szCs w:val="24"/>
        </w:rPr>
        <w:t xml:space="preserve"> 85F18422:</w:t>
      </w:r>
    </w:p>
    <w:p w14:paraId="269AB369" w14:textId="77777777" w:rsidR="00B3006F" w:rsidRPr="00F552BF" w:rsidRDefault="00B3006F" w:rsidP="002D77AA">
      <w:pPr>
        <w:ind w:left="1134"/>
        <w:rPr>
          <w:sz w:val="24"/>
          <w:szCs w:val="24"/>
        </w:rPr>
      </w:pPr>
      <w:r w:rsidRPr="00F552BF">
        <w:rPr>
          <w:sz w:val="24"/>
          <w:szCs w:val="24"/>
        </w:rPr>
        <w:t>Delvist hydrolyseret polyvinylalkohol</w:t>
      </w:r>
    </w:p>
    <w:p w14:paraId="17E18742" w14:textId="77777777" w:rsidR="00B3006F" w:rsidRPr="00F552BF" w:rsidRDefault="00B3006F" w:rsidP="002D77AA">
      <w:pPr>
        <w:ind w:left="1134"/>
        <w:rPr>
          <w:sz w:val="24"/>
          <w:szCs w:val="24"/>
        </w:rPr>
      </w:pPr>
      <w:r w:rsidRPr="00F552BF">
        <w:rPr>
          <w:sz w:val="24"/>
          <w:szCs w:val="24"/>
        </w:rPr>
        <w:t>Titandioxid (E171)</w:t>
      </w:r>
    </w:p>
    <w:p w14:paraId="420EA6B9" w14:textId="77777777" w:rsidR="00B3006F" w:rsidRPr="00F552BF" w:rsidRDefault="00B3006F" w:rsidP="002D77AA">
      <w:pPr>
        <w:ind w:left="1134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Macrogol</w:t>
      </w:r>
      <w:proofErr w:type="spellEnd"/>
      <w:r w:rsidRPr="00F552BF">
        <w:rPr>
          <w:sz w:val="24"/>
          <w:szCs w:val="24"/>
        </w:rPr>
        <w:t xml:space="preserve"> 3350</w:t>
      </w:r>
    </w:p>
    <w:p w14:paraId="471EE671" w14:textId="77777777" w:rsidR="00B3006F" w:rsidRPr="00F552BF" w:rsidRDefault="00B3006F" w:rsidP="002D77AA">
      <w:pPr>
        <w:ind w:left="1134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Talcum</w:t>
      </w:r>
      <w:proofErr w:type="spellEnd"/>
    </w:p>
    <w:p w14:paraId="33D62DCD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A7E338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6.2</w:t>
      </w:r>
      <w:r w:rsidRPr="00F552BF">
        <w:rPr>
          <w:b/>
          <w:sz w:val="24"/>
          <w:szCs w:val="24"/>
        </w:rPr>
        <w:tab/>
        <w:t>Uforligeligheder</w:t>
      </w:r>
    </w:p>
    <w:p w14:paraId="4553F9DB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 xml:space="preserve">Ikke relevant. </w:t>
      </w:r>
    </w:p>
    <w:p w14:paraId="7761B27E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097E43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6.3</w:t>
      </w:r>
      <w:r w:rsidRPr="00F552BF">
        <w:rPr>
          <w:b/>
          <w:sz w:val="24"/>
          <w:szCs w:val="24"/>
        </w:rPr>
        <w:tab/>
        <w:t>Opbevaringstid</w:t>
      </w:r>
    </w:p>
    <w:p w14:paraId="7C1C3D56" w14:textId="27C25703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 xml:space="preserve">5 år. </w:t>
      </w:r>
    </w:p>
    <w:p w14:paraId="30DB543F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3BD23F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6.4</w:t>
      </w:r>
      <w:r w:rsidRPr="00F552BF">
        <w:rPr>
          <w:b/>
          <w:sz w:val="24"/>
          <w:szCs w:val="24"/>
        </w:rPr>
        <w:tab/>
        <w:t>Særlige opbevaringsforhold</w:t>
      </w:r>
    </w:p>
    <w:p w14:paraId="44D69C6A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>Dette lægemiddel kræver ingen særlige forholdsregler vedrørende opbevaringen.</w:t>
      </w:r>
    </w:p>
    <w:p w14:paraId="3B1C9FC6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2A4EC3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6.5</w:t>
      </w:r>
      <w:r w:rsidRPr="00F552BF">
        <w:rPr>
          <w:b/>
          <w:sz w:val="24"/>
          <w:szCs w:val="24"/>
        </w:rPr>
        <w:tab/>
        <w:t>Emballagetype og pakningsstørrelser</w:t>
      </w:r>
    </w:p>
    <w:p w14:paraId="50DE9050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>Blisterpakning af PVC/PVDC/aluminium, karton.</w:t>
      </w:r>
    </w:p>
    <w:p w14:paraId="05533F8F" w14:textId="5F94A97C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 xml:space="preserve">Pakningsstørrelse: 15, 20, 30, 40, 60, </w:t>
      </w:r>
      <w:r w:rsidR="00B6409A">
        <w:rPr>
          <w:snapToGrid w:val="0"/>
          <w:sz w:val="24"/>
          <w:szCs w:val="24"/>
        </w:rPr>
        <w:t xml:space="preserve">90, </w:t>
      </w:r>
      <w:r w:rsidRPr="00F552BF">
        <w:rPr>
          <w:snapToGrid w:val="0"/>
          <w:sz w:val="24"/>
          <w:szCs w:val="24"/>
        </w:rPr>
        <w:t xml:space="preserve">100 eller 120 filmovertrukne tabletter. </w:t>
      </w:r>
    </w:p>
    <w:p w14:paraId="65B9F30A" w14:textId="77777777" w:rsidR="00B3006F" w:rsidRPr="00F552BF" w:rsidRDefault="00B3006F" w:rsidP="00B3006F">
      <w:pPr>
        <w:ind w:left="851"/>
        <w:rPr>
          <w:snapToGrid w:val="0"/>
          <w:sz w:val="24"/>
          <w:szCs w:val="24"/>
        </w:rPr>
      </w:pPr>
      <w:r w:rsidRPr="00F552BF">
        <w:rPr>
          <w:snapToGrid w:val="0"/>
          <w:sz w:val="24"/>
          <w:szCs w:val="24"/>
        </w:rPr>
        <w:t>Ikke alle pakningsstørrelser er nødvendigvis markedsført.</w:t>
      </w:r>
    </w:p>
    <w:p w14:paraId="3CBD37CE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129FBF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lastRenderedPageBreak/>
        <w:t>6.6</w:t>
      </w:r>
      <w:r w:rsidRPr="00F552BF">
        <w:rPr>
          <w:b/>
          <w:sz w:val="24"/>
          <w:szCs w:val="24"/>
        </w:rPr>
        <w:tab/>
        <w:t xml:space="preserve">Regler for </w:t>
      </w:r>
      <w:r w:rsidR="00BD7931" w:rsidRPr="00F552BF">
        <w:rPr>
          <w:b/>
          <w:sz w:val="24"/>
          <w:szCs w:val="24"/>
        </w:rPr>
        <w:t>bortskaffelse</w:t>
      </w:r>
      <w:r w:rsidRPr="00F552BF">
        <w:rPr>
          <w:b/>
          <w:sz w:val="24"/>
          <w:szCs w:val="24"/>
        </w:rPr>
        <w:t xml:space="preserve"> og anden håndtering</w:t>
      </w:r>
    </w:p>
    <w:p w14:paraId="2D24C0F3" w14:textId="77777777" w:rsidR="00B3006F" w:rsidRPr="00F552BF" w:rsidRDefault="00B3006F" w:rsidP="00B3006F">
      <w:pPr>
        <w:ind w:left="851"/>
        <w:rPr>
          <w:snapToGrid w:val="0"/>
          <w:sz w:val="24"/>
          <w:szCs w:val="24"/>
          <w:lang w:eastAsia="da-DK"/>
        </w:rPr>
      </w:pPr>
      <w:r w:rsidRPr="00F552BF">
        <w:rPr>
          <w:snapToGrid w:val="0"/>
          <w:sz w:val="24"/>
          <w:szCs w:val="24"/>
        </w:rPr>
        <w:t>Ikke anvendt lægemiddel samt affald heraf skal bortskaffes i henhold til lokale retningslinjer.</w:t>
      </w:r>
    </w:p>
    <w:p w14:paraId="5F1351CA" w14:textId="77777777" w:rsidR="009260DE" w:rsidRPr="00F552B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335900C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7.</w:t>
      </w:r>
      <w:r w:rsidRPr="00F552BF">
        <w:rPr>
          <w:b/>
          <w:sz w:val="24"/>
          <w:szCs w:val="24"/>
        </w:rPr>
        <w:tab/>
        <w:t>INDEHAVER AF MARKEDSFØRINGSTILLADELSEN</w:t>
      </w:r>
    </w:p>
    <w:p w14:paraId="4A8D675C" w14:textId="77777777" w:rsidR="00DB7CEB" w:rsidRPr="00F552BF" w:rsidRDefault="00B3006F" w:rsidP="00B3006F">
      <w:pPr>
        <w:numPr>
          <w:ilvl w:val="12"/>
          <w:numId w:val="0"/>
        </w:num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Kappler</w:t>
      </w:r>
      <w:proofErr w:type="spellEnd"/>
      <w:r w:rsidRPr="00F552BF">
        <w:rPr>
          <w:sz w:val="24"/>
          <w:szCs w:val="24"/>
        </w:rPr>
        <w:t xml:space="preserve"> Pharma Consult GmbH</w:t>
      </w:r>
    </w:p>
    <w:p w14:paraId="13D76BED" w14:textId="77777777" w:rsidR="00DB7CEB" w:rsidRPr="00F552BF" w:rsidRDefault="00B3006F" w:rsidP="00B3006F">
      <w:pPr>
        <w:numPr>
          <w:ilvl w:val="12"/>
          <w:numId w:val="0"/>
        </w:numPr>
        <w:ind w:left="851"/>
        <w:rPr>
          <w:sz w:val="24"/>
          <w:szCs w:val="24"/>
        </w:rPr>
      </w:pPr>
      <w:proofErr w:type="spellStart"/>
      <w:r w:rsidRPr="00F552BF">
        <w:rPr>
          <w:sz w:val="24"/>
          <w:szCs w:val="24"/>
        </w:rPr>
        <w:t>Fonyoder</w:t>
      </w:r>
      <w:proofErr w:type="spellEnd"/>
      <w:r w:rsidRPr="00F552BF">
        <w:rPr>
          <w:sz w:val="24"/>
          <w:szCs w:val="24"/>
        </w:rPr>
        <w:t xml:space="preserve"> </w:t>
      </w:r>
      <w:proofErr w:type="spellStart"/>
      <w:r w:rsidRPr="00F552BF">
        <w:rPr>
          <w:sz w:val="24"/>
          <w:szCs w:val="24"/>
        </w:rPr>
        <w:t>Strasse</w:t>
      </w:r>
      <w:proofErr w:type="spellEnd"/>
      <w:r w:rsidRPr="00F552BF">
        <w:rPr>
          <w:sz w:val="24"/>
          <w:szCs w:val="24"/>
        </w:rPr>
        <w:t xml:space="preserve"> 18</w:t>
      </w:r>
    </w:p>
    <w:p w14:paraId="20256685" w14:textId="77777777" w:rsidR="00DB7CEB" w:rsidRPr="00F552BF" w:rsidRDefault="00B3006F" w:rsidP="00B3006F">
      <w:pPr>
        <w:numPr>
          <w:ilvl w:val="12"/>
          <w:numId w:val="0"/>
        </w:numPr>
        <w:ind w:left="851"/>
        <w:rPr>
          <w:sz w:val="24"/>
          <w:szCs w:val="24"/>
        </w:rPr>
      </w:pPr>
      <w:r w:rsidRPr="00F552BF">
        <w:rPr>
          <w:sz w:val="24"/>
          <w:szCs w:val="24"/>
        </w:rPr>
        <w:t xml:space="preserve">89340 </w:t>
      </w:r>
      <w:proofErr w:type="spellStart"/>
      <w:r w:rsidRPr="00F552BF">
        <w:rPr>
          <w:sz w:val="24"/>
          <w:szCs w:val="24"/>
        </w:rPr>
        <w:t>Leipheim</w:t>
      </w:r>
      <w:proofErr w:type="spellEnd"/>
    </w:p>
    <w:p w14:paraId="21BEF62A" w14:textId="53AC9D8F" w:rsidR="00B3006F" w:rsidRPr="00F552BF" w:rsidRDefault="00B3006F" w:rsidP="00B3006F">
      <w:pPr>
        <w:numPr>
          <w:ilvl w:val="12"/>
          <w:numId w:val="0"/>
        </w:numPr>
        <w:ind w:left="851"/>
        <w:rPr>
          <w:sz w:val="24"/>
          <w:szCs w:val="24"/>
          <w:lang w:eastAsia="da-DK"/>
        </w:rPr>
      </w:pPr>
      <w:r w:rsidRPr="00F552BF">
        <w:rPr>
          <w:sz w:val="24"/>
          <w:szCs w:val="24"/>
        </w:rPr>
        <w:t>Tyskland</w:t>
      </w:r>
    </w:p>
    <w:p w14:paraId="1B76F270" w14:textId="77777777" w:rsidR="00641C65" w:rsidRPr="00F552BF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3F7FF0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8.</w:t>
      </w:r>
      <w:r w:rsidRPr="00F552BF">
        <w:rPr>
          <w:b/>
          <w:sz w:val="24"/>
          <w:szCs w:val="24"/>
        </w:rPr>
        <w:tab/>
        <w:t>MARKEDSFØRINGSTILLADELSESNUMMER (</w:t>
      </w:r>
      <w:r w:rsidR="00BF6243" w:rsidRPr="00F552BF">
        <w:rPr>
          <w:b/>
          <w:sz w:val="24"/>
          <w:szCs w:val="24"/>
        </w:rPr>
        <w:t>-</w:t>
      </w:r>
      <w:r w:rsidRPr="00F552BF">
        <w:rPr>
          <w:b/>
          <w:sz w:val="24"/>
          <w:szCs w:val="24"/>
        </w:rPr>
        <w:t>NUMRE)</w:t>
      </w:r>
    </w:p>
    <w:p w14:paraId="481BFE71" w14:textId="70BF0099" w:rsidR="009260DE" w:rsidRPr="00F552BF" w:rsidRDefault="00B3006F" w:rsidP="009260DE">
      <w:pPr>
        <w:tabs>
          <w:tab w:val="left" w:pos="851"/>
        </w:tabs>
        <w:ind w:left="851"/>
        <w:rPr>
          <w:sz w:val="24"/>
          <w:szCs w:val="24"/>
        </w:rPr>
      </w:pPr>
      <w:r w:rsidRPr="00F552BF">
        <w:rPr>
          <w:sz w:val="24"/>
          <w:szCs w:val="24"/>
        </w:rPr>
        <w:t>64303</w:t>
      </w:r>
    </w:p>
    <w:p w14:paraId="74FD103C" w14:textId="77777777" w:rsidR="009260DE" w:rsidRPr="00F552B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B64D02C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9.</w:t>
      </w:r>
      <w:r w:rsidRPr="00F552BF">
        <w:rPr>
          <w:b/>
          <w:sz w:val="24"/>
          <w:szCs w:val="24"/>
        </w:rPr>
        <w:tab/>
        <w:t>DATO FOR FØRSTE MARKEDSFØRINGSTILLADELSE</w:t>
      </w:r>
    </w:p>
    <w:p w14:paraId="559303EC" w14:textId="649C3852" w:rsidR="009260DE" w:rsidRPr="00F552BF" w:rsidRDefault="00C210D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juni 2023</w:t>
      </w:r>
    </w:p>
    <w:p w14:paraId="040A49B5" w14:textId="77777777" w:rsidR="009260DE" w:rsidRPr="00F552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BA577C" w14:textId="77777777" w:rsidR="009260DE" w:rsidRPr="00F552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552BF">
        <w:rPr>
          <w:b/>
          <w:sz w:val="24"/>
          <w:szCs w:val="24"/>
        </w:rPr>
        <w:t>10.</w:t>
      </w:r>
      <w:r w:rsidRPr="00F552BF">
        <w:rPr>
          <w:b/>
          <w:sz w:val="24"/>
          <w:szCs w:val="24"/>
        </w:rPr>
        <w:tab/>
        <w:t>DATO FOR ÆNDRING AF TEKSTEN</w:t>
      </w:r>
    </w:p>
    <w:p w14:paraId="1CBAE267" w14:textId="22949EF4" w:rsidR="009260DE" w:rsidRPr="00F552BF" w:rsidRDefault="00B6409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februar 2025</w:t>
      </w:r>
      <w:bookmarkStart w:id="3" w:name="_GoBack"/>
      <w:bookmarkEnd w:id="3"/>
    </w:p>
    <w:sectPr w:rsidR="009260DE" w:rsidRPr="00F552B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A958E" w14:textId="77777777" w:rsidR="00F07C41" w:rsidRDefault="00F07C41">
      <w:r>
        <w:separator/>
      </w:r>
    </w:p>
  </w:endnote>
  <w:endnote w:type="continuationSeparator" w:id="0">
    <w:p w14:paraId="735A607E" w14:textId="77777777" w:rsidR="00F07C41" w:rsidRDefault="00F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9106" w14:textId="77777777" w:rsidR="000259B9" w:rsidRDefault="000259B9">
    <w:pPr>
      <w:pStyle w:val="Sidefod"/>
      <w:pBdr>
        <w:bottom w:val="single" w:sz="6" w:space="1" w:color="auto"/>
      </w:pBdr>
    </w:pPr>
  </w:p>
  <w:p w14:paraId="669450D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2EE5B1D" w14:textId="4D94DD56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210DE">
      <w:rPr>
        <w:i/>
        <w:noProof/>
        <w:sz w:val="18"/>
        <w:szCs w:val="18"/>
      </w:rPr>
      <w:t>Progit, filmovertrukne tabletter 50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97B5" w14:textId="77777777" w:rsidR="00F07C41" w:rsidRDefault="00F07C41">
      <w:r>
        <w:separator/>
      </w:r>
    </w:p>
  </w:footnote>
  <w:footnote w:type="continuationSeparator" w:id="0">
    <w:p w14:paraId="5162799A" w14:textId="77777777" w:rsidR="00F07C41" w:rsidRDefault="00F0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1"/>
    <w:rsid w:val="000259B9"/>
    <w:rsid w:val="00041491"/>
    <w:rsid w:val="00050D16"/>
    <w:rsid w:val="000730CA"/>
    <w:rsid w:val="00074F2A"/>
    <w:rsid w:val="000A1CA8"/>
    <w:rsid w:val="000A466B"/>
    <w:rsid w:val="000B058C"/>
    <w:rsid w:val="000D1ACE"/>
    <w:rsid w:val="000D68B0"/>
    <w:rsid w:val="000E4EE6"/>
    <w:rsid w:val="001454E2"/>
    <w:rsid w:val="00206CE8"/>
    <w:rsid w:val="0021526C"/>
    <w:rsid w:val="002227A4"/>
    <w:rsid w:val="00283A2B"/>
    <w:rsid w:val="002B30AD"/>
    <w:rsid w:val="002C1EC0"/>
    <w:rsid w:val="002C2C01"/>
    <w:rsid w:val="002D77AA"/>
    <w:rsid w:val="003A29AE"/>
    <w:rsid w:val="003A32D7"/>
    <w:rsid w:val="003B4074"/>
    <w:rsid w:val="003C769A"/>
    <w:rsid w:val="003D3A90"/>
    <w:rsid w:val="003F1838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258A"/>
    <w:rsid w:val="009C7BA3"/>
    <w:rsid w:val="009D1F5A"/>
    <w:rsid w:val="00A10294"/>
    <w:rsid w:val="00B003BF"/>
    <w:rsid w:val="00B3006F"/>
    <w:rsid w:val="00B373D7"/>
    <w:rsid w:val="00B55271"/>
    <w:rsid w:val="00B6409A"/>
    <w:rsid w:val="00BD7931"/>
    <w:rsid w:val="00BF6243"/>
    <w:rsid w:val="00C210DE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D9716E"/>
    <w:rsid w:val="00DB7CEB"/>
    <w:rsid w:val="00E108AA"/>
    <w:rsid w:val="00E3749A"/>
    <w:rsid w:val="00E7437F"/>
    <w:rsid w:val="00E865B8"/>
    <w:rsid w:val="00EC0B9B"/>
    <w:rsid w:val="00ED5E9F"/>
    <w:rsid w:val="00F07C41"/>
    <w:rsid w:val="00F552B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49CF"/>
  <w15:chartTrackingRefBased/>
  <w15:docId w15:val="{8F863195-2F51-47D1-92A1-4221680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B3006F"/>
    <w:pPr>
      <w:snapToGrid w:val="0"/>
      <w:spacing w:before="120"/>
      <w:jc w:val="both"/>
    </w:pPr>
    <w:rPr>
      <w:rFonts w:eastAsiaTheme="majorEastAsia"/>
      <w:sz w:val="22"/>
      <w:szCs w:val="22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B3006F"/>
    <w:rPr>
      <w:rFonts w:eastAsiaTheme="majorEastAsia"/>
      <w:sz w:val="22"/>
      <w:szCs w:val="22"/>
    </w:rPr>
  </w:style>
  <w:style w:type="table" w:styleId="Tabel-Gitter">
    <w:name w:val="Table Grid"/>
    <w:basedOn w:val="Tabel-Normal"/>
    <w:uiPriority w:val="59"/>
    <w:rsid w:val="00B300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30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7</Pages>
  <Words>1671</Words>
  <Characters>11238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2024121527 pkt. 6.5 tilføjet 90</dc:description>
  <cp:lastModifiedBy>Helle Søndersted</cp:lastModifiedBy>
  <cp:revision>2</cp:revision>
  <cp:lastPrinted>2012-08-22T08:53:00Z</cp:lastPrinted>
  <dcterms:created xsi:type="dcterms:W3CDTF">2025-02-17T10:42:00Z</dcterms:created>
  <dcterms:modified xsi:type="dcterms:W3CDTF">2025-02-17T10:42:00Z</dcterms:modified>
</cp:coreProperties>
</file>