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13A61" w14:textId="77777777" w:rsidR="009260DE" w:rsidRPr="005B0A53" w:rsidRDefault="0021526C" w:rsidP="009260DE">
      <w:pPr>
        <w:rPr>
          <w:sz w:val="24"/>
          <w:szCs w:val="24"/>
        </w:rPr>
      </w:pPr>
      <w:r w:rsidRPr="005B0A53">
        <w:rPr>
          <w:noProof/>
          <w:sz w:val="24"/>
          <w:szCs w:val="24"/>
          <w:lang w:eastAsia="da-DK"/>
        </w:rPr>
        <w:drawing>
          <wp:anchor distT="0" distB="0" distL="114300" distR="114300" simplePos="0" relativeHeight="251658240" behindDoc="0" locked="0" layoutInCell="1" allowOverlap="1" wp14:anchorId="3B0A46EF" wp14:editId="14500CF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B0A53">
        <w:rPr>
          <w:sz w:val="24"/>
          <w:szCs w:val="24"/>
        </w:rPr>
        <w:br w:type="textWrapping" w:clear="all"/>
      </w:r>
    </w:p>
    <w:p w14:paraId="1A21202A" w14:textId="004A6C5C" w:rsidR="009260DE" w:rsidRPr="005B0A53" w:rsidRDefault="009260DE" w:rsidP="009260DE">
      <w:pPr>
        <w:pStyle w:val="Titel"/>
        <w:tabs>
          <w:tab w:val="right" w:pos="9356"/>
        </w:tabs>
        <w:jc w:val="left"/>
        <w:rPr>
          <w:b w:val="0"/>
          <w:szCs w:val="24"/>
          <w:lang w:eastAsia="en-US"/>
        </w:rPr>
      </w:pPr>
      <w:r w:rsidRPr="005B0A53">
        <w:rPr>
          <w:b w:val="0"/>
          <w:szCs w:val="24"/>
          <w:lang w:eastAsia="en-US"/>
        </w:rPr>
        <w:tab/>
      </w:r>
      <w:r w:rsidR="00C16010">
        <w:rPr>
          <w:szCs w:val="24"/>
        </w:rPr>
        <w:t>25. oktober 2023</w:t>
      </w:r>
    </w:p>
    <w:p w14:paraId="03DBBD9C" w14:textId="77777777" w:rsidR="009260DE" w:rsidRPr="005B0A53" w:rsidRDefault="009260DE" w:rsidP="009260DE">
      <w:pPr>
        <w:pStyle w:val="Titel"/>
        <w:tabs>
          <w:tab w:val="left" w:pos="8222"/>
        </w:tabs>
        <w:jc w:val="left"/>
        <w:rPr>
          <w:b w:val="0"/>
          <w:szCs w:val="24"/>
        </w:rPr>
      </w:pPr>
    </w:p>
    <w:p w14:paraId="2005AEB0" w14:textId="77777777" w:rsidR="009260DE" w:rsidRPr="005B0A53" w:rsidRDefault="009260DE" w:rsidP="009260DE">
      <w:pPr>
        <w:pStyle w:val="Titel"/>
        <w:jc w:val="left"/>
        <w:rPr>
          <w:b w:val="0"/>
          <w:szCs w:val="24"/>
        </w:rPr>
      </w:pPr>
    </w:p>
    <w:p w14:paraId="150B6570" w14:textId="77777777" w:rsidR="009260DE" w:rsidRPr="005B0A53" w:rsidRDefault="009260DE" w:rsidP="009260DE">
      <w:pPr>
        <w:pStyle w:val="Titel"/>
        <w:jc w:val="left"/>
        <w:rPr>
          <w:b w:val="0"/>
          <w:szCs w:val="24"/>
        </w:rPr>
      </w:pPr>
    </w:p>
    <w:p w14:paraId="713F48CF" w14:textId="77777777" w:rsidR="009260DE" w:rsidRPr="005B0A53" w:rsidRDefault="009260DE" w:rsidP="009260DE">
      <w:pPr>
        <w:jc w:val="center"/>
        <w:rPr>
          <w:b/>
          <w:sz w:val="24"/>
          <w:szCs w:val="24"/>
        </w:rPr>
      </w:pPr>
      <w:r w:rsidRPr="005B0A53">
        <w:rPr>
          <w:b/>
          <w:sz w:val="24"/>
          <w:szCs w:val="24"/>
        </w:rPr>
        <w:t>PRODUKTRESUMÉ</w:t>
      </w:r>
    </w:p>
    <w:p w14:paraId="23D92636" w14:textId="77777777" w:rsidR="009260DE" w:rsidRPr="005B0A53" w:rsidRDefault="009260DE" w:rsidP="009260DE">
      <w:pPr>
        <w:jc w:val="center"/>
        <w:rPr>
          <w:b/>
          <w:sz w:val="24"/>
          <w:szCs w:val="24"/>
        </w:rPr>
      </w:pPr>
    </w:p>
    <w:p w14:paraId="5C9BA694" w14:textId="77777777" w:rsidR="009260DE" w:rsidRPr="005B0A53" w:rsidRDefault="009260DE" w:rsidP="009260DE">
      <w:pPr>
        <w:jc w:val="center"/>
        <w:rPr>
          <w:b/>
          <w:sz w:val="24"/>
          <w:szCs w:val="24"/>
        </w:rPr>
      </w:pPr>
      <w:r w:rsidRPr="005B0A53">
        <w:rPr>
          <w:b/>
          <w:sz w:val="24"/>
          <w:szCs w:val="24"/>
        </w:rPr>
        <w:t>for</w:t>
      </w:r>
    </w:p>
    <w:p w14:paraId="5A52681C" w14:textId="77777777" w:rsidR="000B058C" w:rsidRPr="005B0A53" w:rsidRDefault="000B058C" w:rsidP="009260DE">
      <w:pPr>
        <w:jc w:val="center"/>
        <w:rPr>
          <w:b/>
          <w:sz w:val="24"/>
          <w:szCs w:val="24"/>
        </w:rPr>
      </w:pPr>
    </w:p>
    <w:p w14:paraId="2670ED0A" w14:textId="13A868F4" w:rsidR="009260DE" w:rsidRPr="005B0A53" w:rsidRDefault="00E83ECB" w:rsidP="009260DE">
      <w:pPr>
        <w:jc w:val="center"/>
        <w:rPr>
          <w:b/>
          <w:sz w:val="24"/>
          <w:szCs w:val="24"/>
        </w:rPr>
      </w:pPr>
      <w:proofErr w:type="spellStart"/>
      <w:r w:rsidRPr="005B0A53">
        <w:rPr>
          <w:b/>
          <w:sz w:val="24"/>
          <w:szCs w:val="24"/>
        </w:rPr>
        <w:t>Prolastina</w:t>
      </w:r>
      <w:proofErr w:type="spellEnd"/>
      <w:r w:rsidRPr="005B0A53">
        <w:rPr>
          <w:b/>
          <w:sz w:val="24"/>
          <w:szCs w:val="24"/>
        </w:rPr>
        <w:t>, pulver og solvens til infusionsvæske, opløsning 4000 mg og 5000 mg</w:t>
      </w:r>
    </w:p>
    <w:p w14:paraId="55425D91" w14:textId="77777777" w:rsidR="009260DE" w:rsidRPr="005B0A53" w:rsidRDefault="009260DE" w:rsidP="009260DE">
      <w:pPr>
        <w:jc w:val="both"/>
        <w:rPr>
          <w:sz w:val="24"/>
          <w:szCs w:val="24"/>
        </w:rPr>
      </w:pPr>
    </w:p>
    <w:p w14:paraId="6E0C61B5" w14:textId="77777777" w:rsidR="009260DE" w:rsidRPr="005B0A53" w:rsidRDefault="009260DE" w:rsidP="009260DE">
      <w:pPr>
        <w:jc w:val="both"/>
        <w:rPr>
          <w:sz w:val="24"/>
          <w:szCs w:val="24"/>
        </w:rPr>
      </w:pPr>
    </w:p>
    <w:p w14:paraId="6C0D5B61" w14:textId="77777777" w:rsidR="009260DE" w:rsidRPr="005B0A53" w:rsidRDefault="009260DE" w:rsidP="009260DE">
      <w:pPr>
        <w:tabs>
          <w:tab w:val="left" w:pos="851"/>
        </w:tabs>
        <w:ind w:left="851" w:hanging="851"/>
        <w:rPr>
          <w:b/>
          <w:sz w:val="24"/>
          <w:szCs w:val="24"/>
        </w:rPr>
      </w:pPr>
      <w:r w:rsidRPr="005B0A53">
        <w:rPr>
          <w:b/>
          <w:sz w:val="24"/>
          <w:szCs w:val="24"/>
        </w:rPr>
        <w:t>0.</w:t>
      </w:r>
      <w:r w:rsidRPr="005B0A53">
        <w:rPr>
          <w:b/>
          <w:sz w:val="24"/>
          <w:szCs w:val="24"/>
        </w:rPr>
        <w:tab/>
        <w:t>D.SP.NR.</w:t>
      </w:r>
    </w:p>
    <w:p w14:paraId="5777978A" w14:textId="2E01B80B" w:rsidR="009260DE" w:rsidRPr="005B0A53" w:rsidRDefault="00E83ECB" w:rsidP="009260DE">
      <w:pPr>
        <w:tabs>
          <w:tab w:val="left" w:pos="851"/>
        </w:tabs>
        <w:ind w:left="851"/>
        <w:rPr>
          <w:sz w:val="24"/>
          <w:szCs w:val="24"/>
        </w:rPr>
      </w:pPr>
      <w:r w:rsidRPr="005B0A53">
        <w:rPr>
          <w:sz w:val="24"/>
          <w:szCs w:val="24"/>
        </w:rPr>
        <w:t>23188</w:t>
      </w:r>
    </w:p>
    <w:p w14:paraId="21FD7A5A" w14:textId="77777777" w:rsidR="009260DE" w:rsidRPr="005B0A53" w:rsidRDefault="009260DE" w:rsidP="009260DE">
      <w:pPr>
        <w:tabs>
          <w:tab w:val="left" w:pos="851"/>
        </w:tabs>
        <w:ind w:left="851"/>
        <w:rPr>
          <w:sz w:val="24"/>
          <w:szCs w:val="24"/>
        </w:rPr>
      </w:pPr>
    </w:p>
    <w:p w14:paraId="144B93C8" w14:textId="77777777" w:rsidR="009260DE" w:rsidRPr="005B0A53" w:rsidRDefault="009260DE" w:rsidP="009260DE">
      <w:pPr>
        <w:tabs>
          <w:tab w:val="left" w:pos="851"/>
        </w:tabs>
        <w:ind w:left="851" w:hanging="851"/>
        <w:rPr>
          <w:b/>
          <w:sz w:val="24"/>
          <w:szCs w:val="24"/>
        </w:rPr>
      </w:pPr>
      <w:r w:rsidRPr="005B0A53">
        <w:rPr>
          <w:b/>
          <w:sz w:val="24"/>
          <w:szCs w:val="24"/>
        </w:rPr>
        <w:t>1.</w:t>
      </w:r>
      <w:r w:rsidRPr="005B0A53">
        <w:rPr>
          <w:b/>
          <w:sz w:val="24"/>
          <w:szCs w:val="24"/>
        </w:rPr>
        <w:tab/>
        <w:t>LÆGEMIDLETS NAVN</w:t>
      </w:r>
    </w:p>
    <w:p w14:paraId="32712544" w14:textId="42D8DC47" w:rsidR="009260DE" w:rsidRPr="005B0A53" w:rsidRDefault="00E83ECB" w:rsidP="009260DE">
      <w:pPr>
        <w:tabs>
          <w:tab w:val="left" w:pos="851"/>
        </w:tabs>
        <w:ind w:left="851"/>
        <w:rPr>
          <w:sz w:val="24"/>
          <w:szCs w:val="24"/>
        </w:rPr>
      </w:pPr>
      <w:proofErr w:type="spellStart"/>
      <w:r w:rsidRPr="005B0A53">
        <w:rPr>
          <w:sz w:val="24"/>
          <w:szCs w:val="24"/>
        </w:rPr>
        <w:t>Prolastina</w:t>
      </w:r>
      <w:proofErr w:type="spellEnd"/>
    </w:p>
    <w:p w14:paraId="39AF71BA" w14:textId="77777777" w:rsidR="009260DE" w:rsidRPr="005B0A53" w:rsidRDefault="009260DE" w:rsidP="009260DE">
      <w:pPr>
        <w:tabs>
          <w:tab w:val="left" w:pos="851"/>
        </w:tabs>
        <w:ind w:left="851"/>
        <w:rPr>
          <w:sz w:val="24"/>
          <w:szCs w:val="24"/>
        </w:rPr>
      </w:pPr>
    </w:p>
    <w:p w14:paraId="1AAAC61D" w14:textId="77777777" w:rsidR="009260DE" w:rsidRPr="005B0A53" w:rsidRDefault="009260DE" w:rsidP="009260DE">
      <w:pPr>
        <w:tabs>
          <w:tab w:val="left" w:pos="851"/>
        </w:tabs>
        <w:ind w:left="851" w:hanging="851"/>
        <w:rPr>
          <w:b/>
          <w:sz w:val="24"/>
          <w:szCs w:val="24"/>
        </w:rPr>
      </w:pPr>
      <w:r w:rsidRPr="005B0A53">
        <w:rPr>
          <w:b/>
          <w:sz w:val="24"/>
          <w:szCs w:val="24"/>
        </w:rPr>
        <w:t>2.</w:t>
      </w:r>
      <w:r w:rsidRPr="005B0A53">
        <w:rPr>
          <w:b/>
          <w:sz w:val="24"/>
          <w:szCs w:val="24"/>
        </w:rPr>
        <w:tab/>
        <w:t>KVALITATIV OG KVANTITATIV SAMMENSÆTNING</w:t>
      </w:r>
    </w:p>
    <w:p w14:paraId="687B30B2" w14:textId="77777777" w:rsidR="00B20C9B" w:rsidRDefault="00B20C9B" w:rsidP="002758FD">
      <w:pPr>
        <w:ind w:left="851"/>
        <w:rPr>
          <w:sz w:val="24"/>
          <w:szCs w:val="24"/>
        </w:rPr>
      </w:pPr>
    </w:p>
    <w:p w14:paraId="6A140D8B" w14:textId="3C5D75C1" w:rsidR="00E1759F" w:rsidRPr="00B20C9B" w:rsidRDefault="00E1759F" w:rsidP="002758FD">
      <w:pPr>
        <w:ind w:left="851"/>
        <w:rPr>
          <w:sz w:val="24"/>
          <w:szCs w:val="24"/>
          <w:u w:val="single"/>
        </w:rPr>
      </w:pPr>
      <w:proofErr w:type="spellStart"/>
      <w:r w:rsidRPr="00B20C9B">
        <w:rPr>
          <w:sz w:val="24"/>
          <w:szCs w:val="24"/>
          <w:u w:val="single"/>
        </w:rPr>
        <w:t>Prolastina</w:t>
      </w:r>
      <w:proofErr w:type="spellEnd"/>
      <w:r w:rsidRPr="00B20C9B">
        <w:rPr>
          <w:sz w:val="24"/>
          <w:szCs w:val="24"/>
          <w:u w:val="single"/>
        </w:rPr>
        <w:t xml:space="preserve"> 4000 mg pulver og solvens til injektionsvæske, opløsning</w:t>
      </w:r>
    </w:p>
    <w:p w14:paraId="1E588216" w14:textId="77777777" w:rsidR="00E1759F" w:rsidRPr="005B0A53" w:rsidRDefault="00E1759F" w:rsidP="002758FD">
      <w:pPr>
        <w:ind w:left="851"/>
        <w:rPr>
          <w:sz w:val="24"/>
          <w:szCs w:val="24"/>
        </w:rPr>
      </w:pPr>
      <w:r w:rsidRPr="005B0A53">
        <w:rPr>
          <w:sz w:val="24"/>
          <w:szCs w:val="24"/>
        </w:rPr>
        <w:t xml:space="preserve">1 hætteglas indeholder ca. 4000 mg </w:t>
      </w:r>
      <w:bookmarkStart w:id="0" w:name="_Hlk149116947"/>
      <w:r w:rsidRPr="005B0A53">
        <w:rPr>
          <w:sz w:val="24"/>
          <w:szCs w:val="24"/>
        </w:rPr>
        <w:t>alfa</w:t>
      </w:r>
      <w:r w:rsidRPr="00402F12">
        <w:rPr>
          <w:sz w:val="24"/>
          <w:szCs w:val="24"/>
          <w:vertAlign w:val="subscript"/>
        </w:rPr>
        <w:t>1</w:t>
      </w:r>
      <w:r w:rsidRPr="005B0A53">
        <w:rPr>
          <w:sz w:val="24"/>
          <w:szCs w:val="24"/>
        </w:rPr>
        <w:t>-proteinaseinhibitor, human</w:t>
      </w:r>
      <w:bookmarkEnd w:id="0"/>
      <w:r w:rsidRPr="005B0A53">
        <w:rPr>
          <w:sz w:val="24"/>
          <w:szCs w:val="24"/>
        </w:rPr>
        <w:t>*.</w:t>
      </w:r>
    </w:p>
    <w:p w14:paraId="448351BF" w14:textId="77777777" w:rsidR="00E1759F" w:rsidRPr="005B0A53" w:rsidRDefault="00E1759F" w:rsidP="002758FD">
      <w:pPr>
        <w:ind w:left="851"/>
        <w:rPr>
          <w:sz w:val="24"/>
          <w:szCs w:val="24"/>
        </w:rPr>
      </w:pPr>
      <w:r w:rsidRPr="005B0A53">
        <w:rPr>
          <w:sz w:val="24"/>
          <w:szCs w:val="24"/>
        </w:rPr>
        <w:t xml:space="preserve">Efter </w:t>
      </w:r>
      <w:proofErr w:type="spellStart"/>
      <w:r w:rsidRPr="005B0A53">
        <w:rPr>
          <w:sz w:val="24"/>
          <w:szCs w:val="24"/>
        </w:rPr>
        <w:t>rekonstitution</w:t>
      </w:r>
      <w:proofErr w:type="spellEnd"/>
      <w:r w:rsidRPr="005B0A53">
        <w:rPr>
          <w:sz w:val="24"/>
          <w:szCs w:val="24"/>
        </w:rPr>
        <w:t xml:space="preserve"> med 160 ml solvens indeholder opløsningen ca. 25 mg/ml alfa</w:t>
      </w:r>
      <w:r w:rsidRPr="001F1D6B">
        <w:rPr>
          <w:sz w:val="24"/>
          <w:szCs w:val="24"/>
          <w:vertAlign w:val="subscript"/>
        </w:rPr>
        <w:t>1</w:t>
      </w:r>
      <w:r w:rsidRPr="005B0A53">
        <w:rPr>
          <w:sz w:val="24"/>
          <w:szCs w:val="24"/>
        </w:rPr>
        <w:t>-proteinaseinhibitor (human).</w:t>
      </w:r>
    </w:p>
    <w:p w14:paraId="7CE3D85C" w14:textId="77777777" w:rsidR="00E1759F" w:rsidRPr="005B0A53" w:rsidRDefault="00E1759F" w:rsidP="002758FD">
      <w:pPr>
        <w:ind w:left="851"/>
        <w:rPr>
          <w:sz w:val="24"/>
          <w:szCs w:val="24"/>
        </w:rPr>
      </w:pPr>
    </w:p>
    <w:p w14:paraId="4BF048AB" w14:textId="77777777" w:rsidR="00E1759F" w:rsidRPr="00B20C9B" w:rsidRDefault="00E1759F" w:rsidP="002758FD">
      <w:pPr>
        <w:ind w:left="851"/>
        <w:rPr>
          <w:sz w:val="24"/>
          <w:szCs w:val="24"/>
          <w:u w:val="single"/>
        </w:rPr>
      </w:pPr>
      <w:proofErr w:type="spellStart"/>
      <w:r w:rsidRPr="00B20C9B">
        <w:rPr>
          <w:sz w:val="24"/>
          <w:szCs w:val="24"/>
          <w:u w:val="single"/>
        </w:rPr>
        <w:t>Prolastina</w:t>
      </w:r>
      <w:proofErr w:type="spellEnd"/>
      <w:r w:rsidRPr="00B20C9B">
        <w:rPr>
          <w:sz w:val="24"/>
          <w:szCs w:val="24"/>
          <w:u w:val="single"/>
        </w:rPr>
        <w:t xml:space="preserve"> 5000 mg pulver og solvens til injektionsvæske, opløsning</w:t>
      </w:r>
    </w:p>
    <w:p w14:paraId="5C209CB7" w14:textId="77777777" w:rsidR="00E1759F" w:rsidRPr="005B0A53" w:rsidRDefault="00E1759F" w:rsidP="002758FD">
      <w:pPr>
        <w:ind w:left="851"/>
        <w:rPr>
          <w:sz w:val="24"/>
          <w:szCs w:val="24"/>
        </w:rPr>
      </w:pPr>
      <w:r w:rsidRPr="005B0A53">
        <w:rPr>
          <w:sz w:val="24"/>
          <w:szCs w:val="24"/>
        </w:rPr>
        <w:t>1 hætteglas indeholder ca. 5000 mg alfa</w:t>
      </w:r>
      <w:r w:rsidRPr="00402F12">
        <w:rPr>
          <w:sz w:val="24"/>
          <w:szCs w:val="24"/>
          <w:vertAlign w:val="subscript"/>
        </w:rPr>
        <w:t>1</w:t>
      </w:r>
      <w:r w:rsidRPr="005B0A53">
        <w:rPr>
          <w:sz w:val="24"/>
          <w:szCs w:val="24"/>
        </w:rPr>
        <w:t>-proteinaseinhibitor, human*.</w:t>
      </w:r>
    </w:p>
    <w:p w14:paraId="6A28F517" w14:textId="77777777" w:rsidR="00E1759F" w:rsidRPr="005B0A53" w:rsidRDefault="00E1759F" w:rsidP="002758FD">
      <w:pPr>
        <w:ind w:left="851"/>
        <w:rPr>
          <w:sz w:val="24"/>
          <w:szCs w:val="24"/>
        </w:rPr>
      </w:pPr>
      <w:r w:rsidRPr="005B0A53">
        <w:rPr>
          <w:sz w:val="24"/>
          <w:szCs w:val="24"/>
        </w:rPr>
        <w:t xml:space="preserve">Efter </w:t>
      </w:r>
      <w:proofErr w:type="spellStart"/>
      <w:r w:rsidRPr="005B0A53">
        <w:rPr>
          <w:sz w:val="24"/>
          <w:szCs w:val="24"/>
        </w:rPr>
        <w:t>rekonstitution</w:t>
      </w:r>
      <w:proofErr w:type="spellEnd"/>
      <w:r w:rsidRPr="005B0A53">
        <w:rPr>
          <w:sz w:val="24"/>
          <w:szCs w:val="24"/>
        </w:rPr>
        <w:t xml:space="preserve"> med 200 ml solvens indeholder opløsningen ca. 25 mg/ml alfa</w:t>
      </w:r>
      <w:r w:rsidRPr="001F1D6B">
        <w:rPr>
          <w:sz w:val="24"/>
          <w:szCs w:val="24"/>
          <w:vertAlign w:val="subscript"/>
        </w:rPr>
        <w:t>1</w:t>
      </w:r>
      <w:r w:rsidRPr="005B0A53">
        <w:rPr>
          <w:sz w:val="24"/>
          <w:szCs w:val="24"/>
        </w:rPr>
        <w:t>-proteinaseinhibitor (human).</w:t>
      </w:r>
    </w:p>
    <w:p w14:paraId="404F60AD" w14:textId="77777777" w:rsidR="00E1759F" w:rsidRPr="005B0A53" w:rsidRDefault="00E1759F" w:rsidP="002758FD">
      <w:pPr>
        <w:ind w:left="851"/>
        <w:rPr>
          <w:sz w:val="24"/>
          <w:szCs w:val="24"/>
        </w:rPr>
      </w:pPr>
    </w:p>
    <w:p w14:paraId="403CA736" w14:textId="77777777" w:rsidR="00E1759F" w:rsidRPr="005B0A53" w:rsidRDefault="00E1759F" w:rsidP="002758FD">
      <w:pPr>
        <w:ind w:left="851"/>
        <w:rPr>
          <w:sz w:val="24"/>
          <w:szCs w:val="24"/>
        </w:rPr>
      </w:pPr>
      <w:r w:rsidRPr="005B0A53">
        <w:rPr>
          <w:sz w:val="24"/>
          <w:szCs w:val="24"/>
        </w:rPr>
        <w:t>*Produceret ud fra plasma fra humane donorer.</w:t>
      </w:r>
    </w:p>
    <w:p w14:paraId="71E79EB4" w14:textId="77777777" w:rsidR="00E1759F" w:rsidRPr="005B0A53" w:rsidRDefault="00E1759F" w:rsidP="002758FD">
      <w:pPr>
        <w:ind w:left="851"/>
        <w:rPr>
          <w:sz w:val="24"/>
          <w:szCs w:val="24"/>
        </w:rPr>
      </w:pPr>
    </w:p>
    <w:p w14:paraId="5DC0424B" w14:textId="77777777" w:rsidR="00E1759F" w:rsidRPr="00B20C9B" w:rsidRDefault="00E1759F" w:rsidP="002758FD">
      <w:pPr>
        <w:ind w:left="851"/>
        <w:rPr>
          <w:sz w:val="24"/>
          <w:szCs w:val="24"/>
          <w:u w:val="single"/>
        </w:rPr>
      </w:pPr>
      <w:r w:rsidRPr="00B20C9B">
        <w:rPr>
          <w:sz w:val="24"/>
          <w:szCs w:val="24"/>
          <w:u w:val="single"/>
        </w:rPr>
        <w:t>Hjælpestof, som behandleren skal være opmærksom på:</w:t>
      </w:r>
    </w:p>
    <w:p w14:paraId="33BC2E75" w14:textId="77777777" w:rsidR="00E1759F" w:rsidRPr="005B0A53" w:rsidRDefault="00E1759F" w:rsidP="002758FD">
      <w:pPr>
        <w:ind w:left="851"/>
        <w:rPr>
          <w:sz w:val="24"/>
          <w:szCs w:val="24"/>
        </w:rPr>
      </w:pPr>
      <w:proofErr w:type="spellStart"/>
      <w:r w:rsidRPr="005B0A53">
        <w:rPr>
          <w:sz w:val="24"/>
          <w:szCs w:val="24"/>
        </w:rPr>
        <w:t>Prolastina</w:t>
      </w:r>
      <w:proofErr w:type="spellEnd"/>
      <w:r w:rsidRPr="005B0A53">
        <w:rPr>
          <w:sz w:val="24"/>
          <w:szCs w:val="24"/>
        </w:rPr>
        <w:t xml:space="preserve"> indeholder 2,76 mg natrium pr. ml </w:t>
      </w:r>
      <w:proofErr w:type="spellStart"/>
      <w:r w:rsidRPr="005B0A53">
        <w:rPr>
          <w:sz w:val="24"/>
          <w:szCs w:val="24"/>
        </w:rPr>
        <w:t>rekonstitueret</w:t>
      </w:r>
      <w:proofErr w:type="spellEnd"/>
      <w:r w:rsidRPr="005B0A53">
        <w:rPr>
          <w:sz w:val="24"/>
          <w:szCs w:val="24"/>
        </w:rPr>
        <w:t xml:space="preserve"> opløsning (120 mmol/l).</w:t>
      </w:r>
    </w:p>
    <w:p w14:paraId="554F17F8" w14:textId="77777777" w:rsidR="00E1759F" w:rsidRPr="005B0A53" w:rsidRDefault="00E1759F" w:rsidP="002758FD">
      <w:pPr>
        <w:ind w:left="851"/>
        <w:rPr>
          <w:sz w:val="24"/>
          <w:szCs w:val="24"/>
        </w:rPr>
      </w:pPr>
    </w:p>
    <w:p w14:paraId="56575A49" w14:textId="77777777" w:rsidR="00E1759F" w:rsidRPr="005B0A53" w:rsidRDefault="00E1759F" w:rsidP="002758FD">
      <w:pPr>
        <w:ind w:left="851"/>
        <w:rPr>
          <w:sz w:val="24"/>
          <w:szCs w:val="24"/>
        </w:rPr>
      </w:pPr>
      <w:r w:rsidRPr="005B0A53">
        <w:rPr>
          <w:sz w:val="24"/>
          <w:szCs w:val="24"/>
        </w:rPr>
        <w:t>Alle hjælpestoffer er anført under pkt. 6.1.</w:t>
      </w:r>
    </w:p>
    <w:p w14:paraId="36A332C1" w14:textId="77777777" w:rsidR="009260DE" w:rsidRPr="005B0A53" w:rsidRDefault="009260DE" w:rsidP="009260DE">
      <w:pPr>
        <w:tabs>
          <w:tab w:val="left" w:pos="851"/>
        </w:tabs>
        <w:ind w:left="851"/>
        <w:rPr>
          <w:sz w:val="24"/>
          <w:szCs w:val="24"/>
        </w:rPr>
      </w:pPr>
    </w:p>
    <w:p w14:paraId="2DDEE2D7" w14:textId="77777777" w:rsidR="009260DE" w:rsidRPr="005B0A53" w:rsidRDefault="009260DE" w:rsidP="009260DE">
      <w:pPr>
        <w:tabs>
          <w:tab w:val="left" w:pos="851"/>
        </w:tabs>
        <w:ind w:left="851" w:hanging="851"/>
        <w:rPr>
          <w:b/>
          <w:sz w:val="24"/>
          <w:szCs w:val="24"/>
        </w:rPr>
      </w:pPr>
      <w:r w:rsidRPr="005B0A53">
        <w:rPr>
          <w:b/>
          <w:sz w:val="24"/>
          <w:szCs w:val="24"/>
        </w:rPr>
        <w:t>3.</w:t>
      </w:r>
      <w:r w:rsidRPr="005B0A53">
        <w:rPr>
          <w:b/>
          <w:sz w:val="24"/>
          <w:szCs w:val="24"/>
        </w:rPr>
        <w:tab/>
        <w:t>LÆGEMIDDELFORM</w:t>
      </w:r>
    </w:p>
    <w:p w14:paraId="520DE51B" w14:textId="77777777" w:rsidR="00E1759F" w:rsidRPr="005B0A53" w:rsidRDefault="00E1759F" w:rsidP="002758FD">
      <w:pPr>
        <w:ind w:left="851"/>
        <w:rPr>
          <w:sz w:val="24"/>
          <w:szCs w:val="24"/>
        </w:rPr>
      </w:pPr>
      <w:r w:rsidRPr="005B0A53">
        <w:rPr>
          <w:sz w:val="24"/>
          <w:szCs w:val="24"/>
        </w:rPr>
        <w:t>Pulver og solvens til infusionsvæske, opløsning</w:t>
      </w:r>
    </w:p>
    <w:p w14:paraId="7A1B1931" w14:textId="77777777" w:rsidR="00E1759F" w:rsidRPr="005B0A53" w:rsidRDefault="00E1759F" w:rsidP="002758FD">
      <w:pPr>
        <w:ind w:left="851"/>
        <w:rPr>
          <w:sz w:val="24"/>
          <w:szCs w:val="24"/>
        </w:rPr>
      </w:pPr>
      <w:r w:rsidRPr="005B0A53">
        <w:rPr>
          <w:sz w:val="24"/>
          <w:szCs w:val="24"/>
        </w:rPr>
        <w:t>Pulver eller løs masse: hvidt eller svagt gult eller svagt brunt.</w:t>
      </w:r>
    </w:p>
    <w:p w14:paraId="7CA26B93" w14:textId="77777777" w:rsidR="00E1759F" w:rsidRPr="005B0A53" w:rsidRDefault="00E1759F" w:rsidP="002758FD">
      <w:pPr>
        <w:ind w:left="851"/>
        <w:rPr>
          <w:sz w:val="24"/>
          <w:szCs w:val="24"/>
        </w:rPr>
      </w:pPr>
      <w:r w:rsidRPr="005B0A53">
        <w:rPr>
          <w:sz w:val="24"/>
          <w:szCs w:val="24"/>
        </w:rPr>
        <w:t>Solvens: klar farveløs opløsning.</w:t>
      </w:r>
    </w:p>
    <w:p w14:paraId="7E05F37D" w14:textId="77777777" w:rsidR="00E1759F" w:rsidRPr="005B0A53" w:rsidRDefault="00E1759F" w:rsidP="002758FD">
      <w:pPr>
        <w:ind w:left="851"/>
        <w:rPr>
          <w:sz w:val="24"/>
          <w:szCs w:val="24"/>
        </w:rPr>
      </w:pPr>
    </w:p>
    <w:p w14:paraId="455B03D0" w14:textId="77777777" w:rsidR="00E1759F" w:rsidRPr="005B0A53" w:rsidRDefault="00E1759F" w:rsidP="002758FD">
      <w:pPr>
        <w:ind w:left="851"/>
        <w:rPr>
          <w:sz w:val="24"/>
          <w:szCs w:val="24"/>
        </w:rPr>
      </w:pPr>
      <w:r w:rsidRPr="005B0A53">
        <w:rPr>
          <w:sz w:val="24"/>
          <w:szCs w:val="24"/>
        </w:rPr>
        <w:t xml:space="preserve">Den </w:t>
      </w:r>
      <w:proofErr w:type="spellStart"/>
      <w:r w:rsidRPr="005B0A53">
        <w:rPr>
          <w:sz w:val="24"/>
          <w:szCs w:val="24"/>
        </w:rPr>
        <w:t>rekonstituerede</w:t>
      </w:r>
      <w:proofErr w:type="spellEnd"/>
      <w:r w:rsidRPr="005B0A53">
        <w:rPr>
          <w:sz w:val="24"/>
          <w:szCs w:val="24"/>
        </w:rPr>
        <w:t xml:space="preserve"> opløsning er klar til let opaliserende, farveløs, svagt grøn, svagt gul eller svagt brun.</w:t>
      </w:r>
    </w:p>
    <w:p w14:paraId="59EFB496" w14:textId="77777777" w:rsidR="009260DE" w:rsidRPr="005B0A53" w:rsidRDefault="009260DE" w:rsidP="009260DE">
      <w:pPr>
        <w:tabs>
          <w:tab w:val="left" w:pos="851"/>
        </w:tabs>
        <w:ind w:left="851"/>
        <w:rPr>
          <w:sz w:val="24"/>
          <w:szCs w:val="24"/>
        </w:rPr>
      </w:pPr>
    </w:p>
    <w:p w14:paraId="5BEFB7E1" w14:textId="0E43DFA4" w:rsidR="009B63C0" w:rsidRDefault="009B63C0">
      <w:pPr>
        <w:rPr>
          <w:sz w:val="24"/>
          <w:szCs w:val="24"/>
        </w:rPr>
      </w:pPr>
      <w:r>
        <w:rPr>
          <w:sz w:val="24"/>
          <w:szCs w:val="24"/>
        </w:rPr>
        <w:br w:type="page"/>
      </w:r>
    </w:p>
    <w:p w14:paraId="5CE74748" w14:textId="77777777" w:rsidR="009260DE" w:rsidRPr="005B0A53" w:rsidRDefault="009260DE" w:rsidP="009260DE">
      <w:pPr>
        <w:tabs>
          <w:tab w:val="left" w:pos="851"/>
        </w:tabs>
        <w:ind w:left="851"/>
        <w:rPr>
          <w:sz w:val="24"/>
          <w:szCs w:val="24"/>
        </w:rPr>
      </w:pPr>
    </w:p>
    <w:p w14:paraId="166E2754" w14:textId="77777777" w:rsidR="009260DE" w:rsidRPr="005B0A53" w:rsidRDefault="009260DE" w:rsidP="009260DE">
      <w:pPr>
        <w:tabs>
          <w:tab w:val="left" w:pos="851"/>
        </w:tabs>
        <w:ind w:left="851" w:hanging="851"/>
        <w:rPr>
          <w:b/>
          <w:sz w:val="24"/>
          <w:szCs w:val="24"/>
        </w:rPr>
      </w:pPr>
      <w:r w:rsidRPr="005B0A53">
        <w:rPr>
          <w:b/>
          <w:sz w:val="24"/>
          <w:szCs w:val="24"/>
        </w:rPr>
        <w:t>4.</w:t>
      </w:r>
      <w:r w:rsidRPr="005B0A53">
        <w:rPr>
          <w:b/>
          <w:sz w:val="24"/>
          <w:szCs w:val="24"/>
        </w:rPr>
        <w:tab/>
        <w:t>KLINISKE OPLYSNINGER</w:t>
      </w:r>
    </w:p>
    <w:p w14:paraId="1AE78D45" w14:textId="77777777" w:rsidR="009260DE" w:rsidRPr="005B0A53" w:rsidRDefault="009260DE" w:rsidP="009260DE">
      <w:pPr>
        <w:tabs>
          <w:tab w:val="left" w:pos="851"/>
        </w:tabs>
        <w:ind w:left="851"/>
        <w:rPr>
          <w:b/>
          <w:sz w:val="24"/>
          <w:szCs w:val="24"/>
        </w:rPr>
      </w:pPr>
    </w:p>
    <w:p w14:paraId="40235C0B" w14:textId="77777777" w:rsidR="009260DE" w:rsidRPr="005B0A53" w:rsidRDefault="009260DE" w:rsidP="009260DE">
      <w:pPr>
        <w:tabs>
          <w:tab w:val="left" w:pos="851"/>
        </w:tabs>
        <w:ind w:left="851" w:hanging="851"/>
        <w:rPr>
          <w:b/>
          <w:sz w:val="24"/>
          <w:szCs w:val="24"/>
          <w:u w:val="single"/>
        </w:rPr>
      </w:pPr>
      <w:r w:rsidRPr="005B0A53">
        <w:rPr>
          <w:b/>
          <w:sz w:val="24"/>
          <w:szCs w:val="24"/>
        </w:rPr>
        <w:t>4.1</w:t>
      </w:r>
      <w:r w:rsidRPr="005B0A53">
        <w:rPr>
          <w:b/>
          <w:sz w:val="24"/>
          <w:szCs w:val="24"/>
        </w:rPr>
        <w:tab/>
        <w:t>Terapeutiske indikationer</w:t>
      </w:r>
    </w:p>
    <w:p w14:paraId="12EEEADB" w14:textId="2FA6718B" w:rsidR="00E1759F" w:rsidRPr="005B0A53" w:rsidRDefault="00E1759F" w:rsidP="002758FD">
      <w:pPr>
        <w:ind w:left="851"/>
        <w:rPr>
          <w:sz w:val="24"/>
          <w:szCs w:val="24"/>
        </w:rPr>
      </w:pPr>
      <w:proofErr w:type="spellStart"/>
      <w:r w:rsidRPr="005B0A53">
        <w:rPr>
          <w:sz w:val="24"/>
          <w:szCs w:val="24"/>
        </w:rPr>
        <w:t>Prolastina</w:t>
      </w:r>
      <w:proofErr w:type="spellEnd"/>
      <w:r w:rsidRPr="005B0A53">
        <w:rPr>
          <w:sz w:val="24"/>
          <w:szCs w:val="24"/>
        </w:rPr>
        <w:t xml:space="preserve"> er indiceret til langvarig supplerende behandling til patienter med alfa</w:t>
      </w:r>
      <w:r w:rsidRPr="005B0A53">
        <w:rPr>
          <w:sz w:val="24"/>
          <w:szCs w:val="24"/>
          <w:vertAlign w:val="subscript"/>
        </w:rPr>
        <w:t>1</w:t>
      </w:r>
      <w:r w:rsidRPr="005B0A53">
        <w:rPr>
          <w:sz w:val="24"/>
          <w:szCs w:val="24"/>
        </w:rPr>
        <w:t xml:space="preserve">-proteinaseinhibitormangel (f.eks. genotyper </w:t>
      </w:r>
      <w:proofErr w:type="spellStart"/>
      <w:r w:rsidRPr="005B0A53">
        <w:rPr>
          <w:sz w:val="24"/>
          <w:szCs w:val="24"/>
        </w:rPr>
        <w:t>PiZZ</w:t>
      </w:r>
      <w:proofErr w:type="spellEnd"/>
      <w:r w:rsidRPr="005B0A53">
        <w:rPr>
          <w:sz w:val="24"/>
          <w:szCs w:val="24"/>
        </w:rPr>
        <w:t xml:space="preserve">, </w:t>
      </w:r>
      <w:proofErr w:type="spellStart"/>
      <w:r w:rsidRPr="005B0A53">
        <w:rPr>
          <w:sz w:val="24"/>
          <w:szCs w:val="24"/>
        </w:rPr>
        <w:t>PiZ</w:t>
      </w:r>
      <w:proofErr w:type="spellEnd"/>
      <w:r w:rsidRPr="005B0A53">
        <w:rPr>
          <w:sz w:val="24"/>
          <w:szCs w:val="24"/>
        </w:rPr>
        <w:t>(</w:t>
      </w:r>
      <w:proofErr w:type="spellStart"/>
      <w:r w:rsidRPr="005B0A53">
        <w:rPr>
          <w:sz w:val="24"/>
          <w:szCs w:val="24"/>
        </w:rPr>
        <w:t>null</w:t>
      </w:r>
      <w:proofErr w:type="spellEnd"/>
      <w:r w:rsidRPr="005B0A53">
        <w:rPr>
          <w:sz w:val="24"/>
          <w:szCs w:val="24"/>
        </w:rPr>
        <w:t>), Pi (</w:t>
      </w:r>
      <w:proofErr w:type="spellStart"/>
      <w:r w:rsidRPr="005B0A53">
        <w:rPr>
          <w:sz w:val="24"/>
          <w:szCs w:val="24"/>
        </w:rPr>
        <w:t>null</w:t>
      </w:r>
      <w:proofErr w:type="spellEnd"/>
      <w:r w:rsidRPr="005B0A53">
        <w:rPr>
          <w:sz w:val="24"/>
          <w:szCs w:val="24"/>
        </w:rPr>
        <w:t xml:space="preserve">, </w:t>
      </w:r>
      <w:proofErr w:type="spellStart"/>
      <w:r w:rsidRPr="005B0A53">
        <w:rPr>
          <w:sz w:val="24"/>
          <w:szCs w:val="24"/>
        </w:rPr>
        <w:t>null</w:t>
      </w:r>
      <w:proofErr w:type="spellEnd"/>
      <w:r w:rsidRPr="005B0A53">
        <w:rPr>
          <w:sz w:val="24"/>
          <w:szCs w:val="24"/>
        </w:rPr>
        <w:t xml:space="preserve">) og </w:t>
      </w:r>
      <w:proofErr w:type="spellStart"/>
      <w:r w:rsidRPr="005B0A53">
        <w:rPr>
          <w:sz w:val="24"/>
          <w:szCs w:val="24"/>
        </w:rPr>
        <w:t>PiSZ</w:t>
      </w:r>
      <w:proofErr w:type="spellEnd"/>
      <w:r w:rsidRPr="005B0A53">
        <w:rPr>
          <w:sz w:val="24"/>
          <w:szCs w:val="24"/>
        </w:rPr>
        <w:t xml:space="preserve">). Patienterne skal være under optimal farmakologisk og ikke-farmakologisk behandling og udvise tegn på progressiv lungesygdom (f.eks. lavere forudset forceret </w:t>
      </w:r>
      <w:proofErr w:type="spellStart"/>
      <w:r w:rsidRPr="005B0A53">
        <w:rPr>
          <w:sz w:val="24"/>
          <w:szCs w:val="24"/>
        </w:rPr>
        <w:t>eksspiratorisk</w:t>
      </w:r>
      <w:proofErr w:type="spellEnd"/>
      <w:r w:rsidRPr="005B0A53">
        <w:rPr>
          <w:sz w:val="24"/>
          <w:szCs w:val="24"/>
        </w:rPr>
        <w:t xml:space="preserve"> volumen pr. sekund (FEV1), nedsat gangkapacitet eller øget antal </w:t>
      </w:r>
      <w:proofErr w:type="spellStart"/>
      <w:r w:rsidRPr="005B0A53">
        <w:rPr>
          <w:sz w:val="24"/>
          <w:szCs w:val="24"/>
        </w:rPr>
        <w:t>exacerbationer</w:t>
      </w:r>
      <w:proofErr w:type="spellEnd"/>
      <w:r w:rsidRPr="005B0A53">
        <w:rPr>
          <w:sz w:val="24"/>
          <w:szCs w:val="24"/>
        </w:rPr>
        <w:t>), som er vurderet af en sundhedsperson med erfaring i behandlingen af alfa</w:t>
      </w:r>
      <w:r w:rsidRPr="005B0A53">
        <w:rPr>
          <w:sz w:val="24"/>
          <w:szCs w:val="24"/>
          <w:vertAlign w:val="subscript"/>
        </w:rPr>
        <w:t>1</w:t>
      </w:r>
      <w:r w:rsidRPr="005B0A53">
        <w:rPr>
          <w:sz w:val="24"/>
          <w:szCs w:val="24"/>
        </w:rPr>
        <w:t>-proteinaseinhibitor</w:t>
      </w:r>
      <w:r w:rsidR="009B63C0">
        <w:rPr>
          <w:sz w:val="24"/>
          <w:szCs w:val="24"/>
        </w:rPr>
        <w:softHyphen/>
      </w:r>
      <w:r w:rsidRPr="005B0A53">
        <w:rPr>
          <w:sz w:val="24"/>
          <w:szCs w:val="24"/>
        </w:rPr>
        <w:t>mangel.</w:t>
      </w:r>
    </w:p>
    <w:p w14:paraId="32087642" w14:textId="77777777" w:rsidR="009260DE" w:rsidRPr="005B0A53" w:rsidRDefault="009260DE" w:rsidP="009260DE">
      <w:pPr>
        <w:tabs>
          <w:tab w:val="left" w:pos="851"/>
        </w:tabs>
        <w:ind w:left="851"/>
        <w:rPr>
          <w:sz w:val="24"/>
          <w:szCs w:val="24"/>
        </w:rPr>
      </w:pPr>
    </w:p>
    <w:p w14:paraId="09AD97A0" w14:textId="77777777" w:rsidR="009260DE" w:rsidRPr="005B0A53" w:rsidRDefault="009260DE" w:rsidP="009260DE">
      <w:pPr>
        <w:tabs>
          <w:tab w:val="left" w:pos="851"/>
        </w:tabs>
        <w:ind w:left="851" w:hanging="851"/>
        <w:rPr>
          <w:b/>
          <w:sz w:val="24"/>
          <w:szCs w:val="24"/>
        </w:rPr>
      </w:pPr>
      <w:r w:rsidRPr="005B0A53">
        <w:rPr>
          <w:b/>
          <w:sz w:val="24"/>
          <w:szCs w:val="24"/>
        </w:rPr>
        <w:t>4.2</w:t>
      </w:r>
      <w:r w:rsidRPr="005B0A53">
        <w:rPr>
          <w:b/>
          <w:sz w:val="24"/>
          <w:szCs w:val="24"/>
        </w:rPr>
        <w:tab/>
        <w:t xml:space="preserve">Dosering og </w:t>
      </w:r>
      <w:r w:rsidR="002C1EC0" w:rsidRPr="005B0A53">
        <w:rPr>
          <w:b/>
          <w:sz w:val="24"/>
          <w:szCs w:val="24"/>
        </w:rPr>
        <w:t>administration</w:t>
      </w:r>
    </w:p>
    <w:p w14:paraId="7E898D8D" w14:textId="77777777" w:rsidR="00E1759F" w:rsidRPr="005B0A53" w:rsidRDefault="00E1759F" w:rsidP="002758FD">
      <w:pPr>
        <w:ind w:left="851"/>
        <w:rPr>
          <w:noProof/>
          <w:sz w:val="24"/>
          <w:szCs w:val="24"/>
        </w:rPr>
      </w:pPr>
      <w:r w:rsidRPr="005B0A53">
        <w:rPr>
          <w:iCs/>
          <w:noProof/>
          <w:sz w:val="24"/>
          <w:szCs w:val="24"/>
        </w:rPr>
        <w:t xml:space="preserve">Initiering af behandlingen og indgivelse af de første infusioner bør </w:t>
      </w:r>
      <w:r w:rsidRPr="005B0A53">
        <w:rPr>
          <w:noProof/>
          <w:sz w:val="24"/>
          <w:szCs w:val="24"/>
        </w:rPr>
        <w:t xml:space="preserve">overvåges af læger med erfaring med kronisk obstruktiv lungesygdom. </w:t>
      </w:r>
      <w:r w:rsidRPr="005B0A53">
        <w:rPr>
          <w:iCs/>
          <w:noProof/>
          <w:sz w:val="24"/>
          <w:szCs w:val="24"/>
        </w:rPr>
        <w:t>Efterfølgende infusioner kan indgives af andre sundhedspersoner, se pkt. 4.4.</w:t>
      </w:r>
    </w:p>
    <w:p w14:paraId="7E0849F0" w14:textId="77777777" w:rsidR="00E1759F" w:rsidRPr="005B0A53" w:rsidRDefault="00E1759F" w:rsidP="002758FD">
      <w:pPr>
        <w:ind w:left="851"/>
        <w:rPr>
          <w:noProof/>
          <w:sz w:val="24"/>
          <w:szCs w:val="24"/>
        </w:rPr>
      </w:pPr>
      <w:r w:rsidRPr="005B0A53">
        <w:rPr>
          <w:noProof/>
          <w:sz w:val="24"/>
          <w:szCs w:val="24"/>
        </w:rPr>
        <w:t>Varigheden af behandlingen er efter den behandlende læges skøn. En specifik grænse for varigheden af behandlingerne kan ikke forudses.</w:t>
      </w:r>
    </w:p>
    <w:p w14:paraId="1F0975CC" w14:textId="77777777" w:rsidR="00E1759F" w:rsidRPr="005B0A53" w:rsidRDefault="00E1759F" w:rsidP="002758FD">
      <w:pPr>
        <w:ind w:left="851"/>
        <w:rPr>
          <w:i/>
          <w:iCs/>
          <w:noProof/>
          <w:sz w:val="24"/>
          <w:szCs w:val="24"/>
        </w:rPr>
      </w:pPr>
    </w:p>
    <w:p w14:paraId="48F8E575" w14:textId="77777777" w:rsidR="00E1759F" w:rsidRPr="005B0A53" w:rsidRDefault="00E1759F" w:rsidP="002758FD">
      <w:pPr>
        <w:ind w:left="851"/>
        <w:rPr>
          <w:noProof/>
          <w:sz w:val="24"/>
          <w:szCs w:val="24"/>
          <w:u w:val="single"/>
        </w:rPr>
      </w:pPr>
      <w:r w:rsidRPr="005B0A53">
        <w:rPr>
          <w:noProof/>
          <w:sz w:val="24"/>
          <w:szCs w:val="24"/>
          <w:u w:val="single"/>
        </w:rPr>
        <w:t>Dosering</w:t>
      </w:r>
    </w:p>
    <w:p w14:paraId="0F8784E3" w14:textId="77777777" w:rsidR="00E1759F" w:rsidRPr="005B0A53" w:rsidRDefault="00E1759F" w:rsidP="002758FD">
      <w:pPr>
        <w:ind w:left="851"/>
        <w:rPr>
          <w:i/>
          <w:noProof/>
          <w:sz w:val="24"/>
          <w:szCs w:val="24"/>
        </w:rPr>
      </w:pPr>
    </w:p>
    <w:p w14:paraId="5D01A199" w14:textId="77777777" w:rsidR="00E1759F" w:rsidRPr="005B0A53" w:rsidRDefault="00E1759F" w:rsidP="002758FD">
      <w:pPr>
        <w:ind w:left="851"/>
        <w:rPr>
          <w:i/>
          <w:noProof/>
          <w:sz w:val="24"/>
          <w:szCs w:val="24"/>
        </w:rPr>
      </w:pPr>
      <w:r w:rsidRPr="005B0A53">
        <w:rPr>
          <w:i/>
          <w:noProof/>
          <w:sz w:val="24"/>
          <w:szCs w:val="24"/>
        </w:rPr>
        <w:t>Voksne og ældre patienter</w:t>
      </w:r>
    </w:p>
    <w:p w14:paraId="22A16012" w14:textId="77777777" w:rsidR="00E1759F" w:rsidRPr="005B0A53" w:rsidRDefault="00E1759F" w:rsidP="002758FD">
      <w:pPr>
        <w:ind w:left="851"/>
        <w:rPr>
          <w:noProof/>
          <w:sz w:val="24"/>
          <w:szCs w:val="24"/>
        </w:rPr>
      </w:pPr>
      <w:r w:rsidRPr="005B0A53">
        <w:rPr>
          <w:noProof/>
          <w:sz w:val="24"/>
          <w:szCs w:val="24"/>
        </w:rPr>
        <w:t>Med mindre andet er foreskrevet, er én ugentlig dosis på 60 mg aktivt stof/kg legemsvægt (ækvivalent med 180 ml rekonstitueret opløsning indeholdende 25 mg/ml alfa</w:t>
      </w:r>
      <w:r w:rsidRPr="005B0A53">
        <w:rPr>
          <w:noProof/>
          <w:sz w:val="24"/>
          <w:szCs w:val="24"/>
          <w:vertAlign w:val="subscript"/>
        </w:rPr>
        <w:t>1</w:t>
      </w:r>
      <w:r w:rsidRPr="005B0A53">
        <w:rPr>
          <w:noProof/>
          <w:sz w:val="24"/>
          <w:szCs w:val="24"/>
        </w:rPr>
        <w:t>-proteinaseinhibitor (human) til en patient med en legemsvægt på 75 kg) som korttidsinfusion normalt tilstrækkelig til at opretholde et konstant serumniveau af alfa</w:t>
      </w:r>
      <w:r w:rsidRPr="005B0A53">
        <w:rPr>
          <w:noProof/>
          <w:sz w:val="24"/>
          <w:szCs w:val="24"/>
          <w:vertAlign w:val="subscript"/>
        </w:rPr>
        <w:t>1</w:t>
      </w:r>
      <w:r w:rsidRPr="005B0A53">
        <w:rPr>
          <w:noProof/>
          <w:sz w:val="24"/>
          <w:szCs w:val="24"/>
        </w:rPr>
        <w:t>-proteinaseinhibitor på over 80 mg/dl, som svarer til pulmonalniveauer på 1,3 μM. Teoretisk er disse serumniveauer og væskeniveauer af slimhindens epitel estimeret som korttidsinfusion normalt tilstrækkelig til at opretholde et konstant serumniveau af alfa</w:t>
      </w:r>
      <w:r w:rsidRPr="005B0A53">
        <w:rPr>
          <w:noProof/>
          <w:sz w:val="24"/>
          <w:szCs w:val="24"/>
          <w:vertAlign w:val="subscript"/>
        </w:rPr>
        <w:t>l</w:t>
      </w:r>
      <w:r w:rsidRPr="005B0A53">
        <w:rPr>
          <w:noProof/>
          <w:sz w:val="24"/>
          <w:szCs w:val="24"/>
        </w:rPr>
        <w:t>-proteinaseinhibitor på over 80 mg/dl, som svarer til pulmonalniveauer på 1,3 μM. Teoretisk er disse serumniveauer og væskeniveauer af slimhindens epitel estimeret som værende beskyttende mod yderligere forværring af lungeemfysemet.</w:t>
      </w:r>
    </w:p>
    <w:p w14:paraId="23EF6530" w14:textId="77777777" w:rsidR="00E1759F" w:rsidRPr="005B0A53" w:rsidRDefault="00E1759F" w:rsidP="002758FD">
      <w:pPr>
        <w:ind w:left="851"/>
        <w:rPr>
          <w:noProof/>
          <w:sz w:val="24"/>
          <w:szCs w:val="24"/>
        </w:rPr>
      </w:pPr>
    </w:p>
    <w:p w14:paraId="3209A354" w14:textId="77777777" w:rsidR="00E1759F" w:rsidRPr="005B0A53" w:rsidRDefault="00E1759F" w:rsidP="002758FD">
      <w:pPr>
        <w:ind w:left="851"/>
        <w:rPr>
          <w:i/>
          <w:iCs/>
          <w:noProof/>
          <w:sz w:val="24"/>
          <w:szCs w:val="24"/>
        </w:rPr>
      </w:pPr>
      <w:r w:rsidRPr="005B0A53">
        <w:rPr>
          <w:i/>
          <w:iCs/>
          <w:noProof/>
          <w:sz w:val="24"/>
          <w:szCs w:val="24"/>
        </w:rPr>
        <w:t>Pædiatrisk population</w:t>
      </w:r>
    </w:p>
    <w:p w14:paraId="36CB8C88" w14:textId="77777777" w:rsidR="00E1759F" w:rsidRPr="005B0A53" w:rsidRDefault="00E1759F" w:rsidP="002758FD">
      <w:pPr>
        <w:ind w:left="851"/>
        <w:rPr>
          <w:noProof/>
          <w:sz w:val="24"/>
          <w:szCs w:val="24"/>
        </w:rPr>
      </w:pPr>
      <w:r w:rsidRPr="005B0A53">
        <w:rPr>
          <w:noProof/>
          <w:sz w:val="24"/>
          <w:szCs w:val="24"/>
        </w:rPr>
        <w:t>Der er ingen erfaring med brugen af Prolastina til børn og unge under 18 år.</w:t>
      </w:r>
    </w:p>
    <w:p w14:paraId="39DB0E08" w14:textId="77777777" w:rsidR="00E1759F" w:rsidRPr="005B0A53" w:rsidRDefault="00E1759F" w:rsidP="002758FD">
      <w:pPr>
        <w:ind w:left="851"/>
        <w:rPr>
          <w:i/>
          <w:iCs/>
          <w:noProof/>
          <w:sz w:val="24"/>
          <w:szCs w:val="24"/>
        </w:rPr>
      </w:pPr>
    </w:p>
    <w:p w14:paraId="23B60D78" w14:textId="77777777" w:rsidR="00E1759F" w:rsidRPr="005B0A53" w:rsidRDefault="00E1759F" w:rsidP="002758FD">
      <w:pPr>
        <w:ind w:left="851"/>
        <w:rPr>
          <w:noProof/>
          <w:sz w:val="24"/>
          <w:szCs w:val="24"/>
          <w:u w:val="single"/>
        </w:rPr>
      </w:pPr>
      <w:r w:rsidRPr="005B0A53">
        <w:rPr>
          <w:noProof/>
          <w:sz w:val="24"/>
          <w:szCs w:val="24"/>
          <w:u w:val="single"/>
        </w:rPr>
        <w:t>Administration</w:t>
      </w:r>
    </w:p>
    <w:p w14:paraId="1A2F6FCA" w14:textId="77777777" w:rsidR="00E1759F" w:rsidRPr="005B0A53" w:rsidRDefault="00E1759F" w:rsidP="002758FD">
      <w:pPr>
        <w:ind w:left="851"/>
        <w:rPr>
          <w:noProof/>
          <w:sz w:val="24"/>
          <w:szCs w:val="24"/>
        </w:rPr>
      </w:pPr>
      <w:r w:rsidRPr="005B0A53">
        <w:rPr>
          <w:noProof/>
          <w:sz w:val="24"/>
          <w:szCs w:val="24"/>
        </w:rPr>
        <w:t>Prolastina må kun indgives som intravenøs infusion efter rekonstitution.</w:t>
      </w:r>
    </w:p>
    <w:p w14:paraId="28E05EE4" w14:textId="77777777" w:rsidR="00E1759F" w:rsidRPr="005B0A53" w:rsidRDefault="00E1759F" w:rsidP="002758FD">
      <w:pPr>
        <w:ind w:left="851"/>
        <w:rPr>
          <w:noProof/>
          <w:sz w:val="24"/>
          <w:szCs w:val="24"/>
        </w:rPr>
      </w:pPr>
      <w:r w:rsidRPr="005B0A53">
        <w:rPr>
          <w:noProof/>
          <w:sz w:val="24"/>
          <w:szCs w:val="24"/>
        </w:rPr>
        <w:t>Det tørre pulver skal opløses med den vedlagte solvens (vand til injektionsvæsker), som beskrevet i pkt. 6.6 og administreres ved brug af et passende infusionssæt (ikke vedlagt).</w:t>
      </w:r>
    </w:p>
    <w:p w14:paraId="42A527BF" w14:textId="77777777" w:rsidR="00E1759F" w:rsidRPr="005B0A53" w:rsidRDefault="00E1759F" w:rsidP="002758FD">
      <w:pPr>
        <w:ind w:left="851"/>
        <w:rPr>
          <w:noProof/>
          <w:sz w:val="24"/>
          <w:szCs w:val="24"/>
        </w:rPr>
      </w:pPr>
      <w:r w:rsidRPr="005B0A53">
        <w:rPr>
          <w:noProof/>
          <w:sz w:val="24"/>
          <w:szCs w:val="24"/>
        </w:rPr>
        <w:t>Den rekonstituerede opløsning skal anvendes senest 3 timer efter den er fremstillet.</w:t>
      </w:r>
    </w:p>
    <w:p w14:paraId="54F298D6" w14:textId="77777777" w:rsidR="00E1759F" w:rsidRPr="005B0A53" w:rsidRDefault="00E1759F" w:rsidP="002758FD">
      <w:pPr>
        <w:ind w:left="851"/>
        <w:rPr>
          <w:noProof/>
          <w:sz w:val="24"/>
          <w:szCs w:val="24"/>
        </w:rPr>
      </w:pPr>
    </w:p>
    <w:p w14:paraId="79DE2A65" w14:textId="77777777" w:rsidR="00E1759F" w:rsidRPr="005B0A53" w:rsidRDefault="00E1759F" w:rsidP="002758FD">
      <w:pPr>
        <w:ind w:left="851"/>
        <w:rPr>
          <w:noProof/>
          <w:sz w:val="24"/>
          <w:szCs w:val="24"/>
        </w:rPr>
      </w:pPr>
      <w:r w:rsidRPr="005B0A53">
        <w:rPr>
          <w:noProof/>
          <w:sz w:val="24"/>
          <w:szCs w:val="24"/>
        </w:rPr>
        <w:t>Infusionshastigheden bør ikke overstige 0,08 ml/kg legemsvægt pr. minut (ækvivalent med 6 ml pr. minut til en patient med en legemsvægt på 75 kg). Denne infusionshastighed kan justeres, baseret på patientens tolerabilitet.</w:t>
      </w:r>
    </w:p>
    <w:p w14:paraId="5B0D7108" w14:textId="77777777" w:rsidR="00E1759F" w:rsidRPr="005B0A53" w:rsidRDefault="00E1759F" w:rsidP="002758FD">
      <w:pPr>
        <w:ind w:left="851"/>
        <w:rPr>
          <w:noProof/>
          <w:sz w:val="24"/>
          <w:szCs w:val="24"/>
        </w:rPr>
      </w:pPr>
    </w:p>
    <w:p w14:paraId="2DB621FD" w14:textId="77777777" w:rsidR="00E1759F" w:rsidRPr="005B0A53" w:rsidRDefault="00E1759F" w:rsidP="002758FD">
      <w:pPr>
        <w:ind w:left="851"/>
        <w:rPr>
          <w:noProof/>
          <w:sz w:val="24"/>
          <w:szCs w:val="24"/>
        </w:rPr>
      </w:pPr>
      <w:r w:rsidRPr="005B0A53">
        <w:rPr>
          <w:noProof/>
          <w:sz w:val="24"/>
          <w:szCs w:val="24"/>
        </w:rPr>
        <w:t>For instruktioner om rekonstitution af lægemidlet før administration, se pkt. 6.6.</w:t>
      </w:r>
    </w:p>
    <w:p w14:paraId="51B50718" w14:textId="1F5EB9EA" w:rsidR="009B63C0" w:rsidRDefault="009B63C0">
      <w:pPr>
        <w:rPr>
          <w:sz w:val="24"/>
          <w:szCs w:val="24"/>
        </w:rPr>
      </w:pPr>
      <w:r>
        <w:rPr>
          <w:sz w:val="24"/>
          <w:szCs w:val="24"/>
        </w:rPr>
        <w:br w:type="page"/>
      </w:r>
    </w:p>
    <w:p w14:paraId="100F0660" w14:textId="77777777" w:rsidR="009260DE" w:rsidRPr="005B0A53" w:rsidRDefault="009260DE" w:rsidP="009260DE">
      <w:pPr>
        <w:tabs>
          <w:tab w:val="left" w:pos="851"/>
        </w:tabs>
        <w:ind w:left="851"/>
        <w:rPr>
          <w:sz w:val="24"/>
          <w:szCs w:val="24"/>
        </w:rPr>
      </w:pPr>
    </w:p>
    <w:p w14:paraId="28DE0354" w14:textId="77777777" w:rsidR="009260DE" w:rsidRPr="005B0A53" w:rsidRDefault="009260DE" w:rsidP="009260DE">
      <w:pPr>
        <w:tabs>
          <w:tab w:val="left" w:pos="851"/>
        </w:tabs>
        <w:ind w:left="851" w:hanging="851"/>
        <w:rPr>
          <w:b/>
          <w:sz w:val="24"/>
          <w:szCs w:val="24"/>
        </w:rPr>
      </w:pPr>
      <w:r w:rsidRPr="005B0A53">
        <w:rPr>
          <w:b/>
          <w:sz w:val="24"/>
          <w:szCs w:val="24"/>
        </w:rPr>
        <w:t>4.3</w:t>
      </w:r>
      <w:r w:rsidRPr="005B0A53">
        <w:rPr>
          <w:b/>
          <w:sz w:val="24"/>
          <w:szCs w:val="24"/>
        </w:rPr>
        <w:tab/>
        <w:t>Kontraindikationer</w:t>
      </w:r>
    </w:p>
    <w:p w14:paraId="0BFB1659" w14:textId="77777777" w:rsidR="00E1759F" w:rsidRPr="005B0A53" w:rsidRDefault="00E1759F" w:rsidP="002758FD">
      <w:pPr>
        <w:ind w:left="851"/>
        <w:rPr>
          <w:sz w:val="24"/>
          <w:szCs w:val="24"/>
        </w:rPr>
      </w:pPr>
      <w:proofErr w:type="spellStart"/>
      <w:r w:rsidRPr="005B0A53">
        <w:rPr>
          <w:sz w:val="24"/>
          <w:szCs w:val="24"/>
        </w:rPr>
        <w:t>Prolastina</w:t>
      </w:r>
      <w:proofErr w:type="spellEnd"/>
      <w:r w:rsidRPr="005B0A53">
        <w:rPr>
          <w:sz w:val="24"/>
          <w:szCs w:val="24"/>
        </w:rPr>
        <w:t xml:space="preserve"> må ikke anvendes til patienter med</w:t>
      </w:r>
    </w:p>
    <w:p w14:paraId="3A95020A" w14:textId="6B4349C7" w:rsidR="00E1759F" w:rsidRPr="00B20C9B" w:rsidRDefault="00E1759F" w:rsidP="00B20C9B">
      <w:pPr>
        <w:pStyle w:val="Listeafsnit"/>
        <w:numPr>
          <w:ilvl w:val="0"/>
          <w:numId w:val="12"/>
        </w:numPr>
        <w:ind w:left="1276" w:hanging="425"/>
        <w:rPr>
          <w:sz w:val="24"/>
          <w:szCs w:val="24"/>
        </w:rPr>
      </w:pPr>
      <w:r w:rsidRPr="00B20C9B">
        <w:rPr>
          <w:sz w:val="24"/>
          <w:szCs w:val="24"/>
        </w:rPr>
        <w:t xml:space="preserve">selektiv </w:t>
      </w:r>
      <w:proofErr w:type="spellStart"/>
      <w:r w:rsidRPr="00B20C9B">
        <w:rPr>
          <w:sz w:val="24"/>
          <w:szCs w:val="24"/>
        </w:rPr>
        <w:t>IgA</w:t>
      </w:r>
      <w:proofErr w:type="spellEnd"/>
      <w:r w:rsidRPr="00B20C9B">
        <w:rPr>
          <w:sz w:val="24"/>
          <w:szCs w:val="24"/>
        </w:rPr>
        <w:t xml:space="preserve">-mangel, med kendt antistofdannelse mod </w:t>
      </w:r>
      <w:proofErr w:type="spellStart"/>
      <w:r w:rsidRPr="00B20C9B">
        <w:rPr>
          <w:sz w:val="24"/>
          <w:szCs w:val="24"/>
        </w:rPr>
        <w:t>IgA</w:t>
      </w:r>
      <w:proofErr w:type="spellEnd"/>
      <w:r w:rsidRPr="00B20C9B">
        <w:rPr>
          <w:sz w:val="24"/>
          <w:szCs w:val="24"/>
        </w:rPr>
        <w:t xml:space="preserve">, idet allergiske reaktioner grænsende til </w:t>
      </w:r>
      <w:proofErr w:type="spellStart"/>
      <w:r w:rsidRPr="00B20C9B">
        <w:rPr>
          <w:sz w:val="24"/>
          <w:szCs w:val="24"/>
        </w:rPr>
        <w:t>anafylaktisk</w:t>
      </w:r>
      <w:proofErr w:type="spellEnd"/>
      <w:r w:rsidRPr="00B20C9B">
        <w:rPr>
          <w:sz w:val="24"/>
          <w:szCs w:val="24"/>
        </w:rPr>
        <w:t xml:space="preserve"> </w:t>
      </w:r>
      <w:proofErr w:type="spellStart"/>
      <w:r w:rsidRPr="00B20C9B">
        <w:rPr>
          <w:sz w:val="24"/>
          <w:szCs w:val="24"/>
        </w:rPr>
        <w:t>shock</w:t>
      </w:r>
      <w:proofErr w:type="spellEnd"/>
      <w:r w:rsidRPr="00B20C9B">
        <w:rPr>
          <w:sz w:val="24"/>
          <w:szCs w:val="24"/>
        </w:rPr>
        <w:t xml:space="preserve"> kan forekomme i sådanne tilfælde.</w:t>
      </w:r>
    </w:p>
    <w:p w14:paraId="017C0BD5" w14:textId="53204C32" w:rsidR="00E1759F" w:rsidRPr="00B20C9B" w:rsidRDefault="00E1759F" w:rsidP="00B20C9B">
      <w:pPr>
        <w:pStyle w:val="Listeafsnit"/>
        <w:numPr>
          <w:ilvl w:val="0"/>
          <w:numId w:val="12"/>
        </w:numPr>
        <w:ind w:left="1276" w:hanging="425"/>
        <w:rPr>
          <w:sz w:val="24"/>
          <w:szCs w:val="24"/>
        </w:rPr>
      </w:pPr>
      <w:r w:rsidRPr="00B20C9B">
        <w:rPr>
          <w:sz w:val="24"/>
          <w:szCs w:val="24"/>
        </w:rPr>
        <w:t>overfølsomhed over for alfa</w:t>
      </w:r>
      <w:r w:rsidRPr="00B20C9B">
        <w:rPr>
          <w:sz w:val="24"/>
          <w:szCs w:val="24"/>
          <w:vertAlign w:val="subscript"/>
        </w:rPr>
        <w:t>1</w:t>
      </w:r>
      <w:r w:rsidRPr="00B20C9B">
        <w:rPr>
          <w:sz w:val="24"/>
          <w:szCs w:val="24"/>
        </w:rPr>
        <w:t>-proteinaseinhibitorer eller over for et eller flere af hjælpestofferne anført i pkt. 6.1 (se også pkt. 4.4).</w:t>
      </w:r>
    </w:p>
    <w:p w14:paraId="74320EBB" w14:textId="77777777" w:rsidR="009260DE" w:rsidRPr="005B0A53" w:rsidRDefault="009260DE" w:rsidP="009260DE">
      <w:pPr>
        <w:tabs>
          <w:tab w:val="left" w:pos="851"/>
        </w:tabs>
        <w:ind w:left="851"/>
        <w:rPr>
          <w:sz w:val="24"/>
          <w:szCs w:val="24"/>
        </w:rPr>
      </w:pPr>
    </w:p>
    <w:p w14:paraId="3F6C0702" w14:textId="77777777" w:rsidR="009260DE" w:rsidRPr="005B0A53" w:rsidRDefault="009260DE" w:rsidP="009260DE">
      <w:pPr>
        <w:tabs>
          <w:tab w:val="left" w:pos="851"/>
        </w:tabs>
        <w:ind w:left="851" w:hanging="851"/>
        <w:rPr>
          <w:b/>
          <w:sz w:val="24"/>
          <w:szCs w:val="24"/>
        </w:rPr>
      </w:pPr>
      <w:r w:rsidRPr="005B0A53">
        <w:rPr>
          <w:b/>
          <w:sz w:val="24"/>
          <w:szCs w:val="24"/>
        </w:rPr>
        <w:t>4.4</w:t>
      </w:r>
      <w:r w:rsidRPr="005B0A53">
        <w:rPr>
          <w:b/>
          <w:sz w:val="24"/>
          <w:szCs w:val="24"/>
        </w:rPr>
        <w:tab/>
        <w:t>Særlige advarsler og forsigtighedsregler vedrørende brugen</w:t>
      </w:r>
    </w:p>
    <w:p w14:paraId="3A856DB7"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Den anbefalede infusionshastighed beskrevet i pkt. 4.2 bør overholdes. Hvis der opstår reaktioner, der kan være forbundet med indgivelsen af Prolastina, bør infusionshastigheden sættes ned eller indgivelsen stoppes, alt efter patientens kliniske tilstand.</w:t>
      </w:r>
    </w:p>
    <w:p w14:paraId="2BCECB04" w14:textId="77777777" w:rsidR="00E1759F" w:rsidRPr="005B0A53" w:rsidRDefault="00E1759F" w:rsidP="002758FD">
      <w:pPr>
        <w:autoSpaceDE w:val="0"/>
        <w:autoSpaceDN w:val="0"/>
        <w:adjustRightInd w:val="0"/>
        <w:ind w:left="851"/>
        <w:rPr>
          <w:noProof/>
          <w:sz w:val="24"/>
          <w:szCs w:val="24"/>
        </w:rPr>
      </w:pPr>
    </w:p>
    <w:p w14:paraId="374F2182"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Da Prolastina kan forårsage en forbigående øgning af blodvolumen, skal der tages særligt hensyn til patienter med alvorlig hjerteinsufficiens og patienter med risiko for overbelastning af kredsløbet.</w:t>
      </w:r>
    </w:p>
    <w:p w14:paraId="71C555E2" w14:textId="77777777" w:rsidR="00E1759F" w:rsidRPr="005B0A53" w:rsidRDefault="00E1759F" w:rsidP="002758FD">
      <w:pPr>
        <w:autoSpaceDE w:val="0"/>
        <w:autoSpaceDN w:val="0"/>
        <w:adjustRightInd w:val="0"/>
        <w:ind w:left="851"/>
        <w:rPr>
          <w:noProof/>
          <w:sz w:val="24"/>
          <w:szCs w:val="24"/>
        </w:rPr>
      </w:pPr>
    </w:p>
    <w:p w14:paraId="3A7CC141" w14:textId="77777777" w:rsidR="00E1759F" w:rsidRPr="005B0A53" w:rsidRDefault="00E1759F" w:rsidP="002758FD">
      <w:pPr>
        <w:autoSpaceDE w:val="0"/>
        <w:autoSpaceDN w:val="0"/>
        <w:adjustRightInd w:val="0"/>
        <w:ind w:left="851"/>
        <w:rPr>
          <w:noProof/>
          <w:sz w:val="24"/>
          <w:szCs w:val="24"/>
          <w:u w:val="single"/>
        </w:rPr>
      </w:pPr>
      <w:r w:rsidRPr="005B0A53">
        <w:rPr>
          <w:noProof/>
          <w:sz w:val="24"/>
          <w:szCs w:val="24"/>
          <w:u w:val="single"/>
        </w:rPr>
        <w:t>Overfølsomhed</w:t>
      </w:r>
    </w:p>
    <w:p w14:paraId="5F0EA1B8"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Der kan i sjældne tilfælde forekomme overfølsomhedsreaktioner, herunder hos patienter, der tidligere har tålt behandling med human alfa</w:t>
      </w:r>
      <w:r w:rsidRPr="005B0A53">
        <w:rPr>
          <w:noProof/>
          <w:sz w:val="24"/>
          <w:szCs w:val="24"/>
          <w:vertAlign w:val="subscript"/>
        </w:rPr>
        <w:t>1</w:t>
      </w:r>
      <w:r w:rsidRPr="005B0A53">
        <w:rPr>
          <w:noProof/>
          <w:sz w:val="24"/>
          <w:szCs w:val="24"/>
        </w:rPr>
        <w:t xml:space="preserve">-proteinaseinhibitorer. I tilfælde af alvorlig overfølsomhedsreaktion (med blodtryksfald til </w:t>
      </w:r>
      <w:r w:rsidRPr="005B0A53">
        <w:rPr>
          <w:noProof/>
          <w:sz w:val="24"/>
          <w:szCs w:val="24"/>
        </w:rPr>
        <w:sym w:font="Symbol" w:char="F03C"/>
      </w:r>
      <w:r w:rsidRPr="005B0A53">
        <w:rPr>
          <w:noProof/>
          <w:sz w:val="24"/>
          <w:szCs w:val="24"/>
        </w:rPr>
        <w:t> 90 mmHG, dyspnø eller endog anafylaktisk shock), skal behandlingen med Prolastina øjeblikkeligt afbrydes og en passende behandling indledes, om nødvendigt med behandling for shock.</w:t>
      </w:r>
    </w:p>
    <w:p w14:paraId="4F5EF825" w14:textId="77777777" w:rsidR="00E1759F" w:rsidRPr="005B0A53" w:rsidRDefault="00E1759F" w:rsidP="002758FD">
      <w:pPr>
        <w:autoSpaceDE w:val="0"/>
        <w:autoSpaceDN w:val="0"/>
        <w:adjustRightInd w:val="0"/>
        <w:ind w:left="851"/>
        <w:rPr>
          <w:noProof/>
          <w:sz w:val="24"/>
          <w:szCs w:val="24"/>
        </w:rPr>
      </w:pPr>
    </w:p>
    <w:p w14:paraId="0962774A" w14:textId="77777777" w:rsidR="00E1759F" w:rsidRPr="005B0A53" w:rsidRDefault="00E1759F" w:rsidP="002758FD">
      <w:pPr>
        <w:autoSpaceDE w:val="0"/>
        <w:autoSpaceDN w:val="0"/>
        <w:adjustRightInd w:val="0"/>
        <w:ind w:left="851"/>
        <w:rPr>
          <w:noProof/>
          <w:sz w:val="24"/>
          <w:szCs w:val="24"/>
          <w:u w:val="single"/>
        </w:rPr>
      </w:pPr>
      <w:r w:rsidRPr="005B0A53">
        <w:rPr>
          <w:noProof/>
          <w:sz w:val="24"/>
          <w:szCs w:val="24"/>
          <w:u w:val="single"/>
        </w:rPr>
        <w:t>Hjemmebehandling</w:t>
      </w:r>
    </w:p>
    <w:p w14:paraId="21870F2D"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Der er begrænsede data vedrørende anvendelse af Prolastina i forbindelse med hjemmebehandling.</w:t>
      </w:r>
    </w:p>
    <w:p w14:paraId="555DFB27"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Potentielle risici forbundet med hjemmebehandling er relateret til håndteringen og indgivelsen af lægemidlet samt håndteringen af bivirkninger. Patienten bør informeres om symptomer på overfølsomhedsreaktioner.</w:t>
      </w:r>
    </w:p>
    <w:p w14:paraId="1178DDCA" w14:textId="77777777" w:rsidR="00E1759F" w:rsidRPr="005B0A53" w:rsidRDefault="00E1759F" w:rsidP="002758FD">
      <w:pPr>
        <w:autoSpaceDE w:val="0"/>
        <w:autoSpaceDN w:val="0"/>
        <w:adjustRightInd w:val="0"/>
        <w:ind w:left="851"/>
        <w:rPr>
          <w:noProof/>
          <w:sz w:val="24"/>
          <w:szCs w:val="24"/>
        </w:rPr>
      </w:pPr>
    </w:p>
    <w:p w14:paraId="64E140F5"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Beslutningen om hvorvidt en patient er egnet til hjemmebehandling, træffes af den behandlende læge, der skal sikre, at der gives relevant oplæring (f.eks. vedrørende rekonstitution, brug af overførselssæt til rekonstitution, samling af intravenøse slanger, infusionsteknikker, vedligeholdelse af en behandlingsdagbog, identificering af bivirkninger og foranstaltninger, der skal træffes, hvis der optræder bivirkninger) samt at anvendelsen gennemgås med regelmæssige mellemrum.</w:t>
      </w:r>
    </w:p>
    <w:p w14:paraId="3085E826" w14:textId="77777777" w:rsidR="00E1759F" w:rsidRPr="005B0A53" w:rsidRDefault="00E1759F" w:rsidP="002758FD">
      <w:pPr>
        <w:autoSpaceDE w:val="0"/>
        <w:autoSpaceDN w:val="0"/>
        <w:adjustRightInd w:val="0"/>
        <w:ind w:left="851"/>
        <w:rPr>
          <w:noProof/>
          <w:sz w:val="24"/>
          <w:szCs w:val="24"/>
        </w:rPr>
      </w:pPr>
    </w:p>
    <w:p w14:paraId="1C27B7EC" w14:textId="77777777" w:rsidR="00E1759F" w:rsidRPr="005B0A53" w:rsidRDefault="00E1759F" w:rsidP="007203DE">
      <w:pPr>
        <w:ind w:left="851"/>
        <w:rPr>
          <w:noProof/>
          <w:sz w:val="24"/>
          <w:szCs w:val="24"/>
          <w:u w:val="single"/>
        </w:rPr>
      </w:pPr>
      <w:r w:rsidRPr="005B0A53">
        <w:rPr>
          <w:noProof/>
          <w:sz w:val="24"/>
          <w:szCs w:val="24"/>
          <w:u w:val="single"/>
        </w:rPr>
        <w:t>Smittefarlige stoffer</w:t>
      </w:r>
    </w:p>
    <w:p w14:paraId="3AC7A277"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Standardforholdsregler til forebyggelse af infektioner som følge af brugen af lægemidler fremstillet ud fra humant blod eller plasma inkluderer donorudvælgelse, screening af individuelle donationer og plasmapools for specifikke markører for infektion samt inklusion af effektive fremstillingstrin for at inaktivere/fjerne vira. Trods dette kan muligheden for en transmission af infektiøse substanser ved administration af lægemidler fremstillet ud fra humant blod eller plasma ikke udelukkes fuldstændigt. Dette gælder også for ukendte eller pludseligt opstående vira og patogener.</w:t>
      </w:r>
    </w:p>
    <w:p w14:paraId="17B07EE2" w14:textId="77777777" w:rsidR="00E1759F" w:rsidRPr="005B0A53" w:rsidRDefault="00E1759F" w:rsidP="002758FD">
      <w:pPr>
        <w:autoSpaceDE w:val="0"/>
        <w:autoSpaceDN w:val="0"/>
        <w:adjustRightInd w:val="0"/>
        <w:ind w:left="851"/>
        <w:rPr>
          <w:noProof/>
          <w:sz w:val="24"/>
          <w:szCs w:val="24"/>
        </w:rPr>
      </w:pPr>
    </w:p>
    <w:p w14:paraId="69005ACC"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De anvendte forholdsregler er vurderet effektive mod indkapslede vira som humant immundefekt-virus (hiv), hepatitis B virus (HBV) og hepatitis C virus (HCV). Forholdsreglerne kan være af begrænset værdi mod ikke-indkapslede vira såsom hepatitis A og parvovirus B19.</w:t>
      </w:r>
    </w:p>
    <w:p w14:paraId="4DA834E0" w14:textId="77777777" w:rsidR="00E1759F" w:rsidRPr="005B0A53" w:rsidRDefault="00E1759F" w:rsidP="002758FD">
      <w:pPr>
        <w:autoSpaceDE w:val="0"/>
        <w:autoSpaceDN w:val="0"/>
        <w:adjustRightInd w:val="0"/>
        <w:ind w:left="851"/>
        <w:rPr>
          <w:noProof/>
          <w:sz w:val="24"/>
          <w:szCs w:val="24"/>
        </w:rPr>
      </w:pPr>
      <w:r w:rsidRPr="005B0A53">
        <w:rPr>
          <w:noProof/>
          <w:sz w:val="24"/>
          <w:szCs w:val="24"/>
        </w:rPr>
        <w:lastRenderedPageBreak/>
        <w:t>Infektion med parvovirus B19 kan være alvorlig for gravide (føtal infektion) og for personer med nedsat immunforsvar eller øget erytropoiesis (f.eks. hæmolytisk anæmi).</w:t>
      </w:r>
    </w:p>
    <w:p w14:paraId="49015D60" w14:textId="77777777" w:rsidR="00E1759F" w:rsidRPr="005B0A53" w:rsidRDefault="00E1759F" w:rsidP="002758FD">
      <w:pPr>
        <w:autoSpaceDE w:val="0"/>
        <w:autoSpaceDN w:val="0"/>
        <w:adjustRightInd w:val="0"/>
        <w:ind w:left="851"/>
        <w:rPr>
          <w:noProof/>
          <w:sz w:val="24"/>
          <w:szCs w:val="24"/>
        </w:rPr>
      </w:pPr>
    </w:p>
    <w:p w14:paraId="54680A35"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Passende vaccination (hepatitis A og B) bør overvejes til patienter, som regelmæssigt/gentagne gange får proteinaseinhibitorer, der stammer fra humant plasma.</w:t>
      </w:r>
    </w:p>
    <w:p w14:paraId="365C8765" w14:textId="77777777" w:rsidR="00E1759F" w:rsidRPr="005B0A53" w:rsidRDefault="00E1759F" w:rsidP="002758FD">
      <w:pPr>
        <w:autoSpaceDE w:val="0"/>
        <w:autoSpaceDN w:val="0"/>
        <w:adjustRightInd w:val="0"/>
        <w:ind w:left="851"/>
        <w:rPr>
          <w:noProof/>
          <w:sz w:val="24"/>
          <w:szCs w:val="24"/>
        </w:rPr>
      </w:pPr>
    </w:p>
    <w:p w14:paraId="16C2F600" w14:textId="77777777" w:rsidR="00E1759F" w:rsidRPr="005B0A53" w:rsidRDefault="00E1759F" w:rsidP="002758FD">
      <w:pPr>
        <w:autoSpaceDE w:val="0"/>
        <w:autoSpaceDN w:val="0"/>
        <w:adjustRightInd w:val="0"/>
        <w:ind w:left="851"/>
        <w:rPr>
          <w:noProof/>
          <w:sz w:val="24"/>
          <w:szCs w:val="24"/>
          <w:u w:val="single"/>
        </w:rPr>
      </w:pPr>
      <w:r w:rsidRPr="005B0A53">
        <w:rPr>
          <w:noProof/>
          <w:sz w:val="24"/>
          <w:szCs w:val="24"/>
          <w:u w:val="single"/>
        </w:rPr>
        <w:t>Sporbarhed</w:t>
      </w:r>
    </w:p>
    <w:p w14:paraId="50641C57"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Produktets navn og batchnummer skal tydeligt registreres, hver gang Prolastina gives til patienten, så man opretholder et link mellem patienten og produktets batch.</w:t>
      </w:r>
    </w:p>
    <w:p w14:paraId="2BA0143E" w14:textId="77777777" w:rsidR="00E1759F" w:rsidRPr="005B0A53" w:rsidRDefault="00E1759F" w:rsidP="002758FD">
      <w:pPr>
        <w:autoSpaceDE w:val="0"/>
        <w:autoSpaceDN w:val="0"/>
        <w:adjustRightInd w:val="0"/>
        <w:ind w:left="851"/>
        <w:rPr>
          <w:noProof/>
          <w:sz w:val="24"/>
          <w:szCs w:val="24"/>
        </w:rPr>
      </w:pPr>
    </w:p>
    <w:p w14:paraId="373551CF" w14:textId="77777777" w:rsidR="00E1759F" w:rsidRPr="005B0A53" w:rsidRDefault="00E1759F" w:rsidP="002758FD">
      <w:pPr>
        <w:autoSpaceDE w:val="0"/>
        <w:autoSpaceDN w:val="0"/>
        <w:adjustRightInd w:val="0"/>
        <w:ind w:left="851"/>
        <w:rPr>
          <w:noProof/>
          <w:sz w:val="24"/>
          <w:szCs w:val="24"/>
          <w:u w:val="single"/>
        </w:rPr>
      </w:pPr>
      <w:r w:rsidRPr="005B0A53">
        <w:rPr>
          <w:noProof/>
          <w:sz w:val="24"/>
          <w:szCs w:val="24"/>
          <w:u w:val="single"/>
        </w:rPr>
        <w:t>Rygning</w:t>
      </w:r>
    </w:p>
    <w:p w14:paraId="13905063"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 xml:space="preserve">Rygere kan ikke nægtes Prolastina-behandling. Eftersom virkningen af Prolastina påvirkes af tobaksrøg i lungerne, anbefales rygestop på det kraftigste. </w:t>
      </w:r>
    </w:p>
    <w:p w14:paraId="2268A5CE" w14:textId="77777777" w:rsidR="00E1759F" w:rsidRPr="005B0A53" w:rsidRDefault="00E1759F" w:rsidP="002758FD">
      <w:pPr>
        <w:autoSpaceDE w:val="0"/>
        <w:autoSpaceDN w:val="0"/>
        <w:adjustRightInd w:val="0"/>
        <w:ind w:left="851"/>
        <w:rPr>
          <w:noProof/>
          <w:sz w:val="24"/>
          <w:szCs w:val="24"/>
        </w:rPr>
      </w:pPr>
    </w:p>
    <w:p w14:paraId="23ADA063" w14:textId="77777777" w:rsidR="00E1759F" w:rsidRPr="005B0A53" w:rsidRDefault="00E1759F" w:rsidP="002758FD">
      <w:pPr>
        <w:autoSpaceDE w:val="0"/>
        <w:autoSpaceDN w:val="0"/>
        <w:adjustRightInd w:val="0"/>
        <w:ind w:left="851"/>
        <w:rPr>
          <w:noProof/>
          <w:sz w:val="24"/>
          <w:szCs w:val="24"/>
          <w:u w:val="single"/>
        </w:rPr>
      </w:pPr>
      <w:r w:rsidRPr="005B0A53">
        <w:rPr>
          <w:noProof/>
          <w:sz w:val="24"/>
          <w:szCs w:val="24"/>
          <w:u w:val="single"/>
        </w:rPr>
        <w:t>Natriumindhold</w:t>
      </w:r>
    </w:p>
    <w:p w14:paraId="56EEB38E"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Dette lægemiddel indeholder ca. 441,6 mmol (19,2 mmol) natrium pr. 4000 mg hætteglas og 552,0 mg (24 mmol) natrium pr. 5000 mg hætteglas.</w:t>
      </w:r>
    </w:p>
    <w:p w14:paraId="1E6B3444"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Hos en patient med en legemsvægt på 75 kg svarer natriumindholdet af den anbefalede dosis til 24,84 % af den WHO anbefalede maksimale daglige indtagelse af 2 g natrium for en voksen.</w:t>
      </w:r>
    </w:p>
    <w:p w14:paraId="11C0DAD7" w14:textId="77777777" w:rsidR="00E1759F" w:rsidRPr="005B0A53" w:rsidRDefault="00E1759F" w:rsidP="002758FD">
      <w:pPr>
        <w:autoSpaceDE w:val="0"/>
        <w:autoSpaceDN w:val="0"/>
        <w:adjustRightInd w:val="0"/>
        <w:ind w:left="851"/>
        <w:rPr>
          <w:noProof/>
          <w:sz w:val="24"/>
          <w:szCs w:val="24"/>
        </w:rPr>
      </w:pPr>
    </w:p>
    <w:p w14:paraId="2E981E2F" w14:textId="77777777" w:rsidR="00E1759F" w:rsidRPr="005B0A53" w:rsidRDefault="00E1759F" w:rsidP="002758FD">
      <w:pPr>
        <w:autoSpaceDE w:val="0"/>
        <w:autoSpaceDN w:val="0"/>
        <w:adjustRightInd w:val="0"/>
        <w:ind w:left="851"/>
        <w:rPr>
          <w:noProof/>
          <w:sz w:val="24"/>
          <w:szCs w:val="24"/>
        </w:rPr>
      </w:pPr>
      <w:r w:rsidRPr="005B0A53">
        <w:rPr>
          <w:noProof/>
          <w:sz w:val="24"/>
          <w:szCs w:val="24"/>
        </w:rPr>
        <w:t>Dette bør tages i betragtning for patienter på kontrolleret natriumdiæt.</w:t>
      </w:r>
    </w:p>
    <w:p w14:paraId="260BB60F" w14:textId="77777777" w:rsidR="009260DE" w:rsidRPr="005B0A53" w:rsidRDefault="009260DE" w:rsidP="009260DE">
      <w:pPr>
        <w:tabs>
          <w:tab w:val="left" w:pos="851"/>
        </w:tabs>
        <w:ind w:left="851"/>
        <w:rPr>
          <w:sz w:val="24"/>
          <w:szCs w:val="24"/>
        </w:rPr>
      </w:pPr>
    </w:p>
    <w:p w14:paraId="2A5430FF" w14:textId="77777777" w:rsidR="009260DE" w:rsidRPr="005B0A53" w:rsidRDefault="009260DE" w:rsidP="009260DE">
      <w:pPr>
        <w:tabs>
          <w:tab w:val="left" w:pos="851"/>
        </w:tabs>
        <w:ind w:left="851" w:hanging="851"/>
        <w:rPr>
          <w:b/>
          <w:sz w:val="24"/>
          <w:szCs w:val="24"/>
        </w:rPr>
      </w:pPr>
      <w:r w:rsidRPr="005B0A53">
        <w:rPr>
          <w:b/>
          <w:sz w:val="24"/>
          <w:szCs w:val="24"/>
        </w:rPr>
        <w:t>4.5</w:t>
      </w:r>
      <w:r w:rsidRPr="005B0A53">
        <w:rPr>
          <w:b/>
          <w:sz w:val="24"/>
          <w:szCs w:val="24"/>
        </w:rPr>
        <w:tab/>
        <w:t>Interaktion med andre lægemidler og andre former for interaktion</w:t>
      </w:r>
    </w:p>
    <w:p w14:paraId="2B5F4584" w14:textId="77777777" w:rsidR="00E1759F" w:rsidRPr="005B0A53" w:rsidRDefault="00E1759F" w:rsidP="002758FD">
      <w:pPr>
        <w:ind w:left="851"/>
        <w:rPr>
          <w:sz w:val="24"/>
          <w:szCs w:val="24"/>
        </w:rPr>
      </w:pPr>
      <w:r w:rsidRPr="005B0A53">
        <w:rPr>
          <w:sz w:val="24"/>
          <w:szCs w:val="24"/>
        </w:rPr>
        <w:t xml:space="preserve">Der er ingen kendte interaktioner mellem </w:t>
      </w:r>
      <w:proofErr w:type="spellStart"/>
      <w:r w:rsidRPr="005B0A53">
        <w:rPr>
          <w:sz w:val="24"/>
          <w:szCs w:val="24"/>
        </w:rPr>
        <w:t>Prolastina</w:t>
      </w:r>
      <w:proofErr w:type="spellEnd"/>
      <w:r w:rsidRPr="005B0A53">
        <w:rPr>
          <w:sz w:val="24"/>
          <w:szCs w:val="24"/>
        </w:rPr>
        <w:t xml:space="preserve"> og andre lægemidler.</w:t>
      </w:r>
    </w:p>
    <w:p w14:paraId="41E0D929" w14:textId="77777777" w:rsidR="009260DE" w:rsidRPr="005B0A53" w:rsidRDefault="009260DE" w:rsidP="009260DE">
      <w:pPr>
        <w:tabs>
          <w:tab w:val="left" w:pos="851"/>
        </w:tabs>
        <w:ind w:left="851"/>
        <w:rPr>
          <w:sz w:val="24"/>
          <w:szCs w:val="24"/>
        </w:rPr>
      </w:pPr>
    </w:p>
    <w:p w14:paraId="69F7CF16" w14:textId="77777777" w:rsidR="009260DE" w:rsidRPr="005B0A53" w:rsidRDefault="009260DE" w:rsidP="009260DE">
      <w:pPr>
        <w:tabs>
          <w:tab w:val="left" w:pos="851"/>
        </w:tabs>
        <w:ind w:left="851" w:hanging="851"/>
        <w:rPr>
          <w:b/>
          <w:sz w:val="24"/>
          <w:szCs w:val="24"/>
        </w:rPr>
      </w:pPr>
      <w:r w:rsidRPr="005B0A53">
        <w:rPr>
          <w:b/>
          <w:sz w:val="24"/>
          <w:szCs w:val="24"/>
        </w:rPr>
        <w:t>4.6</w:t>
      </w:r>
      <w:r w:rsidRPr="005B0A53">
        <w:rPr>
          <w:b/>
          <w:sz w:val="24"/>
          <w:szCs w:val="24"/>
        </w:rPr>
        <w:tab/>
      </w:r>
      <w:r w:rsidR="0071241E" w:rsidRPr="005B0A53">
        <w:rPr>
          <w:b/>
          <w:sz w:val="24"/>
          <w:szCs w:val="24"/>
        </w:rPr>
        <w:t>Fertilitet, g</w:t>
      </w:r>
      <w:r w:rsidRPr="005B0A53">
        <w:rPr>
          <w:b/>
          <w:sz w:val="24"/>
          <w:szCs w:val="24"/>
        </w:rPr>
        <w:t>raviditet og amning</w:t>
      </w:r>
    </w:p>
    <w:p w14:paraId="2FF38BEF" w14:textId="77777777" w:rsidR="00B20C9B" w:rsidRDefault="00B20C9B" w:rsidP="002758FD">
      <w:pPr>
        <w:ind w:left="851"/>
        <w:rPr>
          <w:sz w:val="24"/>
          <w:szCs w:val="24"/>
          <w:u w:val="single"/>
        </w:rPr>
      </w:pPr>
    </w:p>
    <w:p w14:paraId="1CEA3901" w14:textId="26449421" w:rsidR="00E1759F" w:rsidRPr="005B0A53" w:rsidRDefault="00E1759F" w:rsidP="002758FD">
      <w:pPr>
        <w:ind w:left="851"/>
        <w:rPr>
          <w:sz w:val="24"/>
          <w:szCs w:val="24"/>
          <w:u w:val="single"/>
        </w:rPr>
      </w:pPr>
      <w:r w:rsidRPr="005B0A53">
        <w:rPr>
          <w:sz w:val="24"/>
          <w:szCs w:val="24"/>
          <w:u w:val="single"/>
        </w:rPr>
        <w:t>Graviditet</w:t>
      </w:r>
    </w:p>
    <w:p w14:paraId="6099A70A" w14:textId="77777777" w:rsidR="00E1759F" w:rsidRPr="005B0A53" w:rsidRDefault="00E1759F" w:rsidP="002758FD">
      <w:pPr>
        <w:ind w:left="851"/>
        <w:rPr>
          <w:sz w:val="24"/>
          <w:szCs w:val="24"/>
        </w:rPr>
      </w:pPr>
      <w:r w:rsidRPr="005B0A53">
        <w:rPr>
          <w:sz w:val="24"/>
          <w:szCs w:val="24"/>
        </w:rPr>
        <w:t xml:space="preserve">Der findes ingen tilgængelige kliniske studier for eksponering af gravide. Dyrestudier er ikke blevet udført. Der skal udvises forsigtighed ved ordinering til gravide kvinder. </w:t>
      </w:r>
    </w:p>
    <w:p w14:paraId="01AA1602" w14:textId="77777777" w:rsidR="00E1759F" w:rsidRPr="005B0A53" w:rsidRDefault="00E1759F" w:rsidP="002758FD">
      <w:pPr>
        <w:ind w:left="851"/>
        <w:rPr>
          <w:sz w:val="24"/>
          <w:szCs w:val="24"/>
          <w:u w:val="single"/>
        </w:rPr>
      </w:pPr>
    </w:p>
    <w:p w14:paraId="751B095D" w14:textId="77777777" w:rsidR="00E1759F" w:rsidRPr="005B0A53" w:rsidRDefault="00E1759F" w:rsidP="002758FD">
      <w:pPr>
        <w:ind w:left="851"/>
        <w:rPr>
          <w:sz w:val="24"/>
          <w:szCs w:val="24"/>
          <w:u w:val="single"/>
        </w:rPr>
      </w:pPr>
      <w:r w:rsidRPr="005B0A53">
        <w:rPr>
          <w:sz w:val="24"/>
          <w:szCs w:val="24"/>
          <w:u w:val="single"/>
        </w:rPr>
        <w:t>Amning</w:t>
      </w:r>
    </w:p>
    <w:p w14:paraId="29432F4C" w14:textId="77777777" w:rsidR="00E1759F" w:rsidRPr="005B0A53" w:rsidRDefault="00E1759F" w:rsidP="002758FD">
      <w:pPr>
        <w:ind w:left="851"/>
        <w:rPr>
          <w:sz w:val="24"/>
          <w:szCs w:val="24"/>
        </w:rPr>
      </w:pPr>
      <w:r w:rsidRPr="005B0A53">
        <w:rPr>
          <w:sz w:val="24"/>
          <w:szCs w:val="24"/>
        </w:rPr>
        <w:t>Det er ikke kendt, om alfa</w:t>
      </w:r>
      <w:r w:rsidRPr="005B0A53">
        <w:rPr>
          <w:sz w:val="24"/>
          <w:szCs w:val="24"/>
          <w:vertAlign w:val="subscript"/>
        </w:rPr>
        <w:t>1</w:t>
      </w:r>
      <w:r w:rsidRPr="005B0A53">
        <w:rPr>
          <w:sz w:val="24"/>
          <w:szCs w:val="24"/>
        </w:rPr>
        <w:t>-proteinaseinhibitor udskilles i modermælken. Udskillelsen af alfa</w:t>
      </w:r>
      <w:r w:rsidRPr="005B0A53">
        <w:rPr>
          <w:sz w:val="24"/>
          <w:szCs w:val="24"/>
          <w:vertAlign w:val="subscript"/>
        </w:rPr>
        <w:t>1</w:t>
      </w:r>
      <w:r w:rsidRPr="005B0A53">
        <w:rPr>
          <w:sz w:val="24"/>
          <w:szCs w:val="24"/>
        </w:rPr>
        <w:t xml:space="preserve">-proteinaseinhibitor i mælken er ikke studeret hos dyr. Barnets fordel af amningen og kvindens fordel af </w:t>
      </w:r>
      <w:proofErr w:type="spellStart"/>
      <w:r w:rsidRPr="005B0A53">
        <w:rPr>
          <w:sz w:val="24"/>
          <w:szCs w:val="24"/>
        </w:rPr>
        <w:t>Prolastina</w:t>
      </w:r>
      <w:proofErr w:type="spellEnd"/>
      <w:r w:rsidRPr="005B0A53">
        <w:rPr>
          <w:sz w:val="24"/>
          <w:szCs w:val="24"/>
        </w:rPr>
        <w:t xml:space="preserve">-behandlingen bør overvejes, når beslutningen om at fortsætte/stoppe amningen eller fortsætte/stoppe behandlingen med </w:t>
      </w:r>
      <w:proofErr w:type="spellStart"/>
      <w:r w:rsidRPr="005B0A53">
        <w:rPr>
          <w:sz w:val="24"/>
          <w:szCs w:val="24"/>
        </w:rPr>
        <w:t>Prolastina</w:t>
      </w:r>
      <w:proofErr w:type="spellEnd"/>
      <w:r w:rsidRPr="005B0A53">
        <w:rPr>
          <w:sz w:val="24"/>
          <w:szCs w:val="24"/>
        </w:rPr>
        <w:t xml:space="preserve"> tages.</w:t>
      </w:r>
    </w:p>
    <w:p w14:paraId="70F1F242" w14:textId="77777777" w:rsidR="009260DE" w:rsidRPr="005B0A53" w:rsidRDefault="009260DE" w:rsidP="009260DE">
      <w:pPr>
        <w:tabs>
          <w:tab w:val="left" w:pos="851"/>
        </w:tabs>
        <w:ind w:left="851"/>
        <w:rPr>
          <w:sz w:val="24"/>
          <w:szCs w:val="24"/>
        </w:rPr>
      </w:pPr>
    </w:p>
    <w:p w14:paraId="0CE7D1B4" w14:textId="77777777" w:rsidR="009260DE" w:rsidRPr="005B0A53" w:rsidRDefault="009260DE" w:rsidP="009260DE">
      <w:pPr>
        <w:tabs>
          <w:tab w:val="left" w:pos="851"/>
        </w:tabs>
        <w:ind w:left="851" w:hanging="851"/>
        <w:rPr>
          <w:b/>
          <w:sz w:val="24"/>
          <w:szCs w:val="24"/>
        </w:rPr>
      </w:pPr>
      <w:r w:rsidRPr="005B0A53">
        <w:rPr>
          <w:b/>
          <w:sz w:val="24"/>
          <w:szCs w:val="24"/>
        </w:rPr>
        <w:t>4.7</w:t>
      </w:r>
      <w:r w:rsidRPr="005B0A53">
        <w:rPr>
          <w:b/>
          <w:sz w:val="24"/>
          <w:szCs w:val="24"/>
        </w:rPr>
        <w:tab/>
        <w:t xml:space="preserve">Virkning på evnen til at føre motorkøretøj </w:t>
      </w:r>
      <w:r w:rsidR="0071241E" w:rsidRPr="005B0A53">
        <w:rPr>
          <w:b/>
          <w:sz w:val="24"/>
          <w:szCs w:val="24"/>
        </w:rPr>
        <w:t>og</w:t>
      </w:r>
      <w:r w:rsidRPr="005B0A53">
        <w:rPr>
          <w:b/>
          <w:sz w:val="24"/>
          <w:szCs w:val="24"/>
        </w:rPr>
        <w:t xml:space="preserve"> betjene maskiner</w:t>
      </w:r>
    </w:p>
    <w:p w14:paraId="3D44897B" w14:textId="77777777" w:rsidR="00E1759F" w:rsidRPr="005B0A53" w:rsidRDefault="00E1759F" w:rsidP="002758FD">
      <w:pPr>
        <w:ind w:left="851"/>
        <w:rPr>
          <w:sz w:val="24"/>
          <w:szCs w:val="24"/>
        </w:rPr>
      </w:pPr>
      <w:r w:rsidRPr="005B0A53">
        <w:rPr>
          <w:sz w:val="24"/>
          <w:szCs w:val="24"/>
        </w:rPr>
        <w:t>Ikke mærkning.</w:t>
      </w:r>
    </w:p>
    <w:p w14:paraId="095B14A5" w14:textId="77777777" w:rsidR="00E1759F" w:rsidRPr="005B0A53" w:rsidRDefault="00E1759F" w:rsidP="002758FD">
      <w:pPr>
        <w:ind w:left="851"/>
        <w:rPr>
          <w:sz w:val="24"/>
          <w:szCs w:val="24"/>
        </w:rPr>
      </w:pPr>
      <w:proofErr w:type="spellStart"/>
      <w:r w:rsidRPr="005B0A53">
        <w:rPr>
          <w:sz w:val="24"/>
          <w:szCs w:val="24"/>
        </w:rPr>
        <w:t>Prolastina</w:t>
      </w:r>
      <w:proofErr w:type="spellEnd"/>
      <w:r w:rsidRPr="005B0A53">
        <w:rPr>
          <w:sz w:val="24"/>
          <w:szCs w:val="24"/>
        </w:rPr>
        <w:t xml:space="preserve"> påvirker ikke eller kun i ubetydelig grad evnen til at føre motorkøretøj og betjene maskiner.</w:t>
      </w:r>
    </w:p>
    <w:p w14:paraId="14529599" w14:textId="77777777" w:rsidR="009260DE" w:rsidRPr="005B0A53" w:rsidRDefault="009260DE" w:rsidP="009260DE">
      <w:pPr>
        <w:tabs>
          <w:tab w:val="left" w:pos="851"/>
        </w:tabs>
        <w:ind w:left="851"/>
        <w:rPr>
          <w:sz w:val="24"/>
          <w:szCs w:val="24"/>
        </w:rPr>
      </w:pPr>
    </w:p>
    <w:p w14:paraId="3F41BFCF" w14:textId="77777777" w:rsidR="009260DE" w:rsidRPr="005B0A53" w:rsidRDefault="009260DE" w:rsidP="009260DE">
      <w:pPr>
        <w:tabs>
          <w:tab w:val="left" w:pos="851"/>
        </w:tabs>
        <w:ind w:left="851" w:hanging="851"/>
        <w:rPr>
          <w:b/>
          <w:sz w:val="24"/>
          <w:szCs w:val="24"/>
        </w:rPr>
      </w:pPr>
      <w:r w:rsidRPr="005B0A53">
        <w:rPr>
          <w:b/>
          <w:sz w:val="24"/>
          <w:szCs w:val="24"/>
        </w:rPr>
        <w:t>4.8</w:t>
      </w:r>
      <w:r w:rsidRPr="005B0A53">
        <w:rPr>
          <w:b/>
          <w:sz w:val="24"/>
          <w:szCs w:val="24"/>
        </w:rPr>
        <w:tab/>
        <w:t>Bivirkninger</w:t>
      </w:r>
    </w:p>
    <w:p w14:paraId="5A1E7C03" w14:textId="77777777" w:rsidR="00B20C9B" w:rsidRDefault="00B20C9B" w:rsidP="002758FD">
      <w:pPr>
        <w:ind w:left="851"/>
        <w:rPr>
          <w:sz w:val="24"/>
          <w:szCs w:val="24"/>
          <w:u w:val="single"/>
        </w:rPr>
      </w:pPr>
    </w:p>
    <w:p w14:paraId="61741423" w14:textId="2D4C106A" w:rsidR="00E1759F" w:rsidRPr="005B0A53" w:rsidRDefault="00E1759F" w:rsidP="002758FD">
      <w:pPr>
        <w:ind w:left="851"/>
        <w:rPr>
          <w:sz w:val="24"/>
          <w:szCs w:val="24"/>
          <w:u w:val="single"/>
        </w:rPr>
      </w:pPr>
      <w:r w:rsidRPr="005B0A53">
        <w:rPr>
          <w:sz w:val="24"/>
          <w:szCs w:val="24"/>
          <w:u w:val="single"/>
        </w:rPr>
        <w:t>Oversigt over sikkerhedsprofilen</w:t>
      </w:r>
    </w:p>
    <w:p w14:paraId="3D35653F" w14:textId="77777777" w:rsidR="00E1759F" w:rsidRPr="005B0A53" w:rsidRDefault="00E1759F" w:rsidP="002758FD">
      <w:pPr>
        <w:ind w:left="851"/>
        <w:rPr>
          <w:sz w:val="24"/>
          <w:szCs w:val="24"/>
        </w:rPr>
      </w:pPr>
      <w:r w:rsidRPr="005B0A53">
        <w:rPr>
          <w:sz w:val="24"/>
          <w:szCs w:val="24"/>
        </w:rPr>
        <w:t xml:space="preserve">Behandling med </w:t>
      </w:r>
      <w:proofErr w:type="spellStart"/>
      <w:r w:rsidRPr="005B0A53">
        <w:rPr>
          <w:sz w:val="24"/>
          <w:szCs w:val="24"/>
        </w:rPr>
        <w:t>Prolastina</w:t>
      </w:r>
      <w:proofErr w:type="spellEnd"/>
      <w:r w:rsidRPr="005B0A53">
        <w:rPr>
          <w:sz w:val="24"/>
          <w:szCs w:val="24"/>
        </w:rPr>
        <w:t xml:space="preserve"> kan resultere i kendte reaktioner som feber, influenzalignende symptomer, dyspnø, </w:t>
      </w:r>
      <w:proofErr w:type="spellStart"/>
      <w:r w:rsidRPr="005B0A53">
        <w:rPr>
          <w:sz w:val="24"/>
          <w:szCs w:val="24"/>
        </w:rPr>
        <w:t>urticaria</w:t>
      </w:r>
      <w:proofErr w:type="spellEnd"/>
      <w:r w:rsidRPr="005B0A53">
        <w:rPr>
          <w:sz w:val="24"/>
          <w:szCs w:val="24"/>
        </w:rPr>
        <w:t>, kvalme, osv.</w:t>
      </w:r>
    </w:p>
    <w:p w14:paraId="4479F642" w14:textId="77777777" w:rsidR="00E1759F" w:rsidRPr="005B0A53" w:rsidRDefault="00E1759F" w:rsidP="002758FD">
      <w:pPr>
        <w:ind w:left="851"/>
        <w:rPr>
          <w:sz w:val="24"/>
          <w:szCs w:val="24"/>
        </w:rPr>
      </w:pPr>
      <w:r w:rsidRPr="005B0A53">
        <w:rPr>
          <w:sz w:val="24"/>
          <w:szCs w:val="24"/>
        </w:rPr>
        <w:t>Dog kan usædvanlige og sjældne immunologiske reaktioner opstå, som ved enhver proteinbehandling</w:t>
      </w:r>
      <w:bookmarkStart w:id="1" w:name="_Hlk39592229"/>
      <w:r w:rsidRPr="005B0A53">
        <w:rPr>
          <w:sz w:val="24"/>
          <w:szCs w:val="24"/>
        </w:rPr>
        <w:t xml:space="preserve">, selv når patienten ikke har udvist overfølsomhed eller allergiske </w:t>
      </w:r>
      <w:r w:rsidRPr="005B0A53">
        <w:rPr>
          <w:sz w:val="24"/>
          <w:szCs w:val="24"/>
        </w:rPr>
        <w:lastRenderedPageBreak/>
        <w:t xml:space="preserve">reaktioner ved tidligere indgivelser. </w:t>
      </w:r>
      <w:bookmarkEnd w:id="1"/>
      <w:r w:rsidRPr="005B0A53">
        <w:rPr>
          <w:sz w:val="24"/>
          <w:szCs w:val="24"/>
        </w:rPr>
        <w:t xml:space="preserve">Dette vil inkludere allergiske reaktioner såsom </w:t>
      </w:r>
      <w:proofErr w:type="spellStart"/>
      <w:r w:rsidRPr="005B0A53">
        <w:rPr>
          <w:sz w:val="24"/>
          <w:szCs w:val="24"/>
        </w:rPr>
        <w:t>urticaria</w:t>
      </w:r>
      <w:proofErr w:type="spellEnd"/>
      <w:r w:rsidRPr="005B0A53">
        <w:rPr>
          <w:sz w:val="24"/>
          <w:szCs w:val="24"/>
        </w:rPr>
        <w:t xml:space="preserve"> eller dyspnø, og meget sjældent anafylaksi (se pkt. 4.4).</w:t>
      </w:r>
    </w:p>
    <w:p w14:paraId="15E909B0" w14:textId="77777777" w:rsidR="00E1759F" w:rsidRPr="005B0A53" w:rsidRDefault="00E1759F" w:rsidP="002758FD">
      <w:pPr>
        <w:ind w:left="851"/>
        <w:rPr>
          <w:sz w:val="24"/>
          <w:szCs w:val="24"/>
        </w:rPr>
      </w:pPr>
      <w:r w:rsidRPr="005B0A53">
        <w:rPr>
          <w:sz w:val="24"/>
          <w:szCs w:val="24"/>
        </w:rPr>
        <w:t>Symptomer, som muligvis er af immunologisk oprindelse, skal evalueres før patienten sættes i behandling igen.</w:t>
      </w:r>
    </w:p>
    <w:p w14:paraId="282551E5" w14:textId="77777777" w:rsidR="00E1759F" w:rsidRPr="005B0A53" w:rsidRDefault="00E1759F" w:rsidP="002758FD">
      <w:pPr>
        <w:ind w:left="851"/>
        <w:rPr>
          <w:sz w:val="24"/>
          <w:szCs w:val="24"/>
        </w:rPr>
      </w:pPr>
    </w:p>
    <w:p w14:paraId="3AC3976F" w14:textId="77777777" w:rsidR="00E1759F" w:rsidRPr="005B0A53" w:rsidRDefault="00E1759F" w:rsidP="002758FD">
      <w:pPr>
        <w:ind w:left="851"/>
        <w:rPr>
          <w:sz w:val="24"/>
          <w:szCs w:val="24"/>
          <w:u w:val="single"/>
        </w:rPr>
      </w:pPr>
      <w:r w:rsidRPr="005B0A53">
        <w:rPr>
          <w:sz w:val="24"/>
          <w:szCs w:val="24"/>
          <w:u w:val="single"/>
        </w:rPr>
        <w:t>Tabel over bivirkninger</w:t>
      </w:r>
    </w:p>
    <w:p w14:paraId="7C953D9C" w14:textId="77777777" w:rsidR="00E1759F" w:rsidRPr="005B0A53" w:rsidRDefault="00E1759F" w:rsidP="002758FD">
      <w:pPr>
        <w:ind w:left="851"/>
        <w:rPr>
          <w:sz w:val="24"/>
          <w:szCs w:val="24"/>
        </w:rPr>
      </w:pPr>
      <w:r w:rsidRPr="005B0A53">
        <w:rPr>
          <w:sz w:val="24"/>
          <w:szCs w:val="24"/>
        </w:rPr>
        <w:t xml:space="preserve">Nedenstående tabel er udarbejdet i henhold til </w:t>
      </w:r>
      <w:proofErr w:type="spellStart"/>
      <w:r w:rsidRPr="005B0A53">
        <w:rPr>
          <w:sz w:val="24"/>
          <w:szCs w:val="24"/>
        </w:rPr>
        <w:t>MedDRA</w:t>
      </w:r>
      <w:proofErr w:type="spellEnd"/>
      <w:r w:rsidRPr="005B0A53">
        <w:rPr>
          <w:sz w:val="24"/>
          <w:szCs w:val="24"/>
        </w:rPr>
        <w:t xml:space="preserve">-systemorganklasse (SOC og </w:t>
      </w:r>
      <w:proofErr w:type="spellStart"/>
      <w:r w:rsidRPr="005B0A53">
        <w:rPr>
          <w:i/>
          <w:iCs/>
          <w:sz w:val="24"/>
          <w:szCs w:val="24"/>
        </w:rPr>
        <w:t>Preferred</w:t>
      </w:r>
      <w:proofErr w:type="spellEnd"/>
      <w:r w:rsidRPr="005B0A53">
        <w:rPr>
          <w:i/>
          <w:iCs/>
          <w:sz w:val="24"/>
          <w:szCs w:val="24"/>
        </w:rPr>
        <w:t xml:space="preserve"> Term (PT) Level</w:t>
      </w:r>
      <w:r w:rsidRPr="005B0A53">
        <w:rPr>
          <w:sz w:val="24"/>
          <w:szCs w:val="24"/>
        </w:rPr>
        <w:t>).</w:t>
      </w:r>
    </w:p>
    <w:p w14:paraId="04698409" w14:textId="77777777" w:rsidR="00E1759F" w:rsidRPr="005B0A53" w:rsidRDefault="00E1759F" w:rsidP="002758FD">
      <w:pPr>
        <w:ind w:left="851"/>
        <w:rPr>
          <w:sz w:val="24"/>
          <w:szCs w:val="24"/>
        </w:rPr>
      </w:pPr>
      <w:r w:rsidRPr="005B0A53">
        <w:rPr>
          <w:sz w:val="24"/>
          <w:szCs w:val="24"/>
        </w:rPr>
        <w:t>Hyppighederne er blevet evalueret i henhold til følgende konvention: meget almindelig (≥1/10), almindelig (≥1/100 til &lt;1/10), ikke almindelig (≥1/1.000 til &lt;1/100), sjælden (≥1/10.000 til&lt;1/1.000), meget sjælden (&lt;1/10.000), ikke kendt (kan ikke estimeres ud fra forhåndenværende data).</w:t>
      </w:r>
    </w:p>
    <w:p w14:paraId="5EFAF235" w14:textId="77777777" w:rsidR="00E1759F" w:rsidRPr="005B0A53" w:rsidRDefault="00E1759F" w:rsidP="002758FD">
      <w:pPr>
        <w:ind w:left="851"/>
        <w:rPr>
          <w:sz w:val="24"/>
          <w:szCs w:val="24"/>
        </w:rPr>
      </w:pPr>
    </w:p>
    <w:p w14:paraId="5C2ACA25" w14:textId="77777777" w:rsidR="00E1759F" w:rsidRPr="005B0A53" w:rsidRDefault="00E1759F" w:rsidP="002758FD">
      <w:pPr>
        <w:ind w:left="851"/>
        <w:rPr>
          <w:sz w:val="24"/>
          <w:szCs w:val="24"/>
        </w:rPr>
      </w:pPr>
      <w:r w:rsidRPr="005B0A53">
        <w:rPr>
          <w:sz w:val="24"/>
          <w:szCs w:val="24"/>
        </w:rPr>
        <w:t xml:space="preserve">Følgende bivirkninger er observeret i forbindelse med </w:t>
      </w:r>
      <w:proofErr w:type="spellStart"/>
      <w:r w:rsidRPr="005B0A53">
        <w:rPr>
          <w:sz w:val="24"/>
          <w:szCs w:val="24"/>
        </w:rPr>
        <w:t>Prolastina</w:t>
      </w:r>
      <w:proofErr w:type="spellEnd"/>
      <w:r w:rsidRPr="005B0A53">
        <w:rPr>
          <w:sz w:val="24"/>
          <w:szCs w:val="24"/>
        </w:rPr>
        <w:t xml:space="preserve"> behandling:</w:t>
      </w:r>
    </w:p>
    <w:p w14:paraId="7099E70C" w14:textId="77777777" w:rsidR="00E1759F" w:rsidRPr="005B0A53" w:rsidRDefault="00E1759F" w:rsidP="00E1759F">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8"/>
        <w:gridCol w:w="2480"/>
        <w:gridCol w:w="2187"/>
        <w:gridCol w:w="2043"/>
      </w:tblGrid>
      <w:tr w:rsidR="00E1759F" w:rsidRPr="009B63C0" w14:paraId="4378219E"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5B41AFFE" w14:textId="77777777" w:rsidR="00E1759F" w:rsidRPr="009B63C0" w:rsidRDefault="00E1759F">
            <w:pPr>
              <w:rPr>
                <w:b/>
                <w:sz w:val="24"/>
                <w:szCs w:val="24"/>
              </w:rPr>
            </w:pPr>
            <w:r w:rsidRPr="009B63C0">
              <w:rPr>
                <w:b/>
                <w:sz w:val="24"/>
                <w:szCs w:val="24"/>
              </w:rPr>
              <w:t>Systemorganklasse</w:t>
            </w:r>
          </w:p>
        </w:tc>
        <w:tc>
          <w:tcPr>
            <w:tcW w:w="1288" w:type="pct"/>
            <w:tcBorders>
              <w:top w:val="single" w:sz="4" w:space="0" w:color="auto"/>
              <w:left w:val="single" w:sz="4" w:space="0" w:color="auto"/>
              <w:bottom w:val="single" w:sz="4" w:space="0" w:color="auto"/>
              <w:right w:val="single" w:sz="4" w:space="0" w:color="auto"/>
            </w:tcBorders>
            <w:hideMark/>
          </w:tcPr>
          <w:p w14:paraId="02098E33" w14:textId="77777777" w:rsidR="00E1759F" w:rsidRPr="009B63C0" w:rsidRDefault="00E1759F">
            <w:pPr>
              <w:rPr>
                <w:b/>
                <w:sz w:val="24"/>
                <w:szCs w:val="24"/>
              </w:rPr>
            </w:pPr>
            <w:r w:rsidRPr="009B63C0">
              <w:rPr>
                <w:b/>
                <w:sz w:val="24"/>
                <w:szCs w:val="24"/>
              </w:rPr>
              <w:t>Ikke almindelige</w:t>
            </w:r>
          </w:p>
          <w:p w14:paraId="43A0F5B9" w14:textId="77777777" w:rsidR="00E1759F" w:rsidRPr="009B63C0" w:rsidRDefault="00E1759F">
            <w:pPr>
              <w:rPr>
                <w:b/>
                <w:sz w:val="24"/>
                <w:szCs w:val="24"/>
              </w:rPr>
            </w:pPr>
            <w:r w:rsidRPr="009B63C0">
              <w:rPr>
                <w:sz w:val="24"/>
                <w:szCs w:val="24"/>
              </w:rPr>
              <w:t>&gt; 0,1 % til &lt; 1 %</w:t>
            </w:r>
          </w:p>
        </w:tc>
        <w:tc>
          <w:tcPr>
            <w:tcW w:w="1136" w:type="pct"/>
            <w:tcBorders>
              <w:top w:val="single" w:sz="4" w:space="0" w:color="auto"/>
              <w:left w:val="single" w:sz="4" w:space="0" w:color="auto"/>
              <w:bottom w:val="single" w:sz="4" w:space="0" w:color="auto"/>
              <w:right w:val="single" w:sz="4" w:space="0" w:color="auto"/>
            </w:tcBorders>
            <w:hideMark/>
          </w:tcPr>
          <w:p w14:paraId="10FF80B8" w14:textId="77777777" w:rsidR="00E1759F" w:rsidRPr="009B63C0" w:rsidRDefault="00E1759F">
            <w:pPr>
              <w:rPr>
                <w:b/>
                <w:sz w:val="24"/>
                <w:szCs w:val="24"/>
              </w:rPr>
            </w:pPr>
            <w:r w:rsidRPr="009B63C0">
              <w:rPr>
                <w:b/>
                <w:sz w:val="24"/>
                <w:szCs w:val="24"/>
              </w:rPr>
              <w:t>Sjældne</w:t>
            </w:r>
          </w:p>
          <w:p w14:paraId="34F9DA67" w14:textId="77777777" w:rsidR="00E1759F" w:rsidRPr="009B63C0" w:rsidRDefault="00E1759F">
            <w:pPr>
              <w:rPr>
                <w:b/>
                <w:sz w:val="24"/>
                <w:szCs w:val="24"/>
              </w:rPr>
            </w:pPr>
            <w:r w:rsidRPr="009B63C0">
              <w:rPr>
                <w:sz w:val="24"/>
                <w:szCs w:val="24"/>
              </w:rPr>
              <w:t>&gt; 0,01 % til &lt; 0,1 %</w:t>
            </w:r>
          </w:p>
        </w:tc>
        <w:tc>
          <w:tcPr>
            <w:tcW w:w="1061" w:type="pct"/>
            <w:tcBorders>
              <w:top w:val="single" w:sz="4" w:space="0" w:color="auto"/>
              <w:left w:val="single" w:sz="4" w:space="0" w:color="auto"/>
              <w:bottom w:val="single" w:sz="4" w:space="0" w:color="auto"/>
              <w:right w:val="single" w:sz="4" w:space="0" w:color="auto"/>
            </w:tcBorders>
            <w:hideMark/>
          </w:tcPr>
          <w:p w14:paraId="703C66CD" w14:textId="77777777" w:rsidR="00E1759F" w:rsidRPr="009B63C0" w:rsidRDefault="00E1759F">
            <w:pPr>
              <w:rPr>
                <w:b/>
                <w:sz w:val="24"/>
                <w:szCs w:val="24"/>
              </w:rPr>
            </w:pPr>
            <w:r w:rsidRPr="009B63C0">
              <w:rPr>
                <w:b/>
                <w:sz w:val="24"/>
                <w:szCs w:val="24"/>
              </w:rPr>
              <w:t>Meget sjældne</w:t>
            </w:r>
          </w:p>
          <w:p w14:paraId="5840A7F4" w14:textId="77777777" w:rsidR="00E1759F" w:rsidRPr="009B63C0" w:rsidRDefault="00E1759F">
            <w:pPr>
              <w:rPr>
                <w:b/>
                <w:sz w:val="24"/>
                <w:szCs w:val="24"/>
              </w:rPr>
            </w:pPr>
            <w:r w:rsidRPr="009B63C0">
              <w:rPr>
                <w:sz w:val="24"/>
                <w:szCs w:val="24"/>
              </w:rPr>
              <w:t>&lt; 0,01 %</w:t>
            </w:r>
          </w:p>
        </w:tc>
      </w:tr>
      <w:tr w:rsidR="00E1759F" w:rsidRPr="009B63C0" w14:paraId="16E4EC9D"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72AE8C67" w14:textId="77777777" w:rsidR="00E1759F" w:rsidRPr="009B63C0" w:rsidRDefault="00E1759F">
            <w:pPr>
              <w:rPr>
                <w:sz w:val="24"/>
                <w:szCs w:val="24"/>
              </w:rPr>
            </w:pPr>
            <w:r w:rsidRPr="009B63C0">
              <w:rPr>
                <w:sz w:val="24"/>
                <w:szCs w:val="24"/>
              </w:rPr>
              <w:t>Immunsystemet</w:t>
            </w:r>
          </w:p>
        </w:tc>
        <w:tc>
          <w:tcPr>
            <w:tcW w:w="1288" w:type="pct"/>
            <w:tcBorders>
              <w:top w:val="single" w:sz="4" w:space="0" w:color="auto"/>
              <w:left w:val="single" w:sz="4" w:space="0" w:color="auto"/>
              <w:bottom w:val="single" w:sz="4" w:space="0" w:color="auto"/>
              <w:right w:val="single" w:sz="4" w:space="0" w:color="auto"/>
            </w:tcBorders>
            <w:hideMark/>
          </w:tcPr>
          <w:p w14:paraId="2D4D3BBD" w14:textId="77777777" w:rsidR="00E1759F" w:rsidRPr="009B63C0" w:rsidRDefault="00E1759F">
            <w:pPr>
              <w:rPr>
                <w:sz w:val="24"/>
                <w:szCs w:val="24"/>
              </w:rPr>
            </w:pPr>
            <w:proofErr w:type="spellStart"/>
            <w:r w:rsidRPr="009B63C0">
              <w:rPr>
                <w:sz w:val="24"/>
                <w:szCs w:val="24"/>
              </w:rPr>
              <w:t>Urticaria</w:t>
            </w:r>
            <w:proofErr w:type="spellEnd"/>
          </w:p>
        </w:tc>
        <w:tc>
          <w:tcPr>
            <w:tcW w:w="1136" w:type="pct"/>
            <w:tcBorders>
              <w:top w:val="single" w:sz="4" w:space="0" w:color="auto"/>
              <w:left w:val="single" w:sz="4" w:space="0" w:color="auto"/>
              <w:bottom w:val="single" w:sz="4" w:space="0" w:color="auto"/>
              <w:right w:val="single" w:sz="4" w:space="0" w:color="auto"/>
            </w:tcBorders>
            <w:hideMark/>
          </w:tcPr>
          <w:p w14:paraId="06F97FEE" w14:textId="77777777" w:rsidR="00E1759F" w:rsidRPr="009B63C0" w:rsidRDefault="00E1759F">
            <w:pPr>
              <w:rPr>
                <w:sz w:val="24"/>
                <w:szCs w:val="24"/>
              </w:rPr>
            </w:pPr>
            <w:r w:rsidRPr="009B63C0">
              <w:rPr>
                <w:sz w:val="24"/>
                <w:szCs w:val="24"/>
              </w:rPr>
              <w:t>Overfølsomheds-reaktioner</w:t>
            </w:r>
          </w:p>
        </w:tc>
        <w:tc>
          <w:tcPr>
            <w:tcW w:w="1061" w:type="pct"/>
            <w:tcBorders>
              <w:top w:val="single" w:sz="4" w:space="0" w:color="auto"/>
              <w:left w:val="single" w:sz="4" w:space="0" w:color="auto"/>
              <w:bottom w:val="single" w:sz="4" w:space="0" w:color="auto"/>
              <w:right w:val="single" w:sz="4" w:space="0" w:color="auto"/>
            </w:tcBorders>
            <w:hideMark/>
          </w:tcPr>
          <w:p w14:paraId="2CAD7EC4" w14:textId="77777777" w:rsidR="00E1759F" w:rsidRPr="009B63C0" w:rsidRDefault="00E1759F">
            <w:pPr>
              <w:rPr>
                <w:sz w:val="24"/>
                <w:szCs w:val="24"/>
              </w:rPr>
            </w:pPr>
            <w:proofErr w:type="spellStart"/>
            <w:r w:rsidRPr="009B63C0">
              <w:rPr>
                <w:sz w:val="24"/>
                <w:szCs w:val="24"/>
              </w:rPr>
              <w:t>Anafylaktisk</w:t>
            </w:r>
            <w:proofErr w:type="spellEnd"/>
            <w:r w:rsidRPr="009B63C0">
              <w:rPr>
                <w:sz w:val="24"/>
                <w:szCs w:val="24"/>
              </w:rPr>
              <w:t xml:space="preserve"> </w:t>
            </w:r>
            <w:proofErr w:type="spellStart"/>
            <w:r w:rsidRPr="009B63C0">
              <w:rPr>
                <w:sz w:val="24"/>
                <w:szCs w:val="24"/>
              </w:rPr>
              <w:t>shock</w:t>
            </w:r>
            <w:proofErr w:type="spellEnd"/>
          </w:p>
        </w:tc>
      </w:tr>
      <w:tr w:rsidR="00E1759F" w:rsidRPr="009B63C0" w14:paraId="4CDDDB34"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6755FA7B" w14:textId="77777777" w:rsidR="00E1759F" w:rsidRPr="009B63C0" w:rsidRDefault="00E1759F">
            <w:pPr>
              <w:rPr>
                <w:sz w:val="24"/>
                <w:szCs w:val="24"/>
              </w:rPr>
            </w:pPr>
            <w:r w:rsidRPr="009B63C0">
              <w:rPr>
                <w:sz w:val="24"/>
                <w:szCs w:val="24"/>
              </w:rPr>
              <w:t>Nervesystemet</w:t>
            </w:r>
          </w:p>
        </w:tc>
        <w:tc>
          <w:tcPr>
            <w:tcW w:w="1288" w:type="pct"/>
            <w:tcBorders>
              <w:top w:val="single" w:sz="4" w:space="0" w:color="auto"/>
              <w:left w:val="single" w:sz="4" w:space="0" w:color="auto"/>
              <w:bottom w:val="single" w:sz="4" w:space="0" w:color="auto"/>
              <w:right w:val="single" w:sz="4" w:space="0" w:color="auto"/>
            </w:tcBorders>
            <w:hideMark/>
          </w:tcPr>
          <w:p w14:paraId="68772A68" w14:textId="77777777" w:rsidR="00E1759F" w:rsidRPr="009B63C0" w:rsidRDefault="00E1759F">
            <w:pPr>
              <w:rPr>
                <w:sz w:val="24"/>
                <w:szCs w:val="24"/>
              </w:rPr>
            </w:pPr>
            <w:r w:rsidRPr="009B63C0">
              <w:rPr>
                <w:sz w:val="24"/>
                <w:szCs w:val="24"/>
              </w:rPr>
              <w:t>Svimmelhed/omtåget tilstand, hovedpine</w:t>
            </w:r>
          </w:p>
        </w:tc>
        <w:tc>
          <w:tcPr>
            <w:tcW w:w="1136" w:type="pct"/>
            <w:tcBorders>
              <w:top w:val="single" w:sz="4" w:space="0" w:color="auto"/>
              <w:left w:val="single" w:sz="4" w:space="0" w:color="auto"/>
              <w:bottom w:val="single" w:sz="4" w:space="0" w:color="auto"/>
              <w:right w:val="single" w:sz="4" w:space="0" w:color="auto"/>
            </w:tcBorders>
          </w:tcPr>
          <w:p w14:paraId="3EA2BCEF" w14:textId="77777777" w:rsidR="00E1759F" w:rsidRPr="009B63C0" w:rsidRDefault="00E1759F">
            <w:pPr>
              <w:rPr>
                <w:sz w:val="24"/>
                <w:szCs w:val="24"/>
              </w:rPr>
            </w:pPr>
          </w:p>
        </w:tc>
        <w:tc>
          <w:tcPr>
            <w:tcW w:w="1061" w:type="pct"/>
            <w:tcBorders>
              <w:top w:val="single" w:sz="4" w:space="0" w:color="auto"/>
              <w:left w:val="single" w:sz="4" w:space="0" w:color="auto"/>
              <w:bottom w:val="single" w:sz="4" w:space="0" w:color="auto"/>
              <w:right w:val="single" w:sz="4" w:space="0" w:color="auto"/>
            </w:tcBorders>
          </w:tcPr>
          <w:p w14:paraId="0436FEE9" w14:textId="77777777" w:rsidR="00E1759F" w:rsidRPr="009B63C0" w:rsidRDefault="00E1759F">
            <w:pPr>
              <w:rPr>
                <w:sz w:val="24"/>
                <w:szCs w:val="24"/>
              </w:rPr>
            </w:pPr>
          </w:p>
        </w:tc>
      </w:tr>
      <w:tr w:rsidR="00E1759F" w:rsidRPr="009B63C0" w14:paraId="1B64A39F"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762F3A52" w14:textId="77777777" w:rsidR="00E1759F" w:rsidRPr="009B63C0" w:rsidRDefault="00E1759F">
            <w:pPr>
              <w:rPr>
                <w:sz w:val="24"/>
                <w:szCs w:val="24"/>
              </w:rPr>
            </w:pPr>
            <w:r w:rsidRPr="009B63C0">
              <w:rPr>
                <w:sz w:val="24"/>
                <w:szCs w:val="24"/>
              </w:rPr>
              <w:t>Hjerte</w:t>
            </w:r>
          </w:p>
        </w:tc>
        <w:tc>
          <w:tcPr>
            <w:tcW w:w="1288" w:type="pct"/>
            <w:tcBorders>
              <w:top w:val="single" w:sz="4" w:space="0" w:color="auto"/>
              <w:left w:val="single" w:sz="4" w:space="0" w:color="auto"/>
              <w:bottom w:val="single" w:sz="4" w:space="0" w:color="auto"/>
              <w:right w:val="single" w:sz="4" w:space="0" w:color="auto"/>
            </w:tcBorders>
          </w:tcPr>
          <w:p w14:paraId="0CDD533A" w14:textId="77777777" w:rsidR="00E1759F" w:rsidRPr="009B63C0" w:rsidRDefault="00E1759F">
            <w:pPr>
              <w:rPr>
                <w:sz w:val="24"/>
                <w:szCs w:val="24"/>
              </w:rPr>
            </w:pPr>
          </w:p>
        </w:tc>
        <w:tc>
          <w:tcPr>
            <w:tcW w:w="1136" w:type="pct"/>
            <w:tcBorders>
              <w:top w:val="single" w:sz="4" w:space="0" w:color="auto"/>
              <w:left w:val="single" w:sz="4" w:space="0" w:color="auto"/>
              <w:bottom w:val="single" w:sz="4" w:space="0" w:color="auto"/>
              <w:right w:val="single" w:sz="4" w:space="0" w:color="auto"/>
            </w:tcBorders>
            <w:hideMark/>
          </w:tcPr>
          <w:p w14:paraId="21CEA03A" w14:textId="77777777" w:rsidR="00E1759F" w:rsidRPr="009B63C0" w:rsidRDefault="00E1759F">
            <w:pPr>
              <w:rPr>
                <w:sz w:val="24"/>
                <w:szCs w:val="24"/>
              </w:rPr>
            </w:pPr>
            <w:proofErr w:type="spellStart"/>
            <w:r w:rsidRPr="009B63C0">
              <w:rPr>
                <w:sz w:val="24"/>
                <w:szCs w:val="24"/>
              </w:rPr>
              <w:t>Takykardi</w:t>
            </w:r>
            <w:proofErr w:type="spellEnd"/>
          </w:p>
        </w:tc>
        <w:tc>
          <w:tcPr>
            <w:tcW w:w="1061" w:type="pct"/>
            <w:tcBorders>
              <w:top w:val="single" w:sz="4" w:space="0" w:color="auto"/>
              <w:left w:val="single" w:sz="4" w:space="0" w:color="auto"/>
              <w:bottom w:val="single" w:sz="4" w:space="0" w:color="auto"/>
              <w:right w:val="single" w:sz="4" w:space="0" w:color="auto"/>
            </w:tcBorders>
          </w:tcPr>
          <w:p w14:paraId="0EE5A7D7" w14:textId="77777777" w:rsidR="00E1759F" w:rsidRPr="009B63C0" w:rsidRDefault="00E1759F">
            <w:pPr>
              <w:rPr>
                <w:sz w:val="24"/>
                <w:szCs w:val="24"/>
              </w:rPr>
            </w:pPr>
          </w:p>
        </w:tc>
      </w:tr>
      <w:tr w:rsidR="00E1759F" w:rsidRPr="009B63C0" w14:paraId="35CEB7E0"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7EE5CD4B" w14:textId="77777777" w:rsidR="00E1759F" w:rsidRPr="009B63C0" w:rsidRDefault="00E1759F">
            <w:pPr>
              <w:rPr>
                <w:sz w:val="24"/>
                <w:szCs w:val="24"/>
              </w:rPr>
            </w:pPr>
            <w:proofErr w:type="spellStart"/>
            <w:r w:rsidRPr="009B63C0">
              <w:rPr>
                <w:sz w:val="24"/>
                <w:szCs w:val="24"/>
              </w:rPr>
              <w:t>Vaskulære</w:t>
            </w:r>
            <w:proofErr w:type="spellEnd"/>
            <w:r w:rsidRPr="009B63C0">
              <w:rPr>
                <w:sz w:val="24"/>
                <w:szCs w:val="24"/>
              </w:rPr>
              <w:t xml:space="preserve"> sygdomme</w:t>
            </w:r>
          </w:p>
        </w:tc>
        <w:tc>
          <w:tcPr>
            <w:tcW w:w="1288" w:type="pct"/>
            <w:tcBorders>
              <w:top w:val="single" w:sz="4" w:space="0" w:color="auto"/>
              <w:left w:val="single" w:sz="4" w:space="0" w:color="auto"/>
              <w:bottom w:val="single" w:sz="4" w:space="0" w:color="auto"/>
              <w:right w:val="single" w:sz="4" w:space="0" w:color="auto"/>
            </w:tcBorders>
          </w:tcPr>
          <w:p w14:paraId="5101C1D6" w14:textId="77777777" w:rsidR="00E1759F" w:rsidRPr="009B63C0" w:rsidRDefault="00E1759F">
            <w:pPr>
              <w:rPr>
                <w:sz w:val="24"/>
                <w:szCs w:val="24"/>
              </w:rPr>
            </w:pPr>
          </w:p>
        </w:tc>
        <w:tc>
          <w:tcPr>
            <w:tcW w:w="1136" w:type="pct"/>
            <w:tcBorders>
              <w:top w:val="single" w:sz="4" w:space="0" w:color="auto"/>
              <w:left w:val="single" w:sz="4" w:space="0" w:color="auto"/>
              <w:bottom w:val="single" w:sz="4" w:space="0" w:color="auto"/>
              <w:right w:val="single" w:sz="4" w:space="0" w:color="auto"/>
            </w:tcBorders>
            <w:hideMark/>
          </w:tcPr>
          <w:p w14:paraId="4B7617DE" w14:textId="77777777" w:rsidR="00E1759F" w:rsidRPr="009B63C0" w:rsidRDefault="00E1759F">
            <w:pPr>
              <w:rPr>
                <w:sz w:val="24"/>
                <w:szCs w:val="24"/>
              </w:rPr>
            </w:pPr>
            <w:r w:rsidRPr="009B63C0">
              <w:rPr>
                <w:sz w:val="24"/>
                <w:szCs w:val="24"/>
              </w:rPr>
              <w:t>Hypotension</w:t>
            </w:r>
          </w:p>
          <w:p w14:paraId="0C7E736C" w14:textId="77777777" w:rsidR="00E1759F" w:rsidRPr="009B63C0" w:rsidRDefault="00E1759F">
            <w:pPr>
              <w:rPr>
                <w:sz w:val="24"/>
                <w:szCs w:val="24"/>
              </w:rPr>
            </w:pPr>
            <w:r w:rsidRPr="009B63C0">
              <w:rPr>
                <w:sz w:val="24"/>
                <w:szCs w:val="24"/>
              </w:rPr>
              <w:t>Hypertension</w:t>
            </w:r>
          </w:p>
        </w:tc>
        <w:tc>
          <w:tcPr>
            <w:tcW w:w="1061" w:type="pct"/>
            <w:tcBorders>
              <w:top w:val="single" w:sz="4" w:space="0" w:color="auto"/>
              <w:left w:val="single" w:sz="4" w:space="0" w:color="auto"/>
              <w:bottom w:val="single" w:sz="4" w:space="0" w:color="auto"/>
              <w:right w:val="single" w:sz="4" w:space="0" w:color="auto"/>
            </w:tcBorders>
          </w:tcPr>
          <w:p w14:paraId="6A1EAC8E" w14:textId="77777777" w:rsidR="00E1759F" w:rsidRPr="009B63C0" w:rsidRDefault="00E1759F">
            <w:pPr>
              <w:rPr>
                <w:sz w:val="24"/>
                <w:szCs w:val="24"/>
              </w:rPr>
            </w:pPr>
          </w:p>
        </w:tc>
      </w:tr>
      <w:tr w:rsidR="00E1759F" w:rsidRPr="009B63C0" w14:paraId="6B5800E3"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5670E29E" w14:textId="77777777" w:rsidR="00E1759F" w:rsidRPr="009B63C0" w:rsidRDefault="00E1759F">
            <w:pPr>
              <w:rPr>
                <w:sz w:val="24"/>
                <w:szCs w:val="24"/>
              </w:rPr>
            </w:pPr>
            <w:r w:rsidRPr="009B63C0">
              <w:rPr>
                <w:sz w:val="24"/>
                <w:szCs w:val="24"/>
              </w:rPr>
              <w:t xml:space="preserve">Luftveje, thorax og </w:t>
            </w:r>
            <w:proofErr w:type="spellStart"/>
            <w:r w:rsidRPr="009B63C0">
              <w:rPr>
                <w:sz w:val="24"/>
                <w:szCs w:val="24"/>
              </w:rPr>
              <w:t>mediastinum</w:t>
            </w:r>
            <w:proofErr w:type="spellEnd"/>
          </w:p>
        </w:tc>
        <w:tc>
          <w:tcPr>
            <w:tcW w:w="1288" w:type="pct"/>
            <w:tcBorders>
              <w:top w:val="single" w:sz="4" w:space="0" w:color="auto"/>
              <w:left w:val="single" w:sz="4" w:space="0" w:color="auto"/>
              <w:bottom w:val="single" w:sz="4" w:space="0" w:color="auto"/>
              <w:right w:val="single" w:sz="4" w:space="0" w:color="auto"/>
            </w:tcBorders>
            <w:hideMark/>
          </w:tcPr>
          <w:p w14:paraId="43B2A3DC" w14:textId="77777777" w:rsidR="00E1759F" w:rsidRPr="009B63C0" w:rsidRDefault="00E1759F">
            <w:pPr>
              <w:rPr>
                <w:sz w:val="24"/>
                <w:szCs w:val="24"/>
              </w:rPr>
            </w:pPr>
            <w:r w:rsidRPr="009B63C0">
              <w:rPr>
                <w:sz w:val="24"/>
                <w:szCs w:val="24"/>
              </w:rPr>
              <w:t>Dyspnø</w:t>
            </w:r>
          </w:p>
        </w:tc>
        <w:tc>
          <w:tcPr>
            <w:tcW w:w="1136" w:type="pct"/>
            <w:tcBorders>
              <w:top w:val="single" w:sz="4" w:space="0" w:color="auto"/>
              <w:left w:val="single" w:sz="4" w:space="0" w:color="auto"/>
              <w:bottom w:val="single" w:sz="4" w:space="0" w:color="auto"/>
              <w:right w:val="single" w:sz="4" w:space="0" w:color="auto"/>
            </w:tcBorders>
          </w:tcPr>
          <w:p w14:paraId="37450E4E" w14:textId="77777777" w:rsidR="00E1759F" w:rsidRPr="009B63C0" w:rsidRDefault="00E1759F">
            <w:pPr>
              <w:rPr>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F42A8F0" w14:textId="77777777" w:rsidR="00E1759F" w:rsidRPr="009B63C0" w:rsidRDefault="00E1759F">
            <w:pPr>
              <w:rPr>
                <w:sz w:val="24"/>
                <w:szCs w:val="24"/>
              </w:rPr>
            </w:pPr>
          </w:p>
        </w:tc>
      </w:tr>
      <w:tr w:rsidR="00E1759F" w:rsidRPr="009B63C0" w14:paraId="09433649"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2A26EE7D" w14:textId="77777777" w:rsidR="00E1759F" w:rsidRPr="009B63C0" w:rsidRDefault="00E1759F">
            <w:pPr>
              <w:rPr>
                <w:sz w:val="24"/>
                <w:szCs w:val="24"/>
              </w:rPr>
            </w:pPr>
            <w:r w:rsidRPr="009B63C0">
              <w:rPr>
                <w:sz w:val="24"/>
                <w:szCs w:val="24"/>
              </w:rPr>
              <w:t>Hud og subkutane væv</w:t>
            </w:r>
          </w:p>
        </w:tc>
        <w:tc>
          <w:tcPr>
            <w:tcW w:w="1288" w:type="pct"/>
            <w:tcBorders>
              <w:top w:val="single" w:sz="4" w:space="0" w:color="auto"/>
              <w:left w:val="single" w:sz="4" w:space="0" w:color="auto"/>
              <w:bottom w:val="single" w:sz="4" w:space="0" w:color="auto"/>
              <w:right w:val="single" w:sz="4" w:space="0" w:color="auto"/>
            </w:tcBorders>
            <w:hideMark/>
          </w:tcPr>
          <w:p w14:paraId="32980C26" w14:textId="77777777" w:rsidR="00E1759F" w:rsidRPr="009B63C0" w:rsidRDefault="00E1759F">
            <w:pPr>
              <w:rPr>
                <w:sz w:val="24"/>
                <w:szCs w:val="24"/>
              </w:rPr>
            </w:pPr>
            <w:r w:rsidRPr="009B63C0">
              <w:rPr>
                <w:sz w:val="24"/>
                <w:szCs w:val="24"/>
              </w:rPr>
              <w:t>Udslæt</w:t>
            </w:r>
          </w:p>
        </w:tc>
        <w:tc>
          <w:tcPr>
            <w:tcW w:w="1136" w:type="pct"/>
            <w:tcBorders>
              <w:top w:val="single" w:sz="4" w:space="0" w:color="auto"/>
              <w:left w:val="single" w:sz="4" w:space="0" w:color="auto"/>
              <w:bottom w:val="single" w:sz="4" w:space="0" w:color="auto"/>
              <w:right w:val="single" w:sz="4" w:space="0" w:color="auto"/>
            </w:tcBorders>
          </w:tcPr>
          <w:p w14:paraId="0E16E660" w14:textId="77777777" w:rsidR="00E1759F" w:rsidRPr="009B63C0" w:rsidRDefault="00E1759F">
            <w:pPr>
              <w:rPr>
                <w:sz w:val="24"/>
                <w:szCs w:val="24"/>
              </w:rPr>
            </w:pPr>
          </w:p>
        </w:tc>
        <w:tc>
          <w:tcPr>
            <w:tcW w:w="1061" w:type="pct"/>
            <w:tcBorders>
              <w:top w:val="single" w:sz="4" w:space="0" w:color="auto"/>
              <w:left w:val="single" w:sz="4" w:space="0" w:color="auto"/>
              <w:bottom w:val="single" w:sz="4" w:space="0" w:color="auto"/>
              <w:right w:val="single" w:sz="4" w:space="0" w:color="auto"/>
            </w:tcBorders>
          </w:tcPr>
          <w:p w14:paraId="1F9098D0" w14:textId="77777777" w:rsidR="00E1759F" w:rsidRPr="009B63C0" w:rsidRDefault="00E1759F">
            <w:pPr>
              <w:rPr>
                <w:sz w:val="24"/>
                <w:szCs w:val="24"/>
              </w:rPr>
            </w:pPr>
          </w:p>
        </w:tc>
      </w:tr>
      <w:tr w:rsidR="00E1759F" w:rsidRPr="009B63C0" w14:paraId="334F7108"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7286565F" w14:textId="77777777" w:rsidR="00E1759F" w:rsidRPr="009B63C0" w:rsidRDefault="00E1759F">
            <w:pPr>
              <w:rPr>
                <w:sz w:val="24"/>
                <w:szCs w:val="24"/>
              </w:rPr>
            </w:pPr>
            <w:r w:rsidRPr="009B63C0">
              <w:rPr>
                <w:sz w:val="24"/>
                <w:szCs w:val="24"/>
              </w:rPr>
              <w:t>Mave-tarm-kanalen</w:t>
            </w:r>
          </w:p>
        </w:tc>
        <w:tc>
          <w:tcPr>
            <w:tcW w:w="1288" w:type="pct"/>
            <w:tcBorders>
              <w:top w:val="single" w:sz="4" w:space="0" w:color="auto"/>
              <w:left w:val="single" w:sz="4" w:space="0" w:color="auto"/>
              <w:bottom w:val="single" w:sz="4" w:space="0" w:color="auto"/>
              <w:right w:val="single" w:sz="4" w:space="0" w:color="auto"/>
            </w:tcBorders>
            <w:hideMark/>
          </w:tcPr>
          <w:p w14:paraId="26AC8222" w14:textId="77777777" w:rsidR="00E1759F" w:rsidRPr="009B63C0" w:rsidRDefault="00E1759F">
            <w:pPr>
              <w:rPr>
                <w:sz w:val="24"/>
                <w:szCs w:val="24"/>
              </w:rPr>
            </w:pPr>
            <w:r w:rsidRPr="009B63C0">
              <w:rPr>
                <w:sz w:val="24"/>
                <w:szCs w:val="24"/>
              </w:rPr>
              <w:t>Kvalme</w:t>
            </w:r>
          </w:p>
        </w:tc>
        <w:tc>
          <w:tcPr>
            <w:tcW w:w="1136" w:type="pct"/>
            <w:tcBorders>
              <w:top w:val="single" w:sz="4" w:space="0" w:color="auto"/>
              <w:left w:val="single" w:sz="4" w:space="0" w:color="auto"/>
              <w:bottom w:val="single" w:sz="4" w:space="0" w:color="auto"/>
              <w:right w:val="single" w:sz="4" w:space="0" w:color="auto"/>
            </w:tcBorders>
          </w:tcPr>
          <w:p w14:paraId="43092380" w14:textId="77777777" w:rsidR="00E1759F" w:rsidRPr="009B63C0" w:rsidRDefault="00E1759F">
            <w:pPr>
              <w:rPr>
                <w:sz w:val="24"/>
                <w:szCs w:val="24"/>
              </w:rPr>
            </w:pPr>
          </w:p>
        </w:tc>
        <w:tc>
          <w:tcPr>
            <w:tcW w:w="1061" w:type="pct"/>
            <w:tcBorders>
              <w:top w:val="single" w:sz="4" w:space="0" w:color="auto"/>
              <w:left w:val="single" w:sz="4" w:space="0" w:color="auto"/>
              <w:bottom w:val="single" w:sz="4" w:space="0" w:color="auto"/>
              <w:right w:val="single" w:sz="4" w:space="0" w:color="auto"/>
            </w:tcBorders>
          </w:tcPr>
          <w:p w14:paraId="50A3B479" w14:textId="77777777" w:rsidR="00E1759F" w:rsidRPr="009B63C0" w:rsidRDefault="00E1759F">
            <w:pPr>
              <w:rPr>
                <w:sz w:val="24"/>
                <w:szCs w:val="24"/>
              </w:rPr>
            </w:pPr>
          </w:p>
        </w:tc>
      </w:tr>
      <w:tr w:rsidR="00E1759F" w:rsidRPr="009B63C0" w14:paraId="1CB99159"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09B0090A" w14:textId="77777777" w:rsidR="00E1759F" w:rsidRPr="009B63C0" w:rsidRDefault="00E1759F">
            <w:pPr>
              <w:rPr>
                <w:sz w:val="24"/>
                <w:szCs w:val="24"/>
              </w:rPr>
            </w:pPr>
            <w:r w:rsidRPr="009B63C0">
              <w:rPr>
                <w:sz w:val="24"/>
                <w:szCs w:val="24"/>
              </w:rPr>
              <w:t>Knogler, led, muskler og bindevæv</w:t>
            </w:r>
          </w:p>
        </w:tc>
        <w:tc>
          <w:tcPr>
            <w:tcW w:w="1288" w:type="pct"/>
            <w:tcBorders>
              <w:top w:val="single" w:sz="4" w:space="0" w:color="auto"/>
              <w:left w:val="single" w:sz="4" w:space="0" w:color="auto"/>
              <w:bottom w:val="single" w:sz="4" w:space="0" w:color="auto"/>
              <w:right w:val="single" w:sz="4" w:space="0" w:color="auto"/>
            </w:tcBorders>
            <w:hideMark/>
          </w:tcPr>
          <w:p w14:paraId="415782E6" w14:textId="77777777" w:rsidR="00E1759F" w:rsidRPr="009B63C0" w:rsidRDefault="00E1759F">
            <w:pPr>
              <w:rPr>
                <w:sz w:val="24"/>
                <w:szCs w:val="24"/>
              </w:rPr>
            </w:pPr>
            <w:r w:rsidRPr="009B63C0">
              <w:rPr>
                <w:sz w:val="24"/>
                <w:szCs w:val="24"/>
              </w:rPr>
              <w:t>Ledsmerter/</w:t>
            </w:r>
            <w:proofErr w:type="spellStart"/>
            <w:r w:rsidRPr="009B63C0">
              <w:rPr>
                <w:sz w:val="24"/>
                <w:szCs w:val="24"/>
              </w:rPr>
              <w:t>artralgi</w:t>
            </w:r>
            <w:proofErr w:type="spellEnd"/>
          </w:p>
        </w:tc>
        <w:tc>
          <w:tcPr>
            <w:tcW w:w="1136" w:type="pct"/>
            <w:tcBorders>
              <w:top w:val="single" w:sz="4" w:space="0" w:color="auto"/>
              <w:left w:val="single" w:sz="4" w:space="0" w:color="auto"/>
              <w:bottom w:val="single" w:sz="4" w:space="0" w:color="auto"/>
              <w:right w:val="single" w:sz="4" w:space="0" w:color="auto"/>
            </w:tcBorders>
            <w:hideMark/>
          </w:tcPr>
          <w:p w14:paraId="55458938" w14:textId="77777777" w:rsidR="00E1759F" w:rsidRPr="009B63C0" w:rsidRDefault="00E1759F">
            <w:pPr>
              <w:rPr>
                <w:sz w:val="24"/>
                <w:szCs w:val="24"/>
              </w:rPr>
            </w:pPr>
            <w:r w:rsidRPr="009B63C0">
              <w:rPr>
                <w:sz w:val="24"/>
                <w:szCs w:val="24"/>
              </w:rPr>
              <w:t>Rygsmerter</w:t>
            </w:r>
          </w:p>
        </w:tc>
        <w:tc>
          <w:tcPr>
            <w:tcW w:w="1061" w:type="pct"/>
            <w:tcBorders>
              <w:top w:val="single" w:sz="4" w:space="0" w:color="auto"/>
              <w:left w:val="single" w:sz="4" w:space="0" w:color="auto"/>
              <w:bottom w:val="single" w:sz="4" w:space="0" w:color="auto"/>
              <w:right w:val="single" w:sz="4" w:space="0" w:color="auto"/>
            </w:tcBorders>
          </w:tcPr>
          <w:p w14:paraId="67AE171D" w14:textId="77777777" w:rsidR="00E1759F" w:rsidRPr="009B63C0" w:rsidRDefault="00E1759F">
            <w:pPr>
              <w:rPr>
                <w:sz w:val="24"/>
                <w:szCs w:val="24"/>
              </w:rPr>
            </w:pPr>
          </w:p>
        </w:tc>
      </w:tr>
      <w:tr w:rsidR="00E1759F" w:rsidRPr="009B63C0" w14:paraId="2D6230EC" w14:textId="77777777" w:rsidTr="002758FD">
        <w:tc>
          <w:tcPr>
            <w:tcW w:w="1515" w:type="pct"/>
            <w:tcBorders>
              <w:top w:val="single" w:sz="4" w:space="0" w:color="auto"/>
              <w:left w:val="single" w:sz="4" w:space="0" w:color="auto"/>
              <w:bottom w:val="single" w:sz="4" w:space="0" w:color="auto"/>
              <w:right w:val="single" w:sz="4" w:space="0" w:color="auto"/>
            </w:tcBorders>
            <w:hideMark/>
          </w:tcPr>
          <w:p w14:paraId="1609C6B2" w14:textId="77777777" w:rsidR="00E1759F" w:rsidRPr="009B63C0" w:rsidRDefault="00E1759F">
            <w:pPr>
              <w:rPr>
                <w:sz w:val="24"/>
                <w:szCs w:val="24"/>
              </w:rPr>
            </w:pPr>
            <w:r w:rsidRPr="009B63C0">
              <w:rPr>
                <w:sz w:val="24"/>
                <w:szCs w:val="24"/>
              </w:rPr>
              <w:t>Almene symptomer og reaktioner på administrationsstedet</w:t>
            </w:r>
          </w:p>
        </w:tc>
        <w:tc>
          <w:tcPr>
            <w:tcW w:w="1288" w:type="pct"/>
            <w:tcBorders>
              <w:top w:val="single" w:sz="4" w:space="0" w:color="auto"/>
              <w:left w:val="single" w:sz="4" w:space="0" w:color="auto"/>
              <w:bottom w:val="single" w:sz="4" w:space="0" w:color="auto"/>
              <w:right w:val="single" w:sz="4" w:space="0" w:color="auto"/>
            </w:tcBorders>
            <w:hideMark/>
          </w:tcPr>
          <w:p w14:paraId="10185975" w14:textId="77777777" w:rsidR="00E1759F" w:rsidRPr="009B63C0" w:rsidRDefault="00E1759F">
            <w:pPr>
              <w:rPr>
                <w:sz w:val="24"/>
                <w:szCs w:val="24"/>
              </w:rPr>
            </w:pPr>
            <w:r w:rsidRPr="009B63C0">
              <w:rPr>
                <w:sz w:val="24"/>
                <w:szCs w:val="24"/>
              </w:rPr>
              <w:t>Kulderystelser, feber, influenzalignende symptomer, brystsmerter</w:t>
            </w:r>
          </w:p>
        </w:tc>
        <w:tc>
          <w:tcPr>
            <w:tcW w:w="1136" w:type="pct"/>
            <w:tcBorders>
              <w:top w:val="single" w:sz="4" w:space="0" w:color="auto"/>
              <w:left w:val="single" w:sz="4" w:space="0" w:color="auto"/>
              <w:bottom w:val="single" w:sz="4" w:space="0" w:color="auto"/>
              <w:right w:val="single" w:sz="4" w:space="0" w:color="auto"/>
            </w:tcBorders>
          </w:tcPr>
          <w:p w14:paraId="112C993A" w14:textId="77777777" w:rsidR="00E1759F" w:rsidRPr="009B63C0" w:rsidRDefault="00E1759F">
            <w:pPr>
              <w:rPr>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6FEF0A0" w14:textId="77777777" w:rsidR="00E1759F" w:rsidRPr="009B63C0" w:rsidRDefault="00E1759F">
            <w:pPr>
              <w:rPr>
                <w:sz w:val="24"/>
                <w:szCs w:val="24"/>
              </w:rPr>
            </w:pPr>
          </w:p>
        </w:tc>
      </w:tr>
    </w:tbl>
    <w:p w14:paraId="2AFB9EE2" w14:textId="77777777" w:rsidR="00E1759F" w:rsidRPr="005B0A53" w:rsidRDefault="00E1759F" w:rsidP="00E1759F">
      <w:pPr>
        <w:rPr>
          <w:sz w:val="24"/>
          <w:szCs w:val="24"/>
        </w:rPr>
      </w:pPr>
    </w:p>
    <w:p w14:paraId="120B1314" w14:textId="77777777" w:rsidR="00E1759F" w:rsidRPr="005B0A53" w:rsidRDefault="00E1759F" w:rsidP="002758FD">
      <w:pPr>
        <w:ind w:left="851"/>
        <w:rPr>
          <w:sz w:val="24"/>
          <w:szCs w:val="24"/>
        </w:rPr>
      </w:pPr>
      <w:r w:rsidRPr="005B0A53">
        <w:rPr>
          <w:sz w:val="24"/>
          <w:szCs w:val="24"/>
        </w:rPr>
        <w:t>For information om viral sikkerhed, se pkt. 4.4.</w:t>
      </w:r>
    </w:p>
    <w:p w14:paraId="4DE7AAF9" w14:textId="77777777" w:rsidR="00E1759F" w:rsidRPr="005B0A53" w:rsidRDefault="00E1759F" w:rsidP="002758FD">
      <w:pPr>
        <w:ind w:left="851"/>
        <w:rPr>
          <w:sz w:val="24"/>
          <w:szCs w:val="24"/>
        </w:rPr>
      </w:pPr>
    </w:p>
    <w:p w14:paraId="4B9701F3" w14:textId="77777777" w:rsidR="00E1759F" w:rsidRPr="005B0A53" w:rsidRDefault="00E1759F" w:rsidP="002758FD">
      <w:pPr>
        <w:ind w:left="851"/>
        <w:rPr>
          <w:sz w:val="24"/>
          <w:szCs w:val="24"/>
          <w:u w:val="single"/>
        </w:rPr>
      </w:pPr>
      <w:r w:rsidRPr="005B0A53">
        <w:rPr>
          <w:sz w:val="24"/>
          <w:szCs w:val="24"/>
          <w:u w:val="single"/>
        </w:rPr>
        <w:t>Indberetning af formodede bivirkninger</w:t>
      </w:r>
    </w:p>
    <w:p w14:paraId="7B32ABE7" w14:textId="77777777" w:rsidR="00E1759F" w:rsidRPr="005B0A53" w:rsidRDefault="00E1759F" w:rsidP="002758FD">
      <w:pPr>
        <w:ind w:left="851"/>
        <w:rPr>
          <w:sz w:val="24"/>
          <w:szCs w:val="24"/>
        </w:rPr>
      </w:pPr>
      <w:r w:rsidRPr="005B0A53">
        <w:rPr>
          <w:sz w:val="24"/>
          <w:szCs w:val="24"/>
        </w:rPr>
        <w:t>Når lægemidlet er godkendt, er indberetning af formodede bivirkninger vigtig. Det muliggør løbende overvågning af benefit/</w:t>
      </w:r>
      <w:proofErr w:type="spellStart"/>
      <w:r w:rsidRPr="005B0A53">
        <w:rPr>
          <w:sz w:val="24"/>
          <w:szCs w:val="24"/>
        </w:rPr>
        <w:t>risk</w:t>
      </w:r>
      <w:proofErr w:type="spellEnd"/>
      <w:r w:rsidRPr="005B0A53">
        <w:rPr>
          <w:sz w:val="24"/>
          <w:szCs w:val="24"/>
        </w:rPr>
        <w:t>-forholdet for lægemidlet. Sundhedspersoner anmodes om at indberette alle formodede bivirkninger via:</w:t>
      </w:r>
    </w:p>
    <w:p w14:paraId="61F9BAF2" w14:textId="77777777" w:rsidR="00E1759F" w:rsidRPr="005B0A53" w:rsidRDefault="00E1759F" w:rsidP="002758FD">
      <w:pPr>
        <w:ind w:left="851"/>
        <w:rPr>
          <w:sz w:val="24"/>
          <w:szCs w:val="24"/>
        </w:rPr>
      </w:pPr>
    </w:p>
    <w:p w14:paraId="4485C3D5" w14:textId="77777777" w:rsidR="00E1759F" w:rsidRPr="005B0A53" w:rsidRDefault="00E1759F" w:rsidP="002758FD">
      <w:pPr>
        <w:ind w:left="851"/>
        <w:rPr>
          <w:sz w:val="24"/>
          <w:szCs w:val="24"/>
        </w:rPr>
      </w:pPr>
      <w:r w:rsidRPr="005B0A53">
        <w:rPr>
          <w:sz w:val="24"/>
          <w:szCs w:val="24"/>
        </w:rPr>
        <w:t>Lægemiddelstyrelsen</w:t>
      </w:r>
    </w:p>
    <w:p w14:paraId="5AB6AE20" w14:textId="77777777" w:rsidR="00E1759F" w:rsidRPr="005B0A53" w:rsidRDefault="00E1759F" w:rsidP="002758FD">
      <w:pPr>
        <w:ind w:left="851"/>
        <w:rPr>
          <w:sz w:val="24"/>
          <w:szCs w:val="24"/>
        </w:rPr>
      </w:pPr>
      <w:r w:rsidRPr="005B0A53">
        <w:rPr>
          <w:sz w:val="24"/>
          <w:szCs w:val="24"/>
        </w:rPr>
        <w:t>Axel Heides Gade 1</w:t>
      </w:r>
    </w:p>
    <w:p w14:paraId="2D42E31C" w14:textId="77777777" w:rsidR="00E1759F" w:rsidRPr="005B0A53" w:rsidRDefault="00E1759F" w:rsidP="002758FD">
      <w:pPr>
        <w:ind w:left="851"/>
        <w:rPr>
          <w:sz w:val="24"/>
          <w:szCs w:val="24"/>
        </w:rPr>
      </w:pPr>
      <w:r w:rsidRPr="005B0A53">
        <w:rPr>
          <w:sz w:val="24"/>
          <w:szCs w:val="24"/>
        </w:rPr>
        <w:t>DK-2300 København S</w:t>
      </w:r>
    </w:p>
    <w:p w14:paraId="7A0F68B5" w14:textId="77777777" w:rsidR="00E1759F" w:rsidRPr="005B0A53" w:rsidRDefault="00E1759F" w:rsidP="002758FD">
      <w:pPr>
        <w:ind w:left="851"/>
        <w:rPr>
          <w:sz w:val="24"/>
          <w:szCs w:val="24"/>
        </w:rPr>
      </w:pPr>
      <w:r w:rsidRPr="005B0A53">
        <w:rPr>
          <w:sz w:val="24"/>
          <w:szCs w:val="24"/>
        </w:rPr>
        <w:t xml:space="preserve">Websted: </w:t>
      </w:r>
      <w:hyperlink r:id="rId8" w:history="1">
        <w:r w:rsidRPr="005B0A53">
          <w:rPr>
            <w:rStyle w:val="Hyperlink"/>
            <w:sz w:val="24"/>
            <w:szCs w:val="24"/>
          </w:rPr>
          <w:t>www.meldenbivirkning.dk</w:t>
        </w:r>
      </w:hyperlink>
    </w:p>
    <w:p w14:paraId="34AB94EF" w14:textId="77777777" w:rsidR="009260DE" w:rsidRPr="005B0A53" w:rsidRDefault="009260DE" w:rsidP="00A10294">
      <w:pPr>
        <w:tabs>
          <w:tab w:val="left" w:pos="851"/>
        </w:tabs>
        <w:ind w:left="851"/>
        <w:rPr>
          <w:sz w:val="24"/>
          <w:szCs w:val="24"/>
        </w:rPr>
      </w:pPr>
    </w:p>
    <w:p w14:paraId="357D57D0" w14:textId="77777777" w:rsidR="009260DE" w:rsidRPr="005B0A53" w:rsidRDefault="009260DE" w:rsidP="009260DE">
      <w:pPr>
        <w:tabs>
          <w:tab w:val="left" w:pos="851"/>
        </w:tabs>
        <w:ind w:left="851" w:hanging="851"/>
        <w:rPr>
          <w:b/>
          <w:sz w:val="24"/>
          <w:szCs w:val="24"/>
        </w:rPr>
      </w:pPr>
      <w:r w:rsidRPr="005B0A53">
        <w:rPr>
          <w:b/>
          <w:sz w:val="24"/>
          <w:szCs w:val="24"/>
        </w:rPr>
        <w:t>4.9</w:t>
      </w:r>
      <w:r w:rsidRPr="005B0A53">
        <w:rPr>
          <w:b/>
          <w:sz w:val="24"/>
          <w:szCs w:val="24"/>
        </w:rPr>
        <w:tab/>
        <w:t>Overdosering</w:t>
      </w:r>
    </w:p>
    <w:p w14:paraId="24C94961" w14:textId="77777777" w:rsidR="00E1759F" w:rsidRPr="005B0A53" w:rsidRDefault="00E1759F" w:rsidP="002758FD">
      <w:pPr>
        <w:ind w:left="851"/>
        <w:rPr>
          <w:sz w:val="24"/>
          <w:szCs w:val="24"/>
        </w:rPr>
      </w:pPr>
      <w:r w:rsidRPr="005B0A53">
        <w:rPr>
          <w:sz w:val="24"/>
          <w:szCs w:val="24"/>
        </w:rPr>
        <w:t>Konsekvensen af overdosering er ikke kendt.</w:t>
      </w:r>
    </w:p>
    <w:p w14:paraId="5910D425" w14:textId="77777777" w:rsidR="00E1759F" w:rsidRPr="005B0A53" w:rsidRDefault="00E1759F" w:rsidP="002758FD">
      <w:pPr>
        <w:ind w:left="851"/>
        <w:rPr>
          <w:sz w:val="24"/>
          <w:szCs w:val="24"/>
        </w:rPr>
      </w:pPr>
      <w:r w:rsidRPr="005B0A53">
        <w:rPr>
          <w:sz w:val="24"/>
          <w:szCs w:val="24"/>
        </w:rPr>
        <w:t>I tilfælde af overdosering bør patienten observeres nøje for forekomsten af bivirkninger, og der tages passende forholdsregler om nødvendigt.</w:t>
      </w:r>
    </w:p>
    <w:p w14:paraId="70F5C9B2" w14:textId="77777777" w:rsidR="009260DE" w:rsidRPr="005B0A53" w:rsidRDefault="009260DE" w:rsidP="009260DE">
      <w:pPr>
        <w:tabs>
          <w:tab w:val="left" w:pos="851"/>
        </w:tabs>
        <w:ind w:left="851"/>
        <w:rPr>
          <w:sz w:val="24"/>
          <w:szCs w:val="24"/>
        </w:rPr>
      </w:pPr>
    </w:p>
    <w:p w14:paraId="2047A714" w14:textId="77777777" w:rsidR="009260DE" w:rsidRPr="005B0A53" w:rsidRDefault="009260DE" w:rsidP="009260DE">
      <w:pPr>
        <w:tabs>
          <w:tab w:val="left" w:pos="851"/>
        </w:tabs>
        <w:ind w:left="851" w:hanging="851"/>
        <w:rPr>
          <w:b/>
          <w:sz w:val="24"/>
          <w:szCs w:val="24"/>
        </w:rPr>
      </w:pPr>
      <w:r w:rsidRPr="005B0A53">
        <w:rPr>
          <w:b/>
          <w:sz w:val="24"/>
          <w:szCs w:val="24"/>
        </w:rPr>
        <w:t>4.10</w:t>
      </w:r>
      <w:r w:rsidRPr="005B0A53">
        <w:rPr>
          <w:b/>
          <w:sz w:val="24"/>
          <w:szCs w:val="24"/>
        </w:rPr>
        <w:tab/>
        <w:t>Udlevering</w:t>
      </w:r>
    </w:p>
    <w:p w14:paraId="77E17604" w14:textId="566B135B" w:rsidR="009260DE" w:rsidRPr="005B0A53" w:rsidRDefault="002758FD" w:rsidP="009260DE">
      <w:pPr>
        <w:tabs>
          <w:tab w:val="left" w:pos="851"/>
        </w:tabs>
        <w:ind w:left="851"/>
        <w:rPr>
          <w:sz w:val="24"/>
          <w:szCs w:val="24"/>
        </w:rPr>
      </w:pPr>
      <w:r w:rsidRPr="005B0A53">
        <w:rPr>
          <w:sz w:val="24"/>
          <w:szCs w:val="24"/>
        </w:rPr>
        <w:t>BEGR (kun til sygehuse)</w:t>
      </w:r>
    </w:p>
    <w:p w14:paraId="1F7969CC" w14:textId="77777777" w:rsidR="009260DE" w:rsidRPr="005B0A53" w:rsidRDefault="009260DE" w:rsidP="009260DE">
      <w:pPr>
        <w:tabs>
          <w:tab w:val="left" w:pos="851"/>
        </w:tabs>
        <w:ind w:left="851"/>
        <w:rPr>
          <w:sz w:val="24"/>
          <w:szCs w:val="24"/>
        </w:rPr>
      </w:pPr>
    </w:p>
    <w:p w14:paraId="0FDC71C8" w14:textId="77777777" w:rsidR="009260DE" w:rsidRPr="005B0A53" w:rsidRDefault="009260DE" w:rsidP="009260DE">
      <w:pPr>
        <w:tabs>
          <w:tab w:val="left" w:pos="851"/>
        </w:tabs>
        <w:ind w:left="851"/>
        <w:rPr>
          <w:sz w:val="24"/>
          <w:szCs w:val="24"/>
        </w:rPr>
      </w:pPr>
    </w:p>
    <w:p w14:paraId="1705C1C0" w14:textId="77777777" w:rsidR="009260DE" w:rsidRPr="005B0A53" w:rsidRDefault="009260DE" w:rsidP="009260DE">
      <w:pPr>
        <w:tabs>
          <w:tab w:val="left" w:pos="851"/>
        </w:tabs>
        <w:ind w:left="851" w:hanging="851"/>
        <w:rPr>
          <w:b/>
          <w:sz w:val="24"/>
          <w:szCs w:val="24"/>
        </w:rPr>
      </w:pPr>
      <w:r w:rsidRPr="005B0A53">
        <w:rPr>
          <w:b/>
          <w:sz w:val="24"/>
          <w:szCs w:val="24"/>
        </w:rPr>
        <w:t>5.</w:t>
      </w:r>
      <w:r w:rsidRPr="005B0A53">
        <w:rPr>
          <w:b/>
          <w:sz w:val="24"/>
          <w:szCs w:val="24"/>
        </w:rPr>
        <w:tab/>
        <w:t>FARMAKOLOGISKE EGENSKABER</w:t>
      </w:r>
    </w:p>
    <w:p w14:paraId="52E6B026" w14:textId="77777777" w:rsidR="009260DE" w:rsidRPr="005B0A53" w:rsidRDefault="009260DE" w:rsidP="009260DE">
      <w:pPr>
        <w:tabs>
          <w:tab w:val="left" w:pos="851"/>
        </w:tabs>
        <w:ind w:left="851"/>
        <w:rPr>
          <w:sz w:val="24"/>
          <w:szCs w:val="24"/>
        </w:rPr>
      </w:pPr>
    </w:p>
    <w:p w14:paraId="770093FE" w14:textId="77777777" w:rsidR="009260DE" w:rsidRPr="005B0A53" w:rsidRDefault="009260DE" w:rsidP="009260DE">
      <w:pPr>
        <w:tabs>
          <w:tab w:val="num" w:pos="851"/>
        </w:tabs>
        <w:ind w:left="851" w:hanging="851"/>
        <w:rPr>
          <w:b/>
          <w:sz w:val="24"/>
          <w:szCs w:val="24"/>
        </w:rPr>
      </w:pPr>
      <w:r w:rsidRPr="005B0A53">
        <w:rPr>
          <w:b/>
          <w:sz w:val="24"/>
          <w:szCs w:val="24"/>
        </w:rPr>
        <w:t>5.1</w:t>
      </w:r>
      <w:r w:rsidRPr="005B0A53">
        <w:rPr>
          <w:b/>
          <w:sz w:val="24"/>
          <w:szCs w:val="24"/>
        </w:rPr>
        <w:tab/>
      </w:r>
      <w:proofErr w:type="spellStart"/>
      <w:r w:rsidRPr="005B0A53">
        <w:rPr>
          <w:b/>
          <w:sz w:val="24"/>
          <w:szCs w:val="24"/>
        </w:rPr>
        <w:t>Farmakodynamiske</w:t>
      </w:r>
      <w:proofErr w:type="spellEnd"/>
      <w:r w:rsidRPr="005B0A53">
        <w:rPr>
          <w:b/>
          <w:sz w:val="24"/>
          <w:szCs w:val="24"/>
        </w:rPr>
        <w:t xml:space="preserve"> egenskaber</w:t>
      </w:r>
    </w:p>
    <w:p w14:paraId="4C9E9D86" w14:textId="77777777" w:rsidR="00E1759F" w:rsidRPr="005B0A53" w:rsidRDefault="00E1759F" w:rsidP="002758FD">
      <w:pPr>
        <w:ind w:left="851"/>
        <w:rPr>
          <w:sz w:val="24"/>
          <w:szCs w:val="24"/>
        </w:rPr>
      </w:pPr>
      <w:proofErr w:type="spellStart"/>
      <w:r w:rsidRPr="005B0A53">
        <w:rPr>
          <w:sz w:val="24"/>
          <w:szCs w:val="24"/>
        </w:rPr>
        <w:t>Farmakoterapeutisk</w:t>
      </w:r>
      <w:proofErr w:type="spellEnd"/>
      <w:r w:rsidRPr="005B0A53">
        <w:rPr>
          <w:sz w:val="24"/>
          <w:szCs w:val="24"/>
        </w:rPr>
        <w:t xml:space="preserve"> klassifikation: </w:t>
      </w:r>
      <w:proofErr w:type="spellStart"/>
      <w:r w:rsidRPr="005B0A53">
        <w:rPr>
          <w:sz w:val="24"/>
          <w:szCs w:val="24"/>
        </w:rPr>
        <w:t>Proteinaseinhibitor</w:t>
      </w:r>
      <w:proofErr w:type="spellEnd"/>
      <w:r w:rsidRPr="005B0A53">
        <w:rPr>
          <w:sz w:val="24"/>
          <w:szCs w:val="24"/>
        </w:rPr>
        <w:t>, ATC-kode: B02AB02.</w:t>
      </w:r>
    </w:p>
    <w:p w14:paraId="7C0DF81D" w14:textId="77777777" w:rsidR="00E1759F" w:rsidRPr="005B0A53" w:rsidRDefault="00E1759F" w:rsidP="002758FD">
      <w:pPr>
        <w:ind w:left="851"/>
        <w:rPr>
          <w:sz w:val="24"/>
          <w:szCs w:val="24"/>
        </w:rPr>
      </w:pPr>
    </w:p>
    <w:p w14:paraId="3EF479F4" w14:textId="77777777" w:rsidR="00E1759F" w:rsidRPr="005B0A53" w:rsidRDefault="00E1759F" w:rsidP="002758FD">
      <w:pPr>
        <w:ind w:left="851"/>
        <w:rPr>
          <w:sz w:val="24"/>
          <w:szCs w:val="24"/>
        </w:rPr>
      </w:pPr>
      <w:r w:rsidRPr="005B0A53">
        <w:rPr>
          <w:sz w:val="24"/>
          <w:szCs w:val="24"/>
        </w:rPr>
        <w:t>Alfa</w:t>
      </w:r>
      <w:r w:rsidRPr="005B0A53">
        <w:rPr>
          <w:sz w:val="24"/>
          <w:szCs w:val="24"/>
          <w:vertAlign w:val="subscript"/>
        </w:rPr>
        <w:t>1</w:t>
      </w:r>
      <w:r w:rsidRPr="005B0A53">
        <w:rPr>
          <w:sz w:val="24"/>
          <w:szCs w:val="24"/>
        </w:rPr>
        <w:t xml:space="preserve">-proteinaseinhibitor er en normal komponent af humant blod som hæmmer aktiviteten af </w:t>
      </w:r>
      <w:proofErr w:type="spellStart"/>
      <w:r w:rsidRPr="005B0A53">
        <w:rPr>
          <w:sz w:val="24"/>
          <w:szCs w:val="24"/>
        </w:rPr>
        <w:t>neutrofil</w:t>
      </w:r>
      <w:proofErr w:type="spellEnd"/>
      <w:r w:rsidRPr="005B0A53">
        <w:rPr>
          <w:sz w:val="24"/>
          <w:szCs w:val="24"/>
        </w:rPr>
        <w:t xml:space="preserve"> elastase blandt andre enzymer. Alfa</w:t>
      </w:r>
      <w:r w:rsidRPr="005B0A53">
        <w:rPr>
          <w:sz w:val="24"/>
          <w:szCs w:val="24"/>
          <w:vertAlign w:val="subscript"/>
        </w:rPr>
        <w:t>1</w:t>
      </w:r>
      <w:r w:rsidRPr="005B0A53">
        <w:rPr>
          <w:sz w:val="24"/>
          <w:szCs w:val="24"/>
        </w:rPr>
        <w:t xml:space="preserve">-proteinaseinhibitor har en </w:t>
      </w:r>
      <w:proofErr w:type="spellStart"/>
      <w:r w:rsidRPr="005B0A53">
        <w:rPr>
          <w:sz w:val="24"/>
          <w:szCs w:val="24"/>
        </w:rPr>
        <w:t>molekylevægt</w:t>
      </w:r>
      <w:proofErr w:type="spellEnd"/>
      <w:r w:rsidRPr="005B0A53">
        <w:rPr>
          <w:sz w:val="24"/>
          <w:szCs w:val="24"/>
        </w:rPr>
        <w:t xml:space="preserve"> på 51kDa og tilhører familien af </w:t>
      </w:r>
      <w:proofErr w:type="spellStart"/>
      <w:r w:rsidRPr="005B0A53">
        <w:rPr>
          <w:sz w:val="24"/>
          <w:szCs w:val="24"/>
        </w:rPr>
        <w:t>serinproteaseinhibitorer</w:t>
      </w:r>
      <w:proofErr w:type="spellEnd"/>
      <w:r w:rsidRPr="005B0A53">
        <w:rPr>
          <w:sz w:val="24"/>
          <w:szCs w:val="24"/>
        </w:rPr>
        <w:t>.</w:t>
      </w:r>
    </w:p>
    <w:p w14:paraId="43F76493" w14:textId="77777777" w:rsidR="00E1759F" w:rsidRPr="005B0A53" w:rsidRDefault="00E1759F" w:rsidP="002758FD">
      <w:pPr>
        <w:ind w:left="851"/>
        <w:rPr>
          <w:sz w:val="24"/>
          <w:szCs w:val="24"/>
        </w:rPr>
      </w:pPr>
    </w:p>
    <w:p w14:paraId="04DA3A91" w14:textId="77777777" w:rsidR="00E1759F" w:rsidRPr="005B0A53" w:rsidRDefault="00E1759F" w:rsidP="002758FD">
      <w:pPr>
        <w:ind w:left="851"/>
        <w:rPr>
          <w:sz w:val="24"/>
          <w:szCs w:val="24"/>
        </w:rPr>
      </w:pPr>
      <w:r w:rsidRPr="005B0A53">
        <w:rPr>
          <w:sz w:val="24"/>
          <w:szCs w:val="24"/>
        </w:rPr>
        <w:t xml:space="preserve">Det antages på nuværende tidspunkt, at patogenesen af </w:t>
      </w:r>
      <w:proofErr w:type="spellStart"/>
      <w:r w:rsidRPr="005B0A53">
        <w:rPr>
          <w:sz w:val="24"/>
          <w:szCs w:val="24"/>
        </w:rPr>
        <w:t>lungeemfysem</w:t>
      </w:r>
      <w:proofErr w:type="spellEnd"/>
      <w:r w:rsidRPr="005B0A53">
        <w:rPr>
          <w:sz w:val="24"/>
          <w:szCs w:val="24"/>
        </w:rPr>
        <w:t xml:space="preserve"> ved mangel på alfa</w:t>
      </w:r>
      <w:r w:rsidRPr="005B0A53">
        <w:rPr>
          <w:sz w:val="24"/>
          <w:szCs w:val="24"/>
          <w:vertAlign w:val="subscript"/>
        </w:rPr>
        <w:t>1</w:t>
      </w:r>
      <w:r w:rsidRPr="005B0A53">
        <w:rPr>
          <w:sz w:val="24"/>
          <w:szCs w:val="24"/>
        </w:rPr>
        <w:t>-proteinaseinhibitor kan tillægges en kronisk biokemisk ubalance mellem elastase og alfa</w:t>
      </w:r>
      <w:r w:rsidRPr="005B0A53">
        <w:rPr>
          <w:sz w:val="24"/>
          <w:szCs w:val="24"/>
          <w:vertAlign w:val="subscript"/>
        </w:rPr>
        <w:t>1</w:t>
      </w:r>
      <w:r w:rsidRPr="005B0A53">
        <w:rPr>
          <w:sz w:val="24"/>
          <w:szCs w:val="24"/>
        </w:rPr>
        <w:t xml:space="preserve">-proteinaseinhibitor. Elastase, som syntetiseres af pro-inflammatoriske celler i de nedre luftveje, er i stand til at nedbryde elastisk væv. En af de vigtigste </w:t>
      </w:r>
      <w:proofErr w:type="spellStart"/>
      <w:r w:rsidRPr="005B0A53">
        <w:rPr>
          <w:sz w:val="24"/>
          <w:szCs w:val="24"/>
        </w:rPr>
        <w:t>hæmmere</w:t>
      </w:r>
      <w:proofErr w:type="spellEnd"/>
      <w:r w:rsidRPr="005B0A53">
        <w:rPr>
          <w:sz w:val="24"/>
          <w:szCs w:val="24"/>
        </w:rPr>
        <w:t xml:space="preserve"> af elastase er alfa</w:t>
      </w:r>
      <w:r w:rsidRPr="005B0A53">
        <w:rPr>
          <w:sz w:val="24"/>
          <w:szCs w:val="24"/>
          <w:vertAlign w:val="subscript"/>
        </w:rPr>
        <w:t>1</w:t>
      </w:r>
      <w:r w:rsidRPr="005B0A53">
        <w:rPr>
          <w:sz w:val="24"/>
          <w:szCs w:val="24"/>
        </w:rPr>
        <w:t>-proteinaseinhibitor, som ikke er til stede ved hereditær mangel på alfa</w:t>
      </w:r>
      <w:r w:rsidRPr="005B0A53">
        <w:rPr>
          <w:sz w:val="24"/>
          <w:szCs w:val="24"/>
          <w:vertAlign w:val="subscript"/>
        </w:rPr>
        <w:t>1</w:t>
      </w:r>
      <w:r w:rsidRPr="005B0A53">
        <w:rPr>
          <w:sz w:val="24"/>
          <w:szCs w:val="24"/>
        </w:rPr>
        <w:t xml:space="preserve">-proteinaseinhibitor. Som følge heraf forbliver de alveolære strukturer ubeskyttede mod elastase, som frigives af </w:t>
      </w:r>
      <w:proofErr w:type="spellStart"/>
      <w:r w:rsidRPr="005B0A53">
        <w:rPr>
          <w:sz w:val="24"/>
          <w:szCs w:val="24"/>
        </w:rPr>
        <w:t>neutrofile</w:t>
      </w:r>
      <w:proofErr w:type="spellEnd"/>
      <w:r w:rsidRPr="005B0A53">
        <w:rPr>
          <w:sz w:val="24"/>
          <w:szCs w:val="24"/>
        </w:rPr>
        <w:t xml:space="preserve"> i de nedre luftveje og for hvilke de derfor er kronisk eksponeret.</w:t>
      </w:r>
    </w:p>
    <w:p w14:paraId="43057403" w14:textId="77777777" w:rsidR="00E1759F" w:rsidRPr="005B0A53" w:rsidRDefault="00E1759F" w:rsidP="002758FD">
      <w:pPr>
        <w:ind w:left="851"/>
        <w:rPr>
          <w:sz w:val="24"/>
          <w:szCs w:val="24"/>
        </w:rPr>
      </w:pPr>
      <w:r w:rsidRPr="005B0A53">
        <w:rPr>
          <w:sz w:val="24"/>
          <w:szCs w:val="24"/>
        </w:rPr>
        <w:t>Dette fører til progressiv nedbrydelse af det elastiske væv, og når serumniveauer af alfa</w:t>
      </w:r>
      <w:r w:rsidRPr="005B0A53">
        <w:rPr>
          <w:sz w:val="24"/>
          <w:szCs w:val="24"/>
          <w:vertAlign w:val="subscript"/>
        </w:rPr>
        <w:t>1</w:t>
      </w:r>
      <w:r w:rsidRPr="005B0A53">
        <w:rPr>
          <w:sz w:val="24"/>
          <w:szCs w:val="24"/>
        </w:rPr>
        <w:t xml:space="preserve"> </w:t>
      </w:r>
      <w:proofErr w:type="spellStart"/>
      <w:r w:rsidRPr="005B0A53">
        <w:rPr>
          <w:sz w:val="24"/>
          <w:szCs w:val="24"/>
        </w:rPr>
        <w:t>antitrypsin</w:t>
      </w:r>
      <w:proofErr w:type="spellEnd"/>
      <w:r w:rsidRPr="005B0A53">
        <w:rPr>
          <w:sz w:val="24"/>
          <w:szCs w:val="24"/>
        </w:rPr>
        <w:t xml:space="preserve"> falder under 80 mg/dl, er dette associeret med en øget risiko for udvikling af </w:t>
      </w:r>
      <w:proofErr w:type="spellStart"/>
      <w:r w:rsidRPr="005B0A53">
        <w:rPr>
          <w:sz w:val="24"/>
          <w:szCs w:val="24"/>
        </w:rPr>
        <w:t>lungeemfysem</w:t>
      </w:r>
      <w:proofErr w:type="spellEnd"/>
      <w:r w:rsidRPr="005B0A53">
        <w:rPr>
          <w:sz w:val="24"/>
          <w:szCs w:val="24"/>
        </w:rPr>
        <w:t>.</w:t>
      </w:r>
    </w:p>
    <w:p w14:paraId="43407ECA" w14:textId="77777777" w:rsidR="00E1759F" w:rsidRPr="005B0A53" w:rsidRDefault="00E1759F" w:rsidP="002758FD">
      <w:pPr>
        <w:ind w:left="851"/>
        <w:rPr>
          <w:sz w:val="24"/>
          <w:szCs w:val="24"/>
        </w:rPr>
      </w:pPr>
      <w:r w:rsidRPr="005B0A53">
        <w:rPr>
          <w:sz w:val="24"/>
          <w:szCs w:val="24"/>
        </w:rPr>
        <w:t>I to kontrollerede observationsregistre blev den mest signifikante nedsættelse af FEV1´s reduktionshastighed observeret hos patienter med FEV1 35 til 60 % af det forudsete.</w:t>
      </w:r>
    </w:p>
    <w:p w14:paraId="18FDE0F8" w14:textId="77777777" w:rsidR="009260DE" w:rsidRPr="005B0A53" w:rsidRDefault="009260DE" w:rsidP="009260DE">
      <w:pPr>
        <w:tabs>
          <w:tab w:val="left" w:pos="851"/>
        </w:tabs>
        <w:ind w:left="851"/>
        <w:rPr>
          <w:sz w:val="24"/>
          <w:szCs w:val="24"/>
        </w:rPr>
      </w:pPr>
    </w:p>
    <w:p w14:paraId="5EAC3FAA" w14:textId="77777777" w:rsidR="009260DE" w:rsidRPr="005B0A53" w:rsidRDefault="009260DE" w:rsidP="009260DE">
      <w:pPr>
        <w:tabs>
          <w:tab w:val="left" w:pos="851"/>
        </w:tabs>
        <w:ind w:left="851" w:hanging="851"/>
        <w:rPr>
          <w:b/>
          <w:sz w:val="24"/>
          <w:szCs w:val="24"/>
        </w:rPr>
      </w:pPr>
      <w:r w:rsidRPr="005B0A53">
        <w:rPr>
          <w:b/>
          <w:sz w:val="24"/>
          <w:szCs w:val="24"/>
        </w:rPr>
        <w:t>5.2</w:t>
      </w:r>
      <w:r w:rsidRPr="005B0A53">
        <w:rPr>
          <w:b/>
          <w:sz w:val="24"/>
          <w:szCs w:val="24"/>
        </w:rPr>
        <w:tab/>
      </w:r>
      <w:proofErr w:type="spellStart"/>
      <w:r w:rsidRPr="005B0A53">
        <w:rPr>
          <w:b/>
          <w:sz w:val="24"/>
          <w:szCs w:val="24"/>
        </w:rPr>
        <w:t>Farmakokinetiske</w:t>
      </w:r>
      <w:proofErr w:type="spellEnd"/>
      <w:r w:rsidRPr="005B0A53">
        <w:rPr>
          <w:b/>
          <w:sz w:val="24"/>
          <w:szCs w:val="24"/>
        </w:rPr>
        <w:t xml:space="preserve"> egenskaber</w:t>
      </w:r>
    </w:p>
    <w:p w14:paraId="1466D9DB" w14:textId="77777777" w:rsidR="00E1759F" w:rsidRPr="005B0A53" w:rsidRDefault="00E1759F" w:rsidP="002758FD">
      <w:pPr>
        <w:ind w:left="851"/>
        <w:rPr>
          <w:sz w:val="24"/>
          <w:szCs w:val="24"/>
        </w:rPr>
      </w:pPr>
      <w:r w:rsidRPr="005B0A53">
        <w:rPr>
          <w:sz w:val="24"/>
          <w:szCs w:val="24"/>
        </w:rPr>
        <w:t>Efter intravenøs indgift er så godt som 100 % af alfa</w:t>
      </w:r>
      <w:r w:rsidRPr="005B0A53">
        <w:rPr>
          <w:sz w:val="24"/>
          <w:szCs w:val="24"/>
          <w:vertAlign w:val="subscript"/>
        </w:rPr>
        <w:t>1</w:t>
      </w:r>
      <w:r w:rsidRPr="005B0A53">
        <w:rPr>
          <w:sz w:val="24"/>
          <w:szCs w:val="24"/>
        </w:rPr>
        <w:t xml:space="preserve">-proteinaseinhibitordosen straks tilgængelig i patientens blodbane. Den gennemsnitlige </w:t>
      </w:r>
      <w:r w:rsidRPr="005B0A53">
        <w:rPr>
          <w:i/>
          <w:sz w:val="24"/>
          <w:szCs w:val="24"/>
        </w:rPr>
        <w:t xml:space="preserve">in </w:t>
      </w:r>
      <w:proofErr w:type="spellStart"/>
      <w:r w:rsidRPr="005B0A53">
        <w:rPr>
          <w:i/>
          <w:sz w:val="24"/>
          <w:szCs w:val="24"/>
        </w:rPr>
        <w:t>vivo</w:t>
      </w:r>
      <w:proofErr w:type="spellEnd"/>
      <w:r w:rsidRPr="005B0A53">
        <w:rPr>
          <w:sz w:val="24"/>
          <w:szCs w:val="24"/>
        </w:rPr>
        <w:t xml:space="preserve"> </w:t>
      </w:r>
      <w:proofErr w:type="spellStart"/>
      <w:r w:rsidRPr="005B0A53">
        <w:rPr>
          <w:sz w:val="24"/>
          <w:szCs w:val="24"/>
        </w:rPr>
        <w:t>recovery</w:t>
      </w:r>
      <w:proofErr w:type="spellEnd"/>
      <w:r w:rsidRPr="005B0A53">
        <w:rPr>
          <w:sz w:val="24"/>
          <w:szCs w:val="24"/>
        </w:rPr>
        <w:t xml:space="preserve"> rate er 4,2 mg/dl pr. kg legemsvægt. </w:t>
      </w:r>
      <w:r w:rsidRPr="005B0A53">
        <w:rPr>
          <w:i/>
          <w:sz w:val="24"/>
          <w:szCs w:val="24"/>
        </w:rPr>
        <w:t xml:space="preserve">In </w:t>
      </w:r>
      <w:proofErr w:type="spellStart"/>
      <w:r w:rsidRPr="005B0A53">
        <w:rPr>
          <w:i/>
          <w:sz w:val="24"/>
          <w:szCs w:val="24"/>
        </w:rPr>
        <w:t>vivo</w:t>
      </w:r>
      <w:proofErr w:type="spellEnd"/>
      <w:r w:rsidRPr="005B0A53">
        <w:rPr>
          <w:i/>
          <w:sz w:val="24"/>
          <w:szCs w:val="24"/>
        </w:rPr>
        <w:t>-</w:t>
      </w:r>
      <w:r w:rsidRPr="005B0A53">
        <w:rPr>
          <w:sz w:val="24"/>
          <w:szCs w:val="24"/>
        </w:rPr>
        <w:t>halveringstiden er ca. 4,5 dage.</w:t>
      </w:r>
    </w:p>
    <w:p w14:paraId="2E274372" w14:textId="77777777" w:rsidR="009260DE" w:rsidRPr="005B0A53" w:rsidRDefault="009260DE" w:rsidP="009260DE">
      <w:pPr>
        <w:tabs>
          <w:tab w:val="left" w:pos="851"/>
        </w:tabs>
        <w:ind w:left="851"/>
        <w:rPr>
          <w:sz w:val="24"/>
          <w:szCs w:val="24"/>
        </w:rPr>
      </w:pPr>
    </w:p>
    <w:p w14:paraId="33534521" w14:textId="77777777" w:rsidR="009260DE" w:rsidRPr="005B0A53" w:rsidRDefault="009260DE" w:rsidP="009260DE">
      <w:pPr>
        <w:tabs>
          <w:tab w:val="left" w:pos="851"/>
        </w:tabs>
        <w:ind w:left="851" w:hanging="851"/>
        <w:rPr>
          <w:b/>
          <w:sz w:val="24"/>
          <w:szCs w:val="24"/>
        </w:rPr>
      </w:pPr>
      <w:r w:rsidRPr="005B0A53">
        <w:rPr>
          <w:b/>
          <w:sz w:val="24"/>
          <w:szCs w:val="24"/>
        </w:rPr>
        <w:t>5.3</w:t>
      </w:r>
      <w:r w:rsidRPr="005B0A53">
        <w:rPr>
          <w:b/>
          <w:sz w:val="24"/>
          <w:szCs w:val="24"/>
        </w:rPr>
        <w:tab/>
      </w:r>
      <w:r w:rsidR="00BD7931" w:rsidRPr="005B0A53">
        <w:rPr>
          <w:b/>
          <w:sz w:val="24"/>
          <w:szCs w:val="24"/>
        </w:rPr>
        <w:t>Non-</w:t>
      </w:r>
      <w:r w:rsidRPr="005B0A53">
        <w:rPr>
          <w:b/>
          <w:sz w:val="24"/>
          <w:szCs w:val="24"/>
        </w:rPr>
        <w:t>kliniske sikkerhedsdata</w:t>
      </w:r>
    </w:p>
    <w:p w14:paraId="4D3644B1" w14:textId="77777777" w:rsidR="00E1759F" w:rsidRPr="005B0A53" w:rsidRDefault="00E1759F" w:rsidP="002758FD">
      <w:pPr>
        <w:numPr>
          <w:ilvl w:val="12"/>
          <w:numId w:val="0"/>
        </w:numPr>
        <w:ind w:left="851" w:right="11"/>
        <w:rPr>
          <w:sz w:val="24"/>
          <w:szCs w:val="24"/>
        </w:rPr>
      </w:pPr>
      <w:r w:rsidRPr="005B0A53">
        <w:rPr>
          <w:sz w:val="24"/>
          <w:szCs w:val="24"/>
        </w:rPr>
        <w:t xml:space="preserve">Den aktive ingrediens i </w:t>
      </w:r>
      <w:proofErr w:type="spellStart"/>
      <w:r w:rsidRPr="005B0A53">
        <w:rPr>
          <w:sz w:val="24"/>
          <w:szCs w:val="24"/>
        </w:rPr>
        <w:t>Prolastina</w:t>
      </w:r>
      <w:proofErr w:type="spellEnd"/>
      <w:r w:rsidRPr="005B0A53">
        <w:rPr>
          <w:sz w:val="24"/>
          <w:szCs w:val="24"/>
        </w:rPr>
        <w:t>, alfa</w:t>
      </w:r>
      <w:r w:rsidRPr="005B0A53">
        <w:rPr>
          <w:sz w:val="24"/>
          <w:szCs w:val="24"/>
          <w:vertAlign w:val="subscript"/>
        </w:rPr>
        <w:t>1</w:t>
      </w:r>
      <w:r w:rsidRPr="005B0A53">
        <w:rPr>
          <w:sz w:val="24"/>
          <w:szCs w:val="24"/>
        </w:rPr>
        <w:t xml:space="preserve">-proteinaseinhibitor, der fås fra humant plasma og opfører sig som endogene plasmakomponenter. Indgift af en enkelt dosis </w:t>
      </w:r>
      <w:proofErr w:type="spellStart"/>
      <w:r w:rsidRPr="005B0A53">
        <w:rPr>
          <w:sz w:val="24"/>
          <w:szCs w:val="24"/>
        </w:rPr>
        <w:t>Prolastina</w:t>
      </w:r>
      <w:proofErr w:type="spellEnd"/>
      <w:r w:rsidRPr="005B0A53">
        <w:rPr>
          <w:sz w:val="24"/>
          <w:szCs w:val="24"/>
        </w:rPr>
        <w:t xml:space="preserve"> til forskellige dyrearter samt administration af daglige doser til kaniner i fem sammen</w:t>
      </w:r>
      <w:r w:rsidRPr="005B0A53">
        <w:rPr>
          <w:sz w:val="24"/>
          <w:szCs w:val="24"/>
        </w:rPr>
        <w:softHyphen/>
        <w:t xml:space="preserve">hængende dage viste ikke tegn på toksiske effekter. Yderligere prækliniske studier med gentagen dosering (kronisk toksicitet, </w:t>
      </w:r>
      <w:proofErr w:type="spellStart"/>
      <w:r w:rsidRPr="005B0A53">
        <w:rPr>
          <w:sz w:val="24"/>
          <w:szCs w:val="24"/>
        </w:rPr>
        <w:t>karcinogenicitet</w:t>
      </w:r>
      <w:proofErr w:type="spellEnd"/>
      <w:r w:rsidRPr="005B0A53">
        <w:rPr>
          <w:sz w:val="24"/>
          <w:szCs w:val="24"/>
        </w:rPr>
        <w:t>, reproduktionstoksicitet) blev ikke udført. Disse studier kan ikke meningsfyldt udføres i konventionelle dyremodeller, da der formodentligt dannes antistoffer som et resultat af indgiften af heterologe humanproteiner.</w:t>
      </w:r>
    </w:p>
    <w:p w14:paraId="56737E8C" w14:textId="77777777" w:rsidR="009260DE" w:rsidRPr="005B0A53" w:rsidRDefault="009260DE" w:rsidP="009260DE">
      <w:pPr>
        <w:tabs>
          <w:tab w:val="left" w:pos="851"/>
        </w:tabs>
        <w:ind w:left="851"/>
        <w:rPr>
          <w:sz w:val="24"/>
          <w:szCs w:val="24"/>
        </w:rPr>
      </w:pPr>
    </w:p>
    <w:p w14:paraId="27CAAFD4" w14:textId="77777777" w:rsidR="009260DE" w:rsidRPr="005B0A53" w:rsidRDefault="009260DE" w:rsidP="009260DE">
      <w:pPr>
        <w:tabs>
          <w:tab w:val="left" w:pos="851"/>
        </w:tabs>
        <w:ind w:left="851"/>
        <w:rPr>
          <w:sz w:val="24"/>
          <w:szCs w:val="24"/>
        </w:rPr>
      </w:pPr>
    </w:p>
    <w:p w14:paraId="25C8323B" w14:textId="77777777" w:rsidR="009260DE" w:rsidRPr="005B0A53" w:rsidRDefault="009260DE" w:rsidP="009260DE">
      <w:pPr>
        <w:tabs>
          <w:tab w:val="left" w:pos="851"/>
        </w:tabs>
        <w:ind w:left="851" w:hanging="851"/>
        <w:rPr>
          <w:b/>
          <w:sz w:val="24"/>
          <w:szCs w:val="24"/>
        </w:rPr>
      </w:pPr>
      <w:r w:rsidRPr="005B0A53">
        <w:rPr>
          <w:b/>
          <w:sz w:val="24"/>
          <w:szCs w:val="24"/>
        </w:rPr>
        <w:t>6.</w:t>
      </w:r>
      <w:r w:rsidRPr="005B0A53">
        <w:rPr>
          <w:b/>
          <w:sz w:val="24"/>
          <w:szCs w:val="24"/>
        </w:rPr>
        <w:tab/>
        <w:t>FARMACEUTISKE OPLYSNINGER</w:t>
      </w:r>
    </w:p>
    <w:p w14:paraId="0C3BCF96" w14:textId="77777777" w:rsidR="009260DE" w:rsidRPr="005B0A53" w:rsidRDefault="009260DE" w:rsidP="009260DE">
      <w:pPr>
        <w:tabs>
          <w:tab w:val="left" w:pos="851"/>
        </w:tabs>
        <w:ind w:left="851"/>
        <w:rPr>
          <w:sz w:val="24"/>
          <w:szCs w:val="24"/>
        </w:rPr>
      </w:pPr>
    </w:p>
    <w:p w14:paraId="6D977246" w14:textId="77777777" w:rsidR="009260DE" w:rsidRPr="005B0A53" w:rsidRDefault="009260DE" w:rsidP="009260DE">
      <w:pPr>
        <w:tabs>
          <w:tab w:val="left" w:pos="851"/>
        </w:tabs>
        <w:ind w:left="851" w:hanging="851"/>
        <w:rPr>
          <w:b/>
          <w:sz w:val="24"/>
          <w:szCs w:val="24"/>
        </w:rPr>
      </w:pPr>
      <w:r w:rsidRPr="005B0A53">
        <w:rPr>
          <w:b/>
          <w:sz w:val="24"/>
          <w:szCs w:val="24"/>
        </w:rPr>
        <w:t>6.1</w:t>
      </w:r>
      <w:r w:rsidRPr="005B0A53">
        <w:rPr>
          <w:b/>
          <w:sz w:val="24"/>
          <w:szCs w:val="24"/>
        </w:rPr>
        <w:tab/>
        <w:t>Hjælpestoffer</w:t>
      </w:r>
    </w:p>
    <w:p w14:paraId="269A206E" w14:textId="77777777" w:rsidR="009B63C0" w:rsidRDefault="009B63C0" w:rsidP="002758FD">
      <w:pPr>
        <w:ind w:left="851"/>
        <w:rPr>
          <w:sz w:val="24"/>
          <w:szCs w:val="24"/>
        </w:rPr>
      </w:pPr>
    </w:p>
    <w:p w14:paraId="6D468BA6" w14:textId="2B74457A" w:rsidR="00E1759F" w:rsidRPr="009B63C0" w:rsidRDefault="00E1759F" w:rsidP="002758FD">
      <w:pPr>
        <w:ind w:left="851"/>
        <w:rPr>
          <w:sz w:val="24"/>
          <w:szCs w:val="24"/>
          <w:u w:val="single"/>
        </w:rPr>
      </w:pPr>
      <w:r w:rsidRPr="009B63C0">
        <w:rPr>
          <w:sz w:val="24"/>
          <w:szCs w:val="24"/>
          <w:u w:val="single"/>
        </w:rPr>
        <w:t>Pulver:</w:t>
      </w:r>
    </w:p>
    <w:p w14:paraId="46684847" w14:textId="77777777" w:rsidR="00E1759F" w:rsidRPr="005B0A53" w:rsidRDefault="00E1759F" w:rsidP="002758FD">
      <w:pPr>
        <w:ind w:left="851"/>
        <w:rPr>
          <w:sz w:val="24"/>
          <w:szCs w:val="24"/>
        </w:rPr>
      </w:pPr>
      <w:proofErr w:type="spellStart"/>
      <w:r w:rsidRPr="005B0A53">
        <w:rPr>
          <w:sz w:val="24"/>
          <w:szCs w:val="24"/>
        </w:rPr>
        <w:t>Natriumchlorid</w:t>
      </w:r>
      <w:proofErr w:type="spellEnd"/>
    </w:p>
    <w:p w14:paraId="29A9B811" w14:textId="77777777" w:rsidR="00E1759F" w:rsidRPr="005B0A53" w:rsidRDefault="00E1759F" w:rsidP="002758FD">
      <w:pPr>
        <w:ind w:left="851"/>
        <w:rPr>
          <w:sz w:val="24"/>
          <w:szCs w:val="24"/>
        </w:rPr>
      </w:pPr>
      <w:proofErr w:type="spellStart"/>
      <w:r w:rsidRPr="005B0A53">
        <w:rPr>
          <w:sz w:val="24"/>
          <w:szCs w:val="24"/>
        </w:rPr>
        <w:t>Natriumdihydrogenphosphat</w:t>
      </w:r>
      <w:proofErr w:type="spellEnd"/>
    </w:p>
    <w:p w14:paraId="6F0729B5" w14:textId="77777777" w:rsidR="00E1759F" w:rsidRPr="005B0A53" w:rsidRDefault="00E1759F" w:rsidP="002758FD">
      <w:pPr>
        <w:ind w:left="851"/>
        <w:rPr>
          <w:sz w:val="24"/>
          <w:szCs w:val="24"/>
        </w:rPr>
      </w:pPr>
    </w:p>
    <w:p w14:paraId="00D7F42D" w14:textId="77777777" w:rsidR="00E1759F" w:rsidRPr="009B63C0" w:rsidRDefault="00E1759F" w:rsidP="002758FD">
      <w:pPr>
        <w:ind w:left="851"/>
        <w:rPr>
          <w:sz w:val="24"/>
          <w:szCs w:val="24"/>
          <w:u w:val="single"/>
        </w:rPr>
      </w:pPr>
      <w:r w:rsidRPr="009B63C0">
        <w:rPr>
          <w:sz w:val="24"/>
          <w:szCs w:val="24"/>
          <w:u w:val="single"/>
        </w:rPr>
        <w:lastRenderedPageBreak/>
        <w:t>Solvens:</w:t>
      </w:r>
    </w:p>
    <w:p w14:paraId="77BF19B7" w14:textId="77777777" w:rsidR="00E1759F" w:rsidRPr="005B0A53" w:rsidRDefault="00E1759F" w:rsidP="002758FD">
      <w:pPr>
        <w:ind w:left="851"/>
        <w:rPr>
          <w:sz w:val="24"/>
          <w:szCs w:val="24"/>
        </w:rPr>
      </w:pPr>
      <w:r w:rsidRPr="005B0A53">
        <w:rPr>
          <w:sz w:val="24"/>
          <w:szCs w:val="24"/>
        </w:rPr>
        <w:t>Vand til injektionsvæsker</w:t>
      </w:r>
    </w:p>
    <w:p w14:paraId="56D85469" w14:textId="77777777" w:rsidR="009260DE" w:rsidRPr="005B0A53" w:rsidRDefault="009260DE" w:rsidP="009260DE">
      <w:pPr>
        <w:tabs>
          <w:tab w:val="left" w:pos="851"/>
        </w:tabs>
        <w:ind w:left="851"/>
        <w:rPr>
          <w:sz w:val="24"/>
          <w:szCs w:val="24"/>
        </w:rPr>
      </w:pPr>
    </w:p>
    <w:p w14:paraId="442B1F27" w14:textId="77777777" w:rsidR="009260DE" w:rsidRPr="005B0A53" w:rsidRDefault="009260DE" w:rsidP="009260DE">
      <w:pPr>
        <w:tabs>
          <w:tab w:val="left" w:pos="851"/>
        </w:tabs>
        <w:ind w:left="851" w:hanging="851"/>
        <w:rPr>
          <w:b/>
          <w:sz w:val="24"/>
          <w:szCs w:val="24"/>
        </w:rPr>
      </w:pPr>
      <w:r w:rsidRPr="005B0A53">
        <w:rPr>
          <w:b/>
          <w:sz w:val="24"/>
          <w:szCs w:val="24"/>
        </w:rPr>
        <w:t>6.2</w:t>
      </w:r>
      <w:r w:rsidRPr="005B0A53">
        <w:rPr>
          <w:b/>
          <w:sz w:val="24"/>
          <w:szCs w:val="24"/>
        </w:rPr>
        <w:tab/>
        <w:t>Uforligeligheder</w:t>
      </w:r>
    </w:p>
    <w:p w14:paraId="60BD0E4D" w14:textId="77777777" w:rsidR="00E1759F" w:rsidRPr="005B0A53" w:rsidRDefault="00E1759F" w:rsidP="002758FD">
      <w:pPr>
        <w:ind w:left="851"/>
        <w:rPr>
          <w:sz w:val="24"/>
          <w:szCs w:val="24"/>
        </w:rPr>
      </w:pPr>
      <w:r w:rsidRPr="005B0A53">
        <w:rPr>
          <w:sz w:val="24"/>
          <w:szCs w:val="24"/>
        </w:rPr>
        <w:t xml:space="preserve">Da der ikke foreligger studier af eventuelle uforligeligheder, må </w:t>
      </w:r>
      <w:proofErr w:type="spellStart"/>
      <w:r w:rsidRPr="005B0A53">
        <w:rPr>
          <w:sz w:val="24"/>
          <w:szCs w:val="24"/>
        </w:rPr>
        <w:t>Prolastina</w:t>
      </w:r>
      <w:proofErr w:type="spellEnd"/>
      <w:r w:rsidRPr="005B0A53">
        <w:rPr>
          <w:sz w:val="24"/>
          <w:szCs w:val="24"/>
        </w:rPr>
        <w:t xml:space="preserve"> ikke blandes med andre lægemidler eller andre infusionsvæsker.</w:t>
      </w:r>
    </w:p>
    <w:p w14:paraId="35D98A31" w14:textId="77777777" w:rsidR="009260DE" w:rsidRPr="005B0A53" w:rsidRDefault="009260DE" w:rsidP="009260DE">
      <w:pPr>
        <w:tabs>
          <w:tab w:val="left" w:pos="851"/>
        </w:tabs>
        <w:ind w:left="851"/>
        <w:rPr>
          <w:sz w:val="24"/>
          <w:szCs w:val="24"/>
        </w:rPr>
      </w:pPr>
    </w:p>
    <w:p w14:paraId="75973B83" w14:textId="77777777" w:rsidR="009260DE" w:rsidRPr="005B0A53" w:rsidRDefault="009260DE" w:rsidP="009260DE">
      <w:pPr>
        <w:tabs>
          <w:tab w:val="left" w:pos="851"/>
        </w:tabs>
        <w:ind w:left="851" w:hanging="851"/>
        <w:rPr>
          <w:b/>
          <w:sz w:val="24"/>
          <w:szCs w:val="24"/>
        </w:rPr>
      </w:pPr>
      <w:r w:rsidRPr="005B0A53">
        <w:rPr>
          <w:b/>
          <w:sz w:val="24"/>
          <w:szCs w:val="24"/>
        </w:rPr>
        <w:t>6.3</w:t>
      </w:r>
      <w:r w:rsidRPr="005B0A53">
        <w:rPr>
          <w:b/>
          <w:sz w:val="24"/>
          <w:szCs w:val="24"/>
        </w:rPr>
        <w:tab/>
        <w:t>Opbevaringstid</w:t>
      </w:r>
    </w:p>
    <w:p w14:paraId="4321ABCE" w14:textId="77777777" w:rsidR="00E1759F" w:rsidRPr="005B0A53" w:rsidRDefault="00E1759F" w:rsidP="002758FD">
      <w:pPr>
        <w:ind w:left="851"/>
        <w:rPr>
          <w:sz w:val="24"/>
          <w:szCs w:val="24"/>
        </w:rPr>
      </w:pPr>
      <w:r w:rsidRPr="005B0A53">
        <w:rPr>
          <w:sz w:val="24"/>
          <w:szCs w:val="24"/>
        </w:rPr>
        <w:t>3 år</w:t>
      </w:r>
    </w:p>
    <w:p w14:paraId="7DC8DD37" w14:textId="77777777" w:rsidR="00E1759F" w:rsidRPr="005B0A53" w:rsidRDefault="00E1759F" w:rsidP="002758FD">
      <w:pPr>
        <w:ind w:left="851"/>
        <w:rPr>
          <w:sz w:val="24"/>
          <w:szCs w:val="24"/>
        </w:rPr>
      </w:pPr>
    </w:p>
    <w:p w14:paraId="1DDB8FF4" w14:textId="77777777" w:rsidR="00E1759F" w:rsidRPr="005B0A53" w:rsidRDefault="00E1759F" w:rsidP="002758FD">
      <w:pPr>
        <w:ind w:left="851"/>
        <w:rPr>
          <w:sz w:val="24"/>
          <w:szCs w:val="24"/>
        </w:rPr>
      </w:pPr>
      <w:r w:rsidRPr="005B0A53">
        <w:rPr>
          <w:sz w:val="24"/>
          <w:szCs w:val="24"/>
        </w:rPr>
        <w:t xml:space="preserve">Den </w:t>
      </w:r>
      <w:proofErr w:type="spellStart"/>
      <w:r w:rsidRPr="005B0A53">
        <w:rPr>
          <w:sz w:val="24"/>
          <w:szCs w:val="24"/>
        </w:rPr>
        <w:t>rekonstituerede</w:t>
      </w:r>
      <w:proofErr w:type="spellEnd"/>
      <w:r w:rsidRPr="005B0A53">
        <w:rPr>
          <w:sz w:val="24"/>
          <w:szCs w:val="24"/>
        </w:rPr>
        <w:t xml:space="preserve"> opløsning skal altid bruges inden for 3 timer efter tilberedelsen.</w:t>
      </w:r>
    </w:p>
    <w:p w14:paraId="0B2E389E" w14:textId="77777777" w:rsidR="00E1759F" w:rsidRPr="005B0A53" w:rsidRDefault="00E1759F" w:rsidP="002758FD">
      <w:pPr>
        <w:ind w:left="851"/>
        <w:rPr>
          <w:sz w:val="24"/>
          <w:szCs w:val="24"/>
        </w:rPr>
      </w:pPr>
      <w:r w:rsidRPr="005B0A53">
        <w:rPr>
          <w:sz w:val="24"/>
          <w:szCs w:val="24"/>
        </w:rPr>
        <w:t>Infusionsvæsken må ikke opbevares i køleskab efter fremstilling. Kasser eventuelt ubrugt opløsning i overensstemmelse med lokale krav.</w:t>
      </w:r>
    </w:p>
    <w:p w14:paraId="49301BD8" w14:textId="77777777" w:rsidR="009260DE" w:rsidRPr="005B0A53" w:rsidRDefault="009260DE" w:rsidP="009260DE">
      <w:pPr>
        <w:tabs>
          <w:tab w:val="left" w:pos="851"/>
        </w:tabs>
        <w:ind w:left="851"/>
        <w:rPr>
          <w:sz w:val="24"/>
          <w:szCs w:val="24"/>
        </w:rPr>
      </w:pPr>
    </w:p>
    <w:p w14:paraId="55A91C83" w14:textId="77777777" w:rsidR="009260DE" w:rsidRPr="005B0A53" w:rsidRDefault="009260DE" w:rsidP="009260DE">
      <w:pPr>
        <w:tabs>
          <w:tab w:val="left" w:pos="851"/>
        </w:tabs>
        <w:ind w:left="851" w:hanging="851"/>
        <w:rPr>
          <w:b/>
          <w:sz w:val="24"/>
          <w:szCs w:val="24"/>
        </w:rPr>
      </w:pPr>
      <w:r w:rsidRPr="005B0A53">
        <w:rPr>
          <w:b/>
          <w:sz w:val="24"/>
          <w:szCs w:val="24"/>
        </w:rPr>
        <w:t>6.4</w:t>
      </w:r>
      <w:r w:rsidRPr="005B0A53">
        <w:rPr>
          <w:b/>
          <w:sz w:val="24"/>
          <w:szCs w:val="24"/>
        </w:rPr>
        <w:tab/>
        <w:t>Særlige opbevaringsforhold</w:t>
      </w:r>
    </w:p>
    <w:p w14:paraId="445F07D5" w14:textId="77777777" w:rsidR="00E1759F" w:rsidRPr="005B0A53" w:rsidRDefault="00E1759F" w:rsidP="002758FD">
      <w:pPr>
        <w:ind w:left="851"/>
        <w:rPr>
          <w:sz w:val="24"/>
          <w:szCs w:val="24"/>
        </w:rPr>
      </w:pPr>
      <w:r w:rsidRPr="005B0A53">
        <w:rPr>
          <w:sz w:val="24"/>
          <w:szCs w:val="24"/>
        </w:rPr>
        <w:t>Må ikke opbevares ved temperaturer over 25 </w:t>
      </w:r>
      <w:r w:rsidRPr="005B0A53">
        <w:rPr>
          <w:sz w:val="24"/>
          <w:szCs w:val="24"/>
        </w:rPr>
        <w:sym w:font="Symbol" w:char="F0B0"/>
      </w:r>
      <w:r w:rsidRPr="005B0A53">
        <w:rPr>
          <w:sz w:val="24"/>
          <w:szCs w:val="24"/>
        </w:rPr>
        <w:t>C.</w:t>
      </w:r>
    </w:p>
    <w:p w14:paraId="0CBC5444" w14:textId="77777777" w:rsidR="00E1759F" w:rsidRPr="005B0A53" w:rsidRDefault="00E1759F" w:rsidP="002758FD">
      <w:pPr>
        <w:ind w:left="851"/>
        <w:rPr>
          <w:sz w:val="24"/>
          <w:szCs w:val="24"/>
        </w:rPr>
      </w:pPr>
      <w:r w:rsidRPr="005B0A53">
        <w:rPr>
          <w:sz w:val="24"/>
          <w:szCs w:val="24"/>
        </w:rPr>
        <w:t>Må ikke nedfryses.</w:t>
      </w:r>
    </w:p>
    <w:p w14:paraId="2FF97F09" w14:textId="77777777" w:rsidR="00E1759F" w:rsidRPr="005B0A53" w:rsidRDefault="00E1759F" w:rsidP="002758FD">
      <w:pPr>
        <w:ind w:left="851"/>
        <w:rPr>
          <w:sz w:val="24"/>
          <w:szCs w:val="24"/>
        </w:rPr>
      </w:pPr>
      <w:bookmarkStart w:id="2" w:name="_Hlk135858174"/>
      <w:r w:rsidRPr="005B0A53">
        <w:rPr>
          <w:sz w:val="24"/>
          <w:szCs w:val="24"/>
        </w:rPr>
        <w:t xml:space="preserve">Opbevaringsforhold efter </w:t>
      </w:r>
      <w:proofErr w:type="spellStart"/>
      <w:r w:rsidRPr="005B0A53">
        <w:rPr>
          <w:sz w:val="24"/>
          <w:szCs w:val="24"/>
        </w:rPr>
        <w:t>rekonstitution</w:t>
      </w:r>
      <w:proofErr w:type="spellEnd"/>
      <w:r w:rsidRPr="005B0A53">
        <w:rPr>
          <w:sz w:val="24"/>
          <w:szCs w:val="24"/>
        </w:rPr>
        <w:t xml:space="preserve"> af lægemidlet, se pkt. 6.3.</w:t>
      </w:r>
      <w:bookmarkEnd w:id="2"/>
    </w:p>
    <w:p w14:paraId="48B8ABF5" w14:textId="77777777" w:rsidR="009260DE" w:rsidRPr="005B0A53" w:rsidRDefault="009260DE" w:rsidP="009260DE">
      <w:pPr>
        <w:tabs>
          <w:tab w:val="left" w:pos="851"/>
        </w:tabs>
        <w:ind w:left="851"/>
        <w:rPr>
          <w:sz w:val="24"/>
          <w:szCs w:val="24"/>
        </w:rPr>
      </w:pPr>
    </w:p>
    <w:p w14:paraId="6FA9C186" w14:textId="77777777" w:rsidR="009260DE" w:rsidRPr="005B0A53" w:rsidRDefault="009260DE" w:rsidP="009260DE">
      <w:pPr>
        <w:tabs>
          <w:tab w:val="left" w:pos="851"/>
        </w:tabs>
        <w:ind w:left="851" w:hanging="851"/>
        <w:rPr>
          <w:b/>
          <w:sz w:val="24"/>
          <w:szCs w:val="24"/>
        </w:rPr>
      </w:pPr>
      <w:r w:rsidRPr="005B0A53">
        <w:rPr>
          <w:b/>
          <w:sz w:val="24"/>
          <w:szCs w:val="24"/>
        </w:rPr>
        <w:t>6.5</w:t>
      </w:r>
      <w:r w:rsidRPr="005B0A53">
        <w:rPr>
          <w:b/>
          <w:sz w:val="24"/>
          <w:szCs w:val="24"/>
        </w:rPr>
        <w:tab/>
        <w:t>Emballagetype og pakningsstørrelser</w:t>
      </w:r>
    </w:p>
    <w:p w14:paraId="447F9466" w14:textId="77777777" w:rsidR="009B63C0" w:rsidRDefault="009B63C0" w:rsidP="002758FD">
      <w:pPr>
        <w:ind w:left="851"/>
        <w:rPr>
          <w:sz w:val="24"/>
          <w:szCs w:val="24"/>
        </w:rPr>
      </w:pPr>
    </w:p>
    <w:p w14:paraId="48836392" w14:textId="01DADDE7" w:rsidR="00E1759F" w:rsidRPr="009B63C0" w:rsidRDefault="00E1759F" w:rsidP="002758FD">
      <w:pPr>
        <w:ind w:left="851"/>
        <w:rPr>
          <w:sz w:val="24"/>
          <w:szCs w:val="24"/>
          <w:u w:val="single"/>
        </w:rPr>
      </w:pPr>
      <w:r w:rsidRPr="009B63C0">
        <w:rPr>
          <w:sz w:val="24"/>
          <w:szCs w:val="24"/>
          <w:u w:val="single"/>
        </w:rPr>
        <w:t>Pulver:</w:t>
      </w:r>
    </w:p>
    <w:p w14:paraId="738FBB17" w14:textId="77777777" w:rsidR="00E1759F" w:rsidRPr="005B0A53" w:rsidRDefault="00E1759F" w:rsidP="002758FD">
      <w:pPr>
        <w:ind w:left="851"/>
        <w:rPr>
          <w:sz w:val="24"/>
          <w:szCs w:val="24"/>
        </w:rPr>
      </w:pPr>
      <w:r w:rsidRPr="005B0A53">
        <w:rPr>
          <w:sz w:val="24"/>
          <w:szCs w:val="24"/>
        </w:rPr>
        <w:t xml:space="preserve">Type II hætteglas med </w:t>
      </w:r>
      <w:proofErr w:type="spellStart"/>
      <w:r w:rsidRPr="005B0A53">
        <w:rPr>
          <w:sz w:val="24"/>
          <w:szCs w:val="24"/>
        </w:rPr>
        <w:t>chlorobutyl</w:t>
      </w:r>
      <w:proofErr w:type="spellEnd"/>
      <w:r w:rsidRPr="005B0A53">
        <w:rPr>
          <w:sz w:val="24"/>
          <w:szCs w:val="24"/>
        </w:rPr>
        <w:t>-gummiprop og aluminiumshætte.</w:t>
      </w:r>
    </w:p>
    <w:p w14:paraId="075B56EE" w14:textId="77777777" w:rsidR="009B63C0" w:rsidRDefault="009B63C0" w:rsidP="002758FD">
      <w:pPr>
        <w:ind w:left="851"/>
        <w:rPr>
          <w:sz w:val="24"/>
          <w:szCs w:val="24"/>
        </w:rPr>
      </w:pPr>
    </w:p>
    <w:p w14:paraId="6C096680" w14:textId="6D6CF0B6" w:rsidR="00E1759F" w:rsidRPr="009B63C0" w:rsidRDefault="00E1759F" w:rsidP="002758FD">
      <w:pPr>
        <w:ind w:left="851"/>
        <w:rPr>
          <w:sz w:val="24"/>
          <w:szCs w:val="24"/>
          <w:u w:val="single"/>
        </w:rPr>
      </w:pPr>
      <w:r w:rsidRPr="009B63C0">
        <w:rPr>
          <w:sz w:val="24"/>
          <w:szCs w:val="24"/>
          <w:u w:val="single"/>
        </w:rPr>
        <w:t>Solvens:</w:t>
      </w:r>
    </w:p>
    <w:p w14:paraId="3FAE3429" w14:textId="77777777" w:rsidR="00E1759F" w:rsidRPr="005B0A53" w:rsidRDefault="00E1759F" w:rsidP="002758FD">
      <w:pPr>
        <w:ind w:left="851"/>
        <w:rPr>
          <w:sz w:val="24"/>
          <w:szCs w:val="24"/>
        </w:rPr>
      </w:pPr>
      <w:r w:rsidRPr="005B0A53">
        <w:rPr>
          <w:sz w:val="24"/>
          <w:szCs w:val="24"/>
        </w:rPr>
        <w:t xml:space="preserve">Type II hætteglas med </w:t>
      </w:r>
      <w:proofErr w:type="spellStart"/>
      <w:r w:rsidRPr="005B0A53">
        <w:rPr>
          <w:sz w:val="24"/>
          <w:szCs w:val="24"/>
        </w:rPr>
        <w:t>bromobutyl</w:t>
      </w:r>
      <w:proofErr w:type="spellEnd"/>
      <w:r w:rsidRPr="005B0A53">
        <w:rPr>
          <w:sz w:val="24"/>
          <w:szCs w:val="24"/>
        </w:rPr>
        <w:t>-gummiprop og aluminiumshætte.</w:t>
      </w:r>
    </w:p>
    <w:p w14:paraId="1913E5E2" w14:textId="77777777" w:rsidR="00E1759F" w:rsidRPr="005B0A53" w:rsidRDefault="00E1759F" w:rsidP="002758FD">
      <w:pPr>
        <w:ind w:left="851"/>
        <w:rPr>
          <w:bCs/>
          <w:sz w:val="24"/>
          <w:szCs w:val="24"/>
        </w:rPr>
      </w:pPr>
    </w:p>
    <w:p w14:paraId="2B66D28A" w14:textId="77777777" w:rsidR="00E1759F" w:rsidRPr="005B0A53" w:rsidRDefault="00E1759F" w:rsidP="002758FD">
      <w:pPr>
        <w:ind w:left="851"/>
        <w:rPr>
          <w:b/>
          <w:sz w:val="24"/>
          <w:szCs w:val="24"/>
        </w:rPr>
      </w:pPr>
      <w:r w:rsidRPr="005B0A53">
        <w:rPr>
          <w:b/>
          <w:sz w:val="24"/>
          <w:szCs w:val="24"/>
        </w:rPr>
        <w:t>Pakningsstørrelser:</w:t>
      </w:r>
    </w:p>
    <w:p w14:paraId="22A7BDE5" w14:textId="77777777" w:rsidR="00E1759F" w:rsidRPr="005B0A53" w:rsidRDefault="00E1759F" w:rsidP="002758FD">
      <w:pPr>
        <w:ind w:left="851"/>
        <w:rPr>
          <w:bCs/>
          <w:sz w:val="24"/>
          <w:szCs w:val="24"/>
        </w:rPr>
      </w:pPr>
      <w:r w:rsidRPr="005B0A53">
        <w:rPr>
          <w:bCs/>
          <w:sz w:val="24"/>
          <w:szCs w:val="24"/>
        </w:rPr>
        <w:t>Enkeltpakninger:</w:t>
      </w:r>
    </w:p>
    <w:p w14:paraId="182CB1CA" w14:textId="77777777" w:rsidR="00E1759F" w:rsidRPr="005B0A53" w:rsidRDefault="00E1759F" w:rsidP="002758FD">
      <w:pPr>
        <w:ind w:left="851"/>
        <w:rPr>
          <w:bCs/>
          <w:sz w:val="24"/>
          <w:szCs w:val="24"/>
        </w:rPr>
      </w:pPr>
      <w:proofErr w:type="spellStart"/>
      <w:r w:rsidRPr="005B0A53">
        <w:rPr>
          <w:bCs/>
          <w:sz w:val="24"/>
          <w:szCs w:val="24"/>
        </w:rPr>
        <w:t>Prolastina</w:t>
      </w:r>
      <w:proofErr w:type="spellEnd"/>
      <w:r w:rsidRPr="005B0A53">
        <w:rPr>
          <w:bCs/>
          <w:sz w:val="24"/>
          <w:szCs w:val="24"/>
        </w:rPr>
        <w:t> 4000 mg pulver og solvens til infusionsvæske, opløsning indeholder:</w:t>
      </w:r>
    </w:p>
    <w:p w14:paraId="05AD63AF" w14:textId="77777777" w:rsidR="00E1759F" w:rsidRPr="005B0A53" w:rsidRDefault="00E1759F" w:rsidP="00B20C9B">
      <w:pPr>
        <w:ind w:left="1418"/>
        <w:rPr>
          <w:bCs/>
          <w:sz w:val="24"/>
          <w:szCs w:val="24"/>
        </w:rPr>
      </w:pPr>
      <w:r w:rsidRPr="005B0A53">
        <w:rPr>
          <w:bCs/>
          <w:sz w:val="24"/>
          <w:szCs w:val="24"/>
        </w:rPr>
        <w:t>Et hætteglas med pulver (4000 mg alfa</w:t>
      </w:r>
      <w:r w:rsidRPr="005B0A53">
        <w:rPr>
          <w:bCs/>
          <w:sz w:val="24"/>
          <w:szCs w:val="24"/>
          <w:vertAlign w:val="subscript"/>
        </w:rPr>
        <w:t>1</w:t>
      </w:r>
      <w:r w:rsidRPr="005B0A53">
        <w:rPr>
          <w:bCs/>
          <w:sz w:val="24"/>
          <w:szCs w:val="24"/>
        </w:rPr>
        <w:t>-proteinaseinhibitor, humant)</w:t>
      </w:r>
    </w:p>
    <w:p w14:paraId="67D5E71F" w14:textId="77777777" w:rsidR="00E1759F" w:rsidRPr="005B0A53" w:rsidRDefault="00E1759F" w:rsidP="00B20C9B">
      <w:pPr>
        <w:ind w:left="1418"/>
        <w:rPr>
          <w:bCs/>
          <w:sz w:val="24"/>
          <w:szCs w:val="24"/>
        </w:rPr>
      </w:pPr>
      <w:r w:rsidRPr="005B0A53">
        <w:rPr>
          <w:bCs/>
          <w:sz w:val="24"/>
          <w:szCs w:val="24"/>
        </w:rPr>
        <w:t>Et hætteglas med solvens (160 ml vand til injektionsvæsker)</w:t>
      </w:r>
    </w:p>
    <w:p w14:paraId="14107318" w14:textId="77777777" w:rsidR="00E1759F" w:rsidRPr="005B0A53" w:rsidRDefault="00E1759F" w:rsidP="00B20C9B">
      <w:pPr>
        <w:ind w:left="1418"/>
        <w:rPr>
          <w:bCs/>
          <w:sz w:val="24"/>
          <w:szCs w:val="24"/>
        </w:rPr>
      </w:pPr>
      <w:r w:rsidRPr="005B0A53">
        <w:rPr>
          <w:bCs/>
          <w:sz w:val="24"/>
          <w:szCs w:val="24"/>
        </w:rPr>
        <w:t xml:space="preserve">Et overførselssæt til </w:t>
      </w:r>
      <w:proofErr w:type="spellStart"/>
      <w:r w:rsidRPr="005B0A53">
        <w:rPr>
          <w:bCs/>
          <w:sz w:val="24"/>
          <w:szCs w:val="24"/>
        </w:rPr>
        <w:t>rekonstitution</w:t>
      </w:r>
      <w:proofErr w:type="spellEnd"/>
      <w:r w:rsidRPr="005B0A53">
        <w:rPr>
          <w:bCs/>
          <w:sz w:val="24"/>
          <w:szCs w:val="24"/>
        </w:rPr>
        <w:t>.</w:t>
      </w:r>
    </w:p>
    <w:p w14:paraId="561C2999" w14:textId="77777777" w:rsidR="00E1759F" w:rsidRPr="005B0A53" w:rsidRDefault="00E1759F" w:rsidP="002758FD">
      <w:pPr>
        <w:ind w:left="851"/>
        <w:rPr>
          <w:bCs/>
          <w:sz w:val="24"/>
          <w:szCs w:val="24"/>
        </w:rPr>
      </w:pPr>
    </w:p>
    <w:p w14:paraId="1174B02C" w14:textId="77777777" w:rsidR="00E1759F" w:rsidRPr="005B0A53" w:rsidRDefault="00E1759F" w:rsidP="002758FD">
      <w:pPr>
        <w:ind w:left="851"/>
        <w:rPr>
          <w:bCs/>
          <w:sz w:val="24"/>
          <w:szCs w:val="24"/>
        </w:rPr>
      </w:pPr>
      <w:proofErr w:type="spellStart"/>
      <w:r w:rsidRPr="005B0A53">
        <w:rPr>
          <w:bCs/>
          <w:sz w:val="24"/>
          <w:szCs w:val="24"/>
        </w:rPr>
        <w:t>Prolastina</w:t>
      </w:r>
      <w:proofErr w:type="spellEnd"/>
      <w:r w:rsidRPr="005B0A53">
        <w:rPr>
          <w:bCs/>
          <w:sz w:val="24"/>
          <w:szCs w:val="24"/>
        </w:rPr>
        <w:t> 5000 mg pulver og solvens til infusionsvæske, opløsning indeholder:</w:t>
      </w:r>
    </w:p>
    <w:p w14:paraId="44973671" w14:textId="77777777" w:rsidR="00E1759F" w:rsidRPr="005B0A53" w:rsidRDefault="00E1759F" w:rsidP="00B20C9B">
      <w:pPr>
        <w:ind w:left="1418"/>
        <w:rPr>
          <w:bCs/>
          <w:sz w:val="24"/>
          <w:szCs w:val="24"/>
        </w:rPr>
      </w:pPr>
      <w:r w:rsidRPr="005B0A53">
        <w:rPr>
          <w:bCs/>
          <w:sz w:val="24"/>
          <w:szCs w:val="24"/>
        </w:rPr>
        <w:t>Et hætteglas med pulver (5000 mg alfa</w:t>
      </w:r>
      <w:r w:rsidRPr="005B0A53">
        <w:rPr>
          <w:bCs/>
          <w:sz w:val="24"/>
          <w:szCs w:val="24"/>
          <w:vertAlign w:val="subscript"/>
        </w:rPr>
        <w:t>1</w:t>
      </w:r>
      <w:r w:rsidRPr="005B0A53">
        <w:rPr>
          <w:bCs/>
          <w:sz w:val="24"/>
          <w:szCs w:val="24"/>
        </w:rPr>
        <w:t>-proteinaseinhibitor, humant)</w:t>
      </w:r>
    </w:p>
    <w:p w14:paraId="78105833" w14:textId="77777777" w:rsidR="00E1759F" w:rsidRPr="005B0A53" w:rsidRDefault="00E1759F" w:rsidP="00B20C9B">
      <w:pPr>
        <w:ind w:left="1418"/>
        <w:rPr>
          <w:bCs/>
          <w:sz w:val="24"/>
          <w:szCs w:val="24"/>
        </w:rPr>
      </w:pPr>
      <w:r w:rsidRPr="005B0A53">
        <w:rPr>
          <w:bCs/>
          <w:sz w:val="24"/>
          <w:szCs w:val="24"/>
        </w:rPr>
        <w:t>Et hætteglas med solvens (200 ml vand til injektionsvæsker)</w:t>
      </w:r>
    </w:p>
    <w:p w14:paraId="2614A3DA" w14:textId="77777777" w:rsidR="00E1759F" w:rsidRPr="005B0A53" w:rsidRDefault="00E1759F" w:rsidP="00B20C9B">
      <w:pPr>
        <w:ind w:left="1418"/>
        <w:rPr>
          <w:bCs/>
          <w:sz w:val="24"/>
          <w:szCs w:val="24"/>
        </w:rPr>
      </w:pPr>
      <w:r w:rsidRPr="005B0A53">
        <w:rPr>
          <w:bCs/>
          <w:sz w:val="24"/>
          <w:szCs w:val="24"/>
        </w:rPr>
        <w:t xml:space="preserve">Et overførselssæt til </w:t>
      </w:r>
      <w:proofErr w:type="spellStart"/>
      <w:r w:rsidRPr="005B0A53">
        <w:rPr>
          <w:bCs/>
          <w:sz w:val="24"/>
          <w:szCs w:val="24"/>
        </w:rPr>
        <w:t>rekonstitution</w:t>
      </w:r>
      <w:proofErr w:type="spellEnd"/>
      <w:r w:rsidRPr="005B0A53">
        <w:rPr>
          <w:bCs/>
          <w:sz w:val="24"/>
          <w:szCs w:val="24"/>
        </w:rPr>
        <w:t>.</w:t>
      </w:r>
    </w:p>
    <w:p w14:paraId="00DE9779" w14:textId="77777777" w:rsidR="00E1759F" w:rsidRPr="005B0A53" w:rsidRDefault="00E1759F" w:rsidP="002758FD">
      <w:pPr>
        <w:ind w:left="851"/>
        <w:rPr>
          <w:bCs/>
          <w:sz w:val="24"/>
          <w:szCs w:val="24"/>
        </w:rPr>
      </w:pPr>
    </w:p>
    <w:p w14:paraId="7665B60D" w14:textId="77777777" w:rsidR="00E1759F" w:rsidRPr="005B0A53" w:rsidRDefault="00E1759F" w:rsidP="002758FD">
      <w:pPr>
        <w:ind w:left="851"/>
        <w:rPr>
          <w:bCs/>
          <w:sz w:val="24"/>
          <w:szCs w:val="24"/>
        </w:rPr>
      </w:pPr>
      <w:r w:rsidRPr="005B0A53">
        <w:rPr>
          <w:bCs/>
          <w:sz w:val="24"/>
          <w:szCs w:val="24"/>
        </w:rPr>
        <w:t>Ikke alle pakningsstørrelser er nødvendigvis markedsført.</w:t>
      </w:r>
    </w:p>
    <w:p w14:paraId="5BF3B3D0" w14:textId="77777777" w:rsidR="009260DE" w:rsidRPr="005B0A53" w:rsidRDefault="009260DE" w:rsidP="009260DE">
      <w:pPr>
        <w:tabs>
          <w:tab w:val="left" w:pos="851"/>
        </w:tabs>
        <w:ind w:left="851"/>
        <w:rPr>
          <w:sz w:val="24"/>
          <w:szCs w:val="24"/>
        </w:rPr>
      </w:pPr>
    </w:p>
    <w:p w14:paraId="2F461A6A" w14:textId="77777777" w:rsidR="009260DE" w:rsidRPr="005B0A53" w:rsidRDefault="009260DE" w:rsidP="009260DE">
      <w:pPr>
        <w:tabs>
          <w:tab w:val="left" w:pos="851"/>
        </w:tabs>
        <w:ind w:left="851" w:hanging="851"/>
        <w:rPr>
          <w:b/>
          <w:sz w:val="24"/>
          <w:szCs w:val="24"/>
        </w:rPr>
      </w:pPr>
      <w:r w:rsidRPr="005B0A53">
        <w:rPr>
          <w:b/>
          <w:sz w:val="24"/>
          <w:szCs w:val="24"/>
        </w:rPr>
        <w:t>6.6</w:t>
      </w:r>
      <w:r w:rsidRPr="005B0A53">
        <w:rPr>
          <w:b/>
          <w:sz w:val="24"/>
          <w:szCs w:val="24"/>
        </w:rPr>
        <w:tab/>
        <w:t xml:space="preserve">Regler for </w:t>
      </w:r>
      <w:r w:rsidR="00BD7931" w:rsidRPr="005B0A53">
        <w:rPr>
          <w:b/>
          <w:sz w:val="24"/>
          <w:szCs w:val="24"/>
        </w:rPr>
        <w:t>bortskaffelse</w:t>
      </w:r>
      <w:r w:rsidRPr="005B0A53">
        <w:rPr>
          <w:b/>
          <w:sz w:val="24"/>
          <w:szCs w:val="24"/>
        </w:rPr>
        <w:t xml:space="preserve"> og anden håndtering</w:t>
      </w:r>
    </w:p>
    <w:p w14:paraId="4D266E56" w14:textId="77777777" w:rsidR="00E1759F" w:rsidRPr="005B0A53" w:rsidRDefault="00E1759F" w:rsidP="002758FD">
      <w:pPr>
        <w:ind w:left="851"/>
        <w:rPr>
          <w:sz w:val="24"/>
          <w:szCs w:val="24"/>
        </w:rPr>
      </w:pPr>
      <w:r w:rsidRPr="005B0A53">
        <w:rPr>
          <w:sz w:val="24"/>
          <w:szCs w:val="24"/>
        </w:rPr>
        <w:t xml:space="preserve">Det tørre pulver skal bringes i kontakt med og opløses i indholdet af det vedlagte hætteglas med vand til injektionsvæsker, som beskrevet nedenfor. Den </w:t>
      </w:r>
      <w:proofErr w:type="spellStart"/>
      <w:r w:rsidRPr="005B0A53">
        <w:rPr>
          <w:sz w:val="24"/>
          <w:szCs w:val="24"/>
        </w:rPr>
        <w:t>rekonstituerede</w:t>
      </w:r>
      <w:proofErr w:type="spellEnd"/>
      <w:r w:rsidRPr="005B0A53">
        <w:rPr>
          <w:sz w:val="24"/>
          <w:szCs w:val="24"/>
        </w:rPr>
        <w:t xml:space="preserve"> opløsning er klar til let opaliserende, farveløs, svagt grøn, svagt gul eller svagt brun. Fuldstændig </w:t>
      </w:r>
      <w:proofErr w:type="spellStart"/>
      <w:r w:rsidRPr="005B0A53">
        <w:rPr>
          <w:sz w:val="24"/>
          <w:szCs w:val="24"/>
        </w:rPr>
        <w:t>rekonstitution</w:t>
      </w:r>
      <w:proofErr w:type="spellEnd"/>
      <w:r w:rsidRPr="005B0A53">
        <w:rPr>
          <w:sz w:val="24"/>
          <w:szCs w:val="24"/>
        </w:rPr>
        <w:t xml:space="preserve"> opnås inden for 15 minutter.</w:t>
      </w:r>
    </w:p>
    <w:p w14:paraId="5663C6A3" w14:textId="77777777" w:rsidR="00E1759F" w:rsidRPr="005B0A53" w:rsidRDefault="00E1759F" w:rsidP="002758FD">
      <w:pPr>
        <w:ind w:left="851"/>
        <w:rPr>
          <w:sz w:val="24"/>
          <w:szCs w:val="24"/>
        </w:rPr>
      </w:pPr>
    </w:p>
    <w:p w14:paraId="4CC83C8C" w14:textId="77777777" w:rsidR="00E1759F" w:rsidRPr="005B0A53" w:rsidRDefault="00E1759F" w:rsidP="002758FD">
      <w:pPr>
        <w:ind w:left="851"/>
        <w:rPr>
          <w:b/>
          <w:bCs/>
          <w:iCs/>
          <w:sz w:val="24"/>
          <w:szCs w:val="24"/>
        </w:rPr>
      </w:pPr>
      <w:r w:rsidRPr="005B0A53">
        <w:rPr>
          <w:b/>
          <w:bCs/>
          <w:iCs/>
          <w:sz w:val="24"/>
          <w:szCs w:val="24"/>
        </w:rPr>
        <w:t xml:space="preserve">Fremstilling af </w:t>
      </w:r>
      <w:proofErr w:type="spellStart"/>
      <w:r w:rsidRPr="005B0A53">
        <w:rPr>
          <w:b/>
          <w:bCs/>
          <w:iCs/>
          <w:sz w:val="24"/>
          <w:szCs w:val="24"/>
        </w:rPr>
        <w:t>rekonstitueret</w:t>
      </w:r>
      <w:proofErr w:type="spellEnd"/>
      <w:r w:rsidRPr="005B0A53">
        <w:rPr>
          <w:b/>
          <w:bCs/>
          <w:iCs/>
          <w:sz w:val="24"/>
          <w:szCs w:val="24"/>
        </w:rPr>
        <w:t xml:space="preserve"> infusionsvæske</w:t>
      </w:r>
    </w:p>
    <w:p w14:paraId="63B3A6EA" w14:textId="77777777" w:rsidR="00B20C9B" w:rsidRPr="00B20C9B" w:rsidRDefault="00B20C9B" w:rsidP="00B20C9B">
      <w:pPr>
        <w:numPr>
          <w:ilvl w:val="0"/>
          <w:numId w:val="7"/>
        </w:numPr>
        <w:tabs>
          <w:tab w:val="clear" w:pos="360"/>
        </w:tabs>
        <w:ind w:left="1276" w:hanging="425"/>
        <w:rPr>
          <w:sz w:val="24"/>
          <w:szCs w:val="24"/>
        </w:rPr>
      </w:pPr>
      <w:bookmarkStart w:id="3" w:name="_Hlk135924399"/>
      <w:r w:rsidRPr="00B20C9B">
        <w:rPr>
          <w:sz w:val="24"/>
          <w:szCs w:val="24"/>
        </w:rPr>
        <w:t xml:space="preserve">Anvend aseptisk teknik (ren og steril) for at opretholde sterilitet. Udfør fremstillingen af </w:t>
      </w:r>
      <w:proofErr w:type="spellStart"/>
      <w:r w:rsidRPr="00B20C9B">
        <w:rPr>
          <w:sz w:val="24"/>
          <w:szCs w:val="24"/>
        </w:rPr>
        <w:t>rekonstitutionen</w:t>
      </w:r>
      <w:proofErr w:type="spellEnd"/>
      <w:r w:rsidRPr="00B20C9B">
        <w:rPr>
          <w:sz w:val="24"/>
          <w:szCs w:val="24"/>
        </w:rPr>
        <w:t xml:space="preserve"> på en plan arbejdsflade.</w:t>
      </w:r>
    </w:p>
    <w:p w14:paraId="7E175158" w14:textId="77777777" w:rsidR="00B20C9B" w:rsidRPr="00B20C9B" w:rsidRDefault="00B20C9B" w:rsidP="00B20C9B">
      <w:pPr>
        <w:numPr>
          <w:ilvl w:val="0"/>
          <w:numId w:val="7"/>
        </w:numPr>
        <w:tabs>
          <w:tab w:val="clear" w:pos="360"/>
        </w:tabs>
        <w:ind w:left="1276" w:hanging="425"/>
        <w:rPr>
          <w:sz w:val="24"/>
          <w:szCs w:val="24"/>
        </w:rPr>
      </w:pPr>
      <w:r w:rsidRPr="00B20C9B">
        <w:rPr>
          <w:sz w:val="24"/>
          <w:szCs w:val="24"/>
        </w:rPr>
        <w:lastRenderedPageBreak/>
        <w:t xml:space="preserve">Sørg for, at hætteglassene med </w:t>
      </w:r>
      <w:proofErr w:type="spellStart"/>
      <w:r w:rsidRPr="00B20C9B">
        <w:rPr>
          <w:sz w:val="24"/>
          <w:szCs w:val="24"/>
        </w:rPr>
        <w:t>Prolastina</w:t>
      </w:r>
      <w:proofErr w:type="spellEnd"/>
      <w:r w:rsidRPr="00B20C9B">
        <w:rPr>
          <w:sz w:val="24"/>
          <w:szCs w:val="24"/>
        </w:rPr>
        <w:t xml:space="preserve"> pulver og solvens (sterilt vand til injektionsvæsker) opnår stuetemperatur (20-25 ºC).</w:t>
      </w:r>
    </w:p>
    <w:p w14:paraId="5F98A436" w14:textId="422BBF6B" w:rsidR="00B20C9B" w:rsidRDefault="00B20C9B" w:rsidP="00B20C9B">
      <w:pPr>
        <w:numPr>
          <w:ilvl w:val="0"/>
          <w:numId w:val="7"/>
        </w:numPr>
        <w:tabs>
          <w:tab w:val="clear" w:pos="360"/>
        </w:tabs>
        <w:ind w:left="1276" w:hanging="425"/>
        <w:rPr>
          <w:sz w:val="24"/>
          <w:szCs w:val="24"/>
        </w:rPr>
      </w:pPr>
      <w:r w:rsidRPr="00B20C9B">
        <w:rPr>
          <w:sz w:val="24"/>
          <w:szCs w:val="24"/>
        </w:rPr>
        <w:t xml:space="preserve">Fjern beskyttelseshætten fra både hætteglasset med </w:t>
      </w:r>
      <w:proofErr w:type="spellStart"/>
      <w:r w:rsidRPr="00B20C9B">
        <w:rPr>
          <w:sz w:val="24"/>
          <w:szCs w:val="24"/>
        </w:rPr>
        <w:t>Prolastina</w:t>
      </w:r>
      <w:proofErr w:type="spellEnd"/>
      <w:r w:rsidRPr="00B20C9B">
        <w:rPr>
          <w:sz w:val="24"/>
          <w:szCs w:val="24"/>
        </w:rPr>
        <w:t xml:space="preserve"> og solvensen og rens kraverne og propperne med en alkoholserviet. Lad gummipropperne tørre.</w:t>
      </w:r>
    </w:p>
    <w:p w14:paraId="235B35FB" w14:textId="77777777" w:rsidR="00C16010" w:rsidRPr="00B20C9B" w:rsidRDefault="00C16010" w:rsidP="00C16010">
      <w:pPr>
        <w:ind w:left="1276"/>
        <w:rPr>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61"/>
        <w:gridCol w:w="3118"/>
        <w:gridCol w:w="3119"/>
      </w:tblGrid>
      <w:tr w:rsidR="00B20C9B" w:rsidRPr="00B20C9B" w14:paraId="6104B882" w14:textId="77777777" w:rsidTr="00B20C9B">
        <w:tc>
          <w:tcPr>
            <w:tcW w:w="3261" w:type="dxa"/>
            <w:tcBorders>
              <w:top w:val="single" w:sz="4" w:space="0" w:color="auto"/>
              <w:left w:val="single" w:sz="4" w:space="0" w:color="auto"/>
              <w:bottom w:val="single" w:sz="4" w:space="0" w:color="auto"/>
              <w:right w:val="single" w:sz="4" w:space="0" w:color="auto"/>
            </w:tcBorders>
            <w:hideMark/>
          </w:tcPr>
          <w:p w14:paraId="7DE0A692" w14:textId="1BEE0F7F" w:rsidR="00B20C9B" w:rsidRPr="00B20C9B" w:rsidRDefault="00B20C9B" w:rsidP="00B20C9B">
            <w:pPr>
              <w:pStyle w:val="Listeafsnit"/>
              <w:numPr>
                <w:ilvl w:val="0"/>
                <w:numId w:val="7"/>
              </w:numPr>
              <w:rPr>
                <w:szCs w:val="22"/>
                <w:lang w:val="en-GB"/>
              </w:rPr>
            </w:pPr>
            <w:bookmarkStart w:id="4" w:name="_Hlk135924597"/>
            <w:bookmarkEnd w:id="3"/>
            <w:r w:rsidRPr="00B20C9B">
              <w:rPr>
                <w:noProof/>
                <w:szCs w:val="22"/>
                <w:lang w:val="en-GB"/>
              </w:rPr>
              <w:drawing>
                <wp:anchor distT="0" distB="0" distL="114300" distR="114300" simplePos="0" relativeHeight="251660288" behindDoc="1" locked="0" layoutInCell="1" allowOverlap="1" wp14:anchorId="1C321657" wp14:editId="121071E5">
                  <wp:simplePos x="0" y="0"/>
                  <wp:positionH relativeFrom="column">
                    <wp:posOffset>1403350</wp:posOffset>
                  </wp:positionH>
                  <wp:positionV relativeFrom="paragraph">
                    <wp:posOffset>61595</wp:posOffset>
                  </wp:positionV>
                  <wp:extent cx="495300" cy="1041400"/>
                  <wp:effectExtent l="0" t="0" r="0" b="6350"/>
                  <wp:wrapTight wrapText="bothSides">
                    <wp:wrapPolygon edited="0">
                      <wp:start x="0" y="0"/>
                      <wp:lineTo x="0" y="21337"/>
                      <wp:lineTo x="20769" y="21337"/>
                      <wp:lineTo x="20769" y="0"/>
                      <wp:lineTo x="0" y="0"/>
                    </wp:wrapPolygon>
                  </wp:wrapTight>
                  <wp:docPr id="13" name="Billede 13" descr="Et billede, der indeholder skitse, tegning, kunst, sort-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Et billede, der indeholder skitse, tegning, kunst, sort-hvid&#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l="5978" t="4430" r="6506" b="4762"/>
                          <a:stretch>
                            <a:fillRect/>
                          </a:stretch>
                        </pic:blipFill>
                        <pic:spPr bwMode="auto">
                          <a:xfrm>
                            <a:off x="0" y="0"/>
                            <a:ext cx="495300" cy="1041400"/>
                          </a:xfrm>
                          <a:prstGeom prst="rect">
                            <a:avLst/>
                          </a:prstGeom>
                          <a:noFill/>
                        </pic:spPr>
                      </pic:pic>
                    </a:graphicData>
                  </a:graphic>
                  <wp14:sizeRelH relativeFrom="page">
                    <wp14:pctWidth>0</wp14:pctWidth>
                  </wp14:sizeRelH>
                  <wp14:sizeRelV relativeFrom="page">
                    <wp14:pctHeight>0</wp14:pctHeight>
                  </wp14:sizeRelV>
                </wp:anchor>
              </w:drawing>
            </w:r>
            <w:r w:rsidRPr="00B20C9B">
              <w:rPr>
                <w:szCs w:val="22"/>
              </w:rPr>
              <w:t xml:space="preserve">Åbn pakningen med det sterile overførselssæt ved at trække forseglingen helt af. </w:t>
            </w:r>
            <w:r w:rsidRPr="00B20C9B">
              <w:rPr>
                <w:szCs w:val="22"/>
                <w:lang w:val="en-GB"/>
              </w:rPr>
              <w:t xml:space="preserve">Lad </w:t>
            </w:r>
            <w:proofErr w:type="spellStart"/>
            <w:r w:rsidRPr="00B20C9B">
              <w:rPr>
                <w:szCs w:val="22"/>
                <w:lang w:val="en-GB"/>
              </w:rPr>
              <w:t>overførselssættet</w:t>
            </w:r>
            <w:proofErr w:type="spellEnd"/>
            <w:r w:rsidRPr="00B20C9B">
              <w:rPr>
                <w:szCs w:val="22"/>
                <w:lang w:val="en-GB"/>
              </w:rPr>
              <w:t xml:space="preserve"> </w:t>
            </w:r>
            <w:proofErr w:type="spellStart"/>
            <w:r w:rsidRPr="00B20C9B">
              <w:rPr>
                <w:szCs w:val="22"/>
                <w:lang w:val="en-GB"/>
              </w:rPr>
              <w:t>blive</w:t>
            </w:r>
            <w:proofErr w:type="spellEnd"/>
            <w:r w:rsidRPr="00B20C9B">
              <w:rPr>
                <w:szCs w:val="22"/>
                <w:lang w:val="en-GB"/>
              </w:rPr>
              <w:t xml:space="preserve"> i </w:t>
            </w:r>
            <w:proofErr w:type="spellStart"/>
            <w:r w:rsidRPr="00B20C9B">
              <w:rPr>
                <w:szCs w:val="22"/>
                <w:lang w:val="en-GB"/>
              </w:rPr>
              <w:t>pakningen</w:t>
            </w:r>
            <w:proofErr w:type="spellEnd"/>
            <w:r w:rsidRPr="00B20C9B">
              <w:rPr>
                <w:szCs w:val="22"/>
                <w:lang w:val="en-GB"/>
              </w:rPr>
              <w:t>.</w:t>
            </w:r>
          </w:p>
        </w:tc>
        <w:tc>
          <w:tcPr>
            <w:tcW w:w="3118" w:type="dxa"/>
            <w:tcBorders>
              <w:top w:val="single" w:sz="4" w:space="0" w:color="auto"/>
              <w:left w:val="single" w:sz="4" w:space="0" w:color="auto"/>
              <w:bottom w:val="single" w:sz="4" w:space="0" w:color="auto"/>
              <w:right w:val="single" w:sz="4" w:space="0" w:color="auto"/>
            </w:tcBorders>
            <w:hideMark/>
          </w:tcPr>
          <w:p w14:paraId="2E633204" w14:textId="07191F3C" w:rsidR="00B20C9B" w:rsidRPr="00B20C9B" w:rsidRDefault="00B20C9B" w:rsidP="00B20C9B">
            <w:pPr>
              <w:pStyle w:val="Listeafsnit"/>
              <w:numPr>
                <w:ilvl w:val="0"/>
                <w:numId w:val="7"/>
              </w:numPr>
              <w:rPr>
                <w:szCs w:val="22"/>
                <w:lang w:val="en-GB"/>
              </w:rPr>
            </w:pPr>
            <w:r w:rsidRPr="00B20C9B">
              <w:rPr>
                <w:noProof/>
                <w:szCs w:val="22"/>
                <w:lang w:val="en-GB"/>
              </w:rPr>
              <w:drawing>
                <wp:anchor distT="0" distB="0" distL="114300" distR="114300" simplePos="0" relativeHeight="251661312" behindDoc="1" locked="0" layoutInCell="1" allowOverlap="1" wp14:anchorId="488FD455" wp14:editId="7EC5D8BF">
                  <wp:simplePos x="0" y="0"/>
                  <wp:positionH relativeFrom="column">
                    <wp:posOffset>1290955</wp:posOffset>
                  </wp:positionH>
                  <wp:positionV relativeFrom="paragraph">
                    <wp:posOffset>13335</wp:posOffset>
                  </wp:positionV>
                  <wp:extent cx="537845" cy="1125855"/>
                  <wp:effectExtent l="0" t="0" r="0" b="0"/>
                  <wp:wrapTight wrapText="bothSides">
                    <wp:wrapPolygon edited="0">
                      <wp:start x="0" y="0"/>
                      <wp:lineTo x="0" y="21198"/>
                      <wp:lineTo x="20656" y="21198"/>
                      <wp:lineTo x="20656" y="0"/>
                      <wp:lineTo x="0" y="0"/>
                    </wp:wrapPolygon>
                  </wp:wrapTight>
                  <wp:docPr id="12" name="Billede 12" descr="Et billede, der indeholder skitse, tegning, design,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descr="Et billede, der indeholder skitse, tegning, design, kunst&#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r="4124" b="1810"/>
                          <a:stretch>
                            <a:fillRect/>
                          </a:stretch>
                        </pic:blipFill>
                        <pic:spPr bwMode="auto">
                          <a:xfrm>
                            <a:off x="0" y="0"/>
                            <a:ext cx="537845" cy="1125855"/>
                          </a:xfrm>
                          <a:prstGeom prst="rect">
                            <a:avLst/>
                          </a:prstGeom>
                          <a:noFill/>
                        </pic:spPr>
                      </pic:pic>
                    </a:graphicData>
                  </a:graphic>
                  <wp14:sizeRelH relativeFrom="page">
                    <wp14:pctWidth>0</wp14:pctWidth>
                  </wp14:sizeRelH>
                  <wp14:sizeRelV relativeFrom="page">
                    <wp14:pctHeight>0</wp14:pctHeight>
                  </wp14:sizeRelV>
                </wp:anchor>
              </w:drawing>
            </w:r>
            <w:r w:rsidRPr="00B20C9B">
              <w:rPr>
                <w:szCs w:val="22"/>
              </w:rPr>
              <w:t xml:space="preserve">Anbring hætteglasset med solvens stående på en plan overflade, og hold på det. Fjern ikke yderpakningen. Tryk den blå ende på overførselsadapteren lige ned, indtil spidsen gennemborer proppen og klikker. </w:t>
            </w:r>
            <w:proofErr w:type="spellStart"/>
            <w:r w:rsidRPr="00B20C9B">
              <w:rPr>
                <w:szCs w:val="22"/>
                <w:lang w:val="en-GB"/>
              </w:rPr>
              <w:t>Undgå</w:t>
            </w:r>
            <w:proofErr w:type="spellEnd"/>
            <w:r w:rsidRPr="00B20C9B">
              <w:rPr>
                <w:szCs w:val="22"/>
                <w:lang w:val="en-GB"/>
              </w:rPr>
              <w:t xml:space="preserve"> at </w:t>
            </w:r>
            <w:proofErr w:type="spellStart"/>
            <w:r w:rsidRPr="00B20C9B">
              <w:rPr>
                <w:szCs w:val="22"/>
                <w:lang w:val="en-GB"/>
              </w:rPr>
              <w:t>rotere</w:t>
            </w:r>
            <w:proofErr w:type="spellEnd"/>
            <w:r w:rsidRPr="00B20C9B">
              <w:rPr>
                <w:szCs w:val="22"/>
                <w:lang w:val="en-GB"/>
              </w:rPr>
              <w:t>.</w:t>
            </w:r>
          </w:p>
        </w:tc>
        <w:tc>
          <w:tcPr>
            <w:tcW w:w="3119" w:type="dxa"/>
            <w:tcBorders>
              <w:top w:val="single" w:sz="4" w:space="0" w:color="auto"/>
              <w:left w:val="single" w:sz="4" w:space="0" w:color="auto"/>
              <w:bottom w:val="single" w:sz="4" w:space="0" w:color="auto"/>
              <w:right w:val="single" w:sz="4" w:space="0" w:color="auto"/>
            </w:tcBorders>
            <w:hideMark/>
          </w:tcPr>
          <w:p w14:paraId="2E828A69" w14:textId="373E580A" w:rsidR="00B20C9B" w:rsidRPr="00B20C9B" w:rsidRDefault="00B20C9B" w:rsidP="00B20C9B">
            <w:pPr>
              <w:pStyle w:val="Listeafsnit"/>
              <w:numPr>
                <w:ilvl w:val="0"/>
                <w:numId w:val="7"/>
              </w:numPr>
              <w:rPr>
                <w:szCs w:val="22"/>
              </w:rPr>
            </w:pPr>
            <w:r w:rsidRPr="00B20C9B">
              <w:rPr>
                <w:noProof/>
                <w:szCs w:val="22"/>
                <w:lang w:val="en-GB"/>
              </w:rPr>
              <w:drawing>
                <wp:anchor distT="0" distB="0" distL="114300" distR="114300" simplePos="0" relativeHeight="251662336" behindDoc="0" locked="0" layoutInCell="1" allowOverlap="1" wp14:anchorId="50D19AB8" wp14:editId="3486ECFC">
                  <wp:simplePos x="0" y="0"/>
                  <wp:positionH relativeFrom="column">
                    <wp:posOffset>1284605</wp:posOffset>
                  </wp:positionH>
                  <wp:positionV relativeFrom="paragraph">
                    <wp:posOffset>20955</wp:posOffset>
                  </wp:positionV>
                  <wp:extent cx="521970" cy="1112520"/>
                  <wp:effectExtent l="0" t="0" r="0" b="0"/>
                  <wp:wrapSquare wrapText="bothSides"/>
                  <wp:docPr id="11" name="Billede 11" descr="Et billede, der indeholder skitse, illustration/afbildning, kunst, design&#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descr="Et billede, der indeholder skitse, illustration/afbildning, kunst, design&#10;&#10;Automatisk genereret beskrivelse med mellem tillid"/>
                          <pic:cNvPicPr>
                            <a:picLocks noChangeAspect="1" noChangeArrowheads="1"/>
                          </pic:cNvPicPr>
                        </pic:nvPicPr>
                        <pic:blipFill>
                          <a:blip r:embed="rId11">
                            <a:extLst>
                              <a:ext uri="{28A0092B-C50C-407E-A947-70E740481C1C}">
                                <a14:useLocalDpi xmlns:a14="http://schemas.microsoft.com/office/drawing/2010/main" val="0"/>
                              </a:ext>
                            </a:extLst>
                          </a:blip>
                          <a:srcRect l="4143" t="1810" r="3711" b="1836"/>
                          <a:stretch>
                            <a:fillRect/>
                          </a:stretch>
                        </pic:blipFill>
                        <pic:spPr bwMode="auto">
                          <a:xfrm>
                            <a:off x="0" y="0"/>
                            <a:ext cx="521970" cy="1112520"/>
                          </a:xfrm>
                          <a:prstGeom prst="rect">
                            <a:avLst/>
                          </a:prstGeom>
                          <a:noFill/>
                        </pic:spPr>
                      </pic:pic>
                    </a:graphicData>
                  </a:graphic>
                  <wp14:sizeRelH relativeFrom="margin">
                    <wp14:pctWidth>0</wp14:pctWidth>
                  </wp14:sizeRelH>
                  <wp14:sizeRelV relativeFrom="margin">
                    <wp14:pctHeight>0</wp14:pctHeight>
                  </wp14:sizeRelV>
                </wp:anchor>
              </w:drawing>
            </w:r>
            <w:r w:rsidRPr="00B20C9B">
              <w:rPr>
                <w:szCs w:val="22"/>
              </w:rPr>
              <w:t>Fjern den klare yderpakning fra overførsels-adapteren, og bortskaf den.</w:t>
            </w:r>
          </w:p>
        </w:tc>
      </w:tr>
      <w:tr w:rsidR="00B20C9B" w:rsidRPr="00B20C9B" w14:paraId="071ACB05" w14:textId="77777777" w:rsidTr="00B20C9B">
        <w:tc>
          <w:tcPr>
            <w:tcW w:w="3261" w:type="dxa"/>
            <w:tcBorders>
              <w:top w:val="single" w:sz="4" w:space="0" w:color="auto"/>
              <w:left w:val="single" w:sz="4" w:space="0" w:color="auto"/>
              <w:bottom w:val="single" w:sz="4" w:space="0" w:color="auto"/>
              <w:right w:val="single" w:sz="4" w:space="0" w:color="auto"/>
            </w:tcBorders>
            <w:hideMark/>
          </w:tcPr>
          <w:p w14:paraId="0D272F51" w14:textId="4D74F9F4" w:rsidR="00B20C9B" w:rsidRPr="00B20C9B" w:rsidRDefault="00B20C9B" w:rsidP="00B20C9B">
            <w:pPr>
              <w:pStyle w:val="Listeafsnit"/>
              <w:numPr>
                <w:ilvl w:val="0"/>
                <w:numId w:val="7"/>
              </w:numPr>
              <w:rPr>
                <w:szCs w:val="22"/>
              </w:rPr>
            </w:pPr>
            <w:r w:rsidRPr="00B20C9B">
              <w:rPr>
                <w:noProof/>
                <w:szCs w:val="22"/>
                <w:lang w:val="en-GB"/>
              </w:rPr>
              <w:drawing>
                <wp:anchor distT="0" distB="0" distL="114300" distR="114300" simplePos="0" relativeHeight="251663360" behindDoc="1" locked="0" layoutInCell="1" allowOverlap="1" wp14:anchorId="14295685" wp14:editId="2F543B55">
                  <wp:simplePos x="0" y="0"/>
                  <wp:positionH relativeFrom="column">
                    <wp:posOffset>1410335</wp:posOffset>
                  </wp:positionH>
                  <wp:positionV relativeFrom="paragraph">
                    <wp:posOffset>23495</wp:posOffset>
                  </wp:positionV>
                  <wp:extent cx="506095" cy="1073150"/>
                  <wp:effectExtent l="0" t="0" r="8255" b="0"/>
                  <wp:wrapTight wrapText="bothSides">
                    <wp:wrapPolygon edited="0">
                      <wp:start x="0" y="0"/>
                      <wp:lineTo x="0" y="21089"/>
                      <wp:lineTo x="21139" y="21089"/>
                      <wp:lineTo x="21139" y="0"/>
                      <wp:lineTo x="0" y="0"/>
                    </wp:wrapPolygon>
                  </wp:wrapTight>
                  <wp:docPr id="10" name="Billede 10" descr="Et billede, der indeholder skitse, tegning, diagram,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Et billede, der indeholder skitse, tegning, diagram, design&#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l="4332" t="1880" r="2316" b="1604"/>
                          <a:stretch>
                            <a:fillRect/>
                          </a:stretch>
                        </pic:blipFill>
                        <pic:spPr bwMode="auto">
                          <a:xfrm>
                            <a:off x="0" y="0"/>
                            <a:ext cx="506095" cy="1073150"/>
                          </a:xfrm>
                          <a:prstGeom prst="rect">
                            <a:avLst/>
                          </a:prstGeom>
                          <a:noFill/>
                        </pic:spPr>
                      </pic:pic>
                    </a:graphicData>
                  </a:graphic>
                  <wp14:sizeRelH relativeFrom="margin">
                    <wp14:pctWidth>0</wp14:pctWidth>
                  </wp14:sizeRelH>
                  <wp14:sizeRelV relativeFrom="margin">
                    <wp14:pctHeight>0</wp14:pctHeight>
                  </wp14:sizeRelV>
                </wp:anchor>
              </w:drawing>
            </w:r>
            <w:r w:rsidRPr="00B20C9B">
              <w:rPr>
                <w:szCs w:val="22"/>
              </w:rPr>
              <w:t xml:space="preserve">Anbring hætteglasset med </w:t>
            </w:r>
            <w:proofErr w:type="spellStart"/>
            <w:r w:rsidRPr="00B20C9B">
              <w:rPr>
                <w:szCs w:val="22"/>
              </w:rPr>
              <w:t>Prolastina</w:t>
            </w:r>
            <w:proofErr w:type="spellEnd"/>
            <w:r w:rsidRPr="00B20C9B">
              <w:rPr>
                <w:szCs w:val="22"/>
              </w:rPr>
              <w:t xml:space="preserve"> pulver stående på overfladen. Vend enheden, der består af adapteren og hætteglasset med solvens, på hovedet (180°). Tryk den klare/hvide ende af adapteren lige ned over hætteglasset med pulver – uden at rotere – indtil spidsen gennemborer proppen og klikker.</w:t>
            </w:r>
          </w:p>
        </w:tc>
        <w:tc>
          <w:tcPr>
            <w:tcW w:w="3118" w:type="dxa"/>
            <w:tcBorders>
              <w:top w:val="single" w:sz="4" w:space="0" w:color="auto"/>
              <w:left w:val="single" w:sz="4" w:space="0" w:color="auto"/>
              <w:bottom w:val="single" w:sz="4" w:space="0" w:color="auto"/>
              <w:right w:val="single" w:sz="4" w:space="0" w:color="auto"/>
            </w:tcBorders>
            <w:hideMark/>
          </w:tcPr>
          <w:p w14:paraId="334EF2F8" w14:textId="12E98354" w:rsidR="00B20C9B" w:rsidRPr="00B20C9B" w:rsidRDefault="00B20C9B" w:rsidP="00B20C9B">
            <w:pPr>
              <w:pStyle w:val="Listeafsnit"/>
              <w:numPr>
                <w:ilvl w:val="0"/>
                <w:numId w:val="7"/>
              </w:numPr>
              <w:rPr>
                <w:szCs w:val="22"/>
              </w:rPr>
            </w:pPr>
            <w:r w:rsidRPr="00B20C9B">
              <w:rPr>
                <w:noProof/>
                <w:szCs w:val="22"/>
                <w:lang w:val="en-GB"/>
              </w:rPr>
              <w:drawing>
                <wp:anchor distT="0" distB="0" distL="114300" distR="114300" simplePos="0" relativeHeight="251664384" behindDoc="1" locked="0" layoutInCell="1" allowOverlap="1" wp14:anchorId="10E8DF59" wp14:editId="018CD58F">
                  <wp:simplePos x="0" y="0"/>
                  <wp:positionH relativeFrom="column">
                    <wp:posOffset>1313815</wp:posOffset>
                  </wp:positionH>
                  <wp:positionV relativeFrom="paragraph">
                    <wp:posOffset>23495</wp:posOffset>
                  </wp:positionV>
                  <wp:extent cx="501015" cy="1072515"/>
                  <wp:effectExtent l="0" t="0" r="0" b="0"/>
                  <wp:wrapTight wrapText="bothSides">
                    <wp:wrapPolygon edited="0">
                      <wp:start x="0" y="0"/>
                      <wp:lineTo x="0" y="21101"/>
                      <wp:lineTo x="20532" y="21101"/>
                      <wp:lineTo x="20532" y="0"/>
                      <wp:lineTo x="0" y="0"/>
                    </wp:wrapPolygon>
                  </wp:wrapTight>
                  <wp:docPr id="9" name="Billede 9" descr="Et billede, der indeholder skitse, tegning, design,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descr="Et billede, der indeholder skitse, tegning, design, illustration/afbildning&#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l="5214" t="1880" r="3697" b="1660"/>
                          <a:stretch>
                            <a:fillRect/>
                          </a:stretch>
                        </pic:blipFill>
                        <pic:spPr bwMode="auto">
                          <a:xfrm>
                            <a:off x="0" y="0"/>
                            <a:ext cx="501015" cy="1072515"/>
                          </a:xfrm>
                          <a:prstGeom prst="rect">
                            <a:avLst/>
                          </a:prstGeom>
                          <a:noFill/>
                        </pic:spPr>
                      </pic:pic>
                    </a:graphicData>
                  </a:graphic>
                  <wp14:sizeRelH relativeFrom="margin">
                    <wp14:pctWidth>0</wp14:pctWidth>
                  </wp14:sizeRelH>
                  <wp14:sizeRelV relativeFrom="margin">
                    <wp14:pctHeight>0</wp14:pctHeight>
                  </wp14:sizeRelV>
                </wp:anchor>
              </w:drawing>
            </w:r>
            <w:r w:rsidRPr="00B20C9B">
              <w:rPr>
                <w:szCs w:val="22"/>
              </w:rPr>
              <w:t>På grund af vakuummet i hætteglasset med pulver vil overførslen af solvensen starte automatisk. Vent indtil al solvensen er overført. Fjern adapteren med det tilsluttede hætteglas med solvens i en vinkel på ca. 45°.</w:t>
            </w:r>
          </w:p>
        </w:tc>
        <w:tc>
          <w:tcPr>
            <w:tcW w:w="3119" w:type="dxa"/>
            <w:tcBorders>
              <w:top w:val="single" w:sz="4" w:space="0" w:color="auto"/>
              <w:left w:val="single" w:sz="4" w:space="0" w:color="auto"/>
              <w:bottom w:val="single" w:sz="4" w:space="0" w:color="auto"/>
              <w:right w:val="single" w:sz="4" w:space="0" w:color="auto"/>
            </w:tcBorders>
            <w:hideMark/>
          </w:tcPr>
          <w:p w14:paraId="76CBE4F0" w14:textId="548E5432" w:rsidR="00B20C9B" w:rsidRPr="00B20C9B" w:rsidRDefault="00B20C9B" w:rsidP="00B20C9B">
            <w:pPr>
              <w:pStyle w:val="Listeafsnit"/>
              <w:numPr>
                <w:ilvl w:val="0"/>
                <w:numId w:val="7"/>
              </w:numPr>
              <w:rPr>
                <w:szCs w:val="22"/>
              </w:rPr>
            </w:pPr>
            <w:r w:rsidRPr="00B20C9B">
              <w:rPr>
                <w:noProof/>
                <w:szCs w:val="22"/>
                <w:lang w:val="en-GB"/>
              </w:rPr>
              <w:drawing>
                <wp:anchor distT="0" distB="0" distL="114300" distR="114300" simplePos="0" relativeHeight="251665408" behindDoc="1" locked="0" layoutInCell="1" allowOverlap="1" wp14:anchorId="50CD0131" wp14:editId="185A201A">
                  <wp:simplePos x="0" y="0"/>
                  <wp:positionH relativeFrom="column">
                    <wp:posOffset>1310640</wp:posOffset>
                  </wp:positionH>
                  <wp:positionV relativeFrom="paragraph">
                    <wp:posOffset>34290</wp:posOffset>
                  </wp:positionV>
                  <wp:extent cx="495300" cy="1054735"/>
                  <wp:effectExtent l="0" t="0" r="0" b="0"/>
                  <wp:wrapTight wrapText="bothSides">
                    <wp:wrapPolygon edited="0">
                      <wp:start x="0" y="0"/>
                      <wp:lineTo x="0" y="21067"/>
                      <wp:lineTo x="20769" y="21067"/>
                      <wp:lineTo x="20769" y="0"/>
                      <wp:lineTo x="0" y="0"/>
                    </wp:wrapPolygon>
                  </wp:wrapTight>
                  <wp:docPr id="8" name="Billede 8" descr="Et billede, der indeholder skitse, køkkenudstyr,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Et billede, der indeholder skitse, køkkenudstyr, illustration/afbildning&#10;&#10;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l="4778" t="2818" r="4436" b="2309"/>
                          <a:stretch>
                            <a:fillRect/>
                          </a:stretch>
                        </pic:blipFill>
                        <pic:spPr bwMode="auto">
                          <a:xfrm>
                            <a:off x="0" y="0"/>
                            <a:ext cx="495300" cy="1054735"/>
                          </a:xfrm>
                          <a:prstGeom prst="rect">
                            <a:avLst/>
                          </a:prstGeom>
                          <a:noFill/>
                        </pic:spPr>
                      </pic:pic>
                    </a:graphicData>
                  </a:graphic>
                  <wp14:sizeRelH relativeFrom="margin">
                    <wp14:pctWidth>0</wp14:pctWidth>
                  </wp14:sizeRelH>
                  <wp14:sizeRelV relativeFrom="margin">
                    <wp14:pctHeight>0</wp14:pctHeight>
                  </wp14:sizeRelV>
                </wp:anchor>
              </w:drawing>
            </w:r>
            <w:r w:rsidRPr="00B20C9B">
              <w:rPr>
                <w:szCs w:val="22"/>
              </w:rPr>
              <w:t xml:space="preserve">Drej forsigtigt hætteglasset med </w:t>
            </w:r>
            <w:proofErr w:type="spellStart"/>
            <w:r w:rsidRPr="00B20C9B">
              <w:rPr>
                <w:szCs w:val="22"/>
              </w:rPr>
              <w:t>Prolastina</w:t>
            </w:r>
            <w:proofErr w:type="spellEnd"/>
            <w:r w:rsidRPr="00B20C9B">
              <w:rPr>
                <w:szCs w:val="22"/>
              </w:rPr>
              <w:t xml:space="preserve"> rundt, indtil pulveret er helt opløst. For at undgå skumdannelse må hætteglasset ikke rystes. Rør ikke ved proppen. Fortsæt med administration af præparatet ved brug af aseptisk teknik.</w:t>
            </w:r>
          </w:p>
        </w:tc>
      </w:tr>
    </w:tbl>
    <w:p w14:paraId="29EB2DCC" w14:textId="77777777" w:rsidR="00B20C9B" w:rsidRPr="00B20C9B" w:rsidRDefault="00B20C9B" w:rsidP="00B20C9B">
      <w:pPr>
        <w:numPr>
          <w:ilvl w:val="0"/>
          <w:numId w:val="7"/>
        </w:numPr>
        <w:tabs>
          <w:tab w:val="clear" w:pos="360"/>
        </w:tabs>
        <w:ind w:left="1276" w:hanging="425"/>
        <w:rPr>
          <w:sz w:val="24"/>
          <w:szCs w:val="24"/>
        </w:rPr>
      </w:pPr>
      <w:bookmarkStart w:id="5" w:name="_Hlk135925218"/>
      <w:bookmarkEnd w:id="4"/>
      <w:r w:rsidRPr="00B20C9B">
        <w:rPr>
          <w:sz w:val="24"/>
          <w:szCs w:val="24"/>
        </w:rPr>
        <w:t>Hvis der er behov for mere end ét hætteglas med præparat for at opnå den nødvendige dosis, gentages trinene ovenfor med en ny pakning, der indeholder en ny overførselsadapter. Adapteren må ikke genbruges.</w:t>
      </w:r>
      <w:bookmarkEnd w:id="5"/>
    </w:p>
    <w:p w14:paraId="6B2165A0" w14:textId="77777777" w:rsidR="00E1759F" w:rsidRPr="005B0A53" w:rsidRDefault="00E1759F" w:rsidP="00167A8D">
      <w:pPr>
        <w:ind w:left="851"/>
        <w:rPr>
          <w:sz w:val="24"/>
          <w:szCs w:val="24"/>
        </w:rPr>
      </w:pPr>
    </w:p>
    <w:p w14:paraId="7B449C1D" w14:textId="77777777" w:rsidR="00E1759F" w:rsidRPr="005B0A53" w:rsidRDefault="00E1759F" w:rsidP="00167A8D">
      <w:pPr>
        <w:ind w:left="851"/>
        <w:rPr>
          <w:sz w:val="24"/>
          <w:szCs w:val="24"/>
        </w:rPr>
      </w:pPr>
      <w:bookmarkStart w:id="6" w:name="_Hlk41841341"/>
      <w:r w:rsidRPr="005B0A53">
        <w:rPr>
          <w:sz w:val="24"/>
          <w:szCs w:val="24"/>
        </w:rPr>
        <w:t xml:space="preserve">Opløsningen må kun anvendes, hvis den er klar til let opaliserende, farveløs, svagt grøn, svagt gul eller svagt brun og fri for synlige partikler. Den </w:t>
      </w:r>
      <w:proofErr w:type="spellStart"/>
      <w:r w:rsidRPr="005B0A53">
        <w:rPr>
          <w:sz w:val="24"/>
          <w:szCs w:val="24"/>
        </w:rPr>
        <w:t>rekonstituerede</w:t>
      </w:r>
      <w:proofErr w:type="spellEnd"/>
      <w:r w:rsidRPr="005B0A53">
        <w:rPr>
          <w:sz w:val="24"/>
          <w:szCs w:val="24"/>
        </w:rPr>
        <w:t xml:space="preserve"> opløsning skal altid anvendes senest 3 timer efter den er fremstillet. </w:t>
      </w:r>
      <w:bookmarkStart w:id="7" w:name="_Hlk39655540"/>
      <w:r w:rsidRPr="005B0A53">
        <w:rPr>
          <w:sz w:val="24"/>
          <w:szCs w:val="24"/>
        </w:rPr>
        <w:t>Ikke anvendt lægemiddel samt affald heraf skal bortskaffes i henhold til lokale retningslinjer.</w:t>
      </w:r>
      <w:bookmarkEnd w:id="7"/>
    </w:p>
    <w:bookmarkEnd w:id="6"/>
    <w:p w14:paraId="7C44AE4C" w14:textId="77777777" w:rsidR="009260DE" w:rsidRPr="005B0A53" w:rsidRDefault="009260DE" w:rsidP="000730CA">
      <w:pPr>
        <w:tabs>
          <w:tab w:val="left" w:pos="851"/>
        </w:tabs>
        <w:ind w:left="851"/>
        <w:rPr>
          <w:sz w:val="24"/>
          <w:szCs w:val="24"/>
        </w:rPr>
      </w:pPr>
    </w:p>
    <w:p w14:paraId="71DF8787" w14:textId="77777777" w:rsidR="009260DE" w:rsidRPr="005B0A53" w:rsidRDefault="009260DE" w:rsidP="009260DE">
      <w:pPr>
        <w:tabs>
          <w:tab w:val="left" w:pos="851"/>
        </w:tabs>
        <w:ind w:left="851" w:hanging="851"/>
        <w:rPr>
          <w:b/>
          <w:sz w:val="24"/>
          <w:szCs w:val="24"/>
        </w:rPr>
      </w:pPr>
      <w:r w:rsidRPr="005B0A53">
        <w:rPr>
          <w:b/>
          <w:sz w:val="24"/>
          <w:szCs w:val="24"/>
        </w:rPr>
        <w:t>7.</w:t>
      </w:r>
      <w:r w:rsidRPr="005B0A53">
        <w:rPr>
          <w:b/>
          <w:sz w:val="24"/>
          <w:szCs w:val="24"/>
        </w:rPr>
        <w:tab/>
        <w:t>INDEHAVER AF MARKEDSFØRINGSTILLADELSEN</w:t>
      </w:r>
    </w:p>
    <w:p w14:paraId="3043A4CE" w14:textId="77777777" w:rsidR="00E1759F" w:rsidRPr="005B0A53" w:rsidRDefault="00E1759F" w:rsidP="00167A8D">
      <w:pPr>
        <w:ind w:left="851"/>
        <w:rPr>
          <w:sz w:val="24"/>
          <w:szCs w:val="24"/>
        </w:rPr>
      </w:pPr>
      <w:r w:rsidRPr="005B0A53">
        <w:rPr>
          <w:sz w:val="24"/>
          <w:szCs w:val="24"/>
        </w:rPr>
        <w:t>Grifols Deutschland GmbH</w:t>
      </w:r>
    </w:p>
    <w:p w14:paraId="2E1652F8" w14:textId="77777777" w:rsidR="00E1759F" w:rsidRPr="005B0A53" w:rsidRDefault="00E1759F" w:rsidP="00167A8D">
      <w:pPr>
        <w:ind w:left="851"/>
        <w:rPr>
          <w:sz w:val="24"/>
          <w:szCs w:val="24"/>
        </w:rPr>
      </w:pPr>
      <w:proofErr w:type="spellStart"/>
      <w:r w:rsidRPr="005B0A53">
        <w:rPr>
          <w:sz w:val="24"/>
          <w:szCs w:val="24"/>
        </w:rPr>
        <w:t>Colmarer</w:t>
      </w:r>
      <w:proofErr w:type="spellEnd"/>
      <w:r w:rsidRPr="005B0A53">
        <w:rPr>
          <w:sz w:val="24"/>
          <w:szCs w:val="24"/>
        </w:rPr>
        <w:t xml:space="preserve"> </w:t>
      </w:r>
      <w:proofErr w:type="spellStart"/>
      <w:r w:rsidRPr="005B0A53">
        <w:rPr>
          <w:sz w:val="24"/>
          <w:szCs w:val="24"/>
        </w:rPr>
        <w:t>Straße</w:t>
      </w:r>
      <w:proofErr w:type="spellEnd"/>
      <w:r w:rsidRPr="005B0A53">
        <w:rPr>
          <w:sz w:val="24"/>
          <w:szCs w:val="24"/>
        </w:rPr>
        <w:t xml:space="preserve"> 22</w:t>
      </w:r>
    </w:p>
    <w:p w14:paraId="2979CFA8" w14:textId="77777777" w:rsidR="00E1759F" w:rsidRPr="005B0A53" w:rsidRDefault="00E1759F" w:rsidP="00167A8D">
      <w:pPr>
        <w:ind w:left="851"/>
        <w:rPr>
          <w:sz w:val="24"/>
          <w:szCs w:val="24"/>
        </w:rPr>
      </w:pPr>
      <w:r w:rsidRPr="005B0A53">
        <w:rPr>
          <w:sz w:val="24"/>
          <w:szCs w:val="24"/>
        </w:rPr>
        <w:t>60528 Frankfurt</w:t>
      </w:r>
    </w:p>
    <w:p w14:paraId="41203886" w14:textId="77777777" w:rsidR="00E1759F" w:rsidRPr="005B0A53" w:rsidRDefault="00E1759F" w:rsidP="00167A8D">
      <w:pPr>
        <w:ind w:left="851"/>
        <w:rPr>
          <w:sz w:val="24"/>
          <w:szCs w:val="24"/>
        </w:rPr>
      </w:pPr>
      <w:r w:rsidRPr="005B0A53">
        <w:rPr>
          <w:sz w:val="24"/>
          <w:szCs w:val="24"/>
        </w:rPr>
        <w:t>Tyskland</w:t>
      </w:r>
    </w:p>
    <w:p w14:paraId="0C253404" w14:textId="77777777" w:rsidR="00E1759F" w:rsidRPr="005B0A53" w:rsidRDefault="00E1759F" w:rsidP="00167A8D">
      <w:pPr>
        <w:ind w:left="851"/>
        <w:rPr>
          <w:sz w:val="24"/>
          <w:szCs w:val="24"/>
        </w:rPr>
      </w:pPr>
    </w:p>
    <w:p w14:paraId="0A492DEF" w14:textId="77777777" w:rsidR="00E1759F" w:rsidRPr="005B0A53" w:rsidRDefault="00E1759F" w:rsidP="00167A8D">
      <w:pPr>
        <w:ind w:left="851"/>
        <w:rPr>
          <w:b/>
          <w:bCs/>
          <w:sz w:val="24"/>
          <w:szCs w:val="24"/>
        </w:rPr>
      </w:pPr>
      <w:r w:rsidRPr="005B0A53">
        <w:rPr>
          <w:b/>
          <w:bCs/>
          <w:sz w:val="24"/>
          <w:szCs w:val="24"/>
        </w:rPr>
        <w:t>Repræsentant</w:t>
      </w:r>
    </w:p>
    <w:p w14:paraId="3473F14F" w14:textId="77777777" w:rsidR="00E1759F" w:rsidRPr="005B0A53" w:rsidRDefault="00E1759F" w:rsidP="00167A8D">
      <w:pPr>
        <w:ind w:left="851"/>
        <w:rPr>
          <w:sz w:val="24"/>
          <w:szCs w:val="24"/>
        </w:rPr>
      </w:pPr>
      <w:r w:rsidRPr="005B0A53">
        <w:rPr>
          <w:sz w:val="24"/>
          <w:szCs w:val="24"/>
        </w:rPr>
        <w:t>Grifols Nordic AB</w:t>
      </w:r>
    </w:p>
    <w:p w14:paraId="5EFD221D" w14:textId="77777777" w:rsidR="00E1759F" w:rsidRPr="005B0A53" w:rsidRDefault="00E1759F" w:rsidP="00167A8D">
      <w:pPr>
        <w:ind w:left="851"/>
        <w:rPr>
          <w:sz w:val="24"/>
          <w:szCs w:val="24"/>
        </w:rPr>
      </w:pPr>
      <w:proofErr w:type="spellStart"/>
      <w:r w:rsidRPr="005B0A53">
        <w:rPr>
          <w:sz w:val="24"/>
          <w:szCs w:val="24"/>
        </w:rPr>
        <w:t>Sveavägen</w:t>
      </w:r>
      <w:proofErr w:type="spellEnd"/>
      <w:r w:rsidRPr="005B0A53">
        <w:rPr>
          <w:sz w:val="24"/>
          <w:szCs w:val="24"/>
        </w:rPr>
        <w:t xml:space="preserve"> 166</w:t>
      </w:r>
    </w:p>
    <w:p w14:paraId="30129824" w14:textId="77777777" w:rsidR="00E1759F" w:rsidRPr="005B0A53" w:rsidRDefault="00E1759F" w:rsidP="00167A8D">
      <w:pPr>
        <w:ind w:left="851"/>
        <w:rPr>
          <w:sz w:val="24"/>
          <w:szCs w:val="24"/>
        </w:rPr>
      </w:pPr>
      <w:r w:rsidRPr="005B0A53">
        <w:rPr>
          <w:sz w:val="24"/>
          <w:szCs w:val="24"/>
        </w:rPr>
        <w:t>133 46 Stockholm</w:t>
      </w:r>
    </w:p>
    <w:p w14:paraId="54635C3E" w14:textId="77777777" w:rsidR="00E1759F" w:rsidRPr="005B0A53" w:rsidRDefault="00E1759F" w:rsidP="00167A8D">
      <w:pPr>
        <w:ind w:left="851"/>
        <w:rPr>
          <w:sz w:val="24"/>
          <w:szCs w:val="24"/>
        </w:rPr>
      </w:pPr>
      <w:r w:rsidRPr="005B0A53">
        <w:rPr>
          <w:sz w:val="24"/>
          <w:szCs w:val="24"/>
        </w:rPr>
        <w:t>Sverige</w:t>
      </w:r>
    </w:p>
    <w:p w14:paraId="62277CF7" w14:textId="56228FA6" w:rsidR="009B63C0" w:rsidRDefault="009B63C0">
      <w:pPr>
        <w:rPr>
          <w:sz w:val="24"/>
          <w:szCs w:val="24"/>
        </w:rPr>
      </w:pPr>
      <w:r>
        <w:rPr>
          <w:sz w:val="24"/>
          <w:szCs w:val="24"/>
        </w:rPr>
        <w:br w:type="page"/>
      </w:r>
    </w:p>
    <w:p w14:paraId="06EDAD13" w14:textId="77777777" w:rsidR="00641C65" w:rsidRPr="005B0A53" w:rsidRDefault="00641C65" w:rsidP="009260DE">
      <w:pPr>
        <w:tabs>
          <w:tab w:val="left" w:pos="851"/>
        </w:tabs>
        <w:ind w:left="851"/>
        <w:rPr>
          <w:sz w:val="24"/>
          <w:szCs w:val="24"/>
        </w:rPr>
      </w:pPr>
    </w:p>
    <w:p w14:paraId="1FF20226" w14:textId="77777777" w:rsidR="009260DE" w:rsidRPr="005B0A53" w:rsidRDefault="009260DE" w:rsidP="009260DE">
      <w:pPr>
        <w:tabs>
          <w:tab w:val="left" w:pos="851"/>
        </w:tabs>
        <w:ind w:left="851" w:hanging="851"/>
        <w:rPr>
          <w:b/>
          <w:sz w:val="24"/>
          <w:szCs w:val="24"/>
        </w:rPr>
      </w:pPr>
      <w:r w:rsidRPr="005B0A53">
        <w:rPr>
          <w:b/>
          <w:sz w:val="24"/>
          <w:szCs w:val="24"/>
        </w:rPr>
        <w:t>8.</w:t>
      </w:r>
      <w:r w:rsidRPr="005B0A53">
        <w:rPr>
          <w:b/>
          <w:sz w:val="24"/>
          <w:szCs w:val="24"/>
        </w:rPr>
        <w:tab/>
        <w:t>MARKEDSFØRINGSTILLADELSESNUMMER (</w:t>
      </w:r>
      <w:r w:rsidR="00BF6243" w:rsidRPr="005B0A53">
        <w:rPr>
          <w:b/>
          <w:sz w:val="24"/>
          <w:szCs w:val="24"/>
        </w:rPr>
        <w:t>-</w:t>
      </w:r>
      <w:r w:rsidRPr="005B0A53">
        <w:rPr>
          <w:b/>
          <w:sz w:val="24"/>
          <w:szCs w:val="24"/>
        </w:rPr>
        <w:t>NUMRE)</w:t>
      </w:r>
    </w:p>
    <w:p w14:paraId="22492D4B" w14:textId="5D881C6B" w:rsidR="009260DE" w:rsidRPr="005B0A53" w:rsidRDefault="00E1759F" w:rsidP="009260DE">
      <w:pPr>
        <w:tabs>
          <w:tab w:val="left" w:pos="851"/>
        </w:tabs>
        <w:ind w:left="851"/>
        <w:rPr>
          <w:sz w:val="24"/>
          <w:szCs w:val="24"/>
        </w:rPr>
      </w:pPr>
      <w:r w:rsidRPr="005B0A53">
        <w:rPr>
          <w:sz w:val="24"/>
          <w:szCs w:val="24"/>
        </w:rPr>
        <w:t>4000 mg: 68917</w:t>
      </w:r>
    </w:p>
    <w:p w14:paraId="5863BBAF" w14:textId="61070699" w:rsidR="00E1759F" w:rsidRPr="005B0A53" w:rsidRDefault="00E1759F" w:rsidP="009260DE">
      <w:pPr>
        <w:tabs>
          <w:tab w:val="left" w:pos="851"/>
        </w:tabs>
        <w:ind w:left="851"/>
        <w:rPr>
          <w:sz w:val="24"/>
          <w:szCs w:val="24"/>
        </w:rPr>
      </w:pPr>
      <w:r w:rsidRPr="005B0A53">
        <w:rPr>
          <w:sz w:val="24"/>
          <w:szCs w:val="24"/>
        </w:rPr>
        <w:t>5000 mg: 68918</w:t>
      </w:r>
    </w:p>
    <w:p w14:paraId="6C5B66A4" w14:textId="77777777" w:rsidR="009260DE" w:rsidRPr="005B0A53" w:rsidRDefault="009260DE" w:rsidP="009260DE">
      <w:pPr>
        <w:tabs>
          <w:tab w:val="left" w:pos="851"/>
        </w:tabs>
        <w:ind w:left="851"/>
        <w:jc w:val="both"/>
        <w:rPr>
          <w:sz w:val="24"/>
          <w:szCs w:val="24"/>
        </w:rPr>
      </w:pPr>
    </w:p>
    <w:p w14:paraId="097D9DF6" w14:textId="77777777" w:rsidR="009260DE" w:rsidRPr="005B0A53" w:rsidRDefault="009260DE" w:rsidP="009260DE">
      <w:pPr>
        <w:tabs>
          <w:tab w:val="left" w:pos="851"/>
        </w:tabs>
        <w:ind w:left="851" w:hanging="851"/>
        <w:rPr>
          <w:b/>
          <w:sz w:val="24"/>
          <w:szCs w:val="24"/>
        </w:rPr>
      </w:pPr>
      <w:r w:rsidRPr="005B0A53">
        <w:rPr>
          <w:b/>
          <w:sz w:val="24"/>
          <w:szCs w:val="24"/>
        </w:rPr>
        <w:t>9.</w:t>
      </w:r>
      <w:r w:rsidRPr="005B0A53">
        <w:rPr>
          <w:b/>
          <w:sz w:val="24"/>
          <w:szCs w:val="24"/>
        </w:rPr>
        <w:tab/>
        <w:t>DATO FOR FØRSTE MARKEDSFØRINGSTILLADELSE</w:t>
      </w:r>
    </w:p>
    <w:p w14:paraId="36A93105" w14:textId="582DADC2" w:rsidR="00E1759F" w:rsidRPr="005B0A53" w:rsidRDefault="00E1759F" w:rsidP="00E1759F">
      <w:pPr>
        <w:ind w:left="851" w:hanging="851"/>
        <w:rPr>
          <w:sz w:val="24"/>
          <w:szCs w:val="24"/>
          <w:lang w:eastAsia="da-DK"/>
        </w:rPr>
      </w:pPr>
      <w:r w:rsidRPr="005B0A53">
        <w:rPr>
          <w:sz w:val="24"/>
          <w:szCs w:val="24"/>
        </w:rPr>
        <w:tab/>
        <w:t>16. maj 2006 (1000 mg)</w:t>
      </w:r>
    </w:p>
    <w:p w14:paraId="2E1A227C" w14:textId="77777777" w:rsidR="009260DE" w:rsidRPr="005B0A53" w:rsidRDefault="009260DE" w:rsidP="009260DE">
      <w:pPr>
        <w:tabs>
          <w:tab w:val="left" w:pos="851"/>
        </w:tabs>
        <w:ind w:left="851"/>
        <w:rPr>
          <w:sz w:val="24"/>
          <w:szCs w:val="24"/>
        </w:rPr>
      </w:pPr>
    </w:p>
    <w:p w14:paraId="3BA9AA2A" w14:textId="77777777" w:rsidR="009260DE" w:rsidRPr="005B0A53" w:rsidRDefault="009260DE" w:rsidP="009260DE">
      <w:pPr>
        <w:tabs>
          <w:tab w:val="left" w:pos="851"/>
        </w:tabs>
        <w:ind w:left="851" w:hanging="851"/>
        <w:rPr>
          <w:b/>
          <w:sz w:val="24"/>
          <w:szCs w:val="24"/>
        </w:rPr>
      </w:pPr>
      <w:r w:rsidRPr="005B0A53">
        <w:rPr>
          <w:b/>
          <w:sz w:val="24"/>
          <w:szCs w:val="24"/>
        </w:rPr>
        <w:t>10.</w:t>
      </w:r>
      <w:r w:rsidRPr="005B0A53">
        <w:rPr>
          <w:b/>
          <w:sz w:val="24"/>
          <w:szCs w:val="24"/>
        </w:rPr>
        <w:tab/>
        <w:t>DATO FOR ÆNDRING AF TEKSTEN</w:t>
      </w:r>
    </w:p>
    <w:p w14:paraId="76F1F328" w14:textId="3AC634E2" w:rsidR="009260DE" w:rsidRPr="005B0A53" w:rsidRDefault="00C16010" w:rsidP="009260DE">
      <w:pPr>
        <w:tabs>
          <w:tab w:val="left" w:pos="851"/>
        </w:tabs>
        <w:ind w:left="851"/>
        <w:rPr>
          <w:sz w:val="24"/>
          <w:szCs w:val="24"/>
        </w:rPr>
      </w:pPr>
      <w:r>
        <w:rPr>
          <w:sz w:val="24"/>
          <w:szCs w:val="24"/>
        </w:rPr>
        <w:t>-</w:t>
      </w:r>
      <w:bookmarkStart w:id="8" w:name="_GoBack"/>
      <w:bookmarkEnd w:id="8"/>
    </w:p>
    <w:sectPr w:rsidR="009260DE" w:rsidRPr="005B0A53"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D40A0" w14:textId="77777777" w:rsidR="008A37B7" w:rsidRDefault="008A37B7">
      <w:r>
        <w:separator/>
      </w:r>
    </w:p>
  </w:endnote>
  <w:endnote w:type="continuationSeparator" w:id="0">
    <w:p w14:paraId="40BDA8AE" w14:textId="77777777" w:rsidR="008A37B7" w:rsidRDefault="008A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5041" w14:textId="77777777" w:rsidR="000259B9" w:rsidRDefault="000259B9">
    <w:pPr>
      <w:pStyle w:val="Sidefod"/>
      <w:pBdr>
        <w:bottom w:val="single" w:sz="6" w:space="1" w:color="auto"/>
      </w:pBdr>
    </w:pPr>
  </w:p>
  <w:p w14:paraId="39F3CE44" w14:textId="77777777" w:rsidR="000259B9" w:rsidRDefault="000259B9" w:rsidP="00C42586">
    <w:pPr>
      <w:pStyle w:val="Sidefod"/>
      <w:tabs>
        <w:tab w:val="clear" w:pos="4819"/>
        <w:tab w:val="left" w:pos="8505"/>
      </w:tabs>
      <w:rPr>
        <w:i/>
        <w:sz w:val="18"/>
        <w:szCs w:val="18"/>
      </w:rPr>
    </w:pPr>
  </w:p>
  <w:p w14:paraId="593CDBE5" w14:textId="6ADB40B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91187">
      <w:rPr>
        <w:i/>
        <w:noProof/>
        <w:sz w:val="18"/>
        <w:szCs w:val="18"/>
      </w:rPr>
      <w:t>Prolastina, pulver og solvens til infusionsvæske, opløsning 4000 mg og 5000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AEE1" w14:textId="77777777" w:rsidR="008A37B7" w:rsidRDefault="008A37B7">
      <w:r>
        <w:separator/>
      </w:r>
    </w:p>
  </w:footnote>
  <w:footnote w:type="continuationSeparator" w:id="0">
    <w:p w14:paraId="008C899C" w14:textId="77777777" w:rsidR="008A37B7" w:rsidRDefault="008A3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2B5A"/>
    <w:multiLevelType w:val="hybridMultilevel"/>
    <w:tmpl w:val="7C543902"/>
    <w:lvl w:ilvl="0" w:tplc="A364CA9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B46498"/>
    <w:multiLevelType w:val="hybridMultilevel"/>
    <w:tmpl w:val="EC9497A2"/>
    <w:lvl w:ilvl="0" w:tplc="A364CA9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EE02488"/>
    <w:multiLevelType w:val="hybridMultilevel"/>
    <w:tmpl w:val="6CFEC47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C597F35"/>
    <w:multiLevelType w:val="hybridMultilevel"/>
    <w:tmpl w:val="5492D24A"/>
    <w:lvl w:ilvl="0" w:tplc="0406000F">
      <w:start w:val="1"/>
      <w:numFmt w:val="decimal"/>
      <w:lvlText w:val="%1."/>
      <w:lvlJc w:val="left"/>
      <w:pPr>
        <w:tabs>
          <w:tab w:val="num" w:pos="360"/>
        </w:tabs>
        <w:ind w:left="360" w:hanging="360"/>
      </w:pPr>
    </w:lvl>
    <w:lvl w:ilvl="1" w:tplc="04060019">
      <w:start w:val="1"/>
      <w:numFmt w:val="lowerLetter"/>
      <w:lvlText w:val="%2."/>
      <w:lvlJc w:val="left"/>
      <w:pPr>
        <w:tabs>
          <w:tab w:val="num" w:pos="1080"/>
        </w:tabs>
        <w:ind w:left="1080" w:hanging="360"/>
      </w:pPr>
    </w:lvl>
    <w:lvl w:ilvl="2" w:tplc="0406001B">
      <w:start w:val="1"/>
      <w:numFmt w:val="lowerRoman"/>
      <w:lvlText w:val="%3."/>
      <w:lvlJc w:val="right"/>
      <w:pPr>
        <w:tabs>
          <w:tab w:val="num" w:pos="1800"/>
        </w:tabs>
        <w:ind w:left="1800" w:hanging="180"/>
      </w:pPr>
    </w:lvl>
    <w:lvl w:ilvl="3" w:tplc="0406000F">
      <w:start w:val="1"/>
      <w:numFmt w:val="decimal"/>
      <w:lvlText w:val="%4."/>
      <w:lvlJc w:val="left"/>
      <w:pPr>
        <w:tabs>
          <w:tab w:val="num" w:pos="2520"/>
        </w:tabs>
        <w:ind w:left="2520" w:hanging="360"/>
      </w:pPr>
    </w:lvl>
    <w:lvl w:ilvl="4" w:tplc="04060019">
      <w:start w:val="1"/>
      <w:numFmt w:val="lowerLetter"/>
      <w:lvlText w:val="%5."/>
      <w:lvlJc w:val="left"/>
      <w:pPr>
        <w:tabs>
          <w:tab w:val="num" w:pos="3240"/>
        </w:tabs>
        <w:ind w:left="3240" w:hanging="360"/>
      </w:pPr>
    </w:lvl>
    <w:lvl w:ilvl="5" w:tplc="0406001B">
      <w:start w:val="1"/>
      <w:numFmt w:val="lowerRoman"/>
      <w:lvlText w:val="%6."/>
      <w:lvlJc w:val="right"/>
      <w:pPr>
        <w:tabs>
          <w:tab w:val="num" w:pos="3960"/>
        </w:tabs>
        <w:ind w:left="3960" w:hanging="180"/>
      </w:pPr>
    </w:lvl>
    <w:lvl w:ilvl="6" w:tplc="0406000F">
      <w:start w:val="1"/>
      <w:numFmt w:val="decimal"/>
      <w:lvlText w:val="%7."/>
      <w:lvlJc w:val="left"/>
      <w:pPr>
        <w:tabs>
          <w:tab w:val="num" w:pos="4680"/>
        </w:tabs>
        <w:ind w:left="4680" w:hanging="360"/>
      </w:pPr>
    </w:lvl>
    <w:lvl w:ilvl="7" w:tplc="04060019">
      <w:start w:val="1"/>
      <w:numFmt w:val="lowerLetter"/>
      <w:lvlText w:val="%8."/>
      <w:lvlJc w:val="left"/>
      <w:pPr>
        <w:tabs>
          <w:tab w:val="num" w:pos="5400"/>
        </w:tabs>
        <w:ind w:left="5400" w:hanging="360"/>
      </w:pPr>
    </w:lvl>
    <w:lvl w:ilvl="8" w:tplc="0406001B">
      <w:start w:val="1"/>
      <w:numFmt w:val="lowerRoman"/>
      <w:lvlText w:val="%9."/>
      <w:lvlJc w:val="right"/>
      <w:pPr>
        <w:tabs>
          <w:tab w:val="num" w:pos="6120"/>
        </w:tabs>
        <w:ind w:left="6120" w:hanging="180"/>
      </w:pPr>
    </w:lvl>
  </w:abstractNum>
  <w:abstractNum w:abstractNumId="9" w15:restartNumberingAfterBreak="0">
    <w:nsid w:val="74401353"/>
    <w:multiLevelType w:val="hybridMultilevel"/>
    <w:tmpl w:val="E27C74D2"/>
    <w:lvl w:ilvl="0" w:tplc="4FA877C6">
      <w:start w:val="1"/>
      <w:numFmt w:val="bullet"/>
      <w:lvlText w:val="-"/>
      <w:lvlJc w:val="left"/>
      <w:pPr>
        <w:tabs>
          <w:tab w:val="num" w:pos="360"/>
        </w:tabs>
        <w:ind w:left="720" w:hanging="360"/>
      </w:pPr>
    </w:lvl>
    <w:lvl w:ilvl="1" w:tplc="04060003">
      <w:start w:val="1"/>
      <w:numFmt w:val="bullet"/>
      <w:lvlText w:val="o"/>
      <w:lvlJc w:val="left"/>
      <w:pPr>
        <w:tabs>
          <w:tab w:val="num" w:pos="1440"/>
        </w:tabs>
        <w:ind w:left="1440" w:hanging="360"/>
      </w:pPr>
      <w:rPr>
        <w:rFonts w:ascii="Courier New" w:hAnsi="Courier New" w:cs="Helvetica"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Helvetica"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Helvetica"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B7"/>
    <w:rsid w:val="000259B9"/>
    <w:rsid w:val="00041491"/>
    <w:rsid w:val="00050D16"/>
    <w:rsid w:val="000730CA"/>
    <w:rsid w:val="00074F2A"/>
    <w:rsid w:val="000A1CA8"/>
    <w:rsid w:val="000A466B"/>
    <w:rsid w:val="000B058C"/>
    <w:rsid w:val="000D68B0"/>
    <w:rsid w:val="000E4EE6"/>
    <w:rsid w:val="001454E2"/>
    <w:rsid w:val="00167A8D"/>
    <w:rsid w:val="001F1D6B"/>
    <w:rsid w:val="00206CE8"/>
    <w:rsid w:val="0021526C"/>
    <w:rsid w:val="002758FD"/>
    <w:rsid w:val="00283A2B"/>
    <w:rsid w:val="002B30AD"/>
    <w:rsid w:val="002C1EC0"/>
    <w:rsid w:val="002C2C01"/>
    <w:rsid w:val="003A29AE"/>
    <w:rsid w:val="003A32D7"/>
    <w:rsid w:val="003B4074"/>
    <w:rsid w:val="003C769A"/>
    <w:rsid w:val="003D3A90"/>
    <w:rsid w:val="003F1838"/>
    <w:rsid w:val="00402F12"/>
    <w:rsid w:val="004251C1"/>
    <w:rsid w:val="0045746C"/>
    <w:rsid w:val="0049104B"/>
    <w:rsid w:val="00491187"/>
    <w:rsid w:val="004E3B12"/>
    <w:rsid w:val="00532310"/>
    <w:rsid w:val="00565F0F"/>
    <w:rsid w:val="00594A86"/>
    <w:rsid w:val="00596D86"/>
    <w:rsid w:val="005B0A53"/>
    <w:rsid w:val="00637F5A"/>
    <w:rsid w:val="00641C65"/>
    <w:rsid w:val="006560B1"/>
    <w:rsid w:val="006756DD"/>
    <w:rsid w:val="0071241E"/>
    <w:rsid w:val="007203DE"/>
    <w:rsid w:val="00737275"/>
    <w:rsid w:val="00740EEC"/>
    <w:rsid w:val="0078011A"/>
    <w:rsid w:val="00782AF4"/>
    <w:rsid w:val="00790EE7"/>
    <w:rsid w:val="007B6649"/>
    <w:rsid w:val="007C46D8"/>
    <w:rsid w:val="0082576E"/>
    <w:rsid w:val="0089346F"/>
    <w:rsid w:val="008A37B7"/>
    <w:rsid w:val="00907F75"/>
    <w:rsid w:val="009260DE"/>
    <w:rsid w:val="0093258A"/>
    <w:rsid w:val="009B63C0"/>
    <w:rsid w:val="009C7BA3"/>
    <w:rsid w:val="009D1F5A"/>
    <w:rsid w:val="00A10294"/>
    <w:rsid w:val="00B003BF"/>
    <w:rsid w:val="00B20C9B"/>
    <w:rsid w:val="00B373D7"/>
    <w:rsid w:val="00B55271"/>
    <w:rsid w:val="00BD7931"/>
    <w:rsid w:val="00BF6243"/>
    <w:rsid w:val="00C16010"/>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1759F"/>
    <w:rsid w:val="00E3749A"/>
    <w:rsid w:val="00E7437F"/>
    <w:rsid w:val="00E83ECB"/>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644D"/>
  <w15:chartTrackingRefBased/>
  <w15:docId w15:val="{CA22F05D-5B31-4804-91B8-2D340F1B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E1759F"/>
    <w:rPr>
      <w:color w:val="0000FF"/>
      <w:u w:val="single"/>
    </w:rPr>
  </w:style>
  <w:style w:type="paragraph" w:styleId="Listeafsnit">
    <w:name w:val="List Paragraph"/>
    <w:basedOn w:val="Normal"/>
    <w:uiPriority w:val="34"/>
    <w:qFormat/>
    <w:rsid w:val="00E1759F"/>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3279">
      <w:bodyDiv w:val="1"/>
      <w:marLeft w:val="0"/>
      <w:marRight w:val="0"/>
      <w:marTop w:val="0"/>
      <w:marBottom w:val="0"/>
      <w:divBdr>
        <w:top w:val="none" w:sz="0" w:space="0" w:color="auto"/>
        <w:left w:val="none" w:sz="0" w:space="0" w:color="auto"/>
        <w:bottom w:val="none" w:sz="0" w:space="0" w:color="auto"/>
        <w:right w:val="none" w:sz="0" w:space="0" w:color="auto"/>
      </w:divBdr>
    </w:div>
    <w:div w:id="14381296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479632">
      <w:bodyDiv w:val="1"/>
      <w:marLeft w:val="0"/>
      <w:marRight w:val="0"/>
      <w:marTop w:val="0"/>
      <w:marBottom w:val="0"/>
      <w:divBdr>
        <w:top w:val="none" w:sz="0" w:space="0" w:color="auto"/>
        <w:left w:val="none" w:sz="0" w:space="0" w:color="auto"/>
        <w:bottom w:val="none" w:sz="0" w:space="0" w:color="auto"/>
        <w:right w:val="none" w:sz="0" w:space="0" w:color="auto"/>
      </w:divBdr>
    </w:div>
    <w:div w:id="198400110">
      <w:bodyDiv w:val="1"/>
      <w:marLeft w:val="0"/>
      <w:marRight w:val="0"/>
      <w:marTop w:val="0"/>
      <w:marBottom w:val="0"/>
      <w:divBdr>
        <w:top w:val="none" w:sz="0" w:space="0" w:color="auto"/>
        <w:left w:val="none" w:sz="0" w:space="0" w:color="auto"/>
        <w:bottom w:val="none" w:sz="0" w:space="0" w:color="auto"/>
        <w:right w:val="none" w:sz="0" w:space="0" w:color="auto"/>
      </w:divBdr>
    </w:div>
    <w:div w:id="323319357">
      <w:bodyDiv w:val="1"/>
      <w:marLeft w:val="0"/>
      <w:marRight w:val="0"/>
      <w:marTop w:val="0"/>
      <w:marBottom w:val="0"/>
      <w:divBdr>
        <w:top w:val="none" w:sz="0" w:space="0" w:color="auto"/>
        <w:left w:val="none" w:sz="0" w:space="0" w:color="auto"/>
        <w:bottom w:val="none" w:sz="0" w:space="0" w:color="auto"/>
        <w:right w:val="none" w:sz="0" w:space="0" w:color="auto"/>
      </w:divBdr>
    </w:div>
    <w:div w:id="330760576">
      <w:bodyDiv w:val="1"/>
      <w:marLeft w:val="0"/>
      <w:marRight w:val="0"/>
      <w:marTop w:val="0"/>
      <w:marBottom w:val="0"/>
      <w:divBdr>
        <w:top w:val="none" w:sz="0" w:space="0" w:color="auto"/>
        <w:left w:val="none" w:sz="0" w:space="0" w:color="auto"/>
        <w:bottom w:val="none" w:sz="0" w:space="0" w:color="auto"/>
        <w:right w:val="none" w:sz="0" w:space="0" w:color="auto"/>
      </w:divBdr>
    </w:div>
    <w:div w:id="486089820">
      <w:bodyDiv w:val="1"/>
      <w:marLeft w:val="0"/>
      <w:marRight w:val="0"/>
      <w:marTop w:val="0"/>
      <w:marBottom w:val="0"/>
      <w:divBdr>
        <w:top w:val="none" w:sz="0" w:space="0" w:color="auto"/>
        <w:left w:val="none" w:sz="0" w:space="0" w:color="auto"/>
        <w:bottom w:val="none" w:sz="0" w:space="0" w:color="auto"/>
        <w:right w:val="none" w:sz="0" w:space="0" w:color="auto"/>
      </w:divBdr>
    </w:div>
    <w:div w:id="599332671">
      <w:bodyDiv w:val="1"/>
      <w:marLeft w:val="0"/>
      <w:marRight w:val="0"/>
      <w:marTop w:val="0"/>
      <w:marBottom w:val="0"/>
      <w:divBdr>
        <w:top w:val="none" w:sz="0" w:space="0" w:color="auto"/>
        <w:left w:val="none" w:sz="0" w:space="0" w:color="auto"/>
        <w:bottom w:val="none" w:sz="0" w:space="0" w:color="auto"/>
        <w:right w:val="none" w:sz="0" w:space="0" w:color="auto"/>
      </w:divBdr>
    </w:div>
    <w:div w:id="658996217">
      <w:bodyDiv w:val="1"/>
      <w:marLeft w:val="0"/>
      <w:marRight w:val="0"/>
      <w:marTop w:val="0"/>
      <w:marBottom w:val="0"/>
      <w:divBdr>
        <w:top w:val="none" w:sz="0" w:space="0" w:color="auto"/>
        <w:left w:val="none" w:sz="0" w:space="0" w:color="auto"/>
        <w:bottom w:val="none" w:sz="0" w:space="0" w:color="auto"/>
        <w:right w:val="none" w:sz="0" w:space="0" w:color="auto"/>
      </w:divBdr>
    </w:div>
    <w:div w:id="769933838">
      <w:bodyDiv w:val="1"/>
      <w:marLeft w:val="0"/>
      <w:marRight w:val="0"/>
      <w:marTop w:val="0"/>
      <w:marBottom w:val="0"/>
      <w:divBdr>
        <w:top w:val="none" w:sz="0" w:space="0" w:color="auto"/>
        <w:left w:val="none" w:sz="0" w:space="0" w:color="auto"/>
        <w:bottom w:val="none" w:sz="0" w:space="0" w:color="auto"/>
        <w:right w:val="none" w:sz="0" w:space="0" w:color="auto"/>
      </w:divBdr>
    </w:div>
    <w:div w:id="809832631">
      <w:bodyDiv w:val="1"/>
      <w:marLeft w:val="0"/>
      <w:marRight w:val="0"/>
      <w:marTop w:val="0"/>
      <w:marBottom w:val="0"/>
      <w:divBdr>
        <w:top w:val="none" w:sz="0" w:space="0" w:color="auto"/>
        <w:left w:val="none" w:sz="0" w:space="0" w:color="auto"/>
        <w:bottom w:val="none" w:sz="0" w:space="0" w:color="auto"/>
        <w:right w:val="none" w:sz="0" w:space="0" w:color="auto"/>
      </w:divBdr>
    </w:div>
    <w:div w:id="903879026">
      <w:bodyDiv w:val="1"/>
      <w:marLeft w:val="0"/>
      <w:marRight w:val="0"/>
      <w:marTop w:val="0"/>
      <w:marBottom w:val="0"/>
      <w:divBdr>
        <w:top w:val="none" w:sz="0" w:space="0" w:color="auto"/>
        <w:left w:val="none" w:sz="0" w:space="0" w:color="auto"/>
        <w:bottom w:val="none" w:sz="0" w:space="0" w:color="auto"/>
        <w:right w:val="none" w:sz="0" w:space="0" w:color="auto"/>
      </w:divBdr>
    </w:div>
    <w:div w:id="941109626">
      <w:bodyDiv w:val="1"/>
      <w:marLeft w:val="0"/>
      <w:marRight w:val="0"/>
      <w:marTop w:val="0"/>
      <w:marBottom w:val="0"/>
      <w:divBdr>
        <w:top w:val="none" w:sz="0" w:space="0" w:color="auto"/>
        <w:left w:val="none" w:sz="0" w:space="0" w:color="auto"/>
        <w:bottom w:val="none" w:sz="0" w:space="0" w:color="auto"/>
        <w:right w:val="none" w:sz="0" w:space="0" w:color="auto"/>
      </w:divBdr>
    </w:div>
    <w:div w:id="992870773">
      <w:bodyDiv w:val="1"/>
      <w:marLeft w:val="0"/>
      <w:marRight w:val="0"/>
      <w:marTop w:val="0"/>
      <w:marBottom w:val="0"/>
      <w:divBdr>
        <w:top w:val="none" w:sz="0" w:space="0" w:color="auto"/>
        <w:left w:val="none" w:sz="0" w:space="0" w:color="auto"/>
        <w:bottom w:val="none" w:sz="0" w:space="0" w:color="auto"/>
        <w:right w:val="none" w:sz="0" w:space="0" w:color="auto"/>
      </w:divBdr>
    </w:div>
    <w:div w:id="1083725169">
      <w:bodyDiv w:val="1"/>
      <w:marLeft w:val="0"/>
      <w:marRight w:val="0"/>
      <w:marTop w:val="0"/>
      <w:marBottom w:val="0"/>
      <w:divBdr>
        <w:top w:val="none" w:sz="0" w:space="0" w:color="auto"/>
        <w:left w:val="none" w:sz="0" w:space="0" w:color="auto"/>
        <w:bottom w:val="none" w:sz="0" w:space="0" w:color="auto"/>
        <w:right w:val="none" w:sz="0" w:space="0" w:color="auto"/>
      </w:divBdr>
    </w:div>
    <w:div w:id="1087578253">
      <w:bodyDiv w:val="1"/>
      <w:marLeft w:val="0"/>
      <w:marRight w:val="0"/>
      <w:marTop w:val="0"/>
      <w:marBottom w:val="0"/>
      <w:divBdr>
        <w:top w:val="none" w:sz="0" w:space="0" w:color="auto"/>
        <w:left w:val="none" w:sz="0" w:space="0" w:color="auto"/>
        <w:bottom w:val="none" w:sz="0" w:space="0" w:color="auto"/>
        <w:right w:val="none" w:sz="0" w:space="0" w:color="auto"/>
      </w:divBdr>
    </w:div>
    <w:div w:id="1369911345">
      <w:bodyDiv w:val="1"/>
      <w:marLeft w:val="0"/>
      <w:marRight w:val="0"/>
      <w:marTop w:val="0"/>
      <w:marBottom w:val="0"/>
      <w:divBdr>
        <w:top w:val="none" w:sz="0" w:space="0" w:color="auto"/>
        <w:left w:val="none" w:sz="0" w:space="0" w:color="auto"/>
        <w:bottom w:val="none" w:sz="0" w:space="0" w:color="auto"/>
        <w:right w:val="none" w:sz="0" w:space="0" w:color="auto"/>
      </w:divBdr>
    </w:div>
    <w:div w:id="1515536177">
      <w:bodyDiv w:val="1"/>
      <w:marLeft w:val="0"/>
      <w:marRight w:val="0"/>
      <w:marTop w:val="0"/>
      <w:marBottom w:val="0"/>
      <w:divBdr>
        <w:top w:val="none" w:sz="0" w:space="0" w:color="auto"/>
        <w:left w:val="none" w:sz="0" w:space="0" w:color="auto"/>
        <w:bottom w:val="none" w:sz="0" w:space="0" w:color="auto"/>
        <w:right w:val="none" w:sz="0" w:space="0" w:color="auto"/>
      </w:divBdr>
    </w:div>
    <w:div w:id="1611011241">
      <w:bodyDiv w:val="1"/>
      <w:marLeft w:val="0"/>
      <w:marRight w:val="0"/>
      <w:marTop w:val="0"/>
      <w:marBottom w:val="0"/>
      <w:divBdr>
        <w:top w:val="none" w:sz="0" w:space="0" w:color="auto"/>
        <w:left w:val="none" w:sz="0" w:space="0" w:color="auto"/>
        <w:bottom w:val="none" w:sz="0" w:space="0" w:color="auto"/>
        <w:right w:val="none" w:sz="0" w:space="0" w:color="auto"/>
      </w:divBdr>
    </w:div>
    <w:div w:id="1613631666">
      <w:bodyDiv w:val="1"/>
      <w:marLeft w:val="0"/>
      <w:marRight w:val="0"/>
      <w:marTop w:val="0"/>
      <w:marBottom w:val="0"/>
      <w:divBdr>
        <w:top w:val="none" w:sz="0" w:space="0" w:color="auto"/>
        <w:left w:val="none" w:sz="0" w:space="0" w:color="auto"/>
        <w:bottom w:val="none" w:sz="0" w:space="0" w:color="auto"/>
        <w:right w:val="none" w:sz="0" w:space="0" w:color="auto"/>
      </w:divBdr>
    </w:div>
    <w:div w:id="1854760777">
      <w:bodyDiv w:val="1"/>
      <w:marLeft w:val="0"/>
      <w:marRight w:val="0"/>
      <w:marTop w:val="0"/>
      <w:marBottom w:val="0"/>
      <w:divBdr>
        <w:top w:val="none" w:sz="0" w:space="0" w:color="auto"/>
        <w:left w:val="none" w:sz="0" w:space="0" w:color="auto"/>
        <w:bottom w:val="none" w:sz="0" w:space="0" w:color="auto"/>
        <w:right w:val="none" w:sz="0" w:space="0" w:color="auto"/>
      </w:divBdr>
    </w:div>
    <w:div w:id="1903174953">
      <w:bodyDiv w:val="1"/>
      <w:marLeft w:val="0"/>
      <w:marRight w:val="0"/>
      <w:marTop w:val="0"/>
      <w:marBottom w:val="0"/>
      <w:divBdr>
        <w:top w:val="none" w:sz="0" w:space="0" w:color="auto"/>
        <w:left w:val="none" w:sz="0" w:space="0" w:color="auto"/>
        <w:bottom w:val="none" w:sz="0" w:space="0" w:color="auto"/>
        <w:right w:val="none" w:sz="0" w:space="0" w:color="auto"/>
      </w:divBdr>
    </w:div>
    <w:div w:id="21037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39</TotalTime>
  <Pages>9</Pages>
  <Words>2341</Words>
  <Characters>15534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2022123289, MT</dc:description>
  <cp:lastModifiedBy>Gitte Jørgensen</cp:lastModifiedBy>
  <cp:revision>12</cp:revision>
  <cp:lastPrinted>2012-08-22T08:53:00Z</cp:lastPrinted>
  <dcterms:created xsi:type="dcterms:W3CDTF">2023-10-25T06:33:00Z</dcterms:created>
  <dcterms:modified xsi:type="dcterms:W3CDTF">2023-10-25T07:20:00Z</dcterms:modified>
</cp:coreProperties>
</file>