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EDB" w:rsidRPr="008F49E1" w:rsidRDefault="003E2EDB" w:rsidP="003E2EDB">
      <w:pPr>
        <w:rPr>
          <w:sz w:val="24"/>
          <w:szCs w:val="24"/>
        </w:rPr>
      </w:pPr>
      <w:r w:rsidRPr="009260DE">
        <w:rPr>
          <w:noProof/>
          <w:sz w:val="24"/>
          <w:szCs w:val="24"/>
          <w:lang w:eastAsia="da-DK"/>
        </w:rPr>
        <w:drawing>
          <wp:anchor distT="0" distB="0" distL="114300" distR="114300" simplePos="0" relativeHeight="251659264" behindDoc="0" locked="0" layoutInCell="1" allowOverlap="1" wp14:anchorId="0913F9F0" wp14:editId="5E68284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E2EDB" w:rsidRPr="005B7F82" w:rsidRDefault="003E2EDB" w:rsidP="003E2EDB">
      <w:pPr>
        <w:pStyle w:val="Titel"/>
        <w:tabs>
          <w:tab w:val="right" w:pos="9356"/>
        </w:tabs>
        <w:jc w:val="left"/>
        <w:rPr>
          <w:szCs w:val="24"/>
          <w:lang w:eastAsia="en-US"/>
        </w:rPr>
      </w:pPr>
      <w:r w:rsidRPr="00C84483">
        <w:rPr>
          <w:b w:val="0"/>
          <w:szCs w:val="24"/>
          <w:lang w:eastAsia="en-US"/>
        </w:rPr>
        <w:tab/>
      </w:r>
      <w:r w:rsidR="005B7F82" w:rsidRPr="005B7F82">
        <w:rPr>
          <w:szCs w:val="24"/>
          <w:lang w:eastAsia="en-US"/>
        </w:rPr>
        <w:t>7. april 2025</w:t>
      </w:r>
    </w:p>
    <w:p w:rsidR="003E2EDB" w:rsidRPr="00C84483" w:rsidRDefault="003E2EDB" w:rsidP="003E2EDB">
      <w:pPr>
        <w:pStyle w:val="Titel"/>
        <w:jc w:val="left"/>
        <w:rPr>
          <w:b w:val="0"/>
          <w:szCs w:val="24"/>
        </w:rPr>
      </w:pPr>
    </w:p>
    <w:p w:rsidR="003E2EDB" w:rsidRPr="00C84483" w:rsidRDefault="003E2EDB" w:rsidP="003E2EDB">
      <w:pPr>
        <w:pStyle w:val="Titel"/>
        <w:jc w:val="left"/>
        <w:rPr>
          <w:b w:val="0"/>
          <w:szCs w:val="24"/>
        </w:rPr>
      </w:pPr>
    </w:p>
    <w:p w:rsidR="003E2EDB" w:rsidRPr="00C84483" w:rsidRDefault="003E2EDB" w:rsidP="003E2EDB">
      <w:pPr>
        <w:jc w:val="center"/>
        <w:rPr>
          <w:b/>
          <w:sz w:val="24"/>
          <w:szCs w:val="24"/>
        </w:rPr>
      </w:pPr>
      <w:r w:rsidRPr="00C84483">
        <w:rPr>
          <w:b/>
          <w:sz w:val="24"/>
          <w:szCs w:val="24"/>
        </w:rPr>
        <w:t>PRODUKTRESUMÉ</w:t>
      </w:r>
    </w:p>
    <w:p w:rsidR="003E2EDB" w:rsidRPr="00C84483" w:rsidRDefault="00C1665C" w:rsidP="00C1665C">
      <w:pPr>
        <w:tabs>
          <w:tab w:val="left" w:pos="270"/>
        </w:tabs>
        <w:rPr>
          <w:b/>
          <w:sz w:val="24"/>
          <w:szCs w:val="24"/>
        </w:rPr>
      </w:pPr>
      <w:r>
        <w:rPr>
          <w:b/>
          <w:sz w:val="24"/>
          <w:szCs w:val="24"/>
        </w:rPr>
        <w:tab/>
      </w:r>
    </w:p>
    <w:p w:rsidR="003E2EDB" w:rsidRDefault="003E2EDB" w:rsidP="003E2EDB">
      <w:pPr>
        <w:jc w:val="center"/>
        <w:rPr>
          <w:b/>
          <w:sz w:val="24"/>
          <w:szCs w:val="24"/>
        </w:rPr>
      </w:pPr>
      <w:r w:rsidRPr="00C84483">
        <w:rPr>
          <w:b/>
          <w:sz w:val="24"/>
          <w:szCs w:val="24"/>
        </w:rPr>
        <w:t>for</w:t>
      </w:r>
    </w:p>
    <w:p w:rsidR="003E2EDB" w:rsidRPr="00C84483" w:rsidRDefault="003E2EDB" w:rsidP="003E2EDB">
      <w:pPr>
        <w:jc w:val="center"/>
        <w:rPr>
          <w:b/>
          <w:sz w:val="24"/>
          <w:szCs w:val="24"/>
        </w:rPr>
      </w:pPr>
    </w:p>
    <w:p w:rsidR="003E2EDB" w:rsidRPr="00C84483" w:rsidRDefault="003E2EDB" w:rsidP="003E2EDB">
      <w:pPr>
        <w:jc w:val="center"/>
        <w:rPr>
          <w:b/>
          <w:sz w:val="24"/>
          <w:szCs w:val="24"/>
        </w:rPr>
      </w:pPr>
      <w:proofErr w:type="spellStart"/>
      <w:r>
        <w:rPr>
          <w:b/>
          <w:sz w:val="24"/>
          <w:szCs w:val="24"/>
        </w:rPr>
        <w:t>Prometazin</w:t>
      </w:r>
      <w:proofErr w:type="spellEnd"/>
      <w:r>
        <w:rPr>
          <w:b/>
          <w:sz w:val="24"/>
          <w:szCs w:val="24"/>
        </w:rPr>
        <w:t xml:space="preserve"> "</w:t>
      </w:r>
      <w:proofErr w:type="spellStart"/>
      <w:r>
        <w:rPr>
          <w:b/>
          <w:sz w:val="24"/>
          <w:szCs w:val="24"/>
        </w:rPr>
        <w:t>Actavis</w:t>
      </w:r>
      <w:proofErr w:type="spellEnd"/>
      <w:r>
        <w:rPr>
          <w:b/>
          <w:sz w:val="24"/>
          <w:szCs w:val="24"/>
        </w:rPr>
        <w:t>", filmovertrukne tabletter</w:t>
      </w:r>
    </w:p>
    <w:p w:rsidR="003E2EDB" w:rsidRPr="00C84483" w:rsidRDefault="003E2EDB" w:rsidP="003E2EDB">
      <w:pPr>
        <w:jc w:val="both"/>
        <w:rPr>
          <w:sz w:val="24"/>
          <w:szCs w:val="24"/>
        </w:rPr>
      </w:pPr>
    </w:p>
    <w:p w:rsidR="003E2EDB" w:rsidRPr="00B0203E" w:rsidRDefault="003E2EDB" w:rsidP="003E2EDB">
      <w:pPr>
        <w:ind w:left="851" w:hanging="851"/>
        <w:jc w:val="both"/>
        <w:rPr>
          <w:sz w:val="24"/>
          <w:szCs w:val="24"/>
        </w:rPr>
      </w:pPr>
    </w:p>
    <w:p w:rsidR="003E2EDB" w:rsidRPr="00B0203E" w:rsidRDefault="003E2EDB" w:rsidP="003E2EDB">
      <w:pPr>
        <w:ind w:left="851" w:hanging="851"/>
        <w:rPr>
          <w:b/>
          <w:sz w:val="24"/>
          <w:szCs w:val="24"/>
        </w:rPr>
      </w:pPr>
      <w:r w:rsidRPr="00B0203E">
        <w:rPr>
          <w:b/>
          <w:sz w:val="24"/>
          <w:szCs w:val="24"/>
        </w:rPr>
        <w:t>0.</w:t>
      </w:r>
      <w:r w:rsidRPr="00B0203E">
        <w:rPr>
          <w:b/>
          <w:sz w:val="24"/>
          <w:szCs w:val="24"/>
        </w:rPr>
        <w:tab/>
        <w:t>D.SP.NR.</w:t>
      </w:r>
    </w:p>
    <w:p w:rsidR="003E2EDB" w:rsidRPr="00B0203E" w:rsidRDefault="003E2EDB" w:rsidP="003E2EDB">
      <w:pPr>
        <w:ind w:left="851" w:hanging="851"/>
        <w:rPr>
          <w:sz w:val="24"/>
          <w:szCs w:val="24"/>
        </w:rPr>
      </w:pPr>
      <w:r>
        <w:rPr>
          <w:sz w:val="24"/>
          <w:szCs w:val="24"/>
        </w:rPr>
        <w:tab/>
      </w:r>
      <w:r w:rsidRPr="00B0203E">
        <w:rPr>
          <w:sz w:val="24"/>
          <w:szCs w:val="24"/>
        </w:rPr>
        <w:t>29903</w:t>
      </w:r>
    </w:p>
    <w:p w:rsidR="003E2EDB" w:rsidRPr="00B0203E" w:rsidRDefault="003E2EDB" w:rsidP="003E2EDB">
      <w:pPr>
        <w:ind w:left="851" w:hanging="851"/>
        <w:rPr>
          <w:sz w:val="24"/>
          <w:szCs w:val="24"/>
        </w:rPr>
      </w:pPr>
    </w:p>
    <w:p w:rsidR="003E2EDB" w:rsidRPr="00B0203E" w:rsidRDefault="003E2EDB" w:rsidP="003E2EDB">
      <w:pPr>
        <w:ind w:left="851" w:hanging="851"/>
        <w:rPr>
          <w:b/>
          <w:sz w:val="24"/>
          <w:szCs w:val="24"/>
        </w:rPr>
      </w:pPr>
      <w:r w:rsidRPr="00B0203E">
        <w:rPr>
          <w:b/>
          <w:sz w:val="24"/>
          <w:szCs w:val="24"/>
        </w:rPr>
        <w:t>1.</w:t>
      </w:r>
      <w:r w:rsidRPr="00B0203E">
        <w:rPr>
          <w:b/>
          <w:sz w:val="24"/>
          <w:szCs w:val="24"/>
        </w:rPr>
        <w:tab/>
        <w:t>LÆGEMIDLETS NAVN</w:t>
      </w:r>
    </w:p>
    <w:p w:rsidR="003E2EDB" w:rsidRPr="00B0203E" w:rsidRDefault="003E2EDB" w:rsidP="003E2EDB">
      <w:pPr>
        <w:ind w:left="851" w:hanging="851"/>
        <w:rPr>
          <w:sz w:val="24"/>
          <w:szCs w:val="24"/>
        </w:rPr>
      </w:pPr>
      <w:r>
        <w:rPr>
          <w:sz w:val="24"/>
          <w:szCs w:val="24"/>
        </w:rPr>
        <w:tab/>
      </w:r>
      <w:proofErr w:type="spellStart"/>
      <w:r>
        <w:rPr>
          <w:sz w:val="24"/>
          <w:szCs w:val="24"/>
        </w:rPr>
        <w:t>Prometazin</w:t>
      </w:r>
      <w:proofErr w:type="spellEnd"/>
      <w:r>
        <w:rPr>
          <w:sz w:val="24"/>
          <w:szCs w:val="24"/>
        </w:rPr>
        <w:t xml:space="preserve"> "</w:t>
      </w:r>
      <w:proofErr w:type="spellStart"/>
      <w:r>
        <w:rPr>
          <w:sz w:val="24"/>
          <w:szCs w:val="24"/>
        </w:rPr>
        <w:t>Actavis</w:t>
      </w:r>
      <w:proofErr w:type="spellEnd"/>
      <w:r>
        <w:rPr>
          <w:sz w:val="24"/>
          <w:szCs w:val="24"/>
        </w:rPr>
        <w:t>"</w:t>
      </w:r>
    </w:p>
    <w:p w:rsidR="003E2EDB" w:rsidRPr="00B0203E" w:rsidRDefault="003E2EDB" w:rsidP="003E2EDB">
      <w:pPr>
        <w:ind w:left="851" w:hanging="851"/>
        <w:rPr>
          <w:sz w:val="24"/>
          <w:szCs w:val="24"/>
        </w:rPr>
      </w:pPr>
    </w:p>
    <w:p w:rsidR="003E2EDB" w:rsidRPr="00B0203E" w:rsidRDefault="003E2EDB" w:rsidP="003E2EDB">
      <w:pPr>
        <w:ind w:left="851" w:hanging="851"/>
        <w:rPr>
          <w:b/>
          <w:sz w:val="24"/>
          <w:szCs w:val="24"/>
        </w:rPr>
      </w:pPr>
      <w:r w:rsidRPr="00B0203E">
        <w:rPr>
          <w:b/>
          <w:sz w:val="24"/>
          <w:szCs w:val="24"/>
        </w:rPr>
        <w:t>2.</w:t>
      </w:r>
      <w:r w:rsidRPr="00B0203E">
        <w:rPr>
          <w:b/>
          <w:sz w:val="24"/>
          <w:szCs w:val="24"/>
        </w:rPr>
        <w:tab/>
        <w:t>KVALITATIV OG KVANTITATIV SAMMENSÆTNING</w:t>
      </w:r>
    </w:p>
    <w:p w:rsidR="003E2EDB" w:rsidRPr="00B0203E" w:rsidRDefault="003E2EDB" w:rsidP="003E2EDB">
      <w:pPr>
        <w:ind w:left="851"/>
        <w:rPr>
          <w:sz w:val="24"/>
          <w:szCs w:val="24"/>
        </w:rPr>
      </w:pPr>
      <w:r w:rsidRPr="00B0203E">
        <w:rPr>
          <w:iCs/>
          <w:noProof/>
          <w:sz w:val="24"/>
          <w:szCs w:val="24"/>
        </w:rPr>
        <w:t xml:space="preserve">Hver </w:t>
      </w:r>
      <w:r>
        <w:rPr>
          <w:sz w:val="24"/>
          <w:szCs w:val="24"/>
        </w:rPr>
        <w:t>filmovertrukket</w:t>
      </w:r>
      <w:r w:rsidRPr="00B0203E">
        <w:rPr>
          <w:sz w:val="24"/>
          <w:szCs w:val="24"/>
        </w:rPr>
        <w:t xml:space="preserve"> tablet indeholder </w:t>
      </w:r>
      <w:r w:rsidRPr="00B0203E">
        <w:rPr>
          <w:iCs/>
          <w:noProof/>
          <w:sz w:val="24"/>
          <w:szCs w:val="24"/>
        </w:rPr>
        <w:t>25 mg of promethazinhydrochlorid.</w:t>
      </w:r>
    </w:p>
    <w:p w:rsidR="003E2EDB" w:rsidRPr="00B0203E" w:rsidRDefault="003E2EDB" w:rsidP="003E2EDB">
      <w:pPr>
        <w:suppressAutoHyphens/>
        <w:ind w:left="851" w:hanging="851"/>
        <w:rPr>
          <w:sz w:val="24"/>
          <w:szCs w:val="24"/>
        </w:rPr>
      </w:pPr>
    </w:p>
    <w:p w:rsidR="003E2EDB" w:rsidRPr="00B0203E" w:rsidRDefault="003E2EDB" w:rsidP="003E2EDB">
      <w:pPr>
        <w:spacing w:line="260" w:lineRule="exact"/>
        <w:ind w:left="851" w:hanging="851"/>
        <w:rPr>
          <w:sz w:val="24"/>
          <w:szCs w:val="24"/>
        </w:rPr>
      </w:pPr>
      <w:r>
        <w:rPr>
          <w:sz w:val="24"/>
          <w:szCs w:val="24"/>
        </w:rPr>
        <w:tab/>
      </w:r>
      <w:r w:rsidRPr="00B0203E">
        <w:rPr>
          <w:sz w:val="24"/>
          <w:szCs w:val="24"/>
        </w:rPr>
        <w:t>Alle hjælpestoffer er anført under pkt. 6.1.</w:t>
      </w:r>
    </w:p>
    <w:p w:rsidR="003E2EDB" w:rsidRPr="00B0203E" w:rsidRDefault="003E2EDB" w:rsidP="003E2EDB">
      <w:pPr>
        <w:ind w:left="851" w:hanging="851"/>
        <w:rPr>
          <w:sz w:val="24"/>
          <w:szCs w:val="24"/>
        </w:rPr>
      </w:pPr>
    </w:p>
    <w:p w:rsidR="003E2EDB" w:rsidRPr="00B0203E" w:rsidRDefault="003E2EDB" w:rsidP="003E2EDB">
      <w:pPr>
        <w:ind w:left="851" w:hanging="851"/>
        <w:rPr>
          <w:b/>
          <w:sz w:val="24"/>
          <w:szCs w:val="24"/>
        </w:rPr>
      </w:pPr>
      <w:r w:rsidRPr="00B0203E">
        <w:rPr>
          <w:b/>
          <w:sz w:val="24"/>
          <w:szCs w:val="24"/>
        </w:rPr>
        <w:t>3.</w:t>
      </w:r>
      <w:r w:rsidRPr="00B0203E">
        <w:rPr>
          <w:b/>
          <w:sz w:val="24"/>
          <w:szCs w:val="24"/>
        </w:rPr>
        <w:tab/>
        <w:t>LÆGEMIDDELFORM</w:t>
      </w:r>
    </w:p>
    <w:p w:rsidR="003E2EDB" w:rsidRPr="00B0203E" w:rsidRDefault="003E2EDB" w:rsidP="003E2EDB">
      <w:pPr>
        <w:ind w:left="851"/>
        <w:rPr>
          <w:sz w:val="24"/>
          <w:szCs w:val="24"/>
        </w:rPr>
      </w:pPr>
      <w:r>
        <w:rPr>
          <w:sz w:val="24"/>
          <w:szCs w:val="24"/>
        </w:rPr>
        <w:t>Filmovertrukne</w:t>
      </w:r>
      <w:r w:rsidRPr="00B0203E">
        <w:rPr>
          <w:sz w:val="24"/>
          <w:szCs w:val="24"/>
        </w:rPr>
        <w:t xml:space="preserve"> tablet</w:t>
      </w:r>
      <w:r>
        <w:rPr>
          <w:sz w:val="24"/>
          <w:szCs w:val="24"/>
        </w:rPr>
        <w:t>ter.</w:t>
      </w:r>
    </w:p>
    <w:p w:rsidR="003E2EDB" w:rsidRPr="00B0203E" w:rsidRDefault="003E2EDB" w:rsidP="003E2EDB">
      <w:pPr>
        <w:spacing w:line="260" w:lineRule="exact"/>
        <w:ind w:left="851" w:hanging="851"/>
        <w:rPr>
          <w:sz w:val="24"/>
          <w:szCs w:val="24"/>
        </w:rPr>
      </w:pPr>
    </w:p>
    <w:p w:rsidR="003E2EDB" w:rsidRPr="00B0203E" w:rsidRDefault="003E2EDB" w:rsidP="003E2EDB">
      <w:pPr>
        <w:spacing w:line="260" w:lineRule="exact"/>
        <w:ind w:left="851"/>
        <w:rPr>
          <w:noProof/>
          <w:sz w:val="24"/>
          <w:szCs w:val="24"/>
        </w:rPr>
      </w:pPr>
      <w:r w:rsidRPr="00B0203E">
        <w:rPr>
          <w:sz w:val="24"/>
          <w:szCs w:val="24"/>
        </w:rPr>
        <w:t xml:space="preserve">Hvide, ovale, </w:t>
      </w:r>
      <w:proofErr w:type="spellStart"/>
      <w:r w:rsidRPr="00B0203E">
        <w:rPr>
          <w:sz w:val="24"/>
          <w:szCs w:val="24"/>
        </w:rPr>
        <w:t>bikonvekse</w:t>
      </w:r>
      <w:proofErr w:type="spellEnd"/>
      <w:r w:rsidRPr="00B0203E">
        <w:rPr>
          <w:sz w:val="24"/>
          <w:szCs w:val="24"/>
        </w:rPr>
        <w:t xml:space="preserve"> filmovertrukne tabletter 9,8 x 6,2 mm mærket med "C25" på den ene side og uden mærkning på den anden side.</w:t>
      </w:r>
    </w:p>
    <w:p w:rsidR="003E2EDB" w:rsidRPr="00B0203E" w:rsidRDefault="003E2EDB" w:rsidP="003E2EDB">
      <w:pPr>
        <w:ind w:left="851" w:hanging="851"/>
        <w:rPr>
          <w:sz w:val="24"/>
          <w:szCs w:val="24"/>
        </w:rPr>
      </w:pPr>
    </w:p>
    <w:p w:rsidR="003E2EDB" w:rsidRPr="00B0203E" w:rsidRDefault="003E2EDB" w:rsidP="003E2EDB">
      <w:pPr>
        <w:ind w:left="851" w:hanging="851"/>
        <w:rPr>
          <w:sz w:val="24"/>
          <w:szCs w:val="24"/>
        </w:rPr>
      </w:pPr>
    </w:p>
    <w:p w:rsidR="003E2EDB" w:rsidRPr="00B0203E" w:rsidRDefault="003E2EDB" w:rsidP="003E2EDB">
      <w:pPr>
        <w:ind w:left="851" w:hanging="851"/>
        <w:rPr>
          <w:b/>
          <w:sz w:val="24"/>
          <w:szCs w:val="24"/>
        </w:rPr>
      </w:pPr>
      <w:r w:rsidRPr="00B0203E">
        <w:rPr>
          <w:b/>
          <w:sz w:val="24"/>
          <w:szCs w:val="24"/>
        </w:rPr>
        <w:t>4.</w:t>
      </w:r>
      <w:r w:rsidRPr="00B0203E">
        <w:rPr>
          <w:b/>
          <w:sz w:val="24"/>
          <w:szCs w:val="24"/>
        </w:rPr>
        <w:tab/>
        <w:t>KLINISKE OPLYSNINGER</w:t>
      </w:r>
    </w:p>
    <w:p w:rsidR="003E2EDB" w:rsidRPr="00B0203E" w:rsidRDefault="003E2EDB" w:rsidP="003E2EDB">
      <w:pPr>
        <w:ind w:left="851" w:hanging="851"/>
        <w:rPr>
          <w:b/>
          <w:sz w:val="24"/>
          <w:szCs w:val="24"/>
        </w:rPr>
      </w:pPr>
    </w:p>
    <w:p w:rsidR="003E2EDB" w:rsidRPr="00B0203E" w:rsidRDefault="003E2EDB" w:rsidP="003E2EDB">
      <w:pPr>
        <w:ind w:left="851" w:hanging="851"/>
        <w:rPr>
          <w:b/>
          <w:sz w:val="24"/>
          <w:szCs w:val="24"/>
          <w:u w:val="single"/>
        </w:rPr>
      </w:pPr>
      <w:r w:rsidRPr="00B0203E">
        <w:rPr>
          <w:b/>
          <w:sz w:val="24"/>
          <w:szCs w:val="24"/>
        </w:rPr>
        <w:t>4.1</w:t>
      </w:r>
      <w:r w:rsidRPr="00B0203E">
        <w:rPr>
          <w:b/>
          <w:sz w:val="24"/>
          <w:szCs w:val="24"/>
        </w:rPr>
        <w:tab/>
        <w:t>Terapeutiske indikationer</w:t>
      </w:r>
    </w:p>
    <w:p w:rsidR="001D28E9" w:rsidRPr="00B0203E" w:rsidRDefault="001D28E9" w:rsidP="001D28E9">
      <w:pPr>
        <w:numPr>
          <w:ilvl w:val="0"/>
          <w:numId w:val="6"/>
        </w:numPr>
        <w:ind w:left="1276" w:hanging="425"/>
        <w:rPr>
          <w:sz w:val="24"/>
          <w:szCs w:val="24"/>
        </w:rPr>
      </w:pPr>
      <w:r>
        <w:rPr>
          <w:sz w:val="24"/>
          <w:szCs w:val="24"/>
          <w:lang w:eastAsia="sv-SE"/>
        </w:rPr>
        <w:t>Korttidsbehandling af s</w:t>
      </w:r>
      <w:r w:rsidRPr="00B0203E">
        <w:rPr>
          <w:sz w:val="24"/>
          <w:szCs w:val="24"/>
          <w:lang w:eastAsia="sv-SE"/>
        </w:rPr>
        <w:t>øvnforstyrrelser</w:t>
      </w:r>
      <w:r w:rsidRPr="00B0203E">
        <w:rPr>
          <w:sz w:val="24"/>
          <w:szCs w:val="24"/>
        </w:rPr>
        <w:t xml:space="preserve"> </w:t>
      </w:r>
    </w:p>
    <w:p w:rsidR="001D28E9" w:rsidRPr="00B0203E" w:rsidRDefault="001D28E9" w:rsidP="001D28E9">
      <w:pPr>
        <w:numPr>
          <w:ilvl w:val="0"/>
          <w:numId w:val="6"/>
        </w:numPr>
        <w:ind w:left="1276" w:hanging="425"/>
        <w:rPr>
          <w:sz w:val="24"/>
          <w:szCs w:val="24"/>
        </w:rPr>
      </w:pPr>
      <w:r>
        <w:rPr>
          <w:sz w:val="24"/>
          <w:szCs w:val="24"/>
        </w:rPr>
        <w:t>Symptomatisk korttidsbehandling af</w:t>
      </w:r>
      <w:r w:rsidRPr="00B0203E">
        <w:rPr>
          <w:sz w:val="24"/>
          <w:szCs w:val="24"/>
        </w:rPr>
        <w:t xml:space="preserve"> angst</w:t>
      </w:r>
    </w:p>
    <w:p w:rsidR="001D28E9" w:rsidRPr="00B0203E" w:rsidRDefault="001D28E9" w:rsidP="001D28E9">
      <w:pPr>
        <w:numPr>
          <w:ilvl w:val="0"/>
          <w:numId w:val="6"/>
        </w:numPr>
        <w:ind w:left="1276" w:hanging="425"/>
        <w:rPr>
          <w:sz w:val="24"/>
          <w:szCs w:val="24"/>
        </w:rPr>
      </w:pPr>
      <w:r w:rsidRPr="00B0203E">
        <w:rPr>
          <w:sz w:val="24"/>
          <w:szCs w:val="24"/>
        </w:rPr>
        <w:t>Præmedicinering ved kirurgisk og dental praksis</w:t>
      </w:r>
    </w:p>
    <w:p w:rsidR="001D28E9" w:rsidRPr="00B0203E" w:rsidRDefault="001D28E9" w:rsidP="001D28E9">
      <w:pPr>
        <w:numPr>
          <w:ilvl w:val="0"/>
          <w:numId w:val="6"/>
        </w:numPr>
        <w:ind w:left="1276" w:hanging="425"/>
        <w:rPr>
          <w:sz w:val="24"/>
          <w:szCs w:val="24"/>
        </w:rPr>
      </w:pPr>
      <w:r w:rsidRPr="00B0203E">
        <w:rPr>
          <w:sz w:val="24"/>
          <w:szCs w:val="24"/>
        </w:rPr>
        <w:t xml:space="preserve">Transportsyge </w:t>
      </w:r>
    </w:p>
    <w:p w:rsidR="001D28E9" w:rsidRPr="00B0203E" w:rsidRDefault="001D28E9" w:rsidP="001D28E9">
      <w:pPr>
        <w:numPr>
          <w:ilvl w:val="0"/>
          <w:numId w:val="6"/>
        </w:numPr>
        <w:ind w:left="1276" w:hanging="425"/>
        <w:rPr>
          <w:sz w:val="24"/>
          <w:szCs w:val="24"/>
        </w:rPr>
      </w:pPr>
      <w:r w:rsidRPr="00B0203E">
        <w:rPr>
          <w:sz w:val="24"/>
          <w:szCs w:val="24"/>
        </w:rPr>
        <w:t xml:space="preserve">Allergiske reaktioner af forskellig oprindelse </w:t>
      </w:r>
    </w:p>
    <w:p w:rsidR="001D28E9" w:rsidRPr="00B0203E" w:rsidRDefault="001D28E9" w:rsidP="001D28E9">
      <w:pPr>
        <w:numPr>
          <w:ilvl w:val="0"/>
          <w:numId w:val="6"/>
        </w:numPr>
        <w:ind w:left="1276" w:hanging="425"/>
        <w:rPr>
          <w:sz w:val="24"/>
          <w:szCs w:val="24"/>
        </w:rPr>
      </w:pPr>
      <w:proofErr w:type="spellStart"/>
      <w:r w:rsidRPr="00B0203E">
        <w:rPr>
          <w:sz w:val="24"/>
          <w:szCs w:val="24"/>
        </w:rPr>
        <w:t>Pruritus</w:t>
      </w:r>
      <w:proofErr w:type="spellEnd"/>
    </w:p>
    <w:p w:rsidR="001D28E9" w:rsidRPr="00B0203E" w:rsidRDefault="001D28E9" w:rsidP="001D28E9">
      <w:pPr>
        <w:numPr>
          <w:ilvl w:val="0"/>
          <w:numId w:val="6"/>
        </w:numPr>
        <w:ind w:left="1276" w:hanging="425"/>
        <w:rPr>
          <w:sz w:val="24"/>
          <w:szCs w:val="24"/>
        </w:rPr>
      </w:pPr>
      <w:r w:rsidRPr="00B0203E">
        <w:rPr>
          <w:sz w:val="24"/>
          <w:szCs w:val="24"/>
        </w:rPr>
        <w:t xml:space="preserve">Kvalme og </w:t>
      </w:r>
      <w:proofErr w:type="spellStart"/>
      <w:r w:rsidRPr="00B0203E">
        <w:rPr>
          <w:sz w:val="24"/>
          <w:szCs w:val="24"/>
        </w:rPr>
        <w:t>vertigo</w:t>
      </w:r>
      <w:proofErr w:type="spellEnd"/>
      <w:r w:rsidRPr="00B0203E">
        <w:rPr>
          <w:sz w:val="24"/>
          <w:szCs w:val="24"/>
        </w:rPr>
        <w:t xml:space="preserve"> (morgenkvalme, </w:t>
      </w:r>
      <w:proofErr w:type="spellStart"/>
      <w:r w:rsidRPr="00B0203E">
        <w:rPr>
          <w:sz w:val="24"/>
          <w:szCs w:val="24"/>
        </w:rPr>
        <w:t>Ménières</w:t>
      </w:r>
      <w:proofErr w:type="spellEnd"/>
      <w:r w:rsidRPr="00B0203E">
        <w:rPr>
          <w:sz w:val="24"/>
          <w:szCs w:val="24"/>
        </w:rPr>
        <w:t xml:space="preserve"> sygdom, kvalme efter radiumbehandling og anæstesi)</w:t>
      </w:r>
    </w:p>
    <w:p w:rsidR="003E2EDB" w:rsidRPr="00B0203E" w:rsidRDefault="003E2EDB" w:rsidP="003E2EDB">
      <w:pPr>
        <w:ind w:left="851" w:hanging="851"/>
        <w:rPr>
          <w:sz w:val="24"/>
          <w:szCs w:val="24"/>
        </w:rPr>
      </w:pPr>
    </w:p>
    <w:p w:rsidR="003E2EDB" w:rsidRDefault="003E2EDB" w:rsidP="00FF55FB">
      <w:pPr>
        <w:ind w:left="851" w:hanging="851"/>
        <w:rPr>
          <w:b/>
          <w:sz w:val="24"/>
          <w:szCs w:val="24"/>
        </w:rPr>
      </w:pPr>
      <w:r w:rsidRPr="00B0203E">
        <w:rPr>
          <w:b/>
          <w:sz w:val="24"/>
          <w:szCs w:val="24"/>
        </w:rPr>
        <w:t>4.2</w:t>
      </w:r>
      <w:r w:rsidRPr="00B0203E">
        <w:rPr>
          <w:b/>
          <w:sz w:val="24"/>
          <w:szCs w:val="24"/>
        </w:rPr>
        <w:tab/>
        <w:t xml:space="preserve">Dosering og </w:t>
      </w:r>
      <w:r w:rsidR="001D28E9">
        <w:rPr>
          <w:b/>
          <w:sz w:val="24"/>
          <w:szCs w:val="24"/>
        </w:rPr>
        <w:t>administration</w:t>
      </w:r>
    </w:p>
    <w:p w:rsidR="00D0206B" w:rsidRDefault="00D0206B" w:rsidP="00D0206B">
      <w:pPr>
        <w:ind w:left="851"/>
        <w:rPr>
          <w:sz w:val="24"/>
          <w:szCs w:val="24"/>
          <w:lang w:eastAsia="sv-SE"/>
        </w:rPr>
      </w:pPr>
      <w:proofErr w:type="spellStart"/>
      <w:r>
        <w:rPr>
          <w:sz w:val="24"/>
          <w:szCs w:val="24"/>
          <w:lang w:eastAsia="sv-SE"/>
        </w:rPr>
        <w:t>Promethazin</w:t>
      </w:r>
      <w:proofErr w:type="spellEnd"/>
      <w:r>
        <w:rPr>
          <w:sz w:val="24"/>
          <w:szCs w:val="24"/>
          <w:lang w:eastAsia="sv-SE"/>
        </w:rPr>
        <w:t xml:space="preserve"> bør anvendes i den laveste effektive dosis og i den kortest mulige behandlingsperiode. Den anbefalede dosis bør ikke overskrides (se også pkt. 4.4).</w:t>
      </w:r>
    </w:p>
    <w:p w:rsidR="001D28E9" w:rsidRDefault="001D28E9" w:rsidP="001D28E9">
      <w:pPr>
        <w:ind w:left="851"/>
        <w:rPr>
          <w:b/>
          <w:sz w:val="24"/>
          <w:szCs w:val="24"/>
        </w:rPr>
      </w:pPr>
    </w:p>
    <w:p w:rsidR="001D28E9" w:rsidRDefault="001D28E9" w:rsidP="001D28E9">
      <w:pPr>
        <w:ind w:left="851"/>
        <w:rPr>
          <w:b/>
          <w:sz w:val="24"/>
          <w:szCs w:val="24"/>
        </w:rPr>
      </w:pPr>
      <w:r>
        <w:rPr>
          <w:b/>
          <w:sz w:val="24"/>
          <w:szCs w:val="24"/>
        </w:rPr>
        <w:t>Symptomatisk korttidsbehandling af angst:</w:t>
      </w:r>
    </w:p>
    <w:p w:rsidR="001D28E9" w:rsidRPr="00B0203E" w:rsidRDefault="001D28E9" w:rsidP="001D28E9">
      <w:pPr>
        <w:ind w:left="851"/>
        <w:rPr>
          <w:sz w:val="24"/>
          <w:szCs w:val="24"/>
          <w:lang w:eastAsia="sv-SE"/>
        </w:rPr>
      </w:pPr>
      <w:r w:rsidRPr="00B0203E">
        <w:rPr>
          <w:sz w:val="24"/>
          <w:szCs w:val="24"/>
          <w:lang w:eastAsia="sv-SE"/>
        </w:rPr>
        <w:t>Voksne: 25-50 mg</w:t>
      </w:r>
      <w:r>
        <w:rPr>
          <w:sz w:val="24"/>
          <w:szCs w:val="24"/>
          <w:lang w:eastAsia="sv-SE"/>
        </w:rPr>
        <w:t xml:space="preserve"> 1-3 gange dagligt</w:t>
      </w:r>
      <w:r w:rsidRPr="00B0203E">
        <w:rPr>
          <w:sz w:val="24"/>
          <w:szCs w:val="24"/>
          <w:lang w:eastAsia="sv-SE"/>
        </w:rPr>
        <w:t>.</w:t>
      </w:r>
    </w:p>
    <w:p w:rsidR="001D28E9" w:rsidRPr="00B0203E" w:rsidRDefault="001D28E9" w:rsidP="001D28E9">
      <w:pPr>
        <w:ind w:left="851" w:hanging="851"/>
        <w:jc w:val="both"/>
        <w:rPr>
          <w:sz w:val="24"/>
          <w:szCs w:val="24"/>
          <w:u w:val="single"/>
        </w:rPr>
      </w:pPr>
    </w:p>
    <w:p w:rsidR="001D28E9" w:rsidRPr="00B0203E" w:rsidRDefault="001D28E9" w:rsidP="001D28E9">
      <w:pPr>
        <w:suppressAutoHyphens/>
        <w:ind w:left="851"/>
        <w:rPr>
          <w:b/>
          <w:sz w:val="24"/>
          <w:szCs w:val="24"/>
        </w:rPr>
      </w:pPr>
      <w:r>
        <w:rPr>
          <w:b/>
          <w:sz w:val="24"/>
          <w:szCs w:val="24"/>
          <w:lang w:eastAsia="sv-SE"/>
        </w:rPr>
        <w:t>Korttidsbehandling af s</w:t>
      </w:r>
      <w:r w:rsidRPr="00B0203E">
        <w:rPr>
          <w:b/>
          <w:sz w:val="24"/>
          <w:szCs w:val="24"/>
          <w:lang w:eastAsia="sv-SE"/>
        </w:rPr>
        <w:t>øvnforstyrrelser</w:t>
      </w:r>
      <w:r w:rsidRPr="00B0203E">
        <w:rPr>
          <w:b/>
          <w:sz w:val="24"/>
          <w:szCs w:val="24"/>
        </w:rPr>
        <w:t>:</w:t>
      </w:r>
    </w:p>
    <w:p w:rsidR="00D0206B" w:rsidRDefault="00D0206B" w:rsidP="00D0206B">
      <w:pPr>
        <w:suppressAutoHyphens/>
        <w:ind w:left="851"/>
        <w:rPr>
          <w:i/>
          <w:sz w:val="24"/>
          <w:szCs w:val="24"/>
        </w:rPr>
      </w:pPr>
      <w:r>
        <w:rPr>
          <w:i/>
          <w:sz w:val="24"/>
          <w:szCs w:val="24"/>
        </w:rPr>
        <w:t xml:space="preserve">Voksne: </w:t>
      </w:r>
      <w:r>
        <w:rPr>
          <w:sz w:val="24"/>
          <w:szCs w:val="24"/>
        </w:rPr>
        <w:t>25-50 mg 1-2 timer før sengetid.</w:t>
      </w:r>
    </w:p>
    <w:p w:rsidR="00D0206B" w:rsidRDefault="00D0206B" w:rsidP="00D0206B">
      <w:pPr>
        <w:ind w:left="851"/>
        <w:rPr>
          <w:i/>
          <w:sz w:val="24"/>
          <w:szCs w:val="24"/>
          <w:lang w:eastAsia="sv-SE"/>
        </w:rPr>
      </w:pPr>
      <w:r>
        <w:rPr>
          <w:sz w:val="24"/>
          <w:szCs w:val="24"/>
          <w:lang w:eastAsia="sv-SE"/>
        </w:rPr>
        <w:t>Indimellem kan der ved denne dosis være tilbageværende døsighed om morgenen, som forsvinder efter få dages fortsat behandling. I mange tilfælde vil en lavere dosis give en tilstrækkelig virkning. I mere alvorlige tilfælde kan dosis øges.</w:t>
      </w:r>
    </w:p>
    <w:p w:rsidR="00D0206B" w:rsidRDefault="00D0206B" w:rsidP="00D0206B">
      <w:pPr>
        <w:ind w:left="851"/>
        <w:rPr>
          <w:sz w:val="24"/>
          <w:szCs w:val="24"/>
          <w:lang w:eastAsia="sv-SE"/>
        </w:rPr>
      </w:pPr>
      <w:r>
        <w:rPr>
          <w:i/>
          <w:sz w:val="24"/>
          <w:szCs w:val="24"/>
          <w:lang w:eastAsia="sv-SE"/>
        </w:rPr>
        <w:t>Børn 6</w:t>
      </w:r>
      <w:r>
        <w:rPr>
          <w:i/>
          <w:iCs/>
          <w:sz w:val="24"/>
          <w:szCs w:val="24"/>
          <w:lang w:eastAsia="sv-SE"/>
        </w:rPr>
        <w:t xml:space="preserve">-17 år: </w:t>
      </w:r>
      <w:r>
        <w:rPr>
          <w:sz w:val="24"/>
          <w:szCs w:val="24"/>
          <w:lang w:eastAsia="sv-SE"/>
        </w:rPr>
        <w:t>20-25 mg 1-2 timer før sengetid.</w:t>
      </w:r>
    </w:p>
    <w:p w:rsidR="001D28E9" w:rsidRPr="00B0203E" w:rsidRDefault="001D28E9" w:rsidP="001D28E9">
      <w:pPr>
        <w:ind w:left="851" w:hanging="851"/>
        <w:rPr>
          <w:sz w:val="24"/>
          <w:szCs w:val="24"/>
          <w:lang w:eastAsia="sv-SE"/>
        </w:rPr>
      </w:pPr>
    </w:p>
    <w:p w:rsidR="001D28E9" w:rsidRDefault="001D28E9" w:rsidP="001D28E9">
      <w:pPr>
        <w:ind w:left="851"/>
        <w:rPr>
          <w:sz w:val="24"/>
          <w:szCs w:val="24"/>
          <w:lang w:eastAsia="sv-SE"/>
        </w:rPr>
      </w:pPr>
      <w:r w:rsidRPr="00B0203E">
        <w:rPr>
          <w:sz w:val="24"/>
          <w:szCs w:val="24"/>
          <w:lang w:eastAsia="sv-SE"/>
        </w:rPr>
        <w:t xml:space="preserve">Den hypnotiske virkning aftager normalt ved fortsat behandling. Ved mere alvorlige tilfælde af søvnforstyrrelser kan det være nødvendigt med </w:t>
      </w:r>
      <w:r w:rsidRPr="00B0203E">
        <w:rPr>
          <w:sz w:val="24"/>
          <w:szCs w:val="24"/>
          <w:lang w:eastAsia="da-DK"/>
        </w:rPr>
        <w:t>intermitterende medicinering</w:t>
      </w:r>
      <w:r w:rsidRPr="00B0203E">
        <w:rPr>
          <w:sz w:val="24"/>
          <w:szCs w:val="24"/>
          <w:lang w:eastAsia="sv-SE"/>
        </w:rPr>
        <w:t xml:space="preserve"> (et ophold hver tredje eller fjerde aften).</w:t>
      </w:r>
    </w:p>
    <w:p w:rsidR="001D28E9" w:rsidRPr="00B0203E" w:rsidRDefault="00D0206B" w:rsidP="00D0206B">
      <w:pPr>
        <w:ind w:left="851"/>
        <w:rPr>
          <w:sz w:val="24"/>
          <w:szCs w:val="24"/>
          <w:lang w:eastAsia="sv-SE"/>
        </w:rPr>
      </w:pPr>
      <w:r>
        <w:rPr>
          <w:sz w:val="24"/>
          <w:szCs w:val="24"/>
          <w:lang w:eastAsia="sv-SE"/>
        </w:rPr>
        <w:t xml:space="preserve">Ældre mennesker kan normalt tage </w:t>
      </w:r>
      <w:proofErr w:type="spellStart"/>
      <w:r>
        <w:rPr>
          <w:sz w:val="24"/>
          <w:szCs w:val="24"/>
          <w:lang w:eastAsia="sv-SE"/>
        </w:rPr>
        <w:t>promethazin</w:t>
      </w:r>
      <w:proofErr w:type="spellEnd"/>
      <w:r>
        <w:rPr>
          <w:sz w:val="24"/>
          <w:szCs w:val="24"/>
          <w:lang w:eastAsia="sv-SE"/>
        </w:rPr>
        <w:t xml:space="preserve"> kontinuerligt som et </w:t>
      </w:r>
      <w:proofErr w:type="spellStart"/>
      <w:r>
        <w:rPr>
          <w:sz w:val="24"/>
          <w:szCs w:val="24"/>
          <w:lang w:eastAsia="sv-SE"/>
        </w:rPr>
        <w:t>hypnotikum</w:t>
      </w:r>
      <w:proofErr w:type="spellEnd"/>
      <w:r>
        <w:rPr>
          <w:sz w:val="24"/>
          <w:szCs w:val="24"/>
          <w:lang w:eastAsia="sv-SE"/>
        </w:rPr>
        <w:t>.</w:t>
      </w:r>
    </w:p>
    <w:p w:rsidR="001D28E9" w:rsidRPr="00B0203E" w:rsidRDefault="001D28E9" w:rsidP="001D28E9">
      <w:pPr>
        <w:pStyle w:val="Default"/>
        <w:ind w:left="851" w:hanging="851"/>
        <w:rPr>
          <w:lang w:val="da-DK" w:eastAsia="sv-SE"/>
        </w:rPr>
      </w:pPr>
    </w:p>
    <w:p w:rsidR="001D28E9" w:rsidRPr="00B0203E" w:rsidRDefault="001D28E9" w:rsidP="001D28E9">
      <w:pPr>
        <w:pStyle w:val="Default"/>
        <w:ind w:left="851"/>
        <w:rPr>
          <w:lang w:val="da-DK" w:eastAsia="sv-SE"/>
        </w:rPr>
      </w:pPr>
      <w:r w:rsidRPr="00B0203E">
        <w:rPr>
          <w:lang w:val="da-DK" w:eastAsia="sv-SE"/>
        </w:rPr>
        <w:t>Patienter med visse typer skader tåler sjældent høje doser.</w:t>
      </w:r>
    </w:p>
    <w:p w:rsidR="003E2EDB" w:rsidRPr="00B0203E" w:rsidRDefault="003E2EDB" w:rsidP="003E2EDB">
      <w:pPr>
        <w:ind w:left="851" w:hanging="851"/>
        <w:rPr>
          <w:sz w:val="24"/>
          <w:szCs w:val="24"/>
          <w:lang w:eastAsia="sv-SE"/>
        </w:rPr>
      </w:pPr>
    </w:p>
    <w:p w:rsidR="003E2EDB" w:rsidRPr="00B0203E" w:rsidRDefault="003E2EDB" w:rsidP="003E2EDB">
      <w:pPr>
        <w:ind w:left="851"/>
        <w:rPr>
          <w:b/>
          <w:sz w:val="24"/>
          <w:szCs w:val="24"/>
        </w:rPr>
      </w:pPr>
      <w:r w:rsidRPr="00B0203E">
        <w:rPr>
          <w:b/>
          <w:sz w:val="24"/>
          <w:szCs w:val="24"/>
        </w:rPr>
        <w:t>Transportsyge</w:t>
      </w:r>
      <w:r w:rsidRPr="00B0203E">
        <w:rPr>
          <w:b/>
          <w:iCs/>
          <w:sz w:val="24"/>
          <w:szCs w:val="24"/>
          <w:lang w:eastAsia="sv-SE"/>
        </w:rPr>
        <w:t>:</w:t>
      </w:r>
    </w:p>
    <w:p w:rsidR="00D0206B" w:rsidRDefault="00D0206B" w:rsidP="00D0206B">
      <w:pPr>
        <w:ind w:left="851"/>
        <w:rPr>
          <w:sz w:val="24"/>
          <w:szCs w:val="24"/>
          <w:lang w:eastAsia="sv-SE"/>
        </w:rPr>
      </w:pPr>
      <w:r>
        <w:rPr>
          <w:i/>
          <w:sz w:val="24"/>
          <w:szCs w:val="24"/>
          <w:lang w:eastAsia="sv-SE"/>
        </w:rPr>
        <w:t>Voksne:</w:t>
      </w:r>
      <w:r>
        <w:rPr>
          <w:i/>
          <w:iCs/>
          <w:sz w:val="24"/>
          <w:szCs w:val="24"/>
          <w:lang w:eastAsia="sv-SE"/>
        </w:rPr>
        <w:t xml:space="preserve"> </w:t>
      </w:r>
      <w:r>
        <w:rPr>
          <w:sz w:val="24"/>
          <w:szCs w:val="24"/>
          <w:lang w:eastAsia="sv-SE"/>
        </w:rPr>
        <w:t>25 mg, 1-2 timer før afrejse eller alternativt aftenen inden afrejse. Ved behov, kan der tages yderligere 2 doser inden for en periode på 24 timer.</w:t>
      </w:r>
    </w:p>
    <w:p w:rsidR="00D0206B" w:rsidRDefault="00D0206B" w:rsidP="00D0206B">
      <w:pPr>
        <w:ind w:left="851"/>
        <w:rPr>
          <w:iCs/>
          <w:sz w:val="24"/>
          <w:szCs w:val="24"/>
          <w:lang w:eastAsia="sv-SE"/>
        </w:rPr>
      </w:pPr>
      <w:r>
        <w:rPr>
          <w:i/>
          <w:sz w:val="24"/>
          <w:szCs w:val="24"/>
          <w:lang w:eastAsia="sv-SE"/>
        </w:rPr>
        <w:t>Unge 13-17 år:</w:t>
      </w:r>
      <w:r>
        <w:rPr>
          <w:iCs/>
          <w:sz w:val="24"/>
          <w:szCs w:val="24"/>
          <w:lang w:eastAsia="sv-SE"/>
        </w:rPr>
        <w:t xml:space="preserve"> 20-25 mg, 1-2 timer før afrejse eller alternativt aftenen inden afrejse. Ved behov, kan der tages to ekstra doser inden for en periode på 24 timer (maksimal daglig dosis 60 mg).</w:t>
      </w:r>
    </w:p>
    <w:p w:rsidR="003E2EDB" w:rsidRPr="00B0203E" w:rsidRDefault="003E2EDB" w:rsidP="003E2EDB">
      <w:pPr>
        <w:ind w:left="851" w:hanging="851"/>
        <w:rPr>
          <w:i/>
          <w:iCs/>
          <w:sz w:val="24"/>
          <w:szCs w:val="24"/>
          <w:lang w:eastAsia="sv-SE"/>
        </w:rPr>
      </w:pPr>
    </w:p>
    <w:p w:rsidR="003E2EDB" w:rsidRPr="00B0203E" w:rsidRDefault="003E2EDB" w:rsidP="003E2EDB">
      <w:pPr>
        <w:ind w:left="851"/>
        <w:rPr>
          <w:b/>
          <w:sz w:val="24"/>
          <w:szCs w:val="24"/>
          <w:lang w:eastAsia="sv-SE"/>
        </w:rPr>
      </w:pPr>
      <w:r w:rsidRPr="00B0203E">
        <w:rPr>
          <w:b/>
          <w:iCs/>
          <w:sz w:val="24"/>
          <w:szCs w:val="24"/>
          <w:lang w:eastAsia="sv-SE"/>
        </w:rPr>
        <w:t>Allergiske tilstande:</w:t>
      </w:r>
    </w:p>
    <w:p w:rsidR="003E2EDB" w:rsidRPr="00B0203E" w:rsidRDefault="003E2EDB" w:rsidP="003E2EDB">
      <w:pPr>
        <w:ind w:left="851"/>
        <w:rPr>
          <w:b/>
          <w:bCs/>
          <w:sz w:val="24"/>
          <w:szCs w:val="24"/>
          <w:lang w:eastAsia="sv-SE"/>
        </w:rPr>
      </w:pPr>
      <w:r w:rsidRPr="00B0203E">
        <w:rPr>
          <w:i/>
          <w:sz w:val="24"/>
          <w:szCs w:val="24"/>
          <w:lang w:eastAsia="sv-SE"/>
        </w:rPr>
        <w:t>Voksne:</w:t>
      </w:r>
      <w:r w:rsidRPr="00B0203E">
        <w:rPr>
          <w:sz w:val="24"/>
          <w:szCs w:val="24"/>
          <w:lang w:eastAsia="sv-SE"/>
        </w:rPr>
        <w:t xml:space="preserve"> 25-50 mg om aftenen.</w:t>
      </w:r>
    </w:p>
    <w:p w:rsidR="003E2EDB" w:rsidRPr="00B0203E" w:rsidRDefault="003E2EDB" w:rsidP="003E2EDB">
      <w:pPr>
        <w:pStyle w:val="Default"/>
        <w:ind w:left="851" w:hanging="851"/>
        <w:rPr>
          <w:lang w:val="da-DK" w:eastAsia="sv-SE"/>
        </w:rPr>
      </w:pPr>
    </w:p>
    <w:p w:rsidR="003E2EDB" w:rsidRPr="00B0203E" w:rsidRDefault="003E2EDB" w:rsidP="003E2EDB">
      <w:pPr>
        <w:ind w:left="851"/>
        <w:rPr>
          <w:i/>
          <w:iCs/>
          <w:sz w:val="24"/>
          <w:szCs w:val="24"/>
          <w:lang w:eastAsia="sv-SE"/>
        </w:rPr>
      </w:pPr>
      <w:r w:rsidRPr="00B0203E">
        <w:rPr>
          <w:b/>
          <w:iCs/>
          <w:sz w:val="24"/>
          <w:szCs w:val="24"/>
          <w:lang w:eastAsia="sv-SE"/>
        </w:rPr>
        <w:t>Præmedicinering:</w:t>
      </w:r>
    </w:p>
    <w:p w:rsidR="00D0206B" w:rsidRDefault="00D0206B" w:rsidP="00D0206B">
      <w:pPr>
        <w:ind w:left="851"/>
        <w:rPr>
          <w:sz w:val="24"/>
          <w:szCs w:val="24"/>
          <w:lang w:eastAsia="sv-SE"/>
        </w:rPr>
      </w:pPr>
      <w:r>
        <w:rPr>
          <w:i/>
          <w:sz w:val="24"/>
          <w:szCs w:val="24"/>
          <w:lang w:eastAsia="sv-SE"/>
        </w:rPr>
        <w:t xml:space="preserve">Voksne: </w:t>
      </w:r>
      <w:r>
        <w:rPr>
          <w:sz w:val="24"/>
          <w:szCs w:val="24"/>
          <w:lang w:eastAsia="sv-SE"/>
        </w:rPr>
        <w:t>25-50 mg én time før behandling; om nødvendigt, den samme dosis aftenen før behandling.</w:t>
      </w:r>
    </w:p>
    <w:p w:rsidR="00D0206B" w:rsidRDefault="00D0206B" w:rsidP="00D0206B">
      <w:pPr>
        <w:ind w:left="851"/>
        <w:rPr>
          <w:sz w:val="24"/>
          <w:szCs w:val="24"/>
          <w:lang w:eastAsia="sv-SE"/>
        </w:rPr>
      </w:pPr>
      <w:r>
        <w:rPr>
          <w:i/>
          <w:sz w:val="24"/>
          <w:szCs w:val="24"/>
          <w:lang w:eastAsia="sv-SE"/>
        </w:rPr>
        <w:t xml:space="preserve">Børn </w:t>
      </w:r>
      <w:r>
        <w:rPr>
          <w:i/>
          <w:iCs/>
          <w:sz w:val="24"/>
          <w:szCs w:val="24"/>
          <w:lang w:eastAsia="sv-SE"/>
        </w:rPr>
        <w:t>6-12 år og unge 13-17 år</w:t>
      </w:r>
      <w:r>
        <w:rPr>
          <w:i/>
          <w:sz w:val="24"/>
          <w:szCs w:val="24"/>
          <w:lang w:eastAsia="sv-SE"/>
        </w:rPr>
        <w:t>:</w:t>
      </w:r>
      <w:r>
        <w:rPr>
          <w:sz w:val="24"/>
          <w:szCs w:val="24"/>
          <w:lang w:eastAsia="sv-SE"/>
        </w:rPr>
        <w:t xml:space="preserve"> 25 mg én time før behandling; om nødvendigt, den samme dosis aftenen før behandling.</w:t>
      </w:r>
    </w:p>
    <w:p w:rsidR="00D0206B" w:rsidRDefault="00D0206B" w:rsidP="00D0206B">
      <w:pPr>
        <w:ind w:left="851"/>
        <w:rPr>
          <w:sz w:val="24"/>
          <w:szCs w:val="24"/>
          <w:lang w:eastAsia="sv-SE"/>
        </w:rPr>
      </w:pPr>
    </w:p>
    <w:p w:rsidR="00D0206B" w:rsidRDefault="00D0206B" w:rsidP="00D0206B">
      <w:pPr>
        <w:ind w:left="851"/>
        <w:rPr>
          <w:sz w:val="24"/>
          <w:szCs w:val="24"/>
          <w:lang w:eastAsia="sv-SE"/>
        </w:rPr>
      </w:pPr>
      <w:r>
        <w:rPr>
          <w:sz w:val="24"/>
          <w:szCs w:val="24"/>
          <w:lang w:eastAsia="sv-SE"/>
        </w:rPr>
        <w:t xml:space="preserve">For doseringer, der ikke kan opnås med </w:t>
      </w:r>
      <w:proofErr w:type="spellStart"/>
      <w:r>
        <w:rPr>
          <w:sz w:val="24"/>
          <w:szCs w:val="24"/>
          <w:lang w:eastAsia="sv-SE"/>
        </w:rPr>
        <w:t>Prometazin</w:t>
      </w:r>
      <w:proofErr w:type="spellEnd"/>
      <w:r>
        <w:rPr>
          <w:sz w:val="24"/>
          <w:szCs w:val="24"/>
          <w:lang w:eastAsia="sv-SE"/>
        </w:rPr>
        <w:t xml:space="preserve"> ”</w:t>
      </w:r>
      <w:proofErr w:type="spellStart"/>
      <w:r>
        <w:rPr>
          <w:sz w:val="24"/>
          <w:szCs w:val="24"/>
          <w:lang w:eastAsia="sv-SE"/>
        </w:rPr>
        <w:t>Actavis</w:t>
      </w:r>
      <w:proofErr w:type="spellEnd"/>
      <w:r>
        <w:rPr>
          <w:sz w:val="24"/>
          <w:szCs w:val="24"/>
          <w:lang w:eastAsia="sv-SE"/>
        </w:rPr>
        <w:t xml:space="preserve">”, er der lægemidler med </w:t>
      </w:r>
      <w:proofErr w:type="spellStart"/>
      <w:r>
        <w:rPr>
          <w:sz w:val="24"/>
          <w:szCs w:val="24"/>
          <w:lang w:eastAsia="sv-SE"/>
        </w:rPr>
        <w:t>promethazin</w:t>
      </w:r>
      <w:proofErr w:type="spellEnd"/>
      <w:r>
        <w:rPr>
          <w:sz w:val="24"/>
          <w:szCs w:val="24"/>
          <w:lang w:eastAsia="sv-SE"/>
        </w:rPr>
        <w:t xml:space="preserve"> i andre styrker tilgængelige.</w:t>
      </w:r>
    </w:p>
    <w:p w:rsidR="003E2EDB" w:rsidRPr="00B0203E" w:rsidRDefault="003E2EDB" w:rsidP="003E2EDB">
      <w:pPr>
        <w:ind w:left="851" w:hanging="851"/>
        <w:rPr>
          <w:sz w:val="24"/>
          <w:szCs w:val="24"/>
        </w:rPr>
      </w:pPr>
    </w:p>
    <w:p w:rsidR="001D28E9" w:rsidRPr="00B0203E" w:rsidRDefault="001D28E9" w:rsidP="001D28E9">
      <w:pPr>
        <w:ind w:left="851"/>
        <w:rPr>
          <w:sz w:val="24"/>
          <w:szCs w:val="24"/>
          <w:u w:val="single"/>
        </w:rPr>
      </w:pPr>
      <w:r w:rsidRPr="00B0203E">
        <w:rPr>
          <w:sz w:val="24"/>
          <w:szCs w:val="24"/>
          <w:u w:val="single"/>
        </w:rPr>
        <w:t>Administration</w:t>
      </w:r>
    </w:p>
    <w:p w:rsidR="001D28E9" w:rsidRPr="00B0203E" w:rsidRDefault="001D28E9" w:rsidP="001D28E9">
      <w:pPr>
        <w:pStyle w:val="Default"/>
        <w:ind w:left="851"/>
        <w:rPr>
          <w:lang w:val="da-DK"/>
        </w:rPr>
      </w:pPr>
      <w:r w:rsidRPr="00B0203E">
        <w:rPr>
          <w:lang w:val="da-DK"/>
        </w:rPr>
        <w:t>Oral</w:t>
      </w:r>
      <w:r>
        <w:rPr>
          <w:lang w:val="da-DK"/>
        </w:rPr>
        <w:t xml:space="preserve"> anvendelse.</w:t>
      </w:r>
    </w:p>
    <w:p w:rsidR="003E2EDB" w:rsidRPr="00B0203E" w:rsidRDefault="003E2EDB" w:rsidP="003E2EDB">
      <w:pPr>
        <w:ind w:left="851" w:hanging="851"/>
        <w:rPr>
          <w:sz w:val="24"/>
          <w:szCs w:val="24"/>
        </w:rPr>
      </w:pPr>
    </w:p>
    <w:p w:rsidR="003E2EDB" w:rsidRPr="00B0203E" w:rsidRDefault="003E2EDB" w:rsidP="003E2EDB">
      <w:pPr>
        <w:ind w:left="851" w:hanging="851"/>
        <w:rPr>
          <w:b/>
          <w:sz w:val="24"/>
          <w:szCs w:val="24"/>
        </w:rPr>
      </w:pPr>
      <w:r w:rsidRPr="00B0203E">
        <w:rPr>
          <w:b/>
          <w:sz w:val="24"/>
          <w:szCs w:val="24"/>
        </w:rPr>
        <w:t>4.3</w:t>
      </w:r>
      <w:r w:rsidRPr="00B0203E">
        <w:rPr>
          <w:b/>
          <w:sz w:val="24"/>
          <w:szCs w:val="24"/>
        </w:rPr>
        <w:tab/>
        <w:t>Kontraindikationer</w:t>
      </w:r>
    </w:p>
    <w:p w:rsidR="00D0206B" w:rsidRDefault="00D0206B" w:rsidP="00D0206B">
      <w:pPr>
        <w:ind w:left="851"/>
        <w:rPr>
          <w:color w:val="1A1A1A"/>
          <w:sz w:val="24"/>
          <w:szCs w:val="24"/>
          <w:lang w:eastAsia="da-DK"/>
        </w:rPr>
      </w:pPr>
      <w:proofErr w:type="spellStart"/>
      <w:r>
        <w:rPr>
          <w:color w:val="1A1A1A"/>
          <w:sz w:val="24"/>
          <w:szCs w:val="24"/>
          <w:lang w:eastAsia="da-DK"/>
        </w:rPr>
        <w:t>Prometazin</w:t>
      </w:r>
      <w:proofErr w:type="spellEnd"/>
      <w:r>
        <w:rPr>
          <w:color w:val="1A1A1A"/>
          <w:sz w:val="24"/>
          <w:szCs w:val="24"/>
          <w:lang w:eastAsia="da-DK"/>
        </w:rPr>
        <w:t xml:space="preserve"> "</w:t>
      </w:r>
      <w:proofErr w:type="spellStart"/>
      <w:r>
        <w:rPr>
          <w:color w:val="1A1A1A"/>
          <w:sz w:val="24"/>
          <w:szCs w:val="24"/>
          <w:lang w:eastAsia="da-DK"/>
        </w:rPr>
        <w:t>Actavis</w:t>
      </w:r>
      <w:proofErr w:type="spellEnd"/>
      <w:r>
        <w:rPr>
          <w:color w:val="1A1A1A"/>
          <w:sz w:val="24"/>
          <w:szCs w:val="24"/>
          <w:lang w:eastAsia="da-DK"/>
        </w:rPr>
        <w:t>" må ikke anvendes:</w:t>
      </w:r>
    </w:p>
    <w:p w:rsidR="00D0206B" w:rsidRDefault="00D0206B" w:rsidP="00D0206B">
      <w:pPr>
        <w:numPr>
          <w:ilvl w:val="0"/>
          <w:numId w:val="9"/>
        </w:numPr>
        <w:ind w:left="1276" w:hanging="425"/>
        <w:rPr>
          <w:sz w:val="24"/>
          <w:szCs w:val="24"/>
        </w:rPr>
      </w:pPr>
      <w:r>
        <w:rPr>
          <w:color w:val="1A1A1A"/>
          <w:sz w:val="24"/>
          <w:szCs w:val="24"/>
          <w:lang w:eastAsia="da-DK"/>
        </w:rPr>
        <w:t xml:space="preserve">hos patienter med </w:t>
      </w:r>
      <w:r>
        <w:rPr>
          <w:sz w:val="24"/>
          <w:szCs w:val="24"/>
        </w:rPr>
        <w:t>overfølsomhed over for det aktive stof eller over for et eller flere af hjælpestofferne anført i pkt. 6.1.</w:t>
      </w:r>
    </w:p>
    <w:p w:rsidR="00D0206B" w:rsidRDefault="00D0206B" w:rsidP="00D0206B">
      <w:pPr>
        <w:numPr>
          <w:ilvl w:val="0"/>
          <w:numId w:val="9"/>
        </w:numPr>
        <w:ind w:left="1276" w:hanging="425"/>
        <w:rPr>
          <w:sz w:val="24"/>
          <w:szCs w:val="24"/>
        </w:rPr>
      </w:pPr>
      <w:r>
        <w:rPr>
          <w:sz w:val="24"/>
          <w:szCs w:val="24"/>
        </w:rPr>
        <w:t>hos børn under 6 år.</w:t>
      </w:r>
    </w:p>
    <w:p w:rsidR="00D0206B" w:rsidRDefault="00D0206B" w:rsidP="00D0206B">
      <w:pPr>
        <w:numPr>
          <w:ilvl w:val="0"/>
          <w:numId w:val="9"/>
        </w:numPr>
        <w:ind w:left="1276" w:hanging="425"/>
        <w:rPr>
          <w:sz w:val="24"/>
          <w:szCs w:val="24"/>
        </w:rPr>
      </w:pPr>
      <w:r>
        <w:rPr>
          <w:sz w:val="24"/>
          <w:szCs w:val="24"/>
        </w:rPr>
        <w:t>hos patienter der har taget MAO-</w:t>
      </w:r>
      <w:proofErr w:type="spellStart"/>
      <w:r>
        <w:rPr>
          <w:sz w:val="24"/>
          <w:szCs w:val="24"/>
        </w:rPr>
        <w:t>hæmmere</w:t>
      </w:r>
      <w:proofErr w:type="spellEnd"/>
      <w:r>
        <w:rPr>
          <w:sz w:val="24"/>
          <w:szCs w:val="24"/>
        </w:rPr>
        <w:t xml:space="preserve"> (</w:t>
      </w:r>
      <w:proofErr w:type="spellStart"/>
      <w:r>
        <w:rPr>
          <w:sz w:val="24"/>
          <w:szCs w:val="24"/>
          <w:lang w:eastAsia="da-DK"/>
        </w:rPr>
        <w:t>monoaminooxidase-hæmmere</w:t>
      </w:r>
      <w:proofErr w:type="spellEnd"/>
      <w:r>
        <w:rPr>
          <w:sz w:val="24"/>
          <w:szCs w:val="24"/>
          <w:lang w:eastAsia="da-DK"/>
        </w:rPr>
        <w:t>) indenfor den sidste 14 dages periode.</w:t>
      </w:r>
    </w:p>
    <w:p w:rsidR="003E2EDB" w:rsidRPr="00B0203E" w:rsidRDefault="003E2EDB" w:rsidP="003E2EDB">
      <w:pPr>
        <w:ind w:left="851" w:hanging="851"/>
        <w:rPr>
          <w:sz w:val="24"/>
          <w:szCs w:val="24"/>
        </w:rPr>
      </w:pPr>
    </w:p>
    <w:p w:rsidR="003E2EDB" w:rsidRPr="00B0203E" w:rsidRDefault="003E2EDB" w:rsidP="003E2EDB">
      <w:pPr>
        <w:ind w:left="851" w:hanging="851"/>
        <w:rPr>
          <w:b/>
          <w:sz w:val="24"/>
          <w:szCs w:val="24"/>
        </w:rPr>
      </w:pPr>
      <w:r w:rsidRPr="00B0203E">
        <w:rPr>
          <w:b/>
          <w:sz w:val="24"/>
          <w:szCs w:val="24"/>
        </w:rPr>
        <w:t>4.4</w:t>
      </w:r>
      <w:r w:rsidRPr="00B0203E">
        <w:rPr>
          <w:b/>
          <w:sz w:val="24"/>
          <w:szCs w:val="24"/>
        </w:rPr>
        <w:tab/>
        <w:t>Særlige advarsler og forsigtighedsregler vedrørende brugen</w:t>
      </w:r>
    </w:p>
    <w:p w:rsidR="001D28E9" w:rsidRDefault="001D28E9" w:rsidP="001D28E9">
      <w:pPr>
        <w:ind w:left="851"/>
        <w:rPr>
          <w:sz w:val="24"/>
          <w:szCs w:val="24"/>
        </w:rPr>
      </w:pPr>
      <w:r>
        <w:rPr>
          <w:sz w:val="24"/>
          <w:szCs w:val="24"/>
        </w:rPr>
        <w:t>Patienter rådes kraftigt til at holde sig fra at indtage alkoholiske drikkevarer og/eller bruge stoffer under behandlingen. Dødsfald er blevet rapporteret ved samtidig alkoholforbrug og/eller stofbrug (se pkt. 4.5 og 4.9).</w:t>
      </w:r>
    </w:p>
    <w:p w:rsidR="001D28E9" w:rsidRDefault="001D28E9" w:rsidP="001D28E9">
      <w:pPr>
        <w:ind w:left="851"/>
        <w:rPr>
          <w:sz w:val="24"/>
          <w:szCs w:val="24"/>
        </w:rPr>
      </w:pPr>
    </w:p>
    <w:p w:rsidR="001D28E9" w:rsidRPr="00B0203E" w:rsidRDefault="001D28E9" w:rsidP="001D28E9">
      <w:pPr>
        <w:ind w:left="851"/>
        <w:rPr>
          <w:sz w:val="24"/>
          <w:szCs w:val="24"/>
        </w:rPr>
      </w:pPr>
      <w:r w:rsidRPr="00B0203E">
        <w:rPr>
          <w:sz w:val="24"/>
          <w:szCs w:val="24"/>
        </w:rPr>
        <w:t>Må ikke anvendes til patienter, som lider af nogen form for CNS-depression.</w:t>
      </w:r>
    </w:p>
    <w:p w:rsidR="001D28E9" w:rsidRPr="00B0203E" w:rsidRDefault="001D28E9" w:rsidP="001D28E9">
      <w:pPr>
        <w:ind w:left="851" w:hanging="851"/>
        <w:rPr>
          <w:sz w:val="24"/>
          <w:szCs w:val="24"/>
          <w:lang w:eastAsia="sv-SE"/>
        </w:rPr>
      </w:pPr>
    </w:p>
    <w:p w:rsidR="001D28E9" w:rsidRPr="00B0203E" w:rsidRDefault="001D28E9" w:rsidP="001D28E9">
      <w:pPr>
        <w:ind w:left="851"/>
        <w:rPr>
          <w:sz w:val="24"/>
          <w:szCs w:val="24"/>
          <w:lang w:eastAsia="sv-SE"/>
        </w:rPr>
      </w:pPr>
      <w:proofErr w:type="spellStart"/>
      <w:r w:rsidRPr="00B0203E">
        <w:rPr>
          <w:sz w:val="24"/>
          <w:szCs w:val="24"/>
          <w:lang w:eastAsia="sv-SE"/>
        </w:rPr>
        <w:t>Promethazin</w:t>
      </w:r>
      <w:proofErr w:type="spellEnd"/>
      <w:r w:rsidRPr="00B0203E">
        <w:rPr>
          <w:sz w:val="24"/>
          <w:szCs w:val="24"/>
          <w:lang w:eastAsia="sv-SE"/>
        </w:rPr>
        <w:t xml:space="preserve"> må ikke administreres som dagligt sedativ ved depressioner</w:t>
      </w:r>
      <w:r>
        <w:rPr>
          <w:sz w:val="24"/>
          <w:szCs w:val="24"/>
          <w:lang w:eastAsia="sv-SE"/>
        </w:rPr>
        <w:t>,</w:t>
      </w:r>
      <w:r w:rsidRPr="00B0203E">
        <w:rPr>
          <w:sz w:val="24"/>
          <w:szCs w:val="24"/>
          <w:lang w:eastAsia="sv-SE"/>
        </w:rPr>
        <w:t xml:space="preserve"> hvor hæmning og aversion er de fremherskende symptomer.</w:t>
      </w:r>
    </w:p>
    <w:p w:rsidR="003E2EDB" w:rsidRPr="00B0203E" w:rsidRDefault="003E2EDB" w:rsidP="003E2EDB">
      <w:pPr>
        <w:ind w:left="851" w:hanging="851"/>
        <w:rPr>
          <w:sz w:val="24"/>
          <w:szCs w:val="24"/>
          <w:lang w:eastAsia="sv-SE"/>
        </w:rPr>
      </w:pPr>
    </w:p>
    <w:p w:rsidR="003E2EDB" w:rsidRPr="00B0203E" w:rsidRDefault="003E2EDB" w:rsidP="003E2EDB">
      <w:pPr>
        <w:ind w:left="851"/>
        <w:rPr>
          <w:sz w:val="24"/>
          <w:szCs w:val="24"/>
        </w:rPr>
      </w:pPr>
      <w:r w:rsidRPr="00B0203E">
        <w:rPr>
          <w:sz w:val="24"/>
          <w:szCs w:val="24"/>
        </w:rPr>
        <w:t xml:space="preserve">Der bør der udvises forsigtighed ved behandling af patienter med prostatahypertrofi, blærehalsobstruktion, </w:t>
      </w:r>
      <w:proofErr w:type="spellStart"/>
      <w:r w:rsidRPr="00B0203E">
        <w:rPr>
          <w:sz w:val="24"/>
          <w:szCs w:val="24"/>
        </w:rPr>
        <w:t>pyloro-duodenal</w:t>
      </w:r>
      <w:proofErr w:type="spellEnd"/>
      <w:r w:rsidRPr="00B0203E">
        <w:rPr>
          <w:sz w:val="24"/>
          <w:szCs w:val="24"/>
        </w:rPr>
        <w:t xml:space="preserve"> obstruktion, </w:t>
      </w:r>
      <w:proofErr w:type="spellStart"/>
      <w:r w:rsidRPr="00B0203E">
        <w:rPr>
          <w:sz w:val="24"/>
          <w:szCs w:val="24"/>
        </w:rPr>
        <w:t>myasthenia</w:t>
      </w:r>
      <w:proofErr w:type="spellEnd"/>
      <w:r w:rsidRPr="00B0203E">
        <w:rPr>
          <w:sz w:val="24"/>
          <w:szCs w:val="24"/>
        </w:rPr>
        <w:t xml:space="preserve"> </w:t>
      </w:r>
      <w:proofErr w:type="spellStart"/>
      <w:r w:rsidRPr="00B0203E">
        <w:rPr>
          <w:sz w:val="24"/>
          <w:szCs w:val="24"/>
        </w:rPr>
        <w:t>gravis</w:t>
      </w:r>
      <w:proofErr w:type="spellEnd"/>
      <w:r w:rsidRPr="00B0203E">
        <w:rPr>
          <w:sz w:val="24"/>
          <w:szCs w:val="24"/>
        </w:rPr>
        <w:t xml:space="preserve"> og hepatitis.</w:t>
      </w:r>
    </w:p>
    <w:p w:rsidR="003E2EDB" w:rsidRPr="00B0203E" w:rsidRDefault="003E2EDB" w:rsidP="003E2EDB">
      <w:pPr>
        <w:pStyle w:val="Default"/>
        <w:ind w:left="851" w:hanging="851"/>
        <w:rPr>
          <w:lang w:val="da-DK" w:eastAsia="sv-SE"/>
        </w:rPr>
      </w:pPr>
    </w:p>
    <w:p w:rsidR="003E2EDB" w:rsidRPr="00B0203E" w:rsidRDefault="003E2EDB" w:rsidP="003E2EDB">
      <w:pPr>
        <w:ind w:left="851"/>
        <w:rPr>
          <w:sz w:val="24"/>
          <w:szCs w:val="24"/>
          <w:lang w:eastAsia="sv-SE"/>
        </w:rPr>
      </w:pPr>
      <w:r w:rsidRPr="00B0203E">
        <w:rPr>
          <w:sz w:val="24"/>
          <w:szCs w:val="24"/>
          <w:lang w:eastAsia="sv-SE"/>
        </w:rPr>
        <w:t xml:space="preserve">Mundtørhed kan ved langtidsbehandling, føre til tandskader og orale slimhindeskader. Tænderne bør børstes omhyggeligt med </w:t>
      </w:r>
      <w:proofErr w:type="spellStart"/>
      <w:r w:rsidRPr="00B0203E">
        <w:rPr>
          <w:sz w:val="24"/>
          <w:szCs w:val="24"/>
          <w:lang w:eastAsia="sv-SE"/>
        </w:rPr>
        <w:t>flour</w:t>
      </w:r>
      <w:proofErr w:type="spellEnd"/>
      <w:r w:rsidRPr="00B0203E">
        <w:rPr>
          <w:sz w:val="24"/>
          <w:szCs w:val="24"/>
          <w:lang w:eastAsia="sv-SE"/>
        </w:rPr>
        <w:t>-tandpasta to gange dagligt.</w:t>
      </w:r>
    </w:p>
    <w:p w:rsidR="003E2EDB" w:rsidRPr="00B0203E" w:rsidRDefault="003E2EDB" w:rsidP="003E2EDB">
      <w:pPr>
        <w:ind w:left="851" w:hanging="851"/>
        <w:rPr>
          <w:sz w:val="24"/>
          <w:szCs w:val="24"/>
          <w:lang w:eastAsia="sv-SE"/>
        </w:rPr>
      </w:pPr>
    </w:p>
    <w:p w:rsidR="003E2EDB" w:rsidRPr="00B0203E" w:rsidRDefault="003E2EDB" w:rsidP="003E2EDB">
      <w:pPr>
        <w:ind w:left="851"/>
        <w:rPr>
          <w:sz w:val="24"/>
          <w:szCs w:val="24"/>
        </w:rPr>
      </w:pPr>
      <w:r w:rsidRPr="00B0203E">
        <w:rPr>
          <w:sz w:val="24"/>
          <w:szCs w:val="24"/>
        </w:rPr>
        <w:t>Mindsket tåreflod kan medføre problemer for kontaktlinsebrugere.</w:t>
      </w:r>
    </w:p>
    <w:p w:rsidR="003E2EDB" w:rsidRPr="00B0203E" w:rsidRDefault="003E2EDB" w:rsidP="003E2EDB">
      <w:pPr>
        <w:ind w:left="851" w:hanging="851"/>
        <w:rPr>
          <w:sz w:val="24"/>
          <w:szCs w:val="24"/>
          <w:lang w:eastAsia="sv-SE"/>
        </w:rPr>
      </w:pPr>
    </w:p>
    <w:p w:rsidR="003E2EDB" w:rsidRDefault="003E2EDB" w:rsidP="003E2EDB">
      <w:pPr>
        <w:ind w:left="851"/>
        <w:rPr>
          <w:sz w:val="24"/>
          <w:szCs w:val="24"/>
          <w:lang w:eastAsia="sv-SE"/>
        </w:rPr>
      </w:pPr>
      <w:r w:rsidRPr="00B0203E">
        <w:rPr>
          <w:sz w:val="24"/>
          <w:szCs w:val="24"/>
          <w:lang w:eastAsia="sv-SE"/>
        </w:rPr>
        <w:t xml:space="preserve">I randomiserede, placebo-kontrollerede kliniske forsøg er der for nogle atypiske </w:t>
      </w:r>
      <w:proofErr w:type="spellStart"/>
      <w:r w:rsidRPr="00B0203E">
        <w:rPr>
          <w:sz w:val="24"/>
          <w:szCs w:val="24"/>
          <w:lang w:eastAsia="sv-SE"/>
        </w:rPr>
        <w:t>neuroleptika</w:t>
      </w:r>
      <w:proofErr w:type="spellEnd"/>
      <w:r w:rsidRPr="00B0203E">
        <w:rPr>
          <w:sz w:val="24"/>
          <w:szCs w:val="24"/>
          <w:lang w:eastAsia="sv-SE"/>
        </w:rPr>
        <w:t xml:space="preserve"> set en næsten 3-foldig risiko for </w:t>
      </w:r>
      <w:proofErr w:type="spellStart"/>
      <w:r w:rsidRPr="00B0203E">
        <w:rPr>
          <w:sz w:val="24"/>
          <w:szCs w:val="24"/>
          <w:lang w:eastAsia="sv-SE"/>
        </w:rPr>
        <w:t>cerebrovaskulære</w:t>
      </w:r>
      <w:proofErr w:type="spellEnd"/>
      <w:r w:rsidRPr="00B0203E">
        <w:rPr>
          <w:sz w:val="24"/>
          <w:szCs w:val="24"/>
          <w:lang w:eastAsia="sv-SE"/>
        </w:rPr>
        <w:t xml:space="preserve"> hændelser hos patienter med demens. Den underliggende mekanistiske forklaring for denne øgede risiko kendes ikke. En øget risiko for andre </w:t>
      </w:r>
      <w:proofErr w:type="spellStart"/>
      <w:r w:rsidRPr="00B0203E">
        <w:rPr>
          <w:sz w:val="24"/>
          <w:szCs w:val="24"/>
          <w:lang w:eastAsia="sv-SE"/>
        </w:rPr>
        <w:t>neuroleptika</w:t>
      </w:r>
      <w:proofErr w:type="spellEnd"/>
      <w:r w:rsidRPr="00B0203E">
        <w:rPr>
          <w:sz w:val="24"/>
          <w:szCs w:val="24"/>
          <w:lang w:eastAsia="sv-SE"/>
        </w:rPr>
        <w:t xml:space="preserve"> og blandt andre patientpopulationer kan ikke udelukkes. Som følge heraf, bør </w:t>
      </w:r>
      <w:proofErr w:type="spellStart"/>
      <w:r>
        <w:rPr>
          <w:color w:val="1A1A1A"/>
          <w:sz w:val="24"/>
          <w:szCs w:val="24"/>
          <w:lang w:eastAsia="da-DK"/>
        </w:rPr>
        <w:t>Prometazin</w:t>
      </w:r>
      <w:proofErr w:type="spellEnd"/>
      <w:r>
        <w:rPr>
          <w:color w:val="1A1A1A"/>
          <w:sz w:val="24"/>
          <w:szCs w:val="24"/>
          <w:lang w:eastAsia="da-DK"/>
        </w:rPr>
        <w:t xml:space="preserve"> "</w:t>
      </w:r>
      <w:proofErr w:type="spellStart"/>
      <w:r>
        <w:rPr>
          <w:color w:val="1A1A1A"/>
          <w:sz w:val="24"/>
          <w:szCs w:val="24"/>
          <w:lang w:eastAsia="da-DK"/>
        </w:rPr>
        <w:t>Actavis</w:t>
      </w:r>
      <w:proofErr w:type="spellEnd"/>
      <w:r>
        <w:rPr>
          <w:color w:val="1A1A1A"/>
          <w:sz w:val="24"/>
          <w:szCs w:val="24"/>
          <w:lang w:eastAsia="da-DK"/>
        </w:rPr>
        <w:t>"</w:t>
      </w:r>
      <w:r w:rsidRPr="00B0203E">
        <w:rPr>
          <w:color w:val="1A1A1A"/>
          <w:sz w:val="24"/>
          <w:szCs w:val="24"/>
          <w:lang w:eastAsia="da-DK"/>
        </w:rPr>
        <w:t xml:space="preserve"> </w:t>
      </w:r>
      <w:r w:rsidRPr="00B0203E">
        <w:rPr>
          <w:sz w:val="24"/>
          <w:szCs w:val="24"/>
          <w:lang w:eastAsia="sv-SE"/>
        </w:rPr>
        <w:t xml:space="preserve">anvendes med forsigtighed hos patienter med risikofaktorer for slagtilfælde. </w:t>
      </w:r>
    </w:p>
    <w:p w:rsidR="00232864" w:rsidRDefault="00232864" w:rsidP="003E2EDB">
      <w:pPr>
        <w:ind w:left="851"/>
        <w:rPr>
          <w:sz w:val="24"/>
          <w:szCs w:val="24"/>
          <w:lang w:eastAsia="sv-SE"/>
        </w:rPr>
      </w:pPr>
    </w:p>
    <w:p w:rsidR="00232864" w:rsidRPr="00814F57" w:rsidRDefault="00232864" w:rsidP="00232864">
      <w:pPr>
        <w:ind w:left="851"/>
        <w:rPr>
          <w:i/>
          <w:iCs/>
          <w:sz w:val="24"/>
          <w:szCs w:val="24"/>
          <w:lang w:eastAsia="sv-SE"/>
        </w:rPr>
      </w:pPr>
      <w:r w:rsidRPr="00814F57">
        <w:rPr>
          <w:i/>
          <w:iCs/>
          <w:sz w:val="24"/>
          <w:szCs w:val="24"/>
          <w:lang w:eastAsia="sv-SE"/>
        </w:rPr>
        <w:t xml:space="preserve">Malignt </w:t>
      </w:r>
      <w:proofErr w:type="spellStart"/>
      <w:r w:rsidRPr="00814F57">
        <w:rPr>
          <w:i/>
          <w:iCs/>
          <w:sz w:val="24"/>
          <w:szCs w:val="24"/>
          <w:lang w:eastAsia="sv-SE"/>
        </w:rPr>
        <w:t>neuroleptikasyndrom</w:t>
      </w:r>
      <w:proofErr w:type="spellEnd"/>
    </w:p>
    <w:p w:rsidR="00232864" w:rsidRPr="00B0203E" w:rsidRDefault="00232864" w:rsidP="00232864">
      <w:pPr>
        <w:ind w:left="851"/>
        <w:rPr>
          <w:sz w:val="24"/>
          <w:szCs w:val="24"/>
          <w:lang w:eastAsia="sv-SE"/>
        </w:rPr>
      </w:pPr>
      <w:r>
        <w:rPr>
          <w:sz w:val="24"/>
          <w:szCs w:val="24"/>
          <w:lang w:eastAsia="sv-SE"/>
        </w:rPr>
        <w:t xml:space="preserve">Som for </w:t>
      </w:r>
      <w:proofErr w:type="spellStart"/>
      <w:r>
        <w:rPr>
          <w:sz w:val="24"/>
          <w:szCs w:val="24"/>
          <w:lang w:eastAsia="sv-SE"/>
        </w:rPr>
        <w:t>neuroleptika</w:t>
      </w:r>
      <w:proofErr w:type="spellEnd"/>
      <w:r>
        <w:rPr>
          <w:sz w:val="24"/>
          <w:szCs w:val="24"/>
          <w:lang w:eastAsia="sv-SE"/>
        </w:rPr>
        <w:t xml:space="preserve"> kan malignt </w:t>
      </w:r>
      <w:proofErr w:type="spellStart"/>
      <w:r>
        <w:rPr>
          <w:sz w:val="24"/>
          <w:szCs w:val="24"/>
          <w:lang w:eastAsia="sv-SE"/>
        </w:rPr>
        <w:t>neuroleptikasyndrom</w:t>
      </w:r>
      <w:proofErr w:type="spellEnd"/>
      <w:r>
        <w:rPr>
          <w:sz w:val="24"/>
          <w:szCs w:val="24"/>
          <w:lang w:eastAsia="sv-SE"/>
        </w:rPr>
        <w:t xml:space="preserve"> (NMS), kendetegnet ved </w:t>
      </w:r>
      <w:proofErr w:type="spellStart"/>
      <w:r>
        <w:rPr>
          <w:sz w:val="24"/>
          <w:szCs w:val="24"/>
          <w:lang w:eastAsia="sv-SE"/>
        </w:rPr>
        <w:t>hypertermi</w:t>
      </w:r>
      <w:proofErr w:type="spellEnd"/>
      <w:r>
        <w:rPr>
          <w:sz w:val="24"/>
          <w:szCs w:val="24"/>
          <w:lang w:eastAsia="sv-SE"/>
        </w:rPr>
        <w:t xml:space="preserve">, ekstrapyramidale forstyrrelser, muskelstivhed, ændret mental tilstand, ustabil autonomt nervesystem og forhøjet CPK, forekomme. Da dette syndrom er potentielt dødeligt, skal behandlingen med </w:t>
      </w:r>
      <w:proofErr w:type="spellStart"/>
      <w:r>
        <w:rPr>
          <w:sz w:val="24"/>
          <w:szCs w:val="24"/>
          <w:lang w:eastAsia="sv-SE"/>
        </w:rPr>
        <w:t>promethazin</w:t>
      </w:r>
      <w:proofErr w:type="spellEnd"/>
      <w:r>
        <w:rPr>
          <w:sz w:val="24"/>
          <w:szCs w:val="24"/>
          <w:lang w:eastAsia="sv-SE"/>
        </w:rPr>
        <w:t xml:space="preserve"> straks afbrydes og intensiv klinisk overvågning og symptomatisk behandling skal initieres.</w:t>
      </w:r>
    </w:p>
    <w:p w:rsidR="003E2EDB" w:rsidRPr="00B0203E" w:rsidRDefault="003E2EDB" w:rsidP="003E2EDB">
      <w:pPr>
        <w:pStyle w:val="Default"/>
        <w:ind w:left="851" w:hanging="851"/>
        <w:rPr>
          <w:color w:val="auto"/>
          <w:lang w:val="da-DK"/>
        </w:rPr>
      </w:pPr>
    </w:p>
    <w:p w:rsidR="001D28E9" w:rsidRPr="00B0203E" w:rsidRDefault="001D28E9" w:rsidP="001D28E9">
      <w:pPr>
        <w:ind w:left="851"/>
        <w:rPr>
          <w:i/>
          <w:iCs/>
          <w:sz w:val="24"/>
          <w:szCs w:val="24"/>
          <w:lang w:eastAsia="sv-SE"/>
        </w:rPr>
      </w:pPr>
      <w:r w:rsidRPr="00B0203E">
        <w:rPr>
          <w:i/>
          <w:iCs/>
          <w:sz w:val="24"/>
          <w:szCs w:val="24"/>
          <w:lang w:eastAsia="sv-SE"/>
        </w:rPr>
        <w:t>QT-interval</w:t>
      </w:r>
    </w:p>
    <w:p w:rsidR="001D28E9" w:rsidRDefault="001D28E9" w:rsidP="001D28E9">
      <w:pPr>
        <w:spacing w:line="260" w:lineRule="exact"/>
        <w:ind w:left="851"/>
        <w:rPr>
          <w:sz w:val="24"/>
          <w:szCs w:val="24"/>
          <w:lang w:eastAsia="sv-SE"/>
        </w:rPr>
      </w:pPr>
      <w:proofErr w:type="spellStart"/>
      <w:r>
        <w:rPr>
          <w:sz w:val="24"/>
          <w:szCs w:val="24"/>
          <w:lang w:eastAsia="sv-SE"/>
        </w:rPr>
        <w:t>Pheno</w:t>
      </w:r>
      <w:r w:rsidRPr="00B0203E">
        <w:rPr>
          <w:sz w:val="24"/>
          <w:szCs w:val="24"/>
          <w:lang w:eastAsia="sv-SE"/>
        </w:rPr>
        <w:t>t</w:t>
      </w:r>
      <w:r>
        <w:rPr>
          <w:sz w:val="24"/>
          <w:szCs w:val="24"/>
          <w:lang w:eastAsia="sv-SE"/>
        </w:rPr>
        <w:t>h</w:t>
      </w:r>
      <w:r w:rsidRPr="00B0203E">
        <w:rPr>
          <w:sz w:val="24"/>
          <w:szCs w:val="24"/>
          <w:lang w:eastAsia="sv-SE"/>
        </w:rPr>
        <w:t>iaziner</w:t>
      </w:r>
      <w:proofErr w:type="spellEnd"/>
      <w:r>
        <w:rPr>
          <w:sz w:val="24"/>
          <w:szCs w:val="24"/>
          <w:lang w:eastAsia="sv-SE"/>
        </w:rPr>
        <w:t xml:space="preserve"> og </w:t>
      </w:r>
      <w:proofErr w:type="spellStart"/>
      <w:r>
        <w:rPr>
          <w:sz w:val="24"/>
          <w:szCs w:val="24"/>
          <w:lang w:eastAsia="sv-SE"/>
        </w:rPr>
        <w:t>phenothiazin</w:t>
      </w:r>
      <w:proofErr w:type="spellEnd"/>
      <w:r>
        <w:rPr>
          <w:sz w:val="24"/>
          <w:szCs w:val="24"/>
          <w:lang w:eastAsia="sv-SE"/>
        </w:rPr>
        <w:t xml:space="preserve"> derivater</w:t>
      </w:r>
      <w:r w:rsidRPr="00B0203E">
        <w:rPr>
          <w:sz w:val="24"/>
          <w:szCs w:val="24"/>
          <w:lang w:eastAsia="sv-SE"/>
        </w:rPr>
        <w:t xml:space="preserve"> kan forlænge QT-intervallet</w:t>
      </w:r>
      <w:r>
        <w:rPr>
          <w:sz w:val="24"/>
          <w:szCs w:val="24"/>
          <w:lang w:eastAsia="sv-SE"/>
        </w:rPr>
        <w:t xml:space="preserve"> og forårsage </w:t>
      </w:r>
      <w:proofErr w:type="spellStart"/>
      <w:r>
        <w:rPr>
          <w:sz w:val="24"/>
          <w:szCs w:val="24"/>
          <w:lang w:eastAsia="sv-SE"/>
        </w:rPr>
        <w:t>hjertearytmier</w:t>
      </w:r>
      <w:proofErr w:type="spellEnd"/>
      <w:r>
        <w:rPr>
          <w:sz w:val="24"/>
          <w:szCs w:val="24"/>
          <w:lang w:eastAsia="sv-SE"/>
        </w:rPr>
        <w:t>.</w:t>
      </w:r>
      <w:r w:rsidRPr="00E43378">
        <w:rPr>
          <w:sz w:val="24"/>
          <w:szCs w:val="24"/>
          <w:lang w:eastAsia="sv-SE"/>
        </w:rPr>
        <w:t xml:space="preserve"> </w:t>
      </w:r>
      <w:r>
        <w:rPr>
          <w:sz w:val="24"/>
          <w:szCs w:val="24"/>
          <w:lang w:eastAsia="sv-SE"/>
        </w:rPr>
        <w:t xml:space="preserve">Tilfælde af pludselig død, der kan have en </w:t>
      </w:r>
      <w:proofErr w:type="spellStart"/>
      <w:r>
        <w:rPr>
          <w:sz w:val="24"/>
          <w:szCs w:val="24"/>
          <w:lang w:eastAsia="sv-SE"/>
        </w:rPr>
        <w:t>kardiel</w:t>
      </w:r>
      <w:proofErr w:type="spellEnd"/>
      <w:r>
        <w:rPr>
          <w:sz w:val="24"/>
          <w:szCs w:val="24"/>
          <w:lang w:eastAsia="sv-SE"/>
        </w:rPr>
        <w:t xml:space="preserve"> årsag, er blevet rapporteret (Se pkt. 4.8 og 4.9).</w:t>
      </w:r>
    </w:p>
    <w:p w:rsidR="001D28E9" w:rsidRDefault="001D28E9" w:rsidP="001D28E9">
      <w:pPr>
        <w:spacing w:line="260" w:lineRule="exact"/>
        <w:ind w:left="851"/>
        <w:rPr>
          <w:sz w:val="24"/>
          <w:szCs w:val="24"/>
          <w:lang w:eastAsia="sv-SE"/>
        </w:rPr>
      </w:pPr>
      <w:r>
        <w:rPr>
          <w:sz w:val="24"/>
          <w:szCs w:val="24"/>
          <w:lang w:eastAsia="sv-SE"/>
        </w:rPr>
        <w:t>Derfor</w:t>
      </w:r>
      <w:r w:rsidRPr="00B0203E">
        <w:rPr>
          <w:sz w:val="24"/>
          <w:szCs w:val="24"/>
          <w:lang w:eastAsia="sv-SE"/>
        </w:rPr>
        <w:t xml:space="preserve"> tilrådes forsigtighed ved behandling af patienter med alvorlig bradykardi, </w:t>
      </w:r>
      <w:proofErr w:type="spellStart"/>
      <w:r w:rsidRPr="00B0203E">
        <w:rPr>
          <w:sz w:val="24"/>
          <w:szCs w:val="24"/>
          <w:lang w:eastAsia="sv-SE"/>
        </w:rPr>
        <w:t>kardiovaskulær</w:t>
      </w:r>
      <w:proofErr w:type="spellEnd"/>
      <w:r w:rsidRPr="00B0203E">
        <w:rPr>
          <w:sz w:val="24"/>
          <w:szCs w:val="24"/>
          <w:lang w:eastAsia="sv-SE"/>
        </w:rPr>
        <w:t xml:space="preserve"> sygdom og med en arvelig type forlængelse af QT-intervallet. </w:t>
      </w:r>
    </w:p>
    <w:p w:rsidR="001D28E9" w:rsidRDefault="001D28E9" w:rsidP="001D28E9">
      <w:pPr>
        <w:spacing w:line="260" w:lineRule="exact"/>
        <w:ind w:left="851"/>
        <w:rPr>
          <w:sz w:val="24"/>
          <w:szCs w:val="24"/>
          <w:lang w:eastAsia="sv-SE"/>
        </w:rPr>
      </w:pPr>
      <w:r w:rsidRPr="00B0203E">
        <w:rPr>
          <w:sz w:val="24"/>
          <w:szCs w:val="24"/>
          <w:lang w:eastAsia="sv-SE"/>
        </w:rPr>
        <w:t xml:space="preserve">Samtidig behandling med andre </w:t>
      </w:r>
      <w:proofErr w:type="spellStart"/>
      <w:r w:rsidRPr="00B0203E">
        <w:rPr>
          <w:sz w:val="24"/>
          <w:szCs w:val="24"/>
          <w:lang w:eastAsia="sv-SE"/>
        </w:rPr>
        <w:t>neuroleptika</w:t>
      </w:r>
      <w:proofErr w:type="spellEnd"/>
      <w:r w:rsidRPr="00B0203E">
        <w:rPr>
          <w:sz w:val="24"/>
          <w:szCs w:val="24"/>
          <w:lang w:eastAsia="sv-SE"/>
        </w:rPr>
        <w:t xml:space="preserve"> bør undgås.</w:t>
      </w:r>
      <w:r>
        <w:rPr>
          <w:sz w:val="24"/>
          <w:szCs w:val="24"/>
          <w:lang w:eastAsia="sv-SE"/>
        </w:rPr>
        <w:t xml:space="preserve"> Forsigtighed tilrådes også i tilfælde af samtidig behandling med andre lægemidler, som kan forlænge QT-intervallet (se pkt. 4.5, 4.8 og 4.9).</w:t>
      </w:r>
    </w:p>
    <w:p w:rsidR="00F66685" w:rsidRDefault="00F66685" w:rsidP="003E2EDB">
      <w:pPr>
        <w:spacing w:line="260" w:lineRule="exact"/>
        <w:ind w:left="851"/>
        <w:rPr>
          <w:noProof/>
          <w:sz w:val="24"/>
          <w:szCs w:val="24"/>
          <w:u w:val="single"/>
        </w:rPr>
      </w:pPr>
    </w:p>
    <w:p w:rsidR="00F66685" w:rsidRDefault="00F66685" w:rsidP="00F66685">
      <w:pPr>
        <w:suppressAutoHyphens/>
        <w:ind w:left="851"/>
        <w:rPr>
          <w:b/>
          <w:sz w:val="24"/>
          <w:szCs w:val="24"/>
        </w:rPr>
      </w:pPr>
      <w:proofErr w:type="spellStart"/>
      <w:r>
        <w:rPr>
          <w:b/>
          <w:sz w:val="24"/>
          <w:szCs w:val="24"/>
        </w:rPr>
        <w:t>Prometazin</w:t>
      </w:r>
      <w:proofErr w:type="spellEnd"/>
      <w:r>
        <w:rPr>
          <w:b/>
          <w:sz w:val="24"/>
          <w:szCs w:val="24"/>
        </w:rPr>
        <w:t xml:space="preserve"> "</w:t>
      </w:r>
      <w:proofErr w:type="spellStart"/>
      <w:r>
        <w:rPr>
          <w:b/>
          <w:sz w:val="24"/>
          <w:szCs w:val="24"/>
        </w:rPr>
        <w:t>Actavis</w:t>
      </w:r>
      <w:proofErr w:type="spellEnd"/>
      <w:r>
        <w:rPr>
          <w:b/>
          <w:sz w:val="24"/>
          <w:szCs w:val="24"/>
        </w:rPr>
        <w:t>" indeholder natrium</w:t>
      </w:r>
    </w:p>
    <w:p w:rsidR="00F66685" w:rsidRDefault="00F66685" w:rsidP="00F66685">
      <w:pPr>
        <w:spacing w:line="260" w:lineRule="exact"/>
        <w:ind w:left="851"/>
        <w:rPr>
          <w:noProof/>
          <w:sz w:val="24"/>
          <w:szCs w:val="24"/>
          <w:u w:val="single"/>
        </w:rPr>
      </w:pPr>
      <w:r>
        <w:rPr>
          <w:sz w:val="24"/>
          <w:szCs w:val="24"/>
        </w:rPr>
        <w:t>Dette lægemiddel indeholder mindre end 1 mmol (23 mg) natrium pr. tablet, dvs. det er i det væsentlige natriumfrit.</w:t>
      </w:r>
    </w:p>
    <w:p w:rsidR="003E2EDB" w:rsidRPr="00B0203E" w:rsidRDefault="003E2EDB" w:rsidP="003E2EDB">
      <w:pPr>
        <w:ind w:left="851" w:hanging="851"/>
        <w:rPr>
          <w:sz w:val="24"/>
          <w:szCs w:val="24"/>
        </w:rPr>
      </w:pPr>
    </w:p>
    <w:p w:rsidR="003E2EDB" w:rsidRPr="00B0203E" w:rsidRDefault="003E2EDB" w:rsidP="003E2EDB">
      <w:pPr>
        <w:ind w:left="851" w:hanging="851"/>
        <w:rPr>
          <w:b/>
          <w:sz w:val="24"/>
          <w:szCs w:val="24"/>
        </w:rPr>
      </w:pPr>
      <w:r w:rsidRPr="00B0203E">
        <w:rPr>
          <w:b/>
          <w:sz w:val="24"/>
          <w:szCs w:val="24"/>
        </w:rPr>
        <w:t>4.5</w:t>
      </w:r>
      <w:r w:rsidRPr="00B0203E">
        <w:rPr>
          <w:b/>
          <w:sz w:val="24"/>
          <w:szCs w:val="24"/>
        </w:rPr>
        <w:tab/>
        <w:t>Interaktion med andre lægemidler og andre former for interaktion</w:t>
      </w:r>
    </w:p>
    <w:p w:rsidR="001D28E9" w:rsidRPr="004620C8" w:rsidRDefault="001D28E9" w:rsidP="001D28E9">
      <w:pPr>
        <w:ind w:left="851"/>
        <w:rPr>
          <w:lang w:eastAsia="sv-SE"/>
        </w:rPr>
      </w:pPr>
      <w:r w:rsidRPr="004620C8">
        <w:rPr>
          <w:sz w:val="24"/>
          <w:szCs w:val="24"/>
          <w:lang w:eastAsia="sv-SE"/>
        </w:rPr>
        <w:t xml:space="preserve">Forsigtighed tilrådes ved samtidig brug med visse andre lægemidler, da alvorlige bivirkninger og dødsfald er blevet rapporteret (se pkt. 4.4 og 4.9). Den sedative virkning af </w:t>
      </w:r>
      <w:proofErr w:type="spellStart"/>
      <w:r w:rsidRPr="004620C8">
        <w:rPr>
          <w:sz w:val="24"/>
          <w:szCs w:val="24"/>
          <w:lang w:eastAsia="sv-SE"/>
        </w:rPr>
        <w:t>phenothiaziner</w:t>
      </w:r>
      <w:proofErr w:type="spellEnd"/>
      <w:r w:rsidRPr="004620C8">
        <w:rPr>
          <w:sz w:val="24"/>
          <w:szCs w:val="24"/>
          <w:lang w:eastAsia="sv-SE"/>
        </w:rPr>
        <w:t xml:space="preserve"> og </w:t>
      </w:r>
      <w:proofErr w:type="spellStart"/>
      <w:r w:rsidRPr="004620C8">
        <w:rPr>
          <w:sz w:val="24"/>
          <w:szCs w:val="24"/>
          <w:lang w:eastAsia="sv-SE"/>
        </w:rPr>
        <w:t>phenothiazinderivater</w:t>
      </w:r>
      <w:proofErr w:type="spellEnd"/>
      <w:r w:rsidRPr="004620C8">
        <w:rPr>
          <w:sz w:val="24"/>
          <w:szCs w:val="24"/>
          <w:lang w:eastAsia="sv-SE"/>
        </w:rPr>
        <w:t xml:space="preserve"> kan øges af alkohol, </w:t>
      </w:r>
      <w:proofErr w:type="spellStart"/>
      <w:r w:rsidRPr="004620C8">
        <w:rPr>
          <w:sz w:val="24"/>
          <w:szCs w:val="24"/>
          <w:lang w:eastAsia="sv-SE"/>
        </w:rPr>
        <w:t>anxiolytika</w:t>
      </w:r>
      <w:proofErr w:type="spellEnd"/>
      <w:r w:rsidRPr="004620C8">
        <w:rPr>
          <w:sz w:val="24"/>
          <w:szCs w:val="24"/>
          <w:lang w:eastAsia="sv-SE"/>
        </w:rPr>
        <w:t xml:space="preserve">, </w:t>
      </w:r>
      <w:proofErr w:type="spellStart"/>
      <w:r w:rsidRPr="004620C8">
        <w:rPr>
          <w:sz w:val="24"/>
          <w:szCs w:val="24"/>
          <w:lang w:eastAsia="sv-SE"/>
        </w:rPr>
        <w:t>hypnotika</w:t>
      </w:r>
      <w:proofErr w:type="spellEnd"/>
      <w:r w:rsidRPr="004620C8">
        <w:rPr>
          <w:sz w:val="24"/>
          <w:szCs w:val="24"/>
          <w:lang w:eastAsia="sv-SE"/>
        </w:rPr>
        <w:t>, barbiturater, opiater og andre sedative midler.</w:t>
      </w:r>
    </w:p>
    <w:p w:rsidR="001D28E9" w:rsidRPr="004620C8" w:rsidRDefault="001D28E9" w:rsidP="001D28E9">
      <w:pPr>
        <w:ind w:left="851"/>
        <w:rPr>
          <w:lang w:eastAsia="sv-SE"/>
        </w:rPr>
      </w:pPr>
      <w:r w:rsidRPr="004620C8">
        <w:rPr>
          <w:sz w:val="24"/>
          <w:szCs w:val="24"/>
          <w:lang w:eastAsia="sv-SE"/>
        </w:rPr>
        <w:t xml:space="preserve">Den </w:t>
      </w:r>
      <w:proofErr w:type="spellStart"/>
      <w:r w:rsidRPr="004620C8">
        <w:rPr>
          <w:sz w:val="24"/>
          <w:szCs w:val="24"/>
          <w:lang w:eastAsia="sv-SE"/>
        </w:rPr>
        <w:t>an</w:t>
      </w:r>
      <w:r>
        <w:rPr>
          <w:sz w:val="24"/>
          <w:szCs w:val="24"/>
          <w:lang w:eastAsia="sv-SE"/>
        </w:rPr>
        <w:t>ti</w:t>
      </w:r>
      <w:r w:rsidRPr="004620C8">
        <w:rPr>
          <w:sz w:val="24"/>
          <w:szCs w:val="24"/>
          <w:lang w:eastAsia="sv-SE"/>
        </w:rPr>
        <w:t>kolinerge</w:t>
      </w:r>
      <w:proofErr w:type="spellEnd"/>
      <w:r w:rsidRPr="004620C8">
        <w:rPr>
          <w:sz w:val="24"/>
          <w:szCs w:val="24"/>
          <w:lang w:eastAsia="sv-SE"/>
        </w:rPr>
        <w:t xml:space="preserve"> virkning af </w:t>
      </w:r>
      <w:proofErr w:type="spellStart"/>
      <w:r w:rsidRPr="004620C8">
        <w:rPr>
          <w:sz w:val="24"/>
          <w:szCs w:val="24"/>
          <w:lang w:eastAsia="sv-SE"/>
        </w:rPr>
        <w:t>phenothiaziner</w:t>
      </w:r>
      <w:proofErr w:type="spellEnd"/>
      <w:r w:rsidRPr="004620C8">
        <w:rPr>
          <w:sz w:val="24"/>
          <w:szCs w:val="24"/>
          <w:lang w:eastAsia="sv-SE"/>
        </w:rPr>
        <w:t xml:space="preserve"> og </w:t>
      </w:r>
      <w:proofErr w:type="spellStart"/>
      <w:r w:rsidRPr="004620C8">
        <w:rPr>
          <w:sz w:val="24"/>
          <w:szCs w:val="24"/>
          <w:lang w:eastAsia="sv-SE"/>
        </w:rPr>
        <w:t>phenothiazinderivater</w:t>
      </w:r>
      <w:proofErr w:type="spellEnd"/>
      <w:r w:rsidRPr="004620C8">
        <w:rPr>
          <w:sz w:val="24"/>
          <w:szCs w:val="24"/>
          <w:lang w:eastAsia="sv-SE"/>
        </w:rPr>
        <w:t xml:space="preserve"> kan forstærkes af andre lægemidler med </w:t>
      </w:r>
      <w:proofErr w:type="spellStart"/>
      <w:r w:rsidRPr="004620C8">
        <w:rPr>
          <w:sz w:val="24"/>
          <w:szCs w:val="24"/>
          <w:lang w:eastAsia="sv-SE"/>
        </w:rPr>
        <w:t>antikolinerg</w:t>
      </w:r>
      <w:proofErr w:type="spellEnd"/>
      <w:r w:rsidRPr="004620C8">
        <w:rPr>
          <w:sz w:val="24"/>
          <w:szCs w:val="24"/>
          <w:lang w:eastAsia="sv-SE"/>
        </w:rPr>
        <w:t xml:space="preserve"> aktivitet.</w:t>
      </w:r>
    </w:p>
    <w:p w:rsidR="001D28E9" w:rsidRDefault="001D28E9" w:rsidP="001D28E9">
      <w:pPr>
        <w:ind w:left="851"/>
        <w:rPr>
          <w:szCs w:val="24"/>
          <w:lang w:eastAsia="sv-SE"/>
        </w:rPr>
      </w:pPr>
    </w:p>
    <w:p w:rsidR="001D28E9" w:rsidRPr="004620C8" w:rsidRDefault="001D28E9" w:rsidP="001D28E9">
      <w:pPr>
        <w:ind w:left="851"/>
        <w:rPr>
          <w:szCs w:val="24"/>
          <w:lang w:eastAsia="sv-SE"/>
        </w:rPr>
      </w:pPr>
      <w:proofErr w:type="spellStart"/>
      <w:r w:rsidRPr="004620C8">
        <w:rPr>
          <w:sz w:val="24"/>
          <w:szCs w:val="24"/>
          <w:lang w:eastAsia="sv-SE"/>
        </w:rPr>
        <w:t>Prometazin</w:t>
      </w:r>
      <w:proofErr w:type="spellEnd"/>
      <w:r w:rsidRPr="004620C8">
        <w:rPr>
          <w:sz w:val="24"/>
          <w:szCs w:val="24"/>
          <w:lang w:eastAsia="sv-SE"/>
        </w:rPr>
        <w:t xml:space="preserve"> "</w:t>
      </w:r>
      <w:proofErr w:type="spellStart"/>
      <w:r w:rsidRPr="004620C8">
        <w:rPr>
          <w:sz w:val="24"/>
          <w:szCs w:val="24"/>
          <w:lang w:eastAsia="sv-SE"/>
        </w:rPr>
        <w:t>Actavis</w:t>
      </w:r>
      <w:proofErr w:type="spellEnd"/>
      <w:r w:rsidRPr="004620C8">
        <w:rPr>
          <w:sz w:val="24"/>
          <w:szCs w:val="24"/>
          <w:lang w:eastAsia="sv-SE"/>
        </w:rPr>
        <w:t xml:space="preserve">" kan interferere med immunologiske uringraviditetstest og give </w:t>
      </w:r>
      <w:proofErr w:type="gramStart"/>
      <w:r w:rsidRPr="004620C8">
        <w:rPr>
          <w:sz w:val="24"/>
          <w:szCs w:val="24"/>
          <w:lang w:eastAsia="sv-SE"/>
        </w:rPr>
        <w:t>falsk positiv eller falsk negativ resultat</w:t>
      </w:r>
      <w:proofErr w:type="gramEnd"/>
      <w:r w:rsidRPr="004620C8">
        <w:rPr>
          <w:sz w:val="24"/>
          <w:szCs w:val="24"/>
          <w:lang w:eastAsia="sv-SE"/>
        </w:rPr>
        <w:t>.</w:t>
      </w:r>
    </w:p>
    <w:p w:rsidR="003E2EDB" w:rsidRPr="00B0203E" w:rsidRDefault="003E2EDB" w:rsidP="003E2EDB">
      <w:pPr>
        <w:pStyle w:val="Default"/>
        <w:ind w:left="851" w:hanging="851"/>
        <w:rPr>
          <w:lang w:val="da-DK"/>
        </w:rPr>
      </w:pPr>
    </w:p>
    <w:p w:rsidR="003E2EDB" w:rsidRPr="00B0203E" w:rsidRDefault="003E2EDB" w:rsidP="003E2EDB">
      <w:pPr>
        <w:ind w:left="851"/>
        <w:rPr>
          <w:sz w:val="24"/>
          <w:szCs w:val="24"/>
          <w:lang w:eastAsia="sv-SE"/>
        </w:rPr>
      </w:pPr>
      <w:r w:rsidRPr="00B0203E">
        <w:rPr>
          <w:sz w:val="24"/>
          <w:szCs w:val="24"/>
          <w:lang w:eastAsia="sv-SE"/>
        </w:rPr>
        <w:lastRenderedPageBreak/>
        <w:t xml:space="preserve">Forsigtighed bør udvises ved samtidig behandling med andre lægemidler der kan forlænge QT-intervallet som f.eks. andre </w:t>
      </w:r>
      <w:proofErr w:type="spellStart"/>
      <w:r w:rsidRPr="00B0203E">
        <w:rPr>
          <w:sz w:val="24"/>
          <w:szCs w:val="24"/>
          <w:lang w:eastAsia="sv-SE"/>
        </w:rPr>
        <w:t>neuroleptika</w:t>
      </w:r>
      <w:proofErr w:type="spellEnd"/>
      <w:r w:rsidRPr="00B0203E">
        <w:rPr>
          <w:sz w:val="24"/>
          <w:szCs w:val="24"/>
          <w:lang w:eastAsia="sv-SE"/>
        </w:rPr>
        <w:t xml:space="preserve">, klasse IA og III </w:t>
      </w:r>
      <w:proofErr w:type="spellStart"/>
      <w:r w:rsidRPr="00B0203E">
        <w:rPr>
          <w:sz w:val="24"/>
          <w:szCs w:val="24"/>
          <w:lang w:eastAsia="sv-SE"/>
        </w:rPr>
        <w:t>antiarytmika</w:t>
      </w:r>
      <w:proofErr w:type="spellEnd"/>
      <w:r w:rsidRPr="00B0203E">
        <w:rPr>
          <w:sz w:val="24"/>
          <w:szCs w:val="24"/>
          <w:lang w:eastAsia="sv-SE"/>
        </w:rPr>
        <w:t xml:space="preserve">, </w:t>
      </w:r>
      <w:proofErr w:type="spellStart"/>
      <w:r w:rsidRPr="00B0203E">
        <w:rPr>
          <w:sz w:val="24"/>
          <w:szCs w:val="24"/>
          <w:lang w:eastAsia="sv-SE"/>
        </w:rPr>
        <w:t>moxifloxacin</w:t>
      </w:r>
      <w:proofErr w:type="spellEnd"/>
      <w:r w:rsidRPr="00B0203E">
        <w:rPr>
          <w:sz w:val="24"/>
          <w:szCs w:val="24"/>
          <w:lang w:eastAsia="sv-SE"/>
        </w:rPr>
        <w:t xml:space="preserve">, </w:t>
      </w:r>
      <w:proofErr w:type="spellStart"/>
      <w:r w:rsidRPr="00B0203E">
        <w:rPr>
          <w:sz w:val="24"/>
          <w:szCs w:val="24"/>
          <w:lang w:eastAsia="sv-SE"/>
        </w:rPr>
        <w:t>erythromycin</w:t>
      </w:r>
      <w:proofErr w:type="spellEnd"/>
      <w:r w:rsidRPr="00B0203E">
        <w:rPr>
          <w:sz w:val="24"/>
          <w:szCs w:val="24"/>
          <w:lang w:eastAsia="sv-SE"/>
        </w:rPr>
        <w:t xml:space="preserve">, </w:t>
      </w:r>
      <w:proofErr w:type="spellStart"/>
      <w:r w:rsidRPr="00B0203E">
        <w:rPr>
          <w:sz w:val="24"/>
          <w:szCs w:val="24"/>
          <w:lang w:eastAsia="sv-SE"/>
        </w:rPr>
        <w:t>methadon</w:t>
      </w:r>
      <w:proofErr w:type="spellEnd"/>
      <w:r w:rsidRPr="00B0203E">
        <w:rPr>
          <w:sz w:val="24"/>
          <w:szCs w:val="24"/>
          <w:lang w:eastAsia="sv-SE"/>
        </w:rPr>
        <w:t xml:space="preserve">, </w:t>
      </w:r>
      <w:proofErr w:type="spellStart"/>
      <w:r w:rsidRPr="00B0203E">
        <w:rPr>
          <w:sz w:val="24"/>
          <w:szCs w:val="24"/>
          <w:lang w:eastAsia="sv-SE"/>
        </w:rPr>
        <w:t>mefloquin</w:t>
      </w:r>
      <w:proofErr w:type="spellEnd"/>
      <w:r w:rsidRPr="00B0203E">
        <w:rPr>
          <w:sz w:val="24"/>
          <w:szCs w:val="24"/>
          <w:lang w:eastAsia="sv-SE"/>
        </w:rPr>
        <w:t xml:space="preserve">, tricykliske </w:t>
      </w:r>
      <w:proofErr w:type="spellStart"/>
      <w:r w:rsidRPr="00B0203E">
        <w:rPr>
          <w:sz w:val="24"/>
          <w:szCs w:val="24"/>
          <w:lang w:eastAsia="sv-SE"/>
        </w:rPr>
        <w:t>antidepressiva</w:t>
      </w:r>
      <w:proofErr w:type="spellEnd"/>
      <w:r w:rsidRPr="00B0203E">
        <w:rPr>
          <w:sz w:val="24"/>
          <w:szCs w:val="24"/>
          <w:lang w:eastAsia="sv-SE"/>
        </w:rPr>
        <w:t xml:space="preserve">, </w:t>
      </w:r>
      <w:proofErr w:type="spellStart"/>
      <w:r w:rsidRPr="00B0203E">
        <w:rPr>
          <w:sz w:val="24"/>
          <w:szCs w:val="24"/>
          <w:lang w:eastAsia="sv-SE"/>
        </w:rPr>
        <w:t>lithium</w:t>
      </w:r>
      <w:proofErr w:type="spellEnd"/>
      <w:r w:rsidRPr="00B0203E">
        <w:rPr>
          <w:sz w:val="24"/>
          <w:szCs w:val="24"/>
          <w:lang w:eastAsia="sv-SE"/>
        </w:rPr>
        <w:t xml:space="preserve"> eller </w:t>
      </w:r>
      <w:proofErr w:type="spellStart"/>
      <w:r w:rsidRPr="00B0203E">
        <w:rPr>
          <w:sz w:val="24"/>
          <w:szCs w:val="24"/>
          <w:lang w:eastAsia="sv-SE"/>
        </w:rPr>
        <w:t>cisaprid</w:t>
      </w:r>
      <w:proofErr w:type="spellEnd"/>
      <w:r w:rsidRPr="00B0203E">
        <w:rPr>
          <w:sz w:val="24"/>
          <w:szCs w:val="24"/>
          <w:lang w:eastAsia="sv-SE"/>
        </w:rPr>
        <w:t xml:space="preserve">. Samtidig medicinering med lægemidler der kan føre til elektrolytforstyrrelser som f.eks. </w:t>
      </w:r>
      <w:proofErr w:type="spellStart"/>
      <w:r w:rsidRPr="00B0203E">
        <w:rPr>
          <w:sz w:val="24"/>
          <w:szCs w:val="24"/>
          <w:lang w:eastAsia="sv-SE"/>
        </w:rPr>
        <w:t>thiaziddiuretika</w:t>
      </w:r>
      <w:proofErr w:type="spellEnd"/>
      <w:r w:rsidRPr="00B0203E">
        <w:rPr>
          <w:sz w:val="24"/>
          <w:szCs w:val="24"/>
          <w:lang w:eastAsia="sv-SE"/>
        </w:rPr>
        <w:t xml:space="preserve"> (</w:t>
      </w:r>
      <w:proofErr w:type="spellStart"/>
      <w:r w:rsidRPr="00B0203E">
        <w:rPr>
          <w:sz w:val="24"/>
          <w:szCs w:val="24"/>
          <w:lang w:eastAsia="sv-SE"/>
        </w:rPr>
        <w:t>hypokaliæmi</w:t>
      </w:r>
      <w:proofErr w:type="spellEnd"/>
      <w:r w:rsidRPr="00B0203E">
        <w:rPr>
          <w:sz w:val="24"/>
          <w:szCs w:val="24"/>
          <w:lang w:eastAsia="sv-SE"/>
        </w:rPr>
        <w:t xml:space="preserve">) bør overvejes, da dette vil øge risikoen for malign </w:t>
      </w:r>
      <w:proofErr w:type="spellStart"/>
      <w:r w:rsidRPr="00B0203E">
        <w:rPr>
          <w:sz w:val="24"/>
          <w:szCs w:val="24"/>
          <w:lang w:eastAsia="sv-SE"/>
        </w:rPr>
        <w:t>arytmi</w:t>
      </w:r>
      <w:proofErr w:type="spellEnd"/>
      <w:r w:rsidRPr="00B0203E">
        <w:rPr>
          <w:sz w:val="24"/>
          <w:szCs w:val="24"/>
          <w:lang w:eastAsia="sv-SE"/>
        </w:rPr>
        <w:t xml:space="preserve"> (se også pkt. 4.4).</w:t>
      </w:r>
    </w:p>
    <w:p w:rsidR="003E2EDB" w:rsidRPr="00B0203E" w:rsidRDefault="003E2EDB" w:rsidP="003E2EDB">
      <w:pPr>
        <w:pStyle w:val="Default"/>
        <w:ind w:left="851" w:hanging="851"/>
        <w:rPr>
          <w:lang w:val="da-DK" w:eastAsia="sv-SE"/>
        </w:rPr>
      </w:pPr>
    </w:p>
    <w:p w:rsidR="003E2EDB" w:rsidRPr="00B0203E" w:rsidRDefault="003E2EDB" w:rsidP="003E2EDB">
      <w:pPr>
        <w:pStyle w:val="Default"/>
        <w:ind w:left="851"/>
        <w:rPr>
          <w:bCs/>
          <w:u w:val="single"/>
          <w:lang w:val="da-DK" w:eastAsia="sv-SE"/>
        </w:rPr>
      </w:pPr>
      <w:r w:rsidRPr="00B0203E">
        <w:rPr>
          <w:bCs/>
          <w:u w:val="single"/>
          <w:lang w:val="da-DK" w:eastAsia="sv-SE"/>
        </w:rPr>
        <w:t xml:space="preserve">Anden medicins påvirkning af </w:t>
      </w:r>
      <w:proofErr w:type="spellStart"/>
      <w:r w:rsidRPr="00B0203E">
        <w:rPr>
          <w:bCs/>
          <w:u w:val="single"/>
          <w:lang w:val="da-DK" w:eastAsia="sv-SE"/>
        </w:rPr>
        <w:t>promethazins</w:t>
      </w:r>
      <w:proofErr w:type="spellEnd"/>
      <w:r w:rsidRPr="00B0203E">
        <w:rPr>
          <w:bCs/>
          <w:u w:val="single"/>
          <w:lang w:val="da-DK" w:eastAsia="sv-SE"/>
        </w:rPr>
        <w:t xml:space="preserve"> farmakokinetik</w:t>
      </w:r>
    </w:p>
    <w:p w:rsidR="003E2EDB" w:rsidRPr="00B0203E" w:rsidRDefault="003E2EDB" w:rsidP="003E2EDB">
      <w:pPr>
        <w:pStyle w:val="Default"/>
        <w:ind w:left="851"/>
        <w:rPr>
          <w:bCs/>
          <w:lang w:val="da-DK" w:eastAsia="sv-SE"/>
        </w:rPr>
      </w:pPr>
      <w:proofErr w:type="spellStart"/>
      <w:r w:rsidRPr="00B0203E">
        <w:rPr>
          <w:bCs/>
          <w:lang w:val="da-DK" w:eastAsia="sv-SE"/>
        </w:rPr>
        <w:t>Promethazin</w:t>
      </w:r>
      <w:proofErr w:type="spellEnd"/>
      <w:r w:rsidRPr="00B0203E">
        <w:rPr>
          <w:bCs/>
          <w:lang w:val="da-DK" w:eastAsia="sv-SE"/>
        </w:rPr>
        <w:t xml:space="preserve"> er et CYP2D6-substrat, baseret på in </w:t>
      </w:r>
      <w:proofErr w:type="spellStart"/>
      <w:r w:rsidRPr="00B0203E">
        <w:rPr>
          <w:bCs/>
          <w:lang w:val="da-DK" w:eastAsia="sv-SE"/>
        </w:rPr>
        <w:t>vitro</w:t>
      </w:r>
      <w:proofErr w:type="spellEnd"/>
      <w:r w:rsidRPr="00B0203E">
        <w:rPr>
          <w:bCs/>
          <w:lang w:val="da-DK" w:eastAsia="sv-SE"/>
        </w:rPr>
        <w:t xml:space="preserve"> data. Den kliniske relevans kendes ikke, men </w:t>
      </w:r>
      <w:proofErr w:type="spellStart"/>
      <w:r w:rsidRPr="00B0203E">
        <w:rPr>
          <w:bCs/>
          <w:lang w:val="da-DK" w:eastAsia="sv-SE"/>
        </w:rPr>
        <w:t>promethazins</w:t>
      </w:r>
      <w:proofErr w:type="spellEnd"/>
      <w:r w:rsidRPr="00B0203E">
        <w:rPr>
          <w:bCs/>
          <w:lang w:val="da-DK" w:eastAsia="sv-SE"/>
        </w:rPr>
        <w:t xml:space="preserve"> eksponering kan være forøget efter samtidig administration af stærke CYP2D6-hæmmere (f.eks. </w:t>
      </w:r>
      <w:proofErr w:type="spellStart"/>
      <w:r w:rsidRPr="00B0203E">
        <w:rPr>
          <w:bCs/>
          <w:lang w:val="da-DK" w:eastAsia="sv-SE"/>
        </w:rPr>
        <w:t>paroxetin</w:t>
      </w:r>
      <w:proofErr w:type="spellEnd"/>
      <w:r w:rsidRPr="00B0203E">
        <w:rPr>
          <w:bCs/>
          <w:lang w:val="da-DK" w:eastAsia="sv-SE"/>
        </w:rPr>
        <w:t xml:space="preserve">, </w:t>
      </w:r>
      <w:proofErr w:type="spellStart"/>
      <w:r w:rsidRPr="00B0203E">
        <w:rPr>
          <w:bCs/>
          <w:lang w:val="da-DK" w:eastAsia="sv-SE"/>
        </w:rPr>
        <w:t>quinidin</w:t>
      </w:r>
      <w:proofErr w:type="spellEnd"/>
      <w:r w:rsidRPr="00B0203E">
        <w:rPr>
          <w:bCs/>
          <w:lang w:val="da-DK" w:eastAsia="sv-SE"/>
        </w:rPr>
        <w:t xml:space="preserve">, </w:t>
      </w:r>
      <w:proofErr w:type="spellStart"/>
      <w:r w:rsidRPr="00B0203E">
        <w:rPr>
          <w:bCs/>
          <w:lang w:val="da-DK" w:eastAsia="sv-SE"/>
        </w:rPr>
        <w:t>terbinafin</w:t>
      </w:r>
      <w:proofErr w:type="spellEnd"/>
      <w:r w:rsidRPr="00B0203E">
        <w:rPr>
          <w:bCs/>
          <w:lang w:val="da-DK" w:eastAsia="sv-SE"/>
        </w:rPr>
        <w:t xml:space="preserve"> og </w:t>
      </w:r>
      <w:proofErr w:type="spellStart"/>
      <w:r w:rsidRPr="00B0203E">
        <w:rPr>
          <w:bCs/>
          <w:lang w:val="da-DK" w:eastAsia="sv-SE"/>
        </w:rPr>
        <w:t>fluoxetin</w:t>
      </w:r>
      <w:proofErr w:type="spellEnd"/>
      <w:r w:rsidRPr="00B0203E">
        <w:rPr>
          <w:bCs/>
          <w:lang w:val="da-DK" w:eastAsia="sv-SE"/>
        </w:rPr>
        <w:t>).</w:t>
      </w:r>
    </w:p>
    <w:p w:rsidR="003E2EDB" w:rsidRPr="00B0203E" w:rsidRDefault="003E2EDB" w:rsidP="003E2EDB">
      <w:pPr>
        <w:pStyle w:val="Default"/>
        <w:ind w:left="851" w:hanging="851"/>
        <w:rPr>
          <w:bCs/>
          <w:lang w:val="da-DK" w:eastAsia="sv-SE"/>
        </w:rPr>
      </w:pPr>
    </w:p>
    <w:p w:rsidR="003E2EDB" w:rsidRPr="00B0203E" w:rsidRDefault="003E2EDB" w:rsidP="003E2EDB">
      <w:pPr>
        <w:pStyle w:val="Default"/>
        <w:ind w:left="851"/>
        <w:rPr>
          <w:bCs/>
          <w:u w:val="single"/>
          <w:lang w:val="da-DK" w:eastAsia="sv-SE"/>
        </w:rPr>
      </w:pPr>
      <w:proofErr w:type="spellStart"/>
      <w:r w:rsidRPr="00B0203E">
        <w:rPr>
          <w:bCs/>
          <w:u w:val="single"/>
          <w:lang w:val="da-DK" w:eastAsia="sv-SE"/>
        </w:rPr>
        <w:t>Promethazins</w:t>
      </w:r>
      <w:proofErr w:type="spellEnd"/>
      <w:r w:rsidRPr="00B0203E">
        <w:rPr>
          <w:bCs/>
          <w:u w:val="single"/>
          <w:lang w:val="da-DK" w:eastAsia="sv-SE"/>
        </w:rPr>
        <w:t xml:space="preserve"> påvirkning på andre lægemidlers farmakokinetik</w:t>
      </w:r>
    </w:p>
    <w:p w:rsidR="003E2EDB" w:rsidRPr="00B0203E" w:rsidRDefault="003E2EDB" w:rsidP="003E2EDB">
      <w:pPr>
        <w:pStyle w:val="Default"/>
        <w:ind w:left="851"/>
        <w:rPr>
          <w:bCs/>
          <w:lang w:val="da-DK" w:eastAsia="sv-SE"/>
        </w:rPr>
      </w:pPr>
      <w:r w:rsidRPr="00B0203E">
        <w:rPr>
          <w:bCs/>
          <w:lang w:val="da-DK" w:eastAsia="sv-SE"/>
        </w:rPr>
        <w:t xml:space="preserve">In </w:t>
      </w:r>
      <w:proofErr w:type="spellStart"/>
      <w:r w:rsidRPr="00B0203E">
        <w:rPr>
          <w:bCs/>
          <w:lang w:val="da-DK" w:eastAsia="sv-SE"/>
        </w:rPr>
        <w:t>vitro</w:t>
      </w:r>
      <w:proofErr w:type="spellEnd"/>
      <w:r w:rsidRPr="00B0203E">
        <w:rPr>
          <w:bCs/>
          <w:lang w:val="da-DK" w:eastAsia="sv-SE"/>
        </w:rPr>
        <w:t xml:space="preserve"> og in </w:t>
      </w:r>
      <w:proofErr w:type="spellStart"/>
      <w:r w:rsidRPr="00B0203E">
        <w:rPr>
          <w:bCs/>
          <w:lang w:val="da-DK" w:eastAsia="sv-SE"/>
        </w:rPr>
        <w:t>vivo</w:t>
      </w:r>
      <w:proofErr w:type="spellEnd"/>
      <w:r w:rsidRPr="00B0203E">
        <w:rPr>
          <w:bCs/>
          <w:lang w:val="da-DK" w:eastAsia="sv-SE"/>
        </w:rPr>
        <w:t xml:space="preserve"> studier har vist at </w:t>
      </w:r>
      <w:proofErr w:type="spellStart"/>
      <w:r w:rsidRPr="00B0203E">
        <w:rPr>
          <w:bCs/>
          <w:lang w:val="da-DK" w:eastAsia="sv-SE"/>
        </w:rPr>
        <w:t>promethazin</w:t>
      </w:r>
      <w:proofErr w:type="spellEnd"/>
      <w:r w:rsidRPr="00B0203E">
        <w:rPr>
          <w:bCs/>
          <w:lang w:val="da-DK" w:eastAsia="sv-SE"/>
        </w:rPr>
        <w:t xml:space="preserve"> hæmmer den CYP2D6-medierede metabolisme. Dette fund kan have klinisk relevans for stoffer der fortrinsvis </w:t>
      </w:r>
      <w:proofErr w:type="spellStart"/>
      <w:r w:rsidRPr="00B0203E">
        <w:rPr>
          <w:bCs/>
          <w:lang w:val="da-DK" w:eastAsia="sv-SE"/>
        </w:rPr>
        <w:t>metaboliseres</w:t>
      </w:r>
      <w:proofErr w:type="spellEnd"/>
      <w:r w:rsidRPr="00B0203E">
        <w:rPr>
          <w:bCs/>
          <w:lang w:val="da-DK" w:eastAsia="sv-SE"/>
        </w:rPr>
        <w:t xml:space="preserve"> af CYP2D6, f.eks. visse dele af følgende lægemiddelklasser, tricykliske </w:t>
      </w:r>
      <w:proofErr w:type="spellStart"/>
      <w:r w:rsidRPr="00B0203E">
        <w:rPr>
          <w:bCs/>
          <w:lang w:val="da-DK" w:eastAsia="sv-SE"/>
        </w:rPr>
        <w:t>antidepressiva</w:t>
      </w:r>
      <w:proofErr w:type="spellEnd"/>
      <w:r w:rsidRPr="00B0203E">
        <w:rPr>
          <w:bCs/>
          <w:lang w:val="da-DK" w:eastAsia="sv-SE"/>
        </w:rPr>
        <w:t>, beta-</w:t>
      </w:r>
      <w:proofErr w:type="spellStart"/>
      <w:r w:rsidRPr="00B0203E">
        <w:rPr>
          <w:bCs/>
          <w:lang w:val="da-DK" w:eastAsia="sv-SE"/>
        </w:rPr>
        <w:t>blokkere</w:t>
      </w:r>
      <w:proofErr w:type="spellEnd"/>
      <w:r w:rsidRPr="00B0203E">
        <w:rPr>
          <w:bCs/>
          <w:lang w:val="da-DK" w:eastAsia="sv-SE"/>
        </w:rPr>
        <w:t xml:space="preserve">, selektive serotonin </w:t>
      </w:r>
      <w:proofErr w:type="spellStart"/>
      <w:r w:rsidRPr="00B0203E">
        <w:rPr>
          <w:bCs/>
          <w:lang w:val="da-DK" w:eastAsia="sv-SE"/>
        </w:rPr>
        <w:t>genoptagshæmmere</w:t>
      </w:r>
      <w:proofErr w:type="spellEnd"/>
      <w:r w:rsidRPr="00B0203E">
        <w:rPr>
          <w:bCs/>
          <w:lang w:val="da-DK" w:eastAsia="sv-SE"/>
        </w:rPr>
        <w:t xml:space="preserve"> (</w:t>
      </w:r>
      <w:proofErr w:type="spellStart"/>
      <w:r w:rsidRPr="00B0203E">
        <w:rPr>
          <w:bCs/>
          <w:lang w:val="da-DK" w:eastAsia="sv-SE"/>
        </w:rPr>
        <w:t>SSRI’ere</w:t>
      </w:r>
      <w:proofErr w:type="spellEnd"/>
      <w:r w:rsidRPr="00B0203E">
        <w:rPr>
          <w:bCs/>
          <w:lang w:val="da-DK" w:eastAsia="sv-SE"/>
        </w:rPr>
        <w:t xml:space="preserve">), </w:t>
      </w:r>
      <w:proofErr w:type="spellStart"/>
      <w:r w:rsidRPr="00B0203E">
        <w:rPr>
          <w:bCs/>
          <w:lang w:val="da-DK" w:eastAsia="sv-SE"/>
        </w:rPr>
        <w:t>antiarytmika</w:t>
      </w:r>
      <w:proofErr w:type="spellEnd"/>
      <w:r w:rsidRPr="00B0203E">
        <w:rPr>
          <w:bCs/>
          <w:lang w:val="da-DK" w:eastAsia="sv-SE"/>
        </w:rPr>
        <w:t xml:space="preserve"> (herunder klasse 1A, 1B og 1C) og MAO-</w:t>
      </w:r>
      <w:proofErr w:type="spellStart"/>
      <w:r w:rsidRPr="00B0203E">
        <w:rPr>
          <w:bCs/>
          <w:lang w:val="da-DK" w:eastAsia="sv-SE"/>
        </w:rPr>
        <w:t>hæmmere</w:t>
      </w:r>
      <w:proofErr w:type="spellEnd"/>
      <w:r w:rsidRPr="00B0203E">
        <w:rPr>
          <w:bCs/>
          <w:lang w:val="da-DK" w:eastAsia="sv-SE"/>
        </w:rPr>
        <w:t xml:space="preserve"> (</w:t>
      </w:r>
      <w:proofErr w:type="spellStart"/>
      <w:r w:rsidRPr="00B0203E">
        <w:rPr>
          <w:bCs/>
          <w:lang w:val="da-DK" w:eastAsia="sv-SE"/>
        </w:rPr>
        <w:t>monoaminooxidase-hæmmere</w:t>
      </w:r>
      <w:proofErr w:type="spellEnd"/>
      <w:r w:rsidRPr="00B0203E">
        <w:rPr>
          <w:bCs/>
          <w:lang w:val="da-DK" w:eastAsia="sv-SE"/>
        </w:rPr>
        <w:t>) type B, særligt hvis de samtidig har et smalt terapeutisk vindue.</w:t>
      </w:r>
    </w:p>
    <w:p w:rsidR="003E2EDB" w:rsidRPr="00B0203E" w:rsidRDefault="003E2EDB" w:rsidP="003E2EDB">
      <w:pPr>
        <w:pStyle w:val="Default"/>
        <w:ind w:left="851" w:hanging="851"/>
        <w:rPr>
          <w:bCs/>
          <w:lang w:val="da-DK" w:eastAsia="sv-SE"/>
        </w:rPr>
      </w:pPr>
    </w:p>
    <w:p w:rsidR="003E2EDB" w:rsidRPr="00B0203E" w:rsidRDefault="003E2EDB" w:rsidP="003E2EDB">
      <w:pPr>
        <w:pStyle w:val="Default"/>
        <w:ind w:left="851"/>
        <w:rPr>
          <w:bCs/>
          <w:lang w:val="da-DK" w:eastAsia="sv-SE"/>
        </w:rPr>
      </w:pPr>
      <w:proofErr w:type="spellStart"/>
      <w:r w:rsidRPr="00B0203E">
        <w:rPr>
          <w:bCs/>
          <w:lang w:val="da-DK" w:eastAsia="sv-SE"/>
        </w:rPr>
        <w:t>Haloperidol</w:t>
      </w:r>
      <w:proofErr w:type="spellEnd"/>
      <w:r w:rsidRPr="00B0203E">
        <w:rPr>
          <w:bCs/>
          <w:lang w:val="da-DK" w:eastAsia="sv-SE"/>
        </w:rPr>
        <w:t>:</w:t>
      </w:r>
    </w:p>
    <w:p w:rsidR="003E2EDB" w:rsidRPr="00B0203E" w:rsidRDefault="003E2EDB" w:rsidP="003E2EDB">
      <w:pPr>
        <w:pStyle w:val="Default"/>
        <w:ind w:left="851"/>
        <w:rPr>
          <w:lang w:val="da-DK" w:eastAsia="sv-SE"/>
        </w:rPr>
      </w:pPr>
      <w:r w:rsidRPr="00B0203E">
        <w:rPr>
          <w:bCs/>
          <w:lang w:val="da-DK" w:eastAsia="sv-SE"/>
        </w:rPr>
        <w:t xml:space="preserve">Samtidig administration af </w:t>
      </w:r>
      <w:proofErr w:type="spellStart"/>
      <w:r w:rsidRPr="00B0203E">
        <w:rPr>
          <w:bCs/>
          <w:lang w:val="da-DK" w:eastAsia="sv-SE"/>
        </w:rPr>
        <w:t>promethazin</w:t>
      </w:r>
      <w:proofErr w:type="spellEnd"/>
      <w:r w:rsidRPr="00B0203E">
        <w:rPr>
          <w:bCs/>
          <w:lang w:val="da-DK" w:eastAsia="sv-SE"/>
        </w:rPr>
        <w:t xml:space="preserve"> 150 mg/dag og CYP2D6-substratet </w:t>
      </w:r>
      <w:proofErr w:type="spellStart"/>
      <w:r w:rsidRPr="00B0203E">
        <w:rPr>
          <w:bCs/>
          <w:lang w:val="da-DK" w:eastAsia="sv-SE"/>
        </w:rPr>
        <w:t>haloperidol</w:t>
      </w:r>
      <w:proofErr w:type="spellEnd"/>
      <w:r w:rsidRPr="00B0203E">
        <w:rPr>
          <w:bCs/>
          <w:lang w:val="da-DK" w:eastAsia="sv-SE"/>
        </w:rPr>
        <w:t xml:space="preserve"> 60 mg/dag i en uge medførte en 2-foldig stigning i plasmakoncentrationen af </w:t>
      </w:r>
      <w:proofErr w:type="spellStart"/>
      <w:r w:rsidRPr="00B0203E">
        <w:rPr>
          <w:bCs/>
          <w:lang w:val="da-DK" w:eastAsia="sv-SE"/>
        </w:rPr>
        <w:t>haloperidol</w:t>
      </w:r>
      <w:proofErr w:type="spellEnd"/>
      <w:r w:rsidRPr="00B0203E">
        <w:rPr>
          <w:bCs/>
          <w:lang w:val="da-DK" w:eastAsia="sv-SE"/>
        </w:rPr>
        <w:t>.</w:t>
      </w:r>
    </w:p>
    <w:p w:rsidR="003E2EDB" w:rsidRPr="00B0203E" w:rsidRDefault="003E2EDB" w:rsidP="00FF55FB">
      <w:pPr>
        <w:rPr>
          <w:sz w:val="24"/>
          <w:szCs w:val="24"/>
        </w:rPr>
      </w:pPr>
    </w:p>
    <w:p w:rsidR="003E2EDB" w:rsidRPr="00FF55FB" w:rsidRDefault="003E2EDB" w:rsidP="00FF55FB">
      <w:pPr>
        <w:ind w:left="851" w:hanging="851"/>
        <w:rPr>
          <w:b/>
          <w:sz w:val="24"/>
          <w:szCs w:val="24"/>
        </w:rPr>
      </w:pPr>
      <w:r w:rsidRPr="00B0203E">
        <w:rPr>
          <w:b/>
          <w:sz w:val="24"/>
          <w:szCs w:val="24"/>
        </w:rPr>
        <w:t>4.6</w:t>
      </w:r>
      <w:r w:rsidRPr="00B0203E">
        <w:rPr>
          <w:b/>
          <w:sz w:val="24"/>
          <w:szCs w:val="24"/>
        </w:rPr>
        <w:tab/>
      </w:r>
      <w:r w:rsidR="001D28E9">
        <w:rPr>
          <w:b/>
          <w:sz w:val="24"/>
          <w:szCs w:val="24"/>
        </w:rPr>
        <w:t>Fertilitet, g</w:t>
      </w:r>
      <w:r w:rsidRPr="00B0203E">
        <w:rPr>
          <w:b/>
          <w:sz w:val="24"/>
          <w:szCs w:val="24"/>
        </w:rPr>
        <w:t>raviditet og amning</w:t>
      </w:r>
    </w:p>
    <w:p w:rsidR="00D0206B" w:rsidRDefault="00D0206B" w:rsidP="00D0206B">
      <w:pPr>
        <w:ind w:left="851"/>
        <w:rPr>
          <w:i/>
          <w:iCs/>
          <w:sz w:val="24"/>
          <w:szCs w:val="24"/>
        </w:rPr>
      </w:pPr>
      <w:r>
        <w:rPr>
          <w:i/>
          <w:iCs/>
          <w:sz w:val="24"/>
          <w:szCs w:val="24"/>
        </w:rPr>
        <w:t>Graviditet</w:t>
      </w:r>
    </w:p>
    <w:p w:rsidR="00D0206B" w:rsidRDefault="00D0206B" w:rsidP="00D0206B">
      <w:pPr>
        <w:ind w:left="851"/>
        <w:rPr>
          <w:sz w:val="24"/>
          <w:szCs w:val="24"/>
        </w:rPr>
      </w:pPr>
      <w:r>
        <w:rPr>
          <w:sz w:val="24"/>
          <w:szCs w:val="24"/>
        </w:rPr>
        <w:t xml:space="preserve">En stor mængde data fra gravide kvinder (mere end 1.000 graviditeter) indikerer ikke en </w:t>
      </w:r>
      <w:proofErr w:type="spellStart"/>
      <w:r>
        <w:rPr>
          <w:sz w:val="24"/>
          <w:szCs w:val="24"/>
        </w:rPr>
        <w:t>teratogen</w:t>
      </w:r>
      <w:proofErr w:type="spellEnd"/>
      <w:r>
        <w:rPr>
          <w:sz w:val="24"/>
          <w:szCs w:val="24"/>
        </w:rPr>
        <w:t xml:space="preserve"> risiko eller </w:t>
      </w:r>
      <w:proofErr w:type="spellStart"/>
      <w:r>
        <w:rPr>
          <w:sz w:val="24"/>
          <w:szCs w:val="24"/>
        </w:rPr>
        <w:t>føtal</w:t>
      </w:r>
      <w:proofErr w:type="spellEnd"/>
      <w:r>
        <w:rPr>
          <w:sz w:val="24"/>
          <w:szCs w:val="24"/>
        </w:rPr>
        <w:t xml:space="preserve">/neonatal toksicitet af </w:t>
      </w:r>
      <w:proofErr w:type="spellStart"/>
      <w:r>
        <w:rPr>
          <w:sz w:val="24"/>
          <w:szCs w:val="24"/>
        </w:rPr>
        <w:t>promethazin</w:t>
      </w:r>
      <w:proofErr w:type="spellEnd"/>
      <w:r>
        <w:rPr>
          <w:sz w:val="24"/>
          <w:szCs w:val="24"/>
        </w:rPr>
        <w:t xml:space="preserve"> i første trimester. </w:t>
      </w:r>
      <w:proofErr w:type="spellStart"/>
      <w:r>
        <w:rPr>
          <w:sz w:val="24"/>
          <w:szCs w:val="24"/>
        </w:rPr>
        <w:t>Promethazin</w:t>
      </w:r>
      <w:proofErr w:type="spellEnd"/>
      <w:r>
        <w:rPr>
          <w:sz w:val="24"/>
          <w:szCs w:val="24"/>
        </w:rPr>
        <w:t xml:space="preserve"> kan anvendes i første trimester af graviditeten, hvis det er klinisk nødvendigt.</w:t>
      </w:r>
    </w:p>
    <w:p w:rsidR="00D0206B" w:rsidRDefault="00D0206B" w:rsidP="00D0206B">
      <w:pPr>
        <w:ind w:left="851"/>
        <w:rPr>
          <w:sz w:val="24"/>
          <w:szCs w:val="24"/>
        </w:rPr>
      </w:pPr>
    </w:p>
    <w:p w:rsidR="00D0206B" w:rsidRDefault="00D0206B" w:rsidP="00D0206B">
      <w:pPr>
        <w:ind w:left="851"/>
        <w:rPr>
          <w:sz w:val="24"/>
          <w:szCs w:val="24"/>
        </w:rPr>
      </w:pPr>
      <w:r>
        <w:rPr>
          <w:sz w:val="24"/>
          <w:szCs w:val="24"/>
        </w:rPr>
        <w:t xml:space="preserve">Brugen af </w:t>
      </w:r>
      <w:proofErr w:type="spellStart"/>
      <w:r>
        <w:rPr>
          <w:sz w:val="24"/>
          <w:szCs w:val="24"/>
        </w:rPr>
        <w:t>promethazin</w:t>
      </w:r>
      <w:proofErr w:type="spellEnd"/>
      <w:r>
        <w:rPr>
          <w:sz w:val="24"/>
          <w:szCs w:val="24"/>
        </w:rPr>
        <w:t xml:space="preserve"> kan overvejes i andet og tredje trimester af graviditeten, hvis det er klinisk nødvendigt.</w:t>
      </w:r>
    </w:p>
    <w:p w:rsidR="00D0206B" w:rsidRDefault="00D0206B" w:rsidP="00D0206B">
      <w:pPr>
        <w:ind w:left="851"/>
        <w:rPr>
          <w:sz w:val="24"/>
          <w:szCs w:val="24"/>
        </w:rPr>
      </w:pPr>
    </w:p>
    <w:p w:rsidR="00D0206B" w:rsidRDefault="00D0206B" w:rsidP="00D0206B">
      <w:pPr>
        <w:ind w:left="851"/>
        <w:rPr>
          <w:sz w:val="24"/>
          <w:szCs w:val="24"/>
        </w:rPr>
      </w:pPr>
      <w:r>
        <w:rPr>
          <w:sz w:val="24"/>
          <w:szCs w:val="24"/>
        </w:rPr>
        <w:t xml:space="preserve">Behandling med </w:t>
      </w:r>
      <w:proofErr w:type="spellStart"/>
      <w:r>
        <w:rPr>
          <w:sz w:val="24"/>
          <w:szCs w:val="24"/>
        </w:rPr>
        <w:t>promethazin</w:t>
      </w:r>
      <w:proofErr w:type="spellEnd"/>
      <w:r>
        <w:rPr>
          <w:sz w:val="24"/>
          <w:szCs w:val="24"/>
        </w:rPr>
        <w:t xml:space="preserve"> skal stoppe to uger før den planlagte fødsel, da der kan være risiko for respirationsdepression hos det nyfødte barn.</w:t>
      </w:r>
    </w:p>
    <w:p w:rsidR="00D0206B" w:rsidRDefault="00D0206B" w:rsidP="00D0206B">
      <w:pPr>
        <w:ind w:left="851" w:hanging="851"/>
        <w:rPr>
          <w:sz w:val="24"/>
          <w:szCs w:val="24"/>
        </w:rPr>
      </w:pPr>
    </w:p>
    <w:p w:rsidR="00D0206B" w:rsidRDefault="00D0206B" w:rsidP="00D0206B">
      <w:pPr>
        <w:ind w:left="851"/>
        <w:rPr>
          <w:i/>
          <w:iCs/>
          <w:sz w:val="24"/>
          <w:szCs w:val="24"/>
        </w:rPr>
      </w:pPr>
      <w:r>
        <w:rPr>
          <w:i/>
          <w:iCs/>
          <w:sz w:val="24"/>
          <w:szCs w:val="24"/>
        </w:rPr>
        <w:t>Amning</w:t>
      </w:r>
    </w:p>
    <w:p w:rsidR="00D0206B" w:rsidRDefault="00D0206B" w:rsidP="00D0206B">
      <w:pPr>
        <w:ind w:left="851"/>
        <w:rPr>
          <w:sz w:val="24"/>
          <w:szCs w:val="24"/>
        </w:rPr>
      </w:pPr>
      <w:r>
        <w:rPr>
          <w:sz w:val="24"/>
          <w:szCs w:val="24"/>
        </w:rPr>
        <w:t xml:space="preserve">Der foreligger ikke tilstrækkelige oplysninger om udskillelsen af </w:t>
      </w:r>
      <w:proofErr w:type="spellStart"/>
      <w:r>
        <w:rPr>
          <w:sz w:val="24"/>
          <w:szCs w:val="24"/>
        </w:rPr>
        <w:t>promethazin</w:t>
      </w:r>
      <w:proofErr w:type="spellEnd"/>
      <w:r>
        <w:rPr>
          <w:sz w:val="24"/>
          <w:szCs w:val="24"/>
        </w:rPr>
        <w:t xml:space="preserve"> og dets metabolitter i modermælk. En risiko for det nyfødte barn/spædbarn kan ikke udelukkes. Ved brug af </w:t>
      </w:r>
      <w:proofErr w:type="spellStart"/>
      <w:r>
        <w:rPr>
          <w:sz w:val="24"/>
          <w:szCs w:val="24"/>
        </w:rPr>
        <w:t>promethazin</w:t>
      </w:r>
      <w:proofErr w:type="spellEnd"/>
      <w:r>
        <w:rPr>
          <w:sz w:val="24"/>
          <w:szCs w:val="24"/>
        </w:rPr>
        <w:t xml:space="preserve"> under amning, bør fordelene nøje afvejes mod ulemperne.</w:t>
      </w:r>
    </w:p>
    <w:p w:rsidR="00D0206B" w:rsidRDefault="00D0206B" w:rsidP="00D0206B">
      <w:pPr>
        <w:ind w:left="851"/>
        <w:rPr>
          <w:iCs/>
          <w:sz w:val="24"/>
          <w:szCs w:val="24"/>
          <w:u w:val="single"/>
          <w:lang w:eastAsia="sv-SE"/>
        </w:rPr>
      </w:pPr>
    </w:p>
    <w:p w:rsidR="00D0206B" w:rsidRDefault="00D0206B" w:rsidP="00D0206B">
      <w:pPr>
        <w:ind w:left="851"/>
        <w:rPr>
          <w:i/>
          <w:sz w:val="24"/>
          <w:szCs w:val="24"/>
        </w:rPr>
      </w:pPr>
      <w:r>
        <w:rPr>
          <w:i/>
          <w:sz w:val="24"/>
          <w:szCs w:val="24"/>
        </w:rPr>
        <w:t>Fertilitet</w:t>
      </w:r>
    </w:p>
    <w:p w:rsidR="00D0206B" w:rsidRDefault="00D0206B" w:rsidP="00D0206B">
      <w:pPr>
        <w:ind w:left="851"/>
        <w:rPr>
          <w:iCs/>
          <w:sz w:val="24"/>
          <w:szCs w:val="24"/>
          <w:lang w:eastAsia="sv-SE"/>
        </w:rPr>
      </w:pPr>
      <w:r>
        <w:rPr>
          <w:iCs/>
          <w:sz w:val="24"/>
          <w:szCs w:val="24"/>
          <w:lang w:eastAsia="sv-SE"/>
        </w:rPr>
        <w:t xml:space="preserve">Der er ingen tilgængelige data om virkningen af </w:t>
      </w:r>
      <w:proofErr w:type="spellStart"/>
      <w:r>
        <w:rPr>
          <w:iCs/>
          <w:sz w:val="24"/>
          <w:szCs w:val="24"/>
          <w:lang w:eastAsia="sv-SE"/>
        </w:rPr>
        <w:t>promethazin</w:t>
      </w:r>
      <w:proofErr w:type="spellEnd"/>
      <w:r>
        <w:rPr>
          <w:iCs/>
          <w:sz w:val="24"/>
          <w:szCs w:val="24"/>
          <w:lang w:eastAsia="sv-SE"/>
        </w:rPr>
        <w:t xml:space="preserve"> på fertiliteten.</w:t>
      </w:r>
    </w:p>
    <w:p w:rsidR="003E2EDB" w:rsidRPr="00B0203E" w:rsidRDefault="003E2EDB" w:rsidP="003E2EDB">
      <w:pPr>
        <w:ind w:left="851" w:hanging="851"/>
        <w:rPr>
          <w:sz w:val="24"/>
          <w:szCs w:val="24"/>
        </w:rPr>
      </w:pPr>
    </w:p>
    <w:p w:rsidR="003E2EDB" w:rsidRPr="00B0203E" w:rsidRDefault="003E2EDB" w:rsidP="003E2EDB">
      <w:pPr>
        <w:ind w:left="851" w:hanging="851"/>
        <w:rPr>
          <w:b/>
          <w:sz w:val="24"/>
          <w:szCs w:val="24"/>
        </w:rPr>
      </w:pPr>
      <w:r w:rsidRPr="00B0203E">
        <w:rPr>
          <w:b/>
          <w:sz w:val="24"/>
          <w:szCs w:val="24"/>
        </w:rPr>
        <w:t>4.7</w:t>
      </w:r>
      <w:r w:rsidRPr="00B0203E">
        <w:rPr>
          <w:b/>
          <w:sz w:val="24"/>
          <w:szCs w:val="24"/>
        </w:rPr>
        <w:tab/>
        <w:t xml:space="preserve">Virkning på evnen til at føre motorkøretøj </w:t>
      </w:r>
      <w:r w:rsidR="001D28E9">
        <w:rPr>
          <w:b/>
          <w:sz w:val="24"/>
          <w:szCs w:val="24"/>
        </w:rPr>
        <w:t>og</w:t>
      </w:r>
      <w:r w:rsidRPr="00B0203E">
        <w:rPr>
          <w:b/>
          <w:sz w:val="24"/>
          <w:szCs w:val="24"/>
        </w:rPr>
        <w:t xml:space="preserve"> betjene maskiner</w:t>
      </w:r>
    </w:p>
    <w:p w:rsidR="003E2EDB" w:rsidRPr="00B0203E" w:rsidRDefault="003E2EDB" w:rsidP="003E2EDB">
      <w:pPr>
        <w:pStyle w:val="Default"/>
        <w:ind w:left="851"/>
        <w:rPr>
          <w:noProof/>
          <w:lang w:val="da-DK" w:eastAsia="en-US"/>
        </w:rPr>
      </w:pPr>
      <w:r w:rsidRPr="00B0203E">
        <w:rPr>
          <w:noProof/>
          <w:lang w:val="da-DK" w:eastAsia="en-US"/>
        </w:rPr>
        <w:t>Mærkning.</w:t>
      </w:r>
    </w:p>
    <w:p w:rsidR="003E2EDB" w:rsidRPr="00B0203E" w:rsidRDefault="003E2EDB" w:rsidP="003E2EDB">
      <w:pPr>
        <w:pStyle w:val="Default"/>
        <w:ind w:left="851"/>
        <w:rPr>
          <w:noProof/>
          <w:lang w:val="da-DK" w:eastAsia="en-US"/>
        </w:rPr>
      </w:pPr>
      <w:r w:rsidRPr="00B0203E">
        <w:rPr>
          <w:noProof/>
          <w:lang w:val="da-DK" w:eastAsia="en-US"/>
        </w:rPr>
        <w:t>Reaktionsevnen kan være forringet under behandling med promethazin. Dette bør tages til efterretning når der er behov for årvågenhed, f.eks. ved kørsel.</w:t>
      </w:r>
    </w:p>
    <w:p w:rsidR="003E2EDB" w:rsidRPr="00B0203E" w:rsidRDefault="003E2EDB" w:rsidP="003E2EDB">
      <w:pPr>
        <w:pStyle w:val="Default"/>
        <w:ind w:left="851"/>
        <w:rPr>
          <w:noProof/>
          <w:lang w:val="da-DK" w:eastAsia="en-US"/>
        </w:rPr>
      </w:pPr>
      <w:r w:rsidRPr="00B0203E">
        <w:rPr>
          <w:noProof/>
          <w:lang w:val="da-DK" w:eastAsia="en-US"/>
        </w:rPr>
        <w:t>Da virkningstiden kan være op til 12 timer, kan der stadig forekomme nedsat reaktionsevne og sedation den følgende morgen. Patienter bør være sikre på, at de ikke er påvirkede før de kører eller betjener maskiner.</w:t>
      </w:r>
    </w:p>
    <w:p w:rsidR="003E2EDB" w:rsidRPr="00B0203E" w:rsidRDefault="003E2EDB" w:rsidP="003E2EDB">
      <w:pPr>
        <w:ind w:left="851" w:hanging="851"/>
        <w:rPr>
          <w:sz w:val="24"/>
          <w:szCs w:val="24"/>
        </w:rPr>
      </w:pPr>
    </w:p>
    <w:p w:rsidR="003E2EDB" w:rsidRPr="00B0203E" w:rsidRDefault="003E2EDB" w:rsidP="003E2EDB">
      <w:pPr>
        <w:ind w:left="851" w:hanging="851"/>
        <w:rPr>
          <w:b/>
          <w:sz w:val="24"/>
          <w:szCs w:val="24"/>
        </w:rPr>
      </w:pPr>
      <w:r w:rsidRPr="00B0203E">
        <w:rPr>
          <w:b/>
          <w:sz w:val="24"/>
          <w:szCs w:val="24"/>
        </w:rPr>
        <w:t>4.8</w:t>
      </w:r>
      <w:r w:rsidRPr="00B0203E">
        <w:rPr>
          <w:b/>
          <w:sz w:val="24"/>
          <w:szCs w:val="24"/>
        </w:rPr>
        <w:tab/>
        <w:t>Bivirkninger</w:t>
      </w:r>
    </w:p>
    <w:p w:rsidR="003E2EDB" w:rsidRPr="00B0203E" w:rsidRDefault="003E2EDB" w:rsidP="003E2EDB">
      <w:pPr>
        <w:ind w:left="851"/>
        <w:rPr>
          <w:sz w:val="24"/>
          <w:szCs w:val="24"/>
          <w:lang w:eastAsia="sv-SE"/>
        </w:rPr>
      </w:pPr>
      <w:r w:rsidRPr="00B0203E">
        <w:rPr>
          <w:sz w:val="24"/>
          <w:szCs w:val="24"/>
          <w:lang w:eastAsia="sv-SE"/>
        </w:rPr>
        <w:t>Den mest almindelige bivirkning er døsighed, som forekommer hos 5-10% af patienterne. Bivirkningerne er farmakologisk induceret og er derfor i høj grad dosis-afhængige.</w:t>
      </w:r>
    </w:p>
    <w:p w:rsidR="003E2EDB" w:rsidRPr="00B0203E" w:rsidRDefault="003E2EDB" w:rsidP="003E2EDB">
      <w:pPr>
        <w:pStyle w:val="Default"/>
        <w:ind w:left="851" w:hanging="851"/>
        <w:rPr>
          <w:color w:val="auto"/>
          <w:lang w:val="da-DK"/>
        </w:rPr>
      </w:pPr>
    </w:p>
    <w:p w:rsidR="00232864" w:rsidRPr="00B0203E" w:rsidRDefault="00232864" w:rsidP="00232864">
      <w:pPr>
        <w:pStyle w:val="Default"/>
        <w:ind w:left="851"/>
        <w:rPr>
          <w:color w:val="auto"/>
          <w:lang w:val="da-DK"/>
        </w:rPr>
      </w:pPr>
      <w:r w:rsidRPr="00B0203E">
        <w:rPr>
          <w:color w:val="auto"/>
          <w:lang w:val="da-DK"/>
        </w:rPr>
        <w:t>Bivirkningerne er opstillet nedenfor i henhold til organsystem og hyppighed. Hyppighederne er defineret som:</w:t>
      </w:r>
    </w:p>
    <w:p w:rsidR="00232864" w:rsidRPr="00B0203E" w:rsidRDefault="00232864" w:rsidP="00232864">
      <w:pPr>
        <w:pStyle w:val="Default"/>
        <w:ind w:left="851"/>
        <w:rPr>
          <w:color w:val="auto"/>
          <w:lang w:val="da-DK"/>
        </w:rPr>
      </w:pPr>
      <w:r w:rsidRPr="00B0203E">
        <w:rPr>
          <w:color w:val="auto"/>
          <w:lang w:val="da-DK"/>
        </w:rPr>
        <w:t>Meget almindelig (≥1/10)</w:t>
      </w:r>
    </w:p>
    <w:p w:rsidR="00232864" w:rsidRPr="00B0203E" w:rsidRDefault="00232864" w:rsidP="00232864">
      <w:pPr>
        <w:pStyle w:val="Default"/>
        <w:ind w:left="851"/>
        <w:rPr>
          <w:color w:val="auto"/>
          <w:lang w:val="da-DK"/>
        </w:rPr>
      </w:pPr>
      <w:r w:rsidRPr="00B0203E">
        <w:rPr>
          <w:color w:val="auto"/>
          <w:lang w:val="da-DK"/>
        </w:rPr>
        <w:t>Almindelig (≥1/100 til &lt;1/10)</w:t>
      </w:r>
    </w:p>
    <w:p w:rsidR="00232864" w:rsidRPr="00B0203E" w:rsidRDefault="00232864" w:rsidP="00232864">
      <w:pPr>
        <w:pStyle w:val="Default"/>
        <w:ind w:left="851"/>
        <w:rPr>
          <w:color w:val="auto"/>
          <w:lang w:val="da-DK"/>
        </w:rPr>
      </w:pPr>
      <w:r w:rsidRPr="00B0203E">
        <w:rPr>
          <w:color w:val="auto"/>
          <w:lang w:val="da-DK"/>
        </w:rPr>
        <w:t>Ikke almindelig (≥1/1,000 til &lt;1/100)</w:t>
      </w:r>
    </w:p>
    <w:p w:rsidR="00232864" w:rsidRDefault="00232864" w:rsidP="00232864">
      <w:pPr>
        <w:pStyle w:val="Default"/>
        <w:ind w:left="851"/>
        <w:rPr>
          <w:color w:val="auto"/>
          <w:lang w:val="da-DK"/>
        </w:rPr>
      </w:pPr>
      <w:r w:rsidRPr="00B0203E">
        <w:rPr>
          <w:color w:val="auto"/>
          <w:lang w:val="da-DK"/>
        </w:rPr>
        <w:t>Sjælden (≥1/10,000 til &lt;1/1,000)</w:t>
      </w:r>
    </w:p>
    <w:p w:rsidR="00232864" w:rsidRPr="00B0203E" w:rsidRDefault="00232864" w:rsidP="00232864">
      <w:pPr>
        <w:pStyle w:val="Default"/>
        <w:ind w:left="851"/>
        <w:rPr>
          <w:color w:val="auto"/>
          <w:lang w:val="da-DK"/>
        </w:rPr>
      </w:pPr>
      <w:r>
        <w:rPr>
          <w:color w:val="auto"/>
          <w:lang w:val="da-DK"/>
        </w:rPr>
        <w:t>Ikke kendt (kan ikke estimeres ud fra forhåndenværende data)</w:t>
      </w:r>
    </w:p>
    <w:p w:rsidR="00232864" w:rsidRPr="00B0203E" w:rsidRDefault="00232864" w:rsidP="00232864">
      <w:pPr>
        <w:pStyle w:val="Default"/>
        <w:ind w:left="851" w:hanging="851"/>
        <w:rPr>
          <w:color w:val="auto"/>
          <w:lang w:val="da-DK"/>
        </w:rPr>
      </w:pPr>
    </w:p>
    <w:tbl>
      <w:tblPr>
        <w:tblW w:w="5000" w:type="pct"/>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30"/>
        <w:gridCol w:w="1350"/>
        <w:gridCol w:w="1763"/>
        <w:gridCol w:w="1819"/>
        <w:gridCol w:w="2256"/>
      </w:tblGrid>
      <w:tr w:rsidR="00232864" w:rsidRPr="00926290" w:rsidTr="00DB2239">
        <w:trPr>
          <w:trHeight w:val="542"/>
        </w:trPr>
        <w:tc>
          <w:tcPr>
            <w:tcW w:w="1199" w:type="pct"/>
            <w:tcBorders>
              <w:top w:val="single" w:sz="8" w:space="0" w:color="000000"/>
              <w:left w:val="single" w:sz="8" w:space="0" w:color="000000"/>
              <w:bottom w:val="single" w:sz="8" w:space="0" w:color="000000"/>
              <w:right w:val="single" w:sz="8" w:space="0" w:color="000000"/>
            </w:tcBorders>
            <w:hideMark/>
          </w:tcPr>
          <w:p w:rsidR="00232864" w:rsidRPr="00926290" w:rsidRDefault="00232864" w:rsidP="00DB2239">
            <w:pPr>
              <w:rPr>
                <w:b/>
                <w:sz w:val="24"/>
                <w:szCs w:val="24"/>
              </w:rPr>
            </w:pPr>
            <w:r w:rsidRPr="00926290">
              <w:rPr>
                <w:b/>
                <w:sz w:val="24"/>
                <w:szCs w:val="24"/>
              </w:rPr>
              <w:t>Systemorganklasse</w:t>
            </w:r>
          </w:p>
        </w:tc>
        <w:tc>
          <w:tcPr>
            <w:tcW w:w="786" w:type="pct"/>
            <w:tcBorders>
              <w:top w:val="single" w:sz="8" w:space="0" w:color="000000"/>
              <w:left w:val="single" w:sz="8" w:space="0" w:color="000000"/>
              <w:bottom w:val="single" w:sz="8" w:space="0" w:color="000000"/>
              <w:right w:val="single" w:sz="8" w:space="0" w:color="000000"/>
            </w:tcBorders>
            <w:hideMark/>
          </w:tcPr>
          <w:p w:rsidR="00232864" w:rsidRPr="00926290" w:rsidRDefault="00232864" w:rsidP="00DB2239">
            <w:pPr>
              <w:rPr>
                <w:b/>
                <w:sz w:val="24"/>
                <w:szCs w:val="24"/>
              </w:rPr>
            </w:pPr>
            <w:r w:rsidRPr="00926290">
              <w:rPr>
                <w:b/>
                <w:sz w:val="24"/>
                <w:szCs w:val="24"/>
              </w:rPr>
              <w:t>Almindelig</w:t>
            </w:r>
          </w:p>
        </w:tc>
        <w:tc>
          <w:tcPr>
            <w:tcW w:w="788" w:type="pct"/>
            <w:tcBorders>
              <w:top w:val="single" w:sz="8" w:space="0" w:color="000000"/>
              <w:left w:val="single" w:sz="8" w:space="0" w:color="000000"/>
              <w:bottom w:val="single" w:sz="8" w:space="0" w:color="000000"/>
              <w:right w:val="single" w:sz="8" w:space="0" w:color="000000"/>
            </w:tcBorders>
            <w:hideMark/>
          </w:tcPr>
          <w:p w:rsidR="00232864" w:rsidRPr="00926290" w:rsidRDefault="00232864" w:rsidP="00DB2239">
            <w:pPr>
              <w:rPr>
                <w:b/>
                <w:sz w:val="24"/>
                <w:szCs w:val="24"/>
              </w:rPr>
            </w:pPr>
            <w:r w:rsidRPr="00926290">
              <w:rPr>
                <w:b/>
                <w:sz w:val="24"/>
                <w:szCs w:val="24"/>
              </w:rPr>
              <w:t>Ikke almindelig</w:t>
            </w:r>
          </w:p>
        </w:tc>
        <w:tc>
          <w:tcPr>
            <w:tcW w:w="1114" w:type="pct"/>
            <w:tcBorders>
              <w:top w:val="single" w:sz="8" w:space="0" w:color="000000"/>
              <w:left w:val="single" w:sz="8" w:space="0" w:color="000000"/>
              <w:bottom w:val="single" w:sz="8" w:space="0" w:color="000000"/>
              <w:right w:val="single" w:sz="8" w:space="0" w:color="000000"/>
            </w:tcBorders>
            <w:hideMark/>
          </w:tcPr>
          <w:p w:rsidR="00232864" w:rsidRPr="00926290" w:rsidRDefault="00232864" w:rsidP="00DB2239">
            <w:pPr>
              <w:rPr>
                <w:b/>
                <w:sz w:val="24"/>
                <w:szCs w:val="24"/>
              </w:rPr>
            </w:pPr>
            <w:r w:rsidRPr="00926290">
              <w:rPr>
                <w:b/>
                <w:sz w:val="24"/>
                <w:szCs w:val="24"/>
              </w:rPr>
              <w:t>Sjælden</w:t>
            </w:r>
          </w:p>
        </w:tc>
        <w:tc>
          <w:tcPr>
            <w:tcW w:w="1114" w:type="pct"/>
            <w:tcBorders>
              <w:top w:val="single" w:sz="8" w:space="0" w:color="000000"/>
              <w:left w:val="single" w:sz="8" w:space="0" w:color="000000"/>
              <w:bottom w:val="single" w:sz="8" w:space="0" w:color="000000"/>
              <w:right w:val="single" w:sz="8" w:space="0" w:color="000000"/>
            </w:tcBorders>
          </w:tcPr>
          <w:p w:rsidR="00232864" w:rsidRPr="00926290" w:rsidRDefault="00232864" w:rsidP="00DB2239">
            <w:pPr>
              <w:rPr>
                <w:b/>
                <w:sz w:val="24"/>
                <w:szCs w:val="24"/>
              </w:rPr>
            </w:pPr>
            <w:r>
              <w:rPr>
                <w:b/>
                <w:sz w:val="24"/>
                <w:szCs w:val="24"/>
              </w:rPr>
              <w:t>Ikke kendt</w:t>
            </w:r>
          </w:p>
        </w:tc>
      </w:tr>
      <w:tr w:rsidR="00232864" w:rsidRPr="00B0203E" w:rsidTr="00DB2239">
        <w:trPr>
          <w:trHeight w:val="542"/>
        </w:trPr>
        <w:tc>
          <w:tcPr>
            <w:tcW w:w="1199" w:type="pct"/>
            <w:tcBorders>
              <w:top w:val="single" w:sz="8" w:space="0" w:color="000000"/>
              <w:left w:val="single" w:sz="8" w:space="0" w:color="000000"/>
              <w:bottom w:val="single" w:sz="8" w:space="0" w:color="000000"/>
              <w:right w:val="single" w:sz="8" w:space="0" w:color="000000"/>
            </w:tcBorders>
          </w:tcPr>
          <w:p w:rsidR="00232864" w:rsidRPr="00926290" w:rsidRDefault="00232864" w:rsidP="00DB2239">
            <w:pPr>
              <w:rPr>
                <w:b/>
                <w:sz w:val="24"/>
                <w:szCs w:val="24"/>
              </w:rPr>
            </w:pPr>
            <w:r>
              <w:rPr>
                <w:b/>
                <w:sz w:val="24"/>
                <w:szCs w:val="24"/>
              </w:rPr>
              <w:t>Nervesystemet</w:t>
            </w:r>
          </w:p>
        </w:tc>
        <w:tc>
          <w:tcPr>
            <w:tcW w:w="786" w:type="pct"/>
            <w:tcBorders>
              <w:top w:val="single" w:sz="8" w:space="0" w:color="000000"/>
              <w:left w:val="single" w:sz="8" w:space="0" w:color="000000"/>
              <w:bottom w:val="single" w:sz="8" w:space="0" w:color="000000"/>
              <w:right w:val="single" w:sz="8" w:space="0" w:color="000000"/>
            </w:tcBorders>
          </w:tcPr>
          <w:p w:rsidR="00232864" w:rsidRPr="00B0203E" w:rsidRDefault="00232864" w:rsidP="00DB2239">
            <w:pPr>
              <w:rPr>
                <w:sz w:val="24"/>
                <w:szCs w:val="24"/>
                <w:u w:val="single"/>
              </w:rPr>
            </w:pPr>
          </w:p>
        </w:tc>
        <w:tc>
          <w:tcPr>
            <w:tcW w:w="788" w:type="pct"/>
            <w:tcBorders>
              <w:top w:val="single" w:sz="8" w:space="0" w:color="000000"/>
              <w:left w:val="single" w:sz="8" w:space="0" w:color="000000"/>
              <w:bottom w:val="single" w:sz="8" w:space="0" w:color="000000"/>
              <w:right w:val="single" w:sz="8" w:space="0" w:color="000000"/>
            </w:tcBorders>
          </w:tcPr>
          <w:p w:rsidR="00232864" w:rsidRPr="00B0203E" w:rsidRDefault="00232864" w:rsidP="00DB2239">
            <w:pPr>
              <w:rPr>
                <w:sz w:val="24"/>
                <w:szCs w:val="24"/>
              </w:rPr>
            </w:pPr>
          </w:p>
        </w:tc>
        <w:tc>
          <w:tcPr>
            <w:tcW w:w="1114" w:type="pct"/>
            <w:tcBorders>
              <w:top w:val="single" w:sz="8" w:space="0" w:color="000000"/>
              <w:left w:val="single" w:sz="8" w:space="0" w:color="000000"/>
              <w:bottom w:val="single" w:sz="8" w:space="0" w:color="000000"/>
              <w:right w:val="single" w:sz="8" w:space="0" w:color="000000"/>
            </w:tcBorders>
          </w:tcPr>
          <w:p w:rsidR="00232864" w:rsidRPr="00B0203E" w:rsidRDefault="00232864" w:rsidP="00DB2239">
            <w:pPr>
              <w:rPr>
                <w:sz w:val="24"/>
                <w:szCs w:val="24"/>
              </w:rPr>
            </w:pPr>
          </w:p>
        </w:tc>
        <w:tc>
          <w:tcPr>
            <w:tcW w:w="1114" w:type="pct"/>
            <w:tcBorders>
              <w:top w:val="single" w:sz="8" w:space="0" w:color="000000"/>
              <w:left w:val="single" w:sz="8" w:space="0" w:color="000000"/>
              <w:bottom w:val="single" w:sz="8" w:space="0" w:color="000000"/>
              <w:right w:val="single" w:sz="8" w:space="0" w:color="000000"/>
            </w:tcBorders>
          </w:tcPr>
          <w:p w:rsidR="00232864" w:rsidRDefault="00232864" w:rsidP="00DB2239">
            <w:pPr>
              <w:rPr>
                <w:sz w:val="24"/>
                <w:szCs w:val="24"/>
              </w:rPr>
            </w:pPr>
            <w:r>
              <w:rPr>
                <w:sz w:val="24"/>
                <w:szCs w:val="24"/>
              </w:rPr>
              <w:t xml:space="preserve">Ekstrapyramidale virkninger, malignt </w:t>
            </w:r>
            <w:proofErr w:type="spellStart"/>
            <w:r>
              <w:rPr>
                <w:sz w:val="24"/>
                <w:szCs w:val="24"/>
              </w:rPr>
              <w:t>neuroleptikasyndrom</w:t>
            </w:r>
            <w:proofErr w:type="spellEnd"/>
          </w:p>
        </w:tc>
      </w:tr>
      <w:tr w:rsidR="00232864" w:rsidRPr="00B0203E" w:rsidTr="00DB2239">
        <w:trPr>
          <w:trHeight w:val="542"/>
        </w:trPr>
        <w:tc>
          <w:tcPr>
            <w:tcW w:w="1199" w:type="pct"/>
            <w:tcBorders>
              <w:top w:val="single" w:sz="8" w:space="0" w:color="000000"/>
              <w:left w:val="single" w:sz="8" w:space="0" w:color="000000"/>
              <w:bottom w:val="single" w:sz="8" w:space="0" w:color="000000"/>
              <w:right w:val="single" w:sz="8" w:space="0" w:color="000000"/>
            </w:tcBorders>
            <w:hideMark/>
          </w:tcPr>
          <w:p w:rsidR="00232864" w:rsidRPr="00926290" w:rsidRDefault="00232864" w:rsidP="00DB2239">
            <w:pPr>
              <w:rPr>
                <w:b/>
                <w:sz w:val="24"/>
                <w:szCs w:val="24"/>
              </w:rPr>
            </w:pPr>
            <w:r w:rsidRPr="00926290">
              <w:rPr>
                <w:b/>
                <w:sz w:val="24"/>
                <w:szCs w:val="24"/>
              </w:rPr>
              <w:t>Øjne</w:t>
            </w:r>
          </w:p>
        </w:tc>
        <w:tc>
          <w:tcPr>
            <w:tcW w:w="786" w:type="pct"/>
            <w:tcBorders>
              <w:top w:val="single" w:sz="8" w:space="0" w:color="000000"/>
              <w:left w:val="single" w:sz="8" w:space="0" w:color="000000"/>
              <w:bottom w:val="single" w:sz="8" w:space="0" w:color="000000"/>
              <w:right w:val="single" w:sz="8" w:space="0" w:color="000000"/>
            </w:tcBorders>
          </w:tcPr>
          <w:p w:rsidR="00232864" w:rsidRPr="00B0203E" w:rsidRDefault="00232864" w:rsidP="00DB2239">
            <w:pPr>
              <w:rPr>
                <w:sz w:val="24"/>
                <w:szCs w:val="24"/>
                <w:u w:val="single"/>
              </w:rPr>
            </w:pPr>
          </w:p>
        </w:tc>
        <w:tc>
          <w:tcPr>
            <w:tcW w:w="788" w:type="pct"/>
            <w:tcBorders>
              <w:top w:val="single" w:sz="8" w:space="0" w:color="000000"/>
              <w:left w:val="single" w:sz="8" w:space="0" w:color="000000"/>
              <w:bottom w:val="single" w:sz="8" w:space="0" w:color="000000"/>
              <w:right w:val="single" w:sz="8" w:space="0" w:color="000000"/>
            </w:tcBorders>
            <w:hideMark/>
          </w:tcPr>
          <w:p w:rsidR="00232864" w:rsidRPr="00B0203E" w:rsidRDefault="00D0206B" w:rsidP="00DB2239">
            <w:pPr>
              <w:rPr>
                <w:sz w:val="24"/>
                <w:szCs w:val="24"/>
                <w:u w:val="single"/>
              </w:rPr>
            </w:pPr>
            <w:r>
              <w:rPr>
                <w:sz w:val="24"/>
                <w:szCs w:val="24"/>
              </w:rPr>
              <w:t xml:space="preserve">Nedsat tåreflod, </w:t>
            </w:r>
            <w:proofErr w:type="spellStart"/>
            <w:r>
              <w:rPr>
                <w:sz w:val="24"/>
                <w:szCs w:val="24"/>
              </w:rPr>
              <w:t>akkomodations</w:t>
            </w:r>
            <w:proofErr w:type="spellEnd"/>
            <w:r>
              <w:rPr>
                <w:sz w:val="24"/>
                <w:szCs w:val="24"/>
              </w:rPr>
              <w:t>-forstyrrelser</w:t>
            </w:r>
          </w:p>
        </w:tc>
        <w:tc>
          <w:tcPr>
            <w:tcW w:w="1114" w:type="pct"/>
            <w:tcBorders>
              <w:top w:val="single" w:sz="8" w:space="0" w:color="000000"/>
              <w:left w:val="single" w:sz="8" w:space="0" w:color="000000"/>
              <w:bottom w:val="single" w:sz="8" w:space="0" w:color="000000"/>
              <w:right w:val="single" w:sz="8" w:space="0" w:color="000000"/>
            </w:tcBorders>
          </w:tcPr>
          <w:p w:rsidR="00232864" w:rsidRPr="00B0203E" w:rsidRDefault="00232864" w:rsidP="00DB2239">
            <w:pPr>
              <w:rPr>
                <w:sz w:val="24"/>
                <w:szCs w:val="24"/>
              </w:rPr>
            </w:pPr>
          </w:p>
        </w:tc>
        <w:tc>
          <w:tcPr>
            <w:tcW w:w="1114" w:type="pct"/>
            <w:tcBorders>
              <w:top w:val="single" w:sz="8" w:space="0" w:color="000000"/>
              <w:left w:val="single" w:sz="8" w:space="0" w:color="000000"/>
              <w:bottom w:val="single" w:sz="8" w:space="0" w:color="000000"/>
              <w:right w:val="single" w:sz="8" w:space="0" w:color="000000"/>
            </w:tcBorders>
          </w:tcPr>
          <w:p w:rsidR="00232864" w:rsidRPr="00B0203E" w:rsidRDefault="00232864" w:rsidP="00DB2239">
            <w:pPr>
              <w:rPr>
                <w:sz w:val="24"/>
                <w:szCs w:val="24"/>
              </w:rPr>
            </w:pPr>
          </w:p>
        </w:tc>
      </w:tr>
      <w:tr w:rsidR="00232864" w:rsidRPr="00B0203E" w:rsidTr="00DB2239">
        <w:trPr>
          <w:trHeight w:val="542"/>
        </w:trPr>
        <w:tc>
          <w:tcPr>
            <w:tcW w:w="1199" w:type="pct"/>
            <w:tcBorders>
              <w:top w:val="single" w:sz="8" w:space="0" w:color="000000"/>
              <w:left w:val="single" w:sz="8" w:space="0" w:color="000000"/>
              <w:bottom w:val="single" w:sz="8" w:space="0" w:color="000000"/>
              <w:right w:val="single" w:sz="8" w:space="0" w:color="000000"/>
            </w:tcBorders>
            <w:hideMark/>
          </w:tcPr>
          <w:p w:rsidR="00232864" w:rsidRPr="00926290" w:rsidRDefault="00232864" w:rsidP="00DB2239">
            <w:pPr>
              <w:rPr>
                <w:b/>
                <w:sz w:val="24"/>
                <w:szCs w:val="24"/>
              </w:rPr>
            </w:pPr>
            <w:r w:rsidRPr="00926290">
              <w:rPr>
                <w:b/>
                <w:sz w:val="24"/>
                <w:szCs w:val="24"/>
              </w:rPr>
              <w:t>Hjerte</w:t>
            </w:r>
          </w:p>
        </w:tc>
        <w:tc>
          <w:tcPr>
            <w:tcW w:w="786" w:type="pct"/>
            <w:tcBorders>
              <w:top w:val="single" w:sz="8" w:space="0" w:color="000000"/>
              <w:left w:val="single" w:sz="8" w:space="0" w:color="000000"/>
              <w:bottom w:val="single" w:sz="8" w:space="0" w:color="000000"/>
              <w:right w:val="single" w:sz="8" w:space="0" w:color="000000"/>
            </w:tcBorders>
          </w:tcPr>
          <w:p w:rsidR="00232864" w:rsidRPr="00B0203E" w:rsidRDefault="00232864" w:rsidP="00DB2239">
            <w:pPr>
              <w:rPr>
                <w:sz w:val="24"/>
                <w:szCs w:val="24"/>
                <w:u w:val="single"/>
              </w:rPr>
            </w:pPr>
          </w:p>
        </w:tc>
        <w:tc>
          <w:tcPr>
            <w:tcW w:w="788" w:type="pct"/>
            <w:tcBorders>
              <w:top w:val="single" w:sz="8" w:space="0" w:color="000000"/>
              <w:left w:val="single" w:sz="8" w:space="0" w:color="000000"/>
              <w:bottom w:val="single" w:sz="8" w:space="0" w:color="000000"/>
              <w:right w:val="single" w:sz="8" w:space="0" w:color="000000"/>
            </w:tcBorders>
          </w:tcPr>
          <w:p w:rsidR="00232864" w:rsidRPr="00B0203E" w:rsidRDefault="00232864" w:rsidP="00DB2239">
            <w:pPr>
              <w:rPr>
                <w:sz w:val="24"/>
                <w:szCs w:val="24"/>
              </w:rPr>
            </w:pPr>
          </w:p>
        </w:tc>
        <w:tc>
          <w:tcPr>
            <w:tcW w:w="1114" w:type="pct"/>
            <w:tcBorders>
              <w:top w:val="single" w:sz="8" w:space="0" w:color="000000"/>
              <w:left w:val="single" w:sz="8" w:space="0" w:color="000000"/>
              <w:bottom w:val="single" w:sz="8" w:space="0" w:color="000000"/>
              <w:right w:val="single" w:sz="8" w:space="0" w:color="000000"/>
            </w:tcBorders>
            <w:hideMark/>
          </w:tcPr>
          <w:p w:rsidR="00232864" w:rsidRPr="00B0203E" w:rsidRDefault="00232864" w:rsidP="00DB2239">
            <w:pPr>
              <w:rPr>
                <w:sz w:val="24"/>
                <w:szCs w:val="24"/>
                <w:u w:val="single"/>
              </w:rPr>
            </w:pPr>
            <w:r w:rsidRPr="00B0203E">
              <w:rPr>
                <w:sz w:val="24"/>
                <w:szCs w:val="24"/>
              </w:rPr>
              <w:t xml:space="preserve">QT-forlængelse, </w:t>
            </w:r>
            <w:proofErr w:type="spellStart"/>
            <w:r w:rsidRPr="00B0203E">
              <w:rPr>
                <w:sz w:val="24"/>
                <w:szCs w:val="24"/>
              </w:rPr>
              <w:t>torsade</w:t>
            </w:r>
            <w:proofErr w:type="spellEnd"/>
            <w:r w:rsidRPr="00B0203E">
              <w:rPr>
                <w:sz w:val="24"/>
                <w:szCs w:val="24"/>
              </w:rPr>
              <w:t xml:space="preserve"> de pointes,</w:t>
            </w:r>
            <w:r>
              <w:rPr>
                <w:sz w:val="24"/>
                <w:szCs w:val="24"/>
              </w:rPr>
              <w:t xml:space="preserve"> </w:t>
            </w:r>
            <w:r w:rsidRPr="00B0203E">
              <w:rPr>
                <w:sz w:val="24"/>
                <w:szCs w:val="24"/>
              </w:rPr>
              <w:t>hjertestop,</w:t>
            </w:r>
            <w:r>
              <w:rPr>
                <w:sz w:val="24"/>
                <w:szCs w:val="24"/>
              </w:rPr>
              <w:t xml:space="preserve"> </w:t>
            </w:r>
            <w:proofErr w:type="spellStart"/>
            <w:r w:rsidRPr="00B0203E">
              <w:rPr>
                <w:sz w:val="24"/>
                <w:szCs w:val="24"/>
              </w:rPr>
              <w:t>ventrikulær</w:t>
            </w:r>
            <w:proofErr w:type="spellEnd"/>
            <w:r w:rsidRPr="00B0203E">
              <w:rPr>
                <w:sz w:val="24"/>
                <w:szCs w:val="24"/>
              </w:rPr>
              <w:t xml:space="preserve"> </w:t>
            </w:r>
            <w:proofErr w:type="spellStart"/>
            <w:r w:rsidRPr="00B0203E">
              <w:rPr>
                <w:sz w:val="24"/>
                <w:szCs w:val="24"/>
              </w:rPr>
              <w:t>arytmi</w:t>
            </w:r>
            <w:proofErr w:type="spellEnd"/>
            <w:r w:rsidRPr="00B0203E">
              <w:rPr>
                <w:sz w:val="24"/>
                <w:szCs w:val="24"/>
              </w:rPr>
              <w:t xml:space="preserve"> (ventrikel</w:t>
            </w:r>
            <w:r>
              <w:rPr>
                <w:sz w:val="24"/>
                <w:szCs w:val="24"/>
              </w:rPr>
              <w:softHyphen/>
            </w:r>
            <w:r w:rsidRPr="00B0203E">
              <w:rPr>
                <w:sz w:val="24"/>
                <w:szCs w:val="24"/>
              </w:rPr>
              <w:t xml:space="preserve">flimren, </w:t>
            </w:r>
            <w:proofErr w:type="spellStart"/>
            <w:r w:rsidRPr="00B0203E">
              <w:rPr>
                <w:sz w:val="24"/>
                <w:szCs w:val="24"/>
              </w:rPr>
              <w:t>ventrikulær</w:t>
            </w:r>
            <w:proofErr w:type="spellEnd"/>
            <w:r w:rsidRPr="00B0203E">
              <w:rPr>
                <w:sz w:val="24"/>
                <w:szCs w:val="24"/>
              </w:rPr>
              <w:t xml:space="preserve"> </w:t>
            </w:r>
            <w:proofErr w:type="spellStart"/>
            <w:r w:rsidRPr="00B0203E">
              <w:rPr>
                <w:sz w:val="24"/>
                <w:szCs w:val="24"/>
              </w:rPr>
              <w:t>takykardi</w:t>
            </w:r>
            <w:proofErr w:type="spellEnd"/>
            <w:r w:rsidRPr="00B0203E">
              <w:rPr>
                <w:sz w:val="24"/>
                <w:szCs w:val="24"/>
              </w:rPr>
              <w:t>)</w:t>
            </w:r>
          </w:p>
        </w:tc>
        <w:tc>
          <w:tcPr>
            <w:tcW w:w="1114" w:type="pct"/>
            <w:tcBorders>
              <w:top w:val="single" w:sz="8" w:space="0" w:color="000000"/>
              <w:left w:val="single" w:sz="8" w:space="0" w:color="000000"/>
              <w:bottom w:val="single" w:sz="8" w:space="0" w:color="000000"/>
              <w:right w:val="single" w:sz="8" w:space="0" w:color="000000"/>
            </w:tcBorders>
          </w:tcPr>
          <w:p w:rsidR="00232864" w:rsidRPr="00B0203E" w:rsidRDefault="00232864" w:rsidP="00DB2239">
            <w:pPr>
              <w:rPr>
                <w:sz w:val="24"/>
                <w:szCs w:val="24"/>
              </w:rPr>
            </w:pPr>
          </w:p>
        </w:tc>
      </w:tr>
      <w:tr w:rsidR="00232864" w:rsidRPr="00B0203E" w:rsidTr="00DB2239">
        <w:trPr>
          <w:trHeight w:val="2059"/>
        </w:trPr>
        <w:tc>
          <w:tcPr>
            <w:tcW w:w="1199" w:type="pct"/>
            <w:tcBorders>
              <w:top w:val="single" w:sz="8" w:space="0" w:color="000000"/>
              <w:left w:val="single" w:sz="8" w:space="0" w:color="000000"/>
              <w:bottom w:val="single" w:sz="8" w:space="0" w:color="000000"/>
              <w:right w:val="single" w:sz="8" w:space="0" w:color="000000"/>
            </w:tcBorders>
            <w:hideMark/>
          </w:tcPr>
          <w:p w:rsidR="00232864" w:rsidRPr="00926290" w:rsidRDefault="00232864" w:rsidP="00DB2239">
            <w:pPr>
              <w:rPr>
                <w:b/>
                <w:sz w:val="24"/>
                <w:szCs w:val="24"/>
              </w:rPr>
            </w:pPr>
            <w:r w:rsidRPr="00926290">
              <w:rPr>
                <w:b/>
                <w:sz w:val="24"/>
                <w:szCs w:val="24"/>
              </w:rPr>
              <w:t>Mave-tarm-kanalen</w:t>
            </w:r>
          </w:p>
        </w:tc>
        <w:tc>
          <w:tcPr>
            <w:tcW w:w="786" w:type="pct"/>
            <w:tcBorders>
              <w:top w:val="single" w:sz="8" w:space="0" w:color="000000"/>
              <w:left w:val="single" w:sz="8" w:space="0" w:color="000000"/>
              <w:bottom w:val="single" w:sz="8" w:space="0" w:color="000000"/>
              <w:right w:val="single" w:sz="8" w:space="0" w:color="000000"/>
            </w:tcBorders>
            <w:hideMark/>
          </w:tcPr>
          <w:p w:rsidR="00232864" w:rsidRPr="00B0203E" w:rsidRDefault="00232864" w:rsidP="00DB2239">
            <w:pPr>
              <w:rPr>
                <w:sz w:val="24"/>
                <w:szCs w:val="24"/>
              </w:rPr>
            </w:pPr>
            <w:r w:rsidRPr="00B0203E">
              <w:rPr>
                <w:sz w:val="24"/>
                <w:szCs w:val="24"/>
              </w:rPr>
              <w:t>Tør mund</w:t>
            </w:r>
          </w:p>
        </w:tc>
        <w:tc>
          <w:tcPr>
            <w:tcW w:w="788" w:type="pct"/>
            <w:tcBorders>
              <w:top w:val="single" w:sz="8" w:space="0" w:color="000000"/>
              <w:left w:val="single" w:sz="8" w:space="0" w:color="000000"/>
              <w:bottom w:val="single" w:sz="8" w:space="0" w:color="000000"/>
              <w:right w:val="single" w:sz="8" w:space="0" w:color="000000"/>
            </w:tcBorders>
            <w:hideMark/>
          </w:tcPr>
          <w:p w:rsidR="00232864" w:rsidRPr="00B0203E" w:rsidRDefault="00232864" w:rsidP="00DB2239">
            <w:pPr>
              <w:rPr>
                <w:sz w:val="24"/>
                <w:szCs w:val="24"/>
              </w:rPr>
            </w:pPr>
            <w:r w:rsidRPr="00B0203E">
              <w:rPr>
                <w:sz w:val="24"/>
                <w:szCs w:val="24"/>
              </w:rPr>
              <w:t>Forstoppelse</w:t>
            </w:r>
          </w:p>
        </w:tc>
        <w:tc>
          <w:tcPr>
            <w:tcW w:w="1114" w:type="pct"/>
            <w:tcBorders>
              <w:top w:val="single" w:sz="8" w:space="0" w:color="000000"/>
              <w:left w:val="single" w:sz="8" w:space="0" w:color="000000"/>
              <w:bottom w:val="single" w:sz="8" w:space="0" w:color="000000"/>
              <w:right w:val="single" w:sz="8" w:space="0" w:color="000000"/>
            </w:tcBorders>
          </w:tcPr>
          <w:p w:rsidR="00232864" w:rsidRPr="00B0203E" w:rsidRDefault="00232864" w:rsidP="00DB2239">
            <w:pPr>
              <w:rPr>
                <w:sz w:val="24"/>
                <w:szCs w:val="24"/>
              </w:rPr>
            </w:pPr>
          </w:p>
        </w:tc>
        <w:tc>
          <w:tcPr>
            <w:tcW w:w="1114" w:type="pct"/>
            <w:tcBorders>
              <w:top w:val="single" w:sz="8" w:space="0" w:color="000000"/>
              <w:left w:val="single" w:sz="8" w:space="0" w:color="000000"/>
              <w:bottom w:val="single" w:sz="8" w:space="0" w:color="000000"/>
              <w:right w:val="single" w:sz="8" w:space="0" w:color="000000"/>
            </w:tcBorders>
          </w:tcPr>
          <w:p w:rsidR="00232864" w:rsidRPr="00B0203E" w:rsidRDefault="00232864" w:rsidP="00DB2239">
            <w:pPr>
              <w:rPr>
                <w:sz w:val="24"/>
                <w:szCs w:val="24"/>
              </w:rPr>
            </w:pPr>
          </w:p>
        </w:tc>
      </w:tr>
      <w:tr w:rsidR="00232864" w:rsidRPr="00B0203E" w:rsidTr="00DB2239">
        <w:trPr>
          <w:trHeight w:val="1047"/>
        </w:trPr>
        <w:tc>
          <w:tcPr>
            <w:tcW w:w="1199" w:type="pct"/>
            <w:tcBorders>
              <w:top w:val="single" w:sz="8" w:space="0" w:color="000000"/>
              <w:left w:val="single" w:sz="8" w:space="0" w:color="000000"/>
              <w:bottom w:val="single" w:sz="8" w:space="0" w:color="000000"/>
              <w:right w:val="single" w:sz="8" w:space="0" w:color="000000"/>
            </w:tcBorders>
            <w:hideMark/>
          </w:tcPr>
          <w:p w:rsidR="00232864" w:rsidRPr="00926290" w:rsidRDefault="00232864" w:rsidP="00DB2239">
            <w:pPr>
              <w:rPr>
                <w:b/>
                <w:sz w:val="24"/>
                <w:szCs w:val="24"/>
              </w:rPr>
            </w:pPr>
            <w:r w:rsidRPr="00926290">
              <w:rPr>
                <w:b/>
                <w:sz w:val="24"/>
                <w:szCs w:val="24"/>
              </w:rPr>
              <w:t>Lever og galdeveje</w:t>
            </w:r>
          </w:p>
        </w:tc>
        <w:tc>
          <w:tcPr>
            <w:tcW w:w="786" w:type="pct"/>
            <w:tcBorders>
              <w:top w:val="single" w:sz="8" w:space="0" w:color="000000"/>
              <w:left w:val="single" w:sz="8" w:space="0" w:color="000000"/>
              <w:bottom w:val="single" w:sz="8" w:space="0" w:color="000000"/>
              <w:right w:val="single" w:sz="8" w:space="0" w:color="000000"/>
            </w:tcBorders>
          </w:tcPr>
          <w:p w:rsidR="00232864" w:rsidRPr="00B0203E" w:rsidRDefault="00232864" w:rsidP="00DB2239">
            <w:pPr>
              <w:rPr>
                <w:sz w:val="24"/>
                <w:szCs w:val="24"/>
              </w:rPr>
            </w:pPr>
          </w:p>
        </w:tc>
        <w:tc>
          <w:tcPr>
            <w:tcW w:w="788" w:type="pct"/>
            <w:tcBorders>
              <w:top w:val="single" w:sz="8" w:space="0" w:color="000000"/>
              <w:left w:val="single" w:sz="8" w:space="0" w:color="000000"/>
              <w:bottom w:val="single" w:sz="8" w:space="0" w:color="000000"/>
              <w:right w:val="single" w:sz="8" w:space="0" w:color="000000"/>
            </w:tcBorders>
          </w:tcPr>
          <w:p w:rsidR="00232864" w:rsidRPr="00B0203E" w:rsidRDefault="00232864" w:rsidP="00DB2239">
            <w:pPr>
              <w:rPr>
                <w:sz w:val="24"/>
                <w:szCs w:val="24"/>
              </w:rPr>
            </w:pPr>
          </w:p>
        </w:tc>
        <w:tc>
          <w:tcPr>
            <w:tcW w:w="1114" w:type="pct"/>
            <w:tcBorders>
              <w:top w:val="single" w:sz="8" w:space="0" w:color="000000"/>
              <w:left w:val="single" w:sz="8" w:space="0" w:color="000000"/>
              <w:bottom w:val="single" w:sz="8" w:space="0" w:color="000000"/>
              <w:right w:val="single" w:sz="8" w:space="0" w:color="000000"/>
            </w:tcBorders>
            <w:hideMark/>
          </w:tcPr>
          <w:p w:rsidR="00232864" w:rsidRPr="00B0203E" w:rsidRDefault="00232864" w:rsidP="00DB2239">
            <w:pPr>
              <w:rPr>
                <w:sz w:val="24"/>
                <w:szCs w:val="24"/>
              </w:rPr>
            </w:pPr>
            <w:r w:rsidRPr="00B0203E">
              <w:rPr>
                <w:sz w:val="24"/>
                <w:szCs w:val="24"/>
              </w:rPr>
              <w:t>Hepatitis med gulsot pga. stase</w:t>
            </w:r>
          </w:p>
        </w:tc>
        <w:tc>
          <w:tcPr>
            <w:tcW w:w="1114" w:type="pct"/>
            <w:tcBorders>
              <w:top w:val="single" w:sz="8" w:space="0" w:color="000000"/>
              <w:left w:val="single" w:sz="8" w:space="0" w:color="000000"/>
              <w:bottom w:val="single" w:sz="8" w:space="0" w:color="000000"/>
              <w:right w:val="single" w:sz="8" w:space="0" w:color="000000"/>
            </w:tcBorders>
          </w:tcPr>
          <w:p w:rsidR="00232864" w:rsidRPr="00B0203E" w:rsidRDefault="00232864" w:rsidP="00DB2239">
            <w:pPr>
              <w:rPr>
                <w:sz w:val="24"/>
                <w:szCs w:val="24"/>
              </w:rPr>
            </w:pPr>
          </w:p>
        </w:tc>
      </w:tr>
      <w:tr w:rsidR="00232864" w:rsidRPr="00B0203E" w:rsidTr="00DB2239">
        <w:trPr>
          <w:trHeight w:val="1302"/>
        </w:trPr>
        <w:tc>
          <w:tcPr>
            <w:tcW w:w="1199" w:type="pct"/>
            <w:tcBorders>
              <w:top w:val="single" w:sz="8" w:space="0" w:color="000000"/>
              <w:left w:val="single" w:sz="8" w:space="0" w:color="000000"/>
              <w:bottom w:val="single" w:sz="8" w:space="0" w:color="000000"/>
              <w:right w:val="single" w:sz="8" w:space="0" w:color="000000"/>
            </w:tcBorders>
            <w:hideMark/>
          </w:tcPr>
          <w:p w:rsidR="00232864" w:rsidRPr="00926290" w:rsidRDefault="00232864" w:rsidP="00DB2239">
            <w:pPr>
              <w:rPr>
                <w:b/>
                <w:sz w:val="24"/>
                <w:szCs w:val="24"/>
              </w:rPr>
            </w:pPr>
            <w:r w:rsidRPr="00926290">
              <w:rPr>
                <w:b/>
                <w:sz w:val="24"/>
                <w:szCs w:val="24"/>
              </w:rPr>
              <w:t xml:space="preserve">Nyre og urinveje </w:t>
            </w:r>
          </w:p>
        </w:tc>
        <w:tc>
          <w:tcPr>
            <w:tcW w:w="786" w:type="pct"/>
            <w:tcBorders>
              <w:top w:val="single" w:sz="8" w:space="0" w:color="000000"/>
              <w:left w:val="single" w:sz="8" w:space="0" w:color="000000"/>
              <w:bottom w:val="single" w:sz="8" w:space="0" w:color="000000"/>
              <w:right w:val="single" w:sz="8" w:space="0" w:color="000000"/>
            </w:tcBorders>
          </w:tcPr>
          <w:p w:rsidR="00232864" w:rsidRPr="00B0203E" w:rsidRDefault="00232864" w:rsidP="00DB2239">
            <w:pPr>
              <w:rPr>
                <w:sz w:val="24"/>
                <w:szCs w:val="24"/>
              </w:rPr>
            </w:pPr>
          </w:p>
        </w:tc>
        <w:tc>
          <w:tcPr>
            <w:tcW w:w="788" w:type="pct"/>
            <w:tcBorders>
              <w:top w:val="single" w:sz="8" w:space="0" w:color="000000"/>
              <w:left w:val="single" w:sz="8" w:space="0" w:color="000000"/>
              <w:bottom w:val="single" w:sz="8" w:space="0" w:color="000000"/>
              <w:right w:val="single" w:sz="8" w:space="0" w:color="000000"/>
            </w:tcBorders>
            <w:hideMark/>
          </w:tcPr>
          <w:p w:rsidR="00232864" w:rsidRPr="00B0203E" w:rsidRDefault="00232864" w:rsidP="00DB2239">
            <w:pPr>
              <w:rPr>
                <w:sz w:val="24"/>
                <w:szCs w:val="24"/>
              </w:rPr>
            </w:pPr>
            <w:r w:rsidRPr="00B0203E">
              <w:rPr>
                <w:sz w:val="24"/>
                <w:szCs w:val="24"/>
              </w:rPr>
              <w:t xml:space="preserve">Urinretention </w:t>
            </w:r>
          </w:p>
        </w:tc>
        <w:tc>
          <w:tcPr>
            <w:tcW w:w="1114" w:type="pct"/>
            <w:tcBorders>
              <w:top w:val="single" w:sz="8" w:space="0" w:color="000000"/>
              <w:left w:val="single" w:sz="8" w:space="0" w:color="000000"/>
              <w:bottom w:val="single" w:sz="8" w:space="0" w:color="000000"/>
              <w:right w:val="single" w:sz="8" w:space="0" w:color="000000"/>
            </w:tcBorders>
          </w:tcPr>
          <w:p w:rsidR="00232864" w:rsidRPr="00B0203E" w:rsidRDefault="00232864" w:rsidP="00DB2239">
            <w:pPr>
              <w:rPr>
                <w:sz w:val="24"/>
                <w:szCs w:val="24"/>
              </w:rPr>
            </w:pPr>
          </w:p>
        </w:tc>
        <w:tc>
          <w:tcPr>
            <w:tcW w:w="1114" w:type="pct"/>
            <w:tcBorders>
              <w:top w:val="single" w:sz="8" w:space="0" w:color="000000"/>
              <w:left w:val="single" w:sz="8" w:space="0" w:color="000000"/>
              <w:bottom w:val="single" w:sz="8" w:space="0" w:color="000000"/>
              <w:right w:val="single" w:sz="8" w:space="0" w:color="000000"/>
            </w:tcBorders>
          </w:tcPr>
          <w:p w:rsidR="00232864" w:rsidRPr="00B0203E" w:rsidRDefault="00232864" w:rsidP="00DB2239">
            <w:pPr>
              <w:rPr>
                <w:sz w:val="24"/>
                <w:szCs w:val="24"/>
              </w:rPr>
            </w:pPr>
          </w:p>
        </w:tc>
      </w:tr>
      <w:tr w:rsidR="00232864" w:rsidRPr="00B0203E" w:rsidTr="00DB2239">
        <w:trPr>
          <w:trHeight w:val="1047"/>
        </w:trPr>
        <w:tc>
          <w:tcPr>
            <w:tcW w:w="1199" w:type="pct"/>
            <w:tcBorders>
              <w:top w:val="single" w:sz="8" w:space="0" w:color="000000"/>
              <w:left w:val="single" w:sz="8" w:space="0" w:color="000000"/>
              <w:bottom w:val="single" w:sz="8" w:space="0" w:color="000000"/>
              <w:right w:val="single" w:sz="8" w:space="0" w:color="000000"/>
            </w:tcBorders>
            <w:hideMark/>
          </w:tcPr>
          <w:p w:rsidR="00232864" w:rsidRPr="00926290" w:rsidRDefault="00232864" w:rsidP="00DB2239">
            <w:pPr>
              <w:rPr>
                <w:b/>
                <w:sz w:val="24"/>
                <w:szCs w:val="24"/>
              </w:rPr>
            </w:pPr>
            <w:r w:rsidRPr="00926290">
              <w:rPr>
                <w:b/>
                <w:noProof/>
                <w:sz w:val="24"/>
                <w:szCs w:val="24"/>
              </w:rPr>
              <w:t>Almene symptomer og reaktioner på administrationsstedet</w:t>
            </w:r>
          </w:p>
        </w:tc>
        <w:tc>
          <w:tcPr>
            <w:tcW w:w="786" w:type="pct"/>
            <w:tcBorders>
              <w:top w:val="single" w:sz="8" w:space="0" w:color="000000"/>
              <w:left w:val="single" w:sz="8" w:space="0" w:color="000000"/>
              <w:bottom w:val="single" w:sz="8" w:space="0" w:color="000000"/>
              <w:right w:val="single" w:sz="8" w:space="0" w:color="000000"/>
            </w:tcBorders>
            <w:hideMark/>
          </w:tcPr>
          <w:p w:rsidR="00232864" w:rsidRPr="00B0203E" w:rsidRDefault="00232864" w:rsidP="00DB2239">
            <w:pPr>
              <w:rPr>
                <w:sz w:val="24"/>
                <w:szCs w:val="24"/>
              </w:rPr>
            </w:pPr>
            <w:r w:rsidRPr="00B0203E">
              <w:rPr>
                <w:sz w:val="24"/>
                <w:szCs w:val="24"/>
              </w:rPr>
              <w:t>Døsighed</w:t>
            </w:r>
          </w:p>
        </w:tc>
        <w:tc>
          <w:tcPr>
            <w:tcW w:w="788" w:type="pct"/>
            <w:tcBorders>
              <w:top w:val="single" w:sz="8" w:space="0" w:color="000000"/>
              <w:left w:val="single" w:sz="8" w:space="0" w:color="000000"/>
              <w:bottom w:val="single" w:sz="8" w:space="0" w:color="000000"/>
              <w:right w:val="single" w:sz="8" w:space="0" w:color="000000"/>
            </w:tcBorders>
          </w:tcPr>
          <w:p w:rsidR="00232864" w:rsidRPr="00B0203E" w:rsidRDefault="00232864" w:rsidP="00DB2239">
            <w:pPr>
              <w:rPr>
                <w:sz w:val="24"/>
                <w:szCs w:val="24"/>
              </w:rPr>
            </w:pPr>
          </w:p>
        </w:tc>
        <w:tc>
          <w:tcPr>
            <w:tcW w:w="1114" w:type="pct"/>
            <w:tcBorders>
              <w:top w:val="single" w:sz="8" w:space="0" w:color="000000"/>
              <w:left w:val="single" w:sz="8" w:space="0" w:color="000000"/>
              <w:bottom w:val="single" w:sz="8" w:space="0" w:color="000000"/>
              <w:right w:val="single" w:sz="8" w:space="0" w:color="000000"/>
            </w:tcBorders>
          </w:tcPr>
          <w:p w:rsidR="00232864" w:rsidRPr="00B0203E" w:rsidRDefault="00232864" w:rsidP="00DB2239">
            <w:pPr>
              <w:rPr>
                <w:sz w:val="24"/>
                <w:szCs w:val="24"/>
              </w:rPr>
            </w:pPr>
          </w:p>
        </w:tc>
        <w:tc>
          <w:tcPr>
            <w:tcW w:w="1114" w:type="pct"/>
            <w:tcBorders>
              <w:top w:val="single" w:sz="8" w:space="0" w:color="000000"/>
              <w:left w:val="single" w:sz="8" w:space="0" w:color="000000"/>
              <w:bottom w:val="single" w:sz="8" w:space="0" w:color="000000"/>
              <w:right w:val="single" w:sz="8" w:space="0" w:color="000000"/>
            </w:tcBorders>
          </w:tcPr>
          <w:p w:rsidR="00232864" w:rsidRPr="00B0203E" w:rsidRDefault="00232864" w:rsidP="00DB2239">
            <w:pPr>
              <w:rPr>
                <w:sz w:val="24"/>
                <w:szCs w:val="24"/>
              </w:rPr>
            </w:pPr>
          </w:p>
        </w:tc>
      </w:tr>
    </w:tbl>
    <w:p w:rsidR="00232864" w:rsidRPr="00B0203E" w:rsidRDefault="00232864" w:rsidP="00232864">
      <w:pPr>
        <w:ind w:left="851" w:hanging="851"/>
        <w:rPr>
          <w:sz w:val="24"/>
          <w:szCs w:val="24"/>
          <w:lang w:eastAsia="sv-SE"/>
        </w:rPr>
      </w:pPr>
    </w:p>
    <w:p w:rsidR="00232864" w:rsidRPr="00B0203E" w:rsidRDefault="00232864" w:rsidP="00232864">
      <w:pPr>
        <w:ind w:left="851"/>
        <w:rPr>
          <w:sz w:val="24"/>
          <w:szCs w:val="24"/>
          <w:lang w:eastAsia="sv-SE"/>
        </w:rPr>
      </w:pPr>
      <w:r w:rsidRPr="00B0203E">
        <w:rPr>
          <w:sz w:val="24"/>
          <w:szCs w:val="24"/>
          <w:lang w:eastAsia="sv-SE"/>
        </w:rPr>
        <w:t>Længerevarende anvendelse kan medføre mundtørhed hvilket medfører en risiko for tandskader og oral slimhindeskade.</w:t>
      </w:r>
    </w:p>
    <w:p w:rsidR="003E2EDB" w:rsidRPr="00B0203E" w:rsidRDefault="003E2EDB" w:rsidP="003E2EDB">
      <w:pPr>
        <w:ind w:left="851" w:hanging="851"/>
        <w:rPr>
          <w:sz w:val="24"/>
          <w:szCs w:val="24"/>
          <w:lang w:eastAsia="sv-SE"/>
        </w:rPr>
      </w:pPr>
    </w:p>
    <w:p w:rsidR="001D28E9" w:rsidRPr="00B0203E" w:rsidRDefault="001D28E9" w:rsidP="001D28E9">
      <w:pPr>
        <w:ind w:left="851"/>
        <w:rPr>
          <w:sz w:val="24"/>
          <w:szCs w:val="24"/>
          <w:lang w:eastAsia="sv-SE"/>
        </w:rPr>
      </w:pPr>
      <w:r w:rsidRPr="00B0203E">
        <w:rPr>
          <w:sz w:val="24"/>
          <w:szCs w:val="24"/>
          <w:lang w:eastAsia="sv-SE"/>
        </w:rPr>
        <w:t xml:space="preserve">Behandling med </w:t>
      </w:r>
      <w:proofErr w:type="spellStart"/>
      <w:r>
        <w:rPr>
          <w:sz w:val="24"/>
          <w:szCs w:val="24"/>
          <w:lang w:eastAsia="sv-SE"/>
        </w:rPr>
        <w:t>pheno</w:t>
      </w:r>
      <w:r w:rsidRPr="00B0203E">
        <w:rPr>
          <w:sz w:val="24"/>
          <w:szCs w:val="24"/>
          <w:lang w:eastAsia="sv-SE"/>
        </w:rPr>
        <w:t>t</w:t>
      </w:r>
      <w:r>
        <w:rPr>
          <w:sz w:val="24"/>
          <w:szCs w:val="24"/>
          <w:lang w:eastAsia="sv-SE"/>
        </w:rPr>
        <w:t>h</w:t>
      </w:r>
      <w:r w:rsidRPr="00B0203E">
        <w:rPr>
          <w:sz w:val="24"/>
          <w:szCs w:val="24"/>
          <w:lang w:eastAsia="sv-SE"/>
        </w:rPr>
        <w:t>iaziner</w:t>
      </w:r>
      <w:proofErr w:type="spellEnd"/>
      <w:r w:rsidRPr="00B0203E">
        <w:rPr>
          <w:sz w:val="24"/>
          <w:szCs w:val="24"/>
          <w:lang w:eastAsia="sv-SE"/>
        </w:rPr>
        <w:t xml:space="preserve"> kan medføre forlængelse af QT-intervallet og </w:t>
      </w:r>
      <w:proofErr w:type="spellStart"/>
      <w:r w:rsidRPr="00B0203E">
        <w:rPr>
          <w:sz w:val="24"/>
          <w:szCs w:val="24"/>
          <w:lang w:eastAsia="sv-SE"/>
        </w:rPr>
        <w:t>hjertearytmier</w:t>
      </w:r>
      <w:proofErr w:type="spellEnd"/>
      <w:r w:rsidRPr="00B0203E">
        <w:rPr>
          <w:sz w:val="24"/>
          <w:szCs w:val="24"/>
          <w:lang w:eastAsia="sv-SE"/>
        </w:rPr>
        <w:t>. Tilfælde af pludselig død der kan skyldes et hjertetilfælde (se pkt. 4.4) er rapporteret under behandling med denne type lægemidler.</w:t>
      </w:r>
    </w:p>
    <w:p w:rsidR="003E2EDB" w:rsidRPr="00B0203E" w:rsidRDefault="003E2EDB" w:rsidP="003E2EDB">
      <w:pPr>
        <w:ind w:left="851" w:hanging="851"/>
        <w:rPr>
          <w:i/>
          <w:noProof/>
          <w:sz w:val="24"/>
          <w:szCs w:val="24"/>
        </w:rPr>
      </w:pPr>
    </w:p>
    <w:p w:rsidR="003E2EDB" w:rsidRPr="00B0203E" w:rsidRDefault="003E2EDB" w:rsidP="003E2EDB">
      <w:pPr>
        <w:autoSpaceDE w:val="0"/>
        <w:autoSpaceDN w:val="0"/>
        <w:adjustRightInd w:val="0"/>
        <w:ind w:left="851"/>
        <w:rPr>
          <w:sz w:val="24"/>
          <w:szCs w:val="24"/>
          <w:u w:val="single"/>
        </w:rPr>
      </w:pPr>
      <w:r w:rsidRPr="00B0203E">
        <w:rPr>
          <w:noProof/>
          <w:sz w:val="24"/>
          <w:szCs w:val="24"/>
          <w:u w:val="single"/>
        </w:rPr>
        <w:t>Indberetning af formodede bivirkninger</w:t>
      </w:r>
    </w:p>
    <w:p w:rsidR="003E2EDB" w:rsidRPr="00B0203E" w:rsidRDefault="003E2EDB" w:rsidP="00F66685">
      <w:pPr>
        <w:autoSpaceDE w:val="0"/>
        <w:autoSpaceDN w:val="0"/>
        <w:adjustRightInd w:val="0"/>
        <w:ind w:left="851"/>
        <w:rPr>
          <w:noProof/>
          <w:sz w:val="24"/>
          <w:szCs w:val="24"/>
        </w:rPr>
      </w:pPr>
      <w:r w:rsidRPr="00B0203E">
        <w:rPr>
          <w:noProof/>
          <w:sz w:val="24"/>
          <w:szCs w:val="24"/>
        </w:rPr>
        <w:t>Når lægemidlet er godkendt, er indberetning af formodede bivirkninger vigtig.</w:t>
      </w:r>
      <w:r w:rsidRPr="00B0203E">
        <w:rPr>
          <w:sz w:val="24"/>
          <w:szCs w:val="24"/>
        </w:rPr>
        <w:t xml:space="preserve"> </w:t>
      </w:r>
      <w:r w:rsidRPr="00B0203E">
        <w:rPr>
          <w:noProof/>
          <w:sz w:val="24"/>
          <w:szCs w:val="24"/>
        </w:rPr>
        <w:t>Det muliggør løbende overvågning af benefit/risk-forholdet for lægemidlet.</w:t>
      </w:r>
      <w:r w:rsidRPr="00B0203E">
        <w:rPr>
          <w:sz w:val="24"/>
          <w:szCs w:val="24"/>
        </w:rPr>
        <w:t xml:space="preserve"> </w:t>
      </w:r>
      <w:r w:rsidR="00F66685">
        <w:rPr>
          <w:noProof/>
          <w:sz w:val="24"/>
          <w:szCs w:val="24"/>
        </w:rPr>
        <w:t>S</w:t>
      </w:r>
      <w:r w:rsidRPr="00B0203E">
        <w:rPr>
          <w:noProof/>
          <w:sz w:val="24"/>
          <w:szCs w:val="24"/>
        </w:rPr>
        <w:t>undhedsperson</w:t>
      </w:r>
      <w:r w:rsidR="00F66685">
        <w:rPr>
          <w:noProof/>
          <w:sz w:val="24"/>
          <w:szCs w:val="24"/>
        </w:rPr>
        <w:t>er</w:t>
      </w:r>
      <w:r w:rsidRPr="00B0203E">
        <w:rPr>
          <w:noProof/>
          <w:sz w:val="24"/>
          <w:szCs w:val="24"/>
        </w:rPr>
        <w:t xml:space="preserve"> anmodes om at indberette alle formodede bivirkninger via:</w:t>
      </w:r>
    </w:p>
    <w:p w:rsidR="003E2EDB" w:rsidRPr="00B0203E" w:rsidRDefault="003E2EDB" w:rsidP="003E2EDB">
      <w:pPr>
        <w:autoSpaceDE w:val="0"/>
        <w:autoSpaceDN w:val="0"/>
        <w:adjustRightInd w:val="0"/>
        <w:ind w:left="851" w:hanging="851"/>
        <w:rPr>
          <w:noProof/>
          <w:sz w:val="24"/>
          <w:szCs w:val="24"/>
        </w:rPr>
      </w:pPr>
    </w:p>
    <w:p w:rsidR="003E2EDB" w:rsidRPr="00B0203E" w:rsidRDefault="003E2EDB" w:rsidP="003E2EDB">
      <w:pPr>
        <w:pStyle w:val="NormalWeb"/>
        <w:shd w:val="clear" w:color="auto" w:fill="FFFFFF"/>
        <w:spacing w:before="0" w:after="0" w:afterAutospacing="0"/>
        <w:ind w:left="851"/>
        <w:rPr>
          <w:sz w:val="24"/>
          <w:szCs w:val="24"/>
          <w:lang w:val="da-DK"/>
        </w:rPr>
      </w:pPr>
      <w:r w:rsidRPr="00B0203E">
        <w:rPr>
          <w:sz w:val="24"/>
          <w:szCs w:val="24"/>
          <w:lang w:val="da-DK"/>
        </w:rPr>
        <w:t>Lægemiddelstyrelsen</w:t>
      </w:r>
      <w:r w:rsidRPr="00B0203E">
        <w:rPr>
          <w:sz w:val="24"/>
          <w:szCs w:val="24"/>
          <w:lang w:val="da-DK"/>
        </w:rPr>
        <w:br/>
        <w:t>Axel Heides Gade 1</w:t>
      </w:r>
      <w:r w:rsidRPr="00B0203E">
        <w:rPr>
          <w:sz w:val="24"/>
          <w:szCs w:val="24"/>
          <w:lang w:val="da-DK"/>
        </w:rPr>
        <w:br/>
        <w:t>DK-2300 København S</w:t>
      </w:r>
      <w:r w:rsidRPr="00B0203E">
        <w:rPr>
          <w:sz w:val="24"/>
          <w:szCs w:val="24"/>
          <w:lang w:val="da-DK"/>
        </w:rPr>
        <w:br/>
        <w:t xml:space="preserve">Websted: </w:t>
      </w:r>
      <w:hyperlink r:id="rId8" w:history="1">
        <w:r w:rsidRPr="00B0203E">
          <w:rPr>
            <w:rStyle w:val="Hyperlink"/>
            <w:szCs w:val="24"/>
            <w:lang w:val="da-DK"/>
          </w:rPr>
          <w:t>www.meldenbivirkning.dk</w:t>
        </w:r>
      </w:hyperlink>
    </w:p>
    <w:p w:rsidR="003E2EDB" w:rsidRPr="00B0203E" w:rsidRDefault="003E2EDB" w:rsidP="003E2EDB">
      <w:pPr>
        <w:pStyle w:val="Sidehoved"/>
        <w:tabs>
          <w:tab w:val="clear" w:pos="4819"/>
          <w:tab w:val="clear" w:pos="9638"/>
        </w:tabs>
        <w:ind w:left="851" w:hanging="851"/>
        <w:rPr>
          <w:szCs w:val="24"/>
        </w:rPr>
      </w:pPr>
    </w:p>
    <w:p w:rsidR="003E2EDB" w:rsidRPr="00F66685" w:rsidRDefault="003E2EDB" w:rsidP="00F66685">
      <w:pPr>
        <w:ind w:left="851" w:hanging="851"/>
        <w:rPr>
          <w:b/>
          <w:sz w:val="24"/>
          <w:szCs w:val="24"/>
        </w:rPr>
      </w:pPr>
      <w:r w:rsidRPr="00B0203E">
        <w:rPr>
          <w:b/>
          <w:sz w:val="24"/>
          <w:szCs w:val="24"/>
        </w:rPr>
        <w:t>4.9</w:t>
      </w:r>
      <w:r w:rsidRPr="00B0203E">
        <w:rPr>
          <w:b/>
          <w:sz w:val="24"/>
          <w:szCs w:val="24"/>
        </w:rPr>
        <w:tab/>
        <w:t>Overdosering</w:t>
      </w:r>
    </w:p>
    <w:p w:rsidR="00D0206B" w:rsidRDefault="00D0206B" w:rsidP="00D0206B">
      <w:pPr>
        <w:ind w:left="851"/>
        <w:rPr>
          <w:sz w:val="24"/>
          <w:szCs w:val="24"/>
          <w:lang w:eastAsia="sv-SE"/>
        </w:rPr>
      </w:pPr>
      <w:r>
        <w:rPr>
          <w:i/>
          <w:iCs/>
          <w:sz w:val="24"/>
          <w:szCs w:val="24"/>
          <w:lang w:eastAsia="sv-SE"/>
        </w:rPr>
        <w:t>Toksicitet</w:t>
      </w:r>
    </w:p>
    <w:p w:rsidR="00D0206B" w:rsidRDefault="00D0206B" w:rsidP="00D0206B">
      <w:pPr>
        <w:ind w:left="851"/>
        <w:rPr>
          <w:sz w:val="24"/>
          <w:szCs w:val="24"/>
          <w:lang w:eastAsia="sv-SE"/>
        </w:rPr>
      </w:pPr>
      <w:r>
        <w:rPr>
          <w:sz w:val="24"/>
          <w:szCs w:val="24"/>
          <w:lang w:eastAsia="sv-SE"/>
        </w:rPr>
        <w:t xml:space="preserve">En 2-årig der fik 200 mg medførte letal forgiftning. En 2,5-årig der fik 50 mg medførte mild forgiftning efter ventrikelskylning. En 3-årig der fik 100 mg medførte moderat forgiftning og en 3-årig der fik 200 mg medførte alvorlig forgiftning. En 6-årig der fik 200 mg der havde fået ventrikelskylning medførte moderat forgiftning, mens en 12-årig der fik 200 mg medførte svær forgiftning. En voksen der fik 250 mg medførte moderat forgiftning, 500 mg medførte moderat til svær forgiftning, 2,25 g medførte svær forgiftning. 50 mg intramuskulært til et barn på 2 måneder medførte svær forgiftning. Overdosering af </w:t>
      </w:r>
      <w:proofErr w:type="spellStart"/>
      <w:r>
        <w:rPr>
          <w:sz w:val="24"/>
          <w:szCs w:val="24"/>
          <w:lang w:eastAsia="sv-SE"/>
        </w:rPr>
        <w:t>promethazin</w:t>
      </w:r>
      <w:proofErr w:type="spellEnd"/>
      <w:r>
        <w:rPr>
          <w:sz w:val="24"/>
          <w:szCs w:val="24"/>
          <w:lang w:eastAsia="sv-SE"/>
        </w:rPr>
        <w:t xml:space="preserve"> indebærer mortalitetsrisiko. Overdosering i kombination med alkohol, stofbrug eller andre lægemidler er forbundet med yderligere mortalitetsrisiko (se 4.4 og 4.5).</w:t>
      </w:r>
    </w:p>
    <w:p w:rsidR="001D28E9" w:rsidRPr="00B0203E" w:rsidRDefault="001D28E9" w:rsidP="001D28E9">
      <w:pPr>
        <w:ind w:left="851" w:hanging="851"/>
        <w:rPr>
          <w:sz w:val="24"/>
          <w:szCs w:val="24"/>
          <w:lang w:eastAsia="sv-SE"/>
        </w:rPr>
      </w:pPr>
    </w:p>
    <w:p w:rsidR="00D0206B" w:rsidRDefault="00D0206B" w:rsidP="00D0206B">
      <w:pPr>
        <w:ind w:left="851"/>
        <w:rPr>
          <w:i/>
          <w:iCs/>
          <w:sz w:val="24"/>
          <w:szCs w:val="24"/>
          <w:lang w:eastAsia="sv-SE"/>
        </w:rPr>
      </w:pPr>
      <w:r>
        <w:rPr>
          <w:i/>
          <w:iCs/>
          <w:sz w:val="24"/>
          <w:szCs w:val="24"/>
          <w:lang w:eastAsia="sv-SE"/>
        </w:rPr>
        <w:t>Symptomer</w:t>
      </w:r>
    </w:p>
    <w:p w:rsidR="00D0206B" w:rsidRDefault="00D0206B" w:rsidP="00D0206B">
      <w:pPr>
        <w:ind w:left="851"/>
        <w:rPr>
          <w:sz w:val="24"/>
          <w:szCs w:val="24"/>
          <w:lang w:eastAsia="sv-SE"/>
        </w:rPr>
      </w:pPr>
      <w:proofErr w:type="spellStart"/>
      <w:r>
        <w:rPr>
          <w:sz w:val="24"/>
          <w:szCs w:val="24"/>
          <w:lang w:eastAsia="sv-SE"/>
        </w:rPr>
        <w:t>Somnolens</w:t>
      </w:r>
      <w:proofErr w:type="spellEnd"/>
      <w:r>
        <w:rPr>
          <w:sz w:val="24"/>
          <w:szCs w:val="24"/>
          <w:lang w:eastAsia="sv-SE"/>
        </w:rPr>
        <w:t xml:space="preserve">, bevidstløshed og/eller </w:t>
      </w:r>
      <w:r>
        <w:rPr>
          <w:sz w:val="24"/>
          <w:szCs w:val="24"/>
        </w:rPr>
        <w:t>ekscitation</w:t>
      </w:r>
      <w:r>
        <w:rPr>
          <w:sz w:val="24"/>
          <w:szCs w:val="24"/>
          <w:lang w:eastAsia="sv-SE"/>
        </w:rPr>
        <w:t xml:space="preserve"> (primært hos børn). </w:t>
      </w:r>
      <w:proofErr w:type="spellStart"/>
      <w:r>
        <w:rPr>
          <w:sz w:val="24"/>
          <w:szCs w:val="24"/>
          <w:lang w:eastAsia="sv-SE"/>
        </w:rPr>
        <w:t>Ataksi</w:t>
      </w:r>
      <w:proofErr w:type="spellEnd"/>
      <w:r>
        <w:rPr>
          <w:sz w:val="24"/>
          <w:szCs w:val="24"/>
          <w:lang w:eastAsia="sv-SE"/>
        </w:rPr>
        <w:t xml:space="preserve">, </w:t>
      </w:r>
      <w:proofErr w:type="spellStart"/>
      <w:r>
        <w:rPr>
          <w:sz w:val="24"/>
          <w:szCs w:val="24"/>
          <w:lang w:eastAsia="sv-SE"/>
        </w:rPr>
        <w:t>tremor</w:t>
      </w:r>
      <w:proofErr w:type="spellEnd"/>
      <w:r>
        <w:rPr>
          <w:sz w:val="24"/>
          <w:szCs w:val="24"/>
          <w:lang w:eastAsia="sv-SE"/>
        </w:rPr>
        <w:t xml:space="preserve">, hovedpine, hallucinationer, kramper. Mundtørhed, rødmen, </w:t>
      </w:r>
      <w:proofErr w:type="spellStart"/>
      <w:r>
        <w:rPr>
          <w:sz w:val="24"/>
          <w:szCs w:val="24"/>
          <w:lang w:eastAsia="sv-SE"/>
        </w:rPr>
        <w:t>hypertermi</w:t>
      </w:r>
      <w:proofErr w:type="spellEnd"/>
      <w:r>
        <w:rPr>
          <w:sz w:val="24"/>
          <w:szCs w:val="24"/>
          <w:lang w:eastAsia="sv-SE"/>
        </w:rPr>
        <w:t xml:space="preserve">, </w:t>
      </w:r>
      <w:proofErr w:type="spellStart"/>
      <w:r>
        <w:rPr>
          <w:sz w:val="24"/>
          <w:szCs w:val="24"/>
          <w:lang w:eastAsia="sv-SE"/>
        </w:rPr>
        <w:t>mydriasis</w:t>
      </w:r>
      <w:proofErr w:type="spellEnd"/>
      <w:r>
        <w:rPr>
          <w:sz w:val="24"/>
          <w:szCs w:val="24"/>
          <w:lang w:eastAsia="sv-SE"/>
        </w:rPr>
        <w:t xml:space="preserve">. Urinretention. </w:t>
      </w:r>
      <w:proofErr w:type="spellStart"/>
      <w:r>
        <w:rPr>
          <w:sz w:val="24"/>
          <w:szCs w:val="24"/>
          <w:lang w:eastAsia="sv-SE"/>
        </w:rPr>
        <w:t>Takykardi</w:t>
      </w:r>
      <w:proofErr w:type="spellEnd"/>
      <w:r>
        <w:rPr>
          <w:sz w:val="24"/>
          <w:szCs w:val="24"/>
          <w:lang w:eastAsia="sv-SE"/>
        </w:rPr>
        <w:t xml:space="preserve">; muligt fald i blodtryk og </w:t>
      </w:r>
      <w:proofErr w:type="spellStart"/>
      <w:r>
        <w:rPr>
          <w:sz w:val="24"/>
          <w:szCs w:val="24"/>
          <w:lang w:eastAsia="sv-SE"/>
        </w:rPr>
        <w:t>arytmi</w:t>
      </w:r>
      <w:proofErr w:type="spellEnd"/>
      <w:r>
        <w:rPr>
          <w:sz w:val="24"/>
          <w:szCs w:val="24"/>
          <w:lang w:eastAsia="sv-SE"/>
        </w:rPr>
        <w:t xml:space="preserve"> ved meget store doser. Kvalme og opkastning. </w:t>
      </w:r>
      <w:proofErr w:type="spellStart"/>
      <w:r>
        <w:rPr>
          <w:sz w:val="24"/>
          <w:szCs w:val="24"/>
          <w:lang w:eastAsia="sv-SE"/>
        </w:rPr>
        <w:t>Ekstrapyrimidiale</w:t>
      </w:r>
      <w:proofErr w:type="spellEnd"/>
      <w:r>
        <w:rPr>
          <w:sz w:val="24"/>
          <w:szCs w:val="24"/>
          <w:lang w:eastAsia="sv-SE"/>
        </w:rPr>
        <w:t xml:space="preserve"> symptomer er også mulige med </w:t>
      </w:r>
      <w:proofErr w:type="spellStart"/>
      <w:r>
        <w:rPr>
          <w:sz w:val="24"/>
          <w:szCs w:val="24"/>
          <w:lang w:eastAsia="sv-SE"/>
        </w:rPr>
        <w:t>phenothiazinderivater</w:t>
      </w:r>
      <w:proofErr w:type="spellEnd"/>
      <w:r>
        <w:rPr>
          <w:sz w:val="24"/>
          <w:szCs w:val="24"/>
          <w:lang w:eastAsia="sv-SE"/>
        </w:rPr>
        <w:t xml:space="preserve">. Symptomerne domineres af centrale </w:t>
      </w:r>
      <w:proofErr w:type="spellStart"/>
      <w:r>
        <w:rPr>
          <w:sz w:val="24"/>
          <w:szCs w:val="24"/>
          <w:lang w:eastAsia="sv-SE"/>
        </w:rPr>
        <w:t>antikolinerge</w:t>
      </w:r>
      <w:proofErr w:type="spellEnd"/>
      <w:r>
        <w:rPr>
          <w:sz w:val="24"/>
          <w:szCs w:val="24"/>
          <w:lang w:eastAsia="sv-SE"/>
        </w:rPr>
        <w:t xml:space="preserve"> symptomer og CNS-depression og kramper.</w:t>
      </w:r>
    </w:p>
    <w:p w:rsidR="00D0206B" w:rsidRDefault="00D0206B" w:rsidP="00D0206B">
      <w:pPr>
        <w:ind w:left="851"/>
        <w:rPr>
          <w:sz w:val="24"/>
          <w:szCs w:val="24"/>
          <w:lang w:eastAsia="sv-SE"/>
        </w:rPr>
      </w:pPr>
      <w:r>
        <w:rPr>
          <w:sz w:val="24"/>
          <w:szCs w:val="24"/>
          <w:lang w:eastAsia="sv-SE"/>
        </w:rPr>
        <w:t xml:space="preserve">En forlænget QT-tid og tilfælde af alvorlige fatale </w:t>
      </w:r>
      <w:proofErr w:type="spellStart"/>
      <w:r>
        <w:rPr>
          <w:sz w:val="24"/>
          <w:szCs w:val="24"/>
          <w:lang w:eastAsia="sv-SE"/>
        </w:rPr>
        <w:t>arytmier</w:t>
      </w:r>
      <w:proofErr w:type="spellEnd"/>
      <w:r>
        <w:rPr>
          <w:sz w:val="24"/>
          <w:szCs w:val="24"/>
          <w:lang w:eastAsia="sv-SE"/>
        </w:rPr>
        <w:t xml:space="preserve"> er beskrevet ved overdosis af </w:t>
      </w:r>
      <w:proofErr w:type="spellStart"/>
      <w:r>
        <w:rPr>
          <w:sz w:val="24"/>
          <w:szCs w:val="24"/>
          <w:lang w:eastAsia="sv-SE"/>
        </w:rPr>
        <w:t>phenothiaziner</w:t>
      </w:r>
      <w:proofErr w:type="spellEnd"/>
      <w:r>
        <w:rPr>
          <w:sz w:val="24"/>
          <w:szCs w:val="24"/>
          <w:lang w:eastAsia="sv-SE"/>
        </w:rPr>
        <w:t xml:space="preserve"> og </w:t>
      </w:r>
      <w:proofErr w:type="spellStart"/>
      <w:r>
        <w:rPr>
          <w:sz w:val="24"/>
          <w:szCs w:val="24"/>
          <w:lang w:eastAsia="sv-SE"/>
        </w:rPr>
        <w:t>phenothiazinderivater</w:t>
      </w:r>
      <w:proofErr w:type="spellEnd"/>
      <w:r>
        <w:rPr>
          <w:sz w:val="24"/>
          <w:szCs w:val="24"/>
          <w:lang w:eastAsia="sv-SE"/>
        </w:rPr>
        <w:t>.</w:t>
      </w:r>
    </w:p>
    <w:p w:rsidR="001D28E9" w:rsidRPr="00B0203E" w:rsidRDefault="001D28E9" w:rsidP="001D28E9">
      <w:pPr>
        <w:pStyle w:val="Default"/>
        <w:ind w:left="851" w:hanging="851"/>
        <w:rPr>
          <w:lang w:val="da-DK" w:eastAsia="sv-SE"/>
        </w:rPr>
      </w:pPr>
    </w:p>
    <w:p w:rsidR="001D28E9" w:rsidRPr="00B0203E" w:rsidRDefault="001D28E9" w:rsidP="001D28E9">
      <w:pPr>
        <w:ind w:left="851"/>
        <w:rPr>
          <w:sz w:val="24"/>
          <w:szCs w:val="24"/>
          <w:lang w:eastAsia="sv-SE"/>
        </w:rPr>
      </w:pPr>
      <w:r w:rsidRPr="00B0203E">
        <w:rPr>
          <w:i/>
          <w:iCs/>
          <w:sz w:val="24"/>
          <w:szCs w:val="24"/>
          <w:lang w:eastAsia="sv-SE"/>
        </w:rPr>
        <w:t>Behandling</w:t>
      </w:r>
    </w:p>
    <w:p w:rsidR="001D28E9" w:rsidRPr="00B0203E" w:rsidRDefault="001D28E9" w:rsidP="001D28E9">
      <w:pPr>
        <w:ind w:left="851"/>
        <w:rPr>
          <w:sz w:val="24"/>
          <w:szCs w:val="24"/>
          <w:lang w:eastAsia="sv-SE"/>
        </w:rPr>
      </w:pPr>
      <w:r w:rsidRPr="00B0203E">
        <w:rPr>
          <w:sz w:val="24"/>
          <w:szCs w:val="24"/>
          <w:lang w:eastAsia="sv-SE"/>
        </w:rPr>
        <w:t xml:space="preserve">Med henblik på maveskylning (induktion af opkastning er kun hensigtsmæssigt i et tidligt stadium når </w:t>
      </w:r>
      <w:proofErr w:type="spellStart"/>
      <w:r w:rsidRPr="00B0203E">
        <w:rPr>
          <w:sz w:val="24"/>
          <w:szCs w:val="24"/>
          <w:lang w:eastAsia="sv-SE"/>
        </w:rPr>
        <w:t>promethazin</w:t>
      </w:r>
      <w:proofErr w:type="spellEnd"/>
      <w:r w:rsidRPr="00B0203E">
        <w:rPr>
          <w:sz w:val="24"/>
          <w:szCs w:val="24"/>
          <w:lang w:eastAsia="sv-SE"/>
        </w:rPr>
        <w:t xml:space="preserve"> har en </w:t>
      </w:r>
      <w:proofErr w:type="spellStart"/>
      <w:r w:rsidRPr="00B0203E">
        <w:rPr>
          <w:sz w:val="24"/>
          <w:szCs w:val="24"/>
          <w:lang w:eastAsia="sv-SE"/>
        </w:rPr>
        <w:t>antiemetisk</w:t>
      </w:r>
      <w:proofErr w:type="spellEnd"/>
      <w:r w:rsidRPr="00B0203E">
        <w:rPr>
          <w:sz w:val="24"/>
          <w:szCs w:val="24"/>
          <w:lang w:eastAsia="sv-SE"/>
        </w:rPr>
        <w:t xml:space="preserve"> virkning, derfor normalt en maveskylning), </w:t>
      </w:r>
      <w:r>
        <w:rPr>
          <w:sz w:val="24"/>
          <w:szCs w:val="24"/>
          <w:lang w:eastAsia="sv-SE"/>
        </w:rPr>
        <w:t>træ</w:t>
      </w:r>
      <w:r w:rsidRPr="00B0203E">
        <w:rPr>
          <w:sz w:val="24"/>
          <w:szCs w:val="24"/>
          <w:lang w:eastAsia="sv-SE"/>
        </w:rPr>
        <w:t>k</w:t>
      </w:r>
      <w:r>
        <w:rPr>
          <w:sz w:val="24"/>
          <w:szCs w:val="24"/>
          <w:lang w:eastAsia="sv-SE"/>
        </w:rPr>
        <w:t>u</w:t>
      </w:r>
      <w:r w:rsidRPr="00B0203E">
        <w:rPr>
          <w:sz w:val="24"/>
          <w:szCs w:val="24"/>
          <w:lang w:eastAsia="sv-SE"/>
        </w:rPr>
        <w:t xml:space="preserve">l. </w:t>
      </w:r>
      <w:proofErr w:type="spellStart"/>
      <w:r w:rsidRPr="00B0203E">
        <w:rPr>
          <w:sz w:val="24"/>
          <w:szCs w:val="24"/>
          <w:lang w:eastAsia="sv-SE"/>
        </w:rPr>
        <w:t>Diazepam</w:t>
      </w:r>
      <w:proofErr w:type="spellEnd"/>
      <w:r w:rsidRPr="00B0203E">
        <w:rPr>
          <w:sz w:val="24"/>
          <w:szCs w:val="24"/>
          <w:lang w:eastAsia="sv-SE"/>
        </w:rPr>
        <w:t xml:space="preserve"> mod kramper og akutte </w:t>
      </w:r>
      <w:proofErr w:type="spellStart"/>
      <w:r w:rsidRPr="00B0203E">
        <w:rPr>
          <w:sz w:val="24"/>
          <w:szCs w:val="24"/>
          <w:lang w:eastAsia="sv-SE"/>
        </w:rPr>
        <w:t>dystonier</w:t>
      </w:r>
      <w:proofErr w:type="spellEnd"/>
      <w:r w:rsidRPr="00B0203E">
        <w:rPr>
          <w:sz w:val="24"/>
          <w:szCs w:val="24"/>
          <w:lang w:eastAsia="sv-SE"/>
        </w:rPr>
        <w:t xml:space="preserve">. Ved markante, centrale </w:t>
      </w:r>
      <w:proofErr w:type="spellStart"/>
      <w:r w:rsidRPr="00B0203E">
        <w:rPr>
          <w:sz w:val="24"/>
          <w:szCs w:val="24"/>
          <w:lang w:eastAsia="sv-SE"/>
        </w:rPr>
        <w:t>antikolinerge</w:t>
      </w:r>
      <w:proofErr w:type="spellEnd"/>
      <w:r w:rsidRPr="00B0203E">
        <w:rPr>
          <w:sz w:val="24"/>
          <w:szCs w:val="24"/>
          <w:lang w:eastAsia="sv-SE"/>
        </w:rPr>
        <w:t xml:space="preserve"> symptomer (</w:t>
      </w:r>
      <w:r w:rsidRPr="00B0203E">
        <w:rPr>
          <w:sz w:val="24"/>
          <w:szCs w:val="24"/>
        </w:rPr>
        <w:t>ekscitation</w:t>
      </w:r>
      <w:r w:rsidRPr="00B0203E">
        <w:rPr>
          <w:sz w:val="24"/>
          <w:szCs w:val="24"/>
          <w:lang w:eastAsia="sv-SE"/>
        </w:rPr>
        <w:t xml:space="preserve">, hallucinationer) muligvis </w:t>
      </w:r>
      <w:proofErr w:type="spellStart"/>
      <w:r w:rsidRPr="00B0203E">
        <w:rPr>
          <w:sz w:val="24"/>
          <w:szCs w:val="24"/>
          <w:lang w:eastAsia="sv-SE"/>
        </w:rPr>
        <w:t>physostigmin</w:t>
      </w:r>
      <w:proofErr w:type="spellEnd"/>
      <w:r w:rsidRPr="00B0203E">
        <w:rPr>
          <w:sz w:val="24"/>
          <w:szCs w:val="24"/>
          <w:lang w:eastAsia="sv-SE"/>
        </w:rPr>
        <w:t xml:space="preserve"> 1-2 mg (op til 3 mg) intravenøst, der gives langsomt (2 minutter); børn 0,02-0,04 mg/kg ved centrale </w:t>
      </w:r>
      <w:proofErr w:type="spellStart"/>
      <w:r w:rsidRPr="00B0203E">
        <w:rPr>
          <w:sz w:val="24"/>
          <w:szCs w:val="24"/>
          <w:lang w:eastAsia="sv-SE"/>
        </w:rPr>
        <w:t>antikolinerge</w:t>
      </w:r>
      <w:proofErr w:type="spellEnd"/>
      <w:r w:rsidRPr="00B0203E">
        <w:rPr>
          <w:sz w:val="24"/>
          <w:szCs w:val="24"/>
          <w:lang w:eastAsia="sv-SE"/>
        </w:rPr>
        <w:t xml:space="preserve"> symptomer. Titreres til en effektiv dosis (atropin skal være tilgængeligt til </w:t>
      </w:r>
      <w:proofErr w:type="spellStart"/>
      <w:r w:rsidRPr="00B0203E">
        <w:rPr>
          <w:sz w:val="24"/>
          <w:szCs w:val="24"/>
          <w:lang w:eastAsia="sv-SE"/>
        </w:rPr>
        <w:t>reversion</w:t>
      </w:r>
      <w:proofErr w:type="spellEnd"/>
      <w:r w:rsidRPr="00B0203E">
        <w:rPr>
          <w:sz w:val="24"/>
          <w:szCs w:val="24"/>
          <w:lang w:eastAsia="sv-SE"/>
        </w:rPr>
        <w:t xml:space="preserve"> af ethvert symptom på overdosis). Den effektive dosis kan gentages efter 30-60 minutter. Alternativt kan </w:t>
      </w:r>
      <w:proofErr w:type="spellStart"/>
      <w:r w:rsidRPr="00B0203E">
        <w:rPr>
          <w:sz w:val="24"/>
          <w:szCs w:val="24"/>
          <w:lang w:eastAsia="sv-SE"/>
        </w:rPr>
        <w:t>physostigmin</w:t>
      </w:r>
      <w:proofErr w:type="spellEnd"/>
      <w:r w:rsidRPr="00B0203E">
        <w:rPr>
          <w:sz w:val="24"/>
          <w:szCs w:val="24"/>
          <w:lang w:eastAsia="sv-SE"/>
        </w:rPr>
        <w:t xml:space="preserve"> administreres som en kontinuerlig infusion 1-3 mg/time. Hvis der er hjertepåvirkninger udover sinus-</w:t>
      </w:r>
      <w:proofErr w:type="spellStart"/>
      <w:r w:rsidRPr="00B0203E">
        <w:rPr>
          <w:sz w:val="24"/>
          <w:szCs w:val="24"/>
          <w:lang w:eastAsia="sv-SE"/>
        </w:rPr>
        <w:t>takykardi</w:t>
      </w:r>
      <w:proofErr w:type="spellEnd"/>
      <w:r w:rsidRPr="00B0203E">
        <w:rPr>
          <w:sz w:val="24"/>
          <w:szCs w:val="24"/>
          <w:lang w:eastAsia="sv-SE"/>
        </w:rPr>
        <w:t xml:space="preserve">, skal det hensigtsmæssige i </w:t>
      </w:r>
      <w:r w:rsidRPr="00B0203E">
        <w:rPr>
          <w:sz w:val="24"/>
          <w:szCs w:val="24"/>
          <w:lang w:eastAsia="sv-SE"/>
        </w:rPr>
        <w:lastRenderedPageBreak/>
        <w:t xml:space="preserve">at administrere </w:t>
      </w:r>
      <w:proofErr w:type="spellStart"/>
      <w:r w:rsidRPr="00B0203E">
        <w:rPr>
          <w:sz w:val="24"/>
          <w:szCs w:val="24"/>
          <w:lang w:eastAsia="sv-SE"/>
        </w:rPr>
        <w:t>physostigmin</w:t>
      </w:r>
      <w:proofErr w:type="spellEnd"/>
      <w:r w:rsidRPr="00B0203E">
        <w:rPr>
          <w:sz w:val="24"/>
          <w:szCs w:val="24"/>
          <w:lang w:eastAsia="sv-SE"/>
        </w:rPr>
        <w:t xml:space="preserve"> diskuteres i hvert enkelt tilfælde. I tilfælde af blodtryksfald, skal der administreres intravenøs væske og om nødvendigt </w:t>
      </w:r>
      <w:proofErr w:type="spellStart"/>
      <w:r w:rsidRPr="00B0203E">
        <w:rPr>
          <w:sz w:val="24"/>
          <w:szCs w:val="24"/>
          <w:lang w:eastAsia="sv-SE"/>
        </w:rPr>
        <w:t>dobutimin</w:t>
      </w:r>
      <w:proofErr w:type="spellEnd"/>
      <w:r w:rsidRPr="00B0203E">
        <w:rPr>
          <w:sz w:val="24"/>
          <w:szCs w:val="24"/>
          <w:lang w:eastAsia="sv-SE"/>
        </w:rPr>
        <w:t xml:space="preserve"> og/eller noradrenalin (initialt 0,05 </w:t>
      </w:r>
      <w:proofErr w:type="spellStart"/>
      <w:r w:rsidRPr="00B0203E">
        <w:rPr>
          <w:sz w:val="24"/>
          <w:szCs w:val="24"/>
          <w:lang w:eastAsia="sv-SE"/>
        </w:rPr>
        <w:t>μg</w:t>
      </w:r>
      <w:proofErr w:type="spellEnd"/>
      <w:r w:rsidRPr="00B0203E">
        <w:rPr>
          <w:sz w:val="24"/>
          <w:szCs w:val="24"/>
          <w:lang w:eastAsia="sv-SE"/>
        </w:rPr>
        <w:t xml:space="preserve">/kg/min, der øges efter behov med 0,05 </w:t>
      </w:r>
      <w:proofErr w:type="spellStart"/>
      <w:r w:rsidRPr="00B0203E">
        <w:rPr>
          <w:sz w:val="24"/>
          <w:szCs w:val="24"/>
          <w:lang w:eastAsia="sv-SE"/>
        </w:rPr>
        <w:t>μg</w:t>
      </w:r>
      <w:proofErr w:type="spellEnd"/>
      <w:r w:rsidRPr="00B0203E">
        <w:rPr>
          <w:sz w:val="24"/>
          <w:szCs w:val="24"/>
          <w:lang w:eastAsia="sv-SE"/>
        </w:rPr>
        <w:t xml:space="preserve">/kg/min </w:t>
      </w:r>
      <w:proofErr w:type="gramStart"/>
      <w:r w:rsidRPr="00B0203E">
        <w:rPr>
          <w:sz w:val="24"/>
          <w:szCs w:val="24"/>
          <w:lang w:eastAsia="sv-SE"/>
        </w:rPr>
        <w:t>hver 10 minut</w:t>
      </w:r>
      <w:proofErr w:type="gramEnd"/>
      <w:r w:rsidRPr="00B0203E">
        <w:rPr>
          <w:sz w:val="24"/>
          <w:szCs w:val="24"/>
          <w:lang w:eastAsia="sv-SE"/>
        </w:rPr>
        <w:t>). Passende diurese skal sikres. Anden symptomatisk behandling efter behov.</w:t>
      </w:r>
    </w:p>
    <w:p w:rsidR="003E2EDB" w:rsidRPr="00B0203E" w:rsidRDefault="003E2EDB" w:rsidP="003E2EDB">
      <w:pPr>
        <w:ind w:left="851" w:hanging="851"/>
        <w:rPr>
          <w:sz w:val="24"/>
          <w:szCs w:val="24"/>
        </w:rPr>
      </w:pPr>
    </w:p>
    <w:p w:rsidR="003E2EDB" w:rsidRPr="00B0203E" w:rsidRDefault="003E2EDB" w:rsidP="003E2EDB">
      <w:pPr>
        <w:ind w:left="851" w:hanging="851"/>
        <w:rPr>
          <w:b/>
          <w:sz w:val="24"/>
          <w:szCs w:val="24"/>
        </w:rPr>
      </w:pPr>
      <w:r w:rsidRPr="00B0203E">
        <w:rPr>
          <w:b/>
          <w:sz w:val="24"/>
          <w:szCs w:val="24"/>
        </w:rPr>
        <w:t>4.10</w:t>
      </w:r>
      <w:r w:rsidRPr="00B0203E">
        <w:rPr>
          <w:b/>
          <w:sz w:val="24"/>
          <w:szCs w:val="24"/>
        </w:rPr>
        <w:tab/>
        <w:t>Udlevering</w:t>
      </w:r>
    </w:p>
    <w:p w:rsidR="003E2EDB" w:rsidRDefault="003E2EDB" w:rsidP="00232864">
      <w:pPr>
        <w:ind w:left="851"/>
        <w:rPr>
          <w:sz w:val="24"/>
          <w:szCs w:val="24"/>
        </w:rPr>
      </w:pPr>
      <w:r>
        <w:rPr>
          <w:sz w:val="24"/>
          <w:szCs w:val="24"/>
        </w:rPr>
        <w:t>B</w:t>
      </w:r>
    </w:p>
    <w:p w:rsidR="00232864" w:rsidRDefault="00232864" w:rsidP="00232864">
      <w:pPr>
        <w:ind w:left="851"/>
        <w:rPr>
          <w:sz w:val="24"/>
          <w:szCs w:val="24"/>
        </w:rPr>
      </w:pPr>
    </w:p>
    <w:p w:rsidR="003E2EDB" w:rsidRPr="00B0203E" w:rsidRDefault="003E2EDB" w:rsidP="00D0206B">
      <w:pPr>
        <w:rPr>
          <w:sz w:val="24"/>
          <w:szCs w:val="24"/>
        </w:rPr>
      </w:pPr>
    </w:p>
    <w:p w:rsidR="003E2EDB" w:rsidRPr="00B0203E" w:rsidRDefault="003E2EDB" w:rsidP="003E2EDB">
      <w:pPr>
        <w:ind w:left="851" w:hanging="851"/>
        <w:rPr>
          <w:b/>
          <w:sz w:val="24"/>
          <w:szCs w:val="24"/>
        </w:rPr>
      </w:pPr>
      <w:r w:rsidRPr="00B0203E">
        <w:rPr>
          <w:b/>
          <w:sz w:val="24"/>
          <w:szCs w:val="24"/>
        </w:rPr>
        <w:t>5.</w:t>
      </w:r>
      <w:r w:rsidRPr="00B0203E">
        <w:rPr>
          <w:b/>
          <w:sz w:val="24"/>
          <w:szCs w:val="24"/>
        </w:rPr>
        <w:tab/>
        <w:t>FARMAKOLOGISKE EGENSKABER</w:t>
      </w:r>
    </w:p>
    <w:p w:rsidR="003E2EDB" w:rsidRPr="00B0203E" w:rsidRDefault="003E2EDB" w:rsidP="001D28E9">
      <w:pPr>
        <w:rPr>
          <w:sz w:val="24"/>
          <w:szCs w:val="24"/>
        </w:rPr>
      </w:pPr>
    </w:p>
    <w:p w:rsidR="003E2EDB" w:rsidRPr="00B0203E" w:rsidRDefault="003E2EDB" w:rsidP="003E2EDB">
      <w:pPr>
        <w:ind w:left="851" w:hanging="851"/>
        <w:rPr>
          <w:b/>
          <w:sz w:val="24"/>
          <w:szCs w:val="24"/>
        </w:rPr>
      </w:pPr>
      <w:r w:rsidRPr="00B0203E">
        <w:rPr>
          <w:b/>
          <w:sz w:val="24"/>
          <w:szCs w:val="24"/>
        </w:rPr>
        <w:t>5.1</w:t>
      </w:r>
      <w:r w:rsidRPr="00B0203E">
        <w:rPr>
          <w:b/>
          <w:sz w:val="24"/>
          <w:szCs w:val="24"/>
        </w:rPr>
        <w:tab/>
      </w:r>
      <w:proofErr w:type="spellStart"/>
      <w:r w:rsidRPr="00B0203E">
        <w:rPr>
          <w:b/>
          <w:sz w:val="24"/>
          <w:szCs w:val="24"/>
        </w:rPr>
        <w:t>Farmakodynamiske</w:t>
      </w:r>
      <w:proofErr w:type="spellEnd"/>
      <w:r w:rsidRPr="00B0203E">
        <w:rPr>
          <w:b/>
          <w:sz w:val="24"/>
          <w:szCs w:val="24"/>
        </w:rPr>
        <w:t xml:space="preserve"> egenskaber</w:t>
      </w:r>
    </w:p>
    <w:p w:rsidR="001D28E9" w:rsidRPr="00B0203E" w:rsidRDefault="001D28E9" w:rsidP="001D28E9">
      <w:pPr>
        <w:suppressAutoHyphens/>
        <w:ind w:left="851"/>
        <w:rPr>
          <w:sz w:val="24"/>
          <w:szCs w:val="24"/>
        </w:rPr>
      </w:pPr>
      <w:r>
        <w:rPr>
          <w:noProof/>
        </w:rPr>
        <w:t>Farmakoterapeutisk klassifikation:</w:t>
      </w:r>
      <w:r w:rsidRPr="001D28E9">
        <w:rPr>
          <w:sz w:val="24"/>
          <w:szCs w:val="24"/>
        </w:rPr>
        <w:t xml:space="preserve"> </w:t>
      </w:r>
      <w:r w:rsidRPr="00B0203E">
        <w:rPr>
          <w:sz w:val="24"/>
          <w:szCs w:val="24"/>
        </w:rPr>
        <w:t xml:space="preserve">Antihistaminer til systemisk brug, </w:t>
      </w:r>
      <w:proofErr w:type="spellStart"/>
      <w:r w:rsidRPr="00B0203E">
        <w:rPr>
          <w:sz w:val="24"/>
          <w:szCs w:val="24"/>
        </w:rPr>
        <w:t>phenothiazinderivater</w:t>
      </w:r>
      <w:proofErr w:type="spellEnd"/>
      <w:r>
        <w:rPr>
          <w:sz w:val="24"/>
          <w:szCs w:val="24"/>
        </w:rPr>
        <w:t xml:space="preserve">, </w:t>
      </w:r>
      <w:r w:rsidRPr="00B0203E">
        <w:rPr>
          <w:sz w:val="24"/>
          <w:szCs w:val="24"/>
        </w:rPr>
        <w:t xml:space="preserve">ATC-kode: </w:t>
      </w:r>
      <w:r w:rsidRPr="00B0203E">
        <w:rPr>
          <w:color w:val="000000"/>
          <w:sz w:val="24"/>
          <w:szCs w:val="24"/>
        </w:rPr>
        <w:t>R06AD02.</w:t>
      </w:r>
      <w:r w:rsidRPr="00B0203E">
        <w:rPr>
          <w:sz w:val="24"/>
          <w:szCs w:val="24"/>
        </w:rPr>
        <w:t xml:space="preserve"> </w:t>
      </w:r>
    </w:p>
    <w:p w:rsidR="001D28E9" w:rsidRDefault="001D28E9" w:rsidP="003E2EDB">
      <w:pPr>
        <w:pStyle w:val="Default"/>
        <w:ind w:left="851"/>
        <w:rPr>
          <w:noProof/>
          <w:lang w:val="da-DK" w:eastAsia="en-US"/>
        </w:rPr>
      </w:pPr>
    </w:p>
    <w:p w:rsidR="003E2EDB" w:rsidRPr="00B0203E" w:rsidRDefault="003E2EDB" w:rsidP="003E2EDB">
      <w:pPr>
        <w:pStyle w:val="Default"/>
        <w:ind w:left="851"/>
        <w:rPr>
          <w:noProof/>
          <w:lang w:val="da-DK" w:eastAsia="en-US"/>
        </w:rPr>
      </w:pPr>
      <w:r w:rsidRPr="00B0203E">
        <w:rPr>
          <w:noProof/>
          <w:lang w:val="da-DK" w:eastAsia="en-US"/>
        </w:rPr>
        <w:t xml:space="preserve">Promethazin, et phenothiazin, er et potent, langtidsvirkende antihistamin fortrinsvis med </w:t>
      </w:r>
      <w:r w:rsidRPr="00B0203E">
        <w:rPr>
          <w:spacing w:val="-3"/>
          <w:lang w:val="da-DK"/>
        </w:rPr>
        <w:t>H</w:t>
      </w:r>
      <w:r w:rsidRPr="00B0203E">
        <w:rPr>
          <w:spacing w:val="-3"/>
          <w:vertAlign w:val="subscript"/>
          <w:lang w:val="da-DK"/>
        </w:rPr>
        <w:t>1</w:t>
      </w:r>
      <w:r w:rsidRPr="00B0203E">
        <w:rPr>
          <w:spacing w:val="-3"/>
          <w:lang w:val="da-DK"/>
        </w:rPr>
        <w:t xml:space="preserve">-receptorblokerende virkning og en udpræget </w:t>
      </w:r>
      <w:proofErr w:type="spellStart"/>
      <w:r w:rsidRPr="00B0203E">
        <w:rPr>
          <w:spacing w:val="-3"/>
          <w:lang w:val="da-DK"/>
        </w:rPr>
        <w:t>antikolinerg</w:t>
      </w:r>
      <w:proofErr w:type="spellEnd"/>
      <w:r w:rsidRPr="00B0203E">
        <w:rPr>
          <w:spacing w:val="-3"/>
          <w:lang w:val="da-DK"/>
        </w:rPr>
        <w:t xml:space="preserve">, sedativ og </w:t>
      </w:r>
      <w:proofErr w:type="spellStart"/>
      <w:r w:rsidRPr="00B0203E">
        <w:rPr>
          <w:spacing w:val="-3"/>
          <w:lang w:val="da-DK"/>
        </w:rPr>
        <w:t>antiemetisk</w:t>
      </w:r>
      <w:proofErr w:type="spellEnd"/>
      <w:r w:rsidRPr="00B0203E">
        <w:rPr>
          <w:spacing w:val="-3"/>
          <w:lang w:val="da-DK"/>
        </w:rPr>
        <w:t xml:space="preserve"> effekt</w:t>
      </w:r>
      <w:r w:rsidRPr="00B0203E">
        <w:rPr>
          <w:noProof/>
          <w:lang w:val="da-DK" w:eastAsia="en-US"/>
        </w:rPr>
        <w:t>. Histamin H</w:t>
      </w:r>
      <w:r w:rsidRPr="00B0203E">
        <w:rPr>
          <w:noProof/>
          <w:vertAlign w:val="subscript"/>
          <w:lang w:val="da-DK" w:eastAsia="en-US"/>
        </w:rPr>
        <w:t>1</w:t>
      </w:r>
      <w:r w:rsidRPr="00B0203E">
        <w:rPr>
          <w:noProof/>
          <w:lang w:val="da-DK" w:eastAsia="en-US"/>
        </w:rPr>
        <w:t xml:space="preserve">-receptorblokade i centralnervesystemet er medvirkende til antihistaminernes søvnpåvirkninger, med nedsat vågenhed som konsekvens. </w:t>
      </w:r>
    </w:p>
    <w:p w:rsidR="003E2EDB" w:rsidRPr="00B0203E" w:rsidRDefault="003E2EDB" w:rsidP="003E2EDB">
      <w:pPr>
        <w:pStyle w:val="Default"/>
        <w:ind w:left="851" w:hanging="851"/>
        <w:rPr>
          <w:noProof/>
          <w:lang w:val="da-DK" w:eastAsia="en-US"/>
        </w:rPr>
      </w:pPr>
    </w:p>
    <w:p w:rsidR="003E2EDB" w:rsidRPr="00B0203E" w:rsidRDefault="003E2EDB" w:rsidP="003E2EDB">
      <w:pPr>
        <w:pStyle w:val="Default"/>
        <w:ind w:left="851"/>
        <w:rPr>
          <w:noProof/>
          <w:lang w:val="da-DK" w:eastAsia="en-US"/>
        </w:rPr>
      </w:pPr>
      <w:r w:rsidRPr="00B0203E">
        <w:rPr>
          <w:noProof/>
          <w:lang w:val="da-DK" w:eastAsia="en-US"/>
        </w:rPr>
        <w:t>Der er rapporteret om udprægede akutte søvnpåvirkninger for promethazin både hos raske frivillige og personer med søvnproblemer. Sammenlignet med placebo, er promethazin vist sig at være et effektivt hypnotika udfra subjektive og objektive kriterier.</w:t>
      </w:r>
    </w:p>
    <w:p w:rsidR="003E2EDB" w:rsidRPr="00B0203E" w:rsidRDefault="003E2EDB" w:rsidP="003E2EDB">
      <w:pPr>
        <w:pStyle w:val="Default"/>
        <w:ind w:left="851" w:hanging="851"/>
        <w:rPr>
          <w:noProof/>
          <w:lang w:val="da-DK" w:eastAsia="en-US"/>
        </w:rPr>
      </w:pPr>
    </w:p>
    <w:p w:rsidR="003E2EDB" w:rsidRPr="00B0203E" w:rsidRDefault="003E2EDB" w:rsidP="003E2EDB">
      <w:pPr>
        <w:pStyle w:val="Default"/>
        <w:ind w:left="851"/>
        <w:rPr>
          <w:noProof/>
          <w:lang w:val="da-DK" w:eastAsia="en-US"/>
        </w:rPr>
      </w:pPr>
      <w:r w:rsidRPr="00B0203E">
        <w:rPr>
          <w:noProof/>
          <w:lang w:val="da-DK" w:eastAsia="en-US"/>
        </w:rPr>
        <w:t>Promethazin forstærker også virkningen af hypnotika, analgetika og anæstesi.</w:t>
      </w:r>
    </w:p>
    <w:p w:rsidR="001D28E9" w:rsidRPr="00B0203E" w:rsidRDefault="001D28E9" w:rsidP="00232864">
      <w:pPr>
        <w:rPr>
          <w:sz w:val="24"/>
          <w:szCs w:val="24"/>
        </w:rPr>
      </w:pPr>
    </w:p>
    <w:p w:rsidR="003E2EDB" w:rsidRPr="00FF55FB" w:rsidRDefault="003E2EDB" w:rsidP="00FF55FB">
      <w:pPr>
        <w:ind w:left="851" w:hanging="851"/>
        <w:rPr>
          <w:b/>
          <w:sz w:val="24"/>
          <w:szCs w:val="24"/>
        </w:rPr>
      </w:pPr>
      <w:r w:rsidRPr="00B0203E">
        <w:rPr>
          <w:b/>
          <w:sz w:val="24"/>
          <w:szCs w:val="24"/>
        </w:rPr>
        <w:t>5.2</w:t>
      </w:r>
      <w:r w:rsidRPr="00B0203E">
        <w:rPr>
          <w:b/>
          <w:sz w:val="24"/>
          <w:szCs w:val="24"/>
        </w:rPr>
        <w:tab/>
      </w:r>
      <w:proofErr w:type="spellStart"/>
      <w:r w:rsidRPr="00B0203E">
        <w:rPr>
          <w:b/>
          <w:sz w:val="24"/>
          <w:szCs w:val="24"/>
        </w:rPr>
        <w:t>Farmakokinetiske</w:t>
      </w:r>
      <w:proofErr w:type="spellEnd"/>
      <w:r w:rsidRPr="00B0203E">
        <w:rPr>
          <w:b/>
          <w:sz w:val="24"/>
          <w:szCs w:val="24"/>
        </w:rPr>
        <w:t xml:space="preserve"> egenskaber</w:t>
      </w:r>
    </w:p>
    <w:p w:rsidR="00D0206B" w:rsidRDefault="00D0206B" w:rsidP="00D0206B">
      <w:pPr>
        <w:ind w:left="851"/>
        <w:rPr>
          <w:i/>
          <w:sz w:val="24"/>
          <w:szCs w:val="24"/>
        </w:rPr>
      </w:pPr>
      <w:r>
        <w:rPr>
          <w:i/>
          <w:sz w:val="24"/>
          <w:szCs w:val="24"/>
        </w:rPr>
        <w:t>Absorption</w:t>
      </w:r>
    </w:p>
    <w:p w:rsidR="00D0206B" w:rsidRDefault="00D0206B" w:rsidP="00D0206B">
      <w:pPr>
        <w:ind w:left="851"/>
        <w:rPr>
          <w:sz w:val="24"/>
          <w:szCs w:val="24"/>
        </w:rPr>
      </w:pPr>
      <w:proofErr w:type="spellStart"/>
      <w:r>
        <w:rPr>
          <w:sz w:val="24"/>
          <w:szCs w:val="24"/>
        </w:rPr>
        <w:t>Promethazinhydrochlorid</w:t>
      </w:r>
      <w:proofErr w:type="spellEnd"/>
      <w:r>
        <w:rPr>
          <w:sz w:val="24"/>
          <w:szCs w:val="24"/>
        </w:rPr>
        <w:t xml:space="preserve"> absorberes hurtigt fra mave-tarm-kanalen. Maksimale plasmakoncentrationer opnås efter 2-3 timer.</w:t>
      </w:r>
    </w:p>
    <w:p w:rsidR="00D0206B" w:rsidRDefault="00D0206B" w:rsidP="00D0206B">
      <w:pPr>
        <w:ind w:left="851" w:hanging="851"/>
        <w:rPr>
          <w:i/>
          <w:sz w:val="24"/>
          <w:szCs w:val="24"/>
        </w:rPr>
      </w:pPr>
    </w:p>
    <w:p w:rsidR="00D0206B" w:rsidRDefault="00D0206B" w:rsidP="00D0206B">
      <w:pPr>
        <w:ind w:left="851"/>
        <w:rPr>
          <w:i/>
          <w:sz w:val="24"/>
          <w:szCs w:val="24"/>
        </w:rPr>
      </w:pPr>
      <w:r>
        <w:rPr>
          <w:i/>
          <w:sz w:val="24"/>
          <w:szCs w:val="24"/>
        </w:rPr>
        <w:t>Fordeling</w:t>
      </w:r>
    </w:p>
    <w:p w:rsidR="00D0206B" w:rsidRDefault="00D0206B" w:rsidP="00D0206B">
      <w:pPr>
        <w:ind w:left="851"/>
        <w:rPr>
          <w:sz w:val="24"/>
          <w:szCs w:val="24"/>
        </w:rPr>
      </w:pPr>
      <w:r>
        <w:rPr>
          <w:sz w:val="24"/>
          <w:szCs w:val="24"/>
        </w:rPr>
        <w:t>Distributionsvolumen er cirka 13 l/kg kropsvægt og proteinbinding er 80-90 %.</w:t>
      </w:r>
    </w:p>
    <w:p w:rsidR="003E2EDB" w:rsidRPr="00B0203E" w:rsidRDefault="003E2EDB" w:rsidP="003E2EDB">
      <w:pPr>
        <w:ind w:left="851" w:hanging="851"/>
        <w:rPr>
          <w:i/>
          <w:sz w:val="24"/>
          <w:szCs w:val="24"/>
        </w:rPr>
      </w:pPr>
    </w:p>
    <w:p w:rsidR="003E2EDB" w:rsidRPr="00B0203E" w:rsidRDefault="003E2EDB" w:rsidP="003E2EDB">
      <w:pPr>
        <w:ind w:left="851"/>
        <w:rPr>
          <w:i/>
          <w:sz w:val="24"/>
          <w:szCs w:val="24"/>
        </w:rPr>
      </w:pPr>
      <w:r w:rsidRPr="00B0203E">
        <w:rPr>
          <w:i/>
          <w:sz w:val="24"/>
          <w:szCs w:val="24"/>
        </w:rPr>
        <w:t>Biotransformation</w:t>
      </w:r>
    </w:p>
    <w:p w:rsidR="003E2EDB" w:rsidRPr="00B0203E" w:rsidRDefault="003E2EDB" w:rsidP="003E2EDB">
      <w:pPr>
        <w:ind w:left="851"/>
        <w:rPr>
          <w:sz w:val="24"/>
          <w:szCs w:val="24"/>
        </w:rPr>
      </w:pPr>
      <w:r w:rsidRPr="00B0203E">
        <w:rPr>
          <w:sz w:val="24"/>
          <w:szCs w:val="24"/>
        </w:rPr>
        <w:t xml:space="preserve">Den systemiske biotilgængelighed er lav efter oral administration pga. en stor </w:t>
      </w:r>
      <w:proofErr w:type="spellStart"/>
      <w:r w:rsidRPr="00B0203E">
        <w:rPr>
          <w:sz w:val="24"/>
          <w:szCs w:val="24"/>
        </w:rPr>
        <w:t>first-pass</w:t>
      </w:r>
      <w:proofErr w:type="spellEnd"/>
      <w:r w:rsidRPr="00B0203E">
        <w:rPr>
          <w:sz w:val="24"/>
          <w:szCs w:val="24"/>
        </w:rPr>
        <w:t xml:space="preserve"> metabolisme i leveren.</w:t>
      </w:r>
    </w:p>
    <w:p w:rsidR="003E2EDB" w:rsidRPr="00B0203E" w:rsidRDefault="003E2EDB" w:rsidP="003E2EDB">
      <w:pPr>
        <w:ind w:left="851" w:hanging="851"/>
        <w:rPr>
          <w:i/>
          <w:sz w:val="24"/>
          <w:szCs w:val="24"/>
        </w:rPr>
      </w:pPr>
    </w:p>
    <w:p w:rsidR="003E2EDB" w:rsidRPr="00B0203E" w:rsidRDefault="003E2EDB" w:rsidP="003E2EDB">
      <w:pPr>
        <w:ind w:left="851"/>
        <w:rPr>
          <w:i/>
          <w:sz w:val="24"/>
          <w:szCs w:val="24"/>
        </w:rPr>
      </w:pPr>
      <w:r w:rsidRPr="00B0203E">
        <w:rPr>
          <w:i/>
          <w:sz w:val="24"/>
          <w:szCs w:val="24"/>
        </w:rPr>
        <w:t>Elimination</w:t>
      </w:r>
    </w:p>
    <w:p w:rsidR="003E2EDB" w:rsidRPr="00B0203E" w:rsidRDefault="003E2EDB" w:rsidP="003E2EDB">
      <w:pPr>
        <w:numPr>
          <w:ilvl w:val="12"/>
          <w:numId w:val="0"/>
        </w:numPr>
        <w:spacing w:line="260" w:lineRule="exact"/>
        <w:ind w:left="851" w:right="-2"/>
        <w:rPr>
          <w:iCs/>
          <w:noProof/>
          <w:sz w:val="24"/>
          <w:szCs w:val="24"/>
        </w:rPr>
      </w:pPr>
      <w:r w:rsidRPr="00B0203E">
        <w:rPr>
          <w:sz w:val="24"/>
          <w:szCs w:val="24"/>
        </w:rPr>
        <w:t>Langsomt i urin og galde, fortrinsvis som metabolitter. Halveringstiden er cirka 13 timer.</w:t>
      </w:r>
    </w:p>
    <w:p w:rsidR="003E2EDB" w:rsidRPr="00B0203E" w:rsidRDefault="003E2EDB" w:rsidP="003E2EDB">
      <w:pPr>
        <w:ind w:left="851" w:hanging="851"/>
        <w:rPr>
          <w:sz w:val="24"/>
          <w:szCs w:val="24"/>
        </w:rPr>
      </w:pPr>
    </w:p>
    <w:p w:rsidR="003E2EDB" w:rsidRPr="00B0203E" w:rsidRDefault="003E2EDB" w:rsidP="003E2EDB">
      <w:pPr>
        <w:ind w:left="851" w:hanging="851"/>
        <w:rPr>
          <w:b/>
          <w:sz w:val="24"/>
          <w:szCs w:val="24"/>
        </w:rPr>
      </w:pPr>
      <w:r w:rsidRPr="00B0203E">
        <w:rPr>
          <w:b/>
          <w:sz w:val="24"/>
          <w:szCs w:val="24"/>
        </w:rPr>
        <w:t>5.3</w:t>
      </w:r>
      <w:r w:rsidRPr="00B0203E">
        <w:rPr>
          <w:b/>
          <w:sz w:val="24"/>
          <w:szCs w:val="24"/>
        </w:rPr>
        <w:tab/>
      </w:r>
      <w:r w:rsidR="001D28E9">
        <w:rPr>
          <w:b/>
          <w:sz w:val="24"/>
          <w:szCs w:val="24"/>
        </w:rPr>
        <w:t>Non-</w:t>
      </w:r>
      <w:r w:rsidRPr="00B0203E">
        <w:rPr>
          <w:b/>
          <w:sz w:val="24"/>
          <w:szCs w:val="24"/>
        </w:rPr>
        <w:t>kliniske sikkerhedsdata</w:t>
      </w:r>
    </w:p>
    <w:p w:rsidR="003E2EDB" w:rsidRPr="00B0203E" w:rsidRDefault="003E2EDB" w:rsidP="003E2EDB">
      <w:pPr>
        <w:ind w:left="851"/>
        <w:rPr>
          <w:color w:val="000000"/>
          <w:sz w:val="24"/>
          <w:szCs w:val="24"/>
          <w:lang w:eastAsia="en-GB"/>
        </w:rPr>
      </w:pPr>
      <w:r w:rsidRPr="00B0203E">
        <w:rPr>
          <w:color w:val="000000"/>
          <w:sz w:val="24"/>
          <w:szCs w:val="24"/>
          <w:lang w:eastAsia="en-GB"/>
        </w:rPr>
        <w:t xml:space="preserve">Ingen yderligere prækliniske data der er relevant for den ordinerende læge. </w:t>
      </w:r>
    </w:p>
    <w:p w:rsidR="003E2EDB" w:rsidRPr="00B0203E" w:rsidRDefault="003E2EDB" w:rsidP="003E2EDB">
      <w:pPr>
        <w:ind w:left="851" w:hanging="851"/>
        <w:rPr>
          <w:sz w:val="24"/>
          <w:szCs w:val="24"/>
        </w:rPr>
      </w:pPr>
    </w:p>
    <w:p w:rsidR="003E2EDB" w:rsidRPr="00B0203E" w:rsidRDefault="003E2EDB" w:rsidP="003E2EDB">
      <w:pPr>
        <w:ind w:left="851" w:hanging="851"/>
        <w:rPr>
          <w:sz w:val="24"/>
          <w:szCs w:val="24"/>
        </w:rPr>
      </w:pPr>
    </w:p>
    <w:p w:rsidR="003E2EDB" w:rsidRPr="00B0203E" w:rsidRDefault="003E2EDB" w:rsidP="00FF55FB">
      <w:pPr>
        <w:keepNext/>
        <w:ind w:left="851" w:hanging="851"/>
        <w:rPr>
          <w:b/>
          <w:sz w:val="24"/>
          <w:szCs w:val="24"/>
        </w:rPr>
      </w:pPr>
      <w:r w:rsidRPr="00B0203E">
        <w:rPr>
          <w:b/>
          <w:sz w:val="24"/>
          <w:szCs w:val="24"/>
        </w:rPr>
        <w:t>6.</w:t>
      </w:r>
      <w:r w:rsidRPr="00B0203E">
        <w:rPr>
          <w:b/>
          <w:sz w:val="24"/>
          <w:szCs w:val="24"/>
        </w:rPr>
        <w:tab/>
        <w:t>FARMACEUTISKE OPLYSNINGER</w:t>
      </w:r>
    </w:p>
    <w:p w:rsidR="003E2EDB" w:rsidRPr="00B0203E" w:rsidRDefault="003E2EDB" w:rsidP="003E2EDB">
      <w:pPr>
        <w:ind w:left="851" w:hanging="851"/>
        <w:rPr>
          <w:sz w:val="24"/>
          <w:szCs w:val="24"/>
        </w:rPr>
      </w:pPr>
    </w:p>
    <w:p w:rsidR="003E2EDB" w:rsidRPr="00FF55FB" w:rsidRDefault="003E2EDB" w:rsidP="00FF55FB">
      <w:pPr>
        <w:ind w:left="851" w:hanging="851"/>
        <w:rPr>
          <w:b/>
          <w:sz w:val="24"/>
          <w:szCs w:val="24"/>
        </w:rPr>
      </w:pPr>
      <w:r w:rsidRPr="00B0203E">
        <w:rPr>
          <w:b/>
          <w:sz w:val="24"/>
          <w:szCs w:val="24"/>
        </w:rPr>
        <w:t>6.1</w:t>
      </w:r>
      <w:r w:rsidRPr="00B0203E">
        <w:rPr>
          <w:b/>
          <w:sz w:val="24"/>
          <w:szCs w:val="24"/>
        </w:rPr>
        <w:tab/>
        <w:t>Hjælpestoffer</w:t>
      </w:r>
    </w:p>
    <w:p w:rsidR="003E2EDB" w:rsidRPr="00B0203E" w:rsidRDefault="003E2EDB" w:rsidP="003E2EDB">
      <w:pPr>
        <w:spacing w:line="260" w:lineRule="exact"/>
        <w:ind w:left="851"/>
        <w:outlineLvl w:val="0"/>
        <w:rPr>
          <w:i/>
          <w:noProof/>
          <w:sz w:val="24"/>
          <w:szCs w:val="24"/>
        </w:rPr>
      </w:pPr>
      <w:r w:rsidRPr="00B0203E">
        <w:rPr>
          <w:i/>
          <w:noProof/>
          <w:sz w:val="24"/>
          <w:szCs w:val="24"/>
        </w:rPr>
        <w:t>Tabletkerne:</w:t>
      </w:r>
    </w:p>
    <w:p w:rsidR="003E2EDB" w:rsidRPr="00B0203E" w:rsidRDefault="003E2EDB" w:rsidP="003E2EDB">
      <w:pPr>
        <w:spacing w:line="260" w:lineRule="exact"/>
        <w:ind w:left="851"/>
        <w:rPr>
          <w:noProof/>
          <w:sz w:val="24"/>
          <w:szCs w:val="24"/>
        </w:rPr>
      </w:pPr>
      <w:r w:rsidRPr="00B0203E">
        <w:rPr>
          <w:noProof/>
          <w:sz w:val="24"/>
          <w:szCs w:val="24"/>
        </w:rPr>
        <w:t>Cellulose, mikrokrystallinsk</w:t>
      </w:r>
    </w:p>
    <w:p w:rsidR="003E2EDB" w:rsidRPr="00B0203E" w:rsidRDefault="003E2EDB" w:rsidP="003E2EDB">
      <w:pPr>
        <w:spacing w:line="260" w:lineRule="exact"/>
        <w:ind w:left="851"/>
        <w:rPr>
          <w:noProof/>
          <w:sz w:val="24"/>
          <w:szCs w:val="24"/>
        </w:rPr>
      </w:pPr>
      <w:r w:rsidRPr="00B0203E">
        <w:rPr>
          <w:noProof/>
          <w:sz w:val="24"/>
          <w:szCs w:val="24"/>
        </w:rPr>
        <w:t>Calciumhydrogenphosphatdihydrat</w:t>
      </w:r>
    </w:p>
    <w:p w:rsidR="003E2EDB" w:rsidRPr="00B0203E" w:rsidRDefault="003E2EDB" w:rsidP="003E2EDB">
      <w:pPr>
        <w:spacing w:line="260" w:lineRule="exact"/>
        <w:ind w:left="851"/>
        <w:rPr>
          <w:noProof/>
          <w:sz w:val="24"/>
          <w:szCs w:val="24"/>
        </w:rPr>
      </w:pPr>
      <w:r w:rsidRPr="00B0203E">
        <w:rPr>
          <w:noProof/>
          <w:sz w:val="24"/>
          <w:szCs w:val="24"/>
        </w:rPr>
        <w:t>Natriumstivelsesglycolat</w:t>
      </w:r>
    </w:p>
    <w:p w:rsidR="003E2EDB" w:rsidRPr="00B0203E" w:rsidRDefault="003E2EDB" w:rsidP="003E2EDB">
      <w:pPr>
        <w:spacing w:line="260" w:lineRule="exact"/>
        <w:ind w:left="851"/>
        <w:rPr>
          <w:noProof/>
          <w:sz w:val="24"/>
          <w:szCs w:val="24"/>
        </w:rPr>
      </w:pPr>
      <w:r w:rsidRPr="00B0203E">
        <w:rPr>
          <w:noProof/>
          <w:sz w:val="24"/>
          <w:szCs w:val="24"/>
        </w:rPr>
        <w:lastRenderedPageBreak/>
        <w:t>Stearinsyre</w:t>
      </w:r>
    </w:p>
    <w:p w:rsidR="003E2EDB" w:rsidRPr="00B0203E" w:rsidRDefault="003E2EDB" w:rsidP="003E2EDB">
      <w:pPr>
        <w:spacing w:line="260" w:lineRule="exact"/>
        <w:ind w:left="851"/>
        <w:rPr>
          <w:noProof/>
          <w:sz w:val="24"/>
          <w:szCs w:val="24"/>
        </w:rPr>
      </w:pPr>
      <w:r w:rsidRPr="00B0203E">
        <w:rPr>
          <w:noProof/>
          <w:sz w:val="24"/>
          <w:szCs w:val="24"/>
        </w:rPr>
        <w:t>Magnesiumstearat</w:t>
      </w:r>
    </w:p>
    <w:p w:rsidR="003E2EDB" w:rsidRPr="00B0203E" w:rsidRDefault="003E2EDB" w:rsidP="003E2EDB">
      <w:pPr>
        <w:spacing w:line="260" w:lineRule="exact"/>
        <w:ind w:left="851"/>
        <w:rPr>
          <w:noProof/>
          <w:sz w:val="24"/>
          <w:szCs w:val="24"/>
        </w:rPr>
      </w:pPr>
    </w:p>
    <w:p w:rsidR="003E2EDB" w:rsidRPr="00B0203E" w:rsidRDefault="003E2EDB" w:rsidP="003E2EDB">
      <w:pPr>
        <w:spacing w:line="260" w:lineRule="exact"/>
        <w:ind w:left="851"/>
        <w:rPr>
          <w:i/>
          <w:noProof/>
          <w:sz w:val="24"/>
          <w:szCs w:val="24"/>
        </w:rPr>
      </w:pPr>
      <w:r w:rsidRPr="00B0203E">
        <w:rPr>
          <w:i/>
          <w:noProof/>
          <w:sz w:val="24"/>
          <w:szCs w:val="24"/>
        </w:rPr>
        <w:t xml:space="preserve">Tabletovertræk: </w:t>
      </w:r>
    </w:p>
    <w:p w:rsidR="003E2EDB" w:rsidRPr="00280B96" w:rsidRDefault="00232864" w:rsidP="00232864">
      <w:pPr>
        <w:spacing w:line="260" w:lineRule="exact"/>
        <w:ind w:left="851"/>
        <w:rPr>
          <w:noProof/>
          <w:sz w:val="24"/>
          <w:szCs w:val="24"/>
          <w:lang w:val="es-ES_tradnl"/>
        </w:rPr>
      </w:pPr>
      <w:r w:rsidRPr="00280B96">
        <w:rPr>
          <w:noProof/>
          <w:sz w:val="24"/>
          <w:szCs w:val="24"/>
          <w:lang w:val="es-ES_tradnl"/>
        </w:rPr>
        <w:t>Hypromellose (E464)</w:t>
      </w:r>
    </w:p>
    <w:p w:rsidR="003E2EDB" w:rsidRPr="00280B96" w:rsidRDefault="003E2EDB" w:rsidP="003E2EDB">
      <w:pPr>
        <w:spacing w:line="260" w:lineRule="exact"/>
        <w:ind w:left="851"/>
        <w:rPr>
          <w:noProof/>
          <w:sz w:val="24"/>
          <w:szCs w:val="24"/>
          <w:lang w:val="es-ES_tradnl"/>
        </w:rPr>
      </w:pPr>
      <w:r w:rsidRPr="00280B96">
        <w:rPr>
          <w:noProof/>
          <w:sz w:val="24"/>
          <w:szCs w:val="24"/>
          <w:lang w:val="es-ES_tradnl"/>
        </w:rPr>
        <w:t>Macrogol (E1521)</w:t>
      </w:r>
    </w:p>
    <w:p w:rsidR="003E2EDB" w:rsidRPr="00280B96" w:rsidRDefault="003E2EDB" w:rsidP="003E2EDB">
      <w:pPr>
        <w:spacing w:line="260" w:lineRule="exact"/>
        <w:ind w:left="851"/>
        <w:rPr>
          <w:noProof/>
          <w:sz w:val="24"/>
          <w:szCs w:val="24"/>
          <w:lang w:val="es-ES_tradnl"/>
        </w:rPr>
      </w:pPr>
      <w:r w:rsidRPr="00280B96">
        <w:rPr>
          <w:noProof/>
          <w:sz w:val="24"/>
          <w:szCs w:val="24"/>
          <w:lang w:val="es-ES_tradnl"/>
        </w:rPr>
        <w:t>Titandioxid (E171)</w:t>
      </w:r>
    </w:p>
    <w:p w:rsidR="003E2EDB" w:rsidRPr="00B0203E" w:rsidRDefault="003E2EDB" w:rsidP="003E2EDB">
      <w:pPr>
        <w:spacing w:line="260" w:lineRule="exact"/>
        <w:ind w:left="851"/>
        <w:rPr>
          <w:noProof/>
          <w:sz w:val="24"/>
          <w:szCs w:val="24"/>
        </w:rPr>
      </w:pPr>
      <w:r w:rsidRPr="00B0203E">
        <w:rPr>
          <w:noProof/>
          <w:sz w:val="24"/>
          <w:szCs w:val="24"/>
        </w:rPr>
        <w:t>Talcum</w:t>
      </w:r>
    </w:p>
    <w:p w:rsidR="003E2EDB" w:rsidRPr="00B0203E" w:rsidRDefault="003E2EDB" w:rsidP="003E2EDB">
      <w:pPr>
        <w:ind w:left="851" w:hanging="851"/>
        <w:rPr>
          <w:sz w:val="24"/>
          <w:szCs w:val="24"/>
        </w:rPr>
      </w:pPr>
    </w:p>
    <w:p w:rsidR="003E2EDB" w:rsidRPr="00B0203E" w:rsidRDefault="003E2EDB" w:rsidP="003E2EDB">
      <w:pPr>
        <w:ind w:left="851" w:hanging="851"/>
        <w:rPr>
          <w:b/>
          <w:sz w:val="24"/>
          <w:szCs w:val="24"/>
        </w:rPr>
      </w:pPr>
      <w:r w:rsidRPr="00B0203E">
        <w:rPr>
          <w:b/>
          <w:sz w:val="24"/>
          <w:szCs w:val="24"/>
        </w:rPr>
        <w:t>6.2</w:t>
      </w:r>
      <w:r w:rsidRPr="00B0203E">
        <w:rPr>
          <w:b/>
          <w:sz w:val="24"/>
          <w:szCs w:val="24"/>
        </w:rPr>
        <w:tab/>
        <w:t>Uforligeligheder</w:t>
      </w:r>
    </w:p>
    <w:p w:rsidR="003E2EDB" w:rsidRPr="00B0203E" w:rsidRDefault="003E2EDB" w:rsidP="003E2EDB">
      <w:pPr>
        <w:ind w:left="851"/>
        <w:rPr>
          <w:sz w:val="24"/>
          <w:szCs w:val="24"/>
        </w:rPr>
      </w:pPr>
      <w:r w:rsidRPr="00B0203E">
        <w:rPr>
          <w:sz w:val="24"/>
          <w:szCs w:val="24"/>
        </w:rPr>
        <w:t>Ikke relevant.</w:t>
      </w:r>
    </w:p>
    <w:p w:rsidR="003E2EDB" w:rsidRPr="00B0203E" w:rsidRDefault="003E2EDB" w:rsidP="003E2EDB">
      <w:pPr>
        <w:ind w:left="851" w:hanging="851"/>
        <w:rPr>
          <w:sz w:val="24"/>
          <w:szCs w:val="24"/>
        </w:rPr>
      </w:pPr>
    </w:p>
    <w:p w:rsidR="003E2EDB" w:rsidRPr="00B0203E" w:rsidRDefault="003E2EDB" w:rsidP="003E2EDB">
      <w:pPr>
        <w:ind w:left="851" w:hanging="851"/>
        <w:rPr>
          <w:b/>
          <w:sz w:val="24"/>
          <w:szCs w:val="24"/>
        </w:rPr>
      </w:pPr>
      <w:r w:rsidRPr="00B0203E">
        <w:rPr>
          <w:b/>
          <w:sz w:val="24"/>
          <w:szCs w:val="24"/>
        </w:rPr>
        <w:t>6.3</w:t>
      </w:r>
      <w:r w:rsidRPr="00B0203E">
        <w:rPr>
          <w:b/>
          <w:sz w:val="24"/>
          <w:szCs w:val="24"/>
        </w:rPr>
        <w:tab/>
        <w:t>Opbevaringstid</w:t>
      </w:r>
    </w:p>
    <w:p w:rsidR="003E2EDB" w:rsidRPr="00B0203E" w:rsidRDefault="003E2EDB" w:rsidP="003E2EDB">
      <w:pPr>
        <w:ind w:left="851" w:hanging="851"/>
        <w:rPr>
          <w:sz w:val="24"/>
          <w:szCs w:val="24"/>
        </w:rPr>
      </w:pPr>
      <w:r w:rsidRPr="00B0203E">
        <w:rPr>
          <w:sz w:val="24"/>
          <w:szCs w:val="24"/>
        </w:rPr>
        <w:tab/>
      </w:r>
      <w:r>
        <w:rPr>
          <w:sz w:val="24"/>
          <w:szCs w:val="24"/>
        </w:rPr>
        <w:t>3</w:t>
      </w:r>
      <w:r w:rsidRPr="00B0203E">
        <w:rPr>
          <w:sz w:val="24"/>
          <w:szCs w:val="24"/>
        </w:rPr>
        <w:t xml:space="preserve"> år</w:t>
      </w:r>
      <w:r>
        <w:rPr>
          <w:sz w:val="24"/>
          <w:szCs w:val="24"/>
        </w:rPr>
        <w:t>.</w:t>
      </w:r>
    </w:p>
    <w:p w:rsidR="003E2EDB" w:rsidRPr="00B0203E" w:rsidRDefault="003E2EDB" w:rsidP="003E2EDB">
      <w:pPr>
        <w:ind w:left="851" w:hanging="851"/>
        <w:rPr>
          <w:sz w:val="24"/>
          <w:szCs w:val="24"/>
        </w:rPr>
      </w:pPr>
    </w:p>
    <w:p w:rsidR="003E2EDB" w:rsidRPr="00B0203E" w:rsidRDefault="003E2EDB" w:rsidP="003E2EDB">
      <w:pPr>
        <w:ind w:left="851" w:hanging="851"/>
        <w:rPr>
          <w:b/>
          <w:sz w:val="24"/>
          <w:szCs w:val="24"/>
        </w:rPr>
      </w:pPr>
      <w:r w:rsidRPr="00B0203E">
        <w:rPr>
          <w:b/>
          <w:sz w:val="24"/>
          <w:szCs w:val="24"/>
        </w:rPr>
        <w:t>6.4</w:t>
      </w:r>
      <w:r w:rsidRPr="00B0203E">
        <w:rPr>
          <w:b/>
          <w:sz w:val="24"/>
          <w:szCs w:val="24"/>
        </w:rPr>
        <w:tab/>
        <w:t>Særlige opbevaringsforhold</w:t>
      </w:r>
    </w:p>
    <w:p w:rsidR="003E2EDB" w:rsidRPr="00B0203E" w:rsidRDefault="003E2EDB" w:rsidP="003E2EDB">
      <w:pPr>
        <w:ind w:left="851"/>
        <w:rPr>
          <w:sz w:val="24"/>
          <w:szCs w:val="24"/>
        </w:rPr>
      </w:pPr>
      <w:r w:rsidRPr="00B0203E">
        <w:rPr>
          <w:noProof/>
          <w:sz w:val="24"/>
          <w:szCs w:val="24"/>
        </w:rPr>
        <w:t>Dette lægemiddel kræver ingen særlige opbevaringsbetingelser.</w:t>
      </w:r>
    </w:p>
    <w:p w:rsidR="003E2EDB" w:rsidRPr="00B0203E" w:rsidRDefault="003E2EDB" w:rsidP="003E2EDB">
      <w:pPr>
        <w:ind w:left="851" w:hanging="851"/>
        <w:rPr>
          <w:sz w:val="24"/>
          <w:szCs w:val="24"/>
        </w:rPr>
      </w:pPr>
    </w:p>
    <w:p w:rsidR="003E2EDB" w:rsidRPr="00B0203E" w:rsidRDefault="003E2EDB" w:rsidP="003E2EDB">
      <w:pPr>
        <w:ind w:left="851" w:hanging="851"/>
        <w:rPr>
          <w:b/>
          <w:sz w:val="24"/>
          <w:szCs w:val="24"/>
        </w:rPr>
      </w:pPr>
      <w:r w:rsidRPr="00B0203E">
        <w:rPr>
          <w:b/>
          <w:sz w:val="24"/>
          <w:szCs w:val="24"/>
        </w:rPr>
        <w:t>6.5</w:t>
      </w:r>
      <w:r w:rsidRPr="00B0203E">
        <w:rPr>
          <w:b/>
          <w:sz w:val="24"/>
          <w:szCs w:val="24"/>
        </w:rPr>
        <w:tab/>
        <w:t>Emballagetype og pakningsstørrelser</w:t>
      </w:r>
    </w:p>
    <w:p w:rsidR="00D0206B" w:rsidRDefault="00D0206B" w:rsidP="00D0206B">
      <w:pPr>
        <w:widowControl w:val="0"/>
        <w:numPr>
          <w:ilvl w:val="0"/>
          <w:numId w:val="8"/>
        </w:numPr>
        <w:autoSpaceDE w:val="0"/>
        <w:autoSpaceDN w:val="0"/>
        <w:adjustRightInd w:val="0"/>
        <w:ind w:left="851"/>
        <w:rPr>
          <w:b/>
          <w:bCs/>
          <w:sz w:val="24"/>
          <w:szCs w:val="24"/>
          <w:highlight w:val="yellow"/>
        </w:rPr>
      </w:pPr>
      <w:r>
        <w:rPr>
          <w:sz w:val="24"/>
          <w:szCs w:val="24"/>
        </w:rPr>
        <w:t xml:space="preserve">Blisterpakninger (hvidt, uigennemsigtigt PVC/PCTFE-folie dækket af glat gennemtrykkeligt aluminiumsfolie eller PVC/PCTFE/PCV-folie dækket af aluminiumsfolie) med 2, 4, 8, 12, 16, 30, 50, 100 </w:t>
      </w:r>
      <w:r>
        <w:rPr>
          <w:noProof/>
          <w:sz w:val="24"/>
          <w:szCs w:val="24"/>
        </w:rPr>
        <w:t>filmovertrukne tabletter.</w:t>
      </w:r>
    </w:p>
    <w:p w:rsidR="003E2EDB" w:rsidRPr="00B0203E" w:rsidRDefault="003E2EDB" w:rsidP="003E2EDB">
      <w:pPr>
        <w:suppressAutoHyphens/>
        <w:ind w:left="851" w:hanging="851"/>
        <w:rPr>
          <w:sz w:val="24"/>
          <w:szCs w:val="24"/>
        </w:rPr>
      </w:pPr>
    </w:p>
    <w:p w:rsidR="003E2EDB" w:rsidRPr="00B0203E" w:rsidRDefault="003E2EDB" w:rsidP="003E2EDB">
      <w:pPr>
        <w:suppressAutoHyphens/>
        <w:ind w:left="851"/>
        <w:rPr>
          <w:sz w:val="24"/>
          <w:szCs w:val="24"/>
        </w:rPr>
      </w:pPr>
      <w:r w:rsidRPr="00B0203E">
        <w:rPr>
          <w:sz w:val="24"/>
          <w:szCs w:val="24"/>
        </w:rPr>
        <w:t>Ikke alle pakningsstørrelser er nødvendigvis markedsført.</w:t>
      </w:r>
    </w:p>
    <w:p w:rsidR="003E2EDB" w:rsidRPr="00B0203E" w:rsidRDefault="003E2EDB" w:rsidP="003E2EDB">
      <w:pPr>
        <w:ind w:left="851" w:hanging="851"/>
        <w:rPr>
          <w:sz w:val="24"/>
          <w:szCs w:val="24"/>
        </w:rPr>
      </w:pPr>
    </w:p>
    <w:p w:rsidR="003E2EDB" w:rsidRPr="00B0203E" w:rsidRDefault="003E2EDB" w:rsidP="003E2EDB">
      <w:pPr>
        <w:ind w:left="851" w:hanging="851"/>
        <w:rPr>
          <w:b/>
          <w:sz w:val="24"/>
          <w:szCs w:val="24"/>
        </w:rPr>
      </w:pPr>
      <w:r w:rsidRPr="00B0203E">
        <w:rPr>
          <w:b/>
          <w:sz w:val="24"/>
          <w:szCs w:val="24"/>
        </w:rPr>
        <w:t>6.6</w:t>
      </w:r>
      <w:r w:rsidRPr="00B0203E">
        <w:rPr>
          <w:b/>
          <w:sz w:val="24"/>
          <w:szCs w:val="24"/>
        </w:rPr>
        <w:tab/>
        <w:t xml:space="preserve">Regler for </w:t>
      </w:r>
      <w:r w:rsidR="001D28E9">
        <w:rPr>
          <w:b/>
          <w:sz w:val="24"/>
          <w:szCs w:val="24"/>
        </w:rPr>
        <w:t>bortskaffelse</w:t>
      </w:r>
      <w:r w:rsidRPr="00B0203E">
        <w:rPr>
          <w:b/>
          <w:sz w:val="24"/>
          <w:szCs w:val="24"/>
        </w:rPr>
        <w:t xml:space="preserve"> og anden håndtering</w:t>
      </w:r>
    </w:p>
    <w:p w:rsidR="003E2EDB" w:rsidRPr="00B0203E" w:rsidRDefault="003E2EDB" w:rsidP="003E2EDB">
      <w:pPr>
        <w:ind w:left="851"/>
        <w:rPr>
          <w:sz w:val="24"/>
          <w:szCs w:val="24"/>
        </w:rPr>
      </w:pPr>
      <w:r w:rsidRPr="00B0203E">
        <w:rPr>
          <w:sz w:val="24"/>
          <w:szCs w:val="24"/>
        </w:rPr>
        <w:t>Ingen særlige forholdsregler.</w:t>
      </w:r>
    </w:p>
    <w:p w:rsidR="003E2EDB" w:rsidRPr="00B0203E" w:rsidRDefault="003E2EDB" w:rsidP="003E2EDB">
      <w:pPr>
        <w:ind w:left="851" w:hanging="851"/>
        <w:jc w:val="both"/>
        <w:rPr>
          <w:sz w:val="24"/>
          <w:szCs w:val="24"/>
        </w:rPr>
      </w:pPr>
    </w:p>
    <w:p w:rsidR="003E2EDB" w:rsidRPr="00B0203E" w:rsidRDefault="003E2EDB" w:rsidP="003E2EDB">
      <w:pPr>
        <w:ind w:left="851" w:hanging="851"/>
        <w:rPr>
          <w:b/>
          <w:sz w:val="24"/>
          <w:szCs w:val="24"/>
        </w:rPr>
      </w:pPr>
      <w:r w:rsidRPr="00B0203E">
        <w:rPr>
          <w:b/>
          <w:sz w:val="24"/>
          <w:szCs w:val="24"/>
        </w:rPr>
        <w:t>7.</w:t>
      </w:r>
      <w:r w:rsidRPr="00B0203E">
        <w:rPr>
          <w:b/>
          <w:sz w:val="24"/>
          <w:szCs w:val="24"/>
        </w:rPr>
        <w:tab/>
        <w:t>INDEHAVER AF MARKEDSFØRINGSTILLADELSEN</w:t>
      </w:r>
    </w:p>
    <w:p w:rsidR="003E2EDB" w:rsidRPr="008C0FED" w:rsidRDefault="003E2EDB" w:rsidP="003E2EDB">
      <w:pPr>
        <w:suppressAutoHyphens/>
        <w:ind w:left="851"/>
        <w:rPr>
          <w:sz w:val="24"/>
          <w:szCs w:val="24"/>
          <w:lang w:val="en-US"/>
        </w:rPr>
      </w:pPr>
      <w:r w:rsidRPr="008C0FED">
        <w:rPr>
          <w:sz w:val="24"/>
          <w:szCs w:val="24"/>
          <w:lang w:val="en-US"/>
        </w:rPr>
        <w:t xml:space="preserve">Actavis Group PTC </w:t>
      </w:r>
      <w:proofErr w:type="spellStart"/>
      <w:r w:rsidRPr="008C0FED">
        <w:rPr>
          <w:sz w:val="24"/>
          <w:szCs w:val="24"/>
          <w:lang w:val="en-US"/>
        </w:rPr>
        <w:t>ehf</w:t>
      </w:r>
      <w:proofErr w:type="spellEnd"/>
      <w:r w:rsidRPr="008C0FED">
        <w:rPr>
          <w:sz w:val="24"/>
          <w:szCs w:val="24"/>
          <w:lang w:val="en-US"/>
        </w:rPr>
        <w:t>.</w:t>
      </w:r>
    </w:p>
    <w:p w:rsidR="009D32B0" w:rsidRPr="00F12565" w:rsidRDefault="009D32B0" w:rsidP="009D32B0">
      <w:pPr>
        <w:ind w:left="851"/>
        <w:rPr>
          <w:sz w:val="24"/>
          <w:szCs w:val="24"/>
          <w:lang w:val="en-US"/>
        </w:rPr>
      </w:pPr>
      <w:r w:rsidRPr="00F12565">
        <w:rPr>
          <w:sz w:val="24"/>
          <w:szCs w:val="24"/>
          <w:lang w:val="en-US"/>
        </w:rPr>
        <w:t>Dalshraun 1</w:t>
      </w:r>
    </w:p>
    <w:p w:rsidR="009D32B0" w:rsidRPr="00F12565" w:rsidRDefault="009D32B0" w:rsidP="009D32B0">
      <w:pPr>
        <w:ind w:left="851"/>
        <w:rPr>
          <w:sz w:val="24"/>
          <w:szCs w:val="24"/>
          <w:lang w:val="en-US"/>
        </w:rPr>
      </w:pPr>
      <w:r w:rsidRPr="00F12565">
        <w:rPr>
          <w:sz w:val="24"/>
          <w:szCs w:val="24"/>
          <w:lang w:val="en-US"/>
        </w:rPr>
        <w:t>220 Hafnarfjörður</w:t>
      </w:r>
    </w:p>
    <w:p w:rsidR="003E2EDB" w:rsidRPr="00F12565" w:rsidRDefault="003E2EDB" w:rsidP="003E2EDB">
      <w:pPr>
        <w:ind w:left="851"/>
        <w:rPr>
          <w:sz w:val="24"/>
          <w:szCs w:val="24"/>
          <w:lang w:val="en-US"/>
        </w:rPr>
      </w:pPr>
      <w:r w:rsidRPr="00F12565">
        <w:rPr>
          <w:sz w:val="24"/>
          <w:szCs w:val="24"/>
          <w:lang w:val="en-US"/>
        </w:rPr>
        <w:t>Island</w:t>
      </w:r>
    </w:p>
    <w:p w:rsidR="003E2EDB" w:rsidRPr="00B0203E" w:rsidRDefault="003E2EDB" w:rsidP="003E2EDB">
      <w:pPr>
        <w:ind w:left="851"/>
        <w:rPr>
          <w:sz w:val="24"/>
          <w:szCs w:val="24"/>
          <w:lang w:val="en-US"/>
        </w:rPr>
      </w:pPr>
      <w:bookmarkStart w:id="0" w:name="_GoBack"/>
      <w:bookmarkEnd w:id="0"/>
    </w:p>
    <w:p w:rsidR="003E2EDB" w:rsidRPr="00B0203E" w:rsidRDefault="003E2EDB" w:rsidP="003E2EDB">
      <w:pPr>
        <w:ind w:left="851"/>
        <w:rPr>
          <w:b/>
          <w:sz w:val="24"/>
          <w:szCs w:val="24"/>
          <w:lang w:val="en-US"/>
        </w:rPr>
      </w:pPr>
      <w:proofErr w:type="spellStart"/>
      <w:r w:rsidRPr="00B0203E">
        <w:rPr>
          <w:b/>
          <w:sz w:val="24"/>
          <w:szCs w:val="24"/>
          <w:lang w:val="en-US"/>
        </w:rPr>
        <w:t>Repræsentant</w:t>
      </w:r>
      <w:proofErr w:type="spellEnd"/>
    </w:p>
    <w:p w:rsidR="003E2EDB" w:rsidRPr="00B0203E" w:rsidRDefault="003E2EDB" w:rsidP="003E2EDB">
      <w:pPr>
        <w:ind w:left="851"/>
        <w:rPr>
          <w:sz w:val="24"/>
          <w:szCs w:val="24"/>
          <w:lang w:val="en-US"/>
        </w:rPr>
      </w:pPr>
      <w:r>
        <w:rPr>
          <w:sz w:val="24"/>
          <w:szCs w:val="24"/>
          <w:lang w:val="en-US"/>
        </w:rPr>
        <w:t>Teva Denmark</w:t>
      </w:r>
      <w:r w:rsidRPr="00B0203E">
        <w:rPr>
          <w:sz w:val="24"/>
          <w:szCs w:val="24"/>
          <w:lang w:val="en-US"/>
        </w:rPr>
        <w:t xml:space="preserve"> A/S</w:t>
      </w:r>
    </w:p>
    <w:p w:rsidR="003E2EDB" w:rsidRPr="006059C2" w:rsidRDefault="003E2EDB" w:rsidP="003E2EDB">
      <w:pPr>
        <w:ind w:left="851"/>
        <w:rPr>
          <w:sz w:val="24"/>
          <w:szCs w:val="24"/>
        </w:rPr>
      </w:pPr>
      <w:r w:rsidRPr="006059C2">
        <w:rPr>
          <w:sz w:val="24"/>
          <w:szCs w:val="24"/>
        </w:rPr>
        <w:t>Vandtårnsvej 83A</w:t>
      </w:r>
    </w:p>
    <w:p w:rsidR="003E2EDB" w:rsidRPr="00D67133" w:rsidRDefault="003E2EDB" w:rsidP="003E2EDB">
      <w:pPr>
        <w:ind w:left="851"/>
        <w:rPr>
          <w:sz w:val="24"/>
          <w:szCs w:val="24"/>
        </w:rPr>
      </w:pPr>
      <w:r w:rsidRPr="00D67133">
        <w:rPr>
          <w:sz w:val="24"/>
          <w:szCs w:val="24"/>
        </w:rPr>
        <w:t>2860 Søborg</w:t>
      </w:r>
    </w:p>
    <w:p w:rsidR="003E2EDB" w:rsidRPr="00D67133" w:rsidRDefault="003E2EDB" w:rsidP="003E2EDB">
      <w:pPr>
        <w:ind w:left="851" w:hanging="851"/>
        <w:rPr>
          <w:sz w:val="24"/>
          <w:szCs w:val="24"/>
        </w:rPr>
      </w:pPr>
    </w:p>
    <w:p w:rsidR="003E2EDB" w:rsidRPr="00B0203E" w:rsidRDefault="003E2EDB" w:rsidP="003E2EDB">
      <w:pPr>
        <w:ind w:left="851" w:hanging="851"/>
        <w:rPr>
          <w:b/>
          <w:sz w:val="24"/>
          <w:szCs w:val="24"/>
        </w:rPr>
      </w:pPr>
      <w:r w:rsidRPr="00B0203E">
        <w:rPr>
          <w:b/>
          <w:sz w:val="24"/>
          <w:szCs w:val="24"/>
        </w:rPr>
        <w:t>8.</w:t>
      </w:r>
      <w:r w:rsidRPr="00B0203E">
        <w:rPr>
          <w:b/>
          <w:sz w:val="24"/>
          <w:szCs w:val="24"/>
        </w:rPr>
        <w:tab/>
        <w:t>MARKEDSFØRINGSTILLADELSESNUMMER (</w:t>
      </w:r>
      <w:r w:rsidR="001D28E9">
        <w:rPr>
          <w:b/>
          <w:sz w:val="24"/>
          <w:szCs w:val="24"/>
        </w:rPr>
        <w:t>-</w:t>
      </w:r>
      <w:r w:rsidRPr="00B0203E">
        <w:rPr>
          <w:b/>
          <w:sz w:val="24"/>
          <w:szCs w:val="24"/>
        </w:rPr>
        <w:t>NUMRE)</w:t>
      </w:r>
    </w:p>
    <w:p w:rsidR="003E2EDB" w:rsidRPr="00B0203E" w:rsidRDefault="003E2EDB" w:rsidP="003E2EDB">
      <w:pPr>
        <w:ind w:left="851"/>
        <w:rPr>
          <w:sz w:val="24"/>
          <w:szCs w:val="24"/>
        </w:rPr>
      </w:pPr>
      <w:r w:rsidRPr="00B0203E">
        <w:rPr>
          <w:sz w:val="24"/>
          <w:szCs w:val="24"/>
        </w:rPr>
        <w:t>56416</w:t>
      </w:r>
    </w:p>
    <w:p w:rsidR="003E2EDB" w:rsidRPr="00B0203E" w:rsidRDefault="003E2EDB" w:rsidP="003E2EDB">
      <w:pPr>
        <w:ind w:left="851" w:hanging="851"/>
        <w:jc w:val="both"/>
        <w:rPr>
          <w:sz w:val="24"/>
          <w:szCs w:val="24"/>
        </w:rPr>
      </w:pPr>
    </w:p>
    <w:p w:rsidR="003E2EDB" w:rsidRPr="00B0203E" w:rsidRDefault="003E2EDB" w:rsidP="003E2EDB">
      <w:pPr>
        <w:ind w:left="851" w:hanging="851"/>
        <w:rPr>
          <w:b/>
          <w:sz w:val="24"/>
          <w:szCs w:val="24"/>
        </w:rPr>
      </w:pPr>
      <w:r w:rsidRPr="00B0203E">
        <w:rPr>
          <w:b/>
          <w:sz w:val="24"/>
          <w:szCs w:val="24"/>
        </w:rPr>
        <w:t>9.</w:t>
      </w:r>
      <w:r w:rsidRPr="00B0203E">
        <w:rPr>
          <w:b/>
          <w:sz w:val="24"/>
          <w:szCs w:val="24"/>
        </w:rPr>
        <w:tab/>
        <w:t>DATO FOR FØRSTE MARKEDSFØRINGSTILLADELSE</w:t>
      </w:r>
      <w:r w:rsidR="001D28E9">
        <w:rPr>
          <w:b/>
          <w:sz w:val="24"/>
          <w:szCs w:val="24"/>
        </w:rPr>
        <w:t>/FORNYELSE AF TILLADELSEN</w:t>
      </w:r>
    </w:p>
    <w:p w:rsidR="003E2EDB" w:rsidRPr="00B0203E" w:rsidRDefault="003E2EDB" w:rsidP="003E2EDB">
      <w:pPr>
        <w:ind w:left="851"/>
        <w:rPr>
          <w:sz w:val="24"/>
          <w:szCs w:val="24"/>
        </w:rPr>
      </w:pPr>
      <w:r w:rsidRPr="00B0203E">
        <w:rPr>
          <w:sz w:val="24"/>
          <w:szCs w:val="24"/>
        </w:rPr>
        <w:t>3. august 2016</w:t>
      </w:r>
    </w:p>
    <w:p w:rsidR="003E2EDB" w:rsidRPr="00B0203E" w:rsidRDefault="003E2EDB" w:rsidP="003E2EDB">
      <w:pPr>
        <w:ind w:left="851" w:hanging="851"/>
        <w:rPr>
          <w:sz w:val="24"/>
          <w:szCs w:val="24"/>
        </w:rPr>
      </w:pPr>
    </w:p>
    <w:p w:rsidR="003E2EDB" w:rsidRPr="00B0203E" w:rsidRDefault="003E2EDB" w:rsidP="003E2EDB">
      <w:pPr>
        <w:ind w:left="851" w:hanging="851"/>
        <w:rPr>
          <w:b/>
          <w:sz w:val="24"/>
          <w:szCs w:val="24"/>
        </w:rPr>
      </w:pPr>
      <w:r w:rsidRPr="00B0203E">
        <w:rPr>
          <w:b/>
          <w:sz w:val="24"/>
          <w:szCs w:val="24"/>
        </w:rPr>
        <w:t>10.</w:t>
      </w:r>
      <w:r w:rsidRPr="00B0203E">
        <w:rPr>
          <w:b/>
          <w:sz w:val="24"/>
          <w:szCs w:val="24"/>
        </w:rPr>
        <w:tab/>
        <w:t>DATO FOR ÆNDRING AF TEKSTEN</w:t>
      </w:r>
    </w:p>
    <w:p w:rsidR="003E2EDB" w:rsidRPr="00B0203E" w:rsidRDefault="005B7F82" w:rsidP="003E2EDB">
      <w:pPr>
        <w:ind w:left="851"/>
        <w:rPr>
          <w:sz w:val="24"/>
          <w:szCs w:val="24"/>
        </w:rPr>
      </w:pPr>
      <w:r>
        <w:rPr>
          <w:sz w:val="24"/>
          <w:szCs w:val="24"/>
        </w:rPr>
        <w:t>7. april</w:t>
      </w:r>
      <w:r w:rsidR="00232864">
        <w:rPr>
          <w:sz w:val="24"/>
          <w:szCs w:val="24"/>
        </w:rPr>
        <w:t xml:space="preserve"> 202</w:t>
      </w:r>
      <w:r w:rsidR="00355132">
        <w:rPr>
          <w:sz w:val="24"/>
          <w:szCs w:val="24"/>
        </w:rPr>
        <w:t>5</w:t>
      </w:r>
    </w:p>
    <w:p w:rsidR="003E2EDB" w:rsidRPr="00033E25" w:rsidRDefault="003E2EDB" w:rsidP="003E2EDB"/>
    <w:p w:rsidR="003E2EDB" w:rsidRPr="00856550" w:rsidRDefault="003E2EDB" w:rsidP="003E2EDB"/>
    <w:p w:rsidR="009260DE" w:rsidRPr="003E2EDB" w:rsidRDefault="009260DE" w:rsidP="003E2EDB"/>
    <w:sectPr w:rsidR="009260DE" w:rsidRPr="003E2ED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EDB" w:rsidRDefault="003E2EDB">
      <w:r>
        <w:separator/>
      </w:r>
    </w:p>
  </w:endnote>
  <w:endnote w:type="continuationSeparator" w:id="0">
    <w:p w:rsidR="003E2EDB" w:rsidRDefault="003E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66685">
      <w:rPr>
        <w:i/>
        <w:noProof/>
        <w:sz w:val="18"/>
        <w:szCs w:val="18"/>
      </w:rPr>
      <w:t>Prometazin Actavis, filmovertrukne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EDB" w:rsidRDefault="003E2EDB">
      <w:r>
        <w:separator/>
      </w:r>
    </w:p>
  </w:footnote>
  <w:footnote w:type="continuationSeparator" w:id="0">
    <w:p w:rsidR="003E2EDB" w:rsidRDefault="003E2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65F52F"/>
    <w:multiLevelType w:val="hybridMultilevel"/>
    <w:tmpl w:val="84E99420"/>
    <w:lvl w:ilvl="0" w:tplc="FFFFFFFF">
      <w:start w:val="1"/>
      <w:numFmt w:val="decimal"/>
      <w:suff w:val="nothing"/>
      <w:lvlText w:val=""/>
      <w:lvlJc w:val="left"/>
      <w:pPr>
        <w:ind w:left="1702" w:firstLine="0"/>
      </w:pPr>
      <w:rPr>
        <w:rFonts w:cs="Times New Roman"/>
      </w:rPr>
    </w:lvl>
    <w:lvl w:ilvl="1" w:tplc="FFFFFFFF">
      <w:numFmt w:val="decimal"/>
      <w:lvlText w:val=""/>
      <w:lvlJc w:val="left"/>
      <w:pPr>
        <w:ind w:left="1702" w:firstLine="0"/>
      </w:pPr>
      <w:rPr>
        <w:rFonts w:cs="Times New Roman"/>
      </w:rPr>
    </w:lvl>
    <w:lvl w:ilvl="2" w:tplc="FFFFFFFF">
      <w:numFmt w:val="decimal"/>
      <w:lvlText w:val=""/>
      <w:lvlJc w:val="left"/>
      <w:pPr>
        <w:ind w:left="1702" w:firstLine="0"/>
      </w:pPr>
      <w:rPr>
        <w:rFonts w:cs="Times New Roman"/>
      </w:rPr>
    </w:lvl>
    <w:lvl w:ilvl="3" w:tplc="FFFFFFFF">
      <w:numFmt w:val="decimal"/>
      <w:lvlText w:val=""/>
      <w:lvlJc w:val="left"/>
      <w:pPr>
        <w:ind w:left="1702" w:firstLine="0"/>
      </w:pPr>
      <w:rPr>
        <w:rFonts w:cs="Times New Roman"/>
      </w:rPr>
    </w:lvl>
    <w:lvl w:ilvl="4" w:tplc="FFFFFFFF">
      <w:numFmt w:val="decimal"/>
      <w:lvlText w:val=""/>
      <w:lvlJc w:val="left"/>
      <w:pPr>
        <w:ind w:left="1702" w:firstLine="0"/>
      </w:pPr>
      <w:rPr>
        <w:rFonts w:cs="Times New Roman"/>
      </w:rPr>
    </w:lvl>
    <w:lvl w:ilvl="5" w:tplc="FFFFFFFF">
      <w:numFmt w:val="decimal"/>
      <w:lvlText w:val=""/>
      <w:lvlJc w:val="left"/>
      <w:pPr>
        <w:ind w:left="1702" w:firstLine="0"/>
      </w:pPr>
      <w:rPr>
        <w:rFonts w:cs="Times New Roman"/>
      </w:rPr>
    </w:lvl>
    <w:lvl w:ilvl="6" w:tplc="FFFFFFFF">
      <w:numFmt w:val="decimal"/>
      <w:lvlText w:val=""/>
      <w:lvlJc w:val="left"/>
      <w:pPr>
        <w:ind w:left="1702" w:firstLine="0"/>
      </w:pPr>
      <w:rPr>
        <w:rFonts w:cs="Times New Roman"/>
      </w:rPr>
    </w:lvl>
    <w:lvl w:ilvl="7" w:tplc="FFFFFFFF">
      <w:numFmt w:val="decimal"/>
      <w:lvlText w:val=""/>
      <w:lvlJc w:val="left"/>
      <w:pPr>
        <w:ind w:left="1702" w:firstLine="0"/>
      </w:pPr>
      <w:rPr>
        <w:rFonts w:cs="Times New Roman"/>
      </w:rPr>
    </w:lvl>
    <w:lvl w:ilvl="8" w:tplc="FFFFFFFF">
      <w:numFmt w:val="decimal"/>
      <w:lvlText w:val=""/>
      <w:lvlJc w:val="left"/>
      <w:pPr>
        <w:ind w:left="1702" w:firstLine="0"/>
      </w:pPr>
      <w:rPr>
        <w:rFonts w:cs="Times New Roman"/>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0EC0876"/>
    <w:multiLevelType w:val="hybridMultilevel"/>
    <w:tmpl w:val="96082184"/>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3068A4"/>
    <w:multiLevelType w:val="hybridMultilevel"/>
    <w:tmpl w:val="4EEE7D08"/>
    <w:lvl w:ilvl="0" w:tplc="FFFFFFFF">
      <w:start w:val="1"/>
      <w:numFmt w:val="bullet"/>
      <w:lvlText w:val="-"/>
      <w:lvlJc w:val="left"/>
      <w:pPr>
        <w:ind w:left="1635" w:hanging="360"/>
      </w:pPr>
    </w:lvl>
    <w:lvl w:ilvl="1" w:tplc="04060003">
      <w:start w:val="1"/>
      <w:numFmt w:val="bullet"/>
      <w:lvlText w:val="o"/>
      <w:lvlJc w:val="left"/>
      <w:pPr>
        <w:ind w:left="2355" w:hanging="360"/>
      </w:pPr>
      <w:rPr>
        <w:rFonts w:ascii="Courier New" w:hAnsi="Courier New" w:cs="Courier New" w:hint="default"/>
      </w:rPr>
    </w:lvl>
    <w:lvl w:ilvl="2" w:tplc="04060005">
      <w:start w:val="1"/>
      <w:numFmt w:val="bullet"/>
      <w:lvlText w:val=""/>
      <w:lvlJc w:val="left"/>
      <w:pPr>
        <w:ind w:left="3075" w:hanging="360"/>
      </w:pPr>
      <w:rPr>
        <w:rFonts w:ascii="Wingdings" w:hAnsi="Wingdings" w:hint="default"/>
      </w:rPr>
    </w:lvl>
    <w:lvl w:ilvl="3" w:tplc="04060001">
      <w:start w:val="1"/>
      <w:numFmt w:val="bullet"/>
      <w:lvlText w:val=""/>
      <w:lvlJc w:val="left"/>
      <w:pPr>
        <w:ind w:left="3795" w:hanging="360"/>
      </w:pPr>
      <w:rPr>
        <w:rFonts w:ascii="Symbol" w:hAnsi="Symbol" w:hint="default"/>
      </w:rPr>
    </w:lvl>
    <w:lvl w:ilvl="4" w:tplc="04060003">
      <w:start w:val="1"/>
      <w:numFmt w:val="bullet"/>
      <w:lvlText w:val="o"/>
      <w:lvlJc w:val="left"/>
      <w:pPr>
        <w:ind w:left="4515" w:hanging="360"/>
      </w:pPr>
      <w:rPr>
        <w:rFonts w:ascii="Courier New" w:hAnsi="Courier New" w:cs="Courier New" w:hint="default"/>
      </w:rPr>
    </w:lvl>
    <w:lvl w:ilvl="5" w:tplc="04060005">
      <w:start w:val="1"/>
      <w:numFmt w:val="bullet"/>
      <w:lvlText w:val=""/>
      <w:lvlJc w:val="left"/>
      <w:pPr>
        <w:ind w:left="5235" w:hanging="360"/>
      </w:pPr>
      <w:rPr>
        <w:rFonts w:ascii="Wingdings" w:hAnsi="Wingdings" w:hint="default"/>
      </w:rPr>
    </w:lvl>
    <w:lvl w:ilvl="6" w:tplc="04060001">
      <w:start w:val="1"/>
      <w:numFmt w:val="bullet"/>
      <w:lvlText w:val=""/>
      <w:lvlJc w:val="left"/>
      <w:pPr>
        <w:ind w:left="5955" w:hanging="360"/>
      </w:pPr>
      <w:rPr>
        <w:rFonts w:ascii="Symbol" w:hAnsi="Symbol" w:hint="default"/>
      </w:rPr>
    </w:lvl>
    <w:lvl w:ilvl="7" w:tplc="04060003">
      <w:start w:val="1"/>
      <w:numFmt w:val="bullet"/>
      <w:lvlText w:val="o"/>
      <w:lvlJc w:val="left"/>
      <w:pPr>
        <w:ind w:left="6675" w:hanging="360"/>
      </w:pPr>
      <w:rPr>
        <w:rFonts w:ascii="Courier New" w:hAnsi="Courier New" w:cs="Courier New" w:hint="default"/>
      </w:rPr>
    </w:lvl>
    <w:lvl w:ilvl="8" w:tplc="04060005">
      <w:start w:val="1"/>
      <w:numFmt w:val="bullet"/>
      <w:lvlText w:val=""/>
      <w:lvlJc w:val="left"/>
      <w:pPr>
        <w:ind w:left="7395"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0"/>
    <w:lvlOverride w:ilvl="0">
      <w:startOverride w:val="1"/>
    </w:lvlOverride>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DB"/>
    <w:rsid w:val="000259B9"/>
    <w:rsid w:val="00041491"/>
    <w:rsid w:val="00050D16"/>
    <w:rsid w:val="00074F2A"/>
    <w:rsid w:val="000A1CA8"/>
    <w:rsid w:val="000A466B"/>
    <w:rsid w:val="000B058C"/>
    <w:rsid w:val="000E4EE6"/>
    <w:rsid w:val="001454E2"/>
    <w:rsid w:val="001D28E9"/>
    <w:rsid w:val="00206CE8"/>
    <w:rsid w:val="0021526C"/>
    <w:rsid w:val="00232864"/>
    <w:rsid w:val="00283A2B"/>
    <w:rsid w:val="002B30AD"/>
    <w:rsid w:val="002C2C01"/>
    <w:rsid w:val="00355132"/>
    <w:rsid w:val="003860DC"/>
    <w:rsid w:val="003A29AE"/>
    <w:rsid w:val="003A32D7"/>
    <w:rsid w:val="003B4074"/>
    <w:rsid w:val="003C769A"/>
    <w:rsid w:val="003E2EDB"/>
    <w:rsid w:val="003F1838"/>
    <w:rsid w:val="0045746C"/>
    <w:rsid w:val="0049104B"/>
    <w:rsid w:val="004E3B12"/>
    <w:rsid w:val="004E5E5D"/>
    <w:rsid w:val="00512867"/>
    <w:rsid w:val="0052609D"/>
    <w:rsid w:val="00532310"/>
    <w:rsid w:val="00560ECC"/>
    <w:rsid w:val="00565F0F"/>
    <w:rsid w:val="00594A86"/>
    <w:rsid w:val="00596D86"/>
    <w:rsid w:val="005B7F82"/>
    <w:rsid w:val="006059C2"/>
    <w:rsid w:val="00637F5A"/>
    <w:rsid w:val="006560B1"/>
    <w:rsid w:val="006756DD"/>
    <w:rsid w:val="0071234A"/>
    <w:rsid w:val="00737275"/>
    <w:rsid w:val="00740EEC"/>
    <w:rsid w:val="0078011A"/>
    <w:rsid w:val="00782AF4"/>
    <w:rsid w:val="00790EE7"/>
    <w:rsid w:val="007B6649"/>
    <w:rsid w:val="007E3677"/>
    <w:rsid w:val="0081546F"/>
    <w:rsid w:val="0082576E"/>
    <w:rsid w:val="008E3714"/>
    <w:rsid w:val="00907F75"/>
    <w:rsid w:val="009260DE"/>
    <w:rsid w:val="0093258A"/>
    <w:rsid w:val="009C7BA3"/>
    <w:rsid w:val="009D1F5A"/>
    <w:rsid w:val="009D32B0"/>
    <w:rsid w:val="00B003BF"/>
    <w:rsid w:val="00B373D7"/>
    <w:rsid w:val="00C1665C"/>
    <w:rsid w:val="00C36276"/>
    <w:rsid w:val="00C42586"/>
    <w:rsid w:val="00C523FD"/>
    <w:rsid w:val="00C60CCD"/>
    <w:rsid w:val="00C84483"/>
    <w:rsid w:val="00C95551"/>
    <w:rsid w:val="00CB20D7"/>
    <w:rsid w:val="00CC09CF"/>
    <w:rsid w:val="00D0206B"/>
    <w:rsid w:val="00D020B0"/>
    <w:rsid w:val="00D11748"/>
    <w:rsid w:val="00D366CF"/>
    <w:rsid w:val="00D37040"/>
    <w:rsid w:val="00D42EBA"/>
    <w:rsid w:val="00D67133"/>
    <w:rsid w:val="00E108AA"/>
    <w:rsid w:val="00E309A3"/>
    <w:rsid w:val="00E31812"/>
    <w:rsid w:val="00E3749A"/>
    <w:rsid w:val="00E7437F"/>
    <w:rsid w:val="00E865B8"/>
    <w:rsid w:val="00EC0B9B"/>
    <w:rsid w:val="00ED5E9F"/>
    <w:rsid w:val="00F12565"/>
    <w:rsid w:val="00F66685"/>
    <w:rsid w:val="00F66D4F"/>
    <w:rsid w:val="00FB6D01"/>
    <w:rsid w:val="00FF55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8E5EC"/>
  <w15:chartTrackingRefBased/>
  <w15:docId w15:val="{3E8F64DD-4209-4F45-9DB3-AAF7DEA2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uiPriority w:val="99"/>
    <w:rsid w:val="003E2EDB"/>
    <w:pPr>
      <w:widowControl w:val="0"/>
      <w:autoSpaceDE w:val="0"/>
      <w:autoSpaceDN w:val="0"/>
      <w:adjustRightInd w:val="0"/>
    </w:pPr>
    <w:rPr>
      <w:color w:val="000000"/>
      <w:sz w:val="24"/>
      <w:szCs w:val="24"/>
      <w:lang w:val="is-IS" w:eastAsia="is-IS"/>
    </w:rPr>
  </w:style>
  <w:style w:type="paragraph" w:styleId="Brdtekstindrykning">
    <w:name w:val="Body Text Indent"/>
    <w:basedOn w:val="Normal"/>
    <w:link w:val="BrdtekstindrykningTegn"/>
    <w:semiHidden/>
    <w:unhideWhenUsed/>
    <w:rsid w:val="003E2EDB"/>
    <w:pPr>
      <w:tabs>
        <w:tab w:val="left" w:pos="851"/>
      </w:tabs>
      <w:ind w:left="851"/>
    </w:pPr>
    <w:rPr>
      <w:sz w:val="24"/>
      <w:lang w:eastAsia="da-DK"/>
    </w:rPr>
  </w:style>
  <w:style w:type="character" w:customStyle="1" w:styleId="BrdtekstindrykningTegn">
    <w:name w:val="Brødtekstindrykning Tegn"/>
    <w:basedOn w:val="Standardskrifttypeiafsnit"/>
    <w:link w:val="Brdtekstindrykning"/>
    <w:semiHidden/>
    <w:rsid w:val="003E2EDB"/>
    <w:rPr>
      <w:sz w:val="24"/>
    </w:rPr>
  </w:style>
  <w:style w:type="character" w:styleId="Hyperlink">
    <w:name w:val="Hyperlink"/>
    <w:uiPriority w:val="99"/>
    <w:semiHidden/>
    <w:unhideWhenUsed/>
    <w:rsid w:val="003E2EDB"/>
    <w:rPr>
      <w:color w:val="0000FF"/>
      <w:u w:val="single"/>
    </w:rPr>
  </w:style>
  <w:style w:type="paragraph" w:styleId="NormalWeb">
    <w:name w:val="Normal (Web)"/>
    <w:basedOn w:val="Normal"/>
    <w:uiPriority w:val="99"/>
    <w:semiHidden/>
    <w:unhideWhenUsed/>
    <w:rsid w:val="003E2EDB"/>
    <w:pPr>
      <w:spacing w:before="45" w:after="100" w:afterAutospacing="1"/>
    </w:pPr>
    <w:rPr>
      <w:sz w:val="22"/>
      <w:szCs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59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67237694">
      <w:bodyDiv w:val="1"/>
      <w:marLeft w:val="0"/>
      <w:marRight w:val="0"/>
      <w:marTop w:val="0"/>
      <w:marBottom w:val="0"/>
      <w:divBdr>
        <w:top w:val="none" w:sz="0" w:space="0" w:color="auto"/>
        <w:left w:val="none" w:sz="0" w:space="0" w:color="auto"/>
        <w:bottom w:val="none" w:sz="0" w:space="0" w:color="auto"/>
        <w:right w:val="none" w:sz="0" w:space="0" w:color="auto"/>
      </w:divBdr>
    </w:div>
    <w:div w:id="485051859">
      <w:bodyDiv w:val="1"/>
      <w:marLeft w:val="0"/>
      <w:marRight w:val="0"/>
      <w:marTop w:val="0"/>
      <w:marBottom w:val="0"/>
      <w:divBdr>
        <w:top w:val="none" w:sz="0" w:space="0" w:color="auto"/>
        <w:left w:val="none" w:sz="0" w:space="0" w:color="auto"/>
        <w:bottom w:val="none" w:sz="0" w:space="0" w:color="auto"/>
        <w:right w:val="none" w:sz="0" w:space="0" w:color="auto"/>
      </w:divBdr>
    </w:div>
    <w:div w:id="629166368">
      <w:bodyDiv w:val="1"/>
      <w:marLeft w:val="0"/>
      <w:marRight w:val="0"/>
      <w:marTop w:val="0"/>
      <w:marBottom w:val="0"/>
      <w:divBdr>
        <w:top w:val="none" w:sz="0" w:space="0" w:color="auto"/>
        <w:left w:val="none" w:sz="0" w:space="0" w:color="auto"/>
        <w:bottom w:val="none" w:sz="0" w:space="0" w:color="auto"/>
        <w:right w:val="none" w:sz="0" w:space="0" w:color="auto"/>
      </w:divBdr>
    </w:div>
    <w:div w:id="646477644">
      <w:bodyDiv w:val="1"/>
      <w:marLeft w:val="0"/>
      <w:marRight w:val="0"/>
      <w:marTop w:val="0"/>
      <w:marBottom w:val="0"/>
      <w:divBdr>
        <w:top w:val="none" w:sz="0" w:space="0" w:color="auto"/>
        <w:left w:val="none" w:sz="0" w:space="0" w:color="auto"/>
        <w:bottom w:val="none" w:sz="0" w:space="0" w:color="auto"/>
        <w:right w:val="none" w:sz="0" w:space="0" w:color="auto"/>
      </w:divBdr>
    </w:div>
    <w:div w:id="934826505">
      <w:bodyDiv w:val="1"/>
      <w:marLeft w:val="0"/>
      <w:marRight w:val="0"/>
      <w:marTop w:val="0"/>
      <w:marBottom w:val="0"/>
      <w:divBdr>
        <w:top w:val="none" w:sz="0" w:space="0" w:color="auto"/>
        <w:left w:val="none" w:sz="0" w:space="0" w:color="auto"/>
        <w:bottom w:val="none" w:sz="0" w:space="0" w:color="auto"/>
        <w:right w:val="none" w:sz="0" w:space="0" w:color="auto"/>
      </w:divBdr>
    </w:div>
    <w:div w:id="1063484446">
      <w:bodyDiv w:val="1"/>
      <w:marLeft w:val="0"/>
      <w:marRight w:val="0"/>
      <w:marTop w:val="0"/>
      <w:marBottom w:val="0"/>
      <w:divBdr>
        <w:top w:val="none" w:sz="0" w:space="0" w:color="auto"/>
        <w:left w:val="none" w:sz="0" w:space="0" w:color="auto"/>
        <w:bottom w:val="none" w:sz="0" w:space="0" w:color="auto"/>
        <w:right w:val="none" w:sz="0" w:space="0" w:color="auto"/>
      </w:divBdr>
    </w:div>
    <w:div w:id="1110004064">
      <w:bodyDiv w:val="1"/>
      <w:marLeft w:val="0"/>
      <w:marRight w:val="0"/>
      <w:marTop w:val="0"/>
      <w:marBottom w:val="0"/>
      <w:divBdr>
        <w:top w:val="none" w:sz="0" w:space="0" w:color="auto"/>
        <w:left w:val="none" w:sz="0" w:space="0" w:color="auto"/>
        <w:bottom w:val="none" w:sz="0" w:space="0" w:color="auto"/>
        <w:right w:val="none" w:sz="0" w:space="0" w:color="auto"/>
      </w:divBdr>
    </w:div>
    <w:div w:id="1144855162">
      <w:bodyDiv w:val="1"/>
      <w:marLeft w:val="0"/>
      <w:marRight w:val="0"/>
      <w:marTop w:val="0"/>
      <w:marBottom w:val="0"/>
      <w:divBdr>
        <w:top w:val="none" w:sz="0" w:space="0" w:color="auto"/>
        <w:left w:val="none" w:sz="0" w:space="0" w:color="auto"/>
        <w:bottom w:val="none" w:sz="0" w:space="0" w:color="auto"/>
        <w:right w:val="none" w:sz="0" w:space="0" w:color="auto"/>
      </w:divBdr>
    </w:div>
    <w:div w:id="1236667124">
      <w:bodyDiv w:val="1"/>
      <w:marLeft w:val="0"/>
      <w:marRight w:val="0"/>
      <w:marTop w:val="0"/>
      <w:marBottom w:val="0"/>
      <w:divBdr>
        <w:top w:val="none" w:sz="0" w:space="0" w:color="auto"/>
        <w:left w:val="none" w:sz="0" w:space="0" w:color="auto"/>
        <w:bottom w:val="none" w:sz="0" w:space="0" w:color="auto"/>
        <w:right w:val="none" w:sz="0" w:space="0" w:color="auto"/>
      </w:divBdr>
    </w:div>
    <w:div w:id="1789935088">
      <w:bodyDiv w:val="1"/>
      <w:marLeft w:val="0"/>
      <w:marRight w:val="0"/>
      <w:marTop w:val="0"/>
      <w:marBottom w:val="0"/>
      <w:divBdr>
        <w:top w:val="none" w:sz="0" w:space="0" w:color="auto"/>
        <w:left w:val="none" w:sz="0" w:space="0" w:color="auto"/>
        <w:bottom w:val="none" w:sz="0" w:space="0" w:color="auto"/>
        <w:right w:val="none" w:sz="0" w:space="0" w:color="auto"/>
      </w:divBdr>
    </w:div>
    <w:div w:id="19128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2035</Words>
  <Characters>13813</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2024101785 pkt. 4.2, 4.3, 4.6, 4.8, 4.9, 5.2, 6.5</dc:description>
  <cp:lastModifiedBy>Lea Daugaard Kristiansen</cp:lastModifiedBy>
  <cp:revision>3</cp:revision>
  <cp:lastPrinted>2012-08-22T08:53:00Z</cp:lastPrinted>
  <dcterms:created xsi:type="dcterms:W3CDTF">2025-04-02T08:26:00Z</dcterms:created>
  <dcterms:modified xsi:type="dcterms:W3CDTF">2025-04-02T08:29:00Z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