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590" w:rsidRDefault="00C26590" w:rsidP="00C26590">
      <w:pPr>
        <w:rPr>
          <w:sz w:val="24"/>
        </w:rPr>
      </w:pPr>
      <w:bookmarkStart w:id="0" w:name="_GoBack"/>
      <w:bookmarkEnd w:id="0"/>
      <w:r>
        <w:rPr>
          <w:noProof/>
          <w:sz w:val="24"/>
          <w:lang w:eastAsia="da-DK"/>
        </w:rPr>
        <w:drawing>
          <wp:inline distT="0" distB="0" distL="0" distR="0" wp14:anchorId="3D1239A2" wp14:editId="7F39C368">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C26590" w:rsidRDefault="00C26590" w:rsidP="00C26590">
      <w:pPr>
        <w:pStyle w:val="Titel"/>
        <w:tabs>
          <w:tab w:val="right" w:pos="9356"/>
        </w:tabs>
        <w:jc w:val="left"/>
        <w:rPr>
          <w:b w:val="0"/>
          <w:sz w:val="23"/>
          <w:lang w:eastAsia="en-US"/>
        </w:rPr>
      </w:pPr>
      <w:r>
        <w:rPr>
          <w:b w:val="0"/>
          <w:sz w:val="23"/>
          <w:lang w:eastAsia="en-US"/>
        </w:rPr>
        <w:t xml:space="preserve"> </w:t>
      </w:r>
    </w:p>
    <w:p w:rsidR="00C26590" w:rsidRPr="0093258A" w:rsidRDefault="00C26590" w:rsidP="00C26590">
      <w:pPr>
        <w:pStyle w:val="Titel"/>
        <w:tabs>
          <w:tab w:val="right" w:pos="9356"/>
        </w:tabs>
        <w:jc w:val="left"/>
        <w:rPr>
          <w:szCs w:val="24"/>
        </w:rPr>
      </w:pPr>
      <w:r>
        <w:rPr>
          <w:b w:val="0"/>
          <w:sz w:val="23"/>
          <w:lang w:eastAsia="en-US"/>
        </w:rPr>
        <w:tab/>
      </w:r>
      <w:r w:rsidR="00565241">
        <w:rPr>
          <w:szCs w:val="24"/>
        </w:rPr>
        <w:t>17</w:t>
      </w:r>
      <w:r>
        <w:rPr>
          <w:szCs w:val="24"/>
        </w:rPr>
        <w:t xml:space="preserve">. </w:t>
      </w:r>
      <w:r w:rsidR="00565241">
        <w:rPr>
          <w:szCs w:val="24"/>
        </w:rPr>
        <w:t>februar</w:t>
      </w:r>
      <w:r>
        <w:rPr>
          <w:szCs w:val="24"/>
        </w:rPr>
        <w:t xml:space="preserve"> 20</w:t>
      </w:r>
      <w:r w:rsidR="00565241">
        <w:rPr>
          <w:szCs w:val="24"/>
        </w:rPr>
        <w:t>20</w:t>
      </w:r>
    </w:p>
    <w:p w:rsidR="00C26590" w:rsidRDefault="00C26590" w:rsidP="00C26590">
      <w:pPr>
        <w:pStyle w:val="Titel"/>
        <w:tabs>
          <w:tab w:val="left" w:pos="8222"/>
        </w:tabs>
        <w:jc w:val="left"/>
        <w:rPr>
          <w:b w:val="0"/>
        </w:rPr>
      </w:pPr>
    </w:p>
    <w:p w:rsidR="00C26590" w:rsidRPr="00EC0B9B" w:rsidRDefault="00C26590" w:rsidP="00C26590">
      <w:pPr>
        <w:jc w:val="center"/>
        <w:rPr>
          <w:b/>
          <w:sz w:val="24"/>
          <w:szCs w:val="24"/>
        </w:rPr>
      </w:pPr>
      <w:r w:rsidRPr="00EC0B9B">
        <w:rPr>
          <w:b/>
          <w:sz w:val="24"/>
          <w:szCs w:val="24"/>
        </w:rPr>
        <w:t>PRODUKTRESUMÉ</w:t>
      </w:r>
    </w:p>
    <w:p w:rsidR="00C26590" w:rsidRPr="00EC0B9B" w:rsidRDefault="00C26590" w:rsidP="00C26590">
      <w:pPr>
        <w:jc w:val="center"/>
        <w:rPr>
          <w:b/>
          <w:sz w:val="24"/>
          <w:szCs w:val="24"/>
        </w:rPr>
      </w:pPr>
    </w:p>
    <w:p w:rsidR="00C26590" w:rsidRPr="00EC0B9B" w:rsidRDefault="00C26590" w:rsidP="00C26590">
      <w:pPr>
        <w:jc w:val="center"/>
        <w:rPr>
          <w:b/>
          <w:sz w:val="24"/>
          <w:szCs w:val="24"/>
        </w:rPr>
      </w:pPr>
      <w:r w:rsidRPr="00EC0B9B">
        <w:rPr>
          <w:b/>
          <w:sz w:val="24"/>
          <w:szCs w:val="24"/>
        </w:rPr>
        <w:t>for</w:t>
      </w:r>
    </w:p>
    <w:p w:rsidR="00C26590" w:rsidRPr="00EC0B9B" w:rsidRDefault="00C26590" w:rsidP="00C26590">
      <w:pPr>
        <w:jc w:val="center"/>
        <w:rPr>
          <w:b/>
          <w:sz w:val="24"/>
          <w:szCs w:val="24"/>
        </w:rPr>
      </w:pPr>
    </w:p>
    <w:p w:rsidR="00C26590" w:rsidRPr="0049104B" w:rsidRDefault="00C26590" w:rsidP="00C26590">
      <w:pPr>
        <w:jc w:val="center"/>
        <w:rPr>
          <w:b/>
          <w:sz w:val="24"/>
          <w:szCs w:val="24"/>
        </w:rPr>
      </w:pPr>
      <w:r>
        <w:rPr>
          <w:b/>
          <w:sz w:val="24"/>
          <w:szCs w:val="24"/>
        </w:rPr>
        <w:t>Promixin, pulver til infusionsvæske, opløsning</w:t>
      </w:r>
    </w:p>
    <w:p w:rsidR="00C26590" w:rsidRPr="00EC0B9B" w:rsidRDefault="00C26590" w:rsidP="00C26590">
      <w:pPr>
        <w:jc w:val="both"/>
        <w:rPr>
          <w:sz w:val="24"/>
          <w:szCs w:val="24"/>
        </w:rPr>
      </w:pPr>
    </w:p>
    <w:p w:rsidR="00C26590" w:rsidRPr="00C7350F" w:rsidRDefault="00C26590" w:rsidP="00C26590">
      <w:pPr>
        <w:ind w:left="851" w:hanging="851"/>
        <w:jc w:val="both"/>
        <w:rPr>
          <w:sz w:val="24"/>
          <w:szCs w:val="24"/>
        </w:rPr>
      </w:pPr>
    </w:p>
    <w:p w:rsidR="00C26590" w:rsidRPr="00C7350F" w:rsidRDefault="00C26590" w:rsidP="00C26590">
      <w:pPr>
        <w:numPr>
          <w:ilvl w:val="0"/>
          <w:numId w:val="1"/>
        </w:numPr>
        <w:tabs>
          <w:tab w:val="clear" w:pos="855"/>
        </w:tabs>
        <w:ind w:left="851" w:hanging="851"/>
        <w:rPr>
          <w:b/>
          <w:sz w:val="24"/>
          <w:szCs w:val="24"/>
        </w:rPr>
      </w:pPr>
      <w:r w:rsidRPr="00C7350F">
        <w:rPr>
          <w:b/>
          <w:sz w:val="24"/>
          <w:szCs w:val="24"/>
        </w:rPr>
        <w:t>D.SP.NR.</w:t>
      </w:r>
    </w:p>
    <w:p w:rsidR="00C26590" w:rsidRPr="00C7350F" w:rsidRDefault="00C26590" w:rsidP="00C26590">
      <w:pPr>
        <w:ind w:left="851" w:hanging="851"/>
        <w:rPr>
          <w:sz w:val="24"/>
          <w:szCs w:val="24"/>
        </w:rPr>
      </w:pPr>
      <w:r w:rsidRPr="00C7350F">
        <w:rPr>
          <w:sz w:val="24"/>
          <w:szCs w:val="24"/>
        </w:rPr>
        <w:tab/>
        <w:t>22142</w:t>
      </w:r>
    </w:p>
    <w:p w:rsidR="00C26590" w:rsidRPr="00C7350F" w:rsidRDefault="00C26590" w:rsidP="00C26590">
      <w:pPr>
        <w:ind w:left="851" w:hanging="851"/>
        <w:rPr>
          <w:sz w:val="24"/>
          <w:szCs w:val="24"/>
        </w:rPr>
      </w:pPr>
    </w:p>
    <w:p w:rsidR="00C26590" w:rsidRPr="00C7350F" w:rsidRDefault="00C26590" w:rsidP="00C26590">
      <w:pPr>
        <w:numPr>
          <w:ilvl w:val="0"/>
          <w:numId w:val="1"/>
        </w:numPr>
        <w:tabs>
          <w:tab w:val="clear" w:pos="855"/>
        </w:tabs>
        <w:ind w:left="851" w:hanging="851"/>
        <w:rPr>
          <w:b/>
          <w:sz w:val="24"/>
          <w:szCs w:val="24"/>
        </w:rPr>
      </w:pPr>
      <w:r w:rsidRPr="00C7350F">
        <w:rPr>
          <w:b/>
          <w:sz w:val="24"/>
          <w:szCs w:val="24"/>
        </w:rPr>
        <w:t>LÆGEMIDLETS NAVN</w:t>
      </w:r>
    </w:p>
    <w:p w:rsidR="00C26590" w:rsidRPr="00C7350F" w:rsidRDefault="00C26590" w:rsidP="00C26590">
      <w:pPr>
        <w:ind w:left="851" w:hanging="851"/>
        <w:rPr>
          <w:sz w:val="24"/>
          <w:szCs w:val="24"/>
        </w:rPr>
      </w:pPr>
      <w:r w:rsidRPr="00C7350F">
        <w:rPr>
          <w:sz w:val="24"/>
          <w:szCs w:val="24"/>
        </w:rPr>
        <w:tab/>
        <w:t>Promixin</w:t>
      </w:r>
    </w:p>
    <w:p w:rsidR="00C26590" w:rsidRPr="00C7350F" w:rsidRDefault="00C26590" w:rsidP="00C26590">
      <w:pPr>
        <w:ind w:left="851" w:hanging="851"/>
        <w:rPr>
          <w:sz w:val="24"/>
          <w:szCs w:val="24"/>
        </w:rPr>
      </w:pPr>
      <w:r w:rsidRPr="00C7350F">
        <w:rPr>
          <w:sz w:val="24"/>
          <w:szCs w:val="24"/>
        </w:rPr>
        <w:tab/>
      </w:r>
    </w:p>
    <w:p w:rsidR="00C26590" w:rsidRPr="00C7350F" w:rsidRDefault="00C26590" w:rsidP="00C26590">
      <w:pPr>
        <w:numPr>
          <w:ilvl w:val="0"/>
          <w:numId w:val="1"/>
        </w:numPr>
        <w:tabs>
          <w:tab w:val="clear" w:pos="855"/>
        </w:tabs>
        <w:ind w:left="851" w:hanging="851"/>
        <w:rPr>
          <w:b/>
          <w:sz w:val="24"/>
          <w:szCs w:val="24"/>
        </w:rPr>
      </w:pPr>
      <w:r w:rsidRPr="00C7350F">
        <w:rPr>
          <w:b/>
          <w:sz w:val="24"/>
          <w:szCs w:val="24"/>
        </w:rPr>
        <w:t>KVALITATIV OG KVANTITATIV SAMMENSÆTNING</w:t>
      </w:r>
    </w:p>
    <w:p w:rsidR="00C26590" w:rsidRPr="00C7350F" w:rsidRDefault="00C26590" w:rsidP="00C26590">
      <w:pPr>
        <w:ind w:left="851" w:hanging="851"/>
        <w:rPr>
          <w:sz w:val="24"/>
          <w:szCs w:val="24"/>
        </w:rPr>
      </w:pPr>
      <w:r w:rsidRPr="00C7350F">
        <w:rPr>
          <w:sz w:val="24"/>
          <w:szCs w:val="24"/>
        </w:rPr>
        <w:tab/>
        <w:t>Hvert hætteglas indeholder 1 million internationale enheder (</w:t>
      </w:r>
      <w:r>
        <w:rPr>
          <w:sz w:val="24"/>
          <w:szCs w:val="24"/>
        </w:rPr>
        <w:t>IE</w:t>
      </w:r>
      <w:r w:rsidRPr="00C7350F">
        <w:rPr>
          <w:sz w:val="24"/>
          <w:szCs w:val="24"/>
        </w:rPr>
        <w:t>), som svarer til cirka 80 mg colistimethatnatrium.</w:t>
      </w:r>
    </w:p>
    <w:p w:rsidR="00C26590" w:rsidRPr="00C7350F" w:rsidRDefault="00C26590" w:rsidP="00C26590">
      <w:pPr>
        <w:ind w:left="851" w:hanging="851"/>
        <w:rPr>
          <w:sz w:val="24"/>
          <w:szCs w:val="24"/>
        </w:rPr>
      </w:pPr>
    </w:p>
    <w:p w:rsidR="00C26590" w:rsidRPr="00C7350F" w:rsidRDefault="00C26590" w:rsidP="00C26590">
      <w:pPr>
        <w:numPr>
          <w:ilvl w:val="0"/>
          <w:numId w:val="1"/>
        </w:numPr>
        <w:tabs>
          <w:tab w:val="clear" w:pos="855"/>
        </w:tabs>
        <w:ind w:left="851" w:hanging="851"/>
        <w:rPr>
          <w:b/>
          <w:sz w:val="24"/>
          <w:szCs w:val="24"/>
        </w:rPr>
      </w:pPr>
      <w:r w:rsidRPr="00C7350F">
        <w:rPr>
          <w:b/>
          <w:sz w:val="24"/>
          <w:szCs w:val="24"/>
        </w:rPr>
        <w:t>LÆGEMIDDELFORM</w:t>
      </w:r>
    </w:p>
    <w:p w:rsidR="00C26590" w:rsidRPr="00C7350F" w:rsidRDefault="00C26590" w:rsidP="00C26590">
      <w:pPr>
        <w:ind w:left="851" w:hanging="851"/>
        <w:rPr>
          <w:sz w:val="24"/>
          <w:szCs w:val="24"/>
        </w:rPr>
      </w:pPr>
      <w:r w:rsidRPr="00C7350F">
        <w:rPr>
          <w:sz w:val="24"/>
          <w:szCs w:val="24"/>
        </w:rPr>
        <w:tab/>
        <w:t xml:space="preserve">Pulver til infusionsvæske, opløsning. </w:t>
      </w:r>
    </w:p>
    <w:p w:rsidR="00C26590" w:rsidRPr="00C7350F" w:rsidRDefault="00C26590" w:rsidP="00C26590">
      <w:pPr>
        <w:ind w:left="851"/>
        <w:rPr>
          <w:sz w:val="24"/>
          <w:szCs w:val="24"/>
        </w:rPr>
      </w:pPr>
      <w:r w:rsidRPr="00C7350F">
        <w:rPr>
          <w:sz w:val="24"/>
          <w:szCs w:val="24"/>
        </w:rPr>
        <w:t>Hvidt til næsten hvidt pulver.</w:t>
      </w:r>
    </w:p>
    <w:p w:rsidR="00C26590" w:rsidRPr="00C7350F" w:rsidRDefault="00C26590" w:rsidP="00C26590">
      <w:pPr>
        <w:ind w:left="851" w:hanging="851"/>
        <w:rPr>
          <w:sz w:val="24"/>
          <w:szCs w:val="24"/>
        </w:rPr>
      </w:pPr>
    </w:p>
    <w:p w:rsidR="00C26590" w:rsidRPr="00C7350F" w:rsidRDefault="00C26590" w:rsidP="00C26590">
      <w:pPr>
        <w:ind w:left="851" w:hanging="851"/>
        <w:rPr>
          <w:sz w:val="24"/>
          <w:szCs w:val="24"/>
        </w:rPr>
      </w:pPr>
    </w:p>
    <w:p w:rsidR="00C26590" w:rsidRPr="00C7350F" w:rsidRDefault="00C26590" w:rsidP="00C26590">
      <w:pPr>
        <w:numPr>
          <w:ilvl w:val="0"/>
          <w:numId w:val="1"/>
        </w:numPr>
        <w:tabs>
          <w:tab w:val="clear" w:pos="855"/>
        </w:tabs>
        <w:ind w:left="851" w:hanging="851"/>
        <w:rPr>
          <w:b/>
          <w:sz w:val="24"/>
          <w:szCs w:val="24"/>
        </w:rPr>
      </w:pPr>
      <w:r w:rsidRPr="00C7350F">
        <w:rPr>
          <w:b/>
          <w:sz w:val="24"/>
          <w:szCs w:val="24"/>
        </w:rPr>
        <w:t>KLINISKE OPLYSNINGER</w:t>
      </w:r>
    </w:p>
    <w:p w:rsidR="00C26590" w:rsidRPr="00C7350F" w:rsidRDefault="00C26590" w:rsidP="00C26590">
      <w:pPr>
        <w:ind w:left="851" w:hanging="851"/>
        <w:rPr>
          <w:b/>
          <w:sz w:val="24"/>
          <w:szCs w:val="24"/>
        </w:rPr>
      </w:pPr>
    </w:p>
    <w:p w:rsidR="00C26590" w:rsidRPr="00C7350F" w:rsidRDefault="00C26590" w:rsidP="00C26590">
      <w:pPr>
        <w:numPr>
          <w:ilvl w:val="1"/>
          <w:numId w:val="1"/>
        </w:numPr>
        <w:tabs>
          <w:tab w:val="clear" w:pos="855"/>
        </w:tabs>
        <w:ind w:left="851" w:hanging="851"/>
        <w:rPr>
          <w:b/>
          <w:sz w:val="24"/>
          <w:szCs w:val="24"/>
          <w:u w:val="single"/>
        </w:rPr>
      </w:pPr>
      <w:r w:rsidRPr="00C7350F">
        <w:rPr>
          <w:b/>
          <w:sz w:val="24"/>
          <w:szCs w:val="24"/>
        </w:rPr>
        <w:t>Terapeutiske indikationer</w:t>
      </w:r>
    </w:p>
    <w:p w:rsidR="00C26590" w:rsidRPr="00A67439" w:rsidRDefault="00C26590" w:rsidP="00C26590">
      <w:pPr>
        <w:ind w:left="851"/>
        <w:rPr>
          <w:sz w:val="24"/>
          <w:szCs w:val="24"/>
          <w:lang w:eastAsia="da-DK"/>
        </w:rPr>
      </w:pPr>
      <w:r w:rsidRPr="00A67439">
        <w:rPr>
          <w:sz w:val="24"/>
          <w:szCs w:val="24"/>
        </w:rPr>
        <w:t xml:space="preserve">Promixin er indiceret behandling af alvorlige infektioner forårsaget af udvalgte aerobe, gramnegative patogener hos voksne og børn, herunder nyfødte, med begrænsede behandlingsmuligheder (se pkt. 4.2, 4.4, 4.8 og 5.1). </w:t>
      </w:r>
    </w:p>
    <w:p w:rsidR="00C26590" w:rsidRPr="00A67439" w:rsidRDefault="00C26590" w:rsidP="00C26590">
      <w:pPr>
        <w:ind w:left="851"/>
        <w:rPr>
          <w:sz w:val="24"/>
          <w:szCs w:val="24"/>
        </w:rPr>
      </w:pPr>
      <w:r w:rsidRPr="00A67439">
        <w:rPr>
          <w:sz w:val="24"/>
          <w:szCs w:val="24"/>
        </w:rPr>
        <w:t xml:space="preserve"> </w:t>
      </w:r>
    </w:p>
    <w:p w:rsidR="00C26590" w:rsidRPr="00A67439" w:rsidRDefault="00C26590" w:rsidP="00C26590">
      <w:pPr>
        <w:ind w:left="851"/>
        <w:rPr>
          <w:sz w:val="24"/>
          <w:szCs w:val="24"/>
        </w:rPr>
      </w:pPr>
      <w:r w:rsidRPr="00A67439">
        <w:rPr>
          <w:sz w:val="24"/>
          <w:szCs w:val="24"/>
        </w:rPr>
        <w:t>Der skal tages hensyn til de officielle retningslinjer for hensigtsmæssig anvendelse af antibakterielle midler.</w:t>
      </w:r>
    </w:p>
    <w:p w:rsidR="00C26590" w:rsidRPr="00A67439" w:rsidRDefault="00C26590" w:rsidP="00C26590">
      <w:pPr>
        <w:ind w:left="851" w:hanging="851"/>
        <w:rPr>
          <w:sz w:val="24"/>
          <w:szCs w:val="24"/>
        </w:rPr>
      </w:pPr>
    </w:p>
    <w:p w:rsidR="00C26590" w:rsidRPr="00C7350F" w:rsidRDefault="00C26590" w:rsidP="00C26590">
      <w:pPr>
        <w:numPr>
          <w:ilvl w:val="1"/>
          <w:numId w:val="1"/>
        </w:numPr>
        <w:tabs>
          <w:tab w:val="clear" w:pos="855"/>
        </w:tabs>
        <w:ind w:left="851" w:hanging="851"/>
        <w:rPr>
          <w:b/>
          <w:sz w:val="24"/>
          <w:szCs w:val="24"/>
        </w:rPr>
      </w:pPr>
      <w:r w:rsidRPr="00C7350F">
        <w:rPr>
          <w:b/>
          <w:sz w:val="24"/>
          <w:szCs w:val="24"/>
        </w:rPr>
        <w:t>Dosering og indgivelsesmåde</w:t>
      </w:r>
    </w:p>
    <w:p w:rsidR="00C26590" w:rsidRPr="00A67439" w:rsidRDefault="00C26590" w:rsidP="00C26590">
      <w:pPr>
        <w:tabs>
          <w:tab w:val="left" w:pos="851"/>
        </w:tabs>
        <w:ind w:left="851"/>
        <w:rPr>
          <w:sz w:val="24"/>
          <w:szCs w:val="24"/>
          <w:lang w:eastAsia="da-DK"/>
        </w:rPr>
      </w:pPr>
      <w:r w:rsidRPr="00A67439">
        <w:rPr>
          <w:sz w:val="24"/>
          <w:szCs w:val="24"/>
        </w:rPr>
        <w:t xml:space="preserve">Den administrerede dosis og behandlingsvarigheden skal fastsættes under hensyntagen til infektionens sværhedsgrad samt den kliniske respons. Terapeutiske retningslinjer skal følges.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Dosis udtrykkes i internationale enheder (IE) af colistimethatnatrium (CMS). I slutningen af afsnittet findes en omregningstabel fra CMS i IE til mg CMS samt til mg colistinbase-aktivitet (CBA). </w:t>
      </w:r>
    </w:p>
    <w:p w:rsidR="00C26590" w:rsidRDefault="00C26590" w:rsidP="00C26590">
      <w:pPr>
        <w:tabs>
          <w:tab w:val="left" w:pos="851"/>
        </w:tabs>
        <w:ind w:left="851"/>
        <w:rPr>
          <w:sz w:val="24"/>
          <w:szCs w:val="24"/>
        </w:rPr>
      </w:pPr>
    </w:p>
    <w:p w:rsidR="00C26590"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u w:val="single"/>
        </w:rPr>
      </w:pPr>
      <w:r w:rsidRPr="00A67439">
        <w:rPr>
          <w:sz w:val="24"/>
          <w:szCs w:val="24"/>
          <w:u w:val="single"/>
        </w:rPr>
        <w:t xml:space="preserve">Dosering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Følgende dosisanbefalinger er baseret på begrænsede populationsfarmakokinetiske data hos kritisk syge patienter (se pkt. 4.4):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i/>
          <w:iCs/>
          <w:sz w:val="24"/>
          <w:szCs w:val="24"/>
        </w:rPr>
      </w:pPr>
      <w:r w:rsidRPr="00A67439">
        <w:rPr>
          <w:i/>
          <w:iCs/>
          <w:sz w:val="24"/>
          <w:szCs w:val="24"/>
        </w:rPr>
        <w:t xml:space="preserve">Voksne og unge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Vedligeholdelsesdosis 9 MIE/døgn fordelt på 2-3 doser.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Patienter, der er kritisk syge, skal have administreret en initialdosis på 9 MIE. </w:t>
      </w:r>
    </w:p>
    <w:p w:rsidR="00C26590" w:rsidRPr="00A67439" w:rsidRDefault="00C26590" w:rsidP="00C26590">
      <w:pPr>
        <w:tabs>
          <w:tab w:val="left" w:pos="851"/>
        </w:tabs>
        <w:ind w:left="851"/>
        <w:rPr>
          <w:sz w:val="24"/>
          <w:szCs w:val="24"/>
        </w:rPr>
      </w:pPr>
      <w:r w:rsidRPr="00A67439">
        <w:rPr>
          <w:sz w:val="24"/>
          <w:szCs w:val="24"/>
        </w:rPr>
        <w:t xml:space="preserve">Det mest hensigtsmæssige tidsinterval til første vedligeholdelsesdosis er ikke blevet fastlagt.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Modellering indikerer, at initial- og vedligeholdelsesdoser på op til 12 MIE i nogle tilfælde kan være nødvendige til patienter med god nyrefunktion. Den kliniske erfaring med sådanne doser er dog yderst begrænset, og sikkerheden er ikke blevet fastlagt.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Initialdosen er passende til patienter med normal og nedsat nyrefunktion, herunder patienter, der er i nyreerstatningsbehandling.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i/>
          <w:iCs/>
          <w:sz w:val="24"/>
          <w:szCs w:val="24"/>
        </w:rPr>
        <w:t xml:space="preserve">Nedsat nyrefunktion </w:t>
      </w:r>
    </w:p>
    <w:p w:rsidR="00C26590" w:rsidRPr="00A67439" w:rsidRDefault="00C26590" w:rsidP="00C26590">
      <w:pPr>
        <w:tabs>
          <w:tab w:val="left" w:pos="851"/>
        </w:tabs>
        <w:ind w:left="851"/>
        <w:rPr>
          <w:sz w:val="24"/>
          <w:szCs w:val="24"/>
        </w:rPr>
      </w:pPr>
      <w:r w:rsidRPr="00A67439">
        <w:rPr>
          <w:sz w:val="24"/>
          <w:szCs w:val="24"/>
        </w:rPr>
        <w:t xml:space="preserve">Dosisjustering er nødvendig ved nedsat nyrefunktion, men der foreligger kun meget begrænsede farmakokinetiske data fra patienter med nedsat nyrefunktion.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Følgende dosisjusteringer er vejledende forslag.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Det anbefales, at dosis reduceres hos patienter med kreatininclearance &lt; 50 mL/min: Det anbefales, at døgndosis fordeles på 2 doser.</w:t>
      </w:r>
    </w:p>
    <w:p w:rsidR="00C26590" w:rsidRPr="00A67439" w:rsidRDefault="00C26590" w:rsidP="00C26590">
      <w:pPr>
        <w:tabs>
          <w:tab w:val="left" w:pos="851"/>
        </w:tabs>
        <w:ind w:left="851"/>
        <w:rPr>
          <w:sz w:val="24"/>
          <w:szCs w:val="24"/>
        </w:rPr>
      </w:pPr>
    </w:p>
    <w:p w:rsidR="00C26590" w:rsidRPr="00A67439" w:rsidRDefault="00C26590" w:rsidP="00C26590">
      <w:pPr>
        <w:ind w:left="720"/>
        <w:rPr>
          <w:sz w:val="24"/>
          <w:szCs w:val="24"/>
        </w:rPr>
      </w:pPr>
    </w:p>
    <w:p w:rsidR="00C26590" w:rsidRPr="00A67439" w:rsidRDefault="00C26590" w:rsidP="00C26590">
      <w:pPr>
        <w:ind w:left="720"/>
        <w:rPr>
          <w:sz w:val="24"/>
          <w:szCs w:val="24"/>
        </w:rPr>
      </w:pPr>
    </w:p>
    <w:tbl>
      <w:tblPr>
        <w:tblW w:w="5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9"/>
        <w:gridCol w:w="2693"/>
      </w:tblGrid>
      <w:tr w:rsidR="00C26590" w:rsidRPr="00A67439" w:rsidTr="003B4BCE">
        <w:trPr>
          <w:trHeight w:hRule="exact" w:val="567"/>
          <w:jc w:val="center"/>
        </w:trPr>
        <w:tc>
          <w:tcPr>
            <w:tcW w:w="2809"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jc w:val="center"/>
              <w:rPr>
                <w:b/>
                <w:sz w:val="24"/>
                <w:szCs w:val="24"/>
                <w:lang w:val="en-GB" w:eastAsia="en-GB"/>
              </w:rPr>
            </w:pPr>
            <w:r w:rsidRPr="00A67439">
              <w:rPr>
                <w:b/>
                <w:sz w:val="24"/>
                <w:szCs w:val="24"/>
              </w:rPr>
              <w:t>Kreatininclearance</w:t>
            </w:r>
          </w:p>
          <w:p w:rsidR="00C26590" w:rsidRPr="00A67439" w:rsidRDefault="00C26590" w:rsidP="003B4BCE">
            <w:pPr>
              <w:jc w:val="center"/>
              <w:rPr>
                <w:sz w:val="24"/>
                <w:szCs w:val="24"/>
                <w:lang w:val="en-GB" w:eastAsia="en-GB"/>
              </w:rPr>
            </w:pPr>
            <w:r w:rsidRPr="00A67439">
              <w:rPr>
                <w:b/>
                <w:sz w:val="24"/>
                <w:szCs w:val="24"/>
              </w:rPr>
              <w:t>(mL/min)</w:t>
            </w:r>
            <w:r w:rsidRPr="00A67439">
              <w:rPr>
                <w:sz w:val="24"/>
                <w:szCs w:val="24"/>
              </w:rPr>
              <w:t xml:space="preserve"> </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jc w:val="center"/>
              <w:rPr>
                <w:b/>
                <w:sz w:val="24"/>
                <w:szCs w:val="24"/>
                <w:lang w:val="en-GB" w:eastAsia="en-GB"/>
              </w:rPr>
            </w:pPr>
            <w:r w:rsidRPr="00A67439">
              <w:rPr>
                <w:b/>
                <w:sz w:val="24"/>
                <w:szCs w:val="24"/>
              </w:rPr>
              <w:t>Døgndosis</w:t>
            </w:r>
          </w:p>
        </w:tc>
      </w:tr>
      <w:tr w:rsidR="00C26590" w:rsidRPr="00A67439" w:rsidTr="003B4BCE">
        <w:trPr>
          <w:trHeight w:hRule="exact" w:val="567"/>
          <w:jc w:val="center"/>
        </w:trPr>
        <w:tc>
          <w:tcPr>
            <w:tcW w:w="2809"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jc w:val="center"/>
              <w:rPr>
                <w:sz w:val="24"/>
                <w:szCs w:val="24"/>
                <w:lang w:val="en-GB" w:eastAsia="en-GB"/>
              </w:rPr>
            </w:pPr>
            <w:r w:rsidRPr="00A67439">
              <w:rPr>
                <w:sz w:val="24"/>
                <w:szCs w:val="24"/>
              </w:rPr>
              <w:t>&lt; 50-30</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jc w:val="center"/>
              <w:rPr>
                <w:sz w:val="24"/>
                <w:szCs w:val="24"/>
                <w:lang w:val="en-GB" w:eastAsia="en-GB"/>
              </w:rPr>
            </w:pPr>
            <w:r w:rsidRPr="00A67439">
              <w:rPr>
                <w:sz w:val="24"/>
                <w:szCs w:val="24"/>
              </w:rPr>
              <w:t>5,5-7,5 MIE</w:t>
            </w:r>
          </w:p>
        </w:tc>
      </w:tr>
      <w:tr w:rsidR="00C26590" w:rsidRPr="00A67439" w:rsidTr="003B4BCE">
        <w:trPr>
          <w:trHeight w:hRule="exact" w:val="567"/>
          <w:jc w:val="center"/>
        </w:trPr>
        <w:tc>
          <w:tcPr>
            <w:tcW w:w="2809"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jc w:val="center"/>
              <w:rPr>
                <w:sz w:val="24"/>
                <w:szCs w:val="24"/>
                <w:lang w:val="en-GB" w:eastAsia="en-GB"/>
              </w:rPr>
            </w:pPr>
            <w:r w:rsidRPr="00A67439">
              <w:rPr>
                <w:sz w:val="24"/>
                <w:szCs w:val="24"/>
              </w:rPr>
              <w:t>&lt; 30-10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jc w:val="center"/>
              <w:rPr>
                <w:sz w:val="24"/>
                <w:szCs w:val="24"/>
                <w:lang w:val="en-GB" w:eastAsia="en-GB"/>
              </w:rPr>
            </w:pPr>
            <w:r w:rsidRPr="00A67439">
              <w:rPr>
                <w:sz w:val="24"/>
                <w:szCs w:val="24"/>
              </w:rPr>
              <w:t>4,5-5,5 MIE</w:t>
            </w:r>
          </w:p>
        </w:tc>
      </w:tr>
      <w:tr w:rsidR="00C26590" w:rsidRPr="00A67439" w:rsidTr="003B4BCE">
        <w:trPr>
          <w:trHeight w:hRule="exact" w:val="567"/>
          <w:jc w:val="center"/>
        </w:trPr>
        <w:tc>
          <w:tcPr>
            <w:tcW w:w="2809"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jc w:val="center"/>
              <w:rPr>
                <w:sz w:val="24"/>
                <w:szCs w:val="24"/>
                <w:lang w:val="en-GB" w:eastAsia="en-GB"/>
              </w:rPr>
            </w:pPr>
            <w:r w:rsidRPr="00A67439">
              <w:rPr>
                <w:sz w:val="24"/>
                <w:szCs w:val="24"/>
              </w:rPr>
              <w:t>&lt; 10</w:t>
            </w:r>
          </w:p>
        </w:tc>
        <w:tc>
          <w:tcPr>
            <w:tcW w:w="2693"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jc w:val="center"/>
              <w:rPr>
                <w:sz w:val="24"/>
                <w:szCs w:val="24"/>
                <w:lang w:val="en-GB" w:eastAsia="en-GB"/>
              </w:rPr>
            </w:pPr>
            <w:r w:rsidRPr="00A67439">
              <w:rPr>
                <w:sz w:val="24"/>
                <w:szCs w:val="24"/>
              </w:rPr>
              <w:t>3,5 MIE</w:t>
            </w:r>
          </w:p>
        </w:tc>
      </w:tr>
    </w:tbl>
    <w:p w:rsidR="00C26590" w:rsidRPr="00A67439" w:rsidRDefault="00C26590" w:rsidP="00C26590">
      <w:pPr>
        <w:ind w:left="720"/>
        <w:jc w:val="center"/>
        <w:rPr>
          <w:sz w:val="24"/>
          <w:szCs w:val="24"/>
          <w:lang w:val="en-GB" w:eastAsia="en-GB"/>
        </w:rPr>
      </w:pPr>
      <w:r w:rsidRPr="00A67439">
        <w:rPr>
          <w:sz w:val="24"/>
          <w:szCs w:val="24"/>
        </w:rPr>
        <w:t>MIE = millioner IE</w:t>
      </w:r>
    </w:p>
    <w:p w:rsidR="00C26590" w:rsidRPr="00A67439" w:rsidRDefault="00C26590" w:rsidP="00C26590">
      <w:pPr>
        <w:ind w:left="720"/>
        <w:rPr>
          <w:sz w:val="24"/>
          <w:szCs w:val="24"/>
          <w:lang w:eastAsia="da-DK"/>
        </w:rPr>
      </w:pPr>
    </w:p>
    <w:p w:rsidR="00C26590" w:rsidRPr="00A67439" w:rsidRDefault="00C26590" w:rsidP="00C26590">
      <w:pPr>
        <w:tabs>
          <w:tab w:val="left" w:pos="851"/>
        </w:tabs>
        <w:ind w:left="851"/>
        <w:rPr>
          <w:sz w:val="24"/>
          <w:szCs w:val="24"/>
        </w:rPr>
      </w:pPr>
      <w:r w:rsidRPr="00A67439">
        <w:rPr>
          <w:sz w:val="24"/>
          <w:szCs w:val="24"/>
        </w:rPr>
        <w:t>Hæmodialyse og kontinuerlig hæmo(dia)filtrering:</w:t>
      </w:r>
    </w:p>
    <w:p w:rsidR="00C26590" w:rsidRPr="00A67439" w:rsidRDefault="00C26590" w:rsidP="00C26590">
      <w:pPr>
        <w:tabs>
          <w:tab w:val="left" w:pos="851"/>
        </w:tabs>
        <w:ind w:left="851"/>
        <w:rPr>
          <w:sz w:val="24"/>
          <w:szCs w:val="24"/>
        </w:rPr>
      </w:pPr>
      <w:r w:rsidRPr="00A67439">
        <w:rPr>
          <w:sz w:val="24"/>
          <w:szCs w:val="24"/>
        </w:rPr>
        <w:t xml:space="preserve">Colistin ser ud til at kunne dialyseres ved traditionel hæmodialyse og kontinuerlig venovenøs hæmo(dia)filtrering (CVVHF, CVVHDF). Der er yderst begrænsede data fra populations-farmakokinetiske studier fra et meget lille antal patienter i nyreerstatningsbehandling. Der kan ikke gives faste dosisanbefalinger. Følgerne regimer bør overvejes: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Hæmodialyse: </w:t>
      </w:r>
    </w:p>
    <w:p w:rsidR="00C26590" w:rsidRPr="00A67439" w:rsidRDefault="00C26590" w:rsidP="00C26590">
      <w:pPr>
        <w:tabs>
          <w:tab w:val="left" w:pos="851"/>
        </w:tabs>
        <w:ind w:left="851"/>
        <w:rPr>
          <w:sz w:val="24"/>
          <w:szCs w:val="24"/>
        </w:rPr>
      </w:pPr>
      <w:r w:rsidRPr="00A67439">
        <w:rPr>
          <w:sz w:val="24"/>
          <w:szCs w:val="24"/>
        </w:rPr>
        <w:t xml:space="preserve">Ikke-HD-dage: 2,25 MIE/døgn (2,2-2,3 MIE/døgn). </w:t>
      </w:r>
    </w:p>
    <w:p w:rsidR="00C26590" w:rsidRPr="00A67439" w:rsidRDefault="00C26590" w:rsidP="00C26590">
      <w:pPr>
        <w:tabs>
          <w:tab w:val="left" w:pos="851"/>
        </w:tabs>
        <w:ind w:left="851"/>
        <w:rPr>
          <w:sz w:val="24"/>
          <w:szCs w:val="24"/>
        </w:rPr>
      </w:pPr>
      <w:r w:rsidRPr="00A67439">
        <w:rPr>
          <w:sz w:val="24"/>
          <w:szCs w:val="24"/>
        </w:rPr>
        <w:t xml:space="preserve">HD-dage: 3 MIE/døgn på hæmodialysedage, givet efter HD-sessionen. </w:t>
      </w:r>
    </w:p>
    <w:p w:rsidR="00C26590" w:rsidRPr="00A67439" w:rsidRDefault="00C26590" w:rsidP="00C26590">
      <w:pPr>
        <w:tabs>
          <w:tab w:val="left" w:pos="851"/>
        </w:tabs>
        <w:ind w:left="851"/>
        <w:rPr>
          <w:sz w:val="24"/>
          <w:szCs w:val="24"/>
        </w:rPr>
      </w:pPr>
      <w:r w:rsidRPr="00A67439">
        <w:rPr>
          <w:sz w:val="24"/>
          <w:szCs w:val="24"/>
        </w:rPr>
        <w:t xml:space="preserve">Det anbefales, at døgndosis fordeles på 2 doser.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CVVHF/ CVVHDF: </w:t>
      </w:r>
    </w:p>
    <w:p w:rsidR="00C26590" w:rsidRPr="00A67439" w:rsidRDefault="00C26590" w:rsidP="00C26590">
      <w:pPr>
        <w:tabs>
          <w:tab w:val="left" w:pos="851"/>
        </w:tabs>
        <w:ind w:left="851"/>
        <w:rPr>
          <w:sz w:val="24"/>
          <w:szCs w:val="24"/>
        </w:rPr>
      </w:pPr>
      <w:r w:rsidRPr="00A67439">
        <w:rPr>
          <w:sz w:val="24"/>
          <w:szCs w:val="24"/>
        </w:rPr>
        <w:t xml:space="preserve">Som hos patienter med normal nyrefunktion. Det anbefales, at døgndosis fordeles på 3 doser.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i/>
          <w:iCs/>
          <w:sz w:val="24"/>
          <w:szCs w:val="24"/>
        </w:rPr>
        <w:t xml:space="preserve">Nedsat leverfunktion </w:t>
      </w:r>
    </w:p>
    <w:p w:rsidR="00C26590" w:rsidRPr="00A67439" w:rsidRDefault="00C26590" w:rsidP="00C26590">
      <w:pPr>
        <w:tabs>
          <w:tab w:val="left" w:pos="851"/>
        </w:tabs>
        <w:ind w:left="851"/>
        <w:rPr>
          <w:sz w:val="24"/>
          <w:szCs w:val="24"/>
        </w:rPr>
      </w:pPr>
      <w:r w:rsidRPr="00A67439">
        <w:rPr>
          <w:sz w:val="24"/>
          <w:szCs w:val="24"/>
        </w:rPr>
        <w:t xml:space="preserve">Der foreligger ingen data fra patienter med nedsat leverfunktion. Der bør udvises forsigtighed ved administrering af colistimethatnatrium til disse patienter.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i/>
          <w:iCs/>
          <w:sz w:val="24"/>
          <w:szCs w:val="24"/>
        </w:rPr>
        <w:t xml:space="preserve">Ældre </w:t>
      </w:r>
    </w:p>
    <w:p w:rsidR="00C26590" w:rsidRPr="00A67439" w:rsidRDefault="00C26590" w:rsidP="00C26590">
      <w:pPr>
        <w:tabs>
          <w:tab w:val="left" w:pos="851"/>
        </w:tabs>
        <w:ind w:left="851"/>
        <w:rPr>
          <w:sz w:val="24"/>
          <w:szCs w:val="24"/>
        </w:rPr>
      </w:pPr>
      <w:r w:rsidRPr="00A67439">
        <w:rPr>
          <w:sz w:val="24"/>
          <w:szCs w:val="24"/>
        </w:rPr>
        <w:t xml:space="preserve">Det vurderes, at dosisjustering ikke er nødvendig til ældre patienter med normal nyrefunktion.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i/>
          <w:iCs/>
          <w:sz w:val="24"/>
          <w:szCs w:val="24"/>
        </w:rPr>
        <w:t xml:space="preserve">Pædiatrisk population </w:t>
      </w:r>
    </w:p>
    <w:p w:rsidR="00C26590" w:rsidRPr="00A67439" w:rsidRDefault="00C26590" w:rsidP="00C26590">
      <w:pPr>
        <w:tabs>
          <w:tab w:val="left" w:pos="851"/>
        </w:tabs>
        <w:ind w:left="851"/>
        <w:rPr>
          <w:b/>
          <w:color w:val="000000"/>
          <w:sz w:val="24"/>
          <w:szCs w:val="24"/>
        </w:rPr>
      </w:pPr>
      <w:r w:rsidRPr="00A67439">
        <w:rPr>
          <w:sz w:val="24"/>
          <w:szCs w:val="24"/>
        </w:rPr>
        <w:t>Data, der understøtter dosisregimet til pædiatriske patienter, er meget begrænsede. Der skal tages hensyn til nyrernes modenhed ved valg af dosis. Dosen bør baseres på fedtfri kropsvægt (LBM).</w:t>
      </w:r>
      <w:r w:rsidRPr="00A67439">
        <w:rPr>
          <w:b/>
          <w:color w:val="000000"/>
          <w:sz w:val="24"/>
          <w:szCs w:val="24"/>
        </w:rPr>
        <w:t xml:space="preserve"> </w:t>
      </w:r>
    </w:p>
    <w:p w:rsidR="00C26590" w:rsidRPr="00A67439" w:rsidRDefault="00C26590" w:rsidP="00C26590">
      <w:pPr>
        <w:tabs>
          <w:tab w:val="left" w:pos="851"/>
        </w:tabs>
        <w:ind w:left="851"/>
        <w:rPr>
          <w:b/>
          <w:color w:val="000000"/>
          <w:sz w:val="24"/>
          <w:szCs w:val="24"/>
        </w:rPr>
      </w:pPr>
    </w:p>
    <w:p w:rsidR="00C26590" w:rsidRPr="00A67439" w:rsidRDefault="00C26590" w:rsidP="00C26590">
      <w:pPr>
        <w:tabs>
          <w:tab w:val="left" w:pos="851"/>
        </w:tabs>
        <w:ind w:left="851"/>
        <w:rPr>
          <w:sz w:val="24"/>
          <w:szCs w:val="24"/>
        </w:rPr>
      </w:pPr>
      <w:r w:rsidRPr="00A67439">
        <w:rPr>
          <w:sz w:val="24"/>
          <w:szCs w:val="24"/>
        </w:rPr>
        <w:t xml:space="preserve">Børn ≤ 40 kg: 75.000-150.000 IE/kg/døgn fordelt på 3 doser.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Til børn med en kropsvægt over 40 kg bør det overvejes at anvende doseringsanbefalingerne til voksne.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Anvendelse af doser &gt; 150.000 IE/kg/døgn er bleveret rapporteret til børn med cystisk fibrose.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Der er ingen data vedrørende brug eller størrelsen af en inialdosis til kritisk syge børn. </w:t>
      </w:r>
    </w:p>
    <w:p w:rsidR="00C26590" w:rsidRPr="00A67439" w:rsidRDefault="00C26590" w:rsidP="00C26590">
      <w:pPr>
        <w:tabs>
          <w:tab w:val="left" w:pos="851"/>
        </w:tabs>
        <w:ind w:left="851"/>
        <w:rPr>
          <w:sz w:val="24"/>
          <w:szCs w:val="24"/>
        </w:rPr>
      </w:pPr>
    </w:p>
    <w:p w:rsidR="00C26590" w:rsidRPr="001F22FF" w:rsidRDefault="00C26590" w:rsidP="00C26590">
      <w:pPr>
        <w:tabs>
          <w:tab w:val="left" w:pos="851"/>
        </w:tabs>
        <w:ind w:left="851"/>
        <w:rPr>
          <w:b/>
          <w:i/>
          <w:iCs/>
          <w:color w:val="000000"/>
          <w:sz w:val="24"/>
          <w:szCs w:val="24"/>
        </w:rPr>
      </w:pPr>
      <w:r w:rsidRPr="001F22FF">
        <w:rPr>
          <w:sz w:val="24"/>
          <w:szCs w:val="24"/>
        </w:rPr>
        <w:t>Der er ikke fastlagt dosisanbefalinger til børn med nedsat nyrefunktion.</w:t>
      </w:r>
      <w:r w:rsidRPr="001F22FF">
        <w:rPr>
          <w:b/>
          <w:i/>
          <w:iCs/>
          <w:color w:val="000000"/>
          <w:sz w:val="24"/>
          <w:szCs w:val="24"/>
        </w:rPr>
        <w:t xml:space="preserve"> </w:t>
      </w:r>
    </w:p>
    <w:p w:rsidR="00C26590" w:rsidRPr="001F22FF" w:rsidRDefault="00C26590" w:rsidP="00C26590">
      <w:pPr>
        <w:tabs>
          <w:tab w:val="left" w:pos="851"/>
        </w:tabs>
        <w:ind w:left="851"/>
        <w:rPr>
          <w:b/>
          <w:i/>
          <w:iCs/>
          <w:color w:val="000000"/>
          <w:sz w:val="24"/>
          <w:szCs w:val="24"/>
        </w:rPr>
      </w:pPr>
    </w:p>
    <w:p w:rsidR="00C26590" w:rsidRPr="001F22FF" w:rsidRDefault="00C26590" w:rsidP="00C26590">
      <w:pPr>
        <w:tabs>
          <w:tab w:val="left" w:pos="851"/>
        </w:tabs>
        <w:ind w:left="851"/>
        <w:rPr>
          <w:i/>
          <w:iCs/>
          <w:sz w:val="24"/>
          <w:szCs w:val="24"/>
          <w:lang w:eastAsia="da-DK"/>
        </w:rPr>
      </w:pPr>
      <w:r w:rsidRPr="001F22FF">
        <w:rPr>
          <w:i/>
          <w:iCs/>
          <w:sz w:val="24"/>
          <w:szCs w:val="24"/>
        </w:rPr>
        <w:t>Intratekal og intraventrikulær administration</w:t>
      </w:r>
    </w:p>
    <w:p w:rsidR="00C26590" w:rsidRPr="001F22FF" w:rsidRDefault="00C26590" w:rsidP="00C26590">
      <w:pPr>
        <w:tabs>
          <w:tab w:val="left" w:pos="851"/>
        </w:tabs>
        <w:ind w:left="851"/>
        <w:rPr>
          <w:sz w:val="24"/>
          <w:szCs w:val="24"/>
        </w:rPr>
      </w:pPr>
      <w:r w:rsidRPr="001F22FF">
        <w:rPr>
          <w:sz w:val="24"/>
          <w:szCs w:val="24"/>
        </w:rPr>
        <w:t xml:space="preserve"> </w:t>
      </w:r>
    </w:p>
    <w:p w:rsidR="00C26590" w:rsidRPr="001F22FF" w:rsidRDefault="00C26590" w:rsidP="00C26590">
      <w:pPr>
        <w:tabs>
          <w:tab w:val="left" w:pos="851"/>
        </w:tabs>
        <w:ind w:left="851"/>
        <w:rPr>
          <w:sz w:val="24"/>
          <w:szCs w:val="24"/>
        </w:rPr>
      </w:pPr>
      <w:r w:rsidRPr="001F22FF">
        <w:rPr>
          <w:sz w:val="24"/>
          <w:szCs w:val="24"/>
        </w:rPr>
        <w:t xml:space="preserve">Følgende dosis, der er baseret på begrænsede data, anbefales til voksne: </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sz w:val="24"/>
          <w:szCs w:val="24"/>
        </w:rPr>
      </w:pPr>
      <w:r w:rsidRPr="001F22FF">
        <w:rPr>
          <w:sz w:val="24"/>
          <w:szCs w:val="24"/>
        </w:rPr>
        <w:t xml:space="preserve">Intraventrikulær administration: 125.000 IE/døgn. </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sz w:val="24"/>
          <w:szCs w:val="24"/>
        </w:rPr>
      </w:pPr>
      <w:r w:rsidRPr="001F22FF">
        <w:rPr>
          <w:sz w:val="24"/>
          <w:szCs w:val="24"/>
        </w:rPr>
        <w:t xml:space="preserve">Intratekalt administrerede doser bør ikke overstige de doser, der anbefales til intraventrikulær brug. </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sz w:val="24"/>
          <w:szCs w:val="24"/>
        </w:rPr>
      </w:pPr>
      <w:r w:rsidRPr="001F22FF">
        <w:rPr>
          <w:sz w:val="24"/>
          <w:szCs w:val="24"/>
        </w:rPr>
        <w:t xml:space="preserve">Der kan ikke laves nogen specifik doseringsanbefaling til børn for intratekale og intraventrikulære administrationsveje. </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sz w:val="24"/>
          <w:szCs w:val="24"/>
          <w:u w:val="single"/>
        </w:rPr>
      </w:pPr>
      <w:r w:rsidRPr="001F22FF">
        <w:rPr>
          <w:sz w:val="24"/>
          <w:szCs w:val="24"/>
          <w:u w:val="single"/>
        </w:rPr>
        <w:t xml:space="preserve">Administration </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sz w:val="24"/>
          <w:szCs w:val="24"/>
        </w:rPr>
      </w:pPr>
      <w:r w:rsidRPr="001F22FF">
        <w:rPr>
          <w:sz w:val="24"/>
          <w:szCs w:val="24"/>
        </w:rPr>
        <w:t xml:space="preserve">Promixin administreres intravenøst som langsom infusion over 30-60 minutter. </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sz w:val="24"/>
          <w:szCs w:val="24"/>
        </w:rPr>
      </w:pPr>
      <w:r w:rsidRPr="001F22FF">
        <w:rPr>
          <w:sz w:val="24"/>
          <w:szCs w:val="24"/>
        </w:rPr>
        <w:t>Den volumen, der administreres ved intratekal eller intraventrikulær anvendelse, må højst være 1 mL.</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sz w:val="24"/>
          <w:szCs w:val="24"/>
        </w:rPr>
      </w:pPr>
      <w:r w:rsidRPr="001F22FF">
        <w:rPr>
          <w:sz w:val="24"/>
          <w:szCs w:val="24"/>
        </w:rPr>
        <w:t xml:space="preserve">Patienter udstyret med en fuldt implanterbar anordning til venøs adgang (TIVAD) kan evt. tåle en injektion på op til 2 MIE i 10 mL administreret over mindst 5 minutter. </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sz w:val="24"/>
          <w:szCs w:val="24"/>
        </w:rPr>
      </w:pPr>
      <w:r w:rsidRPr="001F22FF">
        <w:rPr>
          <w:sz w:val="24"/>
          <w:szCs w:val="24"/>
        </w:rPr>
        <w:t xml:space="preserve">Colistimethatnatrium gennemgår hydrolyse til det aktive stof colistin i vandig opløsning. Ved dosisklargøring skal rekonstitution af den nødvendige dosis foregå ved en strengt aseptisk teknik (se pkt. 6.6), især hvor der skal bruges en kombination af flere hætteglas. </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b/>
          <w:bCs/>
          <w:sz w:val="24"/>
          <w:szCs w:val="24"/>
        </w:rPr>
      </w:pPr>
      <w:r w:rsidRPr="001F22FF">
        <w:rPr>
          <w:b/>
          <w:bCs/>
          <w:sz w:val="24"/>
          <w:szCs w:val="24"/>
        </w:rPr>
        <w:t xml:space="preserve">Dosisomregningstabel: </w:t>
      </w:r>
    </w:p>
    <w:p w:rsidR="00C26590" w:rsidRPr="001F22FF" w:rsidRDefault="00C26590" w:rsidP="00C26590">
      <w:pPr>
        <w:tabs>
          <w:tab w:val="left" w:pos="851"/>
        </w:tabs>
        <w:ind w:left="851"/>
        <w:rPr>
          <w:sz w:val="24"/>
          <w:szCs w:val="24"/>
        </w:rPr>
      </w:pPr>
    </w:p>
    <w:p w:rsidR="00C26590" w:rsidRPr="001F22FF" w:rsidRDefault="00C26590" w:rsidP="00C26590">
      <w:pPr>
        <w:tabs>
          <w:tab w:val="left" w:pos="851"/>
        </w:tabs>
        <w:ind w:left="851"/>
        <w:rPr>
          <w:bCs/>
          <w:color w:val="000000"/>
          <w:sz w:val="24"/>
          <w:szCs w:val="24"/>
        </w:rPr>
      </w:pPr>
      <w:r w:rsidRPr="001F22FF">
        <w:rPr>
          <w:sz w:val="24"/>
          <w:szCs w:val="24"/>
        </w:rPr>
        <w:t>I EU skal dosis af colistimethatnatrium (CMS) angives i internationale enheder (IE) ved ordinering og administration. Præparatetiketten viser antallet af IE pr. hætteglas.</w:t>
      </w:r>
      <w:r w:rsidRPr="001F22FF">
        <w:rPr>
          <w:bCs/>
          <w:color w:val="000000"/>
          <w:sz w:val="24"/>
          <w:szCs w:val="24"/>
        </w:rPr>
        <w:t xml:space="preserve"> </w:t>
      </w:r>
    </w:p>
    <w:p w:rsidR="00C26590" w:rsidRPr="00A67439" w:rsidRDefault="00C26590" w:rsidP="00C26590">
      <w:pPr>
        <w:tabs>
          <w:tab w:val="left" w:pos="851"/>
        </w:tabs>
        <w:ind w:left="851"/>
        <w:rPr>
          <w:sz w:val="24"/>
          <w:szCs w:val="24"/>
        </w:rPr>
      </w:pPr>
    </w:p>
    <w:p w:rsidR="00C26590" w:rsidRPr="00A67439" w:rsidRDefault="00C26590" w:rsidP="00C26590">
      <w:pPr>
        <w:tabs>
          <w:tab w:val="left" w:pos="851"/>
        </w:tabs>
        <w:ind w:left="851"/>
        <w:rPr>
          <w:sz w:val="24"/>
          <w:szCs w:val="24"/>
        </w:rPr>
      </w:pPr>
      <w:r w:rsidRPr="00A67439">
        <w:rPr>
          <w:sz w:val="24"/>
          <w:szCs w:val="24"/>
        </w:rPr>
        <w:t xml:space="preserve">De forskellige termer til at udtrykke dosis i forhold til potens har givet anledning til forvirring og medicineringsfejl. I USA og andre dele af verden angives dosis som milligram colistinbase-aktivitet (mg CBA). </w:t>
      </w:r>
    </w:p>
    <w:p w:rsidR="00C26590" w:rsidRPr="00A67439" w:rsidRDefault="00C26590" w:rsidP="00C26590">
      <w:pPr>
        <w:tabs>
          <w:tab w:val="left" w:pos="851"/>
        </w:tabs>
        <w:ind w:left="851"/>
        <w:rPr>
          <w:sz w:val="24"/>
          <w:szCs w:val="24"/>
        </w:rPr>
      </w:pPr>
    </w:p>
    <w:p w:rsidR="00C26590" w:rsidRPr="00A67439" w:rsidRDefault="00C26590" w:rsidP="00C26590">
      <w:pPr>
        <w:ind w:left="851"/>
        <w:rPr>
          <w:sz w:val="24"/>
          <w:szCs w:val="24"/>
        </w:rPr>
      </w:pPr>
      <w:r w:rsidRPr="00A67439">
        <w:rPr>
          <w:sz w:val="24"/>
          <w:szCs w:val="24"/>
        </w:rPr>
        <w:t xml:space="preserve">Nedenstående omregningstabel er til information, og værdierne skal udelukkende betragtes som nominelle og omtrentlige. </w:t>
      </w:r>
    </w:p>
    <w:p w:rsidR="00C26590" w:rsidRPr="00A67439" w:rsidRDefault="00C26590" w:rsidP="00C26590">
      <w:pPr>
        <w:ind w:left="851" w:hanging="131"/>
        <w:jc w:val="center"/>
        <w:rPr>
          <w:b/>
          <w:sz w:val="24"/>
          <w:szCs w:val="24"/>
          <w:u w:val="single"/>
        </w:rPr>
      </w:pPr>
      <w:r w:rsidRPr="00A67439">
        <w:rPr>
          <w:b/>
          <w:sz w:val="24"/>
          <w:szCs w:val="24"/>
          <w:u w:val="single"/>
        </w:rPr>
        <w:t>CMS-omregningstabel</w:t>
      </w:r>
    </w:p>
    <w:p w:rsidR="00C26590" w:rsidRPr="00A67439" w:rsidRDefault="00C26590" w:rsidP="00C26590">
      <w:pPr>
        <w:ind w:left="851" w:hanging="131"/>
        <w:jc w:val="center"/>
        <w:rPr>
          <w:b/>
          <w:sz w:val="24"/>
          <w:szCs w:val="24"/>
          <w:u w:val="singl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2570"/>
        <w:gridCol w:w="2571"/>
      </w:tblGrid>
      <w:tr w:rsidR="00C26590" w:rsidRPr="00A67439" w:rsidTr="003B4BCE">
        <w:tc>
          <w:tcPr>
            <w:tcW w:w="5140" w:type="dxa"/>
            <w:gridSpan w:val="2"/>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ind w:left="851" w:hanging="131"/>
              <w:jc w:val="center"/>
              <w:rPr>
                <w:b/>
                <w:sz w:val="24"/>
                <w:szCs w:val="24"/>
                <w:lang w:val="en-GB" w:eastAsia="en-GB"/>
              </w:rPr>
            </w:pPr>
            <w:r w:rsidRPr="00A67439">
              <w:rPr>
                <w:b/>
                <w:sz w:val="24"/>
                <w:szCs w:val="24"/>
              </w:rPr>
              <w:t>Potens</w:t>
            </w:r>
          </w:p>
        </w:tc>
        <w:tc>
          <w:tcPr>
            <w:tcW w:w="2571" w:type="dxa"/>
            <w:vMerge w:val="restart"/>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ind w:left="139" w:firstLine="10"/>
              <w:jc w:val="center"/>
              <w:rPr>
                <w:b/>
                <w:sz w:val="24"/>
                <w:szCs w:val="24"/>
                <w:lang w:val="en-GB" w:eastAsia="en-GB"/>
              </w:rPr>
            </w:pPr>
            <w:r w:rsidRPr="00A67439">
              <w:rPr>
                <w:b/>
                <w:sz w:val="24"/>
                <w:szCs w:val="24"/>
              </w:rPr>
              <w:t>≈ masse af CMS (mg)*</w:t>
            </w:r>
          </w:p>
        </w:tc>
      </w:tr>
      <w:tr w:rsidR="00C26590" w:rsidRPr="00A67439" w:rsidTr="003B4BCE">
        <w:tc>
          <w:tcPr>
            <w:tcW w:w="2570"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ind w:left="851" w:hanging="131"/>
              <w:jc w:val="center"/>
              <w:rPr>
                <w:b/>
                <w:sz w:val="24"/>
                <w:szCs w:val="24"/>
                <w:lang w:val="en-GB" w:eastAsia="en-GB"/>
              </w:rPr>
            </w:pPr>
            <w:r w:rsidRPr="00A67439">
              <w:rPr>
                <w:b/>
                <w:sz w:val="24"/>
                <w:szCs w:val="24"/>
              </w:rPr>
              <w:t>IE</w:t>
            </w:r>
          </w:p>
        </w:tc>
        <w:tc>
          <w:tcPr>
            <w:tcW w:w="2570" w:type="dxa"/>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ind w:left="851" w:hanging="131"/>
              <w:jc w:val="center"/>
              <w:rPr>
                <w:b/>
                <w:sz w:val="24"/>
                <w:szCs w:val="24"/>
                <w:lang w:val="en-GB" w:eastAsia="en-GB"/>
              </w:rPr>
            </w:pPr>
            <w:r w:rsidRPr="00A67439">
              <w:rPr>
                <w:b/>
                <w:sz w:val="24"/>
                <w:szCs w:val="24"/>
              </w:rPr>
              <w:t>≈ mg CBA</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26590" w:rsidRPr="00A67439" w:rsidRDefault="00C26590" w:rsidP="003B4BCE">
            <w:pPr>
              <w:rPr>
                <w:b/>
                <w:sz w:val="24"/>
                <w:szCs w:val="24"/>
                <w:lang w:val="en-GB" w:eastAsia="en-GB"/>
              </w:rPr>
            </w:pPr>
          </w:p>
        </w:tc>
      </w:tr>
      <w:tr w:rsidR="00C26590" w:rsidRPr="00A67439" w:rsidTr="003B4BCE">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601" w:firstLine="11"/>
              <w:jc w:val="center"/>
              <w:rPr>
                <w:b/>
                <w:sz w:val="24"/>
                <w:szCs w:val="24"/>
                <w:u w:val="single"/>
                <w:lang w:val="en-GB" w:eastAsia="en-GB"/>
              </w:rPr>
            </w:pPr>
            <w:r w:rsidRPr="00A67439">
              <w:rPr>
                <w:sz w:val="24"/>
                <w:szCs w:val="24"/>
              </w:rPr>
              <w:t>12.500</w:t>
            </w:r>
          </w:p>
        </w:tc>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441" w:hanging="131"/>
              <w:jc w:val="center"/>
              <w:rPr>
                <w:b/>
                <w:sz w:val="24"/>
                <w:szCs w:val="24"/>
                <w:u w:val="single"/>
                <w:lang w:val="en-GB" w:eastAsia="en-GB"/>
              </w:rPr>
            </w:pPr>
            <w:r w:rsidRPr="00A67439">
              <w:rPr>
                <w:sz w:val="24"/>
                <w:szCs w:val="24"/>
              </w:rPr>
              <w:t>0,4</w:t>
            </w:r>
          </w:p>
        </w:tc>
        <w:tc>
          <w:tcPr>
            <w:tcW w:w="2571"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564" w:hanging="131"/>
              <w:jc w:val="center"/>
              <w:rPr>
                <w:b/>
                <w:sz w:val="24"/>
                <w:szCs w:val="24"/>
                <w:u w:val="single"/>
                <w:lang w:val="en-GB" w:eastAsia="en-GB"/>
              </w:rPr>
            </w:pPr>
            <w:r w:rsidRPr="00A67439">
              <w:rPr>
                <w:sz w:val="24"/>
                <w:szCs w:val="24"/>
              </w:rPr>
              <w:t>1</w:t>
            </w:r>
          </w:p>
        </w:tc>
      </w:tr>
      <w:tr w:rsidR="00C26590" w:rsidRPr="00A67439" w:rsidTr="003B4BCE">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601" w:firstLine="11"/>
              <w:jc w:val="center"/>
              <w:rPr>
                <w:b/>
                <w:sz w:val="24"/>
                <w:szCs w:val="24"/>
                <w:u w:val="single"/>
                <w:lang w:val="en-GB" w:eastAsia="en-GB"/>
              </w:rPr>
            </w:pPr>
            <w:r w:rsidRPr="00A67439">
              <w:rPr>
                <w:sz w:val="24"/>
                <w:szCs w:val="24"/>
              </w:rPr>
              <w:t>150.000</w:t>
            </w:r>
          </w:p>
        </w:tc>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441" w:hanging="131"/>
              <w:jc w:val="center"/>
              <w:rPr>
                <w:b/>
                <w:sz w:val="24"/>
                <w:szCs w:val="24"/>
                <w:u w:val="single"/>
                <w:lang w:val="en-GB" w:eastAsia="en-GB"/>
              </w:rPr>
            </w:pPr>
            <w:r w:rsidRPr="00A67439">
              <w:rPr>
                <w:sz w:val="24"/>
                <w:szCs w:val="24"/>
              </w:rPr>
              <w:t>5</w:t>
            </w:r>
          </w:p>
        </w:tc>
        <w:tc>
          <w:tcPr>
            <w:tcW w:w="2571"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564" w:hanging="131"/>
              <w:jc w:val="center"/>
              <w:rPr>
                <w:b/>
                <w:sz w:val="24"/>
                <w:szCs w:val="24"/>
                <w:u w:val="single"/>
                <w:lang w:val="en-GB" w:eastAsia="en-GB"/>
              </w:rPr>
            </w:pPr>
            <w:r w:rsidRPr="00A67439">
              <w:rPr>
                <w:sz w:val="24"/>
                <w:szCs w:val="24"/>
              </w:rPr>
              <w:t>12</w:t>
            </w:r>
          </w:p>
        </w:tc>
      </w:tr>
      <w:tr w:rsidR="00C26590" w:rsidRPr="00A67439" w:rsidTr="003B4BCE">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601" w:firstLine="11"/>
              <w:jc w:val="center"/>
              <w:rPr>
                <w:b/>
                <w:sz w:val="24"/>
                <w:szCs w:val="24"/>
                <w:u w:val="single"/>
                <w:lang w:val="en-GB" w:eastAsia="en-GB"/>
              </w:rPr>
            </w:pPr>
            <w:r w:rsidRPr="00A67439">
              <w:rPr>
                <w:sz w:val="24"/>
                <w:szCs w:val="24"/>
              </w:rPr>
              <w:t>1.000.000</w:t>
            </w:r>
          </w:p>
        </w:tc>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441" w:hanging="131"/>
              <w:jc w:val="center"/>
              <w:rPr>
                <w:b/>
                <w:sz w:val="24"/>
                <w:szCs w:val="24"/>
                <w:u w:val="single"/>
                <w:lang w:val="en-GB" w:eastAsia="en-GB"/>
              </w:rPr>
            </w:pPr>
            <w:r w:rsidRPr="00A67439">
              <w:rPr>
                <w:sz w:val="24"/>
                <w:szCs w:val="24"/>
              </w:rPr>
              <w:t>34</w:t>
            </w:r>
          </w:p>
        </w:tc>
        <w:tc>
          <w:tcPr>
            <w:tcW w:w="2571"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564" w:hanging="131"/>
              <w:jc w:val="center"/>
              <w:rPr>
                <w:b/>
                <w:sz w:val="24"/>
                <w:szCs w:val="24"/>
                <w:u w:val="single"/>
                <w:lang w:val="en-GB" w:eastAsia="en-GB"/>
              </w:rPr>
            </w:pPr>
            <w:r w:rsidRPr="00A67439">
              <w:rPr>
                <w:sz w:val="24"/>
                <w:szCs w:val="24"/>
              </w:rPr>
              <w:t>80</w:t>
            </w:r>
          </w:p>
        </w:tc>
      </w:tr>
      <w:tr w:rsidR="00C26590" w:rsidRPr="00A67439" w:rsidTr="003B4BCE">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601" w:firstLine="11"/>
              <w:jc w:val="center"/>
              <w:rPr>
                <w:b/>
                <w:sz w:val="24"/>
                <w:szCs w:val="24"/>
                <w:u w:val="single"/>
                <w:lang w:val="en-GB" w:eastAsia="en-GB"/>
              </w:rPr>
            </w:pPr>
            <w:r w:rsidRPr="00A67439">
              <w:rPr>
                <w:sz w:val="24"/>
                <w:szCs w:val="24"/>
              </w:rPr>
              <w:t>4.500.000</w:t>
            </w:r>
          </w:p>
        </w:tc>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441"/>
              <w:jc w:val="center"/>
              <w:rPr>
                <w:b/>
                <w:sz w:val="24"/>
                <w:szCs w:val="24"/>
                <w:u w:val="single"/>
                <w:lang w:val="en-GB" w:eastAsia="en-GB"/>
              </w:rPr>
            </w:pPr>
            <w:r w:rsidRPr="00A67439">
              <w:rPr>
                <w:sz w:val="24"/>
                <w:szCs w:val="24"/>
              </w:rPr>
              <w:t>150</w:t>
            </w:r>
          </w:p>
        </w:tc>
        <w:tc>
          <w:tcPr>
            <w:tcW w:w="2571"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564"/>
              <w:jc w:val="center"/>
              <w:rPr>
                <w:b/>
                <w:sz w:val="24"/>
                <w:szCs w:val="24"/>
                <w:u w:val="single"/>
                <w:lang w:val="en-GB" w:eastAsia="en-GB"/>
              </w:rPr>
            </w:pPr>
            <w:r w:rsidRPr="00A67439">
              <w:rPr>
                <w:sz w:val="24"/>
                <w:szCs w:val="24"/>
              </w:rPr>
              <w:t>360</w:t>
            </w:r>
          </w:p>
        </w:tc>
      </w:tr>
      <w:tr w:rsidR="00C26590" w:rsidRPr="00A67439" w:rsidTr="003B4BCE">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601" w:firstLine="11"/>
              <w:jc w:val="center"/>
              <w:rPr>
                <w:b/>
                <w:sz w:val="24"/>
                <w:szCs w:val="24"/>
                <w:u w:val="single"/>
                <w:lang w:val="en-GB" w:eastAsia="en-GB"/>
              </w:rPr>
            </w:pPr>
            <w:r w:rsidRPr="00A67439">
              <w:rPr>
                <w:sz w:val="24"/>
                <w:szCs w:val="24"/>
              </w:rPr>
              <w:t>9.000.000</w:t>
            </w:r>
          </w:p>
        </w:tc>
        <w:tc>
          <w:tcPr>
            <w:tcW w:w="2570"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441"/>
              <w:jc w:val="center"/>
              <w:rPr>
                <w:b/>
                <w:sz w:val="24"/>
                <w:szCs w:val="24"/>
                <w:u w:val="single"/>
                <w:lang w:val="en-GB" w:eastAsia="en-GB"/>
              </w:rPr>
            </w:pPr>
            <w:r w:rsidRPr="00A67439">
              <w:rPr>
                <w:sz w:val="24"/>
                <w:szCs w:val="24"/>
              </w:rPr>
              <w:t>300</w:t>
            </w:r>
          </w:p>
        </w:tc>
        <w:tc>
          <w:tcPr>
            <w:tcW w:w="2571" w:type="dxa"/>
            <w:tcBorders>
              <w:top w:val="single" w:sz="4" w:space="0" w:color="auto"/>
              <w:left w:val="single" w:sz="4" w:space="0" w:color="auto"/>
              <w:bottom w:val="single" w:sz="4" w:space="0" w:color="auto"/>
              <w:right w:val="single" w:sz="4" w:space="0" w:color="auto"/>
            </w:tcBorders>
            <w:hideMark/>
          </w:tcPr>
          <w:p w:rsidR="00C26590" w:rsidRPr="00A67439" w:rsidRDefault="00C26590" w:rsidP="003B4BCE">
            <w:pPr>
              <w:ind w:left="564"/>
              <w:jc w:val="center"/>
              <w:rPr>
                <w:b/>
                <w:sz w:val="24"/>
                <w:szCs w:val="24"/>
                <w:u w:val="single"/>
                <w:lang w:val="en-GB" w:eastAsia="en-GB"/>
              </w:rPr>
            </w:pPr>
            <w:r w:rsidRPr="00A67439">
              <w:rPr>
                <w:sz w:val="24"/>
                <w:szCs w:val="24"/>
              </w:rPr>
              <w:t>720</w:t>
            </w:r>
          </w:p>
        </w:tc>
      </w:tr>
      <w:tr w:rsidR="00C26590" w:rsidRPr="00A67439" w:rsidTr="003B4BCE">
        <w:tc>
          <w:tcPr>
            <w:tcW w:w="7711" w:type="dxa"/>
            <w:gridSpan w:val="3"/>
            <w:tcBorders>
              <w:top w:val="single" w:sz="4" w:space="0" w:color="auto"/>
              <w:left w:val="nil"/>
              <w:bottom w:val="nil"/>
              <w:right w:val="nil"/>
            </w:tcBorders>
            <w:vAlign w:val="center"/>
          </w:tcPr>
          <w:p w:rsidR="00C26590" w:rsidRPr="00A67439" w:rsidRDefault="00C26590" w:rsidP="003B4BCE">
            <w:pPr>
              <w:jc w:val="center"/>
              <w:rPr>
                <w:b/>
                <w:sz w:val="24"/>
                <w:szCs w:val="24"/>
                <w:lang w:eastAsia="en-GB"/>
              </w:rPr>
            </w:pPr>
          </w:p>
          <w:p w:rsidR="00C26590" w:rsidRPr="00A67439" w:rsidRDefault="00C26590" w:rsidP="003B4BCE">
            <w:pPr>
              <w:jc w:val="center"/>
              <w:rPr>
                <w:sz w:val="24"/>
                <w:szCs w:val="24"/>
                <w:lang w:eastAsia="en-GB"/>
              </w:rPr>
            </w:pPr>
            <w:r w:rsidRPr="00A67439">
              <w:rPr>
                <w:b/>
                <w:sz w:val="24"/>
                <w:szCs w:val="24"/>
              </w:rPr>
              <w:t>*</w:t>
            </w:r>
            <w:r w:rsidRPr="00A67439">
              <w:rPr>
                <w:sz w:val="24"/>
                <w:szCs w:val="24"/>
              </w:rPr>
              <w:t xml:space="preserve"> Nominel styrke af lægemiddelstoffet = 12.500 IE/mg</w:t>
            </w:r>
          </w:p>
        </w:tc>
      </w:tr>
    </w:tbl>
    <w:p w:rsidR="00C26590" w:rsidRPr="00C7350F" w:rsidRDefault="00C26590" w:rsidP="00C26590">
      <w:pPr>
        <w:ind w:left="851" w:hanging="851"/>
        <w:rPr>
          <w:sz w:val="24"/>
          <w:szCs w:val="24"/>
        </w:rPr>
      </w:pPr>
    </w:p>
    <w:p w:rsidR="00C26590" w:rsidRPr="00C7350F" w:rsidRDefault="00C26590" w:rsidP="00C26590">
      <w:pPr>
        <w:numPr>
          <w:ilvl w:val="1"/>
          <w:numId w:val="1"/>
        </w:numPr>
        <w:tabs>
          <w:tab w:val="clear" w:pos="855"/>
        </w:tabs>
        <w:ind w:left="851" w:hanging="851"/>
        <w:rPr>
          <w:b/>
          <w:sz w:val="24"/>
          <w:szCs w:val="24"/>
        </w:rPr>
      </w:pPr>
      <w:r w:rsidRPr="00C7350F">
        <w:rPr>
          <w:b/>
          <w:sz w:val="24"/>
          <w:szCs w:val="24"/>
        </w:rPr>
        <w:t>Kontraindikationer</w:t>
      </w:r>
    </w:p>
    <w:p w:rsidR="00C26590" w:rsidRPr="00C7350F" w:rsidRDefault="00C26590" w:rsidP="00C26590">
      <w:pPr>
        <w:ind w:left="851" w:hanging="851"/>
        <w:rPr>
          <w:sz w:val="24"/>
          <w:szCs w:val="24"/>
        </w:rPr>
      </w:pPr>
      <w:r w:rsidRPr="00C7350F">
        <w:rPr>
          <w:sz w:val="24"/>
          <w:szCs w:val="24"/>
        </w:rPr>
        <w:tab/>
        <w:t>Overfølsomhed over for det aktive stof (colistimethatnatrium) eller andre polymyxiner.</w:t>
      </w:r>
    </w:p>
    <w:p w:rsidR="00C26590" w:rsidRPr="00C7350F" w:rsidRDefault="00C26590" w:rsidP="00C26590">
      <w:pPr>
        <w:ind w:left="851" w:hanging="851"/>
        <w:rPr>
          <w:sz w:val="24"/>
          <w:szCs w:val="24"/>
        </w:rPr>
      </w:pPr>
    </w:p>
    <w:p w:rsidR="00C26590" w:rsidRPr="00C7350F" w:rsidRDefault="00C26590" w:rsidP="00C26590">
      <w:pPr>
        <w:numPr>
          <w:ilvl w:val="1"/>
          <w:numId w:val="1"/>
        </w:numPr>
        <w:tabs>
          <w:tab w:val="clear" w:pos="855"/>
        </w:tabs>
        <w:ind w:left="851" w:hanging="851"/>
        <w:rPr>
          <w:b/>
          <w:sz w:val="24"/>
          <w:szCs w:val="24"/>
        </w:rPr>
      </w:pPr>
      <w:r w:rsidRPr="00C7350F">
        <w:rPr>
          <w:b/>
          <w:sz w:val="24"/>
          <w:szCs w:val="24"/>
        </w:rPr>
        <w:t>Særlige advarsler og forsigtighedsregler vedrørende brugen</w:t>
      </w:r>
    </w:p>
    <w:p w:rsidR="00C26590" w:rsidRPr="00A67439" w:rsidRDefault="00C26590" w:rsidP="00C26590">
      <w:pPr>
        <w:tabs>
          <w:tab w:val="left" w:pos="5812"/>
        </w:tabs>
        <w:ind w:left="851"/>
        <w:rPr>
          <w:sz w:val="24"/>
          <w:szCs w:val="24"/>
          <w:lang w:eastAsia="da-DK"/>
        </w:rPr>
      </w:pPr>
      <w:r w:rsidRPr="00A67439">
        <w:rPr>
          <w:sz w:val="24"/>
          <w:szCs w:val="24"/>
        </w:rPr>
        <w:t xml:space="preserve">Det bør overvejes at administrere intravenøs colistimethatnatrium sammen med et andet antibakterielt middel, når dette er muligt, idet der skal tages hensyn til den resterende følsomhed hos patogenet/patogenerne, der behandles. Da der især er rapporteret om resistensudvikling over for intravenøs colistin, når det anvendes som monoterapi, bør samtidig administration af andre antibakterielle midler også overvejes for at undgå resistensudvikling. </w:t>
      </w:r>
    </w:p>
    <w:p w:rsidR="00C26590" w:rsidRPr="00A67439" w:rsidRDefault="00C26590" w:rsidP="00C26590">
      <w:pPr>
        <w:tabs>
          <w:tab w:val="left" w:pos="5812"/>
        </w:tabs>
        <w:ind w:left="851"/>
        <w:rPr>
          <w:sz w:val="24"/>
          <w:szCs w:val="24"/>
        </w:rPr>
      </w:pPr>
    </w:p>
    <w:p w:rsidR="00C26590" w:rsidRPr="00A67439" w:rsidRDefault="00C26590" w:rsidP="00C26590">
      <w:pPr>
        <w:tabs>
          <w:tab w:val="left" w:pos="5812"/>
        </w:tabs>
        <w:ind w:left="851"/>
        <w:rPr>
          <w:sz w:val="24"/>
          <w:szCs w:val="24"/>
        </w:rPr>
      </w:pPr>
      <w:r w:rsidRPr="00A67439">
        <w:rPr>
          <w:sz w:val="24"/>
          <w:szCs w:val="24"/>
        </w:rPr>
        <w:t xml:space="preserve">Der er begrænsede kliniske data vedrørende virkningen af og sikkerheden ved intravenøs colistimethatnatrium. De anbefalede doser i alle delpopulationer er ligeledes baseret på begrænsede data (kliniske og farmakokinetiske/farmakodynamiske data). Især er der begrænsede sikkerhedsdata for brug af en initialdosis ved høje doser (&gt; 6 MIE/dag) og brug hos særlige populationer (patienter med nedsat nyrefunktion og den pædiatriske population). Colistimethatnatrium bør kun anvendes, når andre mere almindeligt ordinerede antibiotika ikke er effektive eller ikke er egnede. </w:t>
      </w:r>
    </w:p>
    <w:p w:rsidR="00C26590" w:rsidRPr="00A67439" w:rsidRDefault="00C26590" w:rsidP="00C26590">
      <w:pPr>
        <w:tabs>
          <w:tab w:val="left" w:pos="5812"/>
        </w:tabs>
        <w:ind w:left="851"/>
        <w:rPr>
          <w:sz w:val="24"/>
          <w:szCs w:val="24"/>
        </w:rPr>
      </w:pPr>
    </w:p>
    <w:p w:rsidR="00C26590" w:rsidRPr="00A67439" w:rsidRDefault="00C26590" w:rsidP="00C26590">
      <w:pPr>
        <w:tabs>
          <w:tab w:val="left" w:pos="5812"/>
        </w:tabs>
        <w:ind w:left="851"/>
        <w:rPr>
          <w:sz w:val="24"/>
          <w:szCs w:val="24"/>
        </w:rPr>
      </w:pPr>
      <w:r w:rsidRPr="00A67439">
        <w:rPr>
          <w:sz w:val="24"/>
          <w:szCs w:val="24"/>
        </w:rPr>
        <w:t xml:space="preserve">Nyrefunktionen skal monitoreres ved behandlingsstart og regelmæssigt under behandlingen hos alle patienter. Dosis af colistimethatnatrium skal justeres i henhold til kreatininclearance (se pkt. 4.2). Hypovolæmiske patienter og patienter, der får andre potentielt nefrotoksiske lægemidler, har øget risiko for nefrotoksicitet ved brug af colistin (se pkt. 4.5 og 4.8). Nefrotoksicitet er i nogle studier blevet rapporteret at være forbundet med kumulativ dosis og behandingsvarighed. Fordelen ved en lang behandlingsvarighed skal afvejes mod den potentielt øgede risiko for renal toksicitet. </w:t>
      </w:r>
    </w:p>
    <w:p w:rsidR="00C26590" w:rsidRPr="00A67439" w:rsidRDefault="00C26590" w:rsidP="00C26590">
      <w:pPr>
        <w:tabs>
          <w:tab w:val="left" w:pos="5812"/>
        </w:tabs>
        <w:ind w:left="851"/>
        <w:rPr>
          <w:sz w:val="24"/>
          <w:szCs w:val="24"/>
        </w:rPr>
      </w:pPr>
    </w:p>
    <w:p w:rsidR="00C26590" w:rsidRPr="00A67439" w:rsidRDefault="00C26590" w:rsidP="00C26590">
      <w:pPr>
        <w:tabs>
          <w:tab w:val="left" w:pos="5812"/>
        </w:tabs>
        <w:ind w:left="851"/>
        <w:rPr>
          <w:sz w:val="24"/>
          <w:szCs w:val="24"/>
        </w:rPr>
      </w:pPr>
      <w:r w:rsidRPr="00A67439">
        <w:rPr>
          <w:sz w:val="24"/>
          <w:szCs w:val="24"/>
        </w:rPr>
        <w:t xml:space="preserve">Det tilrådes, at der udvises forsigtighed ved administration af colistimethatnatrium til spædbørn &lt; 1 år, da nyrefunktionen ikke er fuldt moden hos denne aldersgruppe. Endvidere er det ikke kendt, hvordan en umoden nyrefunktion og metabolisk funktion påvirker omdannelsen af colistimethatnatrium til colistin. </w:t>
      </w:r>
    </w:p>
    <w:p w:rsidR="00C26590" w:rsidRPr="00A67439" w:rsidRDefault="00C26590" w:rsidP="00C26590">
      <w:pPr>
        <w:tabs>
          <w:tab w:val="left" w:pos="5812"/>
        </w:tabs>
        <w:ind w:left="851"/>
        <w:rPr>
          <w:sz w:val="24"/>
          <w:szCs w:val="24"/>
        </w:rPr>
      </w:pPr>
    </w:p>
    <w:p w:rsidR="00C26590" w:rsidRPr="00A67439" w:rsidRDefault="00C26590" w:rsidP="00C26590">
      <w:pPr>
        <w:tabs>
          <w:tab w:val="left" w:pos="5812"/>
        </w:tabs>
        <w:ind w:left="851"/>
        <w:rPr>
          <w:b/>
          <w:color w:val="000000"/>
          <w:sz w:val="24"/>
          <w:szCs w:val="24"/>
        </w:rPr>
      </w:pPr>
      <w:r w:rsidRPr="00A67439">
        <w:rPr>
          <w:sz w:val="24"/>
          <w:szCs w:val="24"/>
        </w:rPr>
        <w:t>I tilfælde af en allergisk reaktion skal behandlingen med colistimethatnatrium afbrydes og passende foranstaltninger iværksættes.</w:t>
      </w:r>
      <w:r w:rsidRPr="00A67439">
        <w:rPr>
          <w:b/>
          <w:color w:val="000000"/>
          <w:sz w:val="24"/>
          <w:szCs w:val="24"/>
        </w:rPr>
        <w:t xml:space="preserve"> </w:t>
      </w:r>
    </w:p>
    <w:p w:rsidR="00C26590" w:rsidRPr="00A67439" w:rsidRDefault="00C26590" w:rsidP="00C26590">
      <w:pPr>
        <w:tabs>
          <w:tab w:val="left" w:pos="5812"/>
        </w:tabs>
        <w:ind w:left="851"/>
        <w:rPr>
          <w:b/>
          <w:color w:val="000000"/>
          <w:sz w:val="24"/>
          <w:szCs w:val="24"/>
        </w:rPr>
      </w:pPr>
    </w:p>
    <w:p w:rsidR="00C26590" w:rsidRPr="00A67439" w:rsidRDefault="00C26590" w:rsidP="00C26590">
      <w:pPr>
        <w:tabs>
          <w:tab w:val="left" w:pos="5812"/>
        </w:tabs>
        <w:ind w:left="851"/>
        <w:rPr>
          <w:sz w:val="24"/>
          <w:szCs w:val="24"/>
        </w:rPr>
      </w:pPr>
      <w:r w:rsidRPr="00A67439">
        <w:rPr>
          <w:sz w:val="24"/>
          <w:szCs w:val="24"/>
        </w:rPr>
        <w:t xml:space="preserve">Det er blevet rapporteret, at høje serumkoncentrationer af colistimethatnatrium, fx i forbindelse med overdosering eller manglende dosisreduktion til patienter med nedsat nyrefunktion, har medført neurotoksiske virkninger, såsom facialisparese, muskelsvaghed, vertigo, sløret tale, vasomotorisk ustabilitet, synsforstyrrelser, konfusion, psykose og apnø. Patienterne bør overvåges for perioral paræstesi og paræstesi i ekstermiteterne, som er tegn på overdosering (se pkt. 4.9). </w:t>
      </w:r>
    </w:p>
    <w:p w:rsidR="00C26590" w:rsidRPr="00A67439" w:rsidRDefault="00C26590" w:rsidP="00C26590">
      <w:pPr>
        <w:tabs>
          <w:tab w:val="left" w:pos="5812"/>
        </w:tabs>
        <w:ind w:left="851"/>
        <w:rPr>
          <w:sz w:val="24"/>
          <w:szCs w:val="24"/>
        </w:rPr>
      </w:pPr>
    </w:p>
    <w:p w:rsidR="00C26590" w:rsidRPr="00A67439" w:rsidRDefault="00C26590" w:rsidP="00C26590">
      <w:pPr>
        <w:tabs>
          <w:tab w:val="left" w:pos="5812"/>
        </w:tabs>
        <w:ind w:left="851"/>
        <w:rPr>
          <w:sz w:val="24"/>
          <w:szCs w:val="24"/>
        </w:rPr>
      </w:pPr>
      <w:r w:rsidRPr="00A67439">
        <w:rPr>
          <w:sz w:val="24"/>
          <w:szCs w:val="24"/>
        </w:rPr>
        <w:t xml:space="preserve">Colistimethatnatrium er kendt for at reducere den præsynaptiske frigivelse af acetylcholin i den neuromuskulære overgang og bør derfor anvendes til patienter med myasthenia gravis med den største forsigtighed og kun, hvis det er klart nødvendigt. </w:t>
      </w:r>
    </w:p>
    <w:p w:rsidR="00C26590" w:rsidRPr="00A67439" w:rsidRDefault="00C26590" w:rsidP="00C26590">
      <w:pPr>
        <w:tabs>
          <w:tab w:val="left" w:pos="5812"/>
        </w:tabs>
        <w:ind w:left="851"/>
        <w:rPr>
          <w:sz w:val="24"/>
          <w:szCs w:val="24"/>
        </w:rPr>
      </w:pPr>
    </w:p>
    <w:p w:rsidR="00C26590" w:rsidRPr="00A67439" w:rsidRDefault="00C26590" w:rsidP="00C26590">
      <w:pPr>
        <w:tabs>
          <w:tab w:val="left" w:pos="5812"/>
        </w:tabs>
        <w:ind w:left="851"/>
        <w:rPr>
          <w:sz w:val="24"/>
          <w:szCs w:val="24"/>
        </w:rPr>
      </w:pPr>
      <w:r w:rsidRPr="00A67439">
        <w:rPr>
          <w:sz w:val="24"/>
          <w:szCs w:val="24"/>
        </w:rPr>
        <w:t xml:space="preserve">Respirationsstop er blevet rapporter efter intramuskulær administration af colistimethatnatrium. Nedsat nyrefunktion øger risikoen for apnø og neuromuskulær blokade efter administration af colistimethatnatrium. </w:t>
      </w:r>
    </w:p>
    <w:p w:rsidR="00C26590" w:rsidRPr="00A67439" w:rsidRDefault="00C26590" w:rsidP="00C26590">
      <w:pPr>
        <w:tabs>
          <w:tab w:val="left" w:pos="5812"/>
        </w:tabs>
        <w:ind w:left="851"/>
        <w:rPr>
          <w:sz w:val="24"/>
          <w:szCs w:val="24"/>
        </w:rPr>
      </w:pPr>
    </w:p>
    <w:p w:rsidR="00C26590" w:rsidRPr="00A67439" w:rsidRDefault="00C26590" w:rsidP="00C26590">
      <w:pPr>
        <w:tabs>
          <w:tab w:val="left" w:pos="5812"/>
        </w:tabs>
        <w:ind w:left="851"/>
        <w:rPr>
          <w:sz w:val="24"/>
          <w:szCs w:val="24"/>
        </w:rPr>
      </w:pPr>
      <w:r w:rsidRPr="00A67439">
        <w:rPr>
          <w:sz w:val="24"/>
          <w:szCs w:val="24"/>
        </w:rPr>
        <w:t xml:space="preserve">Colistimethatnatrium bør anvendes med den yderste forsigtighed til patienter med porfyri. </w:t>
      </w:r>
    </w:p>
    <w:p w:rsidR="00C26590" w:rsidRPr="00A67439" w:rsidRDefault="00C26590" w:rsidP="00C26590">
      <w:pPr>
        <w:tabs>
          <w:tab w:val="left" w:pos="5812"/>
        </w:tabs>
        <w:ind w:left="851"/>
        <w:rPr>
          <w:sz w:val="24"/>
          <w:szCs w:val="24"/>
        </w:rPr>
      </w:pPr>
    </w:p>
    <w:p w:rsidR="00C26590" w:rsidRPr="00A67439" w:rsidRDefault="00C26590" w:rsidP="00C26590">
      <w:pPr>
        <w:tabs>
          <w:tab w:val="left" w:pos="5812"/>
        </w:tabs>
        <w:ind w:left="851"/>
        <w:rPr>
          <w:color w:val="000000"/>
          <w:sz w:val="24"/>
          <w:szCs w:val="24"/>
        </w:rPr>
      </w:pPr>
      <w:r w:rsidRPr="00A67439">
        <w:rPr>
          <w:sz w:val="24"/>
          <w:szCs w:val="24"/>
        </w:rPr>
        <w:t xml:space="preserve">Antibiotika-associeret colitis og pseudomembranøs colitis er blevet rapporteret i forbindelse med næsten alle antibakterielle midler og kan muligvis forekomme med colistimethatnatrium. Sværhedsgraden kan være fra let til livstruende. Det er vigtigt at overveje denne diagnose hos patienter, der udvikler diarré under eller efter behandling med colistimethatnatrium (se pkt. 4.8). Behandlingsafbrydelse og administration af en specifik behandling af </w:t>
      </w:r>
      <w:r w:rsidRPr="00A67439">
        <w:rPr>
          <w:i/>
          <w:iCs/>
          <w:sz w:val="24"/>
          <w:szCs w:val="24"/>
        </w:rPr>
        <w:t xml:space="preserve">Clostridium difficile </w:t>
      </w:r>
      <w:r w:rsidRPr="00A67439">
        <w:rPr>
          <w:sz w:val="24"/>
          <w:szCs w:val="24"/>
        </w:rPr>
        <w:t>bør overvejes. Der bør ikke gives lægemidler, der hæmmer peristaltikken.</w:t>
      </w:r>
      <w:r w:rsidRPr="00A67439">
        <w:rPr>
          <w:color w:val="000000"/>
          <w:sz w:val="24"/>
          <w:szCs w:val="24"/>
        </w:rPr>
        <w:t xml:space="preserve"> </w:t>
      </w:r>
    </w:p>
    <w:p w:rsidR="00C26590" w:rsidRPr="00A67439" w:rsidRDefault="00C26590" w:rsidP="00C26590">
      <w:pPr>
        <w:tabs>
          <w:tab w:val="left" w:pos="5812"/>
        </w:tabs>
        <w:ind w:left="851"/>
        <w:rPr>
          <w:color w:val="000000"/>
          <w:sz w:val="24"/>
          <w:szCs w:val="24"/>
        </w:rPr>
      </w:pPr>
    </w:p>
    <w:p w:rsidR="00C26590" w:rsidRPr="00A67439" w:rsidRDefault="00C26590" w:rsidP="00C26590">
      <w:pPr>
        <w:tabs>
          <w:tab w:val="left" w:pos="5812"/>
        </w:tabs>
        <w:ind w:left="851"/>
        <w:rPr>
          <w:sz w:val="24"/>
          <w:szCs w:val="24"/>
        </w:rPr>
      </w:pPr>
      <w:r w:rsidRPr="00A67439">
        <w:rPr>
          <w:sz w:val="24"/>
          <w:szCs w:val="24"/>
        </w:rPr>
        <w:t>Intravenøs colistimethatnatrium krydser ikke blod-hjerne-barrieren i klinisk relevant grad. Intratekal eller intraventrikulær administration af colistimethatnatrium til behandling af meningitis er ikke blevet systematisk undersøgt i kliniske forsøg og understøttes udelukkende kasuistisk. Data til understøtning af doseringen er meget begrænsede. Den hyppigst observerede bivirkning ved administration af CMS var aseptisk meningitis (se pkt. 4.8).</w:t>
      </w:r>
    </w:p>
    <w:p w:rsidR="00C26590" w:rsidRDefault="00C26590" w:rsidP="00C26590">
      <w:pPr>
        <w:ind w:left="851" w:hanging="851"/>
        <w:rPr>
          <w:sz w:val="24"/>
          <w:szCs w:val="24"/>
        </w:rPr>
      </w:pPr>
    </w:p>
    <w:p w:rsidR="00C26590" w:rsidRDefault="00C26590" w:rsidP="00C26590">
      <w:pPr>
        <w:ind w:left="851" w:hanging="851"/>
        <w:rPr>
          <w:sz w:val="24"/>
          <w:szCs w:val="24"/>
        </w:rPr>
      </w:pPr>
    </w:p>
    <w:p w:rsidR="00C26590" w:rsidRPr="00C7350F" w:rsidRDefault="00C26590" w:rsidP="00C26590">
      <w:pPr>
        <w:ind w:left="851" w:hanging="851"/>
        <w:rPr>
          <w:sz w:val="24"/>
          <w:szCs w:val="24"/>
        </w:rPr>
      </w:pPr>
    </w:p>
    <w:p w:rsidR="00C26590" w:rsidRPr="00C7350F" w:rsidRDefault="00C26590" w:rsidP="00C26590">
      <w:pPr>
        <w:numPr>
          <w:ilvl w:val="1"/>
          <w:numId w:val="1"/>
        </w:numPr>
        <w:tabs>
          <w:tab w:val="clear" w:pos="855"/>
        </w:tabs>
        <w:ind w:left="851" w:hanging="851"/>
        <w:rPr>
          <w:b/>
          <w:sz w:val="24"/>
          <w:szCs w:val="24"/>
        </w:rPr>
      </w:pPr>
      <w:r w:rsidRPr="00C7350F">
        <w:rPr>
          <w:b/>
          <w:sz w:val="24"/>
          <w:szCs w:val="24"/>
        </w:rPr>
        <w:t>Interaktion med andre lægemidler og andre former for interaktion</w:t>
      </w:r>
    </w:p>
    <w:p w:rsidR="00C26590" w:rsidRPr="00A67439" w:rsidRDefault="00C26590" w:rsidP="00C26590">
      <w:pPr>
        <w:ind w:left="851"/>
        <w:rPr>
          <w:sz w:val="24"/>
          <w:szCs w:val="24"/>
          <w:lang w:eastAsia="da-DK"/>
        </w:rPr>
      </w:pPr>
      <w:r w:rsidRPr="00A67439">
        <w:rPr>
          <w:sz w:val="24"/>
          <w:szCs w:val="24"/>
        </w:rPr>
        <w:t xml:space="preserve">Anvendelse af intravenøs colistimethatnatrium sammen med andre lægemidler, der er potentielt nefrotoksiske eller neurotoksiske, bør ske med stor forsigtighed. </w:t>
      </w:r>
    </w:p>
    <w:p w:rsidR="00C26590" w:rsidRPr="00A67439" w:rsidRDefault="00C26590" w:rsidP="00C26590">
      <w:pPr>
        <w:ind w:left="851"/>
        <w:rPr>
          <w:sz w:val="24"/>
          <w:szCs w:val="24"/>
        </w:rPr>
      </w:pPr>
    </w:p>
    <w:p w:rsidR="00C26590" w:rsidRPr="00A67439" w:rsidRDefault="00C26590" w:rsidP="00C26590">
      <w:pPr>
        <w:ind w:left="851"/>
        <w:rPr>
          <w:sz w:val="24"/>
          <w:szCs w:val="24"/>
        </w:rPr>
      </w:pPr>
      <w:r w:rsidRPr="00A67439">
        <w:rPr>
          <w:sz w:val="24"/>
          <w:szCs w:val="24"/>
        </w:rPr>
        <w:t xml:space="preserve">Der skal udvises forsigtighed ved anvendelse sammen med andre formuleringer af colistimethatnatrium, da der kun er ringe erfaring hermed og risiko for additiv toksicitet. </w:t>
      </w:r>
    </w:p>
    <w:p w:rsidR="00C26590" w:rsidRPr="00A67439" w:rsidRDefault="00C26590" w:rsidP="00C26590">
      <w:pPr>
        <w:ind w:left="851"/>
        <w:rPr>
          <w:sz w:val="24"/>
          <w:szCs w:val="24"/>
        </w:rPr>
      </w:pPr>
    </w:p>
    <w:p w:rsidR="00C26590" w:rsidRPr="00A67439" w:rsidRDefault="00C26590" w:rsidP="00C26590">
      <w:pPr>
        <w:ind w:left="851"/>
        <w:rPr>
          <w:sz w:val="24"/>
          <w:szCs w:val="24"/>
        </w:rPr>
      </w:pPr>
      <w:r w:rsidRPr="00A67439">
        <w:rPr>
          <w:sz w:val="24"/>
          <w:szCs w:val="24"/>
        </w:rPr>
        <w:t xml:space="preserve">Der er ikke udført </w:t>
      </w:r>
      <w:r w:rsidRPr="00A67439">
        <w:rPr>
          <w:i/>
          <w:iCs/>
          <w:sz w:val="24"/>
          <w:szCs w:val="24"/>
        </w:rPr>
        <w:t>in vivo-</w:t>
      </w:r>
      <w:r w:rsidRPr="00A67439">
        <w:rPr>
          <w:sz w:val="24"/>
          <w:szCs w:val="24"/>
        </w:rPr>
        <w:t xml:space="preserve">interaktionsstudier. Mekanismen ved omdannelse af colistimethatnatrium til det aktive stof colistin er ikke klarlagt. Mekanismen ved colistinclearance, herunder renal clearance, er ligeledes ukendt. Colistimethatnatrium eller colistin inducerede ikke aktiviteten af noget testet CYP-enzym (CYP1A2, 2B6, 2C8, 2C9, 2C19 og 3A4/5) i </w:t>
      </w:r>
      <w:r w:rsidRPr="00A67439">
        <w:rPr>
          <w:i/>
          <w:iCs/>
          <w:sz w:val="24"/>
          <w:szCs w:val="24"/>
        </w:rPr>
        <w:t>in vitro</w:t>
      </w:r>
      <w:r w:rsidRPr="00A67439">
        <w:rPr>
          <w:sz w:val="24"/>
          <w:szCs w:val="24"/>
        </w:rPr>
        <w:t xml:space="preserve">-studier i humane hepatocytter. </w:t>
      </w:r>
    </w:p>
    <w:p w:rsidR="00C26590" w:rsidRPr="00A67439" w:rsidRDefault="00C26590" w:rsidP="00C26590">
      <w:pPr>
        <w:ind w:left="851"/>
        <w:rPr>
          <w:sz w:val="24"/>
          <w:szCs w:val="24"/>
        </w:rPr>
      </w:pPr>
    </w:p>
    <w:p w:rsidR="00C26590" w:rsidRPr="00A67439" w:rsidRDefault="00C26590" w:rsidP="00C26590">
      <w:pPr>
        <w:ind w:left="851"/>
        <w:rPr>
          <w:sz w:val="24"/>
          <w:szCs w:val="24"/>
        </w:rPr>
      </w:pPr>
      <w:r w:rsidRPr="00A67439">
        <w:rPr>
          <w:sz w:val="24"/>
          <w:szCs w:val="24"/>
        </w:rPr>
        <w:t xml:space="preserve">Man skal huske på risikoen for lægemiddelinteraktioner, når Promixin administreres sammen med lægemidler, der er kendt for at hæmme eller inducere lægemiddelmetaboliserende enzymer, eller lægemidler, der er kendt for at være substrater for renal transportmekanismer. </w:t>
      </w:r>
    </w:p>
    <w:p w:rsidR="00C26590" w:rsidRPr="00A67439" w:rsidRDefault="00C26590" w:rsidP="00C26590">
      <w:pPr>
        <w:ind w:left="851"/>
        <w:rPr>
          <w:sz w:val="24"/>
          <w:szCs w:val="24"/>
        </w:rPr>
      </w:pPr>
    </w:p>
    <w:p w:rsidR="00C26590" w:rsidRPr="00A67439" w:rsidRDefault="00C26590" w:rsidP="00C26590">
      <w:pPr>
        <w:ind w:left="851"/>
        <w:rPr>
          <w:sz w:val="24"/>
          <w:szCs w:val="24"/>
        </w:rPr>
      </w:pPr>
      <w:r w:rsidRPr="00A67439">
        <w:rPr>
          <w:sz w:val="24"/>
          <w:szCs w:val="24"/>
        </w:rPr>
        <w:t xml:space="preserve">På grund af colistins virkninger på frigivelsen af acetylcholin bør ikke-depolariserende muskelrelaksantia anvendes med forsigtighed til patienter, der får colistimethatnatrium, da virkningen kan blive forlænget (se pkt. 4.4). </w:t>
      </w:r>
    </w:p>
    <w:p w:rsidR="00C26590" w:rsidRPr="00A67439" w:rsidRDefault="00C26590" w:rsidP="00C26590">
      <w:pPr>
        <w:ind w:left="851"/>
        <w:rPr>
          <w:sz w:val="24"/>
          <w:szCs w:val="24"/>
        </w:rPr>
      </w:pPr>
    </w:p>
    <w:p w:rsidR="00C26590" w:rsidRPr="00A67439" w:rsidRDefault="00C26590" w:rsidP="00C26590">
      <w:pPr>
        <w:ind w:left="851"/>
        <w:rPr>
          <w:sz w:val="24"/>
          <w:szCs w:val="24"/>
        </w:rPr>
      </w:pPr>
      <w:r w:rsidRPr="00A67439">
        <w:rPr>
          <w:sz w:val="24"/>
          <w:szCs w:val="24"/>
        </w:rPr>
        <w:t>Samtidig behandling med colistimethatnatrium og makrolider, såsom azithromycin og clarithromycin, eller fluorquinoloner, såsom norfloxacin og ciprofloxacin, skal ske med forsigtighed til patienter med myasthenia gravis (se pkt. 4.4).</w:t>
      </w:r>
    </w:p>
    <w:p w:rsidR="00C26590" w:rsidRPr="00A67439" w:rsidRDefault="00C26590" w:rsidP="00C26590">
      <w:pPr>
        <w:ind w:left="851" w:hanging="851"/>
        <w:rPr>
          <w:sz w:val="24"/>
          <w:szCs w:val="24"/>
        </w:rPr>
      </w:pPr>
    </w:p>
    <w:p w:rsidR="00C26590" w:rsidRPr="00C7350F" w:rsidRDefault="00C26590" w:rsidP="00C26590">
      <w:pPr>
        <w:numPr>
          <w:ilvl w:val="1"/>
          <w:numId w:val="1"/>
        </w:numPr>
        <w:tabs>
          <w:tab w:val="clear" w:pos="855"/>
        </w:tabs>
        <w:ind w:left="851" w:hanging="851"/>
        <w:rPr>
          <w:b/>
          <w:sz w:val="24"/>
          <w:szCs w:val="24"/>
        </w:rPr>
      </w:pPr>
      <w:r w:rsidRPr="00C7350F">
        <w:rPr>
          <w:b/>
          <w:sz w:val="24"/>
          <w:szCs w:val="24"/>
        </w:rPr>
        <w:t>Graviditet og amning</w:t>
      </w:r>
    </w:p>
    <w:p w:rsidR="00C26590" w:rsidRPr="00C7350F" w:rsidRDefault="00C26590" w:rsidP="00C26590">
      <w:pPr>
        <w:ind w:left="851" w:hanging="851"/>
        <w:rPr>
          <w:sz w:val="24"/>
          <w:szCs w:val="24"/>
          <w:u w:val="single"/>
        </w:rPr>
      </w:pPr>
      <w:r w:rsidRPr="00C7350F">
        <w:rPr>
          <w:sz w:val="24"/>
          <w:szCs w:val="24"/>
        </w:rPr>
        <w:tab/>
      </w:r>
      <w:r w:rsidRPr="00C7350F">
        <w:rPr>
          <w:sz w:val="24"/>
          <w:szCs w:val="24"/>
          <w:u w:val="single"/>
        </w:rPr>
        <w:t>Fertilitet</w:t>
      </w:r>
    </w:p>
    <w:p w:rsidR="00C26590" w:rsidRPr="00C7350F" w:rsidRDefault="00C26590" w:rsidP="00C26590">
      <w:pPr>
        <w:autoSpaceDE w:val="0"/>
        <w:autoSpaceDN w:val="0"/>
        <w:adjustRightInd w:val="0"/>
        <w:ind w:left="851"/>
        <w:rPr>
          <w:sz w:val="24"/>
          <w:szCs w:val="24"/>
        </w:rPr>
      </w:pPr>
      <w:r w:rsidRPr="00C7350F">
        <w:rPr>
          <w:sz w:val="24"/>
          <w:szCs w:val="24"/>
        </w:rPr>
        <w:t xml:space="preserve">Der foreligger ingen data vedrørende colistimethatnatriums effekt på fertiliteten hos mennesker. Effekten på hanner og hunners fertilitet er ikke blevet undersøgt i dyreforsøg. </w:t>
      </w:r>
    </w:p>
    <w:p w:rsidR="00C26590" w:rsidRPr="00C7350F" w:rsidRDefault="00C26590" w:rsidP="00C26590">
      <w:pPr>
        <w:ind w:left="851" w:hanging="851"/>
        <w:rPr>
          <w:sz w:val="24"/>
          <w:szCs w:val="24"/>
        </w:rPr>
      </w:pPr>
    </w:p>
    <w:p w:rsidR="00C26590" w:rsidRPr="00C7350F" w:rsidRDefault="00C26590" w:rsidP="00C26590">
      <w:pPr>
        <w:ind w:left="851"/>
        <w:rPr>
          <w:sz w:val="24"/>
          <w:szCs w:val="24"/>
          <w:u w:val="single"/>
        </w:rPr>
      </w:pPr>
      <w:r w:rsidRPr="00C7350F">
        <w:rPr>
          <w:sz w:val="24"/>
          <w:szCs w:val="24"/>
          <w:u w:val="single"/>
        </w:rPr>
        <w:t>Graviditet</w:t>
      </w:r>
    </w:p>
    <w:p w:rsidR="00C26590" w:rsidRPr="00C7350F" w:rsidRDefault="00C26590" w:rsidP="00C26590">
      <w:pPr>
        <w:ind w:left="851"/>
        <w:rPr>
          <w:sz w:val="24"/>
          <w:szCs w:val="24"/>
        </w:rPr>
      </w:pPr>
      <w:r w:rsidRPr="00C7350F">
        <w:rPr>
          <w:sz w:val="24"/>
          <w:szCs w:val="24"/>
        </w:rPr>
        <w:t xml:space="preserve">Sikkerheden i forbindelse med human graviditet er ikke klarlagt. Data fra dyreforsøg er utilstrækkelige hvad angår </w:t>
      </w:r>
      <w:r w:rsidRPr="00C7350F">
        <w:rPr>
          <w:noProof/>
          <w:sz w:val="24"/>
          <w:szCs w:val="24"/>
        </w:rPr>
        <w:t>reproduktionstoksicitet</w:t>
      </w:r>
      <w:r w:rsidRPr="00C7350F">
        <w:rPr>
          <w:sz w:val="24"/>
          <w:szCs w:val="24"/>
        </w:rPr>
        <w:t xml:space="preserve">. Der er evidens for, at colistimethatnatrium passerer placenta, og der er derfor risiko for fostertoksicitet, hvis stoffet indgives under graviditet. Promixin må derfor kun anvendes under graviditet, hvis fordelene opvejer eventuelle risici. </w:t>
      </w:r>
    </w:p>
    <w:p w:rsidR="00C26590" w:rsidRPr="00C7350F" w:rsidRDefault="00C26590" w:rsidP="00C26590">
      <w:pPr>
        <w:ind w:left="851" w:hanging="851"/>
        <w:rPr>
          <w:sz w:val="24"/>
          <w:szCs w:val="24"/>
        </w:rPr>
      </w:pPr>
    </w:p>
    <w:p w:rsidR="00C26590" w:rsidRPr="00C7350F" w:rsidRDefault="00C26590" w:rsidP="00C26590">
      <w:pPr>
        <w:ind w:left="851"/>
        <w:rPr>
          <w:sz w:val="24"/>
          <w:szCs w:val="24"/>
          <w:u w:val="single"/>
        </w:rPr>
      </w:pPr>
      <w:r w:rsidRPr="00C7350F">
        <w:rPr>
          <w:sz w:val="24"/>
          <w:szCs w:val="24"/>
          <w:u w:val="single"/>
        </w:rPr>
        <w:t>Amning</w:t>
      </w:r>
    </w:p>
    <w:p w:rsidR="00C26590" w:rsidRPr="00C7350F" w:rsidRDefault="00C26590" w:rsidP="00C26590">
      <w:pPr>
        <w:ind w:left="851"/>
        <w:rPr>
          <w:sz w:val="24"/>
          <w:szCs w:val="24"/>
        </w:rPr>
      </w:pPr>
      <w:r w:rsidRPr="00C7350F">
        <w:rPr>
          <w:sz w:val="24"/>
          <w:szCs w:val="24"/>
        </w:rPr>
        <w:t>Colistimethatnatrium udskilles i modermælk, og amning frarådes derfor under behandlingen.</w:t>
      </w:r>
    </w:p>
    <w:p w:rsidR="00C26590" w:rsidRPr="00C7350F" w:rsidRDefault="00C26590" w:rsidP="00C26590">
      <w:pPr>
        <w:ind w:left="851" w:hanging="851"/>
        <w:rPr>
          <w:sz w:val="24"/>
          <w:szCs w:val="24"/>
        </w:rPr>
      </w:pPr>
    </w:p>
    <w:p w:rsidR="00C26590" w:rsidRPr="00C7350F" w:rsidRDefault="00C26590" w:rsidP="00C26590">
      <w:pPr>
        <w:numPr>
          <w:ilvl w:val="1"/>
          <w:numId w:val="1"/>
        </w:numPr>
        <w:tabs>
          <w:tab w:val="clear" w:pos="855"/>
        </w:tabs>
        <w:ind w:left="851" w:hanging="851"/>
        <w:rPr>
          <w:b/>
          <w:sz w:val="24"/>
          <w:szCs w:val="24"/>
        </w:rPr>
      </w:pPr>
      <w:r w:rsidRPr="00C7350F">
        <w:rPr>
          <w:b/>
          <w:sz w:val="24"/>
          <w:szCs w:val="24"/>
        </w:rPr>
        <w:t>Virkninger på evnen til at føre motorkøretøj eller betjene maskiner</w:t>
      </w:r>
    </w:p>
    <w:p w:rsidR="00C26590" w:rsidRPr="00C7350F" w:rsidRDefault="00C26590" w:rsidP="00C26590">
      <w:pPr>
        <w:ind w:left="851" w:hanging="851"/>
        <w:rPr>
          <w:sz w:val="24"/>
          <w:szCs w:val="24"/>
        </w:rPr>
      </w:pPr>
      <w:r w:rsidRPr="00C7350F">
        <w:rPr>
          <w:sz w:val="24"/>
          <w:szCs w:val="24"/>
        </w:rPr>
        <w:tab/>
        <w:t>Ingen mærkning.</w:t>
      </w:r>
    </w:p>
    <w:p w:rsidR="00C26590" w:rsidRPr="00C7350F" w:rsidRDefault="00C26590" w:rsidP="00C26590">
      <w:pPr>
        <w:ind w:left="851"/>
        <w:rPr>
          <w:sz w:val="24"/>
          <w:szCs w:val="24"/>
        </w:rPr>
      </w:pPr>
      <w:r w:rsidRPr="00C7350F">
        <w:rPr>
          <w:sz w:val="24"/>
          <w:szCs w:val="24"/>
        </w:rPr>
        <w:t>Neurotoksicitet, der kendetegnes ved svimmelhed, konfusion eller synsforstyrrelser, er rapporteret efter parenteral administration af colistimethatnatrium. Hvis disse symptomer opstår, skal patienten advares mod at føre motorkøretøj eller betjene maskiner.</w:t>
      </w:r>
    </w:p>
    <w:p w:rsidR="00C26590" w:rsidRDefault="00C26590" w:rsidP="00C26590">
      <w:pPr>
        <w:ind w:left="851" w:hanging="851"/>
        <w:rPr>
          <w:sz w:val="24"/>
          <w:szCs w:val="24"/>
        </w:rPr>
      </w:pPr>
    </w:p>
    <w:p w:rsidR="00C26590" w:rsidRDefault="00C26590" w:rsidP="00C26590">
      <w:pPr>
        <w:ind w:left="851" w:hanging="851"/>
        <w:rPr>
          <w:sz w:val="24"/>
          <w:szCs w:val="24"/>
        </w:rPr>
      </w:pPr>
    </w:p>
    <w:p w:rsidR="00C26590" w:rsidRPr="00C7350F" w:rsidRDefault="00C26590" w:rsidP="00C26590">
      <w:pPr>
        <w:ind w:left="851" w:hanging="851"/>
        <w:rPr>
          <w:sz w:val="24"/>
          <w:szCs w:val="24"/>
        </w:rPr>
      </w:pPr>
    </w:p>
    <w:p w:rsidR="00C26590" w:rsidRPr="00C7350F" w:rsidRDefault="00C26590" w:rsidP="00C26590">
      <w:pPr>
        <w:numPr>
          <w:ilvl w:val="1"/>
          <w:numId w:val="1"/>
        </w:numPr>
        <w:tabs>
          <w:tab w:val="clear" w:pos="855"/>
        </w:tabs>
        <w:ind w:left="851" w:hanging="851"/>
        <w:rPr>
          <w:b/>
          <w:sz w:val="24"/>
          <w:szCs w:val="24"/>
        </w:rPr>
      </w:pPr>
      <w:r w:rsidRPr="00C7350F">
        <w:rPr>
          <w:b/>
          <w:sz w:val="24"/>
          <w:szCs w:val="24"/>
        </w:rPr>
        <w:t>Bivirkninger</w:t>
      </w:r>
    </w:p>
    <w:p w:rsidR="00C26590" w:rsidRPr="00C7350F" w:rsidRDefault="00C26590" w:rsidP="00C26590">
      <w:pPr>
        <w:ind w:left="851" w:hanging="851"/>
        <w:rPr>
          <w:sz w:val="24"/>
          <w:szCs w:val="24"/>
        </w:rPr>
      </w:pPr>
      <w:r w:rsidRPr="00C7350F">
        <w:rPr>
          <w:sz w:val="24"/>
          <w:szCs w:val="24"/>
        </w:rPr>
        <w:tab/>
        <w:t xml:space="preserve">De mest almindelige bivirkninger er nedsat nyrefunktion og mere sjældent nyresvigt, sædvanligvis efter højere dosis end anbefalet til patienter med normal nyrefunktion eller manglende dosisreduktion til patienter med nedsat nyrefunktion, eller hvis det administreres samtidigt med andre nefrotoksiske antibiotika. Disse bivirkninger er sædvanligvis reversible efter seponering af behandlingen, men sjældent kan der være behov for intervention (nyretransplantationsbehandling) </w:t>
      </w:r>
    </w:p>
    <w:p w:rsidR="00C26590" w:rsidRPr="00C7350F" w:rsidRDefault="00C26590" w:rsidP="00C26590">
      <w:pPr>
        <w:ind w:left="851" w:hanging="851"/>
        <w:rPr>
          <w:sz w:val="24"/>
          <w:szCs w:val="24"/>
        </w:rPr>
      </w:pPr>
      <w:r w:rsidRPr="00C7350F">
        <w:rPr>
          <w:sz w:val="24"/>
          <w:szCs w:val="24"/>
        </w:rPr>
        <w:tab/>
      </w:r>
    </w:p>
    <w:p w:rsidR="00C26590" w:rsidRPr="00C7350F" w:rsidRDefault="00C26590" w:rsidP="00C26590">
      <w:pPr>
        <w:ind w:left="851" w:hanging="851"/>
        <w:rPr>
          <w:sz w:val="24"/>
          <w:szCs w:val="24"/>
        </w:rPr>
      </w:pPr>
      <w:r w:rsidRPr="00C7350F">
        <w:rPr>
          <w:sz w:val="24"/>
          <w:szCs w:val="24"/>
        </w:rPr>
        <w:tab/>
        <w:t xml:space="preserve">Det er rapporteret at høje serumkoncentrationer af colistimethatnatrium, som kan ses i forbindelse med overdosering eller manglende reduktion af dosis til patienter med nedsat nyrefunktion, kan medføre neurotoksiske bivirkninger, såsom facial paræstesi, muskelsvaghed, vertigo, sløret tale, vasomotorisk ustabilitet, synsforstyrrelser, konfusion, psykoser og apnø. Samtidig anvendelse af enten ikke-depolariserende muskelrelaksantia eller antibiotika med lignende neurotoksiske virkninger kan også medføre neurotoksicitet. En reduktion af colistimethatnatriumdosis kan afhjælpe symptomerne. </w:t>
      </w:r>
    </w:p>
    <w:p w:rsidR="00C26590" w:rsidRPr="00C7350F" w:rsidRDefault="00C26590" w:rsidP="00C26590">
      <w:pPr>
        <w:ind w:left="851" w:hanging="851"/>
        <w:rPr>
          <w:sz w:val="24"/>
          <w:szCs w:val="24"/>
        </w:rPr>
      </w:pPr>
    </w:p>
    <w:p w:rsidR="00C26590" w:rsidRPr="00C7350F" w:rsidRDefault="00C26590" w:rsidP="00C26590">
      <w:pPr>
        <w:ind w:left="851" w:hanging="851"/>
        <w:rPr>
          <w:sz w:val="24"/>
          <w:szCs w:val="24"/>
        </w:rPr>
      </w:pPr>
      <w:r w:rsidRPr="00C7350F">
        <w:rPr>
          <w:sz w:val="24"/>
          <w:szCs w:val="24"/>
        </w:rPr>
        <w:tab/>
        <w:t>Der er forekommet hypersensitivitetsreaktioner såsom hududslæt og angioødem. Behandlingen med colistimethatnatrium skal seponeres, hvis sådanne reaktioner forekommer.</w:t>
      </w:r>
    </w:p>
    <w:p w:rsidR="00C26590" w:rsidRPr="00C7350F" w:rsidRDefault="00C26590" w:rsidP="00C26590">
      <w:pPr>
        <w:ind w:left="851" w:hanging="851"/>
        <w:rPr>
          <w:sz w:val="24"/>
          <w:szCs w:val="24"/>
        </w:rPr>
      </w:pPr>
    </w:p>
    <w:p w:rsidR="00C26590" w:rsidRPr="00C7350F" w:rsidRDefault="00C26590" w:rsidP="00C26590">
      <w:pPr>
        <w:ind w:left="851" w:hanging="851"/>
        <w:rPr>
          <w:sz w:val="24"/>
          <w:szCs w:val="24"/>
        </w:rPr>
      </w:pPr>
      <w:r w:rsidRPr="00C7350F">
        <w:rPr>
          <w:sz w:val="24"/>
          <w:szCs w:val="24"/>
        </w:rPr>
        <w:tab/>
        <w:t>Bivirkninger er opstillet nedenfor efter systemorganklasser og hyppighed. Hyppighed er defineret som: meget almindelig (</w:t>
      </w:r>
      <w:r w:rsidRPr="00C7350F">
        <w:rPr>
          <w:sz w:val="24"/>
          <w:szCs w:val="24"/>
          <w:u w:val="single"/>
        </w:rPr>
        <w:t>&gt;</w:t>
      </w:r>
      <w:r w:rsidRPr="00C7350F">
        <w:rPr>
          <w:sz w:val="24"/>
          <w:szCs w:val="24"/>
        </w:rPr>
        <w:t xml:space="preserve">1/10), almindelig </w:t>
      </w:r>
      <w:bookmarkStart w:id="1" w:name="OLE_LINK2"/>
      <w:bookmarkStart w:id="2" w:name="OLE_LINK1"/>
      <w:r w:rsidRPr="00C7350F">
        <w:rPr>
          <w:sz w:val="24"/>
          <w:szCs w:val="24"/>
        </w:rPr>
        <w:t>(</w:t>
      </w:r>
      <w:r w:rsidRPr="00C7350F">
        <w:rPr>
          <w:sz w:val="24"/>
          <w:szCs w:val="24"/>
          <w:u w:val="single"/>
        </w:rPr>
        <w:t>&gt;</w:t>
      </w:r>
      <w:r w:rsidRPr="00C7350F">
        <w:rPr>
          <w:sz w:val="24"/>
          <w:szCs w:val="24"/>
        </w:rPr>
        <w:t xml:space="preserve">1/100 til &lt;1/10), </w:t>
      </w:r>
      <w:bookmarkEnd w:id="1"/>
      <w:bookmarkEnd w:id="2"/>
      <w:r w:rsidRPr="00C7350F">
        <w:rPr>
          <w:sz w:val="24"/>
          <w:szCs w:val="24"/>
        </w:rPr>
        <w:t>ikke almindelig (</w:t>
      </w:r>
      <w:r w:rsidRPr="00C7350F">
        <w:rPr>
          <w:sz w:val="24"/>
          <w:szCs w:val="24"/>
          <w:u w:val="single"/>
        </w:rPr>
        <w:t>&gt;</w:t>
      </w:r>
      <w:r w:rsidRPr="00C7350F">
        <w:rPr>
          <w:sz w:val="24"/>
          <w:szCs w:val="24"/>
        </w:rPr>
        <w:t>1/1.000 til &lt;1/100), sjælden (</w:t>
      </w:r>
      <w:r w:rsidRPr="00C7350F">
        <w:rPr>
          <w:sz w:val="24"/>
          <w:szCs w:val="24"/>
          <w:u w:val="single"/>
        </w:rPr>
        <w:t>&gt;</w:t>
      </w:r>
      <w:r w:rsidRPr="00C7350F">
        <w:rPr>
          <w:sz w:val="24"/>
          <w:szCs w:val="24"/>
        </w:rPr>
        <w:t>1/10.000 til &lt;1/1.000) og meget sjælden &lt;1/10.000), ikke kendt (kan ikke estimeres ud fra forhåndenværende data).</w:t>
      </w:r>
    </w:p>
    <w:p w:rsidR="00C26590" w:rsidRPr="00C7350F" w:rsidRDefault="00C26590" w:rsidP="00C26590">
      <w:pPr>
        <w:pStyle w:val="Sidehoved"/>
        <w:tabs>
          <w:tab w:val="clear" w:pos="4819"/>
          <w:tab w:val="clear" w:pos="9638"/>
        </w:tabs>
        <w:ind w:left="851" w:hanging="851"/>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8"/>
        <w:gridCol w:w="3141"/>
        <w:gridCol w:w="3230"/>
      </w:tblGrid>
      <w:tr w:rsidR="00C26590" w:rsidRPr="00C7350F" w:rsidTr="003B4BCE">
        <w:tc>
          <w:tcPr>
            <w:tcW w:w="2300"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b/>
                <w:szCs w:val="24"/>
              </w:rPr>
            </w:pPr>
            <w:r w:rsidRPr="00C7350F">
              <w:rPr>
                <w:b/>
                <w:szCs w:val="24"/>
              </w:rPr>
              <w:t>Systemorganklasse</w:t>
            </w:r>
          </w:p>
        </w:tc>
        <w:tc>
          <w:tcPr>
            <w:tcW w:w="3259"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b/>
                <w:szCs w:val="24"/>
              </w:rPr>
            </w:pPr>
            <w:r w:rsidRPr="00C7350F">
              <w:rPr>
                <w:b/>
                <w:szCs w:val="24"/>
              </w:rPr>
              <w:t>Hyppighed</w:t>
            </w:r>
          </w:p>
        </w:tc>
        <w:tc>
          <w:tcPr>
            <w:tcW w:w="3260"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b/>
                <w:szCs w:val="24"/>
              </w:rPr>
            </w:pPr>
            <w:r w:rsidRPr="00C7350F">
              <w:rPr>
                <w:b/>
                <w:szCs w:val="24"/>
              </w:rPr>
              <w:t>Rapporterede bivirkninger</w:t>
            </w:r>
          </w:p>
        </w:tc>
      </w:tr>
      <w:tr w:rsidR="00C26590" w:rsidRPr="00C7350F" w:rsidTr="003B4BCE">
        <w:tc>
          <w:tcPr>
            <w:tcW w:w="2300"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szCs w:val="24"/>
              </w:rPr>
            </w:pPr>
            <w:r w:rsidRPr="00C7350F">
              <w:rPr>
                <w:szCs w:val="24"/>
              </w:rPr>
              <w:t>Immunsystemet</w:t>
            </w:r>
          </w:p>
        </w:tc>
        <w:tc>
          <w:tcPr>
            <w:tcW w:w="3259"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szCs w:val="24"/>
              </w:rPr>
            </w:pPr>
            <w:r w:rsidRPr="00C7350F">
              <w:rPr>
                <w:szCs w:val="24"/>
              </w:rPr>
              <w:t>Ikke kendt</w:t>
            </w:r>
          </w:p>
        </w:tc>
        <w:tc>
          <w:tcPr>
            <w:tcW w:w="3260" w:type="dxa"/>
            <w:tcBorders>
              <w:top w:val="single" w:sz="4" w:space="0" w:color="auto"/>
              <w:left w:val="single" w:sz="4" w:space="0" w:color="auto"/>
              <w:bottom w:val="single" w:sz="4" w:space="0" w:color="auto"/>
              <w:right w:val="single" w:sz="4" w:space="0" w:color="auto"/>
            </w:tcBorders>
          </w:tcPr>
          <w:p w:rsidR="00C26590" w:rsidRPr="00C7350F" w:rsidRDefault="00C26590" w:rsidP="003B4BCE">
            <w:pPr>
              <w:pStyle w:val="Sidehoved"/>
              <w:tabs>
                <w:tab w:val="clear" w:pos="4819"/>
                <w:tab w:val="clear" w:pos="9638"/>
              </w:tabs>
              <w:rPr>
                <w:szCs w:val="24"/>
              </w:rPr>
            </w:pPr>
            <w:r w:rsidRPr="00C7350F">
              <w:rPr>
                <w:szCs w:val="24"/>
              </w:rPr>
              <w:t>Overfølsomhedsreaktioner som hududslæt og angioødem</w:t>
            </w:r>
          </w:p>
          <w:p w:rsidR="00C26590" w:rsidRPr="00C7350F" w:rsidRDefault="00C26590" w:rsidP="003B4BCE">
            <w:pPr>
              <w:pStyle w:val="Sidehoved"/>
              <w:tabs>
                <w:tab w:val="clear" w:pos="4819"/>
                <w:tab w:val="clear" w:pos="9638"/>
              </w:tabs>
              <w:rPr>
                <w:szCs w:val="24"/>
              </w:rPr>
            </w:pPr>
          </w:p>
        </w:tc>
      </w:tr>
      <w:tr w:rsidR="00C26590" w:rsidRPr="00C7350F" w:rsidTr="003B4BCE">
        <w:tc>
          <w:tcPr>
            <w:tcW w:w="2300"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szCs w:val="24"/>
              </w:rPr>
            </w:pPr>
            <w:r w:rsidRPr="00C7350F">
              <w:rPr>
                <w:szCs w:val="24"/>
              </w:rPr>
              <w:t>Nervesystemet</w:t>
            </w:r>
          </w:p>
        </w:tc>
        <w:tc>
          <w:tcPr>
            <w:tcW w:w="3259" w:type="dxa"/>
            <w:tcBorders>
              <w:top w:val="single" w:sz="4" w:space="0" w:color="auto"/>
              <w:left w:val="single" w:sz="4" w:space="0" w:color="auto"/>
              <w:bottom w:val="single" w:sz="4" w:space="0" w:color="auto"/>
              <w:right w:val="single" w:sz="4" w:space="0" w:color="auto"/>
            </w:tcBorders>
          </w:tcPr>
          <w:p w:rsidR="00C26590" w:rsidRPr="00C7350F" w:rsidRDefault="00C26590" w:rsidP="003B4BCE">
            <w:pPr>
              <w:pStyle w:val="Sidehoved"/>
              <w:tabs>
                <w:tab w:val="clear" w:pos="4819"/>
                <w:tab w:val="clear" w:pos="9638"/>
              </w:tabs>
              <w:rPr>
                <w:szCs w:val="24"/>
              </w:rPr>
            </w:pPr>
            <w:r w:rsidRPr="00C7350F">
              <w:rPr>
                <w:szCs w:val="24"/>
              </w:rPr>
              <w:t>Meget almindelig</w:t>
            </w:r>
          </w:p>
          <w:p w:rsidR="00C26590" w:rsidRPr="00C7350F" w:rsidRDefault="00C26590" w:rsidP="003B4BCE">
            <w:pPr>
              <w:pStyle w:val="Sidehoved"/>
              <w:tabs>
                <w:tab w:val="clear" w:pos="4819"/>
                <w:tab w:val="clear" w:pos="9638"/>
              </w:tabs>
              <w:rPr>
                <w:szCs w:val="24"/>
              </w:rPr>
            </w:pPr>
          </w:p>
          <w:p w:rsidR="00C26590" w:rsidRPr="00C7350F" w:rsidRDefault="00C26590" w:rsidP="003B4BCE">
            <w:pPr>
              <w:pStyle w:val="Sidehoved"/>
              <w:tabs>
                <w:tab w:val="clear" w:pos="4819"/>
                <w:tab w:val="clear" w:pos="9638"/>
              </w:tabs>
              <w:rPr>
                <w:szCs w:val="24"/>
              </w:rPr>
            </w:pPr>
          </w:p>
          <w:p w:rsidR="00C26590" w:rsidRPr="00C7350F" w:rsidRDefault="00C26590" w:rsidP="003B4BCE">
            <w:pPr>
              <w:pStyle w:val="Sidehoved"/>
              <w:tabs>
                <w:tab w:val="clear" w:pos="4819"/>
                <w:tab w:val="clear" w:pos="9638"/>
              </w:tabs>
              <w:rPr>
                <w:szCs w:val="24"/>
              </w:rPr>
            </w:pPr>
          </w:p>
          <w:p w:rsidR="00C26590" w:rsidRPr="00C7350F" w:rsidRDefault="00C26590" w:rsidP="003B4BCE">
            <w:pPr>
              <w:pStyle w:val="Sidehoved"/>
              <w:tabs>
                <w:tab w:val="clear" w:pos="4819"/>
                <w:tab w:val="clear" w:pos="9638"/>
              </w:tabs>
              <w:rPr>
                <w:szCs w:val="24"/>
              </w:rPr>
            </w:pPr>
            <w:r w:rsidRPr="00C7350F">
              <w:rPr>
                <w:szCs w:val="24"/>
              </w:rPr>
              <w:t>Ikke kendt</w:t>
            </w:r>
          </w:p>
        </w:tc>
        <w:tc>
          <w:tcPr>
            <w:tcW w:w="3260" w:type="dxa"/>
            <w:tcBorders>
              <w:top w:val="single" w:sz="4" w:space="0" w:color="auto"/>
              <w:left w:val="single" w:sz="4" w:space="0" w:color="auto"/>
              <w:bottom w:val="single" w:sz="4" w:space="0" w:color="auto"/>
              <w:right w:val="single" w:sz="4" w:space="0" w:color="auto"/>
            </w:tcBorders>
          </w:tcPr>
          <w:p w:rsidR="00C26590" w:rsidRPr="00C7350F" w:rsidRDefault="00C26590" w:rsidP="003B4BCE">
            <w:pPr>
              <w:pStyle w:val="Sidehoved"/>
              <w:tabs>
                <w:tab w:val="clear" w:pos="4819"/>
                <w:tab w:val="clear" w:pos="9638"/>
              </w:tabs>
              <w:rPr>
                <w:szCs w:val="24"/>
              </w:rPr>
            </w:pPr>
            <w:r w:rsidRPr="00C7350F">
              <w:rPr>
                <w:szCs w:val="24"/>
              </w:rPr>
              <w:t>Neurotoksicitet såsom facial-, oral- og perioral paræstesi, hovedpine og muskelsvaghed</w:t>
            </w:r>
          </w:p>
          <w:p w:rsidR="00C26590" w:rsidRPr="00C7350F" w:rsidRDefault="00C26590" w:rsidP="003B4BCE">
            <w:pPr>
              <w:pStyle w:val="Sidehoved"/>
              <w:tabs>
                <w:tab w:val="clear" w:pos="4819"/>
                <w:tab w:val="clear" w:pos="9638"/>
              </w:tabs>
              <w:rPr>
                <w:szCs w:val="24"/>
              </w:rPr>
            </w:pPr>
          </w:p>
          <w:p w:rsidR="00C26590" w:rsidRPr="00C7350F" w:rsidRDefault="00C26590" w:rsidP="003B4BCE">
            <w:pPr>
              <w:pStyle w:val="Sidehoved"/>
              <w:tabs>
                <w:tab w:val="clear" w:pos="4819"/>
                <w:tab w:val="clear" w:pos="9638"/>
              </w:tabs>
              <w:rPr>
                <w:szCs w:val="24"/>
              </w:rPr>
            </w:pPr>
            <w:r w:rsidRPr="00C7350F">
              <w:rPr>
                <w:szCs w:val="24"/>
              </w:rPr>
              <w:t>Svimmelhed</w:t>
            </w:r>
          </w:p>
          <w:p w:rsidR="00C26590" w:rsidRPr="00C7350F" w:rsidRDefault="00C26590" w:rsidP="003B4BCE">
            <w:pPr>
              <w:pStyle w:val="Sidehoved"/>
              <w:tabs>
                <w:tab w:val="clear" w:pos="4819"/>
                <w:tab w:val="clear" w:pos="9638"/>
              </w:tabs>
              <w:rPr>
                <w:szCs w:val="24"/>
              </w:rPr>
            </w:pPr>
            <w:r w:rsidRPr="00C7350F">
              <w:rPr>
                <w:szCs w:val="24"/>
              </w:rPr>
              <w:t>Ataksi</w:t>
            </w:r>
          </w:p>
          <w:p w:rsidR="00C26590" w:rsidRPr="00C7350F" w:rsidRDefault="00C26590" w:rsidP="003B4BCE">
            <w:pPr>
              <w:pStyle w:val="Sidehoved"/>
              <w:tabs>
                <w:tab w:val="clear" w:pos="4819"/>
                <w:tab w:val="clear" w:pos="9638"/>
              </w:tabs>
              <w:rPr>
                <w:szCs w:val="24"/>
              </w:rPr>
            </w:pPr>
          </w:p>
        </w:tc>
      </w:tr>
      <w:tr w:rsidR="00C26590" w:rsidRPr="00C7350F" w:rsidTr="003B4BCE">
        <w:tc>
          <w:tcPr>
            <w:tcW w:w="2300"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szCs w:val="24"/>
              </w:rPr>
            </w:pPr>
            <w:r w:rsidRPr="00C7350F">
              <w:rPr>
                <w:szCs w:val="24"/>
              </w:rPr>
              <w:t>Hud og subkutane væv</w:t>
            </w:r>
          </w:p>
        </w:tc>
        <w:tc>
          <w:tcPr>
            <w:tcW w:w="3259"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szCs w:val="24"/>
              </w:rPr>
            </w:pPr>
            <w:r w:rsidRPr="00C7350F">
              <w:rPr>
                <w:szCs w:val="24"/>
              </w:rPr>
              <w:t>Meget almindelig</w:t>
            </w:r>
          </w:p>
        </w:tc>
        <w:tc>
          <w:tcPr>
            <w:tcW w:w="3260"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szCs w:val="24"/>
              </w:rPr>
            </w:pPr>
            <w:r w:rsidRPr="00C7350F">
              <w:rPr>
                <w:szCs w:val="24"/>
              </w:rPr>
              <w:t>Pruritus</w:t>
            </w:r>
          </w:p>
        </w:tc>
      </w:tr>
      <w:tr w:rsidR="00C26590" w:rsidRPr="00C7350F" w:rsidTr="003B4BCE">
        <w:tc>
          <w:tcPr>
            <w:tcW w:w="2300"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szCs w:val="24"/>
              </w:rPr>
            </w:pPr>
            <w:r w:rsidRPr="00C7350F">
              <w:rPr>
                <w:szCs w:val="24"/>
              </w:rPr>
              <w:t>Nyrer og urinveje</w:t>
            </w:r>
          </w:p>
        </w:tc>
        <w:tc>
          <w:tcPr>
            <w:tcW w:w="3259" w:type="dxa"/>
            <w:tcBorders>
              <w:top w:val="single" w:sz="4" w:space="0" w:color="auto"/>
              <w:left w:val="single" w:sz="4" w:space="0" w:color="auto"/>
              <w:bottom w:val="single" w:sz="4" w:space="0" w:color="auto"/>
              <w:right w:val="single" w:sz="4" w:space="0" w:color="auto"/>
            </w:tcBorders>
          </w:tcPr>
          <w:p w:rsidR="00C26590" w:rsidRPr="00C7350F" w:rsidRDefault="00C26590" w:rsidP="003B4BCE">
            <w:pPr>
              <w:pStyle w:val="Sidehoved"/>
              <w:tabs>
                <w:tab w:val="clear" w:pos="4819"/>
                <w:tab w:val="clear" w:pos="9638"/>
              </w:tabs>
              <w:rPr>
                <w:szCs w:val="24"/>
              </w:rPr>
            </w:pPr>
            <w:r w:rsidRPr="00C7350F">
              <w:rPr>
                <w:szCs w:val="24"/>
              </w:rPr>
              <w:t>Meget almindelig</w:t>
            </w:r>
          </w:p>
          <w:p w:rsidR="00C26590" w:rsidRPr="00C7350F" w:rsidRDefault="00C26590" w:rsidP="003B4BCE">
            <w:pPr>
              <w:pStyle w:val="Sidehoved"/>
              <w:tabs>
                <w:tab w:val="clear" w:pos="4819"/>
                <w:tab w:val="clear" w:pos="9638"/>
              </w:tabs>
              <w:rPr>
                <w:szCs w:val="24"/>
              </w:rPr>
            </w:pPr>
          </w:p>
          <w:p w:rsidR="00C26590" w:rsidRPr="00C7350F" w:rsidRDefault="00C26590" w:rsidP="003B4BCE">
            <w:pPr>
              <w:pStyle w:val="Sidehoved"/>
              <w:tabs>
                <w:tab w:val="clear" w:pos="4819"/>
                <w:tab w:val="clear" w:pos="9638"/>
              </w:tabs>
              <w:rPr>
                <w:szCs w:val="24"/>
              </w:rPr>
            </w:pPr>
          </w:p>
          <w:p w:rsidR="00C26590" w:rsidRPr="00C7350F" w:rsidRDefault="00C26590" w:rsidP="003B4BCE">
            <w:pPr>
              <w:pStyle w:val="Sidehoved"/>
              <w:tabs>
                <w:tab w:val="clear" w:pos="4819"/>
                <w:tab w:val="clear" w:pos="9638"/>
              </w:tabs>
              <w:rPr>
                <w:szCs w:val="24"/>
              </w:rPr>
            </w:pPr>
          </w:p>
          <w:p w:rsidR="00C26590" w:rsidRPr="00C7350F" w:rsidRDefault="00C26590" w:rsidP="003B4BCE">
            <w:pPr>
              <w:pStyle w:val="Sidehoved"/>
              <w:tabs>
                <w:tab w:val="clear" w:pos="4819"/>
                <w:tab w:val="clear" w:pos="9638"/>
              </w:tabs>
              <w:rPr>
                <w:szCs w:val="24"/>
              </w:rPr>
            </w:pPr>
          </w:p>
          <w:p w:rsidR="00C26590" w:rsidRPr="00C7350F" w:rsidRDefault="00C26590" w:rsidP="003B4BCE">
            <w:pPr>
              <w:pStyle w:val="Sidehoved"/>
              <w:tabs>
                <w:tab w:val="clear" w:pos="4819"/>
                <w:tab w:val="clear" w:pos="9638"/>
              </w:tabs>
              <w:rPr>
                <w:szCs w:val="24"/>
              </w:rPr>
            </w:pPr>
            <w:r w:rsidRPr="00C7350F">
              <w:rPr>
                <w:szCs w:val="24"/>
              </w:rPr>
              <w:t>Sjælden</w:t>
            </w:r>
          </w:p>
          <w:p w:rsidR="00C26590" w:rsidRPr="00C7350F" w:rsidRDefault="00C26590" w:rsidP="003B4BCE">
            <w:pPr>
              <w:pStyle w:val="Sidehoved"/>
              <w:tabs>
                <w:tab w:val="clear" w:pos="4819"/>
                <w:tab w:val="clear" w:pos="9638"/>
              </w:tabs>
              <w:rPr>
                <w:szCs w:val="24"/>
              </w:rPr>
            </w:pPr>
          </w:p>
        </w:tc>
        <w:tc>
          <w:tcPr>
            <w:tcW w:w="3260" w:type="dxa"/>
            <w:tcBorders>
              <w:top w:val="single" w:sz="4" w:space="0" w:color="auto"/>
              <w:left w:val="single" w:sz="4" w:space="0" w:color="auto"/>
              <w:bottom w:val="single" w:sz="4" w:space="0" w:color="auto"/>
              <w:right w:val="single" w:sz="4" w:space="0" w:color="auto"/>
            </w:tcBorders>
          </w:tcPr>
          <w:p w:rsidR="00C26590" w:rsidRPr="00C7350F" w:rsidRDefault="00C26590" w:rsidP="003B4BCE">
            <w:pPr>
              <w:pStyle w:val="Sidehoved"/>
              <w:tabs>
                <w:tab w:val="clear" w:pos="4819"/>
                <w:tab w:val="clear" w:pos="9638"/>
              </w:tabs>
              <w:rPr>
                <w:szCs w:val="24"/>
              </w:rPr>
            </w:pPr>
            <w:r w:rsidRPr="00C7350F">
              <w:rPr>
                <w:szCs w:val="24"/>
              </w:rPr>
              <w:t>Nedsat nyrefunktion, påvist ved øget kreatinin og/eller urinstof i blodet og/eller nedsat nyrekreatininclearance</w:t>
            </w:r>
          </w:p>
          <w:p w:rsidR="00C26590" w:rsidRPr="00C7350F" w:rsidRDefault="00C26590" w:rsidP="003B4BCE">
            <w:pPr>
              <w:pStyle w:val="Sidehoved"/>
              <w:tabs>
                <w:tab w:val="clear" w:pos="4819"/>
                <w:tab w:val="clear" w:pos="9638"/>
              </w:tabs>
              <w:rPr>
                <w:szCs w:val="24"/>
              </w:rPr>
            </w:pPr>
          </w:p>
          <w:p w:rsidR="00C26590" w:rsidRPr="00C7350F" w:rsidRDefault="00C26590" w:rsidP="003B4BCE">
            <w:pPr>
              <w:pStyle w:val="Sidehoved"/>
              <w:tabs>
                <w:tab w:val="clear" w:pos="4819"/>
                <w:tab w:val="clear" w:pos="9638"/>
              </w:tabs>
              <w:rPr>
                <w:szCs w:val="24"/>
              </w:rPr>
            </w:pPr>
            <w:r w:rsidRPr="00C7350F">
              <w:rPr>
                <w:szCs w:val="24"/>
              </w:rPr>
              <w:t>Nyresvigt</w:t>
            </w:r>
          </w:p>
        </w:tc>
      </w:tr>
      <w:tr w:rsidR="00C26590" w:rsidRPr="00C7350F" w:rsidTr="003B4BCE">
        <w:tc>
          <w:tcPr>
            <w:tcW w:w="2300" w:type="dxa"/>
            <w:tcBorders>
              <w:top w:val="single" w:sz="4" w:space="0" w:color="auto"/>
              <w:left w:val="single" w:sz="4" w:space="0" w:color="auto"/>
              <w:bottom w:val="single" w:sz="4" w:space="0" w:color="auto"/>
              <w:right w:val="single" w:sz="4" w:space="0" w:color="auto"/>
            </w:tcBorders>
          </w:tcPr>
          <w:p w:rsidR="00C26590" w:rsidRPr="00C7350F" w:rsidRDefault="00C26590" w:rsidP="003B4BCE">
            <w:pPr>
              <w:pStyle w:val="Sidehoved"/>
              <w:tabs>
                <w:tab w:val="clear" w:pos="4819"/>
                <w:tab w:val="clear" w:pos="9638"/>
              </w:tabs>
              <w:rPr>
                <w:szCs w:val="24"/>
              </w:rPr>
            </w:pPr>
            <w:r w:rsidRPr="00C7350F">
              <w:rPr>
                <w:szCs w:val="24"/>
              </w:rPr>
              <w:t>Almene symptomer og reaktioner på administrationsstedet</w:t>
            </w:r>
          </w:p>
          <w:p w:rsidR="00C26590" w:rsidRPr="00C7350F" w:rsidRDefault="00C26590" w:rsidP="003B4BCE">
            <w:pPr>
              <w:pStyle w:val="Sidehoved"/>
              <w:tabs>
                <w:tab w:val="clear" w:pos="4819"/>
                <w:tab w:val="clear" w:pos="9638"/>
              </w:tabs>
              <w:rPr>
                <w:szCs w:val="24"/>
              </w:rPr>
            </w:pPr>
          </w:p>
        </w:tc>
        <w:tc>
          <w:tcPr>
            <w:tcW w:w="3259"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szCs w:val="24"/>
              </w:rPr>
            </w:pPr>
            <w:r w:rsidRPr="00C7350F">
              <w:rPr>
                <w:szCs w:val="24"/>
              </w:rPr>
              <w:t>Ikke kendt</w:t>
            </w:r>
          </w:p>
        </w:tc>
        <w:tc>
          <w:tcPr>
            <w:tcW w:w="3260" w:type="dxa"/>
            <w:tcBorders>
              <w:top w:val="single" w:sz="4" w:space="0" w:color="auto"/>
              <w:left w:val="single" w:sz="4" w:space="0" w:color="auto"/>
              <w:bottom w:val="single" w:sz="4" w:space="0" w:color="auto"/>
              <w:right w:val="single" w:sz="4" w:space="0" w:color="auto"/>
            </w:tcBorders>
            <w:hideMark/>
          </w:tcPr>
          <w:p w:rsidR="00C26590" w:rsidRPr="00C7350F" w:rsidRDefault="00C26590" w:rsidP="003B4BCE">
            <w:pPr>
              <w:pStyle w:val="Sidehoved"/>
              <w:tabs>
                <w:tab w:val="clear" w:pos="4819"/>
                <w:tab w:val="clear" w:pos="9638"/>
              </w:tabs>
              <w:rPr>
                <w:szCs w:val="24"/>
              </w:rPr>
            </w:pPr>
            <w:r w:rsidRPr="00C7350F">
              <w:rPr>
                <w:szCs w:val="24"/>
              </w:rPr>
              <w:t>Reaktioner på injektionsstedet</w:t>
            </w:r>
          </w:p>
        </w:tc>
      </w:tr>
    </w:tbl>
    <w:p w:rsidR="00C26590" w:rsidRDefault="00C26590" w:rsidP="00C26590">
      <w:pPr>
        <w:pStyle w:val="Sidehoved"/>
        <w:tabs>
          <w:tab w:val="clear" w:pos="4819"/>
          <w:tab w:val="clear" w:pos="9638"/>
        </w:tabs>
        <w:ind w:left="851" w:hanging="851"/>
        <w:rPr>
          <w:szCs w:val="24"/>
        </w:rPr>
      </w:pPr>
    </w:p>
    <w:p w:rsidR="00C26590" w:rsidRPr="004533FF" w:rsidRDefault="00C26590" w:rsidP="00C26590">
      <w:pPr>
        <w:pStyle w:val="Sidehoved"/>
        <w:tabs>
          <w:tab w:val="left" w:pos="851"/>
        </w:tabs>
        <w:ind w:left="851"/>
        <w:rPr>
          <w:szCs w:val="24"/>
          <w:u w:val="single"/>
        </w:rPr>
      </w:pPr>
      <w:r w:rsidRPr="004533FF">
        <w:rPr>
          <w:szCs w:val="24"/>
          <w:u w:val="single"/>
        </w:rPr>
        <w:t xml:space="preserve">Indberetning af </w:t>
      </w:r>
      <w:r>
        <w:rPr>
          <w:szCs w:val="24"/>
          <w:u w:val="single"/>
        </w:rPr>
        <w:t>formodede</w:t>
      </w:r>
      <w:r w:rsidRPr="004533FF">
        <w:rPr>
          <w:szCs w:val="24"/>
          <w:u w:val="single"/>
        </w:rPr>
        <w:t xml:space="preserve"> bivirkninger</w:t>
      </w:r>
    </w:p>
    <w:p w:rsidR="00C26590" w:rsidRPr="004533FF" w:rsidRDefault="00C26590" w:rsidP="00C26590">
      <w:pPr>
        <w:pStyle w:val="Sidehoved"/>
        <w:tabs>
          <w:tab w:val="left" w:pos="851"/>
        </w:tabs>
        <w:ind w:left="851"/>
        <w:rPr>
          <w:szCs w:val="24"/>
        </w:rPr>
      </w:pPr>
      <w:r w:rsidRPr="004533FF">
        <w:rPr>
          <w:szCs w:val="24"/>
        </w:rPr>
        <w:t xml:space="preserve">Når lægemidlet er godkendt, er indberetning af </w:t>
      </w:r>
      <w:r>
        <w:rPr>
          <w:szCs w:val="24"/>
        </w:rPr>
        <w:t>formodede</w:t>
      </w:r>
      <w:r w:rsidRPr="004533FF">
        <w:rPr>
          <w:szCs w:val="24"/>
        </w:rPr>
        <w:t xml:space="preserve"> bivirkninger vigtig. Det muliggør løbende overvågning af benefit/risk-forholdet for lægemidlet. Læger og sundhedspersonale anmodes om at indberette alle </w:t>
      </w:r>
      <w:r>
        <w:rPr>
          <w:szCs w:val="24"/>
        </w:rPr>
        <w:t>formodede</w:t>
      </w:r>
      <w:r w:rsidRPr="004533FF">
        <w:rPr>
          <w:szCs w:val="24"/>
        </w:rPr>
        <w:t xml:space="preserve"> bivirkninger via:</w:t>
      </w:r>
    </w:p>
    <w:p w:rsidR="00C26590" w:rsidRPr="004533FF" w:rsidRDefault="00C26590" w:rsidP="00C26590">
      <w:pPr>
        <w:pStyle w:val="Sidehoved"/>
        <w:tabs>
          <w:tab w:val="left" w:pos="851"/>
        </w:tabs>
        <w:rPr>
          <w:szCs w:val="24"/>
        </w:rPr>
      </w:pPr>
    </w:p>
    <w:p w:rsidR="00C26590" w:rsidRPr="004533FF" w:rsidRDefault="00C26590" w:rsidP="00C26590">
      <w:pPr>
        <w:pStyle w:val="Sidehoved"/>
        <w:tabs>
          <w:tab w:val="left" w:pos="851"/>
        </w:tabs>
        <w:ind w:left="851"/>
        <w:rPr>
          <w:szCs w:val="24"/>
          <w:lang w:val="sv-SE"/>
        </w:rPr>
      </w:pPr>
      <w:r>
        <w:rPr>
          <w:szCs w:val="24"/>
          <w:lang w:val="sv-SE"/>
        </w:rPr>
        <w:t>Lægemiddel</w:t>
      </w:r>
      <w:r w:rsidRPr="004533FF">
        <w:rPr>
          <w:szCs w:val="24"/>
          <w:lang w:val="sv-SE"/>
        </w:rPr>
        <w:t>styrelsen</w:t>
      </w:r>
    </w:p>
    <w:p w:rsidR="00C26590" w:rsidRPr="004533FF" w:rsidRDefault="00C26590" w:rsidP="00C26590">
      <w:pPr>
        <w:pStyle w:val="Sidehoved"/>
        <w:tabs>
          <w:tab w:val="left" w:pos="851"/>
        </w:tabs>
        <w:ind w:left="851"/>
        <w:rPr>
          <w:szCs w:val="24"/>
          <w:lang w:val="sv-SE"/>
        </w:rPr>
      </w:pPr>
      <w:r w:rsidRPr="004533FF">
        <w:rPr>
          <w:szCs w:val="24"/>
          <w:lang w:val="sv-SE"/>
        </w:rPr>
        <w:t>Axel Heides Gade 1</w:t>
      </w:r>
    </w:p>
    <w:p w:rsidR="00C26590" w:rsidRPr="004533FF" w:rsidRDefault="00C26590" w:rsidP="00C26590">
      <w:pPr>
        <w:pStyle w:val="Sidehoved"/>
        <w:tabs>
          <w:tab w:val="left" w:pos="851"/>
        </w:tabs>
        <w:ind w:left="851"/>
        <w:rPr>
          <w:szCs w:val="24"/>
          <w:lang w:val="sv-SE"/>
        </w:rPr>
      </w:pPr>
      <w:r w:rsidRPr="004533FF">
        <w:rPr>
          <w:szCs w:val="24"/>
          <w:lang w:val="sv-SE"/>
        </w:rPr>
        <w:t>DK-2300 København S</w:t>
      </w:r>
    </w:p>
    <w:p w:rsidR="00C26590" w:rsidRPr="004533FF" w:rsidRDefault="00C26590" w:rsidP="00565241">
      <w:pPr>
        <w:pStyle w:val="Sidehoved"/>
        <w:tabs>
          <w:tab w:val="left" w:pos="851"/>
        </w:tabs>
        <w:ind w:left="851"/>
        <w:rPr>
          <w:szCs w:val="24"/>
          <w:lang w:val="en-GB"/>
        </w:rPr>
      </w:pPr>
      <w:r w:rsidRPr="004533FF">
        <w:rPr>
          <w:szCs w:val="24"/>
          <w:lang w:val="en-US"/>
        </w:rPr>
        <w:t>Websted</w:t>
      </w:r>
      <w:r w:rsidRPr="004533FF">
        <w:rPr>
          <w:szCs w:val="24"/>
          <w:lang w:val="en-GB"/>
        </w:rPr>
        <w:t xml:space="preserve">: </w:t>
      </w:r>
      <w:hyperlink r:id="rId8" w:history="1">
        <w:r w:rsidRPr="004533FF">
          <w:rPr>
            <w:rStyle w:val="Hyperlink"/>
            <w:szCs w:val="24"/>
            <w:lang w:val="en-GB"/>
          </w:rPr>
          <w:t>www.meldenbivirkning.dk</w:t>
        </w:r>
      </w:hyperlink>
    </w:p>
    <w:p w:rsidR="00C26590" w:rsidRPr="0052592B" w:rsidRDefault="00C26590" w:rsidP="00C26590">
      <w:pPr>
        <w:pStyle w:val="Sidehoved"/>
        <w:tabs>
          <w:tab w:val="clear" w:pos="4819"/>
          <w:tab w:val="clear" w:pos="9638"/>
        </w:tabs>
        <w:ind w:left="851" w:hanging="851"/>
        <w:rPr>
          <w:szCs w:val="24"/>
          <w:lang w:val="en-GB"/>
        </w:rPr>
      </w:pPr>
    </w:p>
    <w:p w:rsidR="00C26590" w:rsidRPr="00C7350F" w:rsidRDefault="00C26590" w:rsidP="00C26590">
      <w:pPr>
        <w:numPr>
          <w:ilvl w:val="1"/>
          <w:numId w:val="1"/>
        </w:numPr>
        <w:tabs>
          <w:tab w:val="clear" w:pos="855"/>
        </w:tabs>
        <w:ind w:left="851" w:hanging="851"/>
        <w:rPr>
          <w:b/>
          <w:sz w:val="24"/>
          <w:szCs w:val="24"/>
        </w:rPr>
      </w:pPr>
      <w:r w:rsidRPr="00C7350F">
        <w:rPr>
          <w:b/>
          <w:sz w:val="24"/>
          <w:szCs w:val="24"/>
        </w:rPr>
        <w:t>Overdosering</w:t>
      </w:r>
    </w:p>
    <w:p w:rsidR="00C26590" w:rsidRPr="00C7350F" w:rsidRDefault="00C26590" w:rsidP="00C26590">
      <w:pPr>
        <w:ind w:left="851" w:hanging="851"/>
        <w:rPr>
          <w:sz w:val="24"/>
          <w:szCs w:val="24"/>
        </w:rPr>
      </w:pPr>
      <w:r w:rsidRPr="00C7350F">
        <w:rPr>
          <w:sz w:val="24"/>
          <w:szCs w:val="24"/>
        </w:rPr>
        <w:tab/>
        <w:t xml:space="preserve">Overdosering kan medføre nyreinsufficiens, apnø, muskelsvaghed, vertigo, sløret tale, vasomotorisk ustabilitet, synsforstyrrelser, konfusion og psykoser. </w:t>
      </w:r>
    </w:p>
    <w:p w:rsidR="00C26590" w:rsidRPr="00C7350F" w:rsidRDefault="00C26590" w:rsidP="00C26590">
      <w:pPr>
        <w:ind w:left="851" w:hanging="851"/>
        <w:rPr>
          <w:sz w:val="24"/>
          <w:szCs w:val="24"/>
        </w:rPr>
      </w:pPr>
    </w:p>
    <w:p w:rsidR="00C26590" w:rsidRPr="00C7350F" w:rsidRDefault="00C26590" w:rsidP="00C26590">
      <w:pPr>
        <w:ind w:left="851"/>
        <w:rPr>
          <w:sz w:val="24"/>
          <w:szCs w:val="24"/>
        </w:rPr>
      </w:pPr>
      <w:r w:rsidRPr="00C7350F">
        <w:rPr>
          <w:sz w:val="24"/>
          <w:szCs w:val="24"/>
        </w:rPr>
        <w:t>Der findes intet antidot.</w:t>
      </w:r>
    </w:p>
    <w:p w:rsidR="00C26590" w:rsidRPr="00C7350F" w:rsidRDefault="00C26590" w:rsidP="00C26590">
      <w:pPr>
        <w:ind w:left="851" w:hanging="851"/>
        <w:rPr>
          <w:sz w:val="24"/>
          <w:szCs w:val="24"/>
        </w:rPr>
      </w:pPr>
    </w:p>
    <w:p w:rsidR="00C26590" w:rsidRPr="00C7350F" w:rsidRDefault="00C26590" w:rsidP="00C26590">
      <w:pPr>
        <w:ind w:left="851"/>
        <w:rPr>
          <w:sz w:val="24"/>
          <w:szCs w:val="24"/>
        </w:rPr>
      </w:pPr>
      <w:r w:rsidRPr="00C7350F">
        <w:rPr>
          <w:sz w:val="24"/>
          <w:szCs w:val="24"/>
        </w:rPr>
        <w:t>Overdosering behandles med understøttende behandling og foranstaltninger, der øger clearance af colistimethatnatrium, såsom induktion af osmotisk diurese med mannitol, peritonealdialyse eller længerevarende hæmodialyse.</w:t>
      </w:r>
    </w:p>
    <w:p w:rsidR="00C26590" w:rsidRPr="00C7350F" w:rsidRDefault="00C26590" w:rsidP="00C26590">
      <w:pPr>
        <w:ind w:left="851" w:hanging="851"/>
        <w:rPr>
          <w:sz w:val="24"/>
          <w:szCs w:val="24"/>
        </w:rPr>
      </w:pPr>
    </w:p>
    <w:p w:rsidR="00C26590" w:rsidRPr="00C7350F" w:rsidRDefault="00C26590" w:rsidP="00C26590">
      <w:pPr>
        <w:numPr>
          <w:ilvl w:val="1"/>
          <w:numId w:val="1"/>
        </w:numPr>
        <w:tabs>
          <w:tab w:val="clear" w:pos="855"/>
        </w:tabs>
        <w:ind w:left="851" w:hanging="851"/>
        <w:rPr>
          <w:b/>
          <w:sz w:val="24"/>
          <w:szCs w:val="24"/>
        </w:rPr>
      </w:pPr>
      <w:r w:rsidRPr="00C7350F">
        <w:rPr>
          <w:b/>
          <w:sz w:val="24"/>
          <w:szCs w:val="24"/>
        </w:rPr>
        <w:t>Udlevering</w:t>
      </w:r>
    </w:p>
    <w:p w:rsidR="00C26590" w:rsidRPr="00C7350F" w:rsidRDefault="00C26590" w:rsidP="00C26590">
      <w:pPr>
        <w:ind w:left="851" w:hanging="851"/>
        <w:rPr>
          <w:sz w:val="24"/>
          <w:szCs w:val="24"/>
        </w:rPr>
      </w:pPr>
      <w:r w:rsidRPr="00C7350F">
        <w:rPr>
          <w:sz w:val="24"/>
          <w:szCs w:val="24"/>
        </w:rPr>
        <w:tab/>
        <w:t>B</w:t>
      </w:r>
    </w:p>
    <w:p w:rsidR="00C26590" w:rsidRPr="00C7350F" w:rsidRDefault="00C26590" w:rsidP="00C26590">
      <w:pPr>
        <w:ind w:left="851" w:hanging="851"/>
        <w:rPr>
          <w:sz w:val="24"/>
          <w:szCs w:val="24"/>
        </w:rPr>
      </w:pPr>
    </w:p>
    <w:p w:rsidR="00C26590" w:rsidRPr="00C7350F" w:rsidRDefault="00C26590" w:rsidP="00C26590">
      <w:pPr>
        <w:ind w:left="851" w:hanging="851"/>
        <w:rPr>
          <w:sz w:val="24"/>
          <w:szCs w:val="24"/>
        </w:rPr>
      </w:pPr>
    </w:p>
    <w:p w:rsidR="00C26590" w:rsidRPr="00C7350F" w:rsidRDefault="00C26590" w:rsidP="00C26590">
      <w:pPr>
        <w:numPr>
          <w:ilvl w:val="0"/>
          <w:numId w:val="1"/>
        </w:numPr>
        <w:tabs>
          <w:tab w:val="clear" w:pos="855"/>
        </w:tabs>
        <w:ind w:left="851" w:hanging="851"/>
        <w:rPr>
          <w:b/>
          <w:sz w:val="24"/>
          <w:szCs w:val="24"/>
        </w:rPr>
      </w:pPr>
      <w:r w:rsidRPr="00C7350F">
        <w:rPr>
          <w:b/>
          <w:sz w:val="24"/>
          <w:szCs w:val="24"/>
        </w:rPr>
        <w:t>FARMAKOLOGISKE EGENSKABER</w:t>
      </w:r>
    </w:p>
    <w:p w:rsidR="00C26590" w:rsidRPr="00C7350F" w:rsidRDefault="00C26590" w:rsidP="00C26590">
      <w:pPr>
        <w:ind w:left="851" w:hanging="851"/>
        <w:rPr>
          <w:sz w:val="24"/>
          <w:szCs w:val="24"/>
        </w:rPr>
      </w:pPr>
    </w:p>
    <w:p w:rsidR="00C26590" w:rsidRPr="00C7350F" w:rsidRDefault="00C26590" w:rsidP="00C26590">
      <w:pPr>
        <w:numPr>
          <w:ilvl w:val="0"/>
          <w:numId w:val="2"/>
        </w:numPr>
        <w:tabs>
          <w:tab w:val="clear" w:pos="855"/>
        </w:tabs>
        <w:ind w:left="851" w:hanging="851"/>
        <w:rPr>
          <w:b/>
          <w:sz w:val="24"/>
          <w:szCs w:val="24"/>
        </w:rPr>
      </w:pPr>
      <w:r w:rsidRPr="00C7350F">
        <w:rPr>
          <w:b/>
          <w:sz w:val="24"/>
          <w:szCs w:val="24"/>
        </w:rPr>
        <w:t>Terapeutisk klassifikation</w:t>
      </w:r>
    </w:p>
    <w:p w:rsidR="00C26590" w:rsidRPr="00C7350F" w:rsidRDefault="00C26590" w:rsidP="00C26590">
      <w:pPr>
        <w:ind w:left="851"/>
        <w:rPr>
          <w:sz w:val="24"/>
          <w:szCs w:val="24"/>
        </w:rPr>
      </w:pPr>
      <w:r w:rsidRPr="00C7350F">
        <w:rPr>
          <w:sz w:val="24"/>
          <w:szCs w:val="24"/>
        </w:rPr>
        <w:t>ATC-kode: J01XB01</w:t>
      </w:r>
      <w:r>
        <w:rPr>
          <w:sz w:val="24"/>
          <w:szCs w:val="24"/>
        </w:rPr>
        <w:t>.</w:t>
      </w:r>
      <w:r w:rsidRPr="00C7350F">
        <w:rPr>
          <w:sz w:val="24"/>
          <w:szCs w:val="24"/>
        </w:rPr>
        <w:t xml:space="preserve"> </w:t>
      </w:r>
      <w:r>
        <w:rPr>
          <w:sz w:val="24"/>
          <w:szCs w:val="24"/>
        </w:rPr>
        <w:t>A</w:t>
      </w:r>
      <w:r w:rsidRPr="00C7350F">
        <w:rPr>
          <w:sz w:val="24"/>
          <w:szCs w:val="24"/>
        </w:rPr>
        <w:t xml:space="preserve">ndre antibakterielle midler, polymyxiner. </w:t>
      </w:r>
    </w:p>
    <w:p w:rsidR="00C26590" w:rsidRPr="00C7350F" w:rsidRDefault="00C26590" w:rsidP="00C26590">
      <w:pPr>
        <w:ind w:left="851" w:hanging="851"/>
        <w:rPr>
          <w:sz w:val="24"/>
          <w:szCs w:val="24"/>
        </w:rPr>
      </w:pPr>
    </w:p>
    <w:p w:rsidR="00C26590" w:rsidRPr="00C7350F" w:rsidRDefault="00C26590" w:rsidP="00C26590">
      <w:pPr>
        <w:numPr>
          <w:ilvl w:val="1"/>
          <w:numId w:val="2"/>
        </w:numPr>
        <w:tabs>
          <w:tab w:val="clear" w:pos="2159"/>
        </w:tabs>
        <w:ind w:left="851" w:hanging="851"/>
        <w:rPr>
          <w:b/>
          <w:sz w:val="24"/>
          <w:szCs w:val="24"/>
        </w:rPr>
      </w:pPr>
      <w:r w:rsidRPr="00C7350F">
        <w:rPr>
          <w:b/>
          <w:sz w:val="24"/>
          <w:szCs w:val="24"/>
        </w:rPr>
        <w:t>Farmakodynamiske egenskaber</w:t>
      </w:r>
    </w:p>
    <w:p w:rsidR="00C26590" w:rsidRPr="00A67439" w:rsidRDefault="00C26590" w:rsidP="00C26590">
      <w:pPr>
        <w:ind w:left="851" w:hanging="851"/>
        <w:rPr>
          <w:sz w:val="24"/>
          <w:szCs w:val="24"/>
        </w:rPr>
      </w:pPr>
      <w:r w:rsidRPr="00C7350F">
        <w:rPr>
          <w:sz w:val="24"/>
          <w:szCs w:val="24"/>
        </w:rPr>
        <w:tab/>
      </w:r>
    </w:p>
    <w:p w:rsidR="00C26590" w:rsidRPr="00A67439" w:rsidRDefault="00C26590" w:rsidP="00C26590">
      <w:pPr>
        <w:ind w:left="851"/>
        <w:rPr>
          <w:b/>
          <w:sz w:val="24"/>
          <w:szCs w:val="24"/>
          <w:lang w:eastAsia="da-DK"/>
        </w:rPr>
      </w:pPr>
      <w:r w:rsidRPr="00A67439">
        <w:rPr>
          <w:b/>
          <w:sz w:val="24"/>
          <w:szCs w:val="24"/>
        </w:rPr>
        <w:t>Generelle egenskaber</w:t>
      </w:r>
    </w:p>
    <w:p w:rsidR="00C26590" w:rsidRPr="00A67439" w:rsidRDefault="00C26590" w:rsidP="00C26590">
      <w:pPr>
        <w:ind w:left="851"/>
        <w:rPr>
          <w:sz w:val="24"/>
          <w:szCs w:val="24"/>
        </w:rPr>
      </w:pPr>
    </w:p>
    <w:p w:rsidR="00C26590" w:rsidRPr="00A67439" w:rsidRDefault="00C26590" w:rsidP="00C26590">
      <w:pPr>
        <w:ind w:left="851"/>
        <w:rPr>
          <w:sz w:val="24"/>
          <w:szCs w:val="24"/>
          <w:u w:val="single"/>
        </w:rPr>
      </w:pPr>
      <w:r w:rsidRPr="00A67439">
        <w:rPr>
          <w:sz w:val="24"/>
          <w:szCs w:val="24"/>
          <w:u w:val="single"/>
        </w:rPr>
        <w:t>Virkningsmekanisme</w:t>
      </w:r>
    </w:p>
    <w:p w:rsidR="00C26590" w:rsidRPr="00A67439" w:rsidRDefault="00C26590" w:rsidP="00C26590">
      <w:pPr>
        <w:ind w:left="851"/>
        <w:rPr>
          <w:sz w:val="24"/>
          <w:szCs w:val="24"/>
        </w:rPr>
      </w:pPr>
      <w:r w:rsidRPr="00A67439">
        <w:rPr>
          <w:sz w:val="24"/>
          <w:szCs w:val="24"/>
        </w:rPr>
        <w:t xml:space="preserve">Colistin er et antibakterielt middel og et cyklisk polypeptid, der tilhører polymyxingruppen. Polymyxiner virker ved at beskadige cellemembranen, og de resulterende fysiologiske virkninger er dræbende for bakterien. Polymyxiner er selektive for aerobe, gramnegative bakterier med en hydrofob ydre membran. </w:t>
      </w:r>
    </w:p>
    <w:p w:rsidR="00C26590" w:rsidRPr="00A67439" w:rsidRDefault="00C26590" w:rsidP="00C26590">
      <w:pPr>
        <w:ind w:left="851"/>
        <w:rPr>
          <w:sz w:val="24"/>
          <w:szCs w:val="24"/>
        </w:rPr>
      </w:pPr>
    </w:p>
    <w:p w:rsidR="00C26590" w:rsidRPr="00A67439" w:rsidRDefault="00C26590" w:rsidP="00C26590">
      <w:pPr>
        <w:ind w:left="851"/>
        <w:rPr>
          <w:sz w:val="24"/>
          <w:szCs w:val="24"/>
        </w:rPr>
      </w:pPr>
      <w:r w:rsidRPr="00A67439">
        <w:rPr>
          <w:sz w:val="24"/>
          <w:szCs w:val="24"/>
          <w:u w:val="single"/>
        </w:rPr>
        <w:t xml:space="preserve">Resistens </w:t>
      </w:r>
    </w:p>
    <w:p w:rsidR="00C26590" w:rsidRPr="00A67439" w:rsidRDefault="00C26590" w:rsidP="00C26590">
      <w:pPr>
        <w:ind w:left="851"/>
        <w:rPr>
          <w:sz w:val="24"/>
          <w:szCs w:val="24"/>
        </w:rPr>
      </w:pPr>
      <w:r w:rsidRPr="00A67439">
        <w:rPr>
          <w:sz w:val="24"/>
          <w:szCs w:val="24"/>
        </w:rPr>
        <w:t xml:space="preserve">Resistente bakterier er kendetegnet ved en modificering af phosphatgrupperne på lipopolysaccharid, der bliver substitueret med ethanolamin eller aminoarabinose. Hos naturligt resistente gramnegative bakterier, såsom </w:t>
      </w:r>
      <w:r w:rsidRPr="00A67439">
        <w:rPr>
          <w:i/>
          <w:iCs/>
          <w:sz w:val="24"/>
          <w:szCs w:val="24"/>
        </w:rPr>
        <w:t xml:space="preserve">Proteus mirabilis </w:t>
      </w:r>
      <w:r w:rsidRPr="00A67439">
        <w:rPr>
          <w:sz w:val="24"/>
          <w:szCs w:val="24"/>
        </w:rPr>
        <w:t xml:space="preserve">og </w:t>
      </w:r>
      <w:r w:rsidRPr="00A67439">
        <w:rPr>
          <w:i/>
          <w:iCs/>
          <w:sz w:val="24"/>
          <w:szCs w:val="24"/>
        </w:rPr>
        <w:t>Burkholderia cepacia</w:t>
      </w:r>
      <w:r w:rsidRPr="00A67439">
        <w:rPr>
          <w:sz w:val="24"/>
          <w:szCs w:val="24"/>
        </w:rPr>
        <w:t xml:space="preserve">, er lipidphosphat fuldstændigt substitueret med ethanolamin eller aminoarabinose. </w:t>
      </w:r>
    </w:p>
    <w:p w:rsidR="00C26590" w:rsidRPr="00A67439" w:rsidRDefault="00C26590" w:rsidP="00C26590">
      <w:pPr>
        <w:ind w:left="851"/>
        <w:rPr>
          <w:sz w:val="24"/>
          <w:szCs w:val="24"/>
        </w:rPr>
      </w:pPr>
    </w:p>
    <w:p w:rsidR="00C26590" w:rsidRPr="00A67439" w:rsidRDefault="00C26590" w:rsidP="00C26590">
      <w:pPr>
        <w:ind w:left="851"/>
        <w:rPr>
          <w:sz w:val="24"/>
          <w:szCs w:val="24"/>
        </w:rPr>
      </w:pPr>
      <w:r w:rsidRPr="00A67439">
        <w:rPr>
          <w:sz w:val="24"/>
          <w:szCs w:val="24"/>
        </w:rPr>
        <w:t xml:space="preserve">Der forventes krydsresistens mellem colistin (polymyxin E) og polymyxin B. Da virkningsmekanismen for polymyxinerne er forskellig fra virkningsmekanismen for andre antibakterielle midler, forventes det ikke, at resistens over for colistin og polymyxin udelukkende ved ovennævne mekanisme vil resultere i resistens over for andre lægemiddelklasser. </w:t>
      </w:r>
    </w:p>
    <w:p w:rsidR="00C26590" w:rsidRPr="00A67439" w:rsidRDefault="00C26590" w:rsidP="00C26590">
      <w:pPr>
        <w:ind w:left="851"/>
        <w:rPr>
          <w:sz w:val="24"/>
          <w:szCs w:val="24"/>
        </w:rPr>
      </w:pPr>
    </w:p>
    <w:p w:rsidR="00C26590" w:rsidRPr="00A67439" w:rsidRDefault="00C26590" w:rsidP="00C26590">
      <w:pPr>
        <w:ind w:left="851"/>
        <w:rPr>
          <w:sz w:val="24"/>
          <w:szCs w:val="24"/>
          <w:u w:val="single"/>
        </w:rPr>
      </w:pPr>
      <w:r w:rsidRPr="00A67439">
        <w:rPr>
          <w:sz w:val="24"/>
          <w:szCs w:val="24"/>
          <w:u w:val="single"/>
        </w:rPr>
        <w:t>Farmakokinetisk/farmakodynamisk-forhold</w:t>
      </w:r>
    </w:p>
    <w:p w:rsidR="00C26590" w:rsidRPr="00A67439" w:rsidRDefault="00C26590" w:rsidP="00C26590">
      <w:pPr>
        <w:ind w:left="851"/>
        <w:rPr>
          <w:sz w:val="24"/>
          <w:szCs w:val="24"/>
        </w:rPr>
      </w:pPr>
      <w:r w:rsidRPr="00A67439">
        <w:rPr>
          <w:sz w:val="24"/>
          <w:szCs w:val="24"/>
        </w:rPr>
        <w:t>Det er rapporteret, at polymyxiner har en koncentrationsafhængig baktericid virkning på følsomme bakterier. fAUC/MIC formodes at korrelere med klinisk virkning.</w:t>
      </w:r>
    </w:p>
    <w:p w:rsidR="00C26590" w:rsidRPr="00A67439" w:rsidRDefault="00C26590" w:rsidP="00C26590">
      <w:pPr>
        <w:ind w:left="851"/>
        <w:rPr>
          <w:sz w:val="24"/>
          <w:szCs w:val="24"/>
        </w:rPr>
      </w:pPr>
    </w:p>
    <w:p w:rsidR="00C26590" w:rsidRPr="00A67439" w:rsidRDefault="00C26590" w:rsidP="00C26590">
      <w:pPr>
        <w:pStyle w:val="Overskrift3"/>
        <w:spacing w:before="0" w:after="0"/>
        <w:ind w:left="851"/>
        <w:rPr>
          <w:rFonts w:ascii="Times New Roman" w:hAnsi="Times New Roman"/>
          <w:i/>
          <w:szCs w:val="24"/>
          <w:u w:val="single"/>
        </w:rPr>
      </w:pPr>
      <w:r w:rsidRPr="00A67439">
        <w:rPr>
          <w:rFonts w:ascii="Times New Roman" w:hAnsi="Times New Roman"/>
          <w:b/>
          <w:bCs/>
          <w:szCs w:val="24"/>
          <w:u w:val="single"/>
          <w:lang w:val="en-GB" w:eastAsia="en-GB"/>
        </w:rPr>
        <w:t>EUCAST-grænseværdier</w:t>
      </w:r>
    </w:p>
    <w:tbl>
      <w:tblPr>
        <w:tblW w:w="7867" w:type="dxa"/>
        <w:tblInd w:w="959" w:type="dxa"/>
        <w:tblLook w:val="04A0" w:firstRow="1" w:lastRow="0" w:firstColumn="1" w:lastColumn="0" w:noHBand="0" w:noVBand="1"/>
      </w:tblPr>
      <w:tblGrid>
        <w:gridCol w:w="3581"/>
        <w:gridCol w:w="2126"/>
        <w:gridCol w:w="2160"/>
      </w:tblGrid>
      <w:tr w:rsidR="00C26590" w:rsidRPr="00A67439" w:rsidTr="003B4BCE">
        <w:trPr>
          <w:trHeight w:val="340"/>
        </w:trPr>
        <w:tc>
          <w:tcPr>
            <w:tcW w:w="3581" w:type="dxa"/>
            <w:hideMark/>
          </w:tcPr>
          <w:p w:rsidR="00C26590" w:rsidRPr="00A67439" w:rsidRDefault="00C26590" w:rsidP="003B4BCE">
            <w:pPr>
              <w:autoSpaceDE w:val="0"/>
              <w:autoSpaceDN w:val="0"/>
              <w:adjustRightInd w:val="0"/>
              <w:rPr>
                <w:i/>
                <w:color w:val="000000"/>
                <w:sz w:val="24"/>
                <w:szCs w:val="24"/>
                <w:lang w:val="en-US"/>
              </w:rPr>
            </w:pPr>
            <w:r w:rsidRPr="00A67439">
              <w:rPr>
                <w:i/>
                <w:color w:val="000000"/>
                <w:sz w:val="24"/>
                <w:szCs w:val="24"/>
                <w:lang w:val="en-US"/>
              </w:rPr>
              <w:t xml:space="preserve">                       </w:t>
            </w:r>
          </w:p>
        </w:tc>
        <w:tc>
          <w:tcPr>
            <w:tcW w:w="2126" w:type="dxa"/>
            <w:vAlign w:val="center"/>
            <w:hideMark/>
          </w:tcPr>
          <w:p w:rsidR="00C26590" w:rsidRPr="00A67439" w:rsidRDefault="00C26590" w:rsidP="003B4BCE">
            <w:pPr>
              <w:autoSpaceDE w:val="0"/>
              <w:autoSpaceDN w:val="0"/>
              <w:adjustRightInd w:val="0"/>
              <w:jc w:val="center"/>
              <w:rPr>
                <w:color w:val="000000"/>
                <w:sz w:val="24"/>
                <w:szCs w:val="24"/>
                <w:lang w:val="en-US"/>
              </w:rPr>
            </w:pPr>
            <w:r w:rsidRPr="00A67439">
              <w:rPr>
                <w:color w:val="000000"/>
                <w:sz w:val="24"/>
                <w:szCs w:val="24"/>
                <w:lang w:val="en-US"/>
              </w:rPr>
              <w:t>Følsomme (S)</w:t>
            </w:r>
          </w:p>
        </w:tc>
        <w:tc>
          <w:tcPr>
            <w:tcW w:w="2160" w:type="dxa"/>
            <w:vAlign w:val="center"/>
            <w:hideMark/>
          </w:tcPr>
          <w:p w:rsidR="00C26590" w:rsidRPr="00A67439" w:rsidRDefault="00C26590" w:rsidP="003B4BCE">
            <w:pPr>
              <w:autoSpaceDE w:val="0"/>
              <w:autoSpaceDN w:val="0"/>
              <w:adjustRightInd w:val="0"/>
              <w:jc w:val="center"/>
              <w:rPr>
                <w:i/>
                <w:color w:val="000000"/>
                <w:sz w:val="24"/>
                <w:szCs w:val="24"/>
                <w:lang w:val="en-US"/>
              </w:rPr>
            </w:pPr>
            <w:r w:rsidRPr="00A67439">
              <w:rPr>
                <w:color w:val="000000"/>
                <w:sz w:val="24"/>
                <w:szCs w:val="24"/>
                <w:lang w:val="en-US"/>
              </w:rPr>
              <w:t>Resistente (R)</w:t>
            </w:r>
            <w:r w:rsidRPr="00A67439">
              <w:rPr>
                <w:b/>
                <w:color w:val="000000"/>
                <w:sz w:val="24"/>
                <w:szCs w:val="24"/>
                <w:vertAlign w:val="superscript"/>
                <w:lang w:val="en-US"/>
              </w:rPr>
              <w:t xml:space="preserve"> a</w:t>
            </w:r>
          </w:p>
        </w:tc>
      </w:tr>
      <w:tr w:rsidR="00C26590" w:rsidRPr="00A67439" w:rsidTr="003B4BCE">
        <w:trPr>
          <w:trHeight w:val="340"/>
        </w:trPr>
        <w:tc>
          <w:tcPr>
            <w:tcW w:w="3581" w:type="dxa"/>
            <w:hideMark/>
          </w:tcPr>
          <w:p w:rsidR="00C26590" w:rsidRPr="00A67439" w:rsidRDefault="00C26590" w:rsidP="003B4BCE">
            <w:pPr>
              <w:autoSpaceDE w:val="0"/>
              <w:autoSpaceDN w:val="0"/>
              <w:adjustRightInd w:val="0"/>
              <w:rPr>
                <w:i/>
                <w:color w:val="000000"/>
                <w:sz w:val="24"/>
                <w:szCs w:val="24"/>
                <w:lang w:val="en-US"/>
              </w:rPr>
            </w:pPr>
            <w:r w:rsidRPr="00A67439">
              <w:rPr>
                <w:i/>
                <w:color w:val="000000"/>
                <w:sz w:val="24"/>
                <w:szCs w:val="24"/>
                <w:lang w:val="en-US"/>
              </w:rPr>
              <w:t>Acinetobacter</w:t>
            </w:r>
          </w:p>
        </w:tc>
        <w:tc>
          <w:tcPr>
            <w:tcW w:w="2126" w:type="dxa"/>
            <w:vAlign w:val="center"/>
            <w:hideMark/>
          </w:tcPr>
          <w:p w:rsidR="00C26590" w:rsidRPr="00A67439" w:rsidRDefault="00C26590" w:rsidP="003B4BCE">
            <w:pPr>
              <w:autoSpaceDE w:val="0"/>
              <w:autoSpaceDN w:val="0"/>
              <w:adjustRightInd w:val="0"/>
              <w:jc w:val="center"/>
              <w:rPr>
                <w:i/>
                <w:color w:val="000000"/>
                <w:sz w:val="24"/>
                <w:szCs w:val="24"/>
                <w:lang w:val="en-US"/>
              </w:rPr>
            </w:pPr>
            <w:r w:rsidRPr="00A67439">
              <w:rPr>
                <w:color w:val="000000"/>
                <w:sz w:val="24"/>
                <w:szCs w:val="24"/>
                <w:lang w:val="en-US"/>
              </w:rPr>
              <w:t xml:space="preserve">S ≤ 2  </w:t>
            </w:r>
          </w:p>
        </w:tc>
        <w:tc>
          <w:tcPr>
            <w:tcW w:w="2160" w:type="dxa"/>
            <w:vAlign w:val="center"/>
            <w:hideMark/>
          </w:tcPr>
          <w:p w:rsidR="00C26590" w:rsidRPr="00A67439" w:rsidRDefault="00C26590" w:rsidP="003B4BCE">
            <w:pPr>
              <w:autoSpaceDE w:val="0"/>
              <w:autoSpaceDN w:val="0"/>
              <w:adjustRightInd w:val="0"/>
              <w:jc w:val="center"/>
              <w:rPr>
                <w:i/>
                <w:color w:val="000000"/>
                <w:sz w:val="24"/>
                <w:szCs w:val="24"/>
                <w:lang w:val="en-US"/>
              </w:rPr>
            </w:pPr>
            <w:r w:rsidRPr="00A67439">
              <w:rPr>
                <w:color w:val="000000"/>
                <w:sz w:val="24"/>
                <w:szCs w:val="24"/>
                <w:lang w:val="en-US"/>
              </w:rPr>
              <w:t>R &gt; 2 mg/L</w:t>
            </w:r>
          </w:p>
        </w:tc>
      </w:tr>
      <w:tr w:rsidR="00C26590" w:rsidRPr="00A67439" w:rsidTr="003B4BCE">
        <w:trPr>
          <w:trHeight w:val="340"/>
        </w:trPr>
        <w:tc>
          <w:tcPr>
            <w:tcW w:w="3581" w:type="dxa"/>
            <w:hideMark/>
          </w:tcPr>
          <w:p w:rsidR="00C26590" w:rsidRPr="00A67439" w:rsidRDefault="00C26590" w:rsidP="003B4BCE">
            <w:pPr>
              <w:autoSpaceDE w:val="0"/>
              <w:autoSpaceDN w:val="0"/>
              <w:adjustRightInd w:val="0"/>
              <w:rPr>
                <w:i/>
                <w:color w:val="000000"/>
                <w:sz w:val="24"/>
                <w:szCs w:val="24"/>
                <w:lang w:val="en-US"/>
              </w:rPr>
            </w:pPr>
            <w:r w:rsidRPr="00A67439">
              <w:rPr>
                <w:i/>
                <w:color w:val="000000"/>
                <w:sz w:val="24"/>
                <w:szCs w:val="24"/>
                <w:lang w:val="en-US"/>
              </w:rPr>
              <w:t>Enterobacteriaceae</w:t>
            </w:r>
          </w:p>
        </w:tc>
        <w:tc>
          <w:tcPr>
            <w:tcW w:w="2126" w:type="dxa"/>
            <w:vAlign w:val="center"/>
            <w:hideMark/>
          </w:tcPr>
          <w:p w:rsidR="00C26590" w:rsidRPr="00A67439" w:rsidRDefault="00C26590" w:rsidP="003B4BCE">
            <w:pPr>
              <w:autoSpaceDE w:val="0"/>
              <w:autoSpaceDN w:val="0"/>
              <w:adjustRightInd w:val="0"/>
              <w:jc w:val="center"/>
              <w:rPr>
                <w:i/>
                <w:color w:val="000000"/>
                <w:sz w:val="24"/>
                <w:szCs w:val="24"/>
                <w:lang w:val="en-US"/>
              </w:rPr>
            </w:pPr>
            <w:r w:rsidRPr="00A67439">
              <w:rPr>
                <w:color w:val="000000"/>
                <w:sz w:val="24"/>
                <w:szCs w:val="24"/>
                <w:lang w:val="en-US"/>
              </w:rPr>
              <w:t xml:space="preserve">S ≤ 2  </w:t>
            </w:r>
          </w:p>
        </w:tc>
        <w:tc>
          <w:tcPr>
            <w:tcW w:w="2160" w:type="dxa"/>
            <w:vAlign w:val="center"/>
            <w:hideMark/>
          </w:tcPr>
          <w:p w:rsidR="00C26590" w:rsidRPr="00A67439" w:rsidRDefault="00C26590" w:rsidP="003B4BCE">
            <w:pPr>
              <w:autoSpaceDE w:val="0"/>
              <w:autoSpaceDN w:val="0"/>
              <w:adjustRightInd w:val="0"/>
              <w:jc w:val="center"/>
              <w:rPr>
                <w:i/>
                <w:color w:val="000000"/>
                <w:sz w:val="24"/>
                <w:szCs w:val="24"/>
                <w:lang w:val="en-US"/>
              </w:rPr>
            </w:pPr>
            <w:r w:rsidRPr="00A67439">
              <w:rPr>
                <w:color w:val="000000"/>
                <w:sz w:val="24"/>
                <w:szCs w:val="24"/>
                <w:lang w:val="en-US"/>
              </w:rPr>
              <w:t>R &gt; 2 mg/L</w:t>
            </w:r>
          </w:p>
        </w:tc>
      </w:tr>
      <w:tr w:rsidR="00C26590" w:rsidRPr="00A67439" w:rsidTr="003B4BCE">
        <w:trPr>
          <w:trHeight w:val="340"/>
        </w:trPr>
        <w:tc>
          <w:tcPr>
            <w:tcW w:w="3581" w:type="dxa"/>
            <w:hideMark/>
          </w:tcPr>
          <w:p w:rsidR="00C26590" w:rsidRPr="00A67439" w:rsidRDefault="00C26590" w:rsidP="003B4BCE">
            <w:pPr>
              <w:autoSpaceDE w:val="0"/>
              <w:autoSpaceDN w:val="0"/>
              <w:adjustRightInd w:val="0"/>
              <w:rPr>
                <w:i/>
                <w:color w:val="000000"/>
                <w:sz w:val="24"/>
                <w:szCs w:val="24"/>
                <w:lang w:val="en-US"/>
              </w:rPr>
            </w:pPr>
            <w:r w:rsidRPr="00A67439">
              <w:rPr>
                <w:i/>
                <w:iCs/>
                <w:color w:val="000000"/>
                <w:sz w:val="24"/>
                <w:szCs w:val="24"/>
                <w:lang w:val="sv-SE"/>
              </w:rPr>
              <w:t xml:space="preserve">Pseudomonas </w:t>
            </w:r>
            <w:r w:rsidRPr="00A67439">
              <w:rPr>
                <w:color w:val="000000"/>
                <w:sz w:val="24"/>
                <w:szCs w:val="24"/>
                <w:lang w:val="sv-SE"/>
              </w:rPr>
              <w:t>spp</w:t>
            </w:r>
          </w:p>
        </w:tc>
        <w:tc>
          <w:tcPr>
            <w:tcW w:w="2126" w:type="dxa"/>
            <w:vAlign w:val="center"/>
            <w:hideMark/>
          </w:tcPr>
          <w:p w:rsidR="00C26590" w:rsidRPr="00A67439" w:rsidRDefault="00C26590" w:rsidP="003B4BCE">
            <w:pPr>
              <w:autoSpaceDE w:val="0"/>
              <w:autoSpaceDN w:val="0"/>
              <w:adjustRightInd w:val="0"/>
              <w:jc w:val="center"/>
              <w:rPr>
                <w:i/>
                <w:color w:val="000000"/>
                <w:sz w:val="24"/>
                <w:szCs w:val="24"/>
                <w:lang w:val="en-US"/>
              </w:rPr>
            </w:pPr>
            <w:r w:rsidRPr="00A67439">
              <w:rPr>
                <w:color w:val="000000"/>
                <w:sz w:val="24"/>
                <w:szCs w:val="24"/>
                <w:lang w:val="en-US"/>
              </w:rPr>
              <w:t xml:space="preserve">S ≤ 4  </w:t>
            </w:r>
          </w:p>
        </w:tc>
        <w:tc>
          <w:tcPr>
            <w:tcW w:w="2160" w:type="dxa"/>
            <w:vAlign w:val="center"/>
            <w:hideMark/>
          </w:tcPr>
          <w:p w:rsidR="00C26590" w:rsidRPr="00A67439" w:rsidRDefault="00C26590" w:rsidP="003B4BCE">
            <w:pPr>
              <w:autoSpaceDE w:val="0"/>
              <w:autoSpaceDN w:val="0"/>
              <w:adjustRightInd w:val="0"/>
              <w:jc w:val="center"/>
              <w:rPr>
                <w:i/>
                <w:color w:val="000000"/>
                <w:sz w:val="24"/>
                <w:szCs w:val="24"/>
                <w:lang w:val="en-US"/>
              </w:rPr>
            </w:pPr>
            <w:r w:rsidRPr="00A67439">
              <w:rPr>
                <w:color w:val="000000"/>
                <w:sz w:val="24"/>
                <w:szCs w:val="24"/>
                <w:lang w:val="en-US"/>
              </w:rPr>
              <w:t>R &gt; 4 mg/L</w:t>
            </w:r>
          </w:p>
        </w:tc>
      </w:tr>
      <w:tr w:rsidR="00C26590" w:rsidRPr="00A67439" w:rsidTr="003B4BCE">
        <w:trPr>
          <w:trHeight w:val="340"/>
        </w:trPr>
        <w:tc>
          <w:tcPr>
            <w:tcW w:w="7867" w:type="dxa"/>
            <w:gridSpan w:val="3"/>
            <w:hideMark/>
          </w:tcPr>
          <w:p w:rsidR="00C26590" w:rsidRPr="00A67439" w:rsidRDefault="00C26590" w:rsidP="003B4BCE">
            <w:pPr>
              <w:autoSpaceDE w:val="0"/>
              <w:autoSpaceDN w:val="0"/>
              <w:adjustRightInd w:val="0"/>
              <w:jc w:val="both"/>
              <w:rPr>
                <w:i/>
                <w:sz w:val="24"/>
                <w:szCs w:val="24"/>
                <w:lang w:val="de-DE" w:eastAsia="en-GB"/>
              </w:rPr>
            </w:pPr>
            <w:r w:rsidRPr="00A67439">
              <w:rPr>
                <w:color w:val="000000"/>
                <w:sz w:val="24"/>
                <w:szCs w:val="24"/>
                <w:vertAlign w:val="superscript"/>
                <w:lang w:val="de-DE" w:eastAsia="en-GB"/>
              </w:rPr>
              <w:t xml:space="preserve">a </w:t>
            </w:r>
            <w:r w:rsidRPr="00A67439">
              <w:rPr>
                <w:i/>
                <w:sz w:val="24"/>
                <w:szCs w:val="24"/>
                <w:lang w:val="de-DE" w:eastAsia="en-GB"/>
              </w:rPr>
              <w:t>Grænseværdier gælder for en dosis på 2-3 MIE x  3 pr. døgn. En initialdosis (9 MIE) kan være nødvendig</w:t>
            </w:r>
            <w:r w:rsidRPr="00A67439">
              <w:rPr>
                <w:sz w:val="24"/>
                <w:szCs w:val="24"/>
                <w:lang w:val="de-DE" w:eastAsia="en-GB"/>
              </w:rPr>
              <w:t xml:space="preserve">. </w:t>
            </w:r>
          </w:p>
        </w:tc>
      </w:tr>
    </w:tbl>
    <w:p w:rsidR="00C26590" w:rsidRPr="00A67439" w:rsidRDefault="00C26590" w:rsidP="00C26590">
      <w:pPr>
        <w:ind w:left="851"/>
        <w:rPr>
          <w:sz w:val="24"/>
          <w:szCs w:val="24"/>
          <w:lang w:eastAsia="da-DK"/>
        </w:rPr>
      </w:pPr>
    </w:p>
    <w:p w:rsidR="00C26590" w:rsidRPr="00A67439" w:rsidRDefault="00C26590" w:rsidP="00C26590">
      <w:pPr>
        <w:ind w:left="851"/>
        <w:rPr>
          <w:sz w:val="24"/>
          <w:szCs w:val="24"/>
          <w:u w:val="single"/>
        </w:rPr>
      </w:pPr>
      <w:r w:rsidRPr="00A67439">
        <w:rPr>
          <w:sz w:val="24"/>
          <w:szCs w:val="24"/>
          <w:u w:val="single"/>
        </w:rPr>
        <w:t>Følsomhed</w:t>
      </w:r>
    </w:p>
    <w:p w:rsidR="00C26590" w:rsidRPr="00A67439" w:rsidRDefault="00C26590" w:rsidP="00C26590">
      <w:pPr>
        <w:ind w:left="851"/>
        <w:rPr>
          <w:sz w:val="24"/>
          <w:szCs w:val="24"/>
        </w:rPr>
      </w:pPr>
      <w:r w:rsidRPr="00A67439">
        <w:rPr>
          <w:sz w:val="24"/>
          <w:szCs w:val="24"/>
        </w:rPr>
        <w:t>Forekomsten af erhvervet resistens kan variere geografisk og over tid for udvalgte arter, og lokal resistensinformation er ønskelig, især ved behandling af svære infektioner. Der skal om nødvendigt søges ekspertrådgivning, når lokal forekomst af resistens er sådan, at anvendeligheden af lægemidlet i det mindste ved visse infektionstyper kan diskuteres.</w:t>
      </w:r>
    </w:p>
    <w:p w:rsidR="00C26590" w:rsidRPr="00A67439" w:rsidRDefault="00C26590" w:rsidP="00C26590">
      <w:pPr>
        <w:ind w:left="851"/>
        <w:rPr>
          <w:sz w:val="24"/>
          <w:szCs w:val="24"/>
        </w:rPr>
      </w:pPr>
    </w:p>
    <w:p w:rsidR="00C26590" w:rsidRPr="00A67439" w:rsidRDefault="00C26590" w:rsidP="00C26590">
      <w:pPr>
        <w:ind w:left="851"/>
        <w:rPr>
          <w:sz w:val="24"/>
          <w:szCs w:val="24"/>
          <w:u w:val="single"/>
        </w:rPr>
      </w:pPr>
      <w:r w:rsidRPr="00A67439">
        <w:rPr>
          <w:sz w:val="24"/>
          <w:szCs w:val="24"/>
          <w:u w:val="single"/>
        </w:rPr>
        <w:t>Arter, der normalt er følsomme</w:t>
      </w:r>
    </w:p>
    <w:p w:rsidR="00C26590" w:rsidRPr="00A67439" w:rsidRDefault="00C26590" w:rsidP="00C26590">
      <w:pPr>
        <w:ind w:left="840"/>
        <w:rPr>
          <w:i/>
          <w:iCs/>
          <w:sz w:val="24"/>
          <w:szCs w:val="24"/>
        </w:rPr>
      </w:pPr>
      <w:r w:rsidRPr="00A67439">
        <w:rPr>
          <w:i/>
          <w:iCs/>
          <w:sz w:val="24"/>
          <w:szCs w:val="24"/>
        </w:rPr>
        <w:t xml:space="preserve">Acinetobacter baumannii </w:t>
      </w:r>
    </w:p>
    <w:p w:rsidR="00C26590" w:rsidRPr="00A67439" w:rsidRDefault="00C26590" w:rsidP="00C26590">
      <w:pPr>
        <w:ind w:left="840"/>
        <w:rPr>
          <w:i/>
          <w:iCs/>
          <w:sz w:val="24"/>
          <w:szCs w:val="24"/>
          <w:lang w:val="en-GB"/>
        </w:rPr>
      </w:pPr>
      <w:r w:rsidRPr="00A67439">
        <w:rPr>
          <w:i/>
          <w:iCs/>
          <w:sz w:val="24"/>
          <w:szCs w:val="24"/>
          <w:lang w:val="en-GB"/>
        </w:rPr>
        <w:t>Haemophilus influenza</w:t>
      </w:r>
    </w:p>
    <w:p w:rsidR="00C26590" w:rsidRPr="00A67439" w:rsidRDefault="00C26590" w:rsidP="00C26590">
      <w:pPr>
        <w:ind w:left="840"/>
        <w:rPr>
          <w:i/>
          <w:iCs/>
          <w:sz w:val="24"/>
          <w:szCs w:val="24"/>
          <w:lang w:val="en-US"/>
        </w:rPr>
      </w:pPr>
      <w:r w:rsidRPr="00A67439">
        <w:rPr>
          <w:i/>
          <w:iCs/>
          <w:sz w:val="24"/>
          <w:szCs w:val="24"/>
          <w:lang w:val="en-US"/>
        </w:rPr>
        <w:t>Klebsiella</w:t>
      </w:r>
      <w:r w:rsidRPr="00A67439">
        <w:rPr>
          <w:iCs/>
          <w:sz w:val="24"/>
          <w:szCs w:val="24"/>
          <w:lang w:val="en-US"/>
        </w:rPr>
        <w:t xml:space="preserve"> spp</w:t>
      </w:r>
    </w:p>
    <w:p w:rsidR="00C26590" w:rsidRPr="00A67439" w:rsidRDefault="00C26590" w:rsidP="00C26590">
      <w:pPr>
        <w:ind w:left="840"/>
        <w:rPr>
          <w:i/>
          <w:iCs/>
          <w:sz w:val="24"/>
          <w:szCs w:val="24"/>
          <w:lang w:val="en-US"/>
        </w:rPr>
      </w:pPr>
      <w:r w:rsidRPr="00A67439">
        <w:rPr>
          <w:i/>
          <w:iCs/>
          <w:sz w:val="24"/>
          <w:szCs w:val="24"/>
          <w:lang w:val="en-US"/>
        </w:rPr>
        <w:t>Pseudomonas aeruginosa</w:t>
      </w:r>
    </w:p>
    <w:p w:rsidR="00C26590" w:rsidRPr="00A67439" w:rsidRDefault="00C26590" w:rsidP="00C26590">
      <w:pPr>
        <w:ind w:left="840"/>
        <w:rPr>
          <w:i/>
          <w:iCs/>
          <w:sz w:val="24"/>
          <w:szCs w:val="24"/>
          <w:lang w:val="en-US"/>
        </w:rPr>
      </w:pPr>
    </w:p>
    <w:p w:rsidR="00C26590" w:rsidRPr="00A67439" w:rsidRDefault="00C26590" w:rsidP="00C26590">
      <w:pPr>
        <w:ind w:left="840"/>
        <w:rPr>
          <w:sz w:val="24"/>
          <w:szCs w:val="24"/>
          <w:u w:val="single"/>
        </w:rPr>
      </w:pPr>
      <w:r w:rsidRPr="00A67439">
        <w:rPr>
          <w:sz w:val="24"/>
          <w:szCs w:val="24"/>
          <w:u w:val="single"/>
        </w:rPr>
        <w:t>Arter, for hvilke erhvervet resistens kan være et problem</w:t>
      </w:r>
    </w:p>
    <w:p w:rsidR="00C26590" w:rsidRPr="00A67439" w:rsidRDefault="00C26590" w:rsidP="00C26590">
      <w:pPr>
        <w:ind w:left="840"/>
        <w:rPr>
          <w:i/>
          <w:iCs/>
          <w:sz w:val="24"/>
          <w:szCs w:val="24"/>
        </w:rPr>
      </w:pPr>
      <w:r w:rsidRPr="00A67439">
        <w:rPr>
          <w:i/>
          <w:iCs/>
          <w:sz w:val="24"/>
          <w:szCs w:val="24"/>
        </w:rPr>
        <w:t xml:space="preserve">Stenotrophomonas maltophilia </w:t>
      </w:r>
    </w:p>
    <w:p w:rsidR="00C26590" w:rsidRPr="00A67439" w:rsidRDefault="00C26590" w:rsidP="00C26590">
      <w:pPr>
        <w:ind w:left="840"/>
        <w:rPr>
          <w:i/>
          <w:iCs/>
          <w:sz w:val="24"/>
          <w:szCs w:val="24"/>
        </w:rPr>
      </w:pPr>
      <w:r w:rsidRPr="00A67439">
        <w:rPr>
          <w:i/>
          <w:iCs/>
          <w:sz w:val="24"/>
          <w:szCs w:val="24"/>
        </w:rPr>
        <w:t>Achromobacter xylosoxidans (</w:t>
      </w:r>
      <w:r w:rsidRPr="00A67439">
        <w:rPr>
          <w:iCs/>
          <w:sz w:val="24"/>
          <w:szCs w:val="24"/>
        </w:rPr>
        <w:t xml:space="preserve">tidligere </w:t>
      </w:r>
      <w:r w:rsidRPr="00A67439">
        <w:rPr>
          <w:i/>
          <w:iCs/>
          <w:sz w:val="24"/>
          <w:szCs w:val="24"/>
        </w:rPr>
        <w:t>Alcaligenes xylosoxidans)</w:t>
      </w:r>
    </w:p>
    <w:p w:rsidR="00C26590" w:rsidRPr="00A67439" w:rsidRDefault="00C26590" w:rsidP="00C26590">
      <w:pPr>
        <w:ind w:left="840"/>
        <w:rPr>
          <w:iCs/>
          <w:sz w:val="24"/>
          <w:szCs w:val="24"/>
        </w:rPr>
      </w:pPr>
    </w:p>
    <w:p w:rsidR="00C26590" w:rsidRPr="00A67439" w:rsidRDefault="00C26590" w:rsidP="00C26590">
      <w:pPr>
        <w:ind w:left="840"/>
        <w:rPr>
          <w:i/>
          <w:sz w:val="24"/>
          <w:szCs w:val="24"/>
          <w:highlight w:val="yellow"/>
          <w:u w:val="single"/>
        </w:rPr>
      </w:pPr>
      <w:r w:rsidRPr="00A67439">
        <w:rPr>
          <w:sz w:val="24"/>
          <w:szCs w:val="24"/>
          <w:u w:val="single"/>
        </w:rPr>
        <w:t>Organismer med generel resistens</w:t>
      </w:r>
    </w:p>
    <w:p w:rsidR="00C26590" w:rsidRPr="00A67439" w:rsidRDefault="00C26590" w:rsidP="00C26590">
      <w:pPr>
        <w:ind w:left="840"/>
        <w:rPr>
          <w:i/>
          <w:iCs/>
          <w:sz w:val="24"/>
          <w:szCs w:val="24"/>
        </w:rPr>
      </w:pPr>
      <w:r w:rsidRPr="00A67439">
        <w:rPr>
          <w:i/>
          <w:iCs/>
          <w:sz w:val="24"/>
          <w:szCs w:val="24"/>
        </w:rPr>
        <w:t xml:space="preserve">Burkholderia cepacia </w:t>
      </w:r>
      <w:r w:rsidRPr="00A67439">
        <w:rPr>
          <w:iCs/>
          <w:sz w:val="24"/>
          <w:szCs w:val="24"/>
        </w:rPr>
        <w:t>og beslægtede arter</w:t>
      </w:r>
    </w:p>
    <w:p w:rsidR="00C26590" w:rsidRPr="00A67439" w:rsidRDefault="00C26590" w:rsidP="00C26590">
      <w:pPr>
        <w:ind w:left="840"/>
        <w:rPr>
          <w:i/>
          <w:iCs/>
          <w:sz w:val="24"/>
          <w:szCs w:val="24"/>
          <w:lang w:val="en-US"/>
        </w:rPr>
      </w:pPr>
      <w:r w:rsidRPr="00A67439">
        <w:rPr>
          <w:i/>
          <w:iCs/>
          <w:sz w:val="24"/>
          <w:szCs w:val="24"/>
          <w:lang w:val="en-US"/>
        </w:rPr>
        <w:t xml:space="preserve">Proteus </w:t>
      </w:r>
      <w:r w:rsidRPr="00A67439">
        <w:rPr>
          <w:iCs/>
          <w:sz w:val="24"/>
          <w:szCs w:val="24"/>
          <w:lang w:val="en-US"/>
        </w:rPr>
        <w:t>spp</w:t>
      </w:r>
    </w:p>
    <w:p w:rsidR="00C26590" w:rsidRPr="00A67439" w:rsidRDefault="00C26590" w:rsidP="00C26590">
      <w:pPr>
        <w:ind w:left="840"/>
        <w:rPr>
          <w:i/>
          <w:iCs/>
          <w:sz w:val="24"/>
          <w:szCs w:val="24"/>
          <w:lang w:val="en-US"/>
        </w:rPr>
      </w:pPr>
      <w:r w:rsidRPr="00A67439">
        <w:rPr>
          <w:i/>
          <w:iCs/>
          <w:sz w:val="24"/>
          <w:szCs w:val="24"/>
          <w:lang w:val="en-US"/>
        </w:rPr>
        <w:t xml:space="preserve">Providencia </w:t>
      </w:r>
      <w:r w:rsidRPr="00A67439">
        <w:rPr>
          <w:iCs/>
          <w:sz w:val="24"/>
          <w:szCs w:val="24"/>
          <w:lang w:val="en-US"/>
        </w:rPr>
        <w:t>spp</w:t>
      </w:r>
    </w:p>
    <w:p w:rsidR="00C26590" w:rsidRPr="00A67439" w:rsidRDefault="00C26590" w:rsidP="00C26590">
      <w:pPr>
        <w:ind w:left="840"/>
        <w:rPr>
          <w:i/>
          <w:iCs/>
          <w:sz w:val="24"/>
          <w:szCs w:val="24"/>
          <w:lang w:val="en-US"/>
        </w:rPr>
      </w:pPr>
      <w:r w:rsidRPr="00A67439">
        <w:rPr>
          <w:i/>
          <w:iCs/>
          <w:sz w:val="24"/>
          <w:szCs w:val="24"/>
          <w:lang w:val="en-US"/>
        </w:rPr>
        <w:t xml:space="preserve">Serratia </w:t>
      </w:r>
      <w:r w:rsidRPr="00A67439">
        <w:rPr>
          <w:iCs/>
          <w:sz w:val="24"/>
          <w:szCs w:val="24"/>
          <w:lang w:val="en-US"/>
        </w:rPr>
        <w:t>spp</w:t>
      </w:r>
    </w:p>
    <w:p w:rsidR="00C26590" w:rsidRPr="00C7350F" w:rsidRDefault="00C26590" w:rsidP="00C26590">
      <w:pPr>
        <w:ind w:left="851" w:hanging="851"/>
        <w:rPr>
          <w:sz w:val="24"/>
          <w:szCs w:val="24"/>
          <w:lang w:val="en-US"/>
        </w:rPr>
      </w:pPr>
    </w:p>
    <w:p w:rsidR="00C26590" w:rsidRPr="00C7350F" w:rsidRDefault="00C26590" w:rsidP="00C26590">
      <w:pPr>
        <w:numPr>
          <w:ilvl w:val="1"/>
          <w:numId w:val="3"/>
        </w:numPr>
        <w:tabs>
          <w:tab w:val="clear" w:pos="855"/>
        </w:tabs>
        <w:ind w:left="851" w:hanging="851"/>
        <w:rPr>
          <w:b/>
          <w:sz w:val="24"/>
          <w:szCs w:val="24"/>
        </w:rPr>
      </w:pPr>
      <w:r w:rsidRPr="00C7350F">
        <w:rPr>
          <w:b/>
          <w:sz w:val="24"/>
          <w:szCs w:val="24"/>
        </w:rPr>
        <w:t>Farmakokinetiske egenskaber</w:t>
      </w:r>
    </w:p>
    <w:p w:rsidR="00C26590" w:rsidRPr="00A67439" w:rsidRDefault="00C26590" w:rsidP="00C26590">
      <w:pPr>
        <w:ind w:left="851"/>
        <w:rPr>
          <w:sz w:val="24"/>
          <w:szCs w:val="24"/>
          <w:lang w:eastAsia="da-DK"/>
        </w:rPr>
      </w:pPr>
      <w:r w:rsidRPr="00A67439">
        <w:rPr>
          <w:sz w:val="24"/>
          <w:szCs w:val="24"/>
        </w:rPr>
        <w:t>Oplysninger om farmakokinetikken for colistimethatnatrium (CMS) og colistin er begrænsede. Der er noget, der tyder på, at farmakokinetikken hos kritisk syge patienter er forskellig fra farmakokinetikken hos patienter med mindre svær fysiologisk forstyrrelse og hos raske frivillige. Følgende data er baseret på studier, der anvender HPLC til bestemmelse af CMS/colistin-plasmakoncentrationer.</w:t>
      </w:r>
    </w:p>
    <w:p w:rsidR="00C26590" w:rsidRPr="00A67439" w:rsidRDefault="00C26590" w:rsidP="00C26590">
      <w:pPr>
        <w:ind w:left="851"/>
        <w:rPr>
          <w:sz w:val="24"/>
          <w:szCs w:val="24"/>
        </w:rPr>
      </w:pPr>
      <w:r w:rsidRPr="00A67439">
        <w:rPr>
          <w:sz w:val="24"/>
          <w:szCs w:val="24"/>
        </w:rPr>
        <w:tab/>
        <w:t xml:space="preserve"> </w:t>
      </w:r>
    </w:p>
    <w:p w:rsidR="00C26590" w:rsidRPr="00A67439" w:rsidRDefault="00C26590" w:rsidP="00C26590">
      <w:pPr>
        <w:ind w:left="851"/>
        <w:rPr>
          <w:sz w:val="24"/>
          <w:szCs w:val="24"/>
          <w:u w:val="single"/>
        </w:rPr>
      </w:pPr>
      <w:r w:rsidRPr="00A67439">
        <w:rPr>
          <w:sz w:val="24"/>
          <w:szCs w:val="24"/>
          <w:u w:val="single"/>
        </w:rPr>
        <w:t>Absorption</w:t>
      </w:r>
    </w:p>
    <w:p w:rsidR="00C26590" w:rsidRPr="00A67439" w:rsidRDefault="00C26590" w:rsidP="00C26590">
      <w:pPr>
        <w:ind w:left="851"/>
        <w:rPr>
          <w:sz w:val="24"/>
          <w:szCs w:val="24"/>
        </w:rPr>
      </w:pPr>
      <w:r w:rsidRPr="00A67439">
        <w:rPr>
          <w:sz w:val="24"/>
          <w:szCs w:val="24"/>
        </w:rPr>
        <w:t>Absorptionen af colistimethatnatrium fra mave-tarm-kanalen sker ikke i væsentligt omfang hos den normale patient.</w:t>
      </w:r>
    </w:p>
    <w:p w:rsidR="00C26590" w:rsidRDefault="00C26590" w:rsidP="00C26590">
      <w:pPr>
        <w:ind w:left="851"/>
        <w:rPr>
          <w:sz w:val="24"/>
          <w:szCs w:val="24"/>
        </w:rPr>
      </w:pPr>
    </w:p>
    <w:p w:rsidR="00C26590" w:rsidRPr="00A67439" w:rsidRDefault="00C26590" w:rsidP="00C26590">
      <w:pPr>
        <w:ind w:left="851"/>
        <w:rPr>
          <w:sz w:val="24"/>
          <w:szCs w:val="24"/>
        </w:rPr>
      </w:pPr>
    </w:p>
    <w:p w:rsidR="00C26590" w:rsidRPr="00A67439" w:rsidRDefault="00C26590" w:rsidP="00C26590">
      <w:pPr>
        <w:ind w:left="851"/>
        <w:rPr>
          <w:sz w:val="24"/>
          <w:szCs w:val="24"/>
          <w:u w:val="single"/>
        </w:rPr>
      </w:pPr>
      <w:r w:rsidRPr="00A67439">
        <w:rPr>
          <w:sz w:val="24"/>
          <w:szCs w:val="24"/>
          <w:u w:val="single"/>
        </w:rPr>
        <w:t>Fordeling</w:t>
      </w:r>
    </w:p>
    <w:p w:rsidR="00C26590" w:rsidRPr="00A67439" w:rsidRDefault="00C26590" w:rsidP="00C26590">
      <w:pPr>
        <w:ind w:left="851"/>
        <w:rPr>
          <w:sz w:val="24"/>
          <w:szCs w:val="24"/>
        </w:rPr>
      </w:pPr>
      <w:r w:rsidRPr="00A67439">
        <w:rPr>
          <w:sz w:val="24"/>
          <w:szCs w:val="24"/>
        </w:rPr>
        <w:t xml:space="preserve">Fordelingsvolumenet af colistin hos raske personer er lavt og svarer omtrent til ekstracellulærvæsken (ECF). Fordelingsvolumenet er relevant forøget hos kritisk syge personer. Proteinbindingen er moderat og falder ved højere koncentrationer. I fravær af meningeal inflammation er penetrering ind i cerebrospinalvæsken (CSF) minimal, men den øges ved meningeal inflammation. </w:t>
      </w:r>
    </w:p>
    <w:p w:rsidR="00C26590" w:rsidRPr="00A67439" w:rsidRDefault="00C26590" w:rsidP="00C26590">
      <w:pPr>
        <w:ind w:left="851"/>
        <w:rPr>
          <w:sz w:val="24"/>
          <w:szCs w:val="24"/>
        </w:rPr>
      </w:pPr>
    </w:p>
    <w:p w:rsidR="00C26590" w:rsidRPr="00A67439" w:rsidRDefault="00C26590" w:rsidP="00C26590">
      <w:pPr>
        <w:ind w:left="851"/>
        <w:rPr>
          <w:sz w:val="24"/>
          <w:szCs w:val="24"/>
        </w:rPr>
      </w:pPr>
      <w:r w:rsidRPr="00A67439">
        <w:rPr>
          <w:sz w:val="24"/>
          <w:szCs w:val="24"/>
        </w:rPr>
        <w:t>Både CMS og colistin fremviser lineær farmakokinetik i det klinisk relevante dosisområde.</w:t>
      </w:r>
    </w:p>
    <w:p w:rsidR="00C26590" w:rsidRPr="00A67439" w:rsidRDefault="00C26590" w:rsidP="00C26590">
      <w:pPr>
        <w:rPr>
          <w:sz w:val="24"/>
          <w:szCs w:val="24"/>
        </w:rPr>
      </w:pPr>
    </w:p>
    <w:p w:rsidR="00C26590" w:rsidRPr="00A67439" w:rsidRDefault="00C26590" w:rsidP="00C26590">
      <w:pPr>
        <w:ind w:left="851"/>
        <w:rPr>
          <w:sz w:val="24"/>
          <w:szCs w:val="24"/>
          <w:u w:val="single"/>
        </w:rPr>
      </w:pPr>
      <w:r w:rsidRPr="00A67439">
        <w:rPr>
          <w:sz w:val="24"/>
          <w:szCs w:val="24"/>
          <w:u w:val="single"/>
        </w:rPr>
        <w:t>Biotransformation</w:t>
      </w:r>
    </w:p>
    <w:p w:rsidR="00C26590" w:rsidRPr="00A67439" w:rsidRDefault="00C26590" w:rsidP="00C26590">
      <w:pPr>
        <w:ind w:left="851"/>
        <w:rPr>
          <w:sz w:val="24"/>
          <w:szCs w:val="24"/>
        </w:rPr>
      </w:pPr>
      <w:r w:rsidRPr="00A67439">
        <w:rPr>
          <w:sz w:val="24"/>
          <w:szCs w:val="24"/>
        </w:rPr>
        <w:t>Efter infusion af colistimethatnatrium omdannes det inaktive prodrug til det aktive colistin. Maksimale plasmakoncentrationer af colistin er vist at komme med en forsinkelse på op til 7 timer efter administration af colistimethatnatrium hos kritisk syge patienter.</w:t>
      </w:r>
    </w:p>
    <w:p w:rsidR="00C26590" w:rsidRPr="001F22FF" w:rsidRDefault="00C26590" w:rsidP="00C26590">
      <w:pPr>
        <w:ind w:left="851" w:hanging="851"/>
        <w:rPr>
          <w:sz w:val="24"/>
          <w:szCs w:val="24"/>
        </w:rPr>
      </w:pPr>
    </w:p>
    <w:p w:rsidR="00C26590" w:rsidRPr="001F22FF" w:rsidRDefault="00C26590" w:rsidP="00C26590">
      <w:pPr>
        <w:keepNext/>
        <w:ind w:left="851"/>
        <w:rPr>
          <w:sz w:val="24"/>
          <w:szCs w:val="24"/>
          <w:u w:val="single"/>
          <w:lang w:eastAsia="da-DK"/>
        </w:rPr>
      </w:pPr>
      <w:r w:rsidRPr="001F22FF">
        <w:rPr>
          <w:sz w:val="24"/>
          <w:szCs w:val="24"/>
          <w:u w:val="single"/>
        </w:rPr>
        <w:t>Elimination</w:t>
      </w:r>
    </w:p>
    <w:p w:rsidR="00C26590" w:rsidRPr="001F22FF" w:rsidRDefault="00C26590" w:rsidP="00C26590">
      <w:pPr>
        <w:ind w:left="862" w:hanging="11"/>
        <w:rPr>
          <w:sz w:val="24"/>
          <w:szCs w:val="24"/>
        </w:rPr>
      </w:pPr>
      <w:r w:rsidRPr="001F22FF">
        <w:rPr>
          <w:sz w:val="24"/>
          <w:szCs w:val="24"/>
        </w:rPr>
        <w:t xml:space="preserve">Det er estimeret, at ca. 30 % af colistimethatnatrium omdannes til colistin hos raske personer. Dets clearance er afhængig af kreatininclearance, og ved faldende nyrefunktion omdannes en større del af CMS til colistin. Hos patienter med meget dårlig nyrefunktion (kreatininclearance &lt; 30 mL/min) kan graden af omdannelse være så høj som 60 % til 70 %. CMS elimineres overvejende via nyrerne ved glomerulær filtration. Hos raske personer udskilles 60 % til 70 % af CMS uomdannet i urinen i løbet af 24 timer. </w:t>
      </w:r>
    </w:p>
    <w:p w:rsidR="00C26590" w:rsidRPr="001F22FF" w:rsidRDefault="00C26590" w:rsidP="00C26590">
      <w:pPr>
        <w:ind w:left="862" w:hanging="11"/>
        <w:rPr>
          <w:sz w:val="24"/>
          <w:szCs w:val="24"/>
        </w:rPr>
      </w:pPr>
    </w:p>
    <w:p w:rsidR="00C26590" w:rsidRPr="00A67439" w:rsidRDefault="00C26590" w:rsidP="00C26590">
      <w:pPr>
        <w:ind w:left="862" w:hanging="11"/>
        <w:rPr>
          <w:sz w:val="24"/>
          <w:szCs w:val="24"/>
        </w:rPr>
      </w:pPr>
      <w:r w:rsidRPr="001F22FF">
        <w:rPr>
          <w:sz w:val="24"/>
          <w:szCs w:val="24"/>
        </w:rPr>
        <w:t>Elimineringen af det aktive colistin er ufuldstændigt karakteriseret. Colistin gennemgår</w:t>
      </w:r>
      <w:r w:rsidRPr="00A67439">
        <w:rPr>
          <w:sz w:val="24"/>
          <w:szCs w:val="24"/>
        </w:rPr>
        <w:t xml:space="preserve"> omfattende renal tubulær reabsorption og cleares muligvis enten non-renalt eller gennemgår renal metabolisme med mulighed for renal akkumulering. Colistinclearance er reduceret ved nedsat nyrefunktion, muligvis pga. øget omdannelse af CMS. </w:t>
      </w:r>
    </w:p>
    <w:p w:rsidR="00C26590" w:rsidRPr="00A67439" w:rsidRDefault="00C26590" w:rsidP="00C26590">
      <w:pPr>
        <w:ind w:left="862" w:hanging="11"/>
        <w:rPr>
          <w:sz w:val="24"/>
          <w:szCs w:val="24"/>
        </w:rPr>
      </w:pPr>
    </w:p>
    <w:p w:rsidR="00C26590" w:rsidRPr="00A67439" w:rsidRDefault="00C26590" w:rsidP="00C26590">
      <w:pPr>
        <w:ind w:left="862" w:hanging="11"/>
        <w:rPr>
          <w:sz w:val="24"/>
          <w:szCs w:val="24"/>
        </w:rPr>
      </w:pPr>
      <w:r w:rsidRPr="00A67439">
        <w:rPr>
          <w:sz w:val="24"/>
          <w:szCs w:val="24"/>
        </w:rPr>
        <w:t>Det er rapporteret, at halveringstiden for colistin hos raske personer og personer med cystisk fibrose er henholdsvis ca. 3 og 4 timer med en total-clearance på ca. 3 L/time. Hos kritisk syge patienter er halveringstiden rapporteret forlænget til ca. 9-18 timer.</w:t>
      </w:r>
    </w:p>
    <w:p w:rsidR="00C26590" w:rsidRPr="00A67439" w:rsidRDefault="00C26590" w:rsidP="00C26590">
      <w:pPr>
        <w:ind w:left="851" w:hanging="851"/>
        <w:rPr>
          <w:b/>
          <w:sz w:val="24"/>
          <w:szCs w:val="24"/>
        </w:rPr>
      </w:pPr>
    </w:p>
    <w:p w:rsidR="00C26590" w:rsidRPr="00C7350F" w:rsidRDefault="00C26590" w:rsidP="00C26590">
      <w:pPr>
        <w:numPr>
          <w:ilvl w:val="1"/>
          <w:numId w:val="4"/>
        </w:numPr>
        <w:tabs>
          <w:tab w:val="clear" w:pos="855"/>
        </w:tabs>
        <w:ind w:left="851" w:hanging="851"/>
        <w:rPr>
          <w:b/>
          <w:sz w:val="24"/>
          <w:szCs w:val="24"/>
        </w:rPr>
      </w:pPr>
      <w:r w:rsidRPr="00C7350F">
        <w:rPr>
          <w:b/>
          <w:sz w:val="24"/>
          <w:szCs w:val="24"/>
        </w:rPr>
        <w:t>Prækliniske sikkerhedsdata</w:t>
      </w:r>
    </w:p>
    <w:p w:rsidR="00C26590" w:rsidRPr="00C7350F" w:rsidRDefault="00C26590" w:rsidP="00C26590">
      <w:pPr>
        <w:ind w:left="851" w:hanging="851"/>
        <w:rPr>
          <w:sz w:val="24"/>
          <w:szCs w:val="24"/>
        </w:rPr>
      </w:pPr>
      <w:r w:rsidRPr="00C7350F">
        <w:rPr>
          <w:sz w:val="24"/>
          <w:szCs w:val="24"/>
        </w:rPr>
        <w:tab/>
        <w:t xml:space="preserve">Dyreforsøg er ikke tilstrækkelige for så vidt angår oplysninger om virkningen på reproduktion. </w:t>
      </w:r>
    </w:p>
    <w:p w:rsidR="00C26590" w:rsidRPr="00C7350F" w:rsidRDefault="00C26590" w:rsidP="00C26590">
      <w:pPr>
        <w:ind w:left="851" w:hanging="851"/>
        <w:rPr>
          <w:sz w:val="24"/>
          <w:szCs w:val="24"/>
        </w:rPr>
      </w:pPr>
    </w:p>
    <w:p w:rsidR="00C26590" w:rsidRPr="00C7350F" w:rsidRDefault="00C26590" w:rsidP="00C26590">
      <w:pPr>
        <w:ind w:left="851"/>
        <w:rPr>
          <w:vanish/>
          <w:sz w:val="24"/>
          <w:szCs w:val="24"/>
        </w:rPr>
      </w:pPr>
      <w:r w:rsidRPr="00C7350F">
        <w:rPr>
          <w:sz w:val="24"/>
          <w:szCs w:val="24"/>
        </w:rPr>
        <w:t xml:space="preserve">Oplysningerne om potentiel genotoksicitet for colistimethatnatrium er begrænsede, og data vedrørende karcinogenicitet findes ikke. Colistimethatnatrium har vist sig at inducere kromosomaberrationer i humane lymfocytter </w:t>
      </w:r>
      <w:r w:rsidRPr="00C7350F">
        <w:rPr>
          <w:i/>
          <w:sz w:val="24"/>
          <w:szCs w:val="24"/>
        </w:rPr>
        <w:t>in vitro</w:t>
      </w:r>
      <w:r w:rsidRPr="00C7350F">
        <w:rPr>
          <w:sz w:val="24"/>
          <w:szCs w:val="24"/>
        </w:rPr>
        <w:t>. Denne virkning kan være forbundet med en reduktion i mitose-indekset, som ligeledes blev observeret.</w:t>
      </w:r>
    </w:p>
    <w:p w:rsidR="00C26590" w:rsidRPr="00C7350F" w:rsidRDefault="00C26590" w:rsidP="00C26590">
      <w:pPr>
        <w:ind w:left="851" w:hanging="851"/>
        <w:rPr>
          <w:sz w:val="24"/>
          <w:szCs w:val="24"/>
        </w:rPr>
      </w:pPr>
    </w:p>
    <w:p w:rsidR="00C26590" w:rsidRDefault="00C26590" w:rsidP="00C26590">
      <w:pPr>
        <w:ind w:left="851" w:hanging="851"/>
        <w:rPr>
          <w:sz w:val="24"/>
          <w:szCs w:val="24"/>
        </w:rPr>
      </w:pPr>
    </w:p>
    <w:p w:rsidR="00C26590" w:rsidRPr="00C7350F" w:rsidRDefault="00C26590" w:rsidP="00C26590">
      <w:pPr>
        <w:ind w:left="851" w:hanging="851"/>
        <w:rPr>
          <w:sz w:val="24"/>
          <w:szCs w:val="24"/>
        </w:rPr>
      </w:pPr>
    </w:p>
    <w:p w:rsidR="00C26590" w:rsidRPr="00C7350F" w:rsidRDefault="00C26590" w:rsidP="00C26590">
      <w:pPr>
        <w:numPr>
          <w:ilvl w:val="0"/>
          <w:numId w:val="3"/>
        </w:numPr>
        <w:tabs>
          <w:tab w:val="clear" w:pos="855"/>
        </w:tabs>
        <w:ind w:left="851" w:hanging="851"/>
        <w:rPr>
          <w:b/>
          <w:sz w:val="24"/>
          <w:szCs w:val="24"/>
        </w:rPr>
      </w:pPr>
      <w:r w:rsidRPr="00C7350F">
        <w:rPr>
          <w:b/>
          <w:sz w:val="24"/>
          <w:szCs w:val="24"/>
        </w:rPr>
        <w:t>FARMACEUTISKE OPLYSNINGER</w:t>
      </w:r>
    </w:p>
    <w:p w:rsidR="00C26590" w:rsidRPr="00C7350F" w:rsidRDefault="00C26590" w:rsidP="00C26590">
      <w:pPr>
        <w:ind w:left="851" w:hanging="851"/>
        <w:rPr>
          <w:b/>
          <w:sz w:val="24"/>
          <w:szCs w:val="24"/>
        </w:rPr>
      </w:pPr>
    </w:p>
    <w:p w:rsidR="00C26590" w:rsidRPr="00C7350F" w:rsidRDefault="00C26590" w:rsidP="00C26590">
      <w:pPr>
        <w:numPr>
          <w:ilvl w:val="1"/>
          <w:numId w:val="5"/>
        </w:numPr>
        <w:tabs>
          <w:tab w:val="clear" w:pos="855"/>
        </w:tabs>
        <w:ind w:left="851" w:hanging="851"/>
        <w:rPr>
          <w:b/>
          <w:sz w:val="24"/>
          <w:szCs w:val="24"/>
        </w:rPr>
      </w:pPr>
      <w:r w:rsidRPr="00C7350F">
        <w:rPr>
          <w:b/>
          <w:sz w:val="24"/>
          <w:szCs w:val="24"/>
        </w:rPr>
        <w:t>Hjælpestoffer</w:t>
      </w:r>
    </w:p>
    <w:p w:rsidR="00C26590" w:rsidRPr="00C7350F" w:rsidRDefault="00C26590" w:rsidP="00C26590">
      <w:pPr>
        <w:ind w:left="851" w:hanging="851"/>
        <w:rPr>
          <w:sz w:val="24"/>
          <w:szCs w:val="24"/>
        </w:rPr>
      </w:pPr>
      <w:r w:rsidRPr="00C7350F">
        <w:rPr>
          <w:sz w:val="24"/>
          <w:szCs w:val="24"/>
        </w:rPr>
        <w:tab/>
        <w:t>Ingen.</w:t>
      </w:r>
    </w:p>
    <w:p w:rsidR="00C26590" w:rsidRPr="00C7350F" w:rsidRDefault="00C26590" w:rsidP="00C26590">
      <w:pPr>
        <w:ind w:left="851" w:hanging="851"/>
        <w:rPr>
          <w:sz w:val="24"/>
          <w:szCs w:val="24"/>
        </w:rPr>
      </w:pPr>
    </w:p>
    <w:p w:rsidR="00C26590" w:rsidRPr="00C7350F" w:rsidRDefault="00C26590" w:rsidP="00C26590">
      <w:pPr>
        <w:numPr>
          <w:ilvl w:val="1"/>
          <w:numId w:val="5"/>
        </w:numPr>
        <w:tabs>
          <w:tab w:val="clear" w:pos="855"/>
        </w:tabs>
        <w:ind w:left="851" w:hanging="851"/>
        <w:rPr>
          <w:b/>
          <w:sz w:val="24"/>
          <w:szCs w:val="24"/>
        </w:rPr>
      </w:pPr>
      <w:r w:rsidRPr="00C7350F">
        <w:rPr>
          <w:b/>
          <w:sz w:val="24"/>
          <w:szCs w:val="24"/>
        </w:rPr>
        <w:t>Uforligeligheder</w:t>
      </w:r>
    </w:p>
    <w:p w:rsidR="00C26590" w:rsidRPr="00C7350F" w:rsidRDefault="00C26590" w:rsidP="00C26590">
      <w:pPr>
        <w:ind w:left="851" w:hanging="851"/>
        <w:rPr>
          <w:sz w:val="24"/>
          <w:szCs w:val="24"/>
        </w:rPr>
      </w:pPr>
      <w:r w:rsidRPr="00C7350F">
        <w:rPr>
          <w:sz w:val="24"/>
          <w:szCs w:val="24"/>
        </w:rPr>
        <w:tab/>
        <w:t>Dette lægemiddel må ikke blandes med andre lægemidler end dem, der er anført under pkt. 6.6.</w:t>
      </w:r>
    </w:p>
    <w:p w:rsidR="00C26590" w:rsidRPr="00C7350F" w:rsidRDefault="00C26590" w:rsidP="00C26590">
      <w:pPr>
        <w:ind w:left="851" w:hanging="851"/>
        <w:rPr>
          <w:sz w:val="24"/>
          <w:szCs w:val="24"/>
        </w:rPr>
      </w:pPr>
    </w:p>
    <w:p w:rsidR="00C26590" w:rsidRPr="00C7350F" w:rsidRDefault="00C26590" w:rsidP="00C26590">
      <w:pPr>
        <w:numPr>
          <w:ilvl w:val="1"/>
          <w:numId w:val="5"/>
        </w:numPr>
        <w:tabs>
          <w:tab w:val="clear" w:pos="855"/>
        </w:tabs>
        <w:ind w:left="851" w:hanging="851"/>
        <w:rPr>
          <w:b/>
          <w:sz w:val="24"/>
          <w:szCs w:val="24"/>
        </w:rPr>
      </w:pPr>
      <w:r w:rsidRPr="00C7350F">
        <w:rPr>
          <w:b/>
          <w:sz w:val="24"/>
          <w:szCs w:val="24"/>
        </w:rPr>
        <w:t>Opbevaringstid</w:t>
      </w:r>
    </w:p>
    <w:p w:rsidR="00C26590" w:rsidRDefault="00C26590" w:rsidP="00C26590">
      <w:pPr>
        <w:ind w:left="851" w:hanging="851"/>
        <w:rPr>
          <w:sz w:val="24"/>
          <w:szCs w:val="24"/>
        </w:rPr>
      </w:pPr>
    </w:p>
    <w:p w:rsidR="00C26590" w:rsidRPr="00C7350F" w:rsidRDefault="00C26590" w:rsidP="00C26590">
      <w:pPr>
        <w:ind w:left="851" w:hanging="851"/>
        <w:rPr>
          <w:sz w:val="24"/>
          <w:szCs w:val="24"/>
        </w:rPr>
      </w:pPr>
      <w:r w:rsidRPr="00C7350F">
        <w:rPr>
          <w:sz w:val="24"/>
          <w:szCs w:val="24"/>
        </w:rPr>
        <w:tab/>
      </w:r>
      <w:r w:rsidRPr="00C7350F">
        <w:rPr>
          <w:b/>
          <w:sz w:val="24"/>
          <w:szCs w:val="24"/>
        </w:rPr>
        <w:t>Uåbnet:</w:t>
      </w:r>
      <w:r w:rsidRPr="00C7350F">
        <w:rPr>
          <w:sz w:val="24"/>
          <w:szCs w:val="24"/>
        </w:rPr>
        <w:t xml:space="preserve"> </w:t>
      </w:r>
    </w:p>
    <w:p w:rsidR="00C26590" w:rsidRPr="00C7350F" w:rsidRDefault="00565241" w:rsidP="00C26590">
      <w:pPr>
        <w:ind w:left="851"/>
        <w:rPr>
          <w:sz w:val="24"/>
          <w:szCs w:val="24"/>
        </w:rPr>
      </w:pPr>
      <w:r>
        <w:rPr>
          <w:sz w:val="24"/>
          <w:szCs w:val="24"/>
        </w:rPr>
        <w:t>3</w:t>
      </w:r>
      <w:r w:rsidR="00C26590" w:rsidRPr="00C7350F">
        <w:rPr>
          <w:sz w:val="24"/>
          <w:szCs w:val="24"/>
        </w:rPr>
        <w:t xml:space="preserve"> år</w:t>
      </w:r>
    </w:p>
    <w:p w:rsidR="00C26590" w:rsidRPr="00C7350F" w:rsidRDefault="00C26590" w:rsidP="00C26590">
      <w:pPr>
        <w:ind w:left="851" w:hanging="851"/>
        <w:rPr>
          <w:sz w:val="24"/>
          <w:szCs w:val="24"/>
        </w:rPr>
      </w:pPr>
      <w:r w:rsidRPr="00C7350F">
        <w:rPr>
          <w:sz w:val="24"/>
          <w:szCs w:val="24"/>
        </w:rPr>
        <w:tab/>
      </w:r>
    </w:p>
    <w:p w:rsidR="00C26590" w:rsidRPr="001F22FF" w:rsidRDefault="00C26590" w:rsidP="00C26590">
      <w:pPr>
        <w:ind w:left="851" w:hanging="851"/>
        <w:rPr>
          <w:b/>
          <w:sz w:val="24"/>
          <w:szCs w:val="24"/>
        </w:rPr>
      </w:pPr>
      <w:r w:rsidRPr="001F22FF">
        <w:rPr>
          <w:sz w:val="24"/>
          <w:szCs w:val="24"/>
        </w:rPr>
        <w:tab/>
      </w:r>
      <w:r w:rsidRPr="001F22FF">
        <w:rPr>
          <w:b/>
          <w:sz w:val="24"/>
          <w:szCs w:val="24"/>
        </w:rPr>
        <w:t xml:space="preserve">Efter rekonstituering: </w:t>
      </w:r>
    </w:p>
    <w:p w:rsidR="00C26590" w:rsidRPr="001F22FF" w:rsidRDefault="00C26590" w:rsidP="00C26590">
      <w:pPr>
        <w:numPr>
          <w:ilvl w:val="12"/>
          <w:numId w:val="0"/>
        </w:numPr>
        <w:ind w:left="851"/>
        <w:rPr>
          <w:sz w:val="24"/>
          <w:szCs w:val="24"/>
          <w:lang w:eastAsia="da-DK"/>
        </w:rPr>
      </w:pPr>
      <w:r w:rsidRPr="001F22FF">
        <w:rPr>
          <w:sz w:val="24"/>
          <w:szCs w:val="24"/>
        </w:rPr>
        <w:t>Hydrolysen af colistimethatnatrium til det aktive stof colistin øges signifikant, når det rekonstitueres og fortyndes til under dets kritiske micelle-koncentration på ca. 80.000 IE pr. mL.</w:t>
      </w:r>
    </w:p>
    <w:p w:rsidR="00C26590" w:rsidRPr="001F22FF" w:rsidRDefault="00C26590" w:rsidP="00C26590">
      <w:pPr>
        <w:numPr>
          <w:ilvl w:val="12"/>
          <w:numId w:val="0"/>
        </w:numPr>
        <w:ind w:left="851"/>
        <w:rPr>
          <w:sz w:val="24"/>
          <w:szCs w:val="24"/>
        </w:rPr>
      </w:pPr>
    </w:p>
    <w:p w:rsidR="00C26590" w:rsidRPr="001F22FF" w:rsidRDefault="00C26590" w:rsidP="00C26590">
      <w:pPr>
        <w:numPr>
          <w:ilvl w:val="12"/>
          <w:numId w:val="0"/>
        </w:numPr>
        <w:ind w:left="851"/>
        <w:rPr>
          <w:sz w:val="24"/>
          <w:szCs w:val="24"/>
        </w:rPr>
      </w:pPr>
      <w:r w:rsidRPr="001F22FF">
        <w:rPr>
          <w:sz w:val="24"/>
          <w:szCs w:val="24"/>
        </w:rPr>
        <w:t>Den kemiske og fysiske brugsstabilitet af rekonstitueret opløsning i det original hætteglas med en koncentration på ≥ 80.000 IE/mL er påvist i 24 timer ved 2-8 °C eller i op til 8 timer ved stuetemperatur. Opløsninger, der er fortyndet til over volumenen i det originale hætteglas, og/eller som har en koncentration på &lt; 80.000 IE/mL, skal bruges med det samme.</w:t>
      </w:r>
    </w:p>
    <w:p w:rsidR="00C26590" w:rsidRPr="001F22FF" w:rsidRDefault="00C26590" w:rsidP="00C26590">
      <w:pPr>
        <w:numPr>
          <w:ilvl w:val="12"/>
          <w:numId w:val="0"/>
        </w:numPr>
        <w:ind w:left="851"/>
        <w:rPr>
          <w:sz w:val="24"/>
          <w:szCs w:val="24"/>
        </w:rPr>
      </w:pPr>
    </w:p>
    <w:p w:rsidR="00C26590" w:rsidRPr="001F22FF" w:rsidRDefault="00C26590" w:rsidP="00C26590">
      <w:pPr>
        <w:numPr>
          <w:ilvl w:val="12"/>
          <w:numId w:val="0"/>
        </w:numPr>
        <w:ind w:left="851"/>
        <w:rPr>
          <w:sz w:val="24"/>
          <w:szCs w:val="24"/>
        </w:rPr>
      </w:pPr>
      <w:r w:rsidRPr="001F22FF">
        <w:rPr>
          <w:sz w:val="24"/>
          <w:szCs w:val="24"/>
        </w:rPr>
        <w:t xml:space="preserve">Fra et mikrobiologisk synspunkt bør opløsningen bruges omgående, medmindre metoden til åbning/rekonstitution/fortynding udelukker risiko for kontaminering med mikroorganismer. Hvis opløsningen ikke bruges omgående, er brugsopbevaringstider og -forhold før brug brugerens ansvar. </w:t>
      </w:r>
    </w:p>
    <w:p w:rsidR="00C26590" w:rsidRPr="001F22FF" w:rsidRDefault="00C26590" w:rsidP="00C26590">
      <w:pPr>
        <w:ind w:left="851" w:hanging="851"/>
        <w:rPr>
          <w:sz w:val="24"/>
          <w:szCs w:val="24"/>
        </w:rPr>
      </w:pPr>
    </w:p>
    <w:p w:rsidR="00C26590" w:rsidRPr="00C7350F" w:rsidRDefault="00C26590" w:rsidP="00C26590">
      <w:pPr>
        <w:numPr>
          <w:ilvl w:val="1"/>
          <w:numId w:val="5"/>
        </w:numPr>
        <w:tabs>
          <w:tab w:val="clear" w:pos="855"/>
        </w:tabs>
        <w:ind w:left="851" w:hanging="851"/>
        <w:rPr>
          <w:b/>
          <w:sz w:val="24"/>
          <w:szCs w:val="24"/>
        </w:rPr>
      </w:pPr>
      <w:r w:rsidRPr="00C7350F">
        <w:rPr>
          <w:b/>
          <w:sz w:val="24"/>
          <w:szCs w:val="24"/>
        </w:rPr>
        <w:t>Særlige opbevaringsforhold</w:t>
      </w:r>
    </w:p>
    <w:p w:rsidR="00C26590" w:rsidRPr="00565241" w:rsidRDefault="00565241" w:rsidP="00565241">
      <w:pPr>
        <w:ind w:firstLine="851"/>
        <w:rPr>
          <w:sz w:val="24"/>
          <w:szCs w:val="24"/>
        </w:rPr>
      </w:pPr>
      <w:r w:rsidRPr="00565241">
        <w:rPr>
          <w:sz w:val="24"/>
          <w:szCs w:val="24"/>
        </w:rPr>
        <w:t>Dette lægemiddel kræver ingen særlige forholdsregler vedrørende opbevaringen.</w:t>
      </w:r>
    </w:p>
    <w:p w:rsidR="00565241" w:rsidRPr="00C7350F" w:rsidRDefault="00565241" w:rsidP="00565241">
      <w:pPr>
        <w:ind w:firstLine="851"/>
        <w:rPr>
          <w:sz w:val="24"/>
          <w:szCs w:val="24"/>
        </w:rPr>
      </w:pPr>
    </w:p>
    <w:p w:rsidR="00C26590" w:rsidRPr="00C7350F" w:rsidRDefault="00C26590" w:rsidP="00C26590">
      <w:pPr>
        <w:ind w:left="851"/>
        <w:rPr>
          <w:sz w:val="24"/>
          <w:szCs w:val="24"/>
        </w:rPr>
      </w:pPr>
      <w:r w:rsidRPr="00C7350F">
        <w:rPr>
          <w:sz w:val="24"/>
          <w:szCs w:val="24"/>
        </w:rPr>
        <w:t>Opbevaringsforhold efter rekonstitution/fortynding af lægemidlet, se pkt. 6.3.</w:t>
      </w:r>
    </w:p>
    <w:p w:rsidR="00C26590" w:rsidRPr="00C7350F" w:rsidRDefault="00C26590" w:rsidP="00C26590">
      <w:pPr>
        <w:ind w:left="851" w:hanging="851"/>
        <w:rPr>
          <w:sz w:val="24"/>
          <w:szCs w:val="24"/>
        </w:rPr>
      </w:pPr>
    </w:p>
    <w:p w:rsidR="00C26590" w:rsidRPr="00C7350F" w:rsidRDefault="00C26590" w:rsidP="00C26590">
      <w:pPr>
        <w:numPr>
          <w:ilvl w:val="1"/>
          <w:numId w:val="5"/>
        </w:numPr>
        <w:tabs>
          <w:tab w:val="clear" w:pos="855"/>
        </w:tabs>
        <w:ind w:left="851" w:hanging="851"/>
        <w:rPr>
          <w:b/>
          <w:sz w:val="24"/>
          <w:szCs w:val="24"/>
        </w:rPr>
      </w:pPr>
      <w:r w:rsidRPr="00C7350F">
        <w:rPr>
          <w:b/>
          <w:sz w:val="24"/>
          <w:szCs w:val="24"/>
        </w:rPr>
        <w:t>Emballagetyper og pakningsstørrelser</w:t>
      </w:r>
    </w:p>
    <w:p w:rsidR="00C26590" w:rsidRPr="001F22FF" w:rsidRDefault="00C26590" w:rsidP="00C26590">
      <w:pPr>
        <w:ind w:left="851" w:hanging="851"/>
        <w:rPr>
          <w:sz w:val="24"/>
          <w:szCs w:val="24"/>
          <w:lang w:eastAsia="da-DK"/>
        </w:rPr>
      </w:pPr>
      <w:r w:rsidRPr="001F22FF">
        <w:rPr>
          <w:sz w:val="24"/>
          <w:szCs w:val="24"/>
        </w:rPr>
        <w:tab/>
        <w:t xml:space="preserve">Produktet leveres i et type 1 hætteglas af klart glas (10R ISO, nominel volumen 10 mL), der er forseglet med en type 1 gummiprop af silikoniseret chlorobutyl og beskyttet af et 20 mm afrivningslåg af aluminium med en rød flip-top af plast i midten. Produktet leveres i pakningsstørrelser på 10 hætteglas. </w:t>
      </w:r>
    </w:p>
    <w:p w:rsidR="00C26590" w:rsidRPr="001F22FF" w:rsidRDefault="00C26590" w:rsidP="00C26590">
      <w:pPr>
        <w:ind w:left="851" w:hanging="851"/>
        <w:rPr>
          <w:sz w:val="24"/>
          <w:szCs w:val="24"/>
        </w:rPr>
      </w:pPr>
    </w:p>
    <w:p w:rsidR="00C26590" w:rsidRPr="001F22FF" w:rsidRDefault="00C26590" w:rsidP="00C26590">
      <w:pPr>
        <w:numPr>
          <w:ilvl w:val="1"/>
          <w:numId w:val="5"/>
        </w:numPr>
        <w:tabs>
          <w:tab w:val="clear" w:pos="855"/>
        </w:tabs>
        <w:ind w:left="851" w:hanging="851"/>
        <w:rPr>
          <w:b/>
          <w:sz w:val="24"/>
          <w:szCs w:val="24"/>
        </w:rPr>
      </w:pPr>
      <w:r w:rsidRPr="001F22FF">
        <w:rPr>
          <w:b/>
          <w:sz w:val="24"/>
          <w:szCs w:val="24"/>
        </w:rPr>
        <w:t>Regler for destruktion og anden håndtering</w:t>
      </w:r>
    </w:p>
    <w:p w:rsidR="00C26590" w:rsidRPr="001F22FF" w:rsidRDefault="00C26590" w:rsidP="00C26590">
      <w:pPr>
        <w:ind w:left="840"/>
        <w:rPr>
          <w:sz w:val="24"/>
          <w:szCs w:val="24"/>
          <w:lang w:eastAsia="da-DK"/>
        </w:rPr>
      </w:pPr>
      <w:r w:rsidRPr="001F22FF">
        <w:rPr>
          <w:sz w:val="24"/>
          <w:szCs w:val="24"/>
        </w:rPr>
        <w:t>Kun til engangsbrug.</w:t>
      </w:r>
    </w:p>
    <w:p w:rsidR="00C26590" w:rsidRPr="001F22FF" w:rsidRDefault="00C26590" w:rsidP="00C26590">
      <w:pPr>
        <w:ind w:left="840"/>
        <w:rPr>
          <w:sz w:val="24"/>
          <w:szCs w:val="24"/>
        </w:rPr>
      </w:pPr>
    </w:p>
    <w:p w:rsidR="00C26590" w:rsidRPr="001F22FF" w:rsidRDefault="00C26590" w:rsidP="00C26590">
      <w:pPr>
        <w:ind w:left="840"/>
        <w:rPr>
          <w:sz w:val="24"/>
          <w:szCs w:val="24"/>
        </w:rPr>
      </w:pPr>
      <w:r w:rsidRPr="001F22FF">
        <w:rPr>
          <w:sz w:val="24"/>
          <w:szCs w:val="24"/>
        </w:rPr>
        <w:t xml:space="preserve">Promixin skal rekonstitueres under aseptiske betingelser så der fås en klar, farveløs til bleggul opløsning. </w:t>
      </w:r>
    </w:p>
    <w:p w:rsidR="00C26590" w:rsidRPr="001F22FF" w:rsidRDefault="00C26590" w:rsidP="00C26590">
      <w:pPr>
        <w:ind w:left="840"/>
        <w:rPr>
          <w:sz w:val="24"/>
          <w:szCs w:val="24"/>
        </w:rPr>
      </w:pPr>
    </w:p>
    <w:p w:rsidR="00C26590" w:rsidRPr="001F22FF" w:rsidRDefault="00C26590" w:rsidP="00C26590">
      <w:pPr>
        <w:ind w:left="840"/>
        <w:rPr>
          <w:sz w:val="24"/>
          <w:szCs w:val="24"/>
        </w:rPr>
      </w:pPr>
      <w:r w:rsidRPr="001F22FF">
        <w:rPr>
          <w:sz w:val="24"/>
          <w:szCs w:val="24"/>
        </w:rPr>
        <w:t>Opløsningen skal kontrolleres for synlige partikler og misfarvning inden administration. Opløsningen må kun anvendes, hvis den er klar og fri for partikler.</w:t>
      </w:r>
    </w:p>
    <w:p w:rsidR="00C26590" w:rsidRPr="001F22FF" w:rsidRDefault="00C26590" w:rsidP="00C26590">
      <w:pPr>
        <w:ind w:left="840"/>
        <w:rPr>
          <w:sz w:val="24"/>
          <w:szCs w:val="24"/>
        </w:rPr>
      </w:pPr>
    </w:p>
    <w:p w:rsidR="00C26590" w:rsidRPr="001F22FF" w:rsidRDefault="00C26590" w:rsidP="00C26590">
      <w:pPr>
        <w:ind w:left="840"/>
        <w:rPr>
          <w:sz w:val="24"/>
          <w:szCs w:val="24"/>
          <w:u w:val="single"/>
        </w:rPr>
      </w:pPr>
      <w:r w:rsidRPr="001F22FF">
        <w:rPr>
          <w:sz w:val="24"/>
          <w:szCs w:val="24"/>
          <w:u w:val="single"/>
        </w:rPr>
        <w:t>Bolusinjektion</w:t>
      </w:r>
    </w:p>
    <w:p w:rsidR="00C26590" w:rsidRPr="001F22FF" w:rsidRDefault="00C26590" w:rsidP="00C26590">
      <w:pPr>
        <w:ind w:left="840"/>
        <w:rPr>
          <w:sz w:val="24"/>
          <w:szCs w:val="24"/>
        </w:rPr>
      </w:pPr>
      <w:r w:rsidRPr="001F22FF">
        <w:rPr>
          <w:sz w:val="24"/>
          <w:szCs w:val="24"/>
        </w:rPr>
        <w:t>Rekonstituér det enkelte hætteglas, der skal bruges til den ønskede dosis, med højst 10 mL vand til injektionsvæske eller natriumchloridopløsning 0,9 %.</w:t>
      </w:r>
    </w:p>
    <w:p w:rsidR="00C26590" w:rsidRPr="001F22FF" w:rsidRDefault="00C26590" w:rsidP="00C26590">
      <w:pPr>
        <w:ind w:left="840"/>
        <w:rPr>
          <w:sz w:val="24"/>
          <w:szCs w:val="24"/>
        </w:rPr>
      </w:pPr>
    </w:p>
    <w:p w:rsidR="00C26590" w:rsidRPr="001F22FF" w:rsidRDefault="00C26590" w:rsidP="00C26590">
      <w:pPr>
        <w:ind w:left="840"/>
        <w:rPr>
          <w:sz w:val="24"/>
          <w:szCs w:val="24"/>
          <w:u w:val="single"/>
        </w:rPr>
      </w:pPr>
      <w:r w:rsidRPr="001F22FF">
        <w:rPr>
          <w:sz w:val="24"/>
          <w:szCs w:val="24"/>
          <w:u w:val="single"/>
        </w:rPr>
        <w:t>Intratekal og intraventrikulær anvendelse</w:t>
      </w:r>
    </w:p>
    <w:p w:rsidR="00C26590" w:rsidRPr="001F22FF" w:rsidRDefault="00C26590" w:rsidP="00C26590">
      <w:pPr>
        <w:ind w:left="840"/>
        <w:rPr>
          <w:sz w:val="24"/>
          <w:szCs w:val="24"/>
        </w:rPr>
      </w:pPr>
      <w:r w:rsidRPr="001F22FF">
        <w:rPr>
          <w:sz w:val="24"/>
          <w:szCs w:val="24"/>
        </w:rPr>
        <w:t>Rekonstituér hætteglasset med natriumchloridopløsning 0,9 %. Den volumen, der administreres, må højst være 1 mL, og opløsningen skal anvendes umiddelbart efter rekonstitution. For at opnå den anbefalede koncentration på 125.000 IE/mL skal ét hætteglas rekonstitueres med 8 mL natriumchloridopløsning 0,9 %.</w:t>
      </w:r>
    </w:p>
    <w:p w:rsidR="00C26590" w:rsidRPr="001F22FF" w:rsidRDefault="00C26590" w:rsidP="00C26590">
      <w:pPr>
        <w:ind w:left="840"/>
        <w:rPr>
          <w:sz w:val="24"/>
          <w:szCs w:val="24"/>
        </w:rPr>
      </w:pPr>
    </w:p>
    <w:p w:rsidR="00C26590" w:rsidRPr="001F22FF" w:rsidRDefault="00C26590" w:rsidP="00C26590">
      <w:pPr>
        <w:ind w:left="840"/>
        <w:rPr>
          <w:sz w:val="24"/>
          <w:szCs w:val="24"/>
          <w:u w:val="single"/>
        </w:rPr>
      </w:pPr>
      <w:r w:rsidRPr="001F22FF">
        <w:rPr>
          <w:sz w:val="24"/>
          <w:szCs w:val="24"/>
          <w:u w:val="single"/>
        </w:rPr>
        <w:t>Infusion</w:t>
      </w:r>
    </w:p>
    <w:p w:rsidR="00C26590" w:rsidRPr="001F22FF" w:rsidRDefault="00C26590" w:rsidP="00C26590">
      <w:pPr>
        <w:ind w:left="840"/>
        <w:rPr>
          <w:sz w:val="24"/>
          <w:szCs w:val="24"/>
        </w:rPr>
      </w:pPr>
      <w:r w:rsidRPr="001F22FF">
        <w:rPr>
          <w:sz w:val="24"/>
          <w:szCs w:val="24"/>
        </w:rPr>
        <w:t>Rekonstituér det antal hætteglas, der skal til for at opnå den ønskede dosis, ved at tilsætte en passende mængde vand til injektionsvæske eller natriumchloridopløsning 0,9 % til det enkelte hætteglas, højst 10 mL pr. hætteglas. Den ønskede dosis trækkes op af det enkelte hætteglas og kan derefter eventuelt fortyndes yderligere, normalt med 50 mL natriumchloridopløsning 0,9 %, alt efter volumen og infusionsmetode. Opløsningen bør bruges straks efter rekonstituering (se pkt. 4.2).</w:t>
      </w:r>
    </w:p>
    <w:p w:rsidR="00C26590" w:rsidRPr="001F22FF" w:rsidRDefault="00C26590" w:rsidP="00C26590">
      <w:pPr>
        <w:ind w:left="840"/>
        <w:rPr>
          <w:sz w:val="24"/>
          <w:szCs w:val="24"/>
        </w:rPr>
      </w:pPr>
    </w:p>
    <w:p w:rsidR="00C26590" w:rsidRPr="001F22FF" w:rsidRDefault="00C26590" w:rsidP="00C26590">
      <w:pPr>
        <w:ind w:left="851"/>
        <w:rPr>
          <w:noProof/>
          <w:sz w:val="24"/>
          <w:szCs w:val="24"/>
        </w:rPr>
      </w:pPr>
      <w:r w:rsidRPr="001F22FF">
        <w:rPr>
          <w:noProof/>
          <w:sz w:val="24"/>
          <w:szCs w:val="24"/>
        </w:rPr>
        <w:t xml:space="preserve">Kassér al ubrugt opløsning. </w:t>
      </w:r>
    </w:p>
    <w:p w:rsidR="00C26590" w:rsidRPr="001F22FF" w:rsidRDefault="00C26590" w:rsidP="00C26590">
      <w:pPr>
        <w:ind w:left="851"/>
        <w:rPr>
          <w:noProof/>
          <w:sz w:val="24"/>
          <w:szCs w:val="24"/>
        </w:rPr>
      </w:pPr>
    </w:p>
    <w:p w:rsidR="00C26590" w:rsidRPr="001F22FF" w:rsidRDefault="00C26590" w:rsidP="00C26590">
      <w:pPr>
        <w:ind w:left="851"/>
        <w:rPr>
          <w:sz w:val="24"/>
          <w:szCs w:val="24"/>
        </w:rPr>
      </w:pPr>
      <w:r w:rsidRPr="001F22FF">
        <w:rPr>
          <w:noProof/>
          <w:sz w:val="24"/>
          <w:szCs w:val="24"/>
        </w:rPr>
        <w:t xml:space="preserve">Affald bør </w:t>
      </w:r>
      <w:r w:rsidRPr="001F22FF">
        <w:rPr>
          <w:sz w:val="24"/>
          <w:szCs w:val="24"/>
        </w:rPr>
        <w:t>destrueres</w:t>
      </w:r>
      <w:r w:rsidRPr="001F22FF">
        <w:rPr>
          <w:noProof/>
          <w:sz w:val="24"/>
          <w:szCs w:val="24"/>
        </w:rPr>
        <w:t xml:space="preserve"> i </w:t>
      </w:r>
      <w:r w:rsidRPr="001F22FF">
        <w:rPr>
          <w:sz w:val="24"/>
          <w:szCs w:val="24"/>
        </w:rPr>
        <w:t>henhold til lokale retningslinjer.</w:t>
      </w:r>
    </w:p>
    <w:p w:rsidR="00C26590" w:rsidRDefault="00C26590" w:rsidP="00C26590">
      <w:pPr>
        <w:tabs>
          <w:tab w:val="left" w:pos="851"/>
        </w:tabs>
        <w:ind w:left="851" w:hanging="851"/>
        <w:rPr>
          <w:sz w:val="24"/>
          <w:szCs w:val="24"/>
        </w:rPr>
      </w:pPr>
    </w:p>
    <w:p w:rsidR="00C26590" w:rsidRPr="001F22FF" w:rsidRDefault="00C26590" w:rsidP="00C26590">
      <w:pPr>
        <w:tabs>
          <w:tab w:val="left" w:pos="851"/>
        </w:tabs>
        <w:ind w:left="851" w:hanging="851"/>
        <w:rPr>
          <w:sz w:val="24"/>
          <w:szCs w:val="24"/>
        </w:rPr>
      </w:pPr>
    </w:p>
    <w:p w:rsidR="00C26590" w:rsidRPr="00A44A2A" w:rsidRDefault="00C26590" w:rsidP="00C26590">
      <w:pPr>
        <w:ind w:left="851" w:hanging="851"/>
        <w:rPr>
          <w:b/>
          <w:sz w:val="24"/>
          <w:szCs w:val="24"/>
        </w:rPr>
      </w:pPr>
      <w:r w:rsidRPr="00C7350F">
        <w:rPr>
          <w:b/>
          <w:sz w:val="24"/>
          <w:szCs w:val="24"/>
        </w:rPr>
        <w:t>7.</w:t>
      </w:r>
      <w:r w:rsidRPr="00C7350F">
        <w:rPr>
          <w:b/>
          <w:sz w:val="24"/>
          <w:szCs w:val="24"/>
        </w:rPr>
        <w:tab/>
        <w:t>INDEHAVER AF MARKEDSFØRINGSTILLADELSEN</w:t>
      </w:r>
    </w:p>
    <w:p w:rsidR="00C26590" w:rsidRPr="00A44A2A" w:rsidRDefault="00C26590" w:rsidP="00C26590">
      <w:pPr>
        <w:ind w:left="851"/>
      </w:pPr>
      <w:r w:rsidRPr="00A44A2A">
        <w:t>Zambon S.p.A.</w:t>
      </w:r>
    </w:p>
    <w:p w:rsidR="00C26590" w:rsidRPr="00A44A2A" w:rsidRDefault="00C26590" w:rsidP="00C26590">
      <w:pPr>
        <w:ind w:left="851"/>
      </w:pPr>
      <w:r w:rsidRPr="00A44A2A">
        <w:t>Via Lillo de Duca 10</w:t>
      </w:r>
    </w:p>
    <w:p w:rsidR="00C26590" w:rsidRPr="00906194" w:rsidRDefault="00C26590" w:rsidP="00C26590">
      <w:pPr>
        <w:ind w:left="851"/>
      </w:pPr>
      <w:r>
        <w:t>20091 Bresso</w:t>
      </w:r>
    </w:p>
    <w:p w:rsidR="00C26590" w:rsidRPr="00906194" w:rsidRDefault="00C26590" w:rsidP="00C26590">
      <w:pPr>
        <w:ind w:left="851"/>
      </w:pPr>
      <w:r>
        <w:t>Italien</w:t>
      </w:r>
    </w:p>
    <w:p w:rsidR="00C26590" w:rsidRPr="00892E93" w:rsidRDefault="00C26590" w:rsidP="00C26590">
      <w:pPr>
        <w:ind w:left="851" w:hanging="851"/>
        <w:rPr>
          <w:sz w:val="24"/>
          <w:szCs w:val="24"/>
        </w:rPr>
      </w:pPr>
    </w:p>
    <w:p w:rsidR="00C26590" w:rsidRPr="00892E93" w:rsidRDefault="00C26590" w:rsidP="00C26590">
      <w:pPr>
        <w:ind w:left="851"/>
        <w:rPr>
          <w:b/>
          <w:sz w:val="24"/>
          <w:szCs w:val="24"/>
        </w:rPr>
      </w:pPr>
      <w:r w:rsidRPr="00892E93">
        <w:rPr>
          <w:b/>
          <w:sz w:val="24"/>
          <w:szCs w:val="24"/>
        </w:rPr>
        <w:t>Repræsentant</w:t>
      </w:r>
    </w:p>
    <w:p w:rsidR="00C26590" w:rsidRPr="0084167F" w:rsidRDefault="00C26590" w:rsidP="00C26590">
      <w:pPr>
        <w:ind w:left="851"/>
      </w:pPr>
      <w:r w:rsidRPr="0084167F">
        <w:t xml:space="preserve">Zambon Sweden </w:t>
      </w:r>
    </w:p>
    <w:p w:rsidR="00C26590" w:rsidRPr="0084167F" w:rsidRDefault="00C26590" w:rsidP="00C26590">
      <w:pPr>
        <w:ind w:left="851"/>
      </w:pPr>
      <w:r w:rsidRPr="0084167F">
        <w:t>Filial of Zambon Nederland B.V.</w:t>
      </w:r>
    </w:p>
    <w:p w:rsidR="00C26590" w:rsidRPr="0084167F" w:rsidRDefault="00C26590" w:rsidP="00C26590">
      <w:pPr>
        <w:ind w:left="851"/>
      </w:pPr>
      <w:r w:rsidRPr="0084167F">
        <w:t>Medicon Village</w:t>
      </w:r>
    </w:p>
    <w:p w:rsidR="00C26590" w:rsidRPr="00892E93" w:rsidRDefault="00C26590" w:rsidP="00C26590">
      <w:pPr>
        <w:ind w:left="851"/>
      </w:pPr>
      <w:r w:rsidRPr="00892E93">
        <w:t>223 81 Lund</w:t>
      </w:r>
    </w:p>
    <w:p w:rsidR="00C26590" w:rsidRPr="00C7350F" w:rsidRDefault="00C26590" w:rsidP="00C26590">
      <w:pPr>
        <w:ind w:left="851"/>
        <w:rPr>
          <w:sz w:val="24"/>
          <w:szCs w:val="24"/>
        </w:rPr>
      </w:pPr>
      <w:r>
        <w:t>Sverige</w:t>
      </w:r>
    </w:p>
    <w:p w:rsidR="00C26590" w:rsidRPr="00C7350F" w:rsidRDefault="00C26590" w:rsidP="00C26590">
      <w:pPr>
        <w:ind w:left="851" w:hanging="851"/>
        <w:rPr>
          <w:sz w:val="24"/>
          <w:szCs w:val="24"/>
        </w:rPr>
      </w:pPr>
    </w:p>
    <w:p w:rsidR="00C26590" w:rsidRPr="00C7350F" w:rsidRDefault="00C26590" w:rsidP="00C26590">
      <w:pPr>
        <w:ind w:left="851" w:hanging="851"/>
        <w:rPr>
          <w:b/>
          <w:sz w:val="24"/>
          <w:szCs w:val="24"/>
        </w:rPr>
      </w:pPr>
      <w:r w:rsidRPr="00C7350F">
        <w:rPr>
          <w:b/>
          <w:sz w:val="24"/>
          <w:szCs w:val="24"/>
        </w:rPr>
        <w:t>8.</w:t>
      </w:r>
      <w:r w:rsidRPr="00C7350F">
        <w:rPr>
          <w:b/>
          <w:sz w:val="24"/>
          <w:szCs w:val="24"/>
        </w:rPr>
        <w:tab/>
        <w:t>MARKEDSFØRINGSTILLADELSESNUMMER (NUMRE)</w:t>
      </w:r>
    </w:p>
    <w:p w:rsidR="00C26590" w:rsidRPr="00C7350F" w:rsidRDefault="00C26590" w:rsidP="00C26590">
      <w:pPr>
        <w:ind w:left="851" w:hanging="851"/>
        <w:rPr>
          <w:sz w:val="24"/>
          <w:szCs w:val="24"/>
        </w:rPr>
      </w:pPr>
      <w:r w:rsidRPr="00C7350F">
        <w:rPr>
          <w:sz w:val="24"/>
          <w:szCs w:val="24"/>
        </w:rPr>
        <w:tab/>
        <w:t>49066</w:t>
      </w:r>
    </w:p>
    <w:p w:rsidR="00C26590" w:rsidRPr="00C7350F" w:rsidRDefault="00C26590" w:rsidP="00C26590">
      <w:pPr>
        <w:ind w:left="851" w:hanging="851"/>
        <w:jc w:val="both"/>
        <w:rPr>
          <w:sz w:val="24"/>
          <w:szCs w:val="24"/>
        </w:rPr>
      </w:pPr>
    </w:p>
    <w:p w:rsidR="00C26590" w:rsidRPr="00C7350F" w:rsidRDefault="00C26590" w:rsidP="00C26590">
      <w:pPr>
        <w:ind w:left="851" w:hanging="851"/>
        <w:rPr>
          <w:b/>
          <w:sz w:val="24"/>
          <w:szCs w:val="24"/>
        </w:rPr>
      </w:pPr>
      <w:r w:rsidRPr="00C7350F">
        <w:rPr>
          <w:b/>
          <w:sz w:val="24"/>
          <w:szCs w:val="24"/>
        </w:rPr>
        <w:t>9.</w:t>
      </w:r>
      <w:r w:rsidRPr="00C7350F">
        <w:rPr>
          <w:b/>
          <w:sz w:val="24"/>
          <w:szCs w:val="24"/>
        </w:rPr>
        <w:tab/>
        <w:t>DATO FOR FØRSTE MARKEDSFØRINGSTILLADELSE</w:t>
      </w:r>
    </w:p>
    <w:p w:rsidR="00C26590" w:rsidRPr="00C7350F" w:rsidRDefault="00C26590" w:rsidP="00C26590">
      <w:pPr>
        <w:ind w:left="851" w:hanging="851"/>
        <w:rPr>
          <w:sz w:val="24"/>
          <w:szCs w:val="24"/>
        </w:rPr>
      </w:pPr>
      <w:r w:rsidRPr="00C7350F">
        <w:rPr>
          <w:sz w:val="24"/>
          <w:szCs w:val="24"/>
        </w:rPr>
        <w:tab/>
      </w:r>
      <w:r>
        <w:rPr>
          <w:sz w:val="24"/>
          <w:szCs w:val="24"/>
        </w:rPr>
        <w:t>3</w:t>
      </w:r>
      <w:r w:rsidRPr="00C7350F">
        <w:rPr>
          <w:sz w:val="24"/>
          <w:szCs w:val="24"/>
        </w:rPr>
        <w:t>. november 2011</w:t>
      </w:r>
    </w:p>
    <w:p w:rsidR="00C26590" w:rsidRPr="00C7350F" w:rsidRDefault="00C26590" w:rsidP="00C26590">
      <w:pPr>
        <w:ind w:left="851" w:hanging="851"/>
        <w:rPr>
          <w:sz w:val="24"/>
          <w:szCs w:val="24"/>
        </w:rPr>
      </w:pPr>
    </w:p>
    <w:p w:rsidR="00C26590" w:rsidRPr="00C7350F" w:rsidRDefault="00C26590" w:rsidP="00C26590">
      <w:pPr>
        <w:ind w:left="851" w:hanging="851"/>
        <w:rPr>
          <w:b/>
          <w:sz w:val="24"/>
          <w:szCs w:val="24"/>
        </w:rPr>
      </w:pPr>
      <w:r w:rsidRPr="00C7350F">
        <w:rPr>
          <w:b/>
          <w:sz w:val="24"/>
          <w:szCs w:val="24"/>
        </w:rPr>
        <w:t>10.</w:t>
      </w:r>
      <w:r w:rsidRPr="00C7350F">
        <w:rPr>
          <w:b/>
          <w:sz w:val="24"/>
          <w:szCs w:val="24"/>
        </w:rPr>
        <w:tab/>
        <w:t>DATO FOR ÆNDRING AF TEKSTEN</w:t>
      </w:r>
    </w:p>
    <w:p w:rsidR="009260DE" w:rsidRPr="00565241" w:rsidRDefault="00C26590" w:rsidP="00565241">
      <w:pPr>
        <w:ind w:left="851" w:hanging="851"/>
        <w:rPr>
          <w:sz w:val="24"/>
          <w:szCs w:val="24"/>
        </w:rPr>
      </w:pPr>
      <w:r w:rsidRPr="00C7350F">
        <w:rPr>
          <w:sz w:val="24"/>
          <w:szCs w:val="24"/>
        </w:rPr>
        <w:tab/>
      </w:r>
      <w:r w:rsidR="00565241">
        <w:rPr>
          <w:sz w:val="24"/>
          <w:szCs w:val="24"/>
        </w:rPr>
        <w:t>17</w:t>
      </w:r>
      <w:r>
        <w:rPr>
          <w:sz w:val="24"/>
          <w:szCs w:val="24"/>
        </w:rPr>
        <w:t xml:space="preserve">. </w:t>
      </w:r>
      <w:r w:rsidR="00565241">
        <w:rPr>
          <w:sz w:val="24"/>
          <w:szCs w:val="24"/>
        </w:rPr>
        <w:t>februar</w:t>
      </w:r>
      <w:r>
        <w:rPr>
          <w:sz w:val="24"/>
          <w:szCs w:val="24"/>
        </w:rPr>
        <w:t xml:space="preserve"> 20</w:t>
      </w:r>
      <w:r w:rsidR="00565241">
        <w:rPr>
          <w:sz w:val="24"/>
          <w:szCs w:val="24"/>
        </w:rPr>
        <w:t>20</w:t>
      </w:r>
    </w:p>
    <w:sectPr w:rsidR="009260DE" w:rsidRPr="0056524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6590" w:rsidRDefault="00C26590">
      <w:r>
        <w:separator/>
      </w:r>
    </w:p>
  </w:endnote>
  <w:endnote w:type="continuationSeparator" w:id="0">
    <w:p w:rsidR="00C26590" w:rsidRDefault="00C2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1DBA">
      <w:rPr>
        <w:i/>
        <w:noProof/>
        <w:sz w:val="18"/>
        <w:szCs w:val="18"/>
      </w:rPr>
      <w:t>Promixin, pulver til infusionsvæske, opløsning 1 million IE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6590" w:rsidRDefault="00C26590">
      <w:r>
        <w:separator/>
      </w:r>
    </w:p>
  </w:footnote>
  <w:footnote w:type="continuationSeparator" w:id="0">
    <w:p w:rsidR="00C26590" w:rsidRDefault="00C26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590"/>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41DBA"/>
    <w:rsid w:val="0045746C"/>
    <w:rsid w:val="0049104B"/>
    <w:rsid w:val="004E3B12"/>
    <w:rsid w:val="00532310"/>
    <w:rsid w:val="00560ECC"/>
    <w:rsid w:val="00565241"/>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4167F"/>
    <w:rsid w:val="00907F75"/>
    <w:rsid w:val="009260DE"/>
    <w:rsid w:val="0093258A"/>
    <w:rsid w:val="009C7BA3"/>
    <w:rsid w:val="009D1F5A"/>
    <w:rsid w:val="00B003BF"/>
    <w:rsid w:val="00B373D7"/>
    <w:rsid w:val="00C26590"/>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C6B78D-54AA-4064-9FAA-E32FF0E9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rsid w:val="00C265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12</Pages>
  <Words>3137</Words>
  <Characters>21299</Characters>
  <Application>Microsoft Office Word</Application>
  <DocSecurity>0</DocSecurity>
  <Lines>177</Lines>
  <Paragraphs>48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Naja Støckel Jessen</dc:creator>
  <cp:keywords/>
  <dc:description>2019043782 spc. pkt. 6,3 og 6,4 forøgelse af holdbarhed fra 2 til 3 år. fjernelse af specielle opbevaringsforhold - Naja Støckel Jessen : 17-02-2020 15:40_x000d_
_x000d_
2019032059_x000d_
Ændring af repræsentant navn fra Nigaard Pharma AS</dc:description>
  <cp:lastModifiedBy>testkonto01</cp:lastModifiedBy>
  <cp:revision>2</cp:revision>
  <cp:lastPrinted>2012-08-22T08:53:00Z</cp:lastPrinted>
  <dcterms:created xsi:type="dcterms:W3CDTF">2020-02-24T14:44:00Z</dcterms:created>
  <dcterms:modified xsi:type="dcterms:W3CDTF">2020-02-24T14:44:00Z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