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F63DF1" w14:textId="77777777" w:rsidR="009260DE" w:rsidRPr="008F49E1" w:rsidRDefault="0021526C" w:rsidP="009260DE">
      <w:pPr>
        <w:rPr>
          <w:sz w:val="24"/>
          <w:szCs w:val="24"/>
        </w:rPr>
      </w:pPr>
      <w:bookmarkStart w:id="0" w:name="_GoBack"/>
      <w:bookmarkEnd w:id="0"/>
      <w:r w:rsidRPr="009260DE">
        <w:rPr>
          <w:noProof/>
          <w:sz w:val="24"/>
          <w:szCs w:val="24"/>
          <w:lang w:eastAsia="da-DK"/>
        </w:rPr>
        <w:drawing>
          <wp:anchor distT="0" distB="0" distL="114300" distR="114300" simplePos="0" relativeHeight="251658240" behindDoc="0" locked="0" layoutInCell="1" allowOverlap="1" wp14:anchorId="19288021" wp14:editId="41C82E6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14:paraId="5CB30AF5" w14:textId="77777777" w:rsidR="009260DE" w:rsidRPr="00C84483" w:rsidRDefault="009260DE" w:rsidP="009260DE">
      <w:pPr>
        <w:pStyle w:val="Titel"/>
        <w:tabs>
          <w:tab w:val="right" w:pos="9356"/>
        </w:tabs>
        <w:jc w:val="left"/>
        <w:rPr>
          <w:b w:val="0"/>
          <w:szCs w:val="24"/>
          <w:lang w:eastAsia="en-US"/>
        </w:rPr>
      </w:pPr>
    </w:p>
    <w:p w14:paraId="5BB852FC" w14:textId="7A954185" w:rsidR="009260DE" w:rsidRPr="007865D0" w:rsidRDefault="009260DE" w:rsidP="009260DE">
      <w:pPr>
        <w:pStyle w:val="Titel"/>
        <w:tabs>
          <w:tab w:val="right" w:pos="9356"/>
        </w:tabs>
        <w:jc w:val="left"/>
        <w:rPr>
          <w:b w:val="0"/>
          <w:szCs w:val="24"/>
          <w:lang w:val="en-US" w:eastAsia="en-US"/>
        </w:rPr>
      </w:pPr>
      <w:r w:rsidRPr="00C84483">
        <w:rPr>
          <w:b w:val="0"/>
          <w:szCs w:val="24"/>
          <w:lang w:eastAsia="en-US"/>
        </w:rPr>
        <w:tab/>
      </w:r>
      <w:r w:rsidR="0081756B">
        <w:rPr>
          <w:szCs w:val="24"/>
          <w:lang w:val="en-US"/>
        </w:rPr>
        <w:t>6. september 2024</w:t>
      </w:r>
    </w:p>
    <w:p w14:paraId="495482A9" w14:textId="77777777" w:rsidR="009260DE" w:rsidRPr="007865D0" w:rsidRDefault="009260DE" w:rsidP="009260DE">
      <w:pPr>
        <w:pStyle w:val="Titel"/>
        <w:tabs>
          <w:tab w:val="left" w:pos="8222"/>
        </w:tabs>
        <w:jc w:val="left"/>
        <w:rPr>
          <w:b w:val="0"/>
          <w:szCs w:val="24"/>
          <w:lang w:val="en-US"/>
        </w:rPr>
      </w:pPr>
    </w:p>
    <w:p w14:paraId="176960CF" w14:textId="77777777" w:rsidR="009260DE" w:rsidRPr="007865D0" w:rsidRDefault="009260DE" w:rsidP="009260DE">
      <w:pPr>
        <w:pStyle w:val="Titel"/>
        <w:jc w:val="left"/>
        <w:rPr>
          <w:b w:val="0"/>
          <w:szCs w:val="24"/>
          <w:lang w:val="en-US"/>
        </w:rPr>
      </w:pPr>
    </w:p>
    <w:p w14:paraId="40B3A257" w14:textId="77777777" w:rsidR="009260DE" w:rsidRPr="0081756B" w:rsidRDefault="009260DE" w:rsidP="009260DE">
      <w:pPr>
        <w:jc w:val="center"/>
        <w:rPr>
          <w:b/>
          <w:sz w:val="24"/>
          <w:szCs w:val="24"/>
        </w:rPr>
      </w:pPr>
      <w:r w:rsidRPr="0081756B">
        <w:rPr>
          <w:b/>
          <w:sz w:val="24"/>
          <w:szCs w:val="24"/>
        </w:rPr>
        <w:t>PRODUKTRESUMÉ</w:t>
      </w:r>
    </w:p>
    <w:p w14:paraId="4667C5D6" w14:textId="77777777" w:rsidR="009260DE" w:rsidRPr="0081756B" w:rsidRDefault="009260DE" w:rsidP="009260DE">
      <w:pPr>
        <w:jc w:val="center"/>
        <w:rPr>
          <w:b/>
          <w:sz w:val="24"/>
          <w:szCs w:val="24"/>
        </w:rPr>
      </w:pPr>
    </w:p>
    <w:p w14:paraId="161D819B" w14:textId="77777777" w:rsidR="009260DE" w:rsidRPr="0081756B" w:rsidRDefault="009260DE" w:rsidP="009260DE">
      <w:pPr>
        <w:jc w:val="center"/>
        <w:rPr>
          <w:b/>
          <w:sz w:val="24"/>
          <w:szCs w:val="24"/>
        </w:rPr>
      </w:pPr>
      <w:r w:rsidRPr="0081756B">
        <w:rPr>
          <w:b/>
          <w:sz w:val="24"/>
          <w:szCs w:val="24"/>
        </w:rPr>
        <w:t>for</w:t>
      </w:r>
    </w:p>
    <w:p w14:paraId="0501C924" w14:textId="77777777" w:rsidR="000B058C" w:rsidRPr="0081756B" w:rsidRDefault="000B058C" w:rsidP="009260DE">
      <w:pPr>
        <w:jc w:val="center"/>
        <w:rPr>
          <w:b/>
          <w:sz w:val="24"/>
          <w:szCs w:val="24"/>
        </w:rPr>
      </w:pPr>
    </w:p>
    <w:p w14:paraId="308E158A" w14:textId="77777777" w:rsidR="009260DE" w:rsidRPr="00B96F6B" w:rsidRDefault="007865D0" w:rsidP="009260DE">
      <w:pPr>
        <w:jc w:val="center"/>
        <w:rPr>
          <w:b/>
          <w:sz w:val="24"/>
          <w:szCs w:val="24"/>
        </w:rPr>
      </w:pPr>
      <w:r w:rsidRPr="00B96F6B">
        <w:rPr>
          <w:b/>
          <w:sz w:val="24"/>
          <w:szCs w:val="24"/>
        </w:rPr>
        <w:t>Propranolol "Medical Valley", filmovertrukne tabletter</w:t>
      </w:r>
    </w:p>
    <w:p w14:paraId="55DD1018" w14:textId="77777777" w:rsidR="009260DE" w:rsidRPr="00B96F6B" w:rsidRDefault="009260DE" w:rsidP="009260DE">
      <w:pPr>
        <w:jc w:val="both"/>
        <w:rPr>
          <w:sz w:val="24"/>
          <w:szCs w:val="24"/>
        </w:rPr>
      </w:pPr>
    </w:p>
    <w:p w14:paraId="1CBF5511" w14:textId="77777777" w:rsidR="009260DE" w:rsidRPr="00B96F6B" w:rsidRDefault="009260DE" w:rsidP="009260DE">
      <w:pPr>
        <w:jc w:val="both"/>
        <w:rPr>
          <w:sz w:val="24"/>
          <w:szCs w:val="24"/>
        </w:rPr>
      </w:pPr>
    </w:p>
    <w:p w14:paraId="732F39AD" w14:textId="77777777"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14:paraId="75C48D24" w14:textId="18664320" w:rsidR="009260DE" w:rsidRPr="00C84483" w:rsidRDefault="00B96F6B" w:rsidP="009260DE">
      <w:pPr>
        <w:tabs>
          <w:tab w:val="left" w:pos="851"/>
        </w:tabs>
        <w:ind w:left="851"/>
        <w:rPr>
          <w:sz w:val="24"/>
          <w:szCs w:val="24"/>
        </w:rPr>
      </w:pPr>
      <w:r>
        <w:rPr>
          <w:sz w:val="24"/>
          <w:szCs w:val="24"/>
        </w:rPr>
        <w:t>33458</w:t>
      </w:r>
    </w:p>
    <w:p w14:paraId="1067A27B" w14:textId="77777777" w:rsidR="009260DE" w:rsidRPr="00C84483" w:rsidRDefault="009260DE" w:rsidP="009260DE">
      <w:pPr>
        <w:tabs>
          <w:tab w:val="left" w:pos="851"/>
        </w:tabs>
        <w:ind w:left="851"/>
        <w:rPr>
          <w:sz w:val="24"/>
          <w:szCs w:val="24"/>
        </w:rPr>
      </w:pPr>
    </w:p>
    <w:p w14:paraId="72D0FAA8" w14:textId="77777777"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14:paraId="562D0527" w14:textId="1577E69B" w:rsidR="009260DE" w:rsidRPr="00C84483" w:rsidRDefault="00B96F6B" w:rsidP="009260DE">
      <w:pPr>
        <w:tabs>
          <w:tab w:val="left" w:pos="851"/>
        </w:tabs>
        <w:ind w:left="851"/>
        <w:rPr>
          <w:sz w:val="24"/>
          <w:szCs w:val="24"/>
        </w:rPr>
      </w:pPr>
      <w:r>
        <w:rPr>
          <w:sz w:val="24"/>
          <w:szCs w:val="24"/>
        </w:rPr>
        <w:t>Propranolol "Medical Valley"</w:t>
      </w:r>
    </w:p>
    <w:p w14:paraId="182B8868" w14:textId="77777777" w:rsidR="009260DE" w:rsidRPr="00C84483" w:rsidRDefault="009260DE" w:rsidP="009260DE">
      <w:pPr>
        <w:tabs>
          <w:tab w:val="left" w:pos="851"/>
        </w:tabs>
        <w:ind w:left="851"/>
        <w:rPr>
          <w:sz w:val="24"/>
          <w:szCs w:val="24"/>
        </w:rPr>
      </w:pPr>
    </w:p>
    <w:p w14:paraId="591CAC16" w14:textId="77777777"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14:paraId="59FBBD57" w14:textId="15557F1F" w:rsidR="00B96F6B" w:rsidRDefault="00B96F6B" w:rsidP="00B96F6B">
      <w:pPr>
        <w:tabs>
          <w:tab w:val="left" w:pos="851"/>
        </w:tabs>
        <w:ind w:left="851"/>
        <w:rPr>
          <w:sz w:val="24"/>
          <w:szCs w:val="24"/>
        </w:rPr>
      </w:pPr>
      <w:r w:rsidRPr="00B96F6B">
        <w:rPr>
          <w:sz w:val="24"/>
          <w:szCs w:val="24"/>
        </w:rPr>
        <w:t>Hver tablet indeholder henholdsvis 10 mg eller 40 mg propranololhydrochlorid.</w:t>
      </w:r>
    </w:p>
    <w:p w14:paraId="0BFA7D3D" w14:textId="77777777" w:rsidR="00B96F6B" w:rsidRPr="00B96F6B" w:rsidRDefault="00B96F6B" w:rsidP="00B96F6B">
      <w:pPr>
        <w:tabs>
          <w:tab w:val="left" w:pos="851"/>
        </w:tabs>
        <w:ind w:left="851"/>
        <w:rPr>
          <w:sz w:val="24"/>
          <w:szCs w:val="24"/>
        </w:rPr>
      </w:pPr>
    </w:p>
    <w:p w14:paraId="299BA59F" w14:textId="2692891C" w:rsidR="00B96F6B" w:rsidRPr="00B96F6B" w:rsidRDefault="00B96F6B" w:rsidP="00B96F6B">
      <w:pPr>
        <w:tabs>
          <w:tab w:val="left" w:pos="851"/>
        </w:tabs>
        <w:ind w:left="851"/>
        <w:rPr>
          <w:sz w:val="24"/>
          <w:szCs w:val="24"/>
          <w:u w:val="single"/>
        </w:rPr>
      </w:pPr>
      <w:r w:rsidRPr="00B96F6B">
        <w:rPr>
          <w:sz w:val="24"/>
          <w:szCs w:val="24"/>
          <w:u w:val="single"/>
        </w:rPr>
        <w:t>Hjælpestof, som behandleren skal være opmærksom på</w:t>
      </w:r>
    </w:p>
    <w:p w14:paraId="532D97A2" w14:textId="309C30B7" w:rsidR="00B96F6B" w:rsidRPr="00B96F6B" w:rsidRDefault="00B96F6B" w:rsidP="00B96F6B">
      <w:pPr>
        <w:tabs>
          <w:tab w:val="left" w:pos="851"/>
        </w:tabs>
        <w:ind w:left="851"/>
        <w:rPr>
          <w:sz w:val="24"/>
          <w:szCs w:val="24"/>
        </w:rPr>
      </w:pPr>
      <w:r w:rsidRPr="00B96F6B">
        <w:rPr>
          <w:sz w:val="24"/>
          <w:szCs w:val="24"/>
        </w:rPr>
        <w:t>10 mg: Hver filmovertrukken tablet indeholder 34 mg lactose, vandfri</w:t>
      </w:r>
      <w:r w:rsidR="00CA0104">
        <w:rPr>
          <w:sz w:val="24"/>
          <w:szCs w:val="24"/>
        </w:rPr>
        <w:t>.</w:t>
      </w:r>
    </w:p>
    <w:p w14:paraId="171EF7A6" w14:textId="7305AF0D" w:rsidR="00B96F6B" w:rsidRPr="00B96F6B" w:rsidRDefault="00B96F6B" w:rsidP="00B96F6B">
      <w:pPr>
        <w:tabs>
          <w:tab w:val="left" w:pos="851"/>
        </w:tabs>
        <w:ind w:left="851"/>
        <w:rPr>
          <w:sz w:val="24"/>
          <w:szCs w:val="24"/>
        </w:rPr>
      </w:pPr>
      <w:r w:rsidRPr="00B96F6B">
        <w:rPr>
          <w:sz w:val="24"/>
          <w:szCs w:val="24"/>
        </w:rPr>
        <w:t>40 mg: Hver filmovertrukken tablet indeholder 136 mg lactose, vandfri</w:t>
      </w:r>
      <w:r w:rsidR="00CA0104">
        <w:rPr>
          <w:sz w:val="24"/>
          <w:szCs w:val="24"/>
        </w:rPr>
        <w:t>.</w:t>
      </w:r>
    </w:p>
    <w:p w14:paraId="1A0F4DF5" w14:textId="77777777" w:rsidR="00B96F6B" w:rsidRPr="00B96F6B" w:rsidRDefault="00B96F6B" w:rsidP="00B96F6B">
      <w:pPr>
        <w:tabs>
          <w:tab w:val="left" w:pos="851"/>
        </w:tabs>
        <w:ind w:left="851"/>
        <w:rPr>
          <w:sz w:val="24"/>
          <w:szCs w:val="24"/>
        </w:rPr>
      </w:pPr>
    </w:p>
    <w:p w14:paraId="582E81C0" w14:textId="77777777" w:rsidR="00B96F6B" w:rsidRPr="00B96F6B" w:rsidRDefault="00B96F6B" w:rsidP="00B96F6B">
      <w:pPr>
        <w:tabs>
          <w:tab w:val="left" w:pos="851"/>
        </w:tabs>
        <w:ind w:left="851"/>
        <w:rPr>
          <w:sz w:val="24"/>
          <w:szCs w:val="24"/>
        </w:rPr>
      </w:pPr>
      <w:r w:rsidRPr="00B96F6B">
        <w:rPr>
          <w:sz w:val="24"/>
          <w:szCs w:val="24"/>
        </w:rPr>
        <w:t>Alle hjælpestoffer er anført under pkt. 6.1.</w:t>
      </w:r>
    </w:p>
    <w:p w14:paraId="4D7CE93D" w14:textId="77777777" w:rsidR="009260DE" w:rsidRPr="00C84483" w:rsidRDefault="009260DE" w:rsidP="009260DE">
      <w:pPr>
        <w:tabs>
          <w:tab w:val="left" w:pos="851"/>
        </w:tabs>
        <w:ind w:left="851"/>
        <w:rPr>
          <w:sz w:val="24"/>
          <w:szCs w:val="24"/>
        </w:rPr>
      </w:pPr>
    </w:p>
    <w:p w14:paraId="4C0CA3E6" w14:textId="77777777"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14:paraId="6C51184A" w14:textId="5AE27BC5" w:rsidR="00B96F6B" w:rsidRPr="00B96F6B" w:rsidRDefault="00B96F6B" w:rsidP="00B96F6B">
      <w:pPr>
        <w:tabs>
          <w:tab w:val="left" w:pos="851"/>
        </w:tabs>
        <w:ind w:left="851"/>
        <w:rPr>
          <w:sz w:val="24"/>
          <w:szCs w:val="24"/>
        </w:rPr>
      </w:pPr>
      <w:r w:rsidRPr="00B96F6B">
        <w:rPr>
          <w:sz w:val="24"/>
          <w:szCs w:val="24"/>
        </w:rPr>
        <w:t>Filmovertruk</w:t>
      </w:r>
      <w:r>
        <w:rPr>
          <w:sz w:val="24"/>
          <w:szCs w:val="24"/>
        </w:rPr>
        <w:t>ne</w:t>
      </w:r>
      <w:r w:rsidRPr="00B96F6B">
        <w:rPr>
          <w:sz w:val="24"/>
          <w:szCs w:val="24"/>
        </w:rPr>
        <w:t xml:space="preserve"> tablet</w:t>
      </w:r>
      <w:r>
        <w:rPr>
          <w:sz w:val="24"/>
          <w:szCs w:val="24"/>
        </w:rPr>
        <w:t>ter</w:t>
      </w:r>
      <w:r w:rsidRPr="00B96F6B">
        <w:rPr>
          <w:sz w:val="24"/>
          <w:szCs w:val="24"/>
        </w:rPr>
        <w:t xml:space="preserve"> </w:t>
      </w:r>
    </w:p>
    <w:p w14:paraId="7E1DC7D0" w14:textId="77777777" w:rsidR="00B96F6B" w:rsidRPr="00B96F6B" w:rsidRDefault="00B96F6B" w:rsidP="00B96F6B">
      <w:pPr>
        <w:tabs>
          <w:tab w:val="left" w:pos="851"/>
        </w:tabs>
        <w:ind w:left="851"/>
        <w:rPr>
          <w:sz w:val="24"/>
          <w:szCs w:val="24"/>
        </w:rPr>
      </w:pPr>
    </w:p>
    <w:p w14:paraId="1A397213" w14:textId="77777777" w:rsidR="00B96F6B" w:rsidRPr="00B96F6B" w:rsidRDefault="00B96F6B" w:rsidP="00B96F6B">
      <w:pPr>
        <w:tabs>
          <w:tab w:val="left" w:pos="851"/>
        </w:tabs>
        <w:ind w:left="851"/>
        <w:rPr>
          <w:sz w:val="24"/>
          <w:szCs w:val="24"/>
          <w:u w:val="single"/>
        </w:rPr>
      </w:pPr>
      <w:r w:rsidRPr="00B96F6B">
        <w:rPr>
          <w:sz w:val="24"/>
          <w:szCs w:val="24"/>
          <w:u w:val="single"/>
        </w:rPr>
        <w:t>Propranolol "Medical Valley" 10 mg filmovertrukne tabletter</w:t>
      </w:r>
    </w:p>
    <w:p w14:paraId="57877D5B" w14:textId="5475E52B" w:rsidR="00B96F6B" w:rsidRPr="00B96F6B" w:rsidRDefault="00B96F6B" w:rsidP="00B96F6B">
      <w:pPr>
        <w:tabs>
          <w:tab w:val="left" w:pos="851"/>
        </w:tabs>
        <w:ind w:left="851"/>
        <w:rPr>
          <w:sz w:val="24"/>
          <w:szCs w:val="24"/>
        </w:rPr>
      </w:pPr>
      <w:r>
        <w:rPr>
          <w:sz w:val="24"/>
          <w:szCs w:val="24"/>
        </w:rPr>
        <w:t>H</w:t>
      </w:r>
      <w:r w:rsidRPr="00B96F6B">
        <w:rPr>
          <w:sz w:val="24"/>
          <w:szCs w:val="24"/>
        </w:rPr>
        <w:t xml:space="preserve">vide til råhvide, runde, ca. 5 mm, bikonvekse filmovertrukne tabletter præget med ”UI” på den ene side, og delekræv på den anden side. </w:t>
      </w:r>
    </w:p>
    <w:p w14:paraId="03E10393" w14:textId="77777777" w:rsidR="00B96F6B" w:rsidRPr="00B96F6B" w:rsidRDefault="00B96F6B" w:rsidP="00B96F6B">
      <w:pPr>
        <w:tabs>
          <w:tab w:val="left" w:pos="851"/>
        </w:tabs>
        <w:ind w:left="851"/>
        <w:rPr>
          <w:sz w:val="24"/>
          <w:szCs w:val="24"/>
        </w:rPr>
      </w:pPr>
    </w:p>
    <w:p w14:paraId="0720674C" w14:textId="77777777" w:rsidR="00B96F6B" w:rsidRPr="00B96F6B" w:rsidRDefault="00B96F6B" w:rsidP="00B96F6B">
      <w:pPr>
        <w:tabs>
          <w:tab w:val="left" w:pos="851"/>
        </w:tabs>
        <w:ind w:left="851"/>
        <w:rPr>
          <w:sz w:val="24"/>
          <w:szCs w:val="24"/>
          <w:u w:val="single"/>
        </w:rPr>
      </w:pPr>
      <w:r w:rsidRPr="00B96F6B">
        <w:rPr>
          <w:sz w:val="24"/>
          <w:szCs w:val="24"/>
          <w:u w:val="single"/>
        </w:rPr>
        <w:t>Propranolol "Medical Valley" 40 mg filmovertrukne tabletter</w:t>
      </w:r>
    </w:p>
    <w:p w14:paraId="6A52C703" w14:textId="35E3A036" w:rsidR="00B96F6B" w:rsidRPr="00B96F6B" w:rsidRDefault="00B96F6B" w:rsidP="00B96F6B">
      <w:pPr>
        <w:tabs>
          <w:tab w:val="left" w:pos="851"/>
        </w:tabs>
        <w:ind w:left="851"/>
        <w:rPr>
          <w:sz w:val="24"/>
          <w:szCs w:val="24"/>
        </w:rPr>
      </w:pPr>
      <w:r>
        <w:rPr>
          <w:sz w:val="24"/>
          <w:szCs w:val="24"/>
        </w:rPr>
        <w:t>H</w:t>
      </w:r>
      <w:r w:rsidRPr="00B96F6B">
        <w:rPr>
          <w:sz w:val="24"/>
          <w:szCs w:val="24"/>
        </w:rPr>
        <w:t>vide til råhvide, runde, ca. 8,5 mm, bikonvekse filmovertrukne tabletter præget med ”UII” på den ene side, og delekræv på den anden side.</w:t>
      </w:r>
    </w:p>
    <w:p w14:paraId="04A9A92B" w14:textId="77777777" w:rsidR="00B96F6B" w:rsidRPr="00B96F6B" w:rsidRDefault="00B96F6B" w:rsidP="00B96F6B">
      <w:pPr>
        <w:tabs>
          <w:tab w:val="left" w:pos="851"/>
        </w:tabs>
        <w:ind w:left="851"/>
        <w:rPr>
          <w:sz w:val="24"/>
          <w:szCs w:val="24"/>
        </w:rPr>
      </w:pPr>
    </w:p>
    <w:p w14:paraId="7BCB7962" w14:textId="77777777" w:rsidR="00B96F6B" w:rsidRPr="00B96F6B" w:rsidRDefault="00B96F6B" w:rsidP="00B96F6B">
      <w:pPr>
        <w:tabs>
          <w:tab w:val="left" w:pos="851"/>
        </w:tabs>
        <w:ind w:left="851"/>
        <w:rPr>
          <w:sz w:val="24"/>
          <w:szCs w:val="24"/>
        </w:rPr>
      </w:pPr>
      <w:r w:rsidRPr="00B96F6B">
        <w:rPr>
          <w:sz w:val="24"/>
          <w:szCs w:val="24"/>
        </w:rPr>
        <w:t>Tabletten har kun delekærv for at muliggøre deling af tabletten, så den er nemmere at sluge. Tabletten kan ikke deles i to lige store doser.</w:t>
      </w:r>
    </w:p>
    <w:p w14:paraId="28647E90" w14:textId="77777777" w:rsidR="009260DE" w:rsidRPr="00C84483" w:rsidRDefault="009260DE" w:rsidP="009260DE">
      <w:pPr>
        <w:tabs>
          <w:tab w:val="left" w:pos="851"/>
        </w:tabs>
        <w:ind w:left="851"/>
        <w:rPr>
          <w:sz w:val="24"/>
          <w:szCs w:val="24"/>
        </w:rPr>
      </w:pPr>
    </w:p>
    <w:p w14:paraId="32582D09" w14:textId="77777777" w:rsidR="009260DE" w:rsidRPr="00C84483" w:rsidRDefault="009260DE" w:rsidP="009260DE">
      <w:pPr>
        <w:tabs>
          <w:tab w:val="left" w:pos="851"/>
        </w:tabs>
        <w:ind w:left="851"/>
        <w:rPr>
          <w:sz w:val="24"/>
          <w:szCs w:val="24"/>
        </w:rPr>
      </w:pPr>
    </w:p>
    <w:p w14:paraId="7BC47A1F" w14:textId="77777777"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14:paraId="3B8DFEE2" w14:textId="77777777" w:rsidR="009260DE" w:rsidRPr="00C84483" w:rsidRDefault="009260DE" w:rsidP="009260DE">
      <w:pPr>
        <w:tabs>
          <w:tab w:val="left" w:pos="851"/>
        </w:tabs>
        <w:ind w:left="851"/>
        <w:rPr>
          <w:b/>
          <w:sz w:val="24"/>
          <w:szCs w:val="24"/>
        </w:rPr>
      </w:pPr>
    </w:p>
    <w:p w14:paraId="5177F540" w14:textId="77777777"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14:paraId="57AC3BF6" w14:textId="77777777" w:rsidR="00B96F6B" w:rsidRPr="00B96F6B" w:rsidRDefault="00B96F6B" w:rsidP="00B96F6B">
      <w:pPr>
        <w:numPr>
          <w:ilvl w:val="0"/>
          <w:numId w:val="6"/>
        </w:numPr>
        <w:tabs>
          <w:tab w:val="left" w:pos="851"/>
        </w:tabs>
        <w:ind w:left="1134" w:hanging="283"/>
        <w:rPr>
          <w:sz w:val="24"/>
          <w:szCs w:val="24"/>
        </w:rPr>
      </w:pPr>
      <w:r w:rsidRPr="00B96F6B">
        <w:rPr>
          <w:sz w:val="24"/>
          <w:szCs w:val="24"/>
        </w:rPr>
        <w:t>Hypertension</w:t>
      </w:r>
    </w:p>
    <w:p w14:paraId="05853485" w14:textId="77777777" w:rsidR="00B96F6B" w:rsidRPr="00B96F6B" w:rsidRDefault="00B96F6B" w:rsidP="00B96F6B">
      <w:pPr>
        <w:numPr>
          <w:ilvl w:val="0"/>
          <w:numId w:val="6"/>
        </w:numPr>
        <w:tabs>
          <w:tab w:val="left" w:pos="851"/>
        </w:tabs>
        <w:ind w:left="1134" w:hanging="283"/>
        <w:rPr>
          <w:sz w:val="24"/>
          <w:szCs w:val="24"/>
        </w:rPr>
      </w:pPr>
      <w:r w:rsidRPr="00B96F6B">
        <w:rPr>
          <w:sz w:val="24"/>
          <w:szCs w:val="24"/>
        </w:rPr>
        <w:t>Angina pectoris</w:t>
      </w:r>
    </w:p>
    <w:p w14:paraId="623C9839" w14:textId="77777777" w:rsidR="00B96F6B" w:rsidRPr="00B96F6B" w:rsidRDefault="00B96F6B" w:rsidP="00B96F6B">
      <w:pPr>
        <w:numPr>
          <w:ilvl w:val="0"/>
          <w:numId w:val="6"/>
        </w:numPr>
        <w:tabs>
          <w:tab w:val="left" w:pos="851"/>
        </w:tabs>
        <w:ind w:left="1134" w:hanging="283"/>
        <w:rPr>
          <w:sz w:val="24"/>
          <w:szCs w:val="24"/>
        </w:rPr>
      </w:pPr>
      <w:r w:rsidRPr="00B96F6B">
        <w:rPr>
          <w:sz w:val="24"/>
          <w:szCs w:val="24"/>
        </w:rPr>
        <w:lastRenderedPageBreak/>
        <w:t>Profylakse mod myokardieinfarkt og dødsfald relateret til hjertesvigt efter den akutte fase af myokardieinfarkt</w:t>
      </w:r>
    </w:p>
    <w:p w14:paraId="49A8AE9A" w14:textId="77777777" w:rsidR="00B96F6B" w:rsidRPr="00B96F6B" w:rsidRDefault="00B96F6B" w:rsidP="00B96F6B">
      <w:pPr>
        <w:numPr>
          <w:ilvl w:val="0"/>
          <w:numId w:val="6"/>
        </w:numPr>
        <w:tabs>
          <w:tab w:val="left" w:pos="851"/>
        </w:tabs>
        <w:ind w:left="1134" w:hanging="283"/>
        <w:rPr>
          <w:sz w:val="24"/>
          <w:szCs w:val="24"/>
        </w:rPr>
      </w:pPr>
      <w:r w:rsidRPr="00B96F6B">
        <w:rPr>
          <w:sz w:val="24"/>
          <w:szCs w:val="24"/>
        </w:rPr>
        <w:t>Palpitationer uden tilstedeværelse af hjertesygdom</w:t>
      </w:r>
    </w:p>
    <w:p w14:paraId="673F395D" w14:textId="77777777" w:rsidR="00B96F6B" w:rsidRPr="00B96F6B" w:rsidRDefault="00B96F6B" w:rsidP="00B96F6B">
      <w:pPr>
        <w:numPr>
          <w:ilvl w:val="0"/>
          <w:numId w:val="6"/>
        </w:numPr>
        <w:tabs>
          <w:tab w:val="left" w:pos="851"/>
        </w:tabs>
        <w:ind w:left="1134" w:hanging="283"/>
        <w:rPr>
          <w:sz w:val="24"/>
          <w:szCs w:val="24"/>
        </w:rPr>
      </w:pPr>
      <w:r w:rsidRPr="00B96F6B">
        <w:rPr>
          <w:sz w:val="24"/>
          <w:szCs w:val="24"/>
        </w:rPr>
        <w:t>Supraventrikulære takyarytmier</w:t>
      </w:r>
    </w:p>
    <w:p w14:paraId="7F888271" w14:textId="77777777" w:rsidR="00B96F6B" w:rsidRPr="00B96F6B" w:rsidRDefault="00B96F6B" w:rsidP="00B96F6B">
      <w:pPr>
        <w:numPr>
          <w:ilvl w:val="0"/>
          <w:numId w:val="6"/>
        </w:numPr>
        <w:tabs>
          <w:tab w:val="left" w:pos="851"/>
        </w:tabs>
        <w:ind w:left="1134" w:hanging="283"/>
        <w:rPr>
          <w:sz w:val="24"/>
          <w:szCs w:val="24"/>
        </w:rPr>
      </w:pPr>
      <w:r w:rsidRPr="00B96F6B">
        <w:rPr>
          <w:sz w:val="24"/>
          <w:szCs w:val="24"/>
        </w:rPr>
        <w:t>Supplerende behandling af hyperthyreoidisme og thyrotoksisk krise.</w:t>
      </w:r>
    </w:p>
    <w:p w14:paraId="33012B34" w14:textId="77777777" w:rsidR="00B96F6B" w:rsidRPr="00B96F6B" w:rsidRDefault="00B96F6B" w:rsidP="00B96F6B">
      <w:pPr>
        <w:numPr>
          <w:ilvl w:val="0"/>
          <w:numId w:val="6"/>
        </w:numPr>
        <w:tabs>
          <w:tab w:val="left" w:pos="851"/>
        </w:tabs>
        <w:ind w:left="1134" w:hanging="283"/>
        <w:rPr>
          <w:sz w:val="24"/>
          <w:szCs w:val="24"/>
        </w:rPr>
      </w:pPr>
      <w:r w:rsidRPr="00B96F6B">
        <w:rPr>
          <w:sz w:val="24"/>
          <w:szCs w:val="24"/>
        </w:rPr>
        <w:t>Fæokromocytom</w:t>
      </w:r>
    </w:p>
    <w:p w14:paraId="4EE330FF" w14:textId="77777777" w:rsidR="00B96F6B" w:rsidRPr="00B96F6B" w:rsidRDefault="00B96F6B" w:rsidP="00B96F6B">
      <w:pPr>
        <w:numPr>
          <w:ilvl w:val="0"/>
          <w:numId w:val="6"/>
        </w:numPr>
        <w:tabs>
          <w:tab w:val="left" w:pos="851"/>
        </w:tabs>
        <w:ind w:left="1134" w:hanging="283"/>
        <w:rPr>
          <w:sz w:val="24"/>
          <w:szCs w:val="24"/>
        </w:rPr>
      </w:pPr>
      <w:r w:rsidRPr="00B96F6B">
        <w:rPr>
          <w:sz w:val="24"/>
          <w:szCs w:val="24"/>
        </w:rPr>
        <w:t>Profylakse mod migræne</w:t>
      </w:r>
    </w:p>
    <w:p w14:paraId="7CDB8EEF" w14:textId="77777777" w:rsidR="00B96F6B" w:rsidRPr="00B96F6B" w:rsidRDefault="00B96F6B" w:rsidP="00B96F6B">
      <w:pPr>
        <w:numPr>
          <w:ilvl w:val="0"/>
          <w:numId w:val="6"/>
        </w:numPr>
        <w:tabs>
          <w:tab w:val="left" w:pos="851"/>
        </w:tabs>
        <w:ind w:left="1134" w:hanging="283"/>
        <w:rPr>
          <w:sz w:val="24"/>
          <w:szCs w:val="24"/>
        </w:rPr>
      </w:pPr>
      <w:r w:rsidRPr="00B96F6B">
        <w:rPr>
          <w:sz w:val="24"/>
          <w:szCs w:val="24"/>
        </w:rPr>
        <w:t>Familiær, essentiel eller senil tremor</w:t>
      </w:r>
    </w:p>
    <w:p w14:paraId="0E076109" w14:textId="77777777" w:rsidR="00B96F6B" w:rsidRPr="00B96F6B" w:rsidRDefault="00B96F6B" w:rsidP="00B96F6B">
      <w:pPr>
        <w:numPr>
          <w:ilvl w:val="0"/>
          <w:numId w:val="6"/>
        </w:numPr>
        <w:tabs>
          <w:tab w:val="left" w:pos="851"/>
        </w:tabs>
        <w:ind w:left="1134" w:hanging="283"/>
        <w:rPr>
          <w:sz w:val="24"/>
          <w:szCs w:val="24"/>
        </w:rPr>
      </w:pPr>
      <w:r w:rsidRPr="00B96F6B">
        <w:rPr>
          <w:sz w:val="24"/>
          <w:szCs w:val="24"/>
        </w:rPr>
        <w:t>Profylakse mod recidiverende blødninger hos patienter med portal hypertension og øsofagusvaricer.</w:t>
      </w:r>
    </w:p>
    <w:p w14:paraId="4C2253A3" w14:textId="77777777" w:rsidR="00B96F6B" w:rsidRPr="00B96F6B" w:rsidRDefault="00B96F6B" w:rsidP="00B96F6B">
      <w:pPr>
        <w:tabs>
          <w:tab w:val="left" w:pos="851"/>
        </w:tabs>
        <w:ind w:left="851"/>
        <w:rPr>
          <w:sz w:val="24"/>
          <w:szCs w:val="24"/>
        </w:rPr>
      </w:pPr>
    </w:p>
    <w:p w14:paraId="46F821CA" w14:textId="77777777"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2C1EC0">
        <w:rPr>
          <w:b/>
          <w:sz w:val="24"/>
          <w:szCs w:val="24"/>
        </w:rPr>
        <w:t>administration</w:t>
      </w:r>
    </w:p>
    <w:p w14:paraId="419AED92" w14:textId="77777777" w:rsidR="00C15C88" w:rsidRPr="00C15C88" w:rsidRDefault="00C15C88" w:rsidP="00C15C88">
      <w:pPr>
        <w:tabs>
          <w:tab w:val="left" w:pos="851"/>
        </w:tabs>
        <w:ind w:left="851"/>
        <w:rPr>
          <w:sz w:val="24"/>
          <w:szCs w:val="24"/>
        </w:rPr>
      </w:pPr>
    </w:p>
    <w:p w14:paraId="6F98C0EB" w14:textId="77777777" w:rsidR="00C15C88" w:rsidRPr="00C15C88" w:rsidRDefault="00C15C88" w:rsidP="00C15C88">
      <w:pPr>
        <w:tabs>
          <w:tab w:val="left" w:pos="851"/>
        </w:tabs>
        <w:ind w:left="851"/>
        <w:rPr>
          <w:sz w:val="24"/>
          <w:szCs w:val="24"/>
          <w:u w:val="single"/>
        </w:rPr>
      </w:pPr>
      <w:r w:rsidRPr="00C15C88">
        <w:rPr>
          <w:sz w:val="24"/>
          <w:szCs w:val="24"/>
          <w:u w:val="single"/>
        </w:rPr>
        <w:t>Dosering</w:t>
      </w:r>
    </w:p>
    <w:p w14:paraId="47885F45" w14:textId="77777777" w:rsidR="00C15C88" w:rsidRPr="00C15C88" w:rsidRDefault="00C15C88" w:rsidP="00C15C88">
      <w:pPr>
        <w:tabs>
          <w:tab w:val="left" w:pos="851"/>
        </w:tabs>
        <w:ind w:left="851"/>
        <w:rPr>
          <w:sz w:val="24"/>
          <w:szCs w:val="24"/>
        </w:rPr>
      </w:pPr>
      <w:r w:rsidRPr="00C15C88">
        <w:rPr>
          <w:sz w:val="24"/>
          <w:szCs w:val="24"/>
        </w:rPr>
        <w:t xml:space="preserve">Dosis bør bestemmes og justeres individuelt for at undgå bradykardi. Den sædvanlige dosering af Propranolol "Medical Valley" er to gange dagligt. </w:t>
      </w:r>
    </w:p>
    <w:p w14:paraId="55BBC390" w14:textId="77777777" w:rsidR="00C15C88" w:rsidRPr="00C15C88" w:rsidRDefault="00C15C88" w:rsidP="00C15C88">
      <w:pPr>
        <w:tabs>
          <w:tab w:val="left" w:pos="851"/>
        </w:tabs>
        <w:ind w:left="851"/>
        <w:rPr>
          <w:sz w:val="24"/>
          <w:szCs w:val="24"/>
        </w:rPr>
      </w:pPr>
    </w:p>
    <w:p w14:paraId="1F4A61ED" w14:textId="77777777" w:rsidR="00C15C88" w:rsidRPr="00C15C88" w:rsidRDefault="00C15C88" w:rsidP="00C15C88">
      <w:pPr>
        <w:tabs>
          <w:tab w:val="left" w:pos="851"/>
        </w:tabs>
        <w:ind w:left="851"/>
        <w:rPr>
          <w:sz w:val="24"/>
          <w:szCs w:val="24"/>
        </w:rPr>
      </w:pPr>
      <w:r w:rsidRPr="00C15C88">
        <w:rPr>
          <w:i/>
          <w:iCs/>
          <w:sz w:val="24"/>
          <w:szCs w:val="24"/>
        </w:rPr>
        <w:t xml:space="preserve">Angina pectoris: </w:t>
      </w:r>
      <w:r w:rsidRPr="00C15C88">
        <w:rPr>
          <w:sz w:val="24"/>
          <w:szCs w:val="24"/>
        </w:rPr>
        <w:t xml:space="preserve">160 mg dagligt. Dosis kan om nødvendigt øges til 240 mg dagligt. Behandlingen kan suppleres med nitroglycerin. </w:t>
      </w:r>
    </w:p>
    <w:p w14:paraId="039B892F" w14:textId="77777777" w:rsidR="00C15C88" w:rsidRPr="00C15C88" w:rsidRDefault="00C15C88" w:rsidP="00C15C88">
      <w:pPr>
        <w:tabs>
          <w:tab w:val="left" w:pos="851"/>
        </w:tabs>
        <w:ind w:left="851"/>
        <w:rPr>
          <w:i/>
          <w:iCs/>
          <w:sz w:val="24"/>
          <w:szCs w:val="24"/>
        </w:rPr>
      </w:pPr>
    </w:p>
    <w:p w14:paraId="00EA7984" w14:textId="77777777" w:rsidR="00C15C88" w:rsidRPr="00C15C88" w:rsidRDefault="00C15C88" w:rsidP="00C15C88">
      <w:pPr>
        <w:tabs>
          <w:tab w:val="left" w:pos="851"/>
        </w:tabs>
        <w:ind w:left="851"/>
        <w:rPr>
          <w:sz w:val="24"/>
          <w:szCs w:val="24"/>
        </w:rPr>
      </w:pPr>
      <w:r w:rsidRPr="00C15C88">
        <w:rPr>
          <w:i/>
          <w:iCs/>
          <w:sz w:val="24"/>
          <w:szCs w:val="24"/>
        </w:rPr>
        <w:t xml:space="preserve">Hypertension: </w:t>
      </w:r>
      <w:r w:rsidRPr="00C15C88">
        <w:rPr>
          <w:sz w:val="24"/>
          <w:szCs w:val="24"/>
        </w:rPr>
        <w:t>160 mg dagligt. Dosis kan om nødvendigt øges yderligere. Doser over 480 mg er sjældent nødvendigt. Der kan suppleres med andre antihypertensiva medicin ved behov, særligt med diuretika og/eller perifere vasodilatorer.</w:t>
      </w:r>
    </w:p>
    <w:p w14:paraId="3E445B39" w14:textId="77777777" w:rsidR="00C15C88" w:rsidRPr="00C15C88" w:rsidRDefault="00C15C88" w:rsidP="00C15C88">
      <w:pPr>
        <w:tabs>
          <w:tab w:val="left" w:pos="851"/>
        </w:tabs>
        <w:ind w:left="851"/>
        <w:rPr>
          <w:i/>
          <w:iCs/>
          <w:sz w:val="24"/>
          <w:szCs w:val="24"/>
        </w:rPr>
      </w:pPr>
    </w:p>
    <w:p w14:paraId="5F6C823B" w14:textId="77777777" w:rsidR="00C15C88" w:rsidRPr="00C15C88" w:rsidRDefault="00C15C88" w:rsidP="00C15C88">
      <w:pPr>
        <w:tabs>
          <w:tab w:val="left" w:pos="851"/>
        </w:tabs>
        <w:ind w:left="851"/>
        <w:rPr>
          <w:sz w:val="24"/>
          <w:szCs w:val="24"/>
        </w:rPr>
      </w:pPr>
      <w:r w:rsidRPr="00C15C88">
        <w:rPr>
          <w:i/>
          <w:iCs/>
          <w:sz w:val="24"/>
          <w:szCs w:val="24"/>
        </w:rPr>
        <w:t xml:space="preserve">Profylakse mod myokardieinfarkt og dødsfald relateret til hjertesvigt, efter den akutte fase af myokardieinfarkt: </w:t>
      </w:r>
      <w:r w:rsidRPr="00C15C88">
        <w:rPr>
          <w:sz w:val="24"/>
          <w:szCs w:val="24"/>
        </w:rPr>
        <w:t>160 mg dagligt. Hvis der er mulighed for at teste beta</w:t>
      </w:r>
      <w:r w:rsidRPr="00C15C88">
        <w:rPr>
          <w:sz w:val="24"/>
          <w:szCs w:val="24"/>
        </w:rPr>
        <w:noBreakHyphen/>
        <w:t xml:space="preserve">receptorblokaden, og den vurderes utilstrækkelig, anbefales det at øge dosis til 240 mg dagligt. </w:t>
      </w:r>
    </w:p>
    <w:p w14:paraId="60CD05A5" w14:textId="77777777" w:rsidR="00C15C88" w:rsidRPr="00C15C88" w:rsidRDefault="00C15C88" w:rsidP="00C15C88">
      <w:pPr>
        <w:tabs>
          <w:tab w:val="left" w:pos="851"/>
        </w:tabs>
        <w:ind w:left="851"/>
        <w:rPr>
          <w:i/>
          <w:iCs/>
          <w:sz w:val="24"/>
          <w:szCs w:val="24"/>
        </w:rPr>
      </w:pPr>
    </w:p>
    <w:p w14:paraId="345E8094" w14:textId="77777777" w:rsidR="00C15C88" w:rsidRPr="00C15C88" w:rsidRDefault="00C15C88" w:rsidP="00C15C88">
      <w:pPr>
        <w:tabs>
          <w:tab w:val="left" w:pos="851"/>
        </w:tabs>
        <w:ind w:left="851"/>
        <w:rPr>
          <w:sz w:val="24"/>
          <w:szCs w:val="24"/>
        </w:rPr>
      </w:pPr>
      <w:r w:rsidRPr="00C15C88">
        <w:rPr>
          <w:i/>
          <w:iCs/>
          <w:sz w:val="24"/>
          <w:szCs w:val="24"/>
        </w:rPr>
        <w:t>Palpitationer uden organisk hjertesygdom og supraventrikulære takyarytmier</w:t>
      </w:r>
      <w:r w:rsidRPr="00C15C88">
        <w:rPr>
          <w:sz w:val="24"/>
          <w:szCs w:val="24"/>
        </w:rPr>
        <w:t>: 10</w:t>
      </w:r>
      <w:r w:rsidRPr="00C15C88">
        <w:rPr>
          <w:sz w:val="24"/>
          <w:szCs w:val="24"/>
        </w:rPr>
        <w:noBreakHyphen/>
        <w:t>30 mg 3</w:t>
      </w:r>
      <w:r w:rsidRPr="00C15C88">
        <w:rPr>
          <w:sz w:val="24"/>
          <w:szCs w:val="24"/>
        </w:rPr>
        <w:noBreakHyphen/>
        <w:t xml:space="preserve">4 gange dagligt. </w:t>
      </w:r>
    </w:p>
    <w:p w14:paraId="28778E5A" w14:textId="77777777" w:rsidR="00C15C88" w:rsidRPr="00C15C88" w:rsidRDefault="00C15C88" w:rsidP="00C15C88">
      <w:pPr>
        <w:tabs>
          <w:tab w:val="left" w:pos="851"/>
        </w:tabs>
        <w:ind w:left="851"/>
        <w:rPr>
          <w:sz w:val="24"/>
          <w:szCs w:val="24"/>
        </w:rPr>
      </w:pPr>
    </w:p>
    <w:p w14:paraId="0D9CCB58" w14:textId="77777777" w:rsidR="00C15C88" w:rsidRPr="00C15C88" w:rsidRDefault="00C15C88" w:rsidP="00C15C88">
      <w:pPr>
        <w:tabs>
          <w:tab w:val="left" w:pos="851"/>
        </w:tabs>
        <w:ind w:left="851"/>
        <w:rPr>
          <w:sz w:val="24"/>
          <w:szCs w:val="24"/>
        </w:rPr>
      </w:pPr>
      <w:r w:rsidRPr="00C15C88">
        <w:rPr>
          <w:i/>
          <w:iCs/>
          <w:sz w:val="24"/>
          <w:szCs w:val="24"/>
        </w:rPr>
        <w:t xml:space="preserve">Hyperthyreoidisme: </w:t>
      </w:r>
      <w:r w:rsidRPr="00C15C88">
        <w:rPr>
          <w:sz w:val="24"/>
          <w:szCs w:val="24"/>
        </w:rPr>
        <w:t xml:space="preserve">Dosis bør justeres i henhold til det kliniske respons. </w:t>
      </w:r>
    </w:p>
    <w:p w14:paraId="5331AEBB" w14:textId="77777777" w:rsidR="00C15C88" w:rsidRPr="00C15C88" w:rsidRDefault="00C15C88" w:rsidP="00C15C88">
      <w:pPr>
        <w:tabs>
          <w:tab w:val="left" w:pos="851"/>
        </w:tabs>
        <w:ind w:left="851"/>
        <w:rPr>
          <w:i/>
          <w:iCs/>
          <w:sz w:val="24"/>
          <w:szCs w:val="24"/>
        </w:rPr>
      </w:pPr>
    </w:p>
    <w:p w14:paraId="34092BE1" w14:textId="77777777" w:rsidR="00C15C88" w:rsidRPr="00C15C88" w:rsidRDefault="00C15C88" w:rsidP="00C15C88">
      <w:pPr>
        <w:tabs>
          <w:tab w:val="left" w:pos="851"/>
        </w:tabs>
        <w:ind w:left="851"/>
        <w:rPr>
          <w:sz w:val="24"/>
          <w:szCs w:val="24"/>
        </w:rPr>
      </w:pPr>
      <w:r w:rsidRPr="00C15C88">
        <w:rPr>
          <w:i/>
          <w:iCs/>
          <w:sz w:val="24"/>
          <w:szCs w:val="24"/>
        </w:rPr>
        <w:t xml:space="preserve">Kliniske symptomer og præoperativt: </w:t>
      </w:r>
      <w:r w:rsidRPr="00C15C88">
        <w:rPr>
          <w:sz w:val="24"/>
          <w:szCs w:val="24"/>
        </w:rPr>
        <w:t>Propranolol "Medical Valley" 40</w:t>
      </w:r>
      <w:r w:rsidRPr="00C15C88">
        <w:rPr>
          <w:sz w:val="24"/>
          <w:szCs w:val="24"/>
        </w:rPr>
        <w:noBreakHyphen/>
        <w:t>80 mg 3</w:t>
      </w:r>
      <w:r w:rsidRPr="00C15C88">
        <w:rPr>
          <w:sz w:val="24"/>
          <w:szCs w:val="24"/>
        </w:rPr>
        <w:noBreakHyphen/>
        <w:t>4 gange dagligt. Dosis bør justeres, så hjertefrekvensen ikke overstiger 90 slag/min.</w:t>
      </w:r>
    </w:p>
    <w:p w14:paraId="5EE51873" w14:textId="77777777" w:rsidR="00C15C88" w:rsidRPr="00C15C88" w:rsidRDefault="00C15C88" w:rsidP="00C15C88">
      <w:pPr>
        <w:tabs>
          <w:tab w:val="left" w:pos="851"/>
        </w:tabs>
        <w:ind w:left="851"/>
        <w:rPr>
          <w:i/>
          <w:iCs/>
          <w:sz w:val="24"/>
          <w:szCs w:val="24"/>
        </w:rPr>
      </w:pPr>
    </w:p>
    <w:p w14:paraId="15E7D915" w14:textId="77777777" w:rsidR="00C15C88" w:rsidRPr="00C15C88" w:rsidRDefault="00C15C88" w:rsidP="00C15C88">
      <w:pPr>
        <w:tabs>
          <w:tab w:val="left" w:pos="851"/>
        </w:tabs>
        <w:ind w:left="851"/>
        <w:rPr>
          <w:sz w:val="24"/>
          <w:szCs w:val="24"/>
        </w:rPr>
      </w:pPr>
      <w:r w:rsidRPr="00C15C88">
        <w:rPr>
          <w:i/>
          <w:iCs/>
          <w:sz w:val="24"/>
          <w:szCs w:val="24"/>
        </w:rPr>
        <w:t xml:space="preserve">Thyrotoksisk krise: </w:t>
      </w:r>
      <w:r w:rsidRPr="00C15C88">
        <w:rPr>
          <w:sz w:val="24"/>
          <w:szCs w:val="24"/>
        </w:rPr>
        <w:t>Når den kliniske tilstand er normaliseret efter intravenøs administration af beta</w:t>
      </w:r>
      <w:r w:rsidRPr="00C15C88">
        <w:rPr>
          <w:sz w:val="24"/>
          <w:szCs w:val="24"/>
        </w:rPr>
        <w:noBreakHyphen/>
        <w:t>receptorblokker i henhold til de eksisterende behandlingsvejledninger, fortsættes behandlingen med oral propranolol 120</w:t>
      </w:r>
      <w:r w:rsidRPr="00C15C88">
        <w:rPr>
          <w:sz w:val="24"/>
          <w:szCs w:val="24"/>
        </w:rPr>
        <w:noBreakHyphen/>
        <w:t xml:space="preserve">320 mg dagligt med Propranolol "Medical Valley". Generelt er behandlingen kun nødvendig i den initiale fase af anden behandling. </w:t>
      </w:r>
    </w:p>
    <w:p w14:paraId="7A7FC448" w14:textId="77777777" w:rsidR="00C15C88" w:rsidRPr="00C15C88" w:rsidRDefault="00C15C88" w:rsidP="00C15C88">
      <w:pPr>
        <w:tabs>
          <w:tab w:val="left" w:pos="851"/>
        </w:tabs>
        <w:ind w:left="851"/>
        <w:rPr>
          <w:i/>
          <w:iCs/>
          <w:sz w:val="24"/>
          <w:szCs w:val="24"/>
        </w:rPr>
      </w:pPr>
    </w:p>
    <w:p w14:paraId="1299ED34" w14:textId="77777777" w:rsidR="00C15C88" w:rsidRPr="00C15C88" w:rsidRDefault="00C15C88" w:rsidP="00C15C88">
      <w:pPr>
        <w:tabs>
          <w:tab w:val="left" w:pos="851"/>
        </w:tabs>
        <w:ind w:left="851"/>
        <w:rPr>
          <w:i/>
          <w:iCs/>
          <w:sz w:val="24"/>
          <w:szCs w:val="24"/>
        </w:rPr>
      </w:pPr>
      <w:r w:rsidRPr="00C15C88">
        <w:rPr>
          <w:i/>
          <w:iCs/>
          <w:sz w:val="24"/>
          <w:szCs w:val="24"/>
        </w:rPr>
        <w:t xml:space="preserve">Fæokromocytom: </w:t>
      </w:r>
      <w:r w:rsidRPr="00C15C88">
        <w:rPr>
          <w:sz w:val="24"/>
          <w:szCs w:val="24"/>
        </w:rPr>
        <w:t>Propranolol "Medical Valley" bør kun anvendes i kombination med et alpha</w:t>
      </w:r>
      <w:r w:rsidRPr="00C15C88">
        <w:rPr>
          <w:sz w:val="24"/>
          <w:szCs w:val="24"/>
        </w:rPr>
        <w:noBreakHyphen/>
        <w:t>receptorblokerende lægemiddel. Præoperativt: 60 mg dagligt i 3 dage anbefales. Ikke</w:t>
      </w:r>
      <w:r w:rsidRPr="00C15C88">
        <w:rPr>
          <w:sz w:val="24"/>
          <w:szCs w:val="24"/>
        </w:rPr>
        <w:noBreakHyphen/>
        <w:t xml:space="preserve">operable maligne tilfælde: 30 mg dagligt anbefales. </w:t>
      </w:r>
    </w:p>
    <w:p w14:paraId="362D9EDC" w14:textId="77777777" w:rsidR="00C15C88" w:rsidRPr="00C15C88" w:rsidRDefault="00C15C88" w:rsidP="00C15C88">
      <w:pPr>
        <w:tabs>
          <w:tab w:val="left" w:pos="851"/>
        </w:tabs>
        <w:ind w:left="851"/>
        <w:rPr>
          <w:i/>
          <w:iCs/>
          <w:sz w:val="24"/>
          <w:szCs w:val="24"/>
        </w:rPr>
      </w:pPr>
    </w:p>
    <w:p w14:paraId="0F3435E4" w14:textId="77777777" w:rsidR="00C15C88" w:rsidRPr="00C15C88" w:rsidRDefault="00C15C88" w:rsidP="00C15C88">
      <w:pPr>
        <w:tabs>
          <w:tab w:val="left" w:pos="851"/>
        </w:tabs>
        <w:ind w:left="851"/>
        <w:rPr>
          <w:sz w:val="24"/>
          <w:szCs w:val="24"/>
        </w:rPr>
      </w:pPr>
      <w:r w:rsidRPr="00C15C88">
        <w:rPr>
          <w:i/>
          <w:iCs/>
          <w:sz w:val="24"/>
          <w:szCs w:val="24"/>
        </w:rPr>
        <w:t xml:space="preserve">Tremor: </w:t>
      </w:r>
      <w:r w:rsidRPr="00C15C88">
        <w:rPr>
          <w:sz w:val="24"/>
          <w:szCs w:val="24"/>
        </w:rPr>
        <w:t>120 mg dagligt. Dosis kan øges ved behov.</w:t>
      </w:r>
    </w:p>
    <w:p w14:paraId="610428BE" w14:textId="77777777" w:rsidR="00C15C88" w:rsidRPr="00C15C88" w:rsidRDefault="00C15C88" w:rsidP="00C15C88">
      <w:pPr>
        <w:tabs>
          <w:tab w:val="left" w:pos="851"/>
        </w:tabs>
        <w:ind w:left="851"/>
        <w:rPr>
          <w:i/>
          <w:iCs/>
          <w:sz w:val="24"/>
          <w:szCs w:val="24"/>
        </w:rPr>
      </w:pPr>
    </w:p>
    <w:p w14:paraId="779BF4B6" w14:textId="77777777" w:rsidR="00C15C88" w:rsidRPr="00C15C88" w:rsidRDefault="00C15C88" w:rsidP="00C15C88">
      <w:pPr>
        <w:tabs>
          <w:tab w:val="left" w:pos="851"/>
        </w:tabs>
        <w:ind w:left="851"/>
        <w:rPr>
          <w:sz w:val="24"/>
          <w:szCs w:val="24"/>
        </w:rPr>
      </w:pPr>
      <w:r w:rsidRPr="00C15C88">
        <w:rPr>
          <w:i/>
          <w:iCs/>
          <w:sz w:val="24"/>
          <w:szCs w:val="24"/>
        </w:rPr>
        <w:t>Migræne:</w:t>
      </w:r>
      <w:r w:rsidRPr="00C15C88">
        <w:rPr>
          <w:sz w:val="24"/>
          <w:szCs w:val="24"/>
        </w:rPr>
        <w:t xml:space="preserve"> Voksne: 40 mg 3 gange dagligt. Om nødvendigt kan dosis øges. Børn over 35 kg: 40 mg 3 gange dagligt. Børn under 35 kg: 20 mg 3 gange dagligt.  </w:t>
      </w:r>
    </w:p>
    <w:p w14:paraId="3507D557" w14:textId="77777777" w:rsidR="00C15C88" w:rsidRPr="00C15C88" w:rsidRDefault="00C15C88" w:rsidP="00C15C88">
      <w:pPr>
        <w:tabs>
          <w:tab w:val="left" w:pos="851"/>
        </w:tabs>
        <w:ind w:left="851"/>
        <w:rPr>
          <w:i/>
          <w:iCs/>
          <w:sz w:val="24"/>
          <w:szCs w:val="24"/>
        </w:rPr>
      </w:pPr>
    </w:p>
    <w:p w14:paraId="089041C0" w14:textId="77777777" w:rsidR="00C15C88" w:rsidRPr="00C15C88" w:rsidRDefault="00C15C88" w:rsidP="00C15C88">
      <w:pPr>
        <w:tabs>
          <w:tab w:val="left" w:pos="851"/>
        </w:tabs>
        <w:ind w:left="851"/>
        <w:rPr>
          <w:sz w:val="24"/>
          <w:szCs w:val="24"/>
        </w:rPr>
      </w:pPr>
      <w:r w:rsidRPr="00C15C88">
        <w:rPr>
          <w:i/>
          <w:iCs/>
          <w:sz w:val="24"/>
          <w:szCs w:val="24"/>
        </w:rPr>
        <w:lastRenderedPageBreak/>
        <w:t xml:space="preserve">Portalhypertension: </w:t>
      </w:r>
      <w:r w:rsidRPr="00C15C88">
        <w:rPr>
          <w:sz w:val="24"/>
          <w:szCs w:val="24"/>
        </w:rPr>
        <w:t>Dosis titreres, til der opnås en reduktion på 25 % i hjertefrekvensen i hvile. Initialdosis er 40 mg 2 gange dagligt, som kan øges til 160 mg dagligt med Propranolol "Medical Valley". Dosis må øges til maksimalt 320 mg dagligt.</w:t>
      </w:r>
    </w:p>
    <w:p w14:paraId="21371FBE" w14:textId="77777777" w:rsidR="00C15C88" w:rsidRPr="00C15C88" w:rsidRDefault="00C15C88" w:rsidP="00C15C88">
      <w:pPr>
        <w:tabs>
          <w:tab w:val="left" w:pos="851"/>
        </w:tabs>
        <w:ind w:left="851"/>
        <w:rPr>
          <w:i/>
          <w:iCs/>
          <w:sz w:val="24"/>
          <w:szCs w:val="24"/>
        </w:rPr>
      </w:pPr>
    </w:p>
    <w:p w14:paraId="5AC99051" w14:textId="77777777" w:rsidR="00C15C88" w:rsidRPr="00C15C88" w:rsidRDefault="00C15C88" w:rsidP="00C15C88">
      <w:pPr>
        <w:tabs>
          <w:tab w:val="left" w:pos="851"/>
        </w:tabs>
        <w:ind w:left="851"/>
        <w:rPr>
          <w:sz w:val="24"/>
          <w:szCs w:val="24"/>
        </w:rPr>
      </w:pPr>
      <w:r w:rsidRPr="00C15C88">
        <w:rPr>
          <w:i/>
          <w:iCs/>
          <w:sz w:val="24"/>
          <w:szCs w:val="24"/>
        </w:rPr>
        <w:t>Nedsat lever</w:t>
      </w:r>
      <w:r w:rsidRPr="00C15C88">
        <w:rPr>
          <w:i/>
          <w:iCs/>
          <w:sz w:val="24"/>
          <w:szCs w:val="24"/>
        </w:rPr>
        <w:noBreakHyphen/>
        <w:t xml:space="preserve"> og nyrefunktion: </w:t>
      </w:r>
      <w:r w:rsidRPr="00C15C88">
        <w:rPr>
          <w:sz w:val="24"/>
          <w:szCs w:val="24"/>
        </w:rPr>
        <w:t>Da halveringstiden kan forlænges hos patienter med svært nedsat lever</w:t>
      </w:r>
      <w:r w:rsidRPr="00C15C88">
        <w:rPr>
          <w:sz w:val="24"/>
          <w:szCs w:val="24"/>
        </w:rPr>
        <w:noBreakHyphen/>
        <w:t xml:space="preserve"> og nyrefunktion, bør der udvises forsigtighed ved start af behandling og ved valg af initialdosis. </w:t>
      </w:r>
    </w:p>
    <w:p w14:paraId="01B25A88" w14:textId="77777777" w:rsidR="00C15C88" w:rsidRPr="00C15C88" w:rsidRDefault="00C15C88" w:rsidP="00C15C88">
      <w:pPr>
        <w:tabs>
          <w:tab w:val="left" w:pos="851"/>
        </w:tabs>
        <w:ind w:left="851"/>
        <w:rPr>
          <w:i/>
          <w:iCs/>
          <w:sz w:val="24"/>
          <w:szCs w:val="24"/>
        </w:rPr>
      </w:pPr>
    </w:p>
    <w:p w14:paraId="3247C47C" w14:textId="77777777" w:rsidR="00C15C88" w:rsidRPr="00C15C88" w:rsidRDefault="00C15C88" w:rsidP="00C15C88">
      <w:pPr>
        <w:tabs>
          <w:tab w:val="left" w:pos="851"/>
        </w:tabs>
        <w:ind w:left="851"/>
        <w:rPr>
          <w:sz w:val="24"/>
          <w:szCs w:val="24"/>
        </w:rPr>
      </w:pPr>
      <w:r w:rsidRPr="00C15C88">
        <w:rPr>
          <w:sz w:val="24"/>
          <w:szCs w:val="24"/>
        </w:rPr>
        <w:t>Enhver seponering bør om muligt ske gradvist over en periode på 7</w:t>
      </w:r>
      <w:r w:rsidRPr="00C15C88">
        <w:rPr>
          <w:sz w:val="24"/>
          <w:szCs w:val="24"/>
        </w:rPr>
        <w:noBreakHyphen/>
        <w:t xml:space="preserve">10 dage, da brystsmerter ellers kan forværres med risiko for myokardieinfarkt. Hvis Propranolol "Medical Valley" skal seponeres forud for et kirurgisk indgreb, bør dette ske mindst 24 timer før indgrebet, undtagen i særlige tilfælde f.eks. hyperthyreoidisme og fæokromocytom. </w:t>
      </w:r>
    </w:p>
    <w:p w14:paraId="0649A1EB" w14:textId="77777777" w:rsidR="00C15C88" w:rsidRPr="00C15C88" w:rsidRDefault="00C15C88" w:rsidP="00C15C88">
      <w:pPr>
        <w:tabs>
          <w:tab w:val="left" w:pos="851"/>
        </w:tabs>
        <w:ind w:left="851"/>
        <w:rPr>
          <w:i/>
          <w:sz w:val="24"/>
          <w:szCs w:val="24"/>
        </w:rPr>
      </w:pPr>
    </w:p>
    <w:p w14:paraId="51D568D2" w14:textId="77777777" w:rsidR="00C15C88" w:rsidRPr="00C15C88" w:rsidRDefault="00C15C88" w:rsidP="00C15C88">
      <w:pPr>
        <w:tabs>
          <w:tab w:val="left" w:pos="851"/>
        </w:tabs>
        <w:ind w:left="851"/>
        <w:rPr>
          <w:i/>
          <w:sz w:val="24"/>
          <w:szCs w:val="24"/>
        </w:rPr>
      </w:pPr>
      <w:r w:rsidRPr="00C15C88">
        <w:rPr>
          <w:i/>
          <w:sz w:val="24"/>
          <w:szCs w:val="24"/>
        </w:rPr>
        <w:t>Pædiatrisk population</w:t>
      </w:r>
    </w:p>
    <w:p w14:paraId="03231FD4" w14:textId="77777777" w:rsidR="00C15C88" w:rsidRPr="00C15C88" w:rsidRDefault="00C15C88" w:rsidP="00C15C88">
      <w:pPr>
        <w:tabs>
          <w:tab w:val="left" w:pos="851"/>
        </w:tabs>
        <w:ind w:left="851"/>
        <w:rPr>
          <w:i/>
          <w:sz w:val="24"/>
          <w:szCs w:val="24"/>
        </w:rPr>
      </w:pPr>
    </w:p>
    <w:p w14:paraId="7588ABD4" w14:textId="77777777" w:rsidR="00C15C88" w:rsidRPr="00C15C88" w:rsidRDefault="00C15C88" w:rsidP="00C15C88">
      <w:pPr>
        <w:tabs>
          <w:tab w:val="left" w:pos="851"/>
        </w:tabs>
        <w:ind w:left="851"/>
        <w:rPr>
          <w:iCs/>
          <w:sz w:val="24"/>
          <w:szCs w:val="24"/>
        </w:rPr>
      </w:pPr>
      <w:r w:rsidRPr="00C15C88">
        <w:rPr>
          <w:i/>
          <w:sz w:val="24"/>
          <w:szCs w:val="24"/>
        </w:rPr>
        <w:t xml:space="preserve">Arytmier: </w:t>
      </w:r>
      <w:r w:rsidRPr="00C15C88">
        <w:rPr>
          <w:iCs/>
          <w:sz w:val="24"/>
          <w:szCs w:val="24"/>
        </w:rPr>
        <w:t xml:space="preserve">Dosis bør justeres individuelt og følgende er vejledende: </w:t>
      </w:r>
    </w:p>
    <w:p w14:paraId="1734DD7B" w14:textId="77777777" w:rsidR="00C15C88" w:rsidRPr="00C15C88" w:rsidRDefault="00C15C88" w:rsidP="00C15C88">
      <w:pPr>
        <w:tabs>
          <w:tab w:val="left" w:pos="851"/>
        </w:tabs>
        <w:ind w:left="851"/>
        <w:rPr>
          <w:iCs/>
          <w:sz w:val="24"/>
          <w:szCs w:val="24"/>
        </w:rPr>
      </w:pPr>
      <w:r w:rsidRPr="00C15C88">
        <w:rPr>
          <w:iCs/>
          <w:sz w:val="24"/>
          <w:szCs w:val="24"/>
        </w:rPr>
        <w:t>Børn og voksne: 0,25</w:t>
      </w:r>
      <w:r w:rsidRPr="00C15C88">
        <w:rPr>
          <w:iCs/>
          <w:sz w:val="24"/>
          <w:szCs w:val="24"/>
        </w:rPr>
        <w:noBreakHyphen/>
        <w:t>0,5 mg/kg 3</w:t>
      </w:r>
      <w:r w:rsidRPr="00C15C88">
        <w:rPr>
          <w:iCs/>
          <w:sz w:val="24"/>
          <w:szCs w:val="24"/>
        </w:rPr>
        <w:noBreakHyphen/>
        <w:t xml:space="preserve">4 gange dagligt, justeret i henhold til klinisk respons. Den maksimale daglige dosis er 1 mg/kg 4 gange dagligt. Dosis bør ikke overstige 160 mg dagligt. </w:t>
      </w:r>
    </w:p>
    <w:p w14:paraId="62216CA8" w14:textId="77777777" w:rsidR="00C15C88" w:rsidRPr="00C15C88" w:rsidRDefault="00C15C88" w:rsidP="00C15C88">
      <w:pPr>
        <w:tabs>
          <w:tab w:val="left" w:pos="851"/>
        </w:tabs>
        <w:ind w:left="851"/>
        <w:rPr>
          <w:sz w:val="24"/>
          <w:szCs w:val="24"/>
        </w:rPr>
      </w:pPr>
    </w:p>
    <w:p w14:paraId="375252FB" w14:textId="77777777" w:rsidR="00C15C88" w:rsidRPr="00C15C88" w:rsidRDefault="00C15C88" w:rsidP="00C15C88">
      <w:pPr>
        <w:tabs>
          <w:tab w:val="left" w:pos="851"/>
        </w:tabs>
        <w:ind w:left="851"/>
        <w:rPr>
          <w:sz w:val="24"/>
          <w:szCs w:val="24"/>
          <w:u w:val="single"/>
        </w:rPr>
      </w:pPr>
      <w:r w:rsidRPr="00C15C88">
        <w:rPr>
          <w:sz w:val="24"/>
          <w:szCs w:val="24"/>
          <w:u w:val="single"/>
        </w:rPr>
        <w:t>Administration</w:t>
      </w:r>
    </w:p>
    <w:p w14:paraId="6C463AE0" w14:textId="77777777" w:rsidR="00C15C88" w:rsidRPr="00C15C88" w:rsidRDefault="00C15C88" w:rsidP="00C15C88">
      <w:pPr>
        <w:tabs>
          <w:tab w:val="left" w:pos="851"/>
        </w:tabs>
        <w:ind w:left="851"/>
        <w:rPr>
          <w:sz w:val="24"/>
          <w:szCs w:val="24"/>
        </w:rPr>
      </w:pPr>
      <w:r w:rsidRPr="00C15C88">
        <w:rPr>
          <w:sz w:val="24"/>
          <w:szCs w:val="24"/>
        </w:rPr>
        <w:t xml:space="preserve">Oral anvendelse. Tabletterne bør helst indtages før måltider. </w:t>
      </w:r>
    </w:p>
    <w:p w14:paraId="67D93044" w14:textId="77777777" w:rsidR="009260DE" w:rsidRPr="00C84483" w:rsidRDefault="009260DE" w:rsidP="009260DE">
      <w:pPr>
        <w:tabs>
          <w:tab w:val="left" w:pos="851"/>
        </w:tabs>
        <w:ind w:left="851"/>
        <w:rPr>
          <w:sz w:val="24"/>
          <w:szCs w:val="24"/>
        </w:rPr>
      </w:pPr>
    </w:p>
    <w:p w14:paraId="121D8F4D" w14:textId="77777777"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14:paraId="4A2263B7" w14:textId="77777777" w:rsidR="00EC2020" w:rsidRPr="00EC2020" w:rsidRDefault="00EC2020" w:rsidP="00EC2020">
      <w:pPr>
        <w:numPr>
          <w:ilvl w:val="0"/>
          <w:numId w:val="7"/>
        </w:numPr>
        <w:tabs>
          <w:tab w:val="left" w:pos="851"/>
        </w:tabs>
        <w:ind w:left="1134" w:hanging="283"/>
        <w:rPr>
          <w:sz w:val="24"/>
          <w:szCs w:val="24"/>
        </w:rPr>
      </w:pPr>
      <w:r w:rsidRPr="00EC2020">
        <w:rPr>
          <w:sz w:val="24"/>
          <w:szCs w:val="24"/>
        </w:rPr>
        <w:t>Overfølsomhed over for det aktive stof eller over for et eller flere af hjælpestofferne anført i pkt. 6.1</w:t>
      </w:r>
    </w:p>
    <w:p w14:paraId="2458500E" w14:textId="77777777" w:rsidR="00EC2020" w:rsidRPr="00EC2020" w:rsidRDefault="00EC2020" w:rsidP="00EC2020">
      <w:pPr>
        <w:numPr>
          <w:ilvl w:val="0"/>
          <w:numId w:val="7"/>
        </w:numPr>
        <w:tabs>
          <w:tab w:val="left" w:pos="851"/>
        </w:tabs>
        <w:ind w:left="1134" w:hanging="283"/>
        <w:rPr>
          <w:sz w:val="24"/>
          <w:szCs w:val="24"/>
        </w:rPr>
      </w:pPr>
      <w:r w:rsidRPr="00EC2020">
        <w:rPr>
          <w:sz w:val="24"/>
          <w:szCs w:val="24"/>
        </w:rPr>
        <w:t xml:space="preserve">Bronkial astma eller anden udtalt obstruktiv lungesygdom i anamnesen </w:t>
      </w:r>
    </w:p>
    <w:p w14:paraId="6B03E421" w14:textId="77777777" w:rsidR="00EC2020" w:rsidRPr="00EC2020" w:rsidRDefault="00EC2020" w:rsidP="00EC2020">
      <w:pPr>
        <w:numPr>
          <w:ilvl w:val="0"/>
          <w:numId w:val="7"/>
        </w:numPr>
        <w:tabs>
          <w:tab w:val="left" w:pos="851"/>
        </w:tabs>
        <w:ind w:left="1134" w:hanging="283"/>
        <w:rPr>
          <w:sz w:val="24"/>
          <w:szCs w:val="24"/>
        </w:rPr>
      </w:pPr>
      <w:r w:rsidRPr="00EC2020">
        <w:rPr>
          <w:sz w:val="24"/>
          <w:szCs w:val="24"/>
        </w:rPr>
        <w:t>Hjertesvigt</w:t>
      </w:r>
    </w:p>
    <w:p w14:paraId="0F53A4ED" w14:textId="77777777" w:rsidR="00EC2020" w:rsidRPr="00EC2020" w:rsidRDefault="00EC2020" w:rsidP="00EC2020">
      <w:pPr>
        <w:numPr>
          <w:ilvl w:val="0"/>
          <w:numId w:val="7"/>
        </w:numPr>
        <w:tabs>
          <w:tab w:val="left" w:pos="851"/>
        </w:tabs>
        <w:ind w:left="1134" w:hanging="283"/>
        <w:rPr>
          <w:sz w:val="24"/>
          <w:szCs w:val="24"/>
        </w:rPr>
      </w:pPr>
      <w:r w:rsidRPr="00EC2020">
        <w:rPr>
          <w:sz w:val="24"/>
          <w:szCs w:val="24"/>
        </w:rPr>
        <w:t>Kardiogent shock</w:t>
      </w:r>
    </w:p>
    <w:p w14:paraId="16EAD0F9" w14:textId="77777777" w:rsidR="00EC2020" w:rsidRPr="00EC2020" w:rsidRDefault="00EC2020" w:rsidP="00EC2020">
      <w:pPr>
        <w:numPr>
          <w:ilvl w:val="0"/>
          <w:numId w:val="7"/>
        </w:numPr>
        <w:tabs>
          <w:tab w:val="left" w:pos="851"/>
        </w:tabs>
        <w:ind w:left="1134" w:hanging="283"/>
        <w:rPr>
          <w:sz w:val="24"/>
          <w:szCs w:val="24"/>
        </w:rPr>
      </w:pPr>
      <w:r w:rsidRPr="00EC2020">
        <w:rPr>
          <w:sz w:val="24"/>
          <w:szCs w:val="24"/>
        </w:rPr>
        <w:t>Anden og tredjegrads AV-blok, syg sinussyndrom eller Prinzmetal angina</w:t>
      </w:r>
    </w:p>
    <w:p w14:paraId="495F8EC3" w14:textId="77777777" w:rsidR="00EC2020" w:rsidRPr="00EC2020" w:rsidRDefault="00EC2020" w:rsidP="00EC2020">
      <w:pPr>
        <w:numPr>
          <w:ilvl w:val="0"/>
          <w:numId w:val="7"/>
        </w:numPr>
        <w:tabs>
          <w:tab w:val="left" w:pos="851"/>
        </w:tabs>
        <w:ind w:left="1134" w:hanging="283"/>
        <w:rPr>
          <w:sz w:val="24"/>
          <w:szCs w:val="24"/>
        </w:rPr>
      </w:pPr>
      <w:r w:rsidRPr="00EC2020">
        <w:rPr>
          <w:sz w:val="24"/>
          <w:szCs w:val="24"/>
        </w:rPr>
        <w:t>Klinisk signifikant bradykardi, hypotension og metabolisk acidose</w:t>
      </w:r>
    </w:p>
    <w:p w14:paraId="71F4B26B" w14:textId="77777777" w:rsidR="00EC2020" w:rsidRPr="00EC2020" w:rsidRDefault="00EC2020" w:rsidP="00EC2020">
      <w:pPr>
        <w:numPr>
          <w:ilvl w:val="0"/>
          <w:numId w:val="7"/>
        </w:numPr>
        <w:tabs>
          <w:tab w:val="left" w:pos="851"/>
        </w:tabs>
        <w:ind w:left="1134" w:hanging="283"/>
        <w:rPr>
          <w:sz w:val="24"/>
          <w:szCs w:val="24"/>
        </w:rPr>
      </w:pPr>
      <w:r w:rsidRPr="00EC2020">
        <w:rPr>
          <w:sz w:val="24"/>
          <w:szCs w:val="24"/>
        </w:rPr>
        <w:t>Ukontrolleret fæokromocytom</w:t>
      </w:r>
    </w:p>
    <w:p w14:paraId="536D9C12" w14:textId="77777777" w:rsidR="00EC2020" w:rsidRPr="00EC2020" w:rsidRDefault="00EC2020" w:rsidP="00EC2020">
      <w:pPr>
        <w:numPr>
          <w:ilvl w:val="0"/>
          <w:numId w:val="7"/>
        </w:numPr>
        <w:tabs>
          <w:tab w:val="left" w:pos="851"/>
        </w:tabs>
        <w:ind w:left="1134" w:hanging="283"/>
        <w:rPr>
          <w:sz w:val="24"/>
          <w:szCs w:val="24"/>
        </w:rPr>
      </w:pPr>
      <w:r w:rsidRPr="00EC2020">
        <w:rPr>
          <w:sz w:val="24"/>
          <w:szCs w:val="24"/>
        </w:rPr>
        <w:t>Svære perifere arterielle kredsløbsforstyrrelser</w:t>
      </w:r>
    </w:p>
    <w:p w14:paraId="2F093947" w14:textId="77777777" w:rsidR="00EC2020" w:rsidRPr="00EC2020" w:rsidRDefault="00EC2020" w:rsidP="00EC2020">
      <w:pPr>
        <w:numPr>
          <w:ilvl w:val="0"/>
          <w:numId w:val="7"/>
        </w:numPr>
        <w:tabs>
          <w:tab w:val="left" w:pos="851"/>
        </w:tabs>
        <w:ind w:left="1134" w:hanging="283"/>
        <w:rPr>
          <w:sz w:val="24"/>
          <w:szCs w:val="24"/>
        </w:rPr>
      </w:pPr>
      <w:r w:rsidRPr="00EC2020">
        <w:rPr>
          <w:sz w:val="24"/>
          <w:szCs w:val="24"/>
        </w:rPr>
        <w:t xml:space="preserve">Patienter med øget risiko for hypoglykæmi, f.eks. som følge af længerevarende faste eller hos diabetikere med tidligere hypoglykæmiske tilfælde. </w:t>
      </w:r>
    </w:p>
    <w:p w14:paraId="4957F6B9" w14:textId="77777777" w:rsidR="009260DE" w:rsidRPr="00C84483" w:rsidRDefault="009260DE" w:rsidP="009260DE">
      <w:pPr>
        <w:tabs>
          <w:tab w:val="left" w:pos="851"/>
        </w:tabs>
        <w:ind w:left="851"/>
        <w:rPr>
          <w:sz w:val="24"/>
          <w:szCs w:val="24"/>
        </w:rPr>
      </w:pPr>
    </w:p>
    <w:p w14:paraId="4EA1007B" w14:textId="77777777"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14:paraId="06D9BADA" w14:textId="77777777" w:rsidR="00EC2020" w:rsidRPr="00EC2020" w:rsidRDefault="00EC2020" w:rsidP="00EC2020">
      <w:pPr>
        <w:tabs>
          <w:tab w:val="left" w:pos="851"/>
        </w:tabs>
        <w:ind w:left="851"/>
        <w:rPr>
          <w:sz w:val="24"/>
          <w:szCs w:val="24"/>
        </w:rPr>
      </w:pPr>
      <w:r w:rsidRPr="00EC2020">
        <w:rPr>
          <w:sz w:val="24"/>
          <w:szCs w:val="24"/>
        </w:rPr>
        <w:t>Svært nedsat lever</w:t>
      </w:r>
      <w:r w:rsidRPr="00EC2020">
        <w:rPr>
          <w:sz w:val="24"/>
          <w:szCs w:val="24"/>
        </w:rPr>
        <w:noBreakHyphen/>
        <w:t xml:space="preserve"> eller nyrefunktion. AV</w:t>
      </w:r>
      <w:r w:rsidRPr="00EC2020">
        <w:rPr>
          <w:sz w:val="24"/>
          <w:szCs w:val="24"/>
        </w:rPr>
        <w:noBreakHyphen/>
        <w:t>blok af 1. grad. Kan forværre en perifer arteriel kredsløbsforstyrrelse. Dekompenseret levercirrose.</w:t>
      </w:r>
    </w:p>
    <w:p w14:paraId="69E1E8E0" w14:textId="77777777" w:rsidR="00EC2020" w:rsidRPr="00EC2020" w:rsidRDefault="00EC2020" w:rsidP="00EC2020">
      <w:pPr>
        <w:tabs>
          <w:tab w:val="left" w:pos="851"/>
        </w:tabs>
        <w:ind w:left="851"/>
        <w:rPr>
          <w:sz w:val="24"/>
          <w:szCs w:val="24"/>
        </w:rPr>
      </w:pPr>
      <w:r w:rsidRPr="00EC2020">
        <w:rPr>
          <w:sz w:val="24"/>
          <w:szCs w:val="24"/>
        </w:rPr>
        <w:t xml:space="preserve">Kan sløre tegnene på hyperthyreoidisme og hypoglykæmi (især takykardi). Der skal udvises forsigtighed hos diabetiske patienter med samtidig hypoglykæmisk behandling, da Propranolol "Medical Valley" kan forårsage og forlænge hypoglykæmiske episoder hos disse patienter. Propranolol "Medical Valley" kan i visse tilfælde medføre hypoglykæmi hos ikke-diabetespatienter, f.eks. hos nyfødte, spædbørn, børn, ældre patienter, patienter i hæmodialyse, patienter der lider af kronisk leversygdom, og patienter, der lider af overdosering eller er længerevarende fastende. </w:t>
      </w:r>
    </w:p>
    <w:p w14:paraId="1AAFD59C" w14:textId="77777777" w:rsidR="00EC2020" w:rsidRPr="00EC2020" w:rsidRDefault="00EC2020" w:rsidP="00EC2020">
      <w:pPr>
        <w:tabs>
          <w:tab w:val="left" w:pos="851"/>
        </w:tabs>
        <w:ind w:left="851"/>
        <w:rPr>
          <w:sz w:val="24"/>
          <w:szCs w:val="24"/>
        </w:rPr>
      </w:pPr>
      <w:r w:rsidRPr="00EC2020">
        <w:rPr>
          <w:sz w:val="24"/>
          <w:szCs w:val="24"/>
        </w:rPr>
        <w:t xml:space="preserve">Propranolol "Medical Valley" bør ikke administreres til patienter med latent eller manifesteret hjertesvigt uden samtidig behandling. </w:t>
      </w:r>
    </w:p>
    <w:p w14:paraId="66A27B4A" w14:textId="77777777" w:rsidR="00EC2020" w:rsidRPr="00EC2020" w:rsidRDefault="00EC2020" w:rsidP="00EC2020">
      <w:pPr>
        <w:tabs>
          <w:tab w:val="left" w:pos="851"/>
        </w:tabs>
        <w:ind w:left="851"/>
        <w:rPr>
          <w:sz w:val="24"/>
          <w:szCs w:val="24"/>
        </w:rPr>
      </w:pPr>
      <w:r w:rsidRPr="00EC2020">
        <w:rPr>
          <w:sz w:val="24"/>
          <w:szCs w:val="24"/>
        </w:rPr>
        <w:t xml:space="preserve">Propranolol kan forstærke en anafylaktisk reaktion. Behandling med epinephrin (adrenalin) i normaldosis giver ikke altid den forventede terapeutiske virkning. </w:t>
      </w:r>
    </w:p>
    <w:p w14:paraId="0260B9E0" w14:textId="77777777" w:rsidR="00EC2020" w:rsidRPr="00EC2020" w:rsidRDefault="00EC2020" w:rsidP="00EC2020">
      <w:pPr>
        <w:tabs>
          <w:tab w:val="left" w:pos="851"/>
        </w:tabs>
        <w:ind w:left="851"/>
        <w:rPr>
          <w:sz w:val="24"/>
          <w:szCs w:val="24"/>
        </w:rPr>
      </w:pPr>
      <w:r w:rsidRPr="00EC2020">
        <w:rPr>
          <w:sz w:val="24"/>
          <w:szCs w:val="24"/>
        </w:rPr>
        <w:lastRenderedPageBreak/>
        <w:t>Hos patienter med portalhypertension kan propranolol øge risikoen for udvikling af hepatisk encefalopati.</w:t>
      </w:r>
    </w:p>
    <w:p w14:paraId="53C780BE" w14:textId="77777777" w:rsidR="00EC2020" w:rsidRPr="00EC2020" w:rsidRDefault="00EC2020" w:rsidP="00EC2020">
      <w:pPr>
        <w:tabs>
          <w:tab w:val="left" w:pos="851"/>
        </w:tabs>
        <w:ind w:left="851"/>
        <w:rPr>
          <w:sz w:val="24"/>
          <w:szCs w:val="24"/>
        </w:rPr>
      </w:pPr>
    </w:p>
    <w:p w14:paraId="27A2E5F9" w14:textId="77777777" w:rsidR="00EC2020" w:rsidRPr="00EC2020" w:rsidRDefault="00EC2020" w:rsidP="00EC2020">
      <w:pPr>
        <w:tabs>
          <w:tab w:val="left" w:pos="851"/>
        </w:tabs>
        <w:ind w:left="851"/>
        <w:rPr>
          <w:sz w:val="24"/>
          <w:szCs w:val="24"/>
          <w:u w:val="single"/>
        </w:rPr>
      </w:pPr>
      <w:r w:rsidRPr="00EC2020">
        <w:rPr>
          <w:sz w:val="24"/>
          <w:szCs w:val="24"/>
          <w:u w:val="single"/>
        </w:rPr>
        <w:t>Advarsler om hjælpestof(fer)</w:t>
      </w:r>
    </w:p>
    <w:p w14:paraId="2F5D4FFC" w14:textId="77777777" w:rsidR="00EC2020" w:rsidRPr="00EC2020" w:rsidRDefault="00EC2020" w:rsidP="00EC2020">
      <w:pPr>
        <w:tabs>
          <w:tab w:val="left" w:pos="851"/>
        </w:tabs>
        <w:ind w:left="851"/>
        <w:rPr>
          <w:sz w:val="24"/>
          <w:szCs w:val="24"/>
        </w:rPr>
      </w:pPr>
      <w:r w:rsidRPr="00EC2020">
        <w:rPr>
          <w:sz w:val="24"/>
          <w:szCs w:val="24"/>
        </w:rPr>
        <w:t xml:space="preserve">Tabletterne indeholder lactose. Bør ikke anvendes til patienter med hereditær galaktoseintolerans, total lactasemangel eller glukose/galaktose malabsorption. </w:t>
      </w:r>
    </w:p>
    <w:p w14:paraId="29D237D0" w14:textId="77777777" w:rsidR="00EC2020" w:rsidRPr="00EC2020" w:rsidRDefault="00EC2020" w:rsidP="00EC2020">
      <w:pPr>
        <w:tabs>
          <w:tab w:val="left" w:pos="851"/>
        </w:tabs>
        <w:ind w:left="851"/>
        <w:rPr>
          <w:sz w:val="24"/>
          <w:szCs w:val="24"/>
        </w:rPr>
      </w:pPr>
    </w:p>
    <w:p w14:paraId="00B3E20F" w14:textId="77777777" w:rsidR="00EC2020" w:rsidRPr="00EC2020" w:rsidRDefault="00EC2020" w:rsidP="00EC2020">
      <w:pPr>
        <w:tabs>
          <w:tab w:val="left" w:pos="851"/>
        </w:tabs>
        <w:ind w:left="851"/>
        <w:rPr>
          <w:sz w:val="24"/>
          <w:szCs w:val="24"/>
          <w:u w:val="single"/>
        </w:rPr>
      </w:pPr>
      <w:r w:rsidRPr="00EC2020">
        <w:rPr>
          <w:sz w:val="24"/>
          <w:szCs w:val="24"/>
          <w:u w:val="single"/>
        </w:rPr>
        <w:t>Pædiatrisk population</w:t>
      </w:r>
    </w:p>
    <w:p w14:paraId="0FF41578" w14:textId="77777777" w:rsidR="00EC2020" w:rsidRPr="00EC2020" w:rsidRDefault="00EC2020" w:rsidP="00EC2020">
      <w:pPr>
        <w:tabs>
          <w:tab w:val="left" w:pos="851"/>
        </w:tabs>
        <w:ind w:left="851"/>
        <w:rPr>
          <w:sz w:val="24"/>
          <w:szCs w:val="24"/>
        </w:rPr>
      </w:pPr>
      <w:r w:rsidRPr="00EC2020">
        <w:rPr>
          <w:sz w:val="24"/>
          <w:szCs w:val="24"/>
        </w:rPr>
        <w:t xml:space="preserve">Indtil der foreligger yderligere kliniske erfaringer, bør Propranolol "Medical Valley" ikke anvendes som profylaktisk behandling af migræne til børn under 7 år. </w:t>
      </w:r>
    </w:p>
    <w:p w14:paraId="21E86308" w14:textId="77777777" w:rsidR="00EC2020" w:rsidRPr="00EC2020" w:rsidRDefault="00EC2020" w:rsidP="00EC2020">
      <w:pPr>
        <w:tabs>
          <w:tab w:val="left" w:pos="851"/>
        </w:tabs>
        <w:ind w:left="851"/>
        <w:rPr>
          <w:sz w:val="24"/>
          <w:szCs w:val="24"/>
        </w:rPr>
      </w:pPr>
    </w:p>
    <w:p w14:paraId="6B2BDEFE" w14:textId="77777777" w:rsidR="00EC2020" w:rsidRPr="00EC2020" w:rsidRDefault="00EC2020" w:rsidP="00EC2020">
      <w:pPr>
        <w:tabs>
          <w:tab w:val="left" w:pos="851"/>
        </w:tabs>
        <w:ind w:left="851"/>
        <w:rPr>
          <w:sz w:val="24"/>
          <w:szCs w:val="24"/>
        </w:rPr>
      </w:pPr>
      <w:r w:rsidRPr="00EC2020">
        <w:rPr>
          <w:sz w:val="24"/>
          <w:szCs w:val="24"/>
        </w:rPr>
        <w:t>Propranolol "Medical Valley" kan lejlighedsvis forårsage hypoglykæmi selv hos ikke-diabetespatienter f.eks. nyfødte, spædbørn og børn.</w:t>
      </w:r>
    </w:p>
    <w:p w14:paraId="34C4E0C6" w14:textId="77777777" w:rsidR="009260DE" w:rsidRPr="00C84483" w:rsidRDefault="009260DE" w:rsidP="009260DE">
      <w:pPr>
        <w:tabs>
          <w:tab w:val="left" w:pos="851"/>
        </w:tabs>
        <w:ind w:left="851"/>
        <w:rPr>
          <w:sz w:val="24"/>
          <w:szCs w:val="24"/>
        </w:rPr>
      </w:pPr>
    </w:p>
    <w:p w14:paraId="7FEFDA9A" w14:textId="77777777"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14:paraId="6E76E90B" w14:textId="77777777" w:rsidR="000F2EEE" w:rsidRDefault="000F2EEE" w:rsidP="000F2EEE">
      <w:pPr>
        <w:tabs>
          <w:tab w:val="left" w:pos="851"/>
        </w:tabs>
        <w:ind w:left="851"/>
        <w:rPr>
          <w:sz w:val="24"/>
          <w:szCs w:val="24"/>
          <w:u w:val="single"/>
        </w:rPr>
      </w:pPr>
    </w:p>
    <w:p w14:paraId="211F93B8" w14:textId="64D22F8C" w:rsidR="000F2EEE" w:rsidRPr="000F2EEE" w:rsidRDefault="000F2EEE" w:rsidP="000F2EEE">
      <w:pPr>
        <w:tabs>
          <w:tab w:val="left" w:pos="851"/>
        </w:tabs>
        <w:ind w:left="851"/>
        <w:rPr>
          <w:sz w:val="24"/>
          <w:szCs w:val="24"/>
          <w:u w:val="single"/>
        </w:rPr>
      </w:pPr>
      <w:r w:rsidRPr="000F2EEE">
        <w:rPr>
          <w:sz w:val="24"/>
          <w:szCs w:val="24"/>
          <w:u w:val="single"/>
        </w:rPr>
        <w:t xml:space="preserve">Følgende kombinationer med Propranolol "Medical Valley" bør undgås </w:t>
      </w:r>
    </w:p>
    <w:p w14:paraId="78C01172" w14:textId="77777777" w:rsidR="000F2EEE" w:rsidRDefault="000F2EEE" w:rsidP="000F2EEE">
      <w:pPr>
        <w:tabs>
          <w:tab w:val="left" w:pos="851"/>
        </w:tabs>
        <w:ind w:left="851"/>
        <w:rPr>
          <w:i/>
          <w:iCs/>
          <w:sz w:val="24"/>
          <w:szCs w:val="24"/>
        </w:rPr>
      </w:pPr>
    </w:p>
    <w:p w14:paraId="5372B8EF" w14:textId="62D74D5F" w:rsidR="000F2EEE" w:rsidRPr="000F2EEE" w:rsidRDefault="000F2EEE" w:rsidP="000F2EEE">
      <w:pPr>
        <w:tabs>
          <w:tab w:val="left" w:pos="851"/>
        </w:tabs>
        <w:ind w:left="851"/>
        <w:rPr>
          <w:i/>
          <w:iCs/>
          <w:sz w:val="24"/>
          <w:szCs w:val="24"/>
        </w:rPr>
      </w:pPr>
      <w:r w:rsidRPr="000F2EEE">
        <w:rPr>
          <w:i/>
          <w:iCs/>
          <w:sz w:val="24"/>
          <w:szCs w:val="24"/>
        </w:rPr>
        <w:t>Barbiturater:</w:t>
      </w:r>
    </w:p>
    <w:p w14:paraId="732D806A" w14:textId="77777777" w:rsidR="000F2EEE" w:rsidRPr="000F2EEE" w:rsidRDefault="000F2EEE" w:rsidP="000F2EEE">
      <w:pPr>
        <w:tabs>
          <w:tab w:val="left" w:pos="851"/>
        </w:tabs>
        <w:ind w:left="851"/>
        <w:rPr>
          <w:sz w:val="24"/>
          <w:szCs w:val="24"/>
        </w:rPr>
      </w:pPr>
      <w:r w:rsidRPr="000F2EEE">
        <w:rPr>
          <w:sz w:val="24"/>
          <w:szCs w:val="24"/>
        </w:rPr>
        <w:t>Barbiturater (undersøgt ved pentobarbital) inducerer metabolismen af beta-receptorblokerende stoffer (undersøgt ved alprenolol og metropolol) ved enzyminduktion. Der er ikke udført interaktionsstudier for andre beta</w:t>
      </w:r>
      <w:r w:rsidRPr="000F2EEE">
        <w:rPr>
          <w:sz w:val="24"/>
          <w:szCs w:val="24"/>
        </w:rPr>
        <w:noBreakHyphen/>
        <w:t>receptorblokerende stoffer. Kan ikke forekomme for stoffer, der udskilles uændret gennem nyrerne og ikke metaboliseres.</w:t>
      </w:r>
    </w:p>
    <w:p w14:paraId="33A4494F" w14:textId="77777777" w:rsidR="000F2EEE" w:rsidRPr="000F2EEE" w:rsidRDefault="000F2EEE" w:rsidP="000F2EEE">
      <w:pPr>
        <w:tabs>
          <w:tab w:val="left" w:pos="851"/>
        </w:tabs>
        <w:ind w:left="851"/>
        <w:rPr>
          <w:i/>
          <w:iCs/>
          <w:sz w:val="24"/>
          <w:szCs w:val="24"/>
        </w:rPr>
      </w:pPr>
    </w:p>
    <w:p w14:paraId="409D3DA1" w14:textId="77777777" w:rsidR="000F2EEE" w:rsidRPr="000F2EEE" w:rsidRDefault="000F2EEE" w:rsidP="000F2EEE">
      <w:pPr>
        <w:tabs>
          <w:tab w:val="left" w:pos="851"/>
        </w:tabs>
        <w:ind w:left="851"/>
        <w:rPr>
          <w:i/>
          <w:iCs/>
          <w:sz w:val="24"/>
          <w:szCs w:val="24"/>
        </w:rPr>
      </w:pPr>
      <w:r w:rsidRPr="000F2EEE">
        <w:rPr>
          <w:i/>
          <w:iCs/>
          <w:sz w:val="24"/>
          <w:szCs w:val="24"/>
        </w:rPr>
        <w:t>Propafenon:</w:t>
      </w:r>
    </w:p>
    <w:p w14:paraId="6B5232D6" w14:textId="77777777" w:rsidR="000F2EEE" w:rsidRPr="000F2EEE" w:rsidRDefault="000F2EEE" w:rsidP="000F2EEE">
      <w:pPr>
        <w:tabs>
          <w:tab w:val="left" w:pos="851"/>
        </w:tabs>
        <w:ind w:left="851"/>
        <w:rPr>
          <w:sz w:val="24"/>
          <w:szCs w:val="24"/>
        </w:rPr>
      </w:pPr>
      <w:r w:rsidRPr="000F2EEE">
        <w:rPr>
          <w:sz w:val="24"/>
          <w:szCs w:val="24"/>
        </w:rPr>
        <w:t>Når propaferon blev administreret til raske frivillige, der havde taget propanolol, steg plasmaniveauerne af propranolol med op til 100 %. Dette skyldes sandsynligvis, at propranolol delvist metaboliseres af det samme enzym som proprafenon (CYP2 D6).</w:t>
      </w:r>
    </w:p>
    <w:p w14:paraId="4B75246B" w14:textId="77777777" w:rsidR="000F2EEE" w:rsidRPr="000F2EEE" w:rsidRDefault="000F2EEE" w:rsidP="000F2EEE">
      <w:pPr>
        <w:tabs>
          <w:tab w:val="left" w:pos="851"/>
        </w:tabs>
        <w:ind w:left="851"/>
        <w:rPr>
          <w:sz w:val="24"/>
          <w:szCs w:val="24"/>
        </w:rPr>
      </w:pPr>
      <w:r w:rsidRPr="000F2EEE">
        <w:rPr>
          <w:sz w:val="24"/>
          <w:szCs w:val="24"/>
        </w:rPr>
        <w:t xml:space="preserve">Kombinationen forventes at være vanskelig at håndtere, da propafenon ligeledes har beta-receptorblokerende karakteristika. </w:t>
      </w:r>
    </w:p>
    <w:p w14:paraId="6802ED44" w14:textId="77777777" w:rsidR="000F2EEE" w:rsidRPr="000F2EEE" w:rsidRDefault="000F2EEE" w:rsidP="000F2EEE">
      <w:pPr>
        <w:tabs>
          <w:tab w:val="left" w:pos="851"/>
        </w:tabs>
        <w:ind w:left="851"/>
        <w:rPr>
          <w:i/>
          <w:iCs/>
          <w:sz w:val="24"/>
          <w:szCs w:val="24"/>
        </w:rPr>
      </w:pPr>
    </w:p>
    <w:p w14:paraId="53554615" w14:textId="77777777" w:rsidR="000F2EEE" w:rsidRPr="000F2EEE" w:rsidRDefault="000F2EEE" w:rsidP="000F2EEE">
      <w:pPr>
        <w:tabs>
          <w:tab w:val="left" w:pos="851"/>
        </w:tabs>
        <w:ind w:left="851"/>
        <w:rPr>
          <w:i/>
          <w:iCs/>
          <w:sz w:val="24"/>
          <w:szCs w:val="24"/>
        </w:rPr>
      </w:pPr>
      <w:r w:rsidRPr="000F2EEE">
        <w:rPr>
          <w:i/>
          <w:iCs/>
          <w:sz w:val="24"/>
          <w:szCs w:val="24"/>
        </w:rPr>
        <w:t>Verapamil:</w:t>
      </w:r>
    </w:p>
    <w:p w14:paraId="096E818D" w14:textId="77777777" w:rsidR="000F2EEE" w:rsidRPr="000F2EEE" w:rsidRDefault="000F2EEE" w:rsidP="000F2EEE">
      <w:pPr>
        <w:tabs>
          <w:tab w:val="left" w:pos="851"/>
        </w:tabs>
        <w:ind w:left="851"/>
        <w:rPr>
          <w:sz w:val="24"/>
          <w:szCs w:val="24"/>
        </w:rPr>
      </w:pPr>
      <w:r w:rsidRPr="000F2EEE">
        <w:rPr>
          <w:sz w:val="24"/>
          <w:szCs w:val="24"/>
        </w:rPr>
        <w:t>I kombination med beta</w:t>
      </w:r>
      <w:r w:rsidRPr="000F2EEE">
        <w:rPr>
          <w:sz w:val="24"/>
          <w:szCs w:val="24"/>
        </w:rPr>
        <w:noBreakHyphen/>
        <w:t>receptorblokkere (atenolol, propranolol og pindolol) kan verapamil forårsage bradykardi og ortostatisk hypotension. Kombinationen bør undgås, især hos patienter med kardiologisk dekompensation. Calciumantagonister og betablokkere har additive negative virkninger på AV</w:t>
      </w:r>
      <w:r w:rsidRPr="000F2EEE">
        <w:rPr>
          <w:sz w:val="24"/>
          <w:szCs w:val="24"/>
        </w:rPr>
        <w:noBreakHyphen/>
        <w:t>overledning og sinusknudefunktion.</w:t>
      </w:r>
    </w:p>
    <w:p w14:paraId="6F6CC39B" w14:textId="77777777" w:rsidR="000F2EEE" w:rsidRPr="000F2EEE" w:rsidRDefault="000F2EEE" w:rsidP="000F2EEE">
      <w:pPr>
        <w:tabs>
          <w:tab w:val="left" w:pos="851"/>
        </w:tabs>
        <w:ind w:left="851"/>
        <w:rPr>
          <w:sz w:val="24"/>
          <w:szCs w:val="24"/>
        </w:rPr>
      </w:pPr>
    </w:p>
    <w:p w14:paraId="3A98F2CA" w14:textId="77777777" w:rsidR="000F2EEE" w:rsidRPr="000F2EEE" w:rsidRDefault="000F2EEE" w:rsidP="000F2EEE">
      <w:pPr>
        <w:tabs>
          <w:tab w:val="left" w:pos="851"/>
        </w:tabs>
        <w:ind w:left="851"/>
        <w:rPr>
          <w:sz w:val="24"/>
          <w:szCs w:val="24"/>
        </w:rPr>
      </w:pPr>
      <w:r w:rsidRPr="000F2EEE">
        <w:rPr>
          <w:sz w:val="24"/>
          <w:szCs w:val="24"/>
          <w:u w:val="single"/>
        </w:rPr>
        <w:t xml:space="preserve">Følgende kombinationer med Propranolol "Medical Valley" kan kræve dosisjustering </w:t>
      </w:r>
    </w:p>
    <w:p w14:paraId="35CFA1A1" w14:textId="77777777" w:rsidR="000F2EEE" w:rsidRDefault="000F2EEE" w:rsidP="000F2EEE">
      <w:pPr>
        <w:tabs>
          <w:tab w:val="left" w:pos="851"/>
        </w:tabs>
        <w:ind w:left="851"/>
        <w:rPr>
          <w:i/>
          <w:iCs/>
          <w:sz w:val="24"/>
          <w:szCs w:val="24"/>
        </w:rPr>
      </w:pPr>
    </w:p>
    <w:p w14:paraId="18A7155D" w14:textId="7B6A3DBE" w:rsidR="000F2EEE" w:rsidRPr="000F2EEE" w:rsidRDefault="000F2EEE" w:rsidP="000F2EEE">
      <w:pPr>
        <w:tabs>
          <w:tab w:val="left" w:pos="851"/>
        </w:tabs>
        <w:ind w:left="851"/>
        <w:rPr>
          <w:i/>
          <w:iCs/>
          <w:sz w:val="24"/>
          <w:szCs w:val="24"/>
        </w:rPr>
      </w:pPr>
      <w:r w:rsidRPr="000F2EEE">
        <w:rPr>
          <w:i/>
          <w:iCs/>
          <w:sz w:val="24"/>
          <w:szCs w:val="24"/>
        </w:rPr>
        <w:t>Amiodaron:</w:t>
      </w:r>
    </w:p>
    <w:p w14:paraId="5CEB4C6D" w14:textId="77777777" w:rsidR="000F2EEE" w:rsidRPr="000F2EEE" w:rsidRDefault="000F2EEE" w:rsidP="000F2EEE">
      <w:pPr>
        <w:tabs>
          <w:tab w:val="left" w:pos="851"/>
        </w:tabs>
        <w:ind w:left="851"/>
        <w:rPr>
          <w:sz w:val="24"/>
          <w:szCs w:val="24"/>
        </w:rPr>
      </w:pPr>
      <w:r w:rsidRPr="000F2EEE">
        <w:rPr>
          <w:sz w:val="24"/>
          <w:szCs w:val="24"/>
        </w:rPr>
        <w:t>Nogle få studierapporter indikerer, at patienter behandlet med amiodaron kan få signifikant sinusbradykardi ved samtidig behandling med propranolol. Amidaron har en yderst lang halveringstid (ca. 50 dage), hvilket betyder, at interaktioner kan forekomme længe efter ophør af behandlingen.</w:t>
      </w:r>
    </w:p>
    <w:p w14:paraId="49DFE1EA" w14:textId="77777777" w:rsidR="000F2EEE" w:rsidRPr="000F2EEE" w:rsidRDefault="000F2EEE" w:rsidP="000F2EEE">
      <w:pPr>
        <w:tabs>
          <w:tab w:val="left" w:pos="851"/>
        </w:tabs>
        <w:ind w:left="851"/>
        <w:rPr>
          <w:sz w:val="24"/>
          <w:szCs w:val="24"/>
        </w:rPr>
      </w:pPr>
    </w:p>
    <w:p w14:paraId="2CEAB290" w14:textId="77777777" w:rsidR="000F2EEE" w:rsidRPr="000F2EEE" w:rsidRDefault="000F2EEE" w:rsidP="000F2EEE">
      <w:pPr>
        <w:tabs>
          <w:tab w:val="left" w:pos="851"/>
        </w:tabs>
        <w:ind w:left="851"/>
        <w:rPr>
          <w:i/>
          <w:iCs/>
          <w:sz w:val="24"/>
          <w:szCs w:val="24"/>
        </w:rPr>
      </w:pPr>
      <w:r w:rsidRPr="000F2EEE">
        <w:rPr>
          <w:i/>
          <w:iCs/>
          <w:sz w:val="24"/>
          <w:szCs w:val="24"/>
        </w:rPr>
        <w:t>Klasse I</w:t>
      </w:r>
      <w:r w:rsidRPr="000F2EEE">
        <w:rPr>
          <w:i/>
          <w:iCs/>
          <w:sz w:val="24"/>
          <w:szCs w:val="24"/>
        </w:rPr>
        <w:noBreakHyphen/>
        <w:t>antiarytmiske lægemidler:</w:t>
      </w:r>
    </w:p>
    <w:p w14:paraId="42D10F03" w14:textId="77777777" w:rsidR="000F2EEE" w:rsidRPr="000F2EEE" w:rsidRDefault="000F2EEE" w:rsidP="000F2EEE">
      <w:pPr>
        <w:tabs>
          <w:tab w:val="left" w:pos="851"/>
        </w:tabs>
        <w:ind w:left="851"/>
        <w:rPr>
          <w:sz w:val="24"/>
          <w:szCs w:val="24"/>
        </w:rPr>
      </w:pPr>
      <w:r w:rsidRPr="000F2EEE">
        <w:rPr>
          <w:sz w:val="24"/>
          <w:szCs w:val="24"/>
        </w:rPr>
        <w:t>Klasse I</w:t>
      </w:r>
      <w:r w:rsidRPr="000F2EEE">
        <w:rPr>
          <w:sz w:val="24"/>
          <w:szCs w:val="24"/>
        </w:rPr>
        <w:noBreakHyphen/>
        <w:t>antiarytmiske lægemidler og beta</w:t>
      </w:r>
      <w:r w:rsidRPr="000F2EEE">
        <w:rPr>
          <w:sz w:val="24"/>
          <w:szCs w:val="24"/>
        </w:rPr>
        <w:noBreakHyphen/>
        <w:t>blokkere har additive negative inotrope virkninger, hvilket kan medføre svære hæmodynamiske bivirkninger hos patienter med venstre ventrikel dysfunktion. Kombinationen bør ligeledes undgås i tilfælde af ”syg sinussyndrom” og patologisk AV</w:t>
      </w:r>
      <w:r w:rsidRPr="000F2EEE">
        <w:rPr>
          <w:sz w:val="24"/>
          <w:szCs w:val="24"/>
        </w:rPr>
        <w:noBreakHyphen/>
        <w:t xml:space="preserve">overledning. Interaktionen er veldokumenteret ved disopyramid. </w:t>
      </w:r>
    </w:p>
    <w:p w14:paraId="6939B19E" w14:textId="77777777" w:rsidR="000F2EEE" w:rsidRPr="000F2EEE" w:rsidRDefault="000F2EEE" w:rsidP="000F2EEE">
      <w:pPr>
        <w:tabs>
          <w:tab w:val="left" w:pos="851"/>
        </w:tabs>
        <w:ind w:left="851"/>
        <w:rPr>
          <w:sz w:val="24"/>
          <w:szCs w:val="24"/>
        </w:rPr>
      </w:pPr>
    </w:p>
    <w:p w14:paraId="655FD7D5" w14:textId="77777777" w:rsidR="000F2EEE" w:rsidRPr="000F2EEE" w:rsidRDefault="000F2EEE" w:rsidP="000F2EEE">
      <w:pPr>
        <w:tabs>
          <w:tab w:val="left" w:pos="851"/>
        </w:tabs>
        <w:ind w:left="851"/>
        <w:rPr>
          <w:i/>
          <w:iCs/>
          <w:sz w:val="24"/>
          <w:szCs w:val="24"/>
        </w:rPr>
      </w:pPr>
      <w:r w:rsidRPr="000F2EEE">
        <w:rPr>
          <w:i/>
          <w:iCs/>
          <w:sz w:val="24"/>
          <w:szCs w:val="24"/>
        </w:rPr>
        <w:t>Nonsteroide antiinflammatoriske/antireumatiske lægemidler (NSAID):</w:t>
      </w:r>
    </w:p>
    <w:p w14:paraId="28E7F3A0" w14:textId="77777777" w:rsidR="000F2EEE" w:rsidRPr="000F2EEE" w:rsidRDefault="000F2EEE" w:rsidP="000F2EEE">
      <w:pPr>
        <w:tabs>
          <w:tab w:val="left" w:pos="851"/>
        </w:tabs>
        <w:ind w:left="851"/>
        <w:rPr>
          <w:sz w:val="24"/>
          <w:szCs w:val="24"/>
        </w:rPr>
      </w:pPr>
      <w:r w:rsidRPr="000F2EEE">
        <w:rPr>
          <w:sz w:val="24"/>
          <w:szCs w:val="24"/>
        </w:rPr>
        <w:t>Antiinflammatoriske lægemidler af NSAID</w:t>
      </w:r>
      <w:r w:rsidRPr="000F2EEE">
        <w:rPr>
          <w:sz w:val="24"/>
          <w:szCs w:val="24"/>
        </w:rPr>
        <w:noBreakHyphen/>
        <w:t>typen modvirker den antihypertensive virkning af beta</w:t>
      </w:r>
      <w:r w:rsidRPr="000F2EEE">
        <w:rPr>
          <w:sz w:val="24"/>
          <w:szCs w:val="24"/>
        </w:rPr>
        <w:noBreakHyphen/>
        <w:t>receptorblokkere. Dette er primært blevet undersøgt for indometacin. Denne interaktion synes ikke at forekomme for sulindac. En sådan interaktion kunne ikke påvises i et studie for diclofenac. Der foreligger ingen data for COX</w:t>
      </w:r>
      <w:r w:rsidRPr="000F2EEE">
        <w:rPr>
          <w:sz w:val="24"/>
          <w:szCs w:val="24"/>
        </w:rPr>
        <w:noBreakHyphen/>
        <w:t xml:space="preserve">2 hæmmere. </w:t>
      </w:r>
    </w:p>
    <w:p w14:paraId="657A1485" w14:textId="77777777" w:rsidR="000F2EEE" w:rsidRPr="000F2EEE" w:rsidRDefault="000F2EEE" w:rsidP="000F2EEE">
      <w:pPr>
        <w:tabs>
          <w:tab w:val="left" w:pos="851"/>
        </w:tabs>
        <w:ind w:left="851"/>
        <w:rPr>
          <w:i/>
          <w:iCs/>
          <w:sz w:val="24"/>
          <w:szCs w:val="24"/>
        </w:rPr>
      </w:pPr>
    </w:p>
    <w:p w14:paraId="17721287" w14:textId="77777777" w:rsidR="000F2EEE" w:rsidRPr="000F2EEE" w:rsidRDefault="000F2EEE" w:rsidP="000F2EEE">
      <w:pPr>
        <w:tabs>
          <w:tab w:val="left" w:pos="851"/>
        </w:tabs>
        <w:ind w:left="851"/>
        <w:rPr>
          <w:i/>
          <w:iCs/>
          <w:sz w:val="24"/>
          <w:szCs w:val="24"/>
        </w:rPr>
      </w:pPr>
      <w:r w:rsidRPr="000F2EEE">
        <w:rPr>
          <w:i/>
          <w:iCs/>
          <w:sz w:val="24"/>
          <w:szCs w:val="24"/>
        </w:rPr>
        <w:t>Cimetidin:</w:t>
      </w:r>
    </w:p>
    <w:p w14:paraId="0E3D8137" w14:textId="77777777" w:rsidR="000F2EEE" w:rsidRPr="000F2EEE" w:rsidRDefault="000F2EEE" w:rsidP="000F2EEE">
      <w:pPr>
        <w:tabs>
          <w:tab w:val="left" w:pos="851"/>
        </w:tabs>
        <w:ind w:left="851"/>
        <w:rPr>
          <w:sz w:val="24"/>
          <w:szCs w:val="24"/>
        </w:rPr>
      </w:pPr>
      <w:r w:rsidRPr="000F2EEE">
        <w:rPr>
          <w:sz w:val="24"/>
          <w:szCs w:val="24"/>
        </w:rPr>
        <w:t xml:space="preserve">Cimetidin øger plasmaniveauet af propranolol, sansynligvis ved at hæmme dets </w:t>
      </w:r>
      <w:r w:rsidRPr="000F2EEE">
        <w:rPr>
          <w:i/>
          <w:iCs/>
          <w:sz w:val="24"/>
          <w:szCs w:val="24"/>
        </w:rPr>
        <w:t>first pass</w:t>
      </w:r>
      <w:r w:rsidRPr="000F2EEE">
        <w:rPr>
          <w:sz w:val="24"/>
          <w:szCs w:val="24"/>
        </w:rPr>
        <w:t xml:space="preserve"> metabolisme.</w:t>
      </w:r>
    </w:p>
    <w:p w14:paraId="6892C8FC" w14:textId="77777777" w:rsidR="000F2EEE" w:rsidRPr="000F2EEE" w:rsidRDefault="000F2EEE" w:rsidP="000F2EEE">
      <w:pPr>
        <w:tabs>
          <w:tab w:val="left" w:pos="851"/>
        </w:tabs>
        <w:ind w:left="851"/>
        <w:rPr>
          <w:sz w:val="24"/>
          <w:szCs w:val="24"/>
        </w:rPr>
      </w:pPr>
      <w:r w:rsidRPr="000F2EEE">
        <w:rPr>
          <w:sz w:val="24"/>
          <w:szCs w:val="24"/>
        </w:rPr>
        <w:t>Der kan være risiko for eksempelvis bradykardi ved uændret oral dosering.</w:t>
      </w:r>
    </w:p>
    <w:p w14:paraId="6235599D" w14:textId="77777777" w:rsidR="000F2EEE" w:rsidRPr="000F2EEE" w:rsidRDefault="000F2EEE" w:rsidP="000F2EEE">
      <w:pPr>
        <w:tabs>
          <w:tab w:val="left" w:pos="851"/>
        </w:tabs>
        <w:ind w:left="851"/>
        <w:rPr>
          <w:sz w:val="24"/>
          <w:szCs w:val="24"/>
        </w:rPr>
      </w:pPr>
    </w:p>
    <w:p w14:paraId="33BBD5B8" w14:textId="77777777" w:rsidR="000F2EEE" w:rsidRPr="000F2EEE" w:rsidRDefault="000F2EEE" w:rsidP="000F2EEE">
      <w:pPr>
        <w:tabs>
          <w:tab w:val="left" w:pos="851"/>
        </w:tabs>
        <w:ind w:left="851"/>
        <w:rPr>
          <w:i/>
          <w:iCs/>
          <w:sz w:val="24"/>
          <w:szCs w:val="24"/>
        </w:rPr>
      </w:pPr>
      <w:r w:rsidRPr="000F2EEE">
        <w:rPr>
          <w:i/>
          <w:iCs/>
          <w:sz w:val="24"/>
          <w:szCs w:val="24"/>
        </w:rPr>
        <w:t>Diltiazem:</w:t>
      </w:r>
    </w:p>
    <w:p w14:paraId="4802CD15" w14:textId="77777777" w:rsidR="000F2EEE" w:rsidRPr="000F2EEE" w:rsidRDefault="000F2EEE" w:rsidP="000F2EEE">
      <w:pPr>
        <w:tabs>
          <w:tab w:val="left" w:pos="851"/>
        </w:tabs>
        <w:ind w:left="851"/>
        <w:rPr>
          <w:sz w:val="24"/>
          <w:szCs w:val="24"/>
        </w:rPr>
      </w:pPr>
      <w:r w:rsidRPr="000F2EEE">
        <w:rPr>
          <w:sz w:val="24"/>
          <w:szCs w:val="24"/>
        </w:rPr>
        <w:t>Calciumkanalantagonister og beta</w:t>
      </w:r>
      <w:r w:rsidRPr="000F2EEE">
        <w:rPr>
          <w:sz w:val="24"/>
          <w:szCs w:val="24"/>
        </w:rPr>
        <w:noBreakHyphen/>
        <w:t>blokkere har additive negative indvirkninger på AV</w:t>
      </w:r>
      <w:r w:rsidRPr="000F2EEE">
        <w:rPr>
          <w:sz w:val="24"/>
          <w:szCs w:val="24"/>
        </w:rPr>
        <w:noBreakHyphen/>
        <w:t xml:space="preserve">overledning og sinusknudefunktionen. Udtalt bradykardi er observeret i tilfælde med samtidig anvendelse af diltiazem. </w:t>
      </w:r>
    </w:p>
    <w:p w14:paraId="2E828548" w14:textId="77777777" w:rsidR="000F2EEE" w:rsidRPr="000F2EEE" w:rsidRDefault="000F2EEE" w:rsidP="000F2EEE">
      <w:pPr>
        <w:tabs>
          <w:tab w:val="left" w:pos="851"/>
        </w:tabs>
        <w:ind w:left="851"/>
        <w:rPr>
          <w:sz w:val="24"/>
          <w:szCs w:val="24"/>
        </w:rPr>
      </w:pPr>
    </w:p>
    <w:p w14:paraId="603FEF26" w14:textId="77777777" w:rsidR="000F2EEE" w:rsidRPr="000F2EEE" w:rsidRDefault="000F2EEE" w:rsidP="000F2EEE">
      <w:pPr>
        <w:tabs>
          <w:tab w:val="left" w:pos="851"/>
        </w:tabs>
        <w:ind w:left="851"/>
        <w:rPr>
          <w:i/>
          <w:iCs/>
          <w:sz w:val="24"/>
          <w:szCs w:val="24"/>
        </w:rPr>
      </w:pPr>
      <w:r w:rsidRPr="000F2EEE">
        <w:rPr>
          <w:i/>
          <w:iCs/>
          <w:sz w:val="24"/>
          <w:szCs w:val="24"/>
        </w:rPr>
        <w:t>Epinephrin:</w:t>
      </w:r>
    </w:p>
    <w:p w14:paraId="0FC67666" w14:textId="77777777" w:rsidR="000F2EEE" w:rsidRPr="000F2EEE" w:rsidRDefault="000F2EEE" w:rsidP="000F2EEE">
      <w:pPr>
        <w:tabs>
          <w:tab w:val="left" w:pos="851"/>
        </w:tabs>
        <w:ind w:left="851"/>
        <w:rPr>
          <w:sz w:val="24"/>
          <w:szCs w:val="24"/>
        </w:rPr>
      </w:pPr>
      <w:r w:rsidRPr="000F2EEE">
        <w:rPr>
          <w:sz w:val="24"/>
          <w:szCs w:val="24"/>
        </w:rPr>
        <w:t>Der foreligger omkring ti rapporter om svær hypertension og bradykardi hos patienter behandlet med non</w:t>
      </w:r>
      <w:r w:rsidRPr="000F2EEE">
        <w:rPr>
          <w:sz w:val="24"/>
          <w:szCs w:val="24"/>
        </w:rPr>
        <w:noBreakHyphen/>
        <w:t>selektive betablokkere (f.eks. pindolol og propranolol) under samtidig behandling med epinephrin (adrenalin). Disse kliniske observationer er blevet bekræftet i studier med raske frivillige. Der er ligeledes indikation for, at intravaskulær administration af epinephrin som supplement til lokal anæstesi kan udløse disse reaktioner. Risikoen forventes at være betydeligt mindre ved kardioselektive beta</w:t>
      </w:r>
      <w:r w:rsidRPr="000F2EEE">
        <w:rPr>
          <w:sz w:val="24"/>
          <w:szCs w:val="24"/>
        </w:rPr>
        <w:noBreakHyphen/>
        <w:t>blokkere.</w:t>
      </w:r>
    </w:p>
    <w:p w14:paraId="4BB8E89E" w14:textId="77777777" w:rsidR="000F2EEE" w:rsidRPr="000F2EEE" w:rsidRDefault="000F2EEE" w:rsidP="000F2EEE">
      <w:pPr>
        <w:tabs>
          <w:tab w:val="left" w:pos="851"/>
        </w:tabs>
        <w:ind w:left="851"/>
        <w:rPr>
          <w:sz w:val="24"/>
          <w:szCs w:val="24"/>
        </w:rPr>
      </w:pPr>
    </w:p>
    <w:p w14:paraId="0FC0CCC5" w14:textId="77777777" w:rsidR="000F2EEE" w:rsidRPr="000F2EEE" w:rsidRDefault="000F2EEE" w:rsidP="000F2EEE">
      <w:pPr>
        <w:tabs>
          <w:tab w:val="left" w:pos="851"/>
        </w:tabs>
        <w:ind w:left="851"/>
        <w:rPr>
          <w:i/>
          <w:iCs/>
          <w:sz w:val="24"/>
          <w:szCs w:val="24"/>
        </w:rPr>
      </w:pPr>
      <w:r w:rsidRPr="000F2EEE">
        <w:rPr>
          <w:i/>
          <w:iCs/>
          <w:sz w:val="24"/>
          <w:szCs w:val="24"/>
        </w:rPr>
        <w:t>Phenylpropanolamin:</w:t>
      </w:r>
    </w:p>
    <w:p w14:paraId="727C4D19" w14:textId="77777777" w:rsidR="000F2EEE" w:rsidRPr="000F2EEE" w:rsidRDefault="000F2EEE" w:rsidP="000F2EEE">
      <w:pPr>
        <w:tabs>
          <w:tab w:val="left" w:pos="851"/>
        </w:tabs>
        <w:ind w:left="851"/>
        <w:rPr>
          <w:sz w:val="24"/>
          <w:szCs w:val="24"/>
        </w:rPr>
      </w:pPr>
      <w:r w:rsidRPr="000F2EEE">
        <w:rPr>
          <w:sz w:val="24"/>
          <w:szCs w:val="24"/>
        </w:rPr>
        <w:t>Phenylpropanolamin (norephedrin) i enkeltdoser på 50 mg kan øge det diastoliske blodtryk til patologiske værdier hos raske frivillige. Propranolol modvirker generelt blodtryksstigningen udløst af phenylpropanolamin. Beta</w:t>
      </w:r>
      <w:r w:rsidRPr="000F2EEE">
        <w:rPr>
          <w:sz w:val="24"/>
          <w:szCs w:val="24"/>
        </w:rPr>
        <w:noBreakHyphen/>
        <w:t>receptorblokker kan imidlertid udløse paradoksale hypertensive reaktioner hos patienter, der tager høje doser af phenylpropanolamin. Under behandling med phenylpropanolamin alene er der rapporteret om enkelte tilfælde af hypertensive kriser.</w:t>
      </w:r>
    </w:p>
    <w:p w14:paraId="25A6A661" w14:textId="77777777" w:rsidR="000F2EEE" w:rsidRPr="000F2EEE" w:rsidRDefault="000F2EEE" w:rsidP="000F2EEE">
      <w:pPr>
        <w:tabs>
          <w:tab w:val="left" w:pos="851"/>
        </w:tabs>
        <w:ind w:left="851"/>
        <w:rPr>
          <w:sz w:val="24"/>
          <w:szCs w:val="24"/>
        </w:rPr>
      </w:pPr>
    </w:p>
    <w:p w14:paraId="0549991B" w14:textId="77777777" w:rsidR="000F2EEE" w:rsidRPr="000F2EEE" w:rsidRDefault="000F2EEE" w:rsidP="000F2EEE">
      <w:pPr>
        <w:tabs>
          <w:tab w:val="left" w:pos="851"/>
        </w:tabs>
        <w:ind w:left="851"/>
        <w:rPr>
          <w:i/>
          <w:iCs/>
          <w:sz w:val="24"/>
          <w:szCs w:val="24"/>
        </w:rPr>
      </w:pPr>
      <w:r w:rsidRPr="000F2EEE">
        <w:rPr>
          <w:i/>
          <w:iCs/>
          <w:sz w:val="24"/>
          <w:szCs w:val="24"/>
        </w:rPr>
        <w:t>Fluvoxamin:</w:t>
      </w:r>
    </w:p>
    <w:p w14:paraId="73834752" w14:textId="77777777" w:rsidR="000F2EEE" w:rsidRPr="000F2EEE" w:rsidRDefault="000F2EEE" w:rsidP="000F2EEE">
      <w:pPr>
        <w:tabs>
          <w:tab w:val="left" w:pos="851"/>
        </w:tabs>
        <w:ind w:left="851"/>
        <w:rPr>
          <w:sz w:val="24"/>
          <w:szCs w:val="24"/>
        </w:rPr>
      </w:pPr>
      <w:r w:rsidRPr="000F2EEE">
        <w:rPr>
          <w:sz w:val="24"/>
          <w:szCs w:val="24"/>
        </w:rPr>
        <w:t xml:space="preserve">Behandling med fluvoxamin kan hæmme metabolismen og forårsage stærkt øgede plasmaniveauer af propranolol. </w:t>
      </w:r>
    </w:p>
    <w:p w14:paraId="0E53FC91" w14:textId="77777777" w:rsidR="000F2EEE" w:rsidRPr="000F2EEE" w:rsidRDefault="000F2EEE" w:rsidP="000F2EEE">
      <w:pPr>
        <w:tabs>
          <w:tab w:val="left" w:pos="851"/>
        </w:tabs>
        <w:ind w:left="851"/>
        <w:rPr>
          <w:sz w:val="24"/>
          <w:szCs w:val="24"/>
        </w:rPr>
      </w:pPr>
    </w:p>
    <w:p w14:paraId="470D102E" w14:textId="77777777" w:rsidR="000F2EEE" w:rsidRPr="000F2EEE" w:rsidRDefault="000F2EEE" w:rsidP="000F2EEE">
      <w:pPr>
        <w:tabs>
          <w:tab w:val="left" w:pos="851"/>
        </w:tabs>
        <w:ind w:left="851"/>
        <w:rPr>
          <w:i/>
          <w:iCs/>
          <w:sz w:val="24"/>
          <w:szCs w:val="24"/>
        </w:rPr>
      </w:pPr>
      <w:r w:rsidRPr="000F2EEE">
        <w:rPr>
          <w:i/>
          <w:iCs/>
          <w:sz w:val="24"/>
          <w:szCs w:val="24"/>
        </w:rPr>
        <w:t xml:space="preserve">Kinidin: </w:t>
      </w:r>
    </w:p>
    <w:p w14:paraId="5B3295D1" w14:textId="77777777" w:rsidR="000F2EEE" w:rsidRPr="000F2EEE" w:rsidRDefault="000F2EEE" w:rsidP="000F2EEE">
      <w:pPr>
        <w:tabs>
          <w:tab w:val="left" w:pos="851"/>
        </w:tabs>
        <w:ind w:left="851"/>
        <w:rPr>
          <w:sz w:val="24"/>
          <w:szCs w:val="24"/>
        </w:rPr>
      </w:pPr>
      <w:r w:rsidRPr="000F2EEE">
        <w:rPr>
          <w:sz w:val="24"/>
          <w:szCs w:val="24"/>
        </w:rPr>
        <w:t>Der er rapporteret om ét tilfælde, hvor ortostatisk hypotension udviklede sig under samtidig behandling med kinidin og propranolol. Virkning blev tilskrevet kinidins alpha</w:t>
      </w:r>
      <w:r w:rsidRPr="000F2EEE">
        <w:rPr>
          <w:sz w:val="24"/>
          <w:szCs w:val="24"/>
        </w:rPr>
        <w:noBreakHyphen/>
        <w:t>receptorblokerende egenskaber. Kinidin har for nyligt vist sig at hæmme propranolols metabolisme, hvilket både forårsager stigninger i plasmakoncentrationerne og øget beta</w:t>
      </w:r>
      <w:r w:rsidRPr="000F2EEE">
        <w:rPr>
          <w:sz w:val="24"/>
          <w:szCs w:val="24"/>
        </w:rPr>
        <w:noBreakHyphen/>
        <w:t xml:space="preserve">blokering. Propranolol-dosis bør derfor reduceres ved opstart af behandling med kinidin. </w:t>
      </w:r>
    </w:p>
    <w:p w14:paraId="3EAA5C5A" w14:textId="77777777" w:rsidR="000F2EEE" w:rsidRPr="000F2EEE" w:rsidRDefault="000F2EEE" w:rsidP="000F2EEE">
      <w:pPr>
        <w:tabs>
          <w:tab w:val="left" w:pos="851"/>
        </w:tabs>
        <w:ind w:left="851"/>
        <w:rPr>
          <w:sz w:val="24"/>
          <w:szCs w:val="24"/>
        </w:rPr>
      </w:pPr>
    </w:p>
    <w:p w14:paraId="28A5B1FA" w14:textId="77777777" w:rsidR="000F2EEE" w:rsidRPr="000F2EEE" w:rsidRDefault="000F2EEE" w:rsidP="000F2EEE">
      <w:pPr>
        <w:tabs>
          <w:tab w:val="left" w:pos="851"/>
        </w:tabs>
        <w:ind w:left="851"/>
        <w:rPr>
          <w:i/>
          <w:iCs/>
          <w:sz w:val="24"/>
          <w:szCs w:val="24"/>
        </w:rPr>
      </w:pPr>
      <w:r w:rsidRPr="000F2EEE">
        <w:rPr>
          <w:i/>
          <w:iCs/>
          <w:sz w:val="24"/>
          <w:szCs w:val="24"/>
        </w:rPr>
        <w:t>Clonidin:</w:t>
      </w:r>
    </w:p>
    <w:p w14:paraId="77A99005" w14:textId="77777777" w:rsidR="000F2EEE" w:rsidRPr="000F2EEE" w:rsidRDefault="000F2EEE" w:rsidP="000F2EEE">
      <w:pPr>
        <w:tabs>
          <w:tab w:val="left" w:pos="851"/>
        </w:tabs>
        <w:ind w:left="851"/>
        <w:rPr>
          <w:sz w:val="24"/>
          <w:szCs w:val="24"/>
        </w:rPr>
      </w:pPr>
      <w:r w:rsidRPr="000F2EEE">
        <w:rPr>
          <w:sz w:val="24"/>
          <w:szCs w:val="24"/>
        </w:rPr>
        <w:t>Hypertensive reaktioner kan forøges af beta</w:t>
      </w:r>
      <w:r w:rsidRPr="000F2EEE">
        <w:rPr>
          <w:sz w:val="24"/>
          <w:szCs w:val="24"/>
        </w:rPr>
        <w:noBreakHyphen/>
        <w:t xml:space="preserve">blokkere ved pludselig seponering af clonidin. </w:t>
      </w:r>
    </w:p>
    <w:p w14:paraId="3F07059B" w14:textId="77777777" w:rsidR="000F2EEE" w:rsidRPr="000F2EEE" w:rsidRDefault="000F2EEE" w:rsidP="000F2EEE">
      <w:pPr>
        <w:tabs>
          <w:tab w:val="left" w:pos="851"/>
        </w:tabs>
        <w:ind w:left="851"/>
        <w:rPr>
          <w:sz w:val="24"/>
          <w:szCs w:val="24"/>
        </w:rPr>
      </w:pPr>
    </w:p>
    <w:p w14:paraId="0B6ED378" w14:textId="77777777" w:rsidR="000F2EEE" w:rsidRPr="000F2EEE" w:rsidRDefault="000F2EEE" w:rsidP="000F2EEE">
      <w:pPr>
        <w:tabs>
          <w:tab w:val="left" w:pos="851"/>
        </w:tabs>
        <w:ind w:left="851"/>
        <w:rPr>
          <w:i/>
          <w:iCs/>
          <w:sz w:val="24"/>
          <w:szCs w:val="24"/>
        </w:rPr>
      </w:pPr>
      <w:r w:rsidRPr="000F2EEE">
        <w:rPr>
          <w:i/>
          <w:iCs/>
          <w:sz w:val="24"/>
          <w:szCs w:val="24"/>
        </w:rPr>
        <w:t xml:space="preserve">Chlorpromazin: </w:t>
      </w:r>
    </w:p>
    <w:p w14:paraId="35B35300" w14:textId="77777777" w:rsidR="000F2EEE" w:rsidRPr="000F2EEE" w:rsidRDefault="000F2EEE" w:rsidP="000F2EEE">
      <w:pPr>
        <w:tabs>
          <w:tab w:val="left" w:pos="851"/>
        </w:tabs>
        <w:ind w:left="851"/>
        <w:rPr>
          <w:sz w:val="24"/>
          <w:szCs w:val="24"/>
        </w:rPr>
      </w:pPr>
      <w:r w:rsidRPr="000F2EEE">
        <w:rPr>
          <w:sz w:val="24"/>
          <w:szCs w:val="24"/>
        </w:rPr>
        <w:t xml:space="preserve">Chlorpromazin kan hæmme metaboliseringen af propranolol og derved forstærke dets virkning på hjertefrekvens og blodtryk. Der er rapporteret om ét tilfælde af markant </w:t>
      </w:r>
      <w:r w:rsidRPr="000F2EEE">
        <w:rPr>
          <w:sz w:val="24"/>
          <w:szCs w:val="24"/>
        </w:rPr>
        <w:lastRenderedPageBreak/>
        <w:t xml:space="preserve">blodtryksfald. Propronalol kan samtidig hæmme metaboliseringen af chlorpromazin og derved øge dets biotilgængelighed. Interaktionerne ses ved oral administration. </w:t>
      </w:r>
    </w:p>
    <w:p w14:paraId="3B83E784" w14:textId="77777777" w:rsidR="000F2EEE" w:rsidRPr="000F2EEE" w:rsidRDefault="000F2EEE" w:rsidP="000F2EEE">
      <w:pPr>
        <w:tabs>
          <w:tab w:val="left" w:pos="851"/>
        </w:tabs>
        <w:ind w:left="851"/>
        <w:rPr>
          <w:sz w:val="24"/>
          <w:szCs w:val="24"/>
        </w:rPr>
      </w:pPr>
    </w:p>
    <w:p w14:paraId="4E55757D" w14:textId="77777777" w:rsidR="000F2EEE" w:rsidRPr="000F2EEE" w:rsidRDefault="000F2EEE" w:rsidP="000F2EEE">
      <w:pPr>
        <w:tabs>
          <w:tab w:val="left" w:pos="851"/>
        </w:tabs>
        <w:ind w:left="851"/>
        <w:rPr>
          <w:i/>
          <w:iCs/>
          <w:sz w:val="24"/>
          <w:szCs w:val="24"/>
        </w:rPr>
      </w:pPr>
      <w:r w:rsidRPr="000F2EEE">
        <w:rPr>
          <w:i/>
          <w:iCs/>
          <w:sz w:val="24"/>
          <w:szCs w:val="24"/>
        </w:rPr>
        <w:t xml:space="preserve">Lidocain: </w:t>
      </w:r>
    </w:p>
    <w:p w14:paraId="3F8921A3" w14:textId="77777777" w:rsidR="000F2EEE" w:rsidRPr="000F2EEE" w:rsidRDefault="000F2EEE" w:rsidP="000F2EEE">
      <w:pPr>
        <w:tabs>
          <w:tab w:val="left" w:pos="851"/>
        </w:tabs>
        <w:ind w:left="851"/>
        <w:rPr>
          <w:sz w:val="24"/>
          <w:szCs w:val="24"/>
        </w:rPr>
      </w:pPr>
      <w:r w:rsidRPr="000F2EEE">
        <w:rPr>
          <w:sz w:val="24"/>
          <w:szCs w:val="24"/>
        </w:rPr>
        <w:t xml:space="preserve">Administration af propranolol under lidokaininfusion kan øge plasmakoncentrationen af lidocain med omkring 30 %. Patienter, der allerede får propranolol, tenderer til at have højere niveauer af lidocain end kontrolgruppen. </w:t>
      </w:r>
    </w:p>
    <w:p w14:paraId="0ADC5345" w14:textId="77777777" w:rsidR="000F2EEE" w:rsidRPr="000F2EEE" w:rsidRDefault="000F2EEE" w:rsidP="000F2EEE">
      <w:pPr>
        <w:tabs>
          <w:tab w:val="left" w:pos="851"/>
        </w:tabs>
        <w:ind w:left="851"/>
        <w:rPr>
          <w:sz w:val="24"/>
          <w:szCs w:val="24"/>
        </w:rPr>
      </w:pPr>
    </w:p>
    <w:p w14:paraId="41732481" w14:textId="77777777" w:rsidR="000F2EEE" w:rsidRPr="000F2EEE" w:rsidRDefault="000F2EEE" w:rsidP="000F2EEE">
      <w:pPr>
        <w:tabs>
          <w:tab w:val="left" w:pos="851"/>
        </w:tabs>
        <w:ind w:left="851"/>
        <w:rPr>
          <w:i/>
          <w:iCs/>
          <w:sz w:val="24"/>
          <w:szCs w:val="24"/>
        </w:rPr>
      </w:pPr>
      <w:r w:rsidRPr="000F2EEE">
        <w:rPr>
          <w:i/>
          <w:iCs/>
          <w:sz w:val="24"/>
          <w:szCs w:val="24"/>
        </w:rPr>
        <w:t xml:space="preserve">Rifampicin: </w:t>
      </w:r>
    </w:p>
    <w:p w14:paraId="794C49AB" w14:textId="77777777" w:rsidR="000F2EEE" w:rsidRPr="000F2EEE" w:rsidRDefault="000F2EEE" w:rsidP="000F2EEE">
      <w:pPr>
        <w:tabs>
          <w:tab w:val="left" w:pos="851"/>
        </w:tabs>
        <w:ind w:left="851"/>
        <w:rPr>
          <w:sz w:val="24"/>
          <w:szCs w:val="24"/>
        </w:rPr>
      </w:pPr>
      <w:r w:rsidRPr="000F2EEE">
        <w:rPr>
          <w:sz w:val="24"/>
          <w:szCs w:val="24"/>
        </w:rPr>
        <w:t>Rifampicin øger propranolols metabolisering. Dette kan føre til lavere plasmaniveauer end normalt og lavere beta</w:t>
      </w:r>
      <w:r w:rsidRPr="000F2EEE">
        <w:rPr>
          <w:sz w:val="24"/>
          <w:szCs w:val="24"/>
        </w:rPr>
        <w:noBreakHyphen/>
        <w:t xml:space="preserve">blokering. </w:t>
      </w:r>
    </w:p>
    <w:p w14:paraId="7EB31908" w14:textId="77777777" w:rsidR="000F2EEE" w:rsidRPr="000F2EEE" w:rsidRDefault="000F2EEE" w:rsidP="000F2EEE">
      <w:pPr>
        <w:tabs>
          <w:tab w:val="left" w:pos="851"/>
        </w:tabs>
        <w:ind w:left="851"/>
        <w:rPr>
          <w:sz w:val="24"/>
          <w:szCs w:val="24"/>
        </w:rPr>
      </w:pPr>
    </w:p>
    <w:p w14:paraId="37D4481C" w14:textId="77777777" w:rsidR="000F2EEE" w:rsidRPr="000F2EEE" w:rsidRDefault="000F2EEE" w:rsidP="000F2EEE">
      <w:pPr>
        <w:tabs>
          <w:tab w:val="left" w:pos="851"/>
        </w:tabs>
        <w:ind w:left="851"/>
        <w:rPr>
          <w:i/>
          <w:iCs/>
          <w:sz w:val="24"/>
          <w:szCs w:val="24"/>
        </w:rPr>
      </w:pPr>
      <w:r w:rsidRPr="000F2EEE">
        <w:rPr>
          <w:i/>
          <w:iCs/>
          <w:sz w:val="24"/>
          <w:szCs w:val="24"/>
        </w:rPr>
        <w:t xml:space="preserve">Rizatriptan: </w:t>
      </w:r>
    </w:p>
    <w:p w14:paraId="65DF2BEB" w14:textId="77777777" w:rsidR="000F2EEE" w:rsidRPr="000F2EEE" w:rsidRDefault="000F2EEE" w:rsidP="000F2EEE">
      <w:pPr>
        <w:tabs>
          <w:tab w:val="left" w:pos="851"/>
        </w:tabs>
        <w:ind w:left="851"/>
        <w:rPr>
          <w:sz w:val="24"/>
          <w:szCs w:val="24"/>
        </w:rPr>
      </w:pPr>
      <w:r w:rsidRPr="000F2EEE">
        <w:rPr>
          <w:sz w:val="24"/>
          <w:szCs w:val="24"/>
        </w:rPr>
        <w:t xml:space="preserve">Santidig behandling med propranolol hæmmer </w:t>
      </w:r>
      <w:r w:rsidRPr="000F2EEE">
        <w:rPr>
          <w:i/>
          <w:iCs/>
          <w:sz w:val="24"/>
          <w:szCs w:val="24"/>
        </w:rPr>
        <w:t>first</w:t>
      </w:r>
      <w:r w:rsidRPr="000F2EEE">
        <w:rPr>
          <w:i/>
          <w:iCs/>
          <w:sz w:val="24"/>
          <w:szCs w:val="24"/>
        </w:rPr>
        <w:noBreakHyphen/>
        <w:t xml:space="preserve">pass </w:t>
      </w:r>
      <w:r w:rsidRPr="000F2EEE">
        <w:rPr>
          <w:sz w:val="24"/>
          <w:szCs w:val="24"/>
        </w:rPr>
        <w:t>metabolismen af rizatriptan, hvis AUC øges med 70</w:t>
      </w:r>
      <w:r w:rsidRPr="000F2EEE">
        <w:rPr>
          <w:sz w:val="24"/>
          <w:szCs w:val="24"/>
        </w:rPr>
        <w:noBreakHyphen/>
        <w:t xml:space="preserve">80 %. Der anbefales en dosis på 5 mg rizatriptan ved samtidig behandling med propranolol. Denne interaktion er ikke observeret med metoprolol. </w:t>
      </w:r>
    </w:p>
    <w:p w14:paraId="3DA4B6BB" w14:textId="77777777" w:rsidR="000F2EEE" w:rsidRPr="000F2EEE" w:rsidRDefault="000F2EEE" w:rsidP="000F2EEE">
      <w:pPr>
        <w:tabs>
          <w:tab w:val="left" w:pos="851"/>
        </w:tabs>
        <w:ind w:left="851"/>
        <w:rPr>
          <w:sz w:val="24"/>
          <w:szCs w:val="24"/>
        </w:rPr>
      </w:pPr>
    </w:p>
    <w:p w14:paraId="7302EE09" w14:textId="77777777" w:rsidR="000F2EEE" w:rsidRPr="000F2EEE" w:rsidRDefault="000F2EEE" w:rsidP="000F2EEE">
      <w:pPr>
        <w:tabs>
          <w:tab w:val="left" w:pos="851"/>
        </w:tabs>
        <w:ind w:left="851"/>
        <w:rPr>
          <w:i/>
          <w:iCs/>
          <w:sz w:val="24"/>
          <w:szCs w:val="24"/>
        </w:rPr>
      </w:pPr>
      <w:r w:rsidRPr="000F2EEE">
        <w:rPr>
          <w:i/>
          <w:iCs/>
          <w:sz w:val="24"/>
          <w:szCs w:val="24"/>
        </w:rPr>
        <w:t xml:space="preserve">Theophyllin: </w:t>
      </w:r>
    </w:p>
    <w:p w14:paraId="5272C1C2" w14:textId="77777777" w:rsidR="000F2EEE" w:rsidRPr="000F2EEE" w:rsidRDefault="000F2EEE" w:rsidP="000F2EEE">
      <w:pPr>
        <w:tabs>
          <w:tab w:val="left" w:pos="851"/>
        </w:tabs>
        <w:ind w:left="851"/>
        <w:rPr>
          <w:sz w:val="24"/>
          <w:szCs w:val="24"/>
        </w:rPr>
      </w:pPr>
      <w:r w:rsidRPr="000F2EEE">
        <w:rPr>
          <w:sz w:val="24"/>
          <w:szCs w:val="24"/>
        </w:rPr>
        <w:t xml:space="preserve">Propranolol reducerer theophyllins metaboliske udskillelse med omkring 30 % ved doser på 120 mg/dagligt og 50 % ved doser på 720 mg/dagligt. Ved samtidig behandling bør koncentrationen af theophyllin i plasma monitoreres. </w:t>
      </w:r>
    </w:p>
    <w:p w14:paraId="7DD1C3EA" w14:textId="77777777" w:rsidR="009260DE" w:rsidRPr="00C84483" w:rsidRDefault="009260DE" w:rsidP="009260DE">
      <w:pPr>
        <w:tabs>
          <w:tab w:val="left" w:pos="851"/>
        </w:tabs>
        <w:ind w:left="851"/>
        <w:rPr>
          <w:sz w:val="24"/>
          <w:szCs w:val="24"/>
        </w:rPr>
      </w:pPr>
    </w:p>
    <w:p w14:paraId="7355D21A" w14:textId="77777777"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r w:rsidR="0071241E">
        <w:rPr>
          <w:b/>
          <w:sz w:val="24"/>
          <w:szCs w:val="24"/>
        </w:rPr>
        <w:t>Fertilitet, g</w:t>
      </w:r>
      <w:r w:rsidRPr="00C84483">
        <w:rPr>
          <w:b/>
          <w:sz w:val="24"/>
          <w:szCs w:val="24"/>
        </w:rPr>
        <w:t>raviditet og amning</w:t>
      </w:r>
    </w:p>
    <w:p w14:paraId="6A2FC7D5" w14:textId="77777777" w:rsidR="00A93BA7" w:rsidRPr="00A93BA7" w:rsidRDefault="00A93BA7" w:rsidP="00A93BA7">
      <w:pPr>
        <w:tabs>
          <w:tab w:val="left" w:pos="851"/>
        </w:tabs>
        <w:ind w:left="851"/>
        <w:rPr>
          <w:sz w:val="24"/>
          <w:szCs w:val="24"/>
        </w:rPr>
      </w:pPr>
    </w:p>
    <w:p w14:paraId="46121DB4" w14:textId="77777777" w:rsidR="00A93BA7" w:rsidRPr="00A93BA7" w:rsidRDefault="00A93BA7" w:rsidP="00A93BA7">
      <w:pPr>
        <w:tabs>
          <w:tab w:val="left" w:pos="851"/>
        </w:tabs>
        <w:ind w:left="851"/>
        <w:rPr>
          <w:sz w:val="24"/>
          <w:szCs w:val="24"/>
          <w:u w:val="single"/>
        </w:rPr>
      </w:pPr>
      <w:r w:rsidRPr="00A93BA7">
        <w:rPr>
          <w:sz w:val="24"/>
          <w:szCs w:val="24"/>
          <w:u w:val="single"/>
        </w:rPr>
        <w:t>Graviditet</w:t>
      </w:r>
    </w:p>
    <w:p w14:paraId="400A6EBD" w14:textId="77777777" w:rsidR="00A93BA7" w:rsidRPr="00A93BA7" w:rsidRDefault="00A93BA7" w:rsidP="00A93BA7">
      <w:pPr>
        <w:tabs>
          <w:tab w:val="left" w:pos="851"/>
        </w:tabs>
        <w:ind w:left="851"/>
        <w:rPr>
          <w:sz w:val="24"/>
          <w:szCs w:val="24"/>
        </w:rPr>
      </w:pPr>
      <w:r w:rsidRPr="00A93BA7">
        <w:rPr>
          <w:sz w:val="24"/>
          <w:szCs w:val="24"/>
        </w:rPr>
        <w:t>Beta</w:t>
      </w:r>
      <w:r w:rsidRPr="00A93BA7">
        <w:rPr>
          <w:sz w:val="24"/>
          <w:szCs w:val="24"/>
        </w:rPr>
        <w:noBreakHyphen/>
        <w:t>receptorblokkere kan forårsage bradykardi i fostret og den nyfødte. Propranolol har ligeledes forårsaget hypoglykæmi hos nyfødte. Ovenstående taget i betragtning bør dette lægemiddel ordineres med forsigtighed i sidste trimester og ved fødslen.</w:t>
      </w:r>
    </w:p>
    <w:p w14:paraId="6B471529" w14:textId="77777777" w:rsidR="00A93BA7" w:rsidRPr="00A93BA7" w:rsidRDefault="00A93BA7" w:rsidP="00A93BA7">
      <w:pPr>
        <w:tabs>
          <w:tab w:val="left" w:pos="851"/>
        </w:tabs>
        <w:ind w:left="851"/>
        <w:rPr>
          <w:sz w:val="24"/>
          <w:szCs w:val="24"/>
        </w:rPr>
      </w:pPr>
    </w:p>
    <w:p w14:paraId="2103B132" w14:textId="77777777" w:rsidR="00A93BA7" w:rsidRPr="00A93BA7" w:rsidRDefault="00A93BA7" w:rsidP="00A93BA7">
      <w:pPr>
        <w:tabs>
          <w:tab w:val="left" w:pos="851"/>
        </w:tabs>
        <w:ind w:left="851"/>
        <w:rPr>
          <w:sz w:val="24"/>
          <w:szCs w:val="24"/>
          <w:u w:val="single"/>
        </w:rPr>
      </w:pPr>
      <w:r w:rsidRPr="00A93BA7">
        <w:rPr>
          <w:sz w:val="24"/>
          <w:szCs w:val="24"/>
          <w:u w:val="single"/>
        </w:rPr>
        <w:t>Amning</w:t>
      </w:r>
    </w:p>
    <w:p w14:paraId="25B182D6" w14:textId="77777777" w:rsidR="00A93BA7" w:rsidRPr="00A93BA7" w:rsidRDefault="00A93BA7" w:rsidP="00A93BA7">
      <w:pPr>
        <w:tabs>
          <w:tab w:val="left" w:pos="851"/>
        </w:tabs>
        <w:ind w:left="851"/>
        <w:rPr>
          <w:sz w:val="24"/>
          <w:szCs w:val="24"/>
        </w:rPr>
      </w:pPr>
      <w:r w:rsidRPr="00A93BA7">
        <w:rPr>
          <w:sz w:val="24"/>
          <w:szCs w:val="24"/>
        </w:rPr>
        <w:t xml:space="preserve">Udskilles i modermælken, men der forventes ingen virkninger på ammede nyfødte/spædbørn ved terapeutiske doser. </w:t>
      </w:r>
    </w:p>
    <w:p w14:paraId="0BDDB79B" w14:textId="77777777" w:rsidR="009260DE" w:rsidRPr="00C84483" w:rsidRDefault="009260DE" w:rsidP="009260DE">
      <w:pPr>
        <w:tabs>
          <w:tab w:val="left" w:pos="851"/>
        </w:tabs>
        <w:ind w:left="851"/>
        <w:rPr>
          <w:sz w:val="24"/>
          <w:szCs w:val="24"/>
        </w:rPr>
      </w:pPr>
    </w:p>
    <w:p w14:paraId="53D968B5" w14:textId="77777777"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71241E">
        <w:rPr>
          <w:b/>
          <w:sz w:val="24"/>
          <w:szCs w:val="24"/>
        </w:rPr>
        <w:t>og</w:t>
      </w:r>
      <w:r w:rsidRPr="00C84483">
        <w:rPr>
          <w:b/>
          <w:sz w:val="24"/>
          <w:szCs w:val="24"/>
        </w:rPr>
        <w:t xml:space="preserve"> betjene maskiner</w:t>
      </w:r>
    </w:p>
    <w:p w14:paraId="1CD23E33" w14:textId="77777777" w:rsidR="00A93BA7" w:rsidRPr="00A93BA7" w:rsidRDefault="00A93BA7" w:rsidP="00A93BA7">
      <w:pPr>
        <w:tabs>
          <w:tab w:val="left" w:pos="851"/>
        </w:tabs>
        <w:ind w:left="851"/>
        <w:rPr>
          <w:sz w:val="24"/>
          <w:szCs w:val="24"/>
        </w:rPr>
      </w:pPr>
      <w:r w:rsidRPr="00A93BA7">
        <w:rPr>
          <w:sz w:val="24"/>
          <w:szCs w:val="24"/>
        </w:rPr>
        <w:t>Ikke mærkning.</w:t>
      </w:r>
    </w:p>
    <w:p w14:paraId="48A8E86B" w14:textId="77777777" w:rsidR="00A93BA7" w:rsidRPr="00A93BA7" w:rsidRDefault="00A93BA7" w:rsidP="00A93BA7">
      <w:pPr>
        <w:tabs>
          <w:tab w:val="left" w:pos="851"/>
        </w:tabs>
        <w:ind w:left="851"/>
        <w:rPr>
          <w:sz w:val="24"/>
          <w:szCs w:val="24"/>
        </w:rPr>
      </w:pPr>
      <w:r w:rsidRPr="00A93BA7">
        <w:rPr>
          <w:sz w:val="24"/>
          <w:szCs w:val="24"/>
        </w:rPr>
        <w:t xml:space="preserve">Svimmelhed og træthed kan forekomme. Patienter, som skal føre motorkøretøj eller betjene maskiner, bør udvise forsigtighed. </w:t>
      </w:r>
    </w:p>
    <w:p w14:paraId="12E92C10" w14:textId="77777777" w:rsidR="00A93BA7" w:rsidRPr="00A93BA7" w:rsidRDefault="00A93BA7" w:rsidP="00A93BA7">
      <w:pPr>
        <w:tabs>
          <w:tab w:val="left" w:pos="851"/>
        </w:tabs>
        <w:ind w:left="851"/>
        <w:rPr>
          <w:sz w:val="24"/>
          <w:szCs w:val="24"/>
        </w:rPr>
      </w:pPr>
    </w:p>
    <w:p w14:paraId="19A7FF53" w14:textId="77777777"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14:paraId="76CC6FE5" w14:textId="77777777" w:rsidR="00765827" w:rsidRPr="00765827" w:rsidRDefault="00765827" w:rsidP="00765827">
      <w:pPr>
        <w:ind w:left="851"/>
        <w:rPr>
          <w:sz w:val="24"/>
          <w:szCs w:val="24"/>
        </w:rPr>
      </w:pPr>
      <w:r w:rsidRPr="00765827">
        <w:rPr>
          <w:sz w:val="24"/>
          <w:szCs w:val="24"/>
        </w:rPr>
        <w:t>Bivirkningerne er oftest tilskrevet propranolols farmakologiske virkning. De mest almindelige bivirkninger er træthed, herunder muskelsvaghed, hvilket er observeret hos 3</w:t>
      </w:r>
      <w:r w:rsidRPr="00765827">
        <w:rPr>
          <w:sz w:val="24"/>
          <w:szCs w:val="24"/>
        </w:rPr>
        <w:noBreakHyphen/>
        <w:t>5 %. Bivirkninger relateret til propranolol er anført nedenfor efter systemorganklasse og hyppighed. Hyppighed er defineret som: Meget almindelige (≥ 1/10); almindelige (≥ 1/100 til &lt; 1/10); ikke almindelige (≥ 1/1.000 til &lt;1/100); sjældne (≥1/10.000 til &lt; 1/1.000); meget sjældne (&lt; 1/10.000); Ikke kendt (kan ikke estimeres ud fra forhåndenværende data).</w:t>
      </w:r>
    </w:p>
    <w:p w14:paraId="1BED8BAB" w14:textId="77777777" w:rsidR="00765827" w:rsidRDefault="00765827" w:rsidP="00765827">
      <w:pPr>
        <w:rPr>
          <w:szCs w:val="22"/>
        </w:rPr>
      </w:pPr>
    </w:p>
    <w:tbl>
      <w:tblPr>
        <w:tblW w:w="9206" w:type="dxa"/>
        <w:tblInd w:w="843" w:type="dxa"/>
        <w:tblCellMar>
          <w:left w:w="10" w:type="dxa"/>
          <w:right w:w="10" w:type="dxa"/>
        </w:tblCellMar>
        <w:tblLook w:val="04A0" w:firstRow="1" w:lastRow="0" w:firstColumn="1" w:lastColumn="0" w:noHBand="0" w:noVBand="1"/>
      </w:tblPr>
      <w:tblGrid>
        <w:gridCol w:w="3007"/>
        <w:gridCol w:w="2073"/>
        <w:gridCol w:w="4126"/>
      </w:tblGrid>
      <w:tr w:rsidR="00765827" w14:paraId="3992EF98" w14:textId="77777777" w:rsidTr="00765827">
        <w:trPr>
          <w:cantSplit/>
        </w:trPr>
        <w:tc>
          <w:tcPr>
            <w:tcW w:w="3007"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0313F31F" w14:textId="77777777" w:rsidR="00765827" w:rsidRDefault="00765827">
            <w:pPr>
              <w:spacing w:line="256" w:lineRule="auto"/>
              <w:rPr>
                <w:i/>
                <w:iCs/>
                <w:kern w:val="2"/>
                <w:lang w:val="en-US"/>
                <w14:ligatures w14:val="standardContextual"/>
              </w:rPr>
            </w:pPr>
            <w:r>
              <w:rPr>
                <w:i/>
                <w:iCs/>
                <w:kern w:val="2"/>
                <w:lang w:val="en-US"/>
                <w14:ligatures w14:val="standardContextual"/>
              </w:rPr>
              <w:t>Undersøgelser</w:t>
            </w: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2F629121"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Meget 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7366608D" w14:textId="77777777" w:rsidR="00765827" w:rsidRPr="00765827" w:rsidRDefault="00765827">
            <w:pPr>
              <w:adjustRightInd w:val="0"/>
              <w:spacing w:line="256" w:lineRule="auto"/>
              <w:rPr>
                <w:kern w:val="2"/>
                <w:lang w:eastAsia="en-GB"/>
                <w14:ligatures w14:val="standardContextual"/>
              </w:rPr>
            </w:pPr>
            <w:r w:rsidRPr="00765827">
              <w:rPr>
                <w:kern w:val="2"/>
                <w14:ligatures w14:val="standardContextual"/>
              </w:rPr>
              <w:t xml:space="preserve">Øget niveau af ANA (antinukleære antistoffer) er observeret, men den kliniske betydning heraf er ikke klarlagt </w:t>
            </w:r>
          </w:p>
        </w:tc>
      </w:tr>
      <w:tr w:rsidR="00765827" w14:paraId="3CCF6A12" w14:textId="77777777" w:rsidTr="00765827">
        <w:trPr>
          <w:cantSplit/>
        </w:trPr>
        <w:tc>
          <w:tcPr>
            <w:tcW w:w="3007" w:type="dxa"/>
            <w:vMerge w:val="restart"/>
            <w:tcBorders>
              <w:top w:val="outset" w:sz="6" w:space="0" w:color="000000"/>
              <w:left w:val="outset" w:sz="6" w:space="0" w:color="000000"/>
              <w:bottom w:val="nil"/>
              <w:right w:val="outset" w:sz="6" w:space="0" w:color="000000"/>
            </w:tcBorders>
            <w:tcMar>
              <w:top w:w="24" w:type="dxa"/>
              <w:left w:w="24" w:type="dxa"/>
              <w:bottom w:w="24" w:type="dxa"/>
              <w:right w:w="24" w:type="dxa"/>
            </w:tcMar>
            <w:hideMark/>
          </w:tcPr>
          <w:p w14:paraId="54FE631F" w14:textId="77777777" w:rsidR="00765827" w:rsidRDefault="00765827">
            <w:pPr>
              <w:adjustRightInd w:val="0"/>
              <w:spacing w:line="256" w:lineRule="auto"/>
              <w:rPr>
                <w:i/>
                <w:iCs/>
                <w:kern w:val="2"/>
                <w:lang w:val="en-US" w:eastAsia="en-GB"/>
                <w14:ligatures w14:val="standardContextual"/>
              </w:rPr>
            </w:pPr>
            <w:r>
              <w:rPr>
                <w:i/>
                <w:iCs/>
                <w:kern w:val="2"/>
                <w:lang w:val="en-US" w:eastAsia="en-GB"/>
                <w14:ligatures w14:val="standardContextual"/>
              </w:rPr>
              <w:t>Hjerte</w:t>
            </w: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3E2D9259"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Almindelige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7554445C" w14:textId="77777777" w:rsidR="00765827" w:rsidRPr="00765827" w:rsidRDefault="00765827">
            <w:pPr>
              <w:adjustRightInd w:val="0"/>
              <w:spacing w:line="256" w:lineRule="auto"/>
              <w:rPr>
                <w:kern w:val="2"/>
                <w:lang w:eastAsia="en-GB"/>
                <w14:ligatures w14:val="standardContextual"/>
              </w:rPr>
            </w:pPr>
            <w:r w:rsidRPr="00765827">
              <w:rPr>
                <w:kern w:val="2"/>
                <w14:ligatures w14:val="standardContextual"/>
              </w:rPr>
              <w:t>Bradykardi</w:t>
            </w:r>
            <w:r w:rsidRPr="00765827">
              <w:rPr>
                <w:spacing w:val="-5"/>
                <w:kern w:val="2"/>
                <w14:ligatures w14:val="standardContextual"/>
              </w:rPr>
              <w:t xml:space="preserve"> </w:t>
            </w:r>
            <w:r w:rsidRPr="00765827">
              <w:rPr>
                <w:kern w:val="2"/>
                <w14:ligatures w14:val="standardContextual"/>
              </w:rPr>
              <w:t>(hjertefrekvens</w:t>
            </w:r>
            <w:r w:rsidRPr="00765827">
              <w:rPr>
                <w:spacing w:val="-5"/>
                <w:kern w:val="2"/>
                <w14:ligatures w14:val="standardContextual"/>
              </w:rPr>
              <w:t xml:space="preserve"> </w:t>
            </w:r>
            <w:r w:rsidRPr="00765827">
              <w:rPr>
                <w:kern w:val="2"/>
                <w14:ligatures w14:val="standardContextual"/>
              </w:rPr>
              <w:t>under</w:t>
            </w:r>
            <w:r w:rsidRPr="00765827">
              <w:rPr>
                <w:spacing w:val="-5"/>
                <w:kern w:val="2"/>
                <w14:ligatures w14:val="standardContextual"/>
              </w:rPr>
              <w:t xml:space="preserve"> </w:t>
            </w:r>
            <w:r w:rsidRPr="00765827">
              <w:rPr>
                <w:kern w:val="2"/>
                <w14:ligatures w14:val="standardContextual"/>
              </w:rPr>
              <w:t>50 slag/minut i hvile</w:t>
            </w:r>
            <w:r w:rsidRPr="00765827">
              <w:rPr>
                <w:spacing w:val="-2"/>
                <w:kern w:val="2"/>
                <w14:ligatures w14:val="standardContextual"/>
              </w:rPr>
              <w:t>).</w:t>
            </w:r>
          </w:p>
        </w:tc>
      </w:tr>
      <w:tr w:rsidR="00765827" w14:paraId="09E80B2A" w14:textId="77777777" w:rsidTr="00765827">
        <w:trPr>
          <w:cantSplit/>
        </w:trPr>
        <w:tc>
          <w:tcPr>
            <w:tcW w:w="0" w:type="auto"/>
            <w:vMerge/>
            <w:tcBorders>
              <w:top w:val="outset" w:sz="6" w:space="0" w:color="000000"/>
              <w:left w:val="outset" w:sz="6" w:space="0" w:color="000000"/>
              <w:bottom w:val="nil"/>
              <w:right w:val="outset" w:sz="6" w:space="0" w:color="000000"/>
            </w:tcBorders>
            <w:vAlign w:val="center"/>
            <w:hideMark/>
          </w:tcPr>
          <w:p w14:paraId="7C24F6B3" w14:textId="77777777" w:rsidR="00765827" w:rsidRPr="00765827" w:rsidRDefault="00765827">
            <w:pPr>
              <w:spacing w:line="256" w:lineRule="auto"/>
              <w:rPr>
                <w:i/>
                <w:iCs/>
                <w:kern w:val="2"/>
                <w:sz w:val="22"/>
                <w:lang w:eastAsia="en-GB"/>
                <w14:ligatures w14:val="standardContextual"/>
              </w:rPr>
            </w:pP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311919C7"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2AFEBEBC" w14:textId="77777777" w:rsidR="00765827" w:rsidRPr="00765827" w:rsidRDefault="00765827">
            <w:pPr>
              <w:adjustRightInd w:val="0"/>
              <w:spacing w:line="256" w:lineRule="auto"/>
              <w:rPr>
                <w:kern w:val="2"/>
                <w:lang w:eastAsia="en-GB"/>
                <w14:ligatures w14:val="standardContextual"/>
              </w:rPr>
            </w:pPr>
            <w:r w:rsidRPr="00765827">
              <w:rPr>
                <w:kern w:val="2"/>
                <w14:ligatures w14:val="standardContextual"/>
              </w:rPr>
              <w:t>Forværring af kardiologisk insufficiens, AV</w:t>
            </w:r>
            <w:r w:rsidRPr="00765827">
              <w:rPr>
                <w:kern w:val="2"/>
                <w14:ligatures w14:val="standardContextual"/>
              </w:rPr>
              <w:noBreakHyphen/>
              <w:t>blok</w:t>
            </w:r>
            <w:r w:rsidRPr="00765827">
              <w:rPr>
                <w:spacing w:val="-2"/>
                <w:kern w:val="2"/>
                <w14:ligatures w14:val="standardContextual"/>
              </w:rPr>
              <w:t>.</w:t>
            </w:r>
          </w:p>
        </w:tc>
      </w:tr>
      <w:tr w:rsidR="00765827" w14:paraId="1B5D5C7A" w14:textId="77777777" w:rsidTr="00765827">
        <w:trPr>
          <w:cantSplit/>
        </w:trPr>
        <w:tc>
          <w:tcPr>
            <w:tcW w:w="3007"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26010E12" w14:textId="77777777" w:rsidR="00765827" w:rsidRDefault="00765827">
            <w:pPr>
              <w:spacing w:line="256" w:lineRule="auto"/>
              <w:rPr>
                <w:i/>
                <w:iCs/>
                <w:kern w:val="2"/>
                <w:lang w:val="en-US"/>
                <w14:ligatures w14:val="standardContextual"/>
              </w:rPr>
            </w:pPr>
            <w:r>
              <w:rPr>
                <w:i/>
                <w:iCs/>
                <w:kern w:val="2"/>
                <w:lang w:val="en-US" w:eastAsia="en-GB"/>
                <w14:ligatures w14:val="standardContextual"/>
              </w:rPr>
              <w:t>Blod og lymfesystem</w:t>
            </w: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11858AC7"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4B29BDA6" w14:textId="77777777" w:rsidR="00765827" w:rsidRDefault="00765827">
            <w:pPr>
              <w:adjustRightInd w:val="0"/>
              <w:spacing w:line="256" w:lineRule="auto"/>
              <w:rPr>
                <w:rFonts w:eastAsia="Calibri"/>
                <w:kern w:val="2"/>
                <w:lang w:val="en-US"/>
                <w14:ligatures w14:val="standardContextual"/>
              </w:rPr>
            </w:pPr>
            <w:r>
              <w:rPr>
                <w:kern w:val="2"/>
                <w:lang w:val="en-US"/>
                <w14:ligatures w14:val="standardContextual"/>
              </w:rPr>
              <w:t>Trombocytopeni,</w:t>
            </w:r>
            <w:r>
              <w:rPr>
                <w:spacing w:val="-3"/>
                <w:kern w:val="2"/>
                <w:lang w:val="en-US"/>
                <w14:ligatures w14:val="standardContextual"/>
              </w:rPr>
              <w:t xml:space="preserve"> </w:t>
            </w:r>
            <w:r>
              <w:rPr>
                <w:kern w:val="2"/>
                <w:lang w:val="en-US"/>
                <w14:ligatures w14:val="standardContextual"/>
              </w:rPr>
              <w:t>agranulocytose</w:t>
            </w:r>
            <w:r>
              <w:rPr>
                <w:spacing w:val="-2"/>
                <w:kern w:val="2"/>
                <w:lang w:val="en-US"/>
                <w14:ligatures w14:val="standardContextual"/>
              </w:rPr>
              <w:t>.</w:t>
            </w:r>
          </w:p>
        </w:tc>
      </w:tr>
      <w:tr w:rsidR="00765827" w14:paraId="2BAB4311" w14:textId="77777777" w:rsidTr="00765827">
        <w:trPr>
          <w:cantSplit/>
        </w:trPr>
        <w:tc>
          <w:tcPr>
            <w:tcW w:w="3007" w:type="dxa"/>
            <w:vMerge w:val="restart"/>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67B17F9F" w14:textId="77777777" w:rsidR="00765827" w:rsidRDefault="00765827">
            <w:pPr>
              <w:spacing w:line="256" w:lineRule="auto"/>
              <w:rPr>
                <w:i/>
                <w:iCs/>
                <w:kern w:val="2"/>
                <w:lang w:val="en-US"/>
                <w14:ligatures w14:val="standardContextual"/>
              </w:rPr>
            </w:pPr>
            <w:r>
              <w:rPr>
                <w:i/>
                <w:iCs/>
                <w:kern w:val="2"/>
                <w:lang w:val="en-US" w:eastAsia="en-GB"/>
                <w14:ligatures w14:val="standardContextual"/>
              </w:rPr>
              <w:t>Nervesystemet</w:t>
            </w: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1F79E5A8"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226C3147" w14:textId="77777777" w:rsidR="00765827" w:rsidRDefault="00765827">
            <w:pPr>
              <w:adjustRightInd w:val="0"/>
              <w:spacing w:line="256" w:lineRule="auto"/>
              <w:rPr>
                <w:kern w:val="2"/>
                <w:lang w:val="en-US" w:eastAsia="en-GB"/>
                <w14:ligatures w14:val="standardContextual"/>
              </w:rPr>
            </w:pPr>
            <w:r>
              <w:rPr>
                <w:kern w:val="2"/>
                <w:lang w:val="en-US"/>
                <w14:ligatures w14:val="standardContextual"/>
              </w:rPr>
              <w:t xml:space="preserve">Svimmelhed, </w:t>
            </w:r>
            <w:r>
              <w:rPr>
                <w:spacing w:val="-2"/>
                <w:kern w:val="2"/>
                <w:lang w:val="en-US"/>
                <w14:ligatures w14:val="standardContextual"/>
              </w:rPr>
              <w:t>paræstesi.</w:t>
            </w:r>
          </w:p>
        </w:tc>
      </w:tr>
      <w:tr w:rsidR="00765827" w14:paraId="69FE72C2" w14:textId="77777777" w:rsidTr="00765827">
        <w:trPr>
          <w:cantSplit/>
        </w:trPr>
        <w:tc>
          <w:tcPr>
            <w:tcW w:w="0" w:type="auto"/>
            <w:vMerge/>
            <w:tcBorders>
              <w:top w:val="outset" w:sz="6" w:space="0" w:color="000000"/>
              <w:left w:val="outset" w:sz="6" w:space="0" w:color="000000"/>
              <w:bottom w:val="outset" w:sz="6" w:space="0" w:color="000000"/>
              <w:right w:val="outset" w:sz="6" w:space="0" w:color="000000"/>
            </w:tcBorders>
            <w:vAlign w:val="center"/>
            <w:hideMark/>
          </w:tcPr>
          <w:p w14:paraId="6438A795" w14:textId="77777777" w:rsidR="00765827" w:rsidRDefault="00765827">
            <w:pPr>
              <w:spacing w:line="256" w:lineRule="auto"/>
              <w:rPr>
                <w:i/>
                <w:iCs/>
                <w:kern w:val="2"/>
                <w:sz w:val="22"/>
                <w:lang w:val="en-US"/>
                <w14:ligatures w14:val="standardContextual"/>
              </w:rPr>
            </w:pP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6C81F91C"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Meget 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513E9C49" w14:textId="77777777" w:rsidR="00765827" w:rsidRPr="00765827" w:rsidRDefault="00765827">
            <w:pPr>
              <w:spacing w:line="256" w:lineRule="auto"/>
              <w:rPr>
                <w:kern w:val="2"/>
                <w:lang w:eastAsia="en-GB"/>
                <w14:ligatures w14:val="standardContextual"/>
              </w:rPr>
            </w:pPr>
            <w:r w:rsidRPr="00765827">
              <w:rPr>
                <w:rFonts w:eastAsia="Calibri"/>
                <w:kern w:val="2"/>
                <w14:ligatures w14:val="standardContextual"/>
              </w:rPr>
              <w:t>Der er rapporteret om enkeltstående tilfælde af myasthenia gravis</w:t>
            </w:r>
            <w:r w:rsidRPr="00765827">
              <w:rPr>
                <w:rFonts w:eastAsia="Calibri"/>
                <w:kern w:val="2"/>
                <w14:ligatures w14:val="standardContextual"/>
              </w:rPr>
              <w:noBreakHyphen/>
              <w:t>lignende syndrom eller forværring af myasthenia gravis.</w:t>
            </w:r>
          </w:p>
        </w:tc>
      </w:tr>
      <w:tr w:rsidR="00765827" w14:paraId="66099218" w14:textId="77777777" w:rsidTr="00765827">
        <w:trPr>
          <w:cantSplit/>
        </w:trPr>
        <w:tc>
          <w:tcPr>
            <w:tcW w:w="3007"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61857F4D" w14:textId="77777777" w:rsidR="00765827" w:rsidRDefault="00765827">
            <w:pPr>
              <w:spacing w:line="256" w:lineRule="auto"/>
              <w:rPr>
                <w:i/>
                <w:iCs/>
                <w:kern w:val="2"/>
                <w:lang w:val="en-US"/>
                <w14:ligatures w14:val="standardContextual"/>
              </w:rPr>
            </w:pPr>
            <w:r>
              <w:rPr>
                <w:i/>
                <w:iCs/>
                <w:kern w:val="2"/>
                <w:lang w:val="en-US"/>
                <w14:ligatures w14:val="standardContextual"/>
              </w:rPr>
              <w:t>Øjne</w:t>
            </w: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59718C5B"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742261A9" w14:textId="77777777" w:rsidR="00765827" w:rsidRDefault="00765827">
            <w:pPr>
              <w:adjustRightInd w:val="0"/>
              <w:spacing w:line="256" w:lineRule="auto"/>
              <w:rPr>
                <w:kern w:val="2"/>
                <w:lang w:val="en-US" w:eastAsia="en-GB"/>
                <w14:ligatures w14:val="standardContextual"/>
              </w:rPr>
            </w:pPr>
            <w:r>
              <w:rPr>
                <w:kern w:val="2"/>
                <w:lang w:val="en-US"/>
                <w14:ligatures w14:val="standardContextual"/>
              </w:rPr>
              <w:t>Tørre øjne, synsforstyrrelser</w:t>
            </w:r>
            <w:r>
              <w:rPr>
                <w:spacing w:val="-2"/>
                <w:kern w:val="2"/>
                <w:lang w:val="en-US"/>
                <w14:ligatures w14:val="standardContextual"/>
              </w:rPr>
              <w:t>.</w:t>
            </w:r>
          </w:p>
        </w:tc>
      </w:tr>
      <w:tr w:rsidR="00765827" w14:paraId="06CE0E45" w14:textId="77777777" w:rsidTr="00765827">
        <w:trPr>
          <w:cantSplit/>
          <w:trHeight w:val="545"/>
        </w:trPr>
        <w:tc>
          <w:tcPr>
            <w:tcW w:w="3007" w:type="dxa"/>
            <w:vMerge w:val="restart"/>
            <w:tcBorders>
              <w:top w:val="outset" w:sz="6" w:space="0" w:color="000000"/>
              <w:left w:val="outset" w:sz="6" w:space="0" w:color="000000"/>
              <w:bottom w:val="single" w:sz="4" w:space="0" w:color="auto"/>
              <w:right w:val="outset" w:sz="6" w:space="0" w:color="000000"/>
            </w:tcBorders>
            <w:tcMar>
              <w:top w:w="24" w:type="dxa"/>
              <w:left w:w="24" w:type="dxa"/>
              <w:bottom w:w="24" w:type="dxa"/>
              <w:right w:w="24" w:type="dxa"/>
            </w:tcMar>
            <w:hideMark/>
          </w:tcPr>
          <w:p w14:paraId="18368CBF" w14:textId="77777777" w:rsidR="00765827" w:rsidRDefault="00765827">
            <w:pPr>
              <w:spacing w:line="256" w:lineRule="auto"/>
              <w:rPr>
                <w:i/>
                <w:iCs/>
                <w:kern w:val="2"/>
                <w:lang w:val="en-US"/>
                <w14:ligatures w14:val="standardContextual"/>
              </w:rPr>
            </w:pPr>
            <w:r>
              <w:rPr>
                <w:i/>
                <w:iCs/>
                <w:kern w:val="2"/>
                <w:lang w:val="en-US" w:eastAsia="en-GB"/>
                <w14:ligatures w14:val="standardContextual"/>
              </w:rPr>
              <w:t>Luftveje, thorax og mediastinum</w:t>
            </w:r>
          </w:p>
        </w:tc>
        <w:tc>
          <w:tcPr>
            <w:tcW w:w="2073" w:type="dxa"/>
            <w:tcBorders>
              <w:top w:val="outset" w:sz="6" w:space="0" w:color="000000"/>
              <w:left w:val="outset" w:sz="6" w:space="0" w:color="000000"/>
              <w:bottom w:val="single" w:sz="4" w:space="0" w:color="auto"/>
              <w:right w:val="outset" w:sz="6" w:space="0" w:color="000000"/>
            </w:tcBorders>
            <w:tcMar>
              <w:top w:w="24" w:type="dxa"/>
              <w:left w:w="24" w:type="dxa"/>
              <w:bottom w:w="24" w:type="dxa"/>
              <w:right w:w="24" w:type="dxa"/>
            </w:tcMar>
            <w:hideMark/>
          </w:tcPr>
          <w:p w14:paraId="7FC22FAF"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Almindelige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57AC4489" w14:textId="77777777" w:rsidR="00765827" w:rsidRDefault="00765827">
            <w:pPr>
              <w:adjustRightInd w:val="0"/>
              <w:spacing w:line="256" w:lineRule="auto"/>
              <w:rPr>
                <w:kern w:val="2"/>
                <w:lang w:val="en-US" w:eastAsia="en-GB"/>
                <w14:ligatures w14:val="standardContextual"/>
              </w:rPr>
            </w:pPr>
            <w:r>
              <w:rPr>
                <w:spacing w:val="-2"/>
                <w:kern w:val="2"/>
                <w:lang w:val="en-US"/>
                <w14:ligatures w14:val="standardContextual"/>
              </w:rPr>
              <w:t>Åndenød.</w:t>
            </w:r>
          </w:p>
        </w:tc>
      </w:tr>
      <w:tr w:rsidR="00765827" w14:paraId="313344E6" w14:textId="77777777" w:rsidTr="00765827">
        <w:trPr>
          <w:cantSplit/>
          <w:trHeight w:val="544"/>
        </w:trPr>
        <w:tc>
          <w:tcPr>
            <w:tcW w:w="0" w:type="auto"/>
            <w:vMerge/>
            <w:tcBorders>
              <w:top w:val="outset" w:sz="6" w:space="0" w:color="000000"/>
              <w:left w:val="outset" w:sz="6" w:space="0" w:color="000000"/>
              <w:bottom w:val="single" w:sz="4" w:space="0" w:color="auto"/>
              <w:right w:val="outset" w:sz="6" w:space="0" w:color="000000"/>
            </w:tcBorders>
            <w:vAlign w:val="center"/>
            <w:hideMark/>
          </w:tcPr>
          <w:p w14:paraId="2A062005" w14:textId="77777777" w:rsidR="00765827" w:rsidRDefault="00765827">
            <w:pPr>
              <w:spacing w:line="256" w:lineRule="auto"/>
              <w:rPr>
                <w:i/>
                <w:iCs/>
                <w:kern w:val="2"/>
                <w:sz w:val="22"/>
                <w:lang w:val="en-US"/>
                <w14:ligatures w14:val="standardContextual"/>
              </w:rPr>
            </w:pPr>
          </w:p>
        </w:tc>
        <w:tc>
          <w:tcPr>
            <w:tcW w:w="2073" w:type="dxa"/>
            <w:tcBorders>
              <w:top w:val="single" w:sz="4" w:space="0" w:color="auto"/>
              <w:left w:val="outset" w:sz="6" w:space="0" w:color="000000"/>
              <w:bottom w:val="outset" w:sz="6" w:space="0" w:color="000000"/>
              <w:right w:val="outset" w:sz="6" w:space="0" w:color="000000"/>
            </w:tcBorders>
            <w:tcMar>
              <w:top w:w="24" w:type="dxa"/>
              <w:left w:w="24" w:type="dxa"/>
              <w:bottom w:w="24" w:type="dxa"/>
              <w:right w:w="24" w:type="dxa"/>
            </w:tcMar>
            <w:hideMark/>
          </w:tcPr>
          <w:p w14:paraId="48072713"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5572D3C6" w14:textId="77777777" w:rsidR="00765827" w:rsidRPr="00765827" w:rsidRDefault="00765827">
            <w:pPr>
              <w:adjustRightInd w:val="0"/>
              <w:spacing w:line="256" w:lineRule="auto"/>
              <w:rPr>
                <w:spacing w:val="-2"/>
                <w:kern w:val="2"/>
                <w14:ligatures w14:val="standardContextual"/>
              </w:rPr>
            </w:pPr>
            <w:r w:rsidRPr="00765827">
              <w:rPr>
                <w:kern w:val="2"/>
                <w:lang w:eastAsia="en-GB"/>
                <w14:ligatures w14:val="standardContextual"/>
              </w:rPr>
              <w:t xml:space="preserve">Bronkospasme hos patienter med bronkial astma eller astmatisk astma i anamnesen (der er rapporteret om tilfælde med dødelig udgang). </w:t>
            </w:r>
          </w:p>
        </w:tc>
      </w:tr>
      <w:tr w:rsidR="00765827" w14:paraId="2B8E0359" w14:textId="77777777" w:rsidTr="00765827">
        <w:trPr>
          <w:cantSplit/>
        </w:trPr>
        <w:tc>
          <w:tcPr>
            <w:tcW w:w="3007" w:type="dxa"/>
            <w:tcBorders>
              <w:top w:val="single" w:sz="4" w:space="0" w:color="auto"/>
              <w:left w:val="outset" w:sz="6" w:space="0" w:color="000000"/>
              <w:bottom w:val="single" w:sz="4" w:space="0" w:color="auto"/>
              <w:right w:val="outset" w:sz="6" w:space="0" w:color="000000"/>
            </w:tcBorders>
            <w:tcMar>
              <w:top w:w="24" w:type="dxa"/>
              <w:left w:w="24" w:type="dxa"/>
              <w:bottom w:w="24" w:type="dxa"/>
              <w:right w:w="24" w:type="dxa"/>
            </w:tcMar>
            <w:hideMark/>
          </w:tcPr>
          <w:p w14:paraId="16E6E999" w14:textId="77777777" w:rsidR="00765827" w:rsidRDefault="00765827">
            <w:pPr>
              <w:spacing w:line="256" w:lineRule="auto"/>
              <w:rPr>
                <w:i/>
                <w:iCs/>
                <w:kern w:val="2"/>
                <w:lang w:val="en-US"/>
                <w14:ligatures w14:val="standardContextual"/>
              </w:rPr>
            </w:pPr>
            <w:r>
              <w:rPr>
                <w:i/>
                <w:iCs/>
                <w:kern w:val="2"/>
                <w:lang w:val="en-US" w:eastAsia="en-GB"/>
                <w14:ligatures w14:val="standardContextual"/>
              </w:rPr>
              <w:t>Mave-tarm-kanalen</w:t>
            </w: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339C5558"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Ikke almindelige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0F82E4BE"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Opkastning, diarré, kvalme.</w:t>
            </w:r>
          </w:p>
        </w:tc>
      </w:tr>
      <w:tr w:rsidR="00765827" w14:paraId="1D56463A" w14:textId="77777777" w:rsidTr="00765827">
        <w:trPr>
          <w:cantSplit/>
        </w:trPr>
        <w:tc>
          <w:tcPr>
            <w:tcW w:w="3007" w:type="dxa"/>
            <w:vMerge w:val="restart"/>
            <w:tcBorders>
              <w:top w:val="single" w:sz="4" w:space="0" w:color="auto"/>
              <w:left w:val="outset" w:sz="6" w:space="0" w:color="000000"/>
              <w:bottom w:val="outset" w:sz="6" w:space="0" w:color="000000"/>
              <w:right w:val="outset" w:sz="6" w:space="0" w:color="000000"/>
            </w:tcBorders>
            <w:tcMar>
              <w:top w:w="24" w:type="dxa"/>
              <w:left w:w="24" w:type="dxa"/>
              <w:bottom w:w="24" w:type="dxa"/>
              <w:right w:w="24" w:type="dxa"/>
            </w:tcMar>
            <w:hideMark/>
          </w:tcPr>
          <w:p w14:paraId="02233B43" w14:textId="77777777" w:rsidR="00765827" w:rsidRDefault="00765827">
            <w:pPr>
              <w:spacing w:line="256" w:lineRule="auto"/>
              <w:rPr>
                <w:i/>
                <w:iCs/>
                <w:kern w:val="2"/>
                <w:lang w:val="en-US"/>
                <w14:ligatures w14:val="standardContextual"/>
              </w:rPr>
            </w:pPr>
            <w:r>
              <w:rPr>
                <w:i/>
                <w:iCs/>
                <w:kern w:val="2"/>
                <w:lang w:val="en-US" w:eastAsia="en-GB"/>
                <w14:ligatures w14:val="standardContextual"/>
              </w:rPr>
              <w:t>Hud og subkutane væv</w:t>
            </w: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1CA52939"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072B25D0" w14:textId="77777777" w:rsidR="00765827" w:rsidRPr="00765827" w:rsidRDefault="00765827">
            <w:pPr>
              <w:adjustRightInd w:val="0"/>
              <w:spacing w:line="256" w:lineRule="auto"/>
              <w:rPr>
                <w:kern w:val="2"/>
                <w:lang w:eastAsia="en-GB"/>
                <w14:ligatures w14:val="standardContextual"/>
              </w:rPr>
            </w:pPr>
            <w:r w:rsidRPr="00765827">
              <w:rPr>
                <w:kern w:val="2"/>
                <w:lang w:eastAsia="en-GB"/>
                <w14:ligatures w14:val="standardContextual"/>
              </w:rPr>
              <w:t>Alopeci, hudreaktioner såsom udslæt, psoriasislignende hudreaktioner/forværring af psoriasis, purpura.</w:t>
            </w:r>
          </w:p>
        </w:tc>
      </w:tr>
      <w:tr w:rsidR="00765827" w14:paraId="5FF17786" w14:textId="77777777" w:rsidTr="00765827">
        <w:trPr>
          <w:cantSplit/>
        </w:trPr>
        <w:tc>
          <w:tcPr>
            <w:tcW w:w="0" w:type="auto"/>
            <w:vMerge/>
            <w:tcBorders>
              <w:top w:val="single" w:sz="4" w:space="0" w:color="auto"/>
              <w:left w:val="outset" w:sz="6" w:space="0" w:color="000000"/>
              <w:bottom w:val="outset" w:sz="6" w:space="0" w:color="000000"/>
              <w:right w:val="outset" w:sz="6" w:space="0" w:color="000000"/>
            </w:tcBorders>
            <w:vAlign w:val="center"/>
            <w:hideMark/>
          </w:tcPr>
          <w:p w14:paraId="11D0D240" w14:textId="77777777" w:rsidR="00765827" w:rsidRPr="00765827" w:rsidRDefault="00765827">
            <w:pPr>
              <w:spacing w:line="256" w:lineRule="auto"/>
              <w:rPr>
                <w:i/>
                <w:iCs/>
                <w:kern w:val="2"/>
                <w:sz w:val="22"/>
                <w14:ligatures w14:val="standardContextual"/>
              </w:rPr>
            </w:pP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131E970D"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Meget 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1795913C" w14:textId="77777777" w:rsidR="00765827" w:rsidRPr="00765827" w:rsidRDefault="00765827">
            <w:pPr>
              <w:spacing w:line="256" w:lineRule="auto"/>
              <w:rPr>
                <w:kern w:val="2"/>
                <w:lang w:eastAsia="en-GB"/>
                <w14:ligatures w14:val="standardContextual"/>
              </w:rPr>
            </w:pPr>
            <w:r w:rsidRPr="00765827">
              <w:rPr>
                <w:kern w:val="2"/>
                <w:lang w:eastAsia="en-GB"/>
                <w14:ligatures w14:val="standardContextual"/>
              </w:rPr>
              <w:t>Der er rapporteret om enkeltstående tilfælde af hyperhidrose.</w:t>
            </w:r>
          </w:p>
        </w:tc>
      </w:tr>
      <w:tr w:rsidR="00765827" w14:paraId="46CBF333" w14:textId="77777777" w:rsidTr="00765827">
        <w:trPr>
          <w:cantSplit/>
        </w:trPr>
        <w:tc>
          <w:tcPr>
            <w:tcW w:w="3007"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4D832985" w14:textId="77777777" w:rsidR="00765827" w:rsidRDefault="00765827">
            <w:pPr>
              <w:spacing w:line="256" w:lineRule="auto"/>
              <w:rPr>
                <w:i/>
                <w:iCs/>
                <w:kern w:val="2"/>
                <w:lang w:val="en-US"/>
                <w14:ligatures w14:val="standardContextual"/>
              </w:rPr>
            </w:pPr>
            <w:r>
              <w:rPr>
                <w:i/>
                <w:iCs/>
                <w:kern w:val="2"/>
                <w:lang w:val="en-US"/>
                <w14:ligatures w14:val="standardContextual"/>
              </w:rPr>
              <w:t>Metabolisme og ernæring</w:t>
            </w: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3BDCA4FD"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Ikke kendt</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1AB2574D" w14:textId="77777777" w:rsidR="00765827" w:rsidRPr="00765827" w:rsidRDefault="00765827">
            <w:pPr>
              <w:adjustRightInd w:val="0"/>
              <w:spacing w:line="256" w:lineRule="auto"/>
              <w:rPr>
                <w:kern w:val="2"/>
                <w:lang w:eastAsia="en-GB"/>
                <w14:ligatures w14:val="standardContextual"/>
              </w:rPr>
            </w:pPr>
            <w:r w:rsidRPr="00765827">
              <w:rPr>
                <w:rFonts w:eastAsia="Calibri"/>
                <w:kern w:val="2"/>
                <w14:ligatures w14:val="standardContextual"/>
              </w:rPr>
              <w:t xml:space="preserve">Hypoglykæmi hos </w:t>
            </w:r>
            <w:r w:rsidRPr="00765827">
              <w:rPr>
                <w:kern w:val="2"/>
                <w14:ligatures w14:val="standardContextual"/>
              </w:rPr>
              <w:t>nyfødte, spædbørn, børn, ældre patienter, patienter i hæmodialyse, patienter i samtidig antidiabetisk behandling, patienter under længerevarende faste og patienter med kronisk leversygdom.</w:t>
            </w:r>
            <w:r w:rsidRPr="00765827">
              <w:rPr>
                <w:rFonts w:eastAsia="Calibri"/>
                <w:kern w:val="2"/>
                <w14:ligatures w14:val="standardContextual"/>
              </w:rPr>
              <w:t xml:space="preserve"> Svær hypoglykæmi har i sjældne tilfælde ført til kramper og/eller koma.</w:t>
            </w:r>
          </w:p>
        </w:tc>
      </w:tr>
      <w:tr w:rsidR="00765827" w14:paraId="3F02A064" w14:textId="77777777" w:rsidTr="00765827">
        <w:trPr>
          <w:cantSplit/>
        </w:trPr>
        <w:tc>
          <w:tcPr>
            <w:tcW w:w="3007" w:type="dxa"/>
            <w:vMerge w:val="restart"/>
            <w:tcBorders>
              <w:top w:val="outset" w:sz="6" w:space="0" w:color="000000"/>
              <w:left w:val="outset" w:sz="6" w:space="0" w:color="000000"/>
              <w:bottom w:val="nil"/>
              <w:right w:val="outset" w:sz="6" w:space="0" w:color="000000"/>
            </w:tcBorders>
            <w:tcMar>
              <w:top w:w="24" w:type="dxa"/>
              <w:left w:w="24" w:type="dxa"/>
              <w:bottom w:w="24" w:type="dxa"/>
              <w:right w:w="24" w:type="dxa"/>
            </w:tcMar>
            <w:hideMark/>
          </w:tcPr>
          <w:p w14:paraId="193DB748" w14:textId="77777777" w:rsidR="00765827" w:rsidRDefault="00765827">
            <w:pPr>
              <w:spacing w:line="256" w:lineRule="auto"/>
              <w:rPr>
                <w:i/>
                <w:iCs/>
                <w:kern w:val="2"/>
                <w:lang w:val="en-US"/>
                <w14:ligatures w14:val="standardContextual"/>
              </w:rPr>
            </w:pPr>
            <w:r>
              <w:rPr>
                <w:i/>
                <w:iCs/>
                <w:kern w:val="2"/>
                <w:lang w:val="en-US" w:eastAsia="en-GB"/>
                <w14:ligatures w14:val="standardContextual"/>
              </w:rPr>
              <w:t>Vaskulære sygdomme</w:t>
            </w: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6FAD1122"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Almindelige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5D77263B" w14:textId="77777777" w:rsidR="00765827" w:rsidRDefault="00765827">
            <w:pPr>
              <w:adjustRightInd w:val="0"/>
              <w:spacing w:line="256" w:lineRule="auto"/>
              <w:rPr>
                <w:kern w:val="2"/>
                <w:lang w:val="en-US" w:eastAsia="en-GB"/>
                <w14:ligatures w14:val="standardContextual"/>
              </w:rPr>
            </w:pPr>
            <w:r>
              <w:rPr>
                <w:kern w:val="2"/>
                <w:lang w:val="en-US"/>
                <w14:ligatures w14:val="standardContextual"/>
              </w:rPr>
              <w:t>Raynauds syndrom.</w:t>
            </w:r>
          </w:p>
        </w:tc>
      </w:tr>
      <w:tr w:rsidR="00765827" w14:paraId="200739F2" w14:textId="77777777" w:rsidTr="00765827">
        <w:trPr>
          <w:cantSplit/>
        </w:trPr>
        <w:tc>
          <w:tcPr>
            <w:tcW w:w="0" w:type="auto"/>
            <w:vMerge/>
            <w:tcBorders>
              <w:top w:val="outset" w:sz="6" w:space="0" w:color="000000"/>
              <w:left w:val="outset" w:sz="6" w:space="0" w:color="000000"/>
              <w:bottom w:val="nil"/>
              <w:right w:val="outset" w:sz="6" w:space="0" w:color="000000"/>
            </w:tcBorders>
            <w:vAlign w:val="center"/>
            <w:hideMark/>
          </w:tcPr>
          <w:p w14:paraId="62CFF8F0" w14:textId="77777777" w:rsidR="00765827" w:rsidRDefault="00765827">
            <w:pPr>
              <w:spacing w:line="256" w:lineRule="auto"/>
              <w:rPr>
                <w:i/>
                <w:iCs/>
                <w:kern w:val="2"/>
                <w:sz w:val="22"/>
                <w:lang w:val="en-US"/>
                <w14:ligatures w14:val="standardContextual"/>
              </w:rPr>
            </w:pP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5F8DFC82"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651CE197" w14:textId="77777777" w:rsidR="00765827" w:rsidRPr="00765827" w:rsidRDefault="00765827">
            <w:pPr>
              <w:adjustRightInd w:val="0"/>
              <w:spacing w:line="256" w:lineRule="auto"/>
              <w:rPr>
                <w:kern w:val="2"/>
                <w:lang w:eastAsia="en-GB"/>
                <w14:ligatures w14:val="standardContextual"/>
              </w:rPr>
            </w:pPr>
            <w:r w:rsidRPr="00765827">
              <w:rPr>
                <w:rFonts w:eastAsia="Calibri"/>
                <w:kern w:val="2"/>
                <w14:ligatures w14:val="standardContextual"/>
              </w:rPr>
              <w:t>Postural hypotension eventuelt ledsaget af synkope, forværring af intermitterende claudicatio.</w:t>
            </w:r>
          </w:p>
        </w:tc>
      </w:tr>
      <w:tr w:rsidR="00765827" w14:paraId="73BAA216" w14:textId="77777777" w:rsidTr="00765827">
        <w:trPr>
          <w:cantSplit/>
        </w:trPr>
        <w:tc>
          <w:tcPr>
            <w:tcW w:w="3007" w:type="dxa"/>
            <w:tcBorders>
              <w:top w:val="outset" w:sz="6" w:space="0" w:color="000000"/>
              <w:left w:val="outset" w:sz="6" w:space="0" w:color="000000"/>
              <w:bottom w:val="single" w:sz="4" w:space="0" w:color="auto"/>
              <w:right w:val="outset" w:sz="6" w:space="0" w:color="000000"/>
            </w:tcBorders>
            <w:tcMar>
              <w:top w:w="24" w:type="dxa"/>
              <w:left w:w="24" w:type="dxa"/>
              <w:bottom w:w="24" w:type="dxa"/>
              <w:right w:w="24" w:type="dxa"/>
            </w:tcMar>
            <w:hideMark/>
          </w:tcPr>
          <w:p w14:paraId="5046B575" w14:textId="77777777" w:rsidR="00765827" w:rsidRPr="00765827" w:rsidRDefault="00765827">
            <w:pPr>
              <w:spacing w:line="256" w:lineRule="auto"/>
              <w:rPr>
                <w:i/>
                <w:iCs/>
                <w:kern w:val="2"/>
                <w14:ligatures w14:val="standardContextual"/>
              </w:rPr>
            </w:pPr>
            <w:r w:rsidRPr="00765827">
              <w:rPr>
                <w:i/>
                <w:iCs/>
                <w:kern w:val="2"/>
                <w:lang w:eastAsia="en-GB"/>
                <w14:ligatures w14:val="standardContextual"/>
              </w:rPr>
              <w:t>Almene symptomer og reaktioner på administrationsstedet</w:t>
            </w: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43AC1A5A"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Almindelige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3C7BC829" w14:textId="77777777" w:rsidR="00765827" w:rsidRPr="00765827" w:rsidRDefault="00765827">
            <w:pPr>
              <w:spacing w:line="256" w:lineRule="auto"/>
              <w:rPr>
                <w:kern w:val="2"/>
                <w:lang w:eastAsia="en-GB"/>
                <w14:ligatures w14:val="standardContextual"/>
              </w:rPr>
            </w:pPr>
            <w:r w:rsidRPr="00765827">
              <w:rPr>
                <w:kern w:val="2"/>
                <w14:ligatures w14:val="standardContextual"/>
              </w:rPr>
              <w:t>Træthed/muskelsvaghed,</w:t>
            </w:r>
            <w:r w:rsidRPr="00765827">
              <w:rPr>
                <w:spacing w:val="-9"/>
                <w:kern w:val="2"/>
                <w14:ligatures w14:val="standardContextual"/>
              </w:rPr>
              <w:t xml:space="preserve"> </w:t>
            </w:r>
            <w:r w:rsidRPr="00765827">
              <w:rPr>
                <w:kern w:val="2"/>
                <w14:ligatures w14:val="standardContextual"/>
              </w:rPr>
              <w:t>perifere kolde ekstremiteter</w:t>
            </w:r>
            <w:r w:rsidRPr="00765827">
              <w:rPr>
                <w:spacing w:val="-2"/>
                <w:kern w:val="2"/>
                <w14:ligatures w14:val="standardContextual"/>
              </w:rPr>
              <w:t>.</w:t>
            </w:r>
          </w:p>
        </w:tc>
      </w:tr>
      <w:tr w:rsidR="00765827" w14:paraId="6F57E94D" w14:textId="77777777" w:rsidTr="00765827">
        <w:trPr>
          <w:cantSplit/>
        </w:trPr>
        <w:tc>
          <w:tcPr>
            <w:tcW w:w="3007" w:type="dxa"/>
            <w:tcBorders>
              <w:top w:val="single" w:sz="4" w:space="0" w:color="auto"/>
              <w:left w:val="single" w:sz="4" w:space="0" w:color="auto"/>
              <w:bottom w:val="nil"/>
              <w:right w:val="single" w:sz="4" w:space="0" w:color="auto"/>
            </w:tcBorders>
            <w:tcMar>
              <w:top w:w="24" w:type="dxa"/>
              <w:left w:w="24" w:type="dxa"/>
              <w:bottom w:w="24" w:type="dxa"/>
              <w:right w:w="24" w:type="dxa"/>
            </w:tcMar>
            <w:hideMark/>
          </w:tcPr>
          <w:p w14:paraId="59E913FC" w14:textId="77777777" w:rsidR="00765827" w:rsidRDefault="00765827">
            <w:pPr>
              <w:spacing w:line="256" w:lineRule="auto"/>
              <w:rPr>
                <w:i/>
                <w:iCs/>
                <w:kern w:val="2"/>
                <w:lang w:val="en-US" w:eastAsia="en-GB"/>
                <w14:ligatures w14:val="standardContextual"/>
              </w:rPr>
            </w:pPr>
            <w:r>
              <w:rPr>
                <w:i/>
                <w:iCs/>
                <w:kern w:val="2"/>
                <w:lang w:val="en-US" w:eastAsia="en-GB"/>
                <w14:ligatures w14:val="standardContextual"/>
              </w:rPr>
              <w:t>Psykiske forstyrrelser</w:t>
            </w:r>
          </w:p>
        </w:tc>
        <w:tc>
          <w:tcPr>
            <w:tcW w:w="2073" w:type="dxa"/>
            <w:tcBorders>
              <w:top w:val="outset" w:sz="6" w:space="0" w:color="000000"/>
              <w:left w:val="single" w:sz="4" w:space="0" w:color="auto"/>
              <w:bottom w:val="outset" w:sz="6" w:space="0" w:color="000000"/>
              <w:right w:val="outset" w:sz="6" w:space="0" w:color="000000"/>
            </w:tcBorders>
            <w:tcMar>
              <w:top w:w="24" w:type="dxa"/>
              <w:left w:w="24" w:type="dxa"/>
              <w:bottom w:w="24" w:type="dxa"/>
              <w:right w:w="24" w:type="dxa"/>
            </w:tcMar>
            <w:hideMark/>
          </w:tcPr>
          <w:p w14:paraId="5DB09D43"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Almindelige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5B8DF0B3" w14:textId="77777777" w:rsidR="00765827" w:rsidRDefault="00765827">
            <w:pPr>
              <w:spacing w:line="256" w:lineRule="auto"/>
              <w:rPr>
                <w:kern w:val="2"/>
                <w:lang w:val="en-US"/>
                <w14:ligatures w14:val="standardContextual"/>
              </w:rPr>
            </w:pPr>
            <w:r>
              <w:rPr>
                <w:spacing w:val="-2"/>
                <w:kern w:val="2"/>
                <w:lang w:val="en-US"/>
                <w14:ligatures w14:val="standardContextual"/>
              </w:rPr>
              <w:t>Søvnforstyrrelser, mareridt.</w:t>
            </w:r>
          </w:p>
        </w:tc>
      </w:tr>
      <w:tr w:rsidR="00765827" w14:paraId="07F89932" w14:textId="77777777" w:rsidTr="00765827">
        <w:trPr>
          <w:cantSplit/>
        </w:trPr>
        <w:tc>
          <w:tcPr>
            <w:tcW w:w="3007" w:type="dxa"/>
            <w:tcBorders>
              <w:top w:val="nil"/>
              <w:left w:val="outset" w:sz="6" w:space="0" w:color="000000"/>
              <w:bottom w:val="outset" w:sz="6" w:space="0" w:color="000000"/>
              <w:right w:val="outset" w:sz="6" w:space="0" w:color="000000"/>
            </w:tcBorders>
            <w:tcMar>
              <w:top w:w="24" w:type="dxa"/>
              <w:left w:w="24" w:type="dxa"/>
              <w:bottom w:w="24" w:type="dxa"/>
              <w:right w:w="24" w:type="dxa"/>
            </w:tcMar>
          </w:tcPr>
          <w:p w14:paraId="1A9E2CDB" w14:textId="77777777" w:rsidR="00765827" w:rsidRDefault="00765827">
            <w:pPr>
              <w:spacing w:line="256" w:lineRule="auto"/>
              <w:rPr>
                <w:i/>
                <w:iCs/>
                <w:kern w:val="2"/>
                <w:lang w:val="en-US" w:eastAsia="en-GB"/>
                <w14:ligatures w14:val="standardContextual"/>
              </w:rPr>
            </w:pPr>
          </w:p>
        </w:tc>
        <w:tc>
          <w:tcPr>
            <w:tcW w:w="2073"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412B8707" w14:textId="77777777" w:rsidR="00765827" w:rsidRDefault="00765827">
            <w:pPr>
              <w:spacing w:line="256" w:lineRule="auto"/>
              <w:rPr>
                <w:kern w:val="2"/>
                <w:lang w:val="en-US" w:eastAsia="en-GB"/>
                <w14:ligatures w14:val="standardContextual"/>
              </w:rPr>
            </w:pPr>
            <w:r>
              <w:rPr>
                <w:kern w:val="2"/>
                <w:lang w:val="en-US" w:eastAsia="en-GB"/>
                <w14:ligatures w14:val="standardContextual"/>
              </w:rPr>
              <w:t>Sjældne</w:t>
            </w:r>
          </w:p>
        </w:tc>
        <w:tc>
          <w:tcPr>
            <w:tcW w:w="4126" w:type="dxa"/>
            <w:tcBorders>
              <w:top w:val="outset" w:sz="6" w:space="0" w:color="000000"/>
              <w:left w:val="outset" w:sz="6" w:space="0" w:color="000000"/>
              <w:bottom w:val="outset" w:sz="6" w:space="0" w:color="000000"/>
              <w:right w:val="outset" w:sz="6" w:space="0" w:color="000000"/>
            </w:tcBorders>
            <w:tcMar>
              <w:top w:w="24" w:type="dxa"/>
              <w:left w:w="24" w:type="dxa"/>
              <w:bottom w:w="24" w:type="dxa"/>
              <w:right w:w="24" w:type="dxa"/>
            </w:tcMar>
            <w:hideMark/>
          </w:tcPr>
          <w:p w14:paraId="3DE7FD99" w14:textId="77777777" w:rsidR="00765827" w:rsidRDefault="00765827">
            <w:pPr>
              <w:spacing w:line="256" w:lineRule="auto"/>
              <w:rPr>
                <w:spacing w:val="-2"/>
                <w:kern w:val="2"/>
                <w:lang w:val="en-US"/>
                <w14:ligatures w14:val="standardContextual"/>
              </w:rPr>
            </w:pPr>
            <w:r>
              <w:rPr>
                <w:kern w:val="2"/>
                <w:lang w:val="en-US"/>
                <w14:ligatures w14:val="standardContextual"/>
              </w:rPr>
              <w:t>Hallucinationer,</w:t>
            </w:r>
            <w:r>
              <w:rPr>
                <w:spacing w:val="-12"/>
                <w:kern w:val="2"/>
                <w:lang w:val="en-US"/>
                <w14:ligatures w14:val="standardContextual"/>
              </w:rPr>
              <w:t xml:space="preserve"> psykoser, </w:t>
            </w:r>
            <w:r>
              <w:rPr>
                <w:kern w:val="2"/>
                <w:lang w:val="en-US"/>
                <w14:ligatures w14:val="standardContextual"/>
              </w:rPr>
              <w:t>depression,</w:t>
            </w:r>
            <w:r>
              <w:rPr>
                <w:spacing w:val="-12"/>
                <w:kern w:val="2"/>
                <w:lang w:val="en-US"/>
                <w14:ligatures w14:val="standardContextual"/>
              </w:rPr>
              <w:t xml:space="preserve"> forvirring</w:t>
            </w:r>
            <w:r>
              <w:rPr>
                <w:spacing w:val="-2"/>
                <w:kern w:val="2"/>
                <w:lang w:val="en-US"/>
                <w14:ligatures w14:val="standardContextual"/>
              </w:rPr>
              <w:t>.</w:t>
            </w:r>
          </w:p>
        </w:tc>
      </w:tr>
    </w:tbl>
    <w:p w14:paraId="6719D8FF" w14:textId="77777777" w:rsidR="00765827" w:rsidRDefault="00765827" w:rsidP="00765827">
      <w:pPr>
        <w:rPr>
          <w:sz w:val="22"/>
          <w:szCs w:val="22"/>
        </w:rPr>
      </w:pPr>
    </w:p>
    <w:p w14:paraId="65A69390" w14:textId="77777777" w:rsidR="00765827" w:rsidRPr="00765827" w:rsidRDefault="00765827" w:rsidP="00765827">
      <w:pPr>
        <w:ind w:left="851"/>
        <w:rPr>
          <w:iCs/>
          <w:noProof/>
          <w:sz w:val="24"/>
          <w:szCs w:val="24"/>
        </w:rPr>
      </w:pPr>
      <w:r w:rsidRPr="00765827">
        <w:rPr>
          <w:iCs/>
          <w:noProof/>
          <w:sz w:val="24"/>
          <w:szCs w:val="24"/>
        </w:rPr>
        <w:t>En vandopløselig beta</w:t>
      </w:r>
      <w:r w:rsidRPr="00765827">
        <w:rPr>
          <w:iCs/>
          <w:noProof/>
          <w:sz w:val="24"/>
          <w:szCs w:val="24"/>
        </w:rPr>
        <w:noBreakHyphen/>
        <w:t>receptorblokker kan anvendes i tilfælde af, at bivirkninger, såsom søvnforstyrrelser, opstår ved lipidopløselige beta</w:t>
      </w:r>
      <w:r w:rsidRPr="00765827">
        <w:rPr>
          <w:iCs/>
          <w:noProof/>
          <w:sz w:val="24"/>
          <w:szCs w:val="24"/>
        </w:rPr>
        <w:noBreakHyphen/>
        <w:t xml:space="preserve">receptorblokkere. </w:t>
      </w:r>
    </w:p>
    <w:p w14:paraId="4277EEDA" w14:textId="77777777" w:rsidR="00765827" w:rsidRPr="00765827" w:rsidRDefault="00765827" w:rsidP="00765827">
      <w:pPr>
        <w:ind w:left="851"/>
        <w:rPr>
          <w:iCs/>
          <w:noProof/>
          <w:sz w:val="24"/>
          <w:szCs w:val="24"/>
        </w:rPr>
      </w:pPr>
    </w:p>
    <w:p w14:paraId="0E12FE7C" w14:textId="77777777" w:rsidR="00765827" w:rsidRPr="00765827" w:rsidRDefault="00765827" w:rsidP="00765827">
      <w:pPr>
        <w:autoSpaceDE w:val="0"/>
        <w:autoSpaceDN w:val="0"/>
        <w:adjustRightInd w:val="0"/>
        <w:ind w:left="851"/>
        <w:rPr>
          <w:sz w:val="24"/>
          <w:szCs w:val="24"/>
          <w:u w:val="single"/>
        </w:rPr>
      </w:pPr>
      <w:r w:rsidRPr="00765827">
        <w:rPr>
          <w:noProof/>
          <w:sz w:val="24"/>
          <w:szCs w:val="24"/>
          <w:u w:val="single"/>
        </w:rPr>
        <w:t>Indberetning af formodede bivirkninger</w:t>
      </w:r>
    </w:p>
    <w:p w14:paraId="09B993FF" w14:textId="77777777" w:rsidR="00765827" w:rsidRPr="00765827" w:rsidRDefault="00765827" w:rsidP="00765827">
      <w:pPr>
        <w:autoSpaceDE w:val="0"/>
        <w:autoSpaceDN w:val="0"/>
        <w:adjustRightInd w:val="0"/>
        <w:ind w:left="851"/>
        <w:rPr>
          <w:noProof/>
          <w:sz w:val="24"/>
          <w:szCs w:val="24"/>
        </w:rPr>
      </w:pPr>
      <w:r w:rsidRPr="00765827">
        <w:rPr>
          <w:noProof/>
          <w:sz w:val="24"/>
          <w:szCs w:val="24"/>
        </w:rPr>
        <w:t>Når lægemidlet er godkendt, er indberetning af formodede bivirkninger vigtig.</w:t>
      </w:r>
      <w:r w:rsidRPr="00765827">
        <w:rPr>
          <w:sz w:val="24"/>
          <w:szCs w:val="24"/>
        </w:rPr>
        <w:t xml:space="preserve"> </w:t>
      </w:r>
      <w:r w:rsidRPr="00765827">
        <w:rPr>
          <w:noProof/>
          <w:sz w:val="24"/>
          <w:szCs w:val="24"/>
        </w:rPr>
        <w:t>Det muliggør løbende overvågning af benefit/risk-forholdet for lægemidlet.</w:t>
      </w:r>
      <w:r w:rsidRPr="00765827">
        <w:rPr>
          <w:sz w:val="24"/>
          <w:szCs w:val="24"/>
        </w:rPr>
        <w:t xml:space="preserve"> </w:t>
      </w:r>
      <w:r w:rsidRPr="00765827">
        <w:rPr>
          <w:noProof/>
          <w:sz w:val="24"/>
          <w:szCs w:val="24"/>
        </w:rPr>
        <w:t>Sundhedspersoner anmodes om at indberette alle formodede bivirkninger via:</w:t>
      </w:r>
    </w:p>
    <w:p w14:paraId="2F6F52E9" w14:textId="77777777" w:rsidR="00765827" w:rsidRPr="00765827" w:rsidRDefault="00765827" w:rsidP="00765827">
      <w:pPr>
        <w:autoSpaceDE w:val="0"/>
        <w:autoSpaceDN w:val="0"/>
        <w:adjustRightInd w:val="0"/>
        <w:ind w:left="851"/>
        <w:rPr>
          <w:noProof/>
          <w:sz w:val="24"/>
          <w:szCs w:val="24"/>
          <w:highlight w:val="lightGray"/>
        </w:rPr>
      </w:pPr>
    </w:p>
    <w:p w14:paraId="5CCC941A" w14:textId="77777777" w:rsidR="00765827" w:rsidRPr="00765827" w:rsidRDefault="00765827" w:rsidP="00765827">
      <w:pPr>
        <w:ind w:left="851"/>
        <w:rPr>
          <w:rFonts w:eastAsia="Calibri"/>
          <w:color w:val="000000"/>
          <w:sz w:val="24"/>
          <w:szCs w:val="24"/>
          <w:lang w:eastAsia="zh-CN"/>
        </w:rPr>
      </w:pPr>
      <w:r w:rsidRPr="00765827">
        <w:rPr>
          <w:sz w:val="24"/>
          <w:szCs w:val="24"/>
        </w:rPr>
        <w:lastRenderedPageBreak/>
        <w:t>Lægemiddelstyrelsen</w:t>
      </w:r>
    </w:p>
    <w:p w14:paraId="2F5A9305" w14:textId="77777777" w:rsidR="00765827" w:rsidRPr="00765827" w:rsidRDefault="00765827" w:rsidP="00765827">
      <w:pPr>
        <w:ind w:left="851"/>
        <w:rPr>
          <w:rFonts w:eastAsia="Calibri"/>
          <w:noProof/>
          <w:sz w:val="24"/>
          <w:szCs w:val="24"/>
          <w:lang w:eastAsia="zh-CN"/>
        </w:rPr>
      </w:pPr>
      <w:r w:rsidRPr="00765827">
        <w:rPr>
          <w:rFonts w:eastAsia="Calibri"/>
          <w:sz w:val="24"/>
          <w:szCs w:val="24"/>
          <w:lang w:eastAsia="zh-CN"/>
        </w:rPr>
        <w:t>Axel Heides Gade 1</w:t>
      </w:r>
    </w:p>
    <w:p w14:paraId="40C6FE09" w14:textId="77777777" w:rsidR="00765827" w:rsidRPr="00765827" w:rsidRDefault="00765827" w:rsidP="00765827">
      <w:pPr>
        <w:ind w:left="851"/>
        <w:rPr>
          <w:rFonts w:eastAsia="Calibri"/>
          <w:noProof/>
          <w:sz w:val="24"/>
          <w:szCs w:val="24"/>
          <w:lang w:eastAsia="zh-CN"/>
        </w:rPr>
      </w:pPr>
      <w:r w:rsidRPr="00765827">
        <w:rPr>
          <w:rFonts w:eastAsia="Calibri"/>
          <w:noProof/>
          <w:sz w:val="24"/>
          <w:szCs w:val="24"/>
          <w:lang w:eastAsia="zh-CN"/>
        </w:rPr>
        <w:t>DK-2300 </w:t>
      </w:r>
      <w:r w:rsidRPr="00765827">
        <w:rPr>
          <w:rFonts w:eastAsia="Calibri"/>
          <w:sz w:val="24"/>
          <w:szCs w:val="24"/>
          <w:lang w:eastAsia="zh-CN"/>
        </w:rPr>
        <w:t>København S</w:t>
      </w:r>
    </w:p>
    <w:p w14:paraId="2D0C633B" w14:textId="4CC5DB06" w:rsidR="00765827" w:rsidRPr="00765827" w:rsidRDefault="00765827" w:rsidP="00765827">
      <w:pPr>
        <w:suppressAutoHyphens/>
        <w:ind w:left="851"/>
        <w:rPr>
          <w:rFonts w:eastAsia="Calibri"/>
          <w:noProof/>
          <w:color w:val="0000FF"/>
          <w:sz w:val="24"/>
          <w:szCs w:val="24"/>
          <w:u w:val="single"/>
          <w:lang w:eastAsia="zh-CN"/>
        </w:rPr>
      </w:pPr>
      <w:r w:rsidRPr="00765827">
        <w:rPr>
          <w:rFonts w:eastAsia="Calibri"/>
          <w:sz w:val="24"/>
          <w:szCs w:val="24"/>
          <w:lang w:eastAsia="zh-CN"/>
        </w:rPr>
        <w:t>Websted</w:t>
      </w:r>
      <w:r w:rsidRPr="00765827">
        <w:rPr>
          <w:rFonts w:eastAsia="Calibri"/>
          <w:noProof/>
          <w:sz w:val="24"/>
          <w:szCs w:val="24"/>
          <w:lang w:eastAsia="zh-CN"/>
        </w:rPr>
        <w:t>: www.meldenbivirkning.dk</w:t>
      </w:r>
    </w:p>
    <w:p w14:paraId="1FCD502F" w14:textId="77777777" w:rsidR="009260DE" w:rsidRPr="00765827" w:rsidRDefault="009260DE" w:rsidP="00765827">
      <w:pPr>
        <w:tabs>
          <w:tab w:val="left" w:pos="851"/>
        </w:tabs>
        <w:rPr>
          <w:sz w:val="24"/>
          <w:szCs w:val="24"/>
        </w:rPr>
      </w:pPr>
    </w:p>
    <w:p w14:paraId="2289D3B9" w14:textId="77777777"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14:paraId="32CE432C" w14:textId="77777777" w:rsidR="00832CF7" w:rsidRPr="00832CF7" w:rsidRDefault="00832CF7" w:rsidP="00832CF7">
      <w:pPr>
        <w:tabs>
          <w:tab w:val="left" w:pos="851"/>
        </w:tabs>
        <w:ind w:left="851"/>
        <w:rPr>
          <w:sz w:val="24"/>
          <w:szCs w:val="24"/>
        </w:rPr>
      </w:pPr>
      <w:r w:rsidRPr="00832CF7">
        <w:rPr>
          <w:sz w:val="24"/>
          <w:szCs w:val="24"/>
        </w:rPr>
        <w:t xml:space="preserve">Propranolol er kendt for at forårsage svær forgiftning ved overdosering. Patienter bør informeres omkring de tegn, der kan være forbundet med indtagelsen af for store doser af lægemidlet, og bør instrueres i omgående at søge lægehjælp i tilfælde af indtagelse af en større mængde propranolol end foreskrevet. </w:t>
      </w:r>
    </w:p>
    <w:p w14:paraId="2DF3C7B3" w14:textId="77777777" w:rsidR="00832CF7" w:rsidRPr="00832CF7" w:rsidRDefault="00832CF7" w:rsidP="00832CF7">
      <w:pPr>
        <w:tabs>
          <w:tab w:val="left" w:pos="851"/>
        </w:tabs>
        <w:ind w:left="851"/>
        <w:rPr>
          <w:sz w:val="24"/>
          <w:szCs w:val="24"/>
        </w:rPr>
      </w:pPr>
    </w:p>
    <w:p w14:paraId="7C40FA43" w14:textId="77777777" w:rsidR="00832CF7" w:rsidRPr="00832CF7" w:rsidRDefault="00832CF7" w:rsidP="00832CF7">
      <w:pPr>
        <w:tabs>
          <w:tab w:val="left" w:pos="851"/>
        </w:tabs>
        <w:ind w:left="851"/>
        <w:rPr>
          <w:sz w:val="24"/>
          <w:szCs w:val="24"/>
          <w:u w:val="single"/>
        </w:rPr>
      </w:pPr>
      <w:r w:rsidRPr="00832CF7">
        <w:rPr>
          <w:sz w:val="24"/>
          <w:szCs w:val="24"/>
          <w:u w:val="single"/>
        </w:rPr>
        <w:t>Symptomer</w:t>
      </w:r>
    </w:p>
    <w:p w14:paraId="62007578" w14:textId="77777777" w:rsidR="00832CF7" w:rsidRDefault="00832CF7" w:rsidP="00832CF7">
      <w:pPr>
        <w:tabs>
          <w:tab w:val="left" w:pos="851"/>
        </w:tabs>
        <w:ind w:left="851"/>
        <w:rPr>
          <w:i/>
          <w:iCs/>
          <w:sz w:val="24"/>
          <w:szCs w:val="24"/>
        </w:rPr>
      </w:pPr>
    </w:p>
    <w:p w14:paraId="63CDCD2E" w14:textId="2750CE20" w:rsidR="00832CF7" w:rsidRPr="00832CF7" w:rsidRDefault="00832CF7" w:rsidP="00832CF7">
      <w:pPr>
        <w:tabs>
          <w:tab w:val="left" w:pos="851"/>
        </w:tabs>
        <w:ind w:left="851"/>
        <w:rPr>
          <w:sz w:val="24"/>
          <w:szCs w:val="24"/>
        </w:rPr>
      </w:pPr>
      <w:r w:rsidRPr="00832CF7">
        <w:rPr>
          <w:i/>
          <w:iCs/>
          <w:sz w:val="24"/>
          <w:szCs w:val="24"/>
        </w:rPr>
        <w:t xml:space="preserve">Kardiologiske: </w:t>
      </w:r>
      <w:r w:rsidRPr="00832CF7">
        <w:rPr>
          <w:sz w:val="24"/>
          <w:szCs w:val="24"/>
        </w:rPr>
        <w:t>Bradykardi, hypotension and kardiogent shock kan forekomme. QRS</w:t>
      </w:r>
      <w:r w:rsidRPr="00832CF7">
        <w:rPr>
          <w:sz w:val="24"/>
          <w:szCs w:val="24"/>
        </w:rPr>
        <w:noBreakHyphen/>
        <w:t>kompleks forlængelse, QT-forlængelse (enkelte tilfælde), ventrikulær takykardi, første til tredje grads AV</w:t>
      </w:r>
      <w:r w:rsidRPr="00832CF7">
        <w:rPr>
          <w:sz w:val="24"/>
          <w:szCs w:val="24"/>
        </w:rPr>
        <w:noBreakHyphen/>
        <w:t>blok, blodtryksfald, insufficient perifert kredsløb, ventrikelflimmer eller asystoli kan ligeledes forekomme. Forekomsten af kardiovaskulære komplikationer er mere sandsynlige ved samtidig indtagelse af andre lægemidler, der påvirker hjertefunktionen, særligt calciumkanalblokkere, digoxin, cykliske antidepressiva eller neuroleptika.</w:t>
      </w:r>
    </w:p>
    <w:p w14:paraId="69454CD4" w14:textId="77777777" w:rsidR="00832CF7" w:rsidRPr="00832CF7" w:rsidRDefault="00832CF7" w:rsidP="00832CF7">
      <w:pPr>
        <w:tabs>
          <w:tab w:val="left" w:pos="851"/>
        </w:tabs>
        <w:ind w:left="851"/>
        <w:rPr>
          <w:sz w:val="24"/>
          <w:szCs w:val="24"/>
        </w:rPr>
      </w:pPr>
    </w:p>
    <w:p w14:paraId="22A1492B" w14:textId="77777777" w:rsidR="00832CF7" w:rsidRPr="00832CF7" w:rsidRDefault="00832CF7" w:rsidP="00832CF7">
      <w:pPr>
        <w:tabs>
          <w:tab w:val="left" w:pos="851"/>
        </w:tabs>
        <w:ind w:left="851"/>
        <w:rPr>
          <w:sz w:val="24"/>
          <w:szCs w:val="24"/>
        </w:rPr>
      </w:pPr>
      <w:r w:rsidRPr="00832CF7">
        <w:rPr>
          <w:i/>
          <w:iCs/>
          <w:sz w:val="24"/>
          <w:szCs w:val="24"/>
        </w:rPr>
        <w:t>CNS:</w:t>
      </w:r>
      <w:r w:rsidRPr="00832CF7">
        <w:rPr>
          <w:sz w:val="24"/>
          <w:szCs w:val="24"/>
        </w:rPr>
        <w:t xml:space="preserve"> Der kan forekomme døsighed, kramper og i svære tilfælde koma. </w:t>
      </w:r>
    </w:p>
    <w:p w14:paraId="2080BC88" w14:textId="77777777" w:rsidR="00832CF7" w:rsidRPr="00832CF7" w:rsidRDefault="00832CF7" w:rsidP="00832CF7">
      <w:pPr>
        <w:tabs>
          <w:tab w:val="left" w:pos="851"/>
        </w:tabs>
        <w:ind w:left="851"/>
        <w:rPr>
          <w:sz w:val="24"/>
          <w:szCs w:val="24"/>
        </w:rPr>
      </w:pPr>
    </w:p>
    <w:p w14:paraId="05CD72F2" w14:textId="77777777" w:rsidR="00832CF7" w:rsidRPr="00832CF7" w:rsidRDefault="00832CF7" w:rsidP="00832CF7">
      <w:pPr>
        <w:tabs>
          <w:tab w:val="left" w:pos="851"/>
        </w:tabs>
        <w:ind w:left="851"/>
        <w:rPr>
          <w:sz w:val="24"/>
          <w:szCs w:val="24"/>
        </w:rPr>
      </w:pPr>
      <w:r w:rsidRPr="00832CF7">
        <w:rPr>
          <w:i/>
          <w:iCs/>
          <w:sz w:val="24"/>
          <w:szCs w:val="24"/>
        </w:rPr>
        <w:t xml:space="preserve">Andre symptomer: </w:t>
      </w:r>
      <w:r w:rsidRPr="00832CF7">
        <w:rPr>
          <w:sz w:val="24"/>
          <w:szCs w:val="24"/>
        </w:rPr>
        <w:t>Der kan forekomme bronkospasme, hyperkaliæmi, træthed, apnø, døsighed, bevidstløshed, let tremor, øget svedtendens, paræstesi, kvalme, opkastning, mulig øsofagus-spasme, hypoglykæmi (især hos børn) eller hyperglykæmi, nedsat nyrefunktion, forbigående myastenisk syndrom og i sjældne tilfælde, CNS</w:t>
      </w:r>
      <w:r w:rsidRPr="00832CF7">
        <w:rPr>
          <w:sz w:val="24"/>
          <w:szCs w:val="24"/>
        </w:rPr>
        <w:noBreakHyphen/>
        <w:t>medieret respirationsdepression.</w:t>
      </w:r>
    </w:p>
    <w:p w14:paraId="35BF509B" w14:textId="77777777" w:rsidR="00832CF7" w:rsidRPr="00832CF7" w:rsidRDefault="00832CF7" w:rsidP="00832CF7">
      <w:pPr>
        <w:tabs>
          <w:tab w:val="left" w:pos="851"/>
        </w:tabs>
        <w:ind w:left="851"/>
        <w:rPr>
          <w:sz w:val="24"/>
          <w:szCs w:val="24"/>
        </w:rPr>
      </w:pPr>
    </w:p>
    <w:p w14:paraId="078427F9" w14:textId="77777777" w:rsidR="00832CF7" w:rsidRPr="00832CF7" w:rsidRDefault="00832CF7" w:rsidP="00832CF7">
      <w:pPr>
        <w:tabs>
          <w:tab w:val="left" w:pos="851"/>
        </w:tabs>
        <w:ind w:left="851"/>
        <w:rPr>
          <w:sz w:val="24"/>
          <w:szCs w:val="24"/>
        </w:rPr>
      </w:pPr>
      <w:r w:rsidRPr="00832CF7">
        <w:rPr>
          <w:i/>
          <w:iCs/>
          <w:sz w:val="24"/>
          <w:szCs w:val="24"/>
        </w:rPr>
        <w:t>Behandling:</w:t>
      </w:r>
      <w:r w:rsidRPr="00832CF7">
        <w:rPr>
          <w:sz w:val="24"/>
          <w:szCs w:val="24"/>
        </w:rPr>
        <w:t xml:space="preserve"> I tilfælde af betydelig overdosering er der risiko for alvorlige og livstruende tilstande med hjertearytmier, hjertesvigt, nedsat bevidsthedsniveau og kramper. Der kan være behov for at indlede avanceret kredsløbsunderstøttelse og antiarytmisk behandling, kontakt den lokale giftlinje for rådgivning.</w:t>
      </w:r>
    </w:p>
    <w:p w14:paraId="46B35D09" w14:textId="77777777" w:rsidR="009260DE" w:rsidRPr="00C84483" w:rsidRDefault="009260DE" w:rsidP="009260DE">
      <w:pPr>
        <w:tabs>
          <w:tab w:val="left" w:pos="851"/>
        </w:tabs>
        <w:ind w:left="851"/>
        <w:rPr>
          <w:sz w:val="24"/>
          <w:szCs w:val="24"/>
        </w:rPr>
      </w:pPr>
    </w:p>
    <w:p w14:paraId="6A050A58" w14:textId="77777777"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14:paraId="5E6AB745" w14:textId="1E24410F" w:rsidR="009260DE" w:rsidRPr="00C84483" w:rsidRDefault="00832CF7" w:rsidP="009260DE">
      <w:pPr>
        <w:tabs>
          <w:tab w:val="left" w:pos="851"/>
        </w:tabs>
        <w:ind w:left="851"/>
        <w:rPr>
          <w:sz w:val="24"/>
          <w:szCs w:val="24"/>
        </w:rPr>
      </w:pPr>
      <w:r>
        <w:rPr>
          <w:sz w:val="24"/>
          <w:szCs w:val="24"/>
        </w:rPr>
        <w:t>B</w:t>
      </w:r>
    </w:p>
    <w:p w14:paraId="3F05C216" w14:textId="77777777" w:rsidR="009260DE" w:rsidRPr="00C84483" w:rsidRDefault="009260DE" w:rsidP="009260DE">
      <w:pPr>
        <w:tabs>
          <w:tab w:val="left" w:pos="851"/>
        </w:tabs>
        <w:ind w:left="851"/>
        <w:rPr>
          <w:sz w:val="24"/>
          <w:szCs w:val="24"/>
        </w:rPr>
      </w:pPr>
    </w:p>
    <w:p w14:paraId="5AF38EAC" w14:textId="77777777" w:rsidR="009260DE" w:rsidRPr="00C84483" w:rsidRDefault="009260DE" w:rsidP="009260DE">
      <w:pPr>
        <w:tabs>
          <w:tab w:val="left" w:pos="851"/>
        </w:tabs>
        <w:ind w:left="851"/>
        <w:rPr>
          <w:sz w:val="24"/>
          <w:szCs w:val="24"/>
        </w:rPr>
      </w:pPr>
    </w:p>
    <w:p w14:paraId="4CB53DAA" w14:textId="77777777"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14:paraId="600B9326" w14:textId="77777777" w:rsidR="009260DE" w:rsidRPr="00C84483" w:rsidRDefault="009260DE" w:rsidP="009260DE">
      <w:pPr>
        <w:tabs>
          <w:tab w:val="left" w:pos="851"/>
        </w:tabs>
        <w:ind w:left="851"/>
        <w:rPr>
          <w:sz w:val="24"/>
          <w:szCs w:val="24"/>
        </w:rPr>
      </w:pPr>
    </w:p>
    <w:p w14:paraId="37190454" w14:textId="77777777"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t>Farmakodynamiske egenskaber</w:t>
      </w:r>
    </w:p>
    <w:p w14:paraId="176D5C20" w14:textId="218F543C" w:rsidR="00652489" w:rsidRPr="00652489" w:rsidRDefault="00652489" w:rsidP="00652489">
      <w:pPr>
        <w:tabs>
          <w:tab w:val="left" w:pos="851"/>
        </w:tabs>
        <w:ind w:left="851"/>
        <w:rPr>
          <w:sz w:val="24"/>
          <w:szCs w:val="24"/>
        </w:rPr>
      </w:pPr>
      <w:r w:rsidRPr="00652489">
        <w:rPr>
          <w:sz w:val="24"/>
          <w:szCs w:val="24"/>
        </w:rPr>
        <w:t xml:space="preserve">Farmakoterapeutisk klassifikation: </w:t>
      </w:r>
      <w:r>
        <w:rPr>
          <w:sz w:val="24"/>
          <w:szCs w:val="24"/>
        </w:rPr>
        <w:t>B</w:t>
      </w:r>
      <w:r w:rsidRPr="00652489">
        <w:rPr>
          <w:sz w:val="24"/>
          <w:szCs w:val="24"/>
        </w:rPr>
        <w:t>etablokerende midler, ikke</w:t>
      </w:r>
      <w:r w:rsidRPr="00652489">
        <w:rPr>
          <w:sz w:val="24"/>
          <w:szCs w:val="24"/>
        </w:rPr>
        <w:noBreakHyphen/>
        <w:t>selektive (betablokker), ATC-kode: C07AA05</w:t>
      </w:r>
      <w:r w:rsidR="00A24829">
        <w:rPr>
          <w:sz w:val="24"/>
          <w:szCs w:val="24"/>
        </w:rPr>
        <w:t>.</w:t>
      </w:r>
    </w:p>
    <w:p w14:paraId="5973FDAF" w14:textId="77777777" w:rsidR="00652489" w:rsidRPr="00652489" w:rsidRDefault="00652489" w:rsidP="00652489">
      <w:pPr>
        <w:tabs>
          <w:tab w:val="left" w:pos="851"/>
        </w:tabs>
        <w:ind w:left="851"/>
        <w:rPr>
          <w:bCs/>
          <w:sz w:val="24"/>
          <w:szCs w:val="24"/>
        </w:rPr>
      </w:pPr>
    </w:p>
    <w:p w14:paraId="51D7F60B" w14:textId="77777777" w:rsidR="00652489" w:rsidRPr="00652489" w:rsidRDefault="00652489" w:rsidP="00652489">
      <w:pPr>
        <w:tabs>
          <w:tab w:val="left" w:pos="851"/>
        </w:tabs>
        <w:ind w:left="851"/>
        <w:rPr>
          <w:bCs/>
          <w:sz w:val="24"/>
          <w:szCs w:val="24"/>
          <w:u w:val="single"/>
        </w:rPr>
      </w:pPr>
      <w:r w:rsidRPr="00652489">
        <w:rPr>
          <w:bCs/>
          <w:sz w:val="24"/>
          <w:szCs w:val="24"/>
          <w:u w:val="single"/>
        </w:rPr>
        <w:t>Virkningsmekanisme</w:t>
      </w:r>
    </w:p>
    <w:p w14:paraId="6506EB2C" w14:textId="77777777" w:rsidR="00652489" w:rsidRPr="00652489" w:rsidRDefault="00652489" w:rsidP="00652489">
      <w:pPr>
        <w:tabs>
          <w:tab w:val="left" w:pos="851"/>
        </w:tabs>
        <w:ind w:left="851"/>
        <w:rPr>
          <w:bCs/>
          <w:sz w:val="24"/>
          <w:szCs w:val="24"/>
        </w:rPr>
      </w:pPr>
      <w:r w:rsidRPr="00652489">
        <w:rPr>
          <w:bCs/>
          <w:sz w:val="24"/>
          <w:szCs w:val="24"/>
        </w:rPr>
        <w:t>Propranolol er et beta</w:t>
      </w:r>
      <w:r w:rsidRPr="00652489">
        <w:rPr>
          <w:sz w:val="24"/>
          <w:szCs w:val="24"/>
          <w:vertAlign w:val="subscript"/>
        </w:rPr>
        <w:t>1</w:t>
      </w:r>
      <w:r w:rsidRPr="00652489">
        <w:rPr>
          <w:bCs/>
          <w:sz w:val="24"/>
          <w:szCs w:val="24"/>
        </w:rPr>
        <w:noBreakHyphen/>
        <w:t xml:space="preserve"> og beta</w:t>
      </w:r>
      <w:r w:rsidRPr="00652489">
        <w:rPr>
          <w:sz w:val="24"/>
          <w:szCs w:val="24"/>
          <w:vertAlign w:val="subscript"/>
        </w:rPr>
        <w:t>2</w:t>
      </w:r>
      <w:r w:rsidRPr="00652489">
        <w:rPr>
          <w:bCs/>
          <w:sz w:val="24"/>
          <w:szCs w:val="24"/>
        </w:rPr>
        <w:noBreakHyphen/>
        <w:t>adrenoceptor blokkerende lægemiddel. Propranolol har en svag virkning på membranstabiliseringen. Propranolol er fri for beta</w:t>
      </w:r>
      <w:r w:rsidRPr="00652489">
        <w:rPr>
          <w:bCs/>
          <w:sz w:val="24"/>
          <w:szCs w:val="24"/>
        </w:rPr>
        <w:noBreakHyphen/>
        <w:t xml:space="preserve">receptorstimulerende egenskaber. Betablokkere har negative inotrope og kronotrope virkninger. </w:t>
      </w:r>
    </w:p>
    <w:p w14:paraId="5578D565" w14:textId="77777777" w:rsidR="00652489" w:rsidRPr="00652489" w:rsidRDefault="00652489" w:rsidP="00652489">
      <w:pPr>
        <w:tabs>
          <w:tab w:val="left" w:pos="851"/>
        </w:tabs>
        <w:ind w:left="851"/>
        <w:rPr>
          <w:bCs/>
          <w:sz w:val="24"/>
          <w:szCs w:val="24"/>
        </w:rPr>
      </w:pPr>
      <w:r w:rsidRPr="00652489">
        <w:rPr>
          <w:bCs/>
          <w:sz w:val="24"/>
          <w:szCs w:val="24"/>
        </w:rPr>
        <w:t xml:space="preserve">Propranolol er en racemisk blanding, hvor den aktive form er </w:t>
      </w:r>
      <w:r w:rsidRPr="00652489">
        <w:rPr>
          <w:sz w:val="24"/>
          <w:szCs w:val="24"/>
        </w:rPr>
        <w:t>S (-) enantio</w:t>
      </w:r>
      <w:r w:rsidRPr="00652489">
        <w:rPr>
          <w:bCs/>
          <w:sz w:val="24"/>
          <w:szCs w:val="24"/>
        </w:rPr>
        <w:t xml:space="preserve">meren. Propranolol hæmmer catecholaminers virkning i forbindelse med psykologisk og fysiologisk belastning og sænker hjertefrekvensen, minutvolumen og blodtrykket. </w:t>
      </w:r>
      <w:r w:rsidRPr="00652489">
        <w:rPr>
          <w:bCs/>
          <w:sz w:val="24"/>
          <w:szCs w:val="24"/>
        </w:rPr>
        <w:lastRenderedPageBreak/>
        <w:t>Propranolol kan sænke de øgede T</w:t>
      </w:r>
      <w:r w:rsidRPr="00652489">
        <w:rPr>
          <w:sz w:val="24"/>
          <w:szCs w:val="24"/>
          <w:vertAlign w:val="subscript"/>
        </w:rPr>
        <w:t>3</w:t>
      </w:r>
      <w:r w:rsidRPr="00652489">
        <w:rPr>
          <w:bCs/>
          <w:sz w:val="24"/>
          <w:szCs w:val="24"/>
        </w:rPr>
        <w:noBreakHyphen/>
        <w:t>værdier ved hyperthyreoidisme ganske let. T</w:t>
      </w:r>
      <w:r w:rsidRPr="00652489">
        <w:rPr>
          <w:sz w:val="24"/>
          <w:szCs w:val="24"/>
          <w:vertAlign w:val="subscript"/>
        </w:rPr>
        <w:t>4</w:t>
      </w:r>
      <w:r w:rsidRPr="00652489">
        <w:rPr>
          <w:bCs/>
          <w:sz w:val="24"/>
          <w:szCs w:val="24"/>
        </w:rPr>
        <w:t xml:space="preserve"> påvirkes ikke. Propranolol nedsætter trykket i den portale vene og reducerer den portosystemiske kollaterale gennemstrømning hos patienter med levercirrose.</w:t>
      </w:r>
    </w:p>
    <w:p w14:paraId="6E937F9E" w14:textId="77777777" w:rsidR="009260DE" w:rsidRPr="00C84483" w:rsidRDefault="009260DE" w:rsidP="009260DE">
      <w:pPr>
        <w:tabs>
          <w:tab w:val="left" w:pos="851"/>
        </w:tabs>
        <w:ind w:left="851"/>
        <w:rPr>
          <w:sz w:val="24"/>
          <w:szCs w:val="24"/>
        </w:rPr>
      </w:pPr>
    </w:p>
    <w:p w14:paraId="2B93D0AD" w14:textId="77777777"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t>Farmakokinetiske egenskaber</w:t>
      </w:r>
    </w:p>
    <w:p w14:paraId="6E7CC99E" w14:textId="77777777" w:rsidR="00A24829" w:rsidRDefault="00A24829" w:rsidP="00A24829">
      <w:pPr>
        <w:tabs>
          <w:tab w:val="left" w:pos="851"/>
        </w:tabs>
        <w:ind w:left="851"/>
        <w:rPr>
          <w:sz w:val="24"/>
          <w:szCs w:val="24"/>
          <w:u w:val="single"/>
        </w:rPr>
      </w:pPr>
    </w:p>
    <w:p w14:paraId="2B1C1DC5" w14:textId="27F7F4F3" w:rsidR="00A24829" w:rsidRPr="00A24829" w:rsidRDefault="00A24829" w:rsidP="00A24829">
      <w:pPr>
        <w:tabs>
          <w:tab w:val="left" w:pos="851"/>
        </w:tabs>
        <w:ind w:left="851"/>
        <w:rPr>
          <w:sz w:val="24"/>
          <w:szCs w:val="24"/>
          <w:u w:val="single"/>
        </w:rPr>
      </w:pPr>
      <w:r w:rsidRPr="00A24829">
        <w:rPr>
          <w:sz w:val="24"/>
          <w:szCs w:val="24"/>
          <w:u w:val="single"/>
        </w:rPr>
        <w:t>Absorption</w:t>
      </w:r>
    </w:p>
    <w:p w14:paraId="70AEEA80" w14:textId="77777777" w:rsidR="00A24829" w:rsidRPr="00A24829" w:rsidRDefault="00A24829" w:rsidP="00A24829">
      <w:pPr>
        <w:tabs>
          <w:tab w:val="left" w:pos="851"/>
        </w:tabs>
        <w:ind w:left="851"/>
        <w:rPr>
          <w:sz w:val="24"/>
          <w:szCs w:val="24"/>
        </w:rPr>
      </w:pPr>
      <w:r w:rsidRPr="00A24829">
        <w:rPr>
          <w:sz w:val="24"/>
          <w:szCs w:val="24"/>
        </w:rPr>
        <w:t>Biotilgængeligheden af Propranolol "Medical Valley" er omkring 25 %. Den interindividuelle variation af plasmakoncentrationen efter indtagelse af Propranolol "Medical Valley" er 20</w:t>
      </w:r>
      <w:r w:rsidRPr="00A24829">
        <w:rPr>
          <w:sz w:val="24"/>
          <w:szCs w:val="24"/>
        </w:rPr>
        <w:noBreakHyphen/>
        <w:t>gange. Biotilgængeligheden øges let med patientens alder. Samtidig indtagelse af mad øger biotilgængeligheden af Propranolol "Medical Valley".</w:t>
      </w:r>
    </w:p>
    <w:p w14:paraId="01672BD6" w14:textId="77777777" w:rsidR="00A24829" w:rsidRPr="00A24829" w:rsidRDefault="00A24829" w:rsidP="00A24829">
      <w:pPr>
        <w:tabs>
          <w:tab w:val="left" w:pos="851"/>
        </w:tabs>
        <w:ind w:left="851"/>
        <w:rPr>
          <w:sz w:val="24"/>
          <w:szCs w:val="24"/>
        </w:rPr>
      </w:pPr>
    </w:p>
    <w:p w14:paraId="6E09639E" w14:textId="77777777" w:rsidR="00A24829" w:rsidRPr="00A24829" w:rsidRDefault="00A24829" w:rsidP="00A24829">
      <w:pPr>
        <w:tabs>
          <w:tab w:val="left" w:pos="851"/>
        </w:tabs>
        <w:ind w:left="851"/>
        <w:rPr>
          <w:sz w:val="24"/>
          <w:szCs w:val="24"/>
          <w:u w:val="single"/>
        </w:rPr>
      </w:pPr>
      <w:r w:rsidRPr="00A24829">
        <w:rPr>
          <w:sz w:val="24"/>
          <w:szCs w:val="24"/>
          <w:u w:val="single"/>
        </w:rPr>
        <w:t>Fordeling</w:t>
      </w:r>
    </w:p>
    <w:p w14:paraId="793F8B0C" w14:textId="77777777" w:rsidR="00A24829" w:rsidRPr="00A24829" w:rsidRDefault="00A24829" w:rsidP="00A24829">
      <w:pPr>
        <w:tabs>
          <w:tab w:val="left" w:pos="851"/>
        </w:tabs>
        <w:ind w:left="851"/>
        <w:rPr>
          <w:sz w:val="24"/>
          <w:szCs w:val="24"/>
        </w:rPr>
      </w:pPr>
      <w:r w:rsidRPr="00A24829">
        <w:rPr>
          <w:sz w:val="24"/>
          <w:szCs w:val="24"/>
        </w:rPr>
        <w:t>Den maksimale plasmakoncentration nås efter 1</w:t>
      </w:r>
      <w:r w:rsidRPr="00A24829">
        <w:rPr>
          <w:sz w:val="24"/>
          <w:szCs w:val="24"/>
        </w:rPr>
        <w:noBreakHyphen/>
        <w:t>2 timer. Plasmaproteinbinding er omkring 95 % og fordelingsvolumen er omkring 3 l/kg.</w:t>
      </w:r>
    </w:p>
    <w:p w14:paraId="15C65142" w14:textId="77777777" w:rsidR="00A24829" w:rsidRPr="00A24829" w:rsidRDefault="00A24829" w:rsidP="00A24829">
      <w:pPr>
        <w:tabs>
          <w:tab w:val="left" w:pos="851"/>
        </w:tabs>
        <w:ind w:left="851"/>
        <w:rPr>
          <w:sz w:val="24"/>
          <w:szCs w:val="24"/>
        </w:rPr>
      </w:pPr>
    </w:p>
    <w:p w14:paraId="74281B3A" w14:textId="77777777" w:rsidR="00A24829" w:rsidRPr="00A24829" w:rsidRDefault="00A24829" w:rsidP="00A24829">
      <w:pPr>
        <w:tabs>
          <w:tab w:val="left" w:pos="851"/>
        </w:tabs>
        <w:ind w:left="851"/>
        <w:rPr>
          <w:sz w:val="24"/>
          <w:szCs w:val="24"/>
          <w:u w:val="single"/>
        </w:rPr>
      </w:pPr>
      <w:r w:rsidRPr="00A24829">
        <w:rPr>
          <w:sz w:val="24"/>
          <w:szCs w:val="24"/>
          <w:u w:val="single"/>
        </w:rPr>
        <w:t>Biotransformation</w:t>
      </w:r>
    </w:p>
    <w:p w14:paraId="41A9807F" w14:textId="77777777" w:rsidR="00A24829" w:rsidRPr="00A24829" w:rsidRDefault="00A24829" w:rsidP="00A24829">
      <w:pPr>
        <w:tabs>
          <w:tab w:val="left" w:pos="851"/>
        </w:tabs>
        <w:ind w:left="851"/>
        <w:rPr>
          <w:sz w:val="24"/>
          <w:szCs w:val="24"/>
        </w:rPr>
      </w:pPr>
      <w:r w:rsidRPr="00A24829">
        <w:rPr>
          <w:sz w:val="24"/>
          <w:szCs w:val="24"/>
        </w:rPr>
        <w:t>Propranolol metaboliseres primært i leveren, og der er beskrevet aktive metabolitter såsom 4</w:t>
      </w:r>
      <w:r w:rsidRPr="00A24829">
        <w:rPr>
          <w:sz w:val="24"/>
          <w:szCs w:val="24"/>
        </w:rPr>
        <w:noBreakHyphen/>
        <w:t xml:space="preserve">hydroxypropranolol. </w:t>
      </w:r>
    </w:p>
    <w:p w14:paraId="1EB36EDE" w14:textId="77777777" w:rsidR="00A24829" w:rsidRPr="00A24829" w:rsidRDefault="00A24829" w:rsidP="00A24829">
      <w:pPr>
        <w:tabs>
          <w:tab w:val="left" w:pos="851"/>
        </w:tabs>
        <w:ind w:left="851"/>
        <w:rPr>
          <w:sz w:val="24"/>
          <w:szCs w:val="24"/>
        </w:rPr>
      </w:pPr>
    </w:p>
    <w:p w14:paraId="64B0EF3F" w14:textId="77777777" w:rsidR="00A24829" w:rsidRPr="00A24829" w:rsidRDefault="00A24829" w:rsidP="00A24829">
      <w:pPr>
        <w:tabs>
          <w:tab w:val="left" w:pos="851"/>
        </w:tabs>
        <w:ind w:left="851"/>
        <w:rPr>
          <w:sz w:val="24"/>
          <w:szCs w:val="24"/>
          <w:u w:val="single"/>
        </w:rPr>
      </w:pPr>
      <w:r w:rsidRPr="00A24829">
        <w:rPr>
          <w:sz w:val="24"/>
          <w:szCs w:val="24"/>
          <w:u w:val="single"/>
        </w:rPr>
        <w:t>Elimination</w:t>
      </w:r>
    </w:p>
    <w:p w14:paraId="72D7315B" w14:textId="77777777" w:rsidR="00A24829" w:rsidRPr="00A24829" w:rsidRDefault="00A24829" w:rsidP="00A24829">
      <w:pPr>
        <w:tabs>
          <w:tab w:val="left" w:pos="851"/>
        </w:tabs>
        <w:ind w:left="851"/>
        <w:rPr>
          <w:sz w:val="24"/>
          <w:szCs w:val="24"/>
        </w:rPr>
      </w:pPr>
      <w:r w:rsidRPr="00A24829">
        <w:rPr>
          <w:sz w:val="24"/>
          <w:szCs w:val="24"/>
        </w:rPr>
        <w:t xml:space="preserve">Inden for 48 timer udskilles omkring 90 % gennem urinen og mindre end 5 % i fæces. </w:t>
      </w:r>
    </w:p>
    <w:p w14:paraId="448D585C" w14:textId="77777777" w:rsidR="00A24829" w:rsidRPr="00A24829" w:rsidRDefault="00A24829" w:rsidP="00A24829">
      <w:pPr>
        <w:tabs>
          <w:tab w:val="left" w:pos="851"/>
        </w:tabs>
        <w:ind w:left="851"/>
        <w:rPr>
          <w:sz w:val="24"/>
          <w:szCs w:val="24"/>
        </w:rPr>
      </w:pPr>
      <w:r w:rsidRPr="00A24829">
        <w:rPr>
          <w:sz w:val="24"/>
          <w:szCs w:val="24"/>
        </w:rPr>
        <w:t>Plasmakoncentrationen og eliminationshastigheden afhænger af leverfunktionen. Plasmahalveringstiden ved kronisk behandling er 4</w:t>
      </w:r>
      <w:r w:rsidRPr="00A24829">
        <w:rPr>
          <w:sz w:val="24"/>
          <w:szCs w:val="24"/>
        </w:rPr>
        <w:noBreakHyphen/>
        <w:t xml:space="preserve">6 timer, mens virkningen på hjertefrekvens og blodtryk generelt forbliver uændret 12 timer efter indtagelse af sidste tablet. </w:t>
      </w:r>
    </w:p>
    <w:p w14:paraId="411171AE" w14:textId="77777777" w:rsidR="009260DE" w:rsidRPr="00C84483" w:rsidRDefault="009260DE" w:rsidP="009260DE">
      <w:pPr>
        <w:tabs>
          <w:tab w:val="left" w:pos="851"/>
        </w:tabs>
        <w:ind w:left="851"/>
        <w:rPr>
          <w:sz w:val="24"/>
          <w:szCs w:val="24"/>
        </w:rPr>
      </w:pPr>
    </w:p>
    <w:p w14:paraId="5542EECF" w14:textId="77777777"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r w:rsidR="00BD7931">
        <w:rPr>
          <w:b/>
          <w:sz w:val="24"/>
          <w:szCs w:val="24"/>
        </w:rPr>
        <w:t>Non-</w:t>
      </w:r>
      <w:r w:rsidRPr="00C84483">
        <w:rPr>
          <w:b/>
          <w:sz w:val="24"/>
          <w:szCs w:val="24"/>
        </w:rPr>
        <w:t>kliniske sikkerhedsdata</w:t>
      </w:r>
    </w:p>
    <w:p w14:paraId="03D069CC" w14:textId="7DB5A19A" w:rsidR="009260DE" w:rsidRPr="00C84483" w:rsidRDefault="00321AF3" w:rsidP="009260DE">
      <w:pPr>
        <w:tabs>
          <w:tab w:val="left" w:pos="851"/>
        </w:tabs>
        <w:ind w:left="851"/>
        <w:rPr>
          <w:sz w:val="24"/>
          <w:szCs w:val="24"/>
        </w:rPr>
      </w:pPr>
      <w:r>
        <w:rPr>
          <w:sz w:val="24"/>
          <w:szCs w:val="24"/>
        </w:rPr>
        <w:t>-</w:t>
      </w:r>
    </w:p>
    <w:p w14:paraId="6D776E7B" w14:textId="77777777" w:rsidR="009260DE" w:rsidRPr="00C84483" w:rsidRDefault="009260DE" w:rsidP="009260DE">
      <w:pPr>
        <w:tabs>
          <w:tab w:val="left" w:pos="851"/>
        </w:tabs>
        <w:ind w:left="851"/>
        <w:rPr>
          <w:sz w:val="24"/>
          <w:szCs w:val="24"/>
        </w:rPr>
      </w:pPr>
    </w:p>
    <w:p w14:paraId="19D64771" w14:textId="77777777" w:rsidR="009260DE" w:rsidRPr="00C84483" w:rsidRDefault="009260DE" w:rsidP="009260DE">
      <w:pPr>
        <w:tabs>
          <w:tab w:val="left" w:pos="851"/>
        </w:tabs>
        <w:ind w:left="851"/>
        <w:rPr>
          <w:sz w:val="24"/>
          <w:szCs w:val="24"/>
        </w:rPr>
      </w:pPr>
    </w:p>
    <w:p w14:paraId="4C7F7D1C" w14:textId="77777777"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14:paraId="51EF8AD0" w14:textId="77777777" w:rsidR="009260DE" w:rsidRPr="00BA09F1" w:rsidRDefault="009260DE" w:rsidP="009260DE">
      <w:pPr>
        <w:tabs>
          <w:tab w:val="left" w:pos="851"/>
        </w:tabs>
        <w:ind w:left="851"/>
        <w:rPr>
          <w:sz w:val="24"/>
          <w:szCs w:val="24"/>
        </w:rPr>
      </w:pPr>
    </w:p>
    <w:p w14:paraId="6DAD4020" w14:textId="77777777"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14:paraId="29CE2125" w14:textId="77777777" w:rsidR="008F344B" w:rsidRPr="0081756B" w:rsidRDefault="008F344B" w:rsidP="008F344B">
      <w:pPr>
        <w:tabs>
          <w:tab w:val="left" w:pos="851"/>
        </w:tabs>
        <w:ind w:left="851"/>
        <w:rPr>
          <w:sz w:val="24"/>
          <w:szCs w:val="24"/>
          <w:u w:val="single"/>
        </w:rPr>
      </w:pPr>
    </w:p>
    <w:p w14:paraId="397CE402" w14:textId="043CC13E" w:rsidR="008F344B" w:rsidRPr="008F344B" w:rsidRDefault="008F344B" w:rsidP="008F344B">
      <w:pPr>
        <w:tabs>
          <w:tab w:val="left" w:pos="851"/>
        </w:tabs>
        <w:ind w:left="851"/>
        <w:rPr>
          <w:sz w:val="24"/>
          <w:szCs w:val="24"/>
          <w:u w:val="single"/>
          <w:lang w:val="en-US"/>
        </w:rPr>
      </w:pPr>
      <w:r w:rsidRPr="008F344B">
        <w:rPr>
          <w:sz w:val="24"/>
          <w:szCs w:val="24"/>
          <w:u w:val="single"/>
          <w:lang w:val="en-US"/>
        </w:rPr>
        <w:t>Tabletkerne</w:t>
      </w:r>
    </w:p>
    <w:p w14:paraId="0743ED15" w14:textId="77777777" w:rsidR="008F344B" w:rsidRPr="008F344B" w:rsidRDefault="008F344B" w:rsidP="008F344B">
      <w:pPr>
        <w:tabs>
          <w:tab w:val="left" w:pos="851"/>
        </w:tabs>
        <w:ind w:left="851"/>
        <w:rPr>
          <w:sz w:val="24"/>
          <w:szCs w:val="24"/>
          <w:lang w:val="en-US"/>
        </w:rPr>
      </w:pPr>
      <w:r w:rsidRPr="008F344B">
        <w:rPr>
          <w:sz w:val="24"/>
          <w:szCs w:val="24"/>
          <w:lang w:val="en-US"/>
        </w:rPr>
        <w:t xml:space="preserve">Lactosemonohydrat </w:t>
      </w:r>
    </w:p>
    <w:p w14:paraId="53EAF5A0" w14:textId="77777777" w:rsidR="008F344B" w:rsidRPr="008F344B" w:rsidRDefault="008F344B" w:rsidP="008F344B">
      <w:pPr>
        <w:tabs>
          <w:tab w:val="left" w:pos="851"/>
        </w:tabs>
        <w:ind w:left="851"/>
        <w:rPr>
          <w:sz w:val="24"/>
          <w:szCs w:val="24"/>
          <w:lang w:val="en-US"/>
        </w:rPr>
      </w:pPr>
      <w:r w:rsidRPr="008F344B">
        <w:rPr>
          <w:sz w:val="24"/>
          <w:szCs w:val="24"/>
          <w:lang w:val="en-US"/>
        </w:rPr>
        <w:t>Carmellosecalcium</w:t>
      </w:r>
    </w:p>
    <w:p w14:paraId="77DDE166" w14:textId="77777777" w:rsidR="008F344B" w:rsidRPr="008F344B" w:rsidRDefault="008F344B" w:rsidP="008F344B">
      <w:pPr>
        <w:tabs>
          <w:tab w:val="left" w:pos="851"/>
        </w:tabs>
        <w:ind w:left="851"/>
        <w:rPr>
          <w:sz w:val="24"/>
          <w:szCs w:val="24"/>
          <w:lang w:val="en-US"/>
        </w:rPr>
      </w:pPr>
      <w:r w:rsidRPr="008F344B">
        <w:rPr>
          <w:sz w:val="24"/>
          <w:szCs w:val="24"/>
          <w:lang w:val="en-US"/>
        </w:rPr>
        <w:t>Povidon (E1201)</w:t>
      </w:r>
    </w:p>
    <w:p w14:paraId="161D03F0" w14:textId="77777777" w:rsidR="008F344B" w:rsidRPr="008F344B" w:rsidRDefault="008F344B" w:rsidP="008F344B">
      <w:pPr>
        <w:tabs>
          <w:tab w:val="left" w:pos="851"/>
        </w:tabs>
        <w:ind w:left="851"/>
        <w:rPr>
          <w:sz w:val="24"/>
          <w:szCs w:val="24"/>
        </w:rPr>
      </w:pPr>
      <w:r w:rsidRPr="008F344B">
        <w:rPr>
          <w:sz w:val="24"/>
          <w:szCs w:val="24"/>
        </w:rPr>
        <w:t>Magnesiumstearat (E572)</w:t>
      </w:r>
    </w:p>
    <w:p w14:paraId="722CC7A8" w14:textId="77777777" w:rsidR="008F344B" w:rsidRPr="008F344B" w:rsidRDefault="008F344B" w:rsidP="008F344B">
      <w:pPr>
        <w:tabs>
          <w:tab w:val="left" w:pos="851"/>
        </w:tabs>
        <w:ind w:left="851"/>
        <w:rPr>
          <w:sz w:val="24"/>
          <w:szCs w:val="24"/>
        </w:rPr>
      </w:pPr>
    </w:p>
    <w:p w14:paraId="3AF45E16" w14:textId="77777777" w:rsidR="008F344B" w:rsidRPr="008F344B" w:rsidRDefault="008F344B" w:rsidP="008F344B">
      <w:pPr>
        <w:tabs>
          <w:tab w:val="left" w:pos="851"/>
        </w:tabs>
        <w:ind w:left="851"/>
        <w:rPr>
          <w:sz w:val="24"/>
          <w:szCs w:val="24"/>
          <w:u w:val="single"/>
        </w:rPr>
      </w:pPr>
      <w:r w:rsidRPr="008F344B">
        <w:rPr>
          <w:sz w:val="24"/>
          <w:szCs w:val="24"/>
          <w:u w:val="single"/>
        </w:rPr>
        <w:t>Tabletovertræk</w:t>
      </w:r>
    </w:p>
    <w:p w14:paraId="4BCA34C1" w14:textId="77777777" w:rsidR="008F344B" w:rsidRPr="008F344B" w:rsidRDefault="008F344B" w:rsidP="008F344B">
      <w:pPr>
        <w:tabs>
          <w:tab w:val="left" w:pos="851"/>
        </w:tabs>
        <w:ind w:left="851"/>
        <w:rPr>
          <w:sz w:val="24"/>
          <w:szCs w:val="24"/>
        </w:rPr>
      </w:pPr>
      <w:r w:rsidRPr="008F344B">
        <w:rPr>
          <w:sz w:val="24"/>
          <w:szCs w:val="24"/>
        </w:rPr>
        <w:t xml:space="preserve">Hypromellose </w:t>
      </w:r>
    </w:p>
    <w:p w14:paraId="2756A3E3" w14:textId="77777777" w:rsidR="008F344B" w:rsidRPr="008F344B" w:rsidRDefault="008F344B" w:rsidP="008F344B">
      <w:pPr>
        <w:tabs>
          <w:tab w:val="left" w:pos="851"/>
        </w:tabs>
        <w:ind w:left="851"/>
        <w:rPr>
          <w:sz w:val="24"/>
          <w:szCs w:val="24"/>
        </w:rPr>
      </w:pPr>
      <w:r w:rsidRPr="008F344B">
        <w:rPr>
          <w:sz w:val="24"/>
          <w:szCs w:val="24"/>
        </w:rPr>
        <w:t xml:space="preserve">Titandioxid </w:t>
      </w:r>
    </w:p>
    <w:p w14:paraId="41D9F1CA" w14:textId="77777777" w:rsidR="008F344B" w:rsidRPr="008F344B" w:rsidRDefault="008F344B" w:rsidP="008F344B">
      <w:pPr>
        <w:tabs>
          <w:tab w:val="left" w:pos="851"/>
        </w:tabs>
        <w:ind w:left="851"/>
        <w:rPr>
          <w:sz w:val="24"/>
          <w:szCs w:val="24"/>
        </w:rPr>
      </w:pPr>
      <w:r w:rsidRPr="008F344B">
        <w:rPr>
          <w:sz w:val="24"/>
          <w:szCs w:val="24"/>
        </w:rPr>
        <w:t>Glycerol</w:t>
      </w:r>
    </w:p>
    <w:p w14:paraId="587D07AA" w14:textId="77777777" w:rsidR="009260DE" w:rsidRPr="00C84483" w:rsidRDefault="009260DE" w:rsidP="009260DE">
      <w:pPr>
        <w:tabs>
          <w:tab w:val="left" w:pos="851"/>
        </w:tabs>
        <w:ind w:left="851"/>
        <w:rPr>
          <w:sz w:val="24"/>
          <w:szCs w:val="24"/>
        </w:rPr>
      </w:pPr>
    </w:p>
    <w:p w14:paraId="4F9BDB86" w14:textId="77777777"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14:paraId="4A3A3C57" w14:textId="77777777" w:rsidR="008F344B" w:rsidRPr="008F344B" w:rsidRDefault="008F344B" w:rsidP="008F344B">
      <w:pPr>
        <w:tabs>
          <w:tab w:val="left" w:pos="851"/>
        </w:tabs>
        <w:ind w:left="851"/>
        <w:rPr>
          <w:sz w:val="24"/>
          <w:szCs w:val="24"/>
        </w:rPr>
      </w:pPr>
      <w:r w:rsidRPr="008F344B">
        <w:rPr>
          <w:sz w:val="24"/>
          <w:szCs w:val="24"/>
        </w:rPr>
        <w:t>Ikke relevant.</w:t>
      </w:r>
    </w:p>
    <w:p w14:paraId="526D527C" w14:textId="77777777" w:rsidR="009260DE" w:rsidRPr="00C84483" w:rsidRDefault="009260DE" w:rsidP="009260DE">
      <w:pPr>
        <w:tabs>
          <w:tab w:val="left" w:pos="851"/>
        </w:tabs>
        <w:ind w:left="851"/>
        <w:rPr>
          <w:sz w:val="24"/>
          <w:szCs w:val="24"/>
        </w:rPr>
      </w:pPr>
    </w:p>
    <w:p w14:paraId="47024446" w14:textId="77777777"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14:paraId="5BD668CF" w14:textId="77777777" w:rsidR="008F344B" w:rsidRPr="008F344B" w:rsidRDefault="008F344B" w:rsidP="008F344B">
      <w:pPr>
        <w:tabs>
          <w:tab w:val="left" w:pos="851"/>
        </w:tabs>
        <w:ind w:left="851"/>
        <w:rPr>
          <w:sz w:val="24"/>
          <w:szCs w:val="24"/>
        </w:rPr>
      </w:pPr>
      <w:r w:rsidRPr="008F344B">
        <w:rPr>
          <w:sz w:val="24"/>
          <w:szCs w:val="24"/>
        </w:rPr>
        <w:t xml:space="preserve">2 år. </w:t>
      </w:r>
    </w:p>
    <w:p w14:paraId="14BEAD7D" w14:textId="77777777" w:rsidR="009260DE" w:rsidRPr="00C84483" w:rsidRDefault="009260DE" w:rsidP="009260DE">
      <w:pPr>
        <w:tabs>
          <w:tab w:val="left" w:pos="851"/>
        </w:tabs>
        <w:ind w:left="851"/>
        <w:rPr>
          <w:sz w:val="24"/>
          <w:szCs w:val="24"/>
        </w:rPr>
      </w:pPr>
    </w:p>
    <w:p w14:paraId="72124EDA" w14:textId="77777777"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14:paraId="106A7BFA" w14:textId="77777777" w:rsidR="008F344B" w:rsidRPr="008F344B" w:rsidRDefault="008F344B" w:rsidP="008F344B">
      <w:pPr>
        <w:tabs>
          <w:tab w:val="left" w:pos="851"/>
        </w:tabs>
        <w:ind w:left="851"/>
        <w:rPr>
          <w:sz w:val="24"/>
          <w:szCs w:val="24"/>
        </w:rPr>
      </w:pPr>
      <w:r w:rsidRPr="008F344B">
        <w:rPr>
          <w:sz w:val="24"/>
          <w:szCs w:val="24"/>
        </w:rPr>
        <w:t xml:space="preserve">Dette lægemiddel kræver ingen særlige forholdsregler vedrørende opbevaringen. </w:t>
      </w:r>
    </w:p>
    <w:p w14:paraId="06330D04" w14:textId="77777777" w:rsidR="009260DE" w:rsidRPr="00C84483" w:rsidRDefault="009260DE" w:rsidP="009260DE">
      <w:pPr>
        <w:tabs>
          <w:tab w:val="left" w:pos="851"/>
        </w:tabs>
        <w:ind w:left="851"/>
        <w:rPr>
          <w:sz w:val="24"/>
          <w:szCs w:val="24"/>
        </w:rPr>
      </w:pPr>
    </w:p>
    <w:p w14:paraId="6F86FDC2" w14:textId="77777777"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14:paraId="63CFED46" w14:textId="1D9BCE65" w:rsidR="008F344B" w:rsidRPr="008F344B" w:rsidRDefault="008F344B" w:rsidP="008F344B">
      <w:pPr>
        <w:tabs>
          <w:tab w:val="left" w:pos="851"/>
        </w:tabs>
        <w:ind w:left="851"/>
        <w:rPr>
          <w:sz w:val="24"/>
          <w:szCs w:val="24"/>
        </w:rPr>
      </w:pPr>
      <w:r w:rsidRPr="008F344B">
        <w:rPr>
          <w:sz w:val="24"/>
          <w:szCs w:val="24"/>
        </w:rPr>
        <w:t xml:space="preserve">HDPE-beholder med børnesikret hætte. </w:t>
      </w:r>
    </w:p>
    <w:p w14:paraId="644D39F3" w14:textId="77777777" w:rsidR="008F344B" w:rsidRDefault="008F344B" w:rsidP="008F344B">
      <w:pPr>
        <w:tabs>
          <w:tab w:val="left" w:pos="851"/>
        </w:tabs>
        <w:ind w:left="851"/>
        <w:rPr>
          <w:sz w:val="24"/>
          <w:szCs w:val="24"/>
        </w:rPr>
      </w:pPr>
    </w:p>
    <w:p w14:paraId="1C492613" w14:textId="16C73DFA" w:rsidR="008F344B" w:rsidRPr="008F344B" w:rsidRDefault="008F344B" w:rsidP="008F344B">
      <w:pPr>
        <w:tabs>
          <w:tab w:val="left" w:pos="851"/>
        </w:tabs>
        <w:ind w:left="851"/>
        <w:rPr>
          <w:sz w:val="24"/>
          <w:szCs w:val="24"/>
          <w:u w:val="single"/>
        </w:rPr>
      </w:pPr>
      <w:r w:rsidRPr="008F344B">
        <w:rPr>
          <w:sz w:val="24"/>
          <w:szCs w:val="24"/>
          <w:u w:val="single"/>
        </w:rPr>
        <w:t>Pakningsstørrelser</w:t>
      </w:r>
    </w:p>
    <w:p w14:paraId="3E34E740" w14:textId="14A99337" w:rsidR="008F344B" w:rsidRPr="008F344B" w:rsidRDefault="008F344B" w:rsidP="008F344B">
      <w:pPr>
        <w:tabs>
          <w:tab w:val="left" w:pos="851"/>
        </w:tabs>
        <w:ind w:left="851"/>
        <w:rPr>
          <w:sz w:val="24"/>
          <w:szCs w:val="24"/>
        </w:rPr>
      </w:pPr>
      <w:r>
        <w:rPr>
          <w:sz w:val="24"/>
          <w:szCs w:val="24"/>
        </w:rPr>
        <w:t>P</w:t>
      </w:r>
      <w:r w:rsidRPr="008F344B">
        <w:rPr>
          <w:sz w:val="24"/>
          <w:szCs w:val="24"/>
        </w:rPr>
        <w:t>ropranolol "Medical Valley" 10 mg</w:t>
      </w:r>
      <w:r>
        <w:rPr>
          <w:sz w:val="24"/>
          <w:szCs w:val="24"/>
        </w:rPr>
        <w:t>:</w:t>
      </w:r>
      <w:r w:rsidRPr="008F344B">
        <w:rPr>
          <w:sz w:val="24"/>
          <w:szCs w:val="24"/>
        </w:rPr>
        <w:t xml:space="preserve"> 105 og 250 filmovertrukne tabletter.</w:t>
      </w:r>
    </w:p>
    <w:p w14:paraId="05231AC4" w14:textId="4350F52D" w:rsidR="008F344B" w:rsidRPr="008F344B" w:rsidRDefault="008F344B" w:rsidP="008F344B">
      <w:pPr>
        <w:tabs>
          <w:tab w:val="left" w:pos="851"/>
        </w:tabs>
        <w:ind w:left="851"/>
        <w:rPr>
          <w:sz w:val="24"/>
          <w:szCs w:val="24"/>
        </w:rPr>
      </w:pPr>
      <w:r w:rsidRPr="008F344B">
        <w:rPr>
          <w:sz w:val="24"/>
          <w:szCs w:val="24"/>
        </w:rPr>
        <w:t>Propranolol "Medical Valley" 40 mg</w:t>
      </w:r>
      <w:r>
        <w:rPr>
          <w:sz w:val="24"/>
          <w:szCs w:val="24"/>
        </w:rPr>
        <w:t>:</w:t>
      </w:r>
      <w:r w:rsidRPr="008F344B">
        <w:rPr>
          <w:sz w:val="24"/>
          <w:szCs w:val="24"/>
        </w:rPr>
        <w:t xml:space="preserve"> 105, 125 og 250 filmovertrukne tabletter. </w:t>
      </w:r>
    </w:p>
    <w:p w14:paraId="2EC68102" w14:textId="77777777" w:rsidR="008F344B" w:rsidRPr="008F344B" w:rsidRDefault="008F344B" w:rsidP="008F344B">
      <w:pPr>
        <w:tabs>
          <w:tab w:val="left" w:pos="851"/>
        </w:tabs>
        <w:ind w:left="851"/>
        <w:rPr>
          <w:sz w:val="24"/>
          <w:szCs w:val="24"/>
        </w:rPr>
      </w:pPr>
    </w:p>
    <w:p w14:paraId="104FFF39" w14:textId="77777777" w:rsidR="008F344B" w:rsidRPr="008F344B" w:rsidRDefault="008F344B" w:rsidP="008F344B">
      <w:pPr>
        <w:tabs>
          <w:tab w:val="left" w:pos="851"/>
        </w:tabs>
        <w:ind w:left="851"/>
        <w:rPr>
          <w:sz w:val="24"/>
          <w:szCs w:val="24"/>
        </w:rPr>
      </w:pPr>
      <w:r w:rsidRPr="008F344B">
        <w:rPr>
          <w:sz w:val="24"/>
          <w:szCs w:val="24"/>
        </w:rPr>
        <w:t>Ikke alle pakningsstørrelser er nødvendigvis markedsført.</w:t>
      </w:r>
    </w:p>
    <w:p w14:paraId="34CFD4BC" w14:textId="77777777" w:rsidR="009260DE" w:rsidRPr="00C84483" w:rsidRDefault="009260DE" w:rsidP="009260DE">
      <w:pPr>
        <w:tabs>
          <w:tab w:val="left" w:pos="851"/>
        </w:tabs>
        <w:ind w:left="851"/>
        <w:rPr>
          <w:sz w:val="24"/>
          <w:szCs w:val="24"/>
        </w:rPr>
      </w:pPr>
    </w:p>
    <w:p w14:paraId="24210305" w14:textId="77777777"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BD7931">
        <w:rPr>
          <w:b/>
          <w:sz w:val="24"/>
          <w:szCs w:val="24"/>
        </w:rPr>
        <w:t>bortskaffelse</w:t>
      </w:r>
      <w:r w:rsidRPr="00C84483">
        <w:rPr>
          <w:b/>
          <w:sz w:val="24"/>
          <w:szCs w:val="24"/>
        </w:rPr>
        <w:t xml:space="preserve"> og anden håndtering</w:t>
      </w:r>
    </w:p>
    <w:p w14:paraId="5408EE36" w14:textId="322D45B2" w:rsidR="00BB0384" w:rsidRDefault="00BB0384" w:rsidP="00BB0384">
      <w:pPr>
        <w:tabs>
          <w:tab w:val="left" w:pos="851"/>
        </w:tabs>
        <w:ind w:left="851"/>
        <w:rPr>
          <w:sz w:val="24"/>
          <w:szCs w:val="24"/>
        </w:rPr>
      </w:pPr>
      <w:r w:rsidRPr="00BB0384">
        <w:rPr>
          <w:sz w:val="24"/>
          <w:szCs w:val="24"/>
        </w:rPr>
        <w:t>Ingen særlige forholdsregler.</w:t>
      </w:r>
    </w:p>
    <w:p w14:paraId="0DD78154" w14:textId="77777777" w:rsidR="00BB0384" w:rsidRPr="00BB0384" w:rsidRDefault="00BB0384" w:rsidP="00BB0384">
      <w:pPr>
        <w:tabs>
          <w:tab w:val="left" w:pos="851"/>
        </w:tabs>
        <w:ind w:left="851"/>
        <w:rPr>
          <w:sz w:val="24"/>
          <w:szCs w:val="24"/>
        </w:rPr>
      </w:pPr>
    </w:p>
    <w:p w14:paraId="246FA747" w14:textId="77777777" w:rsidR="00BB0384" w:rsidRPr="00BB0384" w:rsidRDefault="00BB0384" w:rsidP="00BB0384">
      <w:pPr>
        <w:tabs>
          <w:tab w:val="left" w:pos="851"/>
        </w:tabs>
        <w:ind w:left="851"/>
        <w:rPr>
          <w:sz w:val="24"/>
          <w:szCs w:val="24"/>
        </w:rPr>
      </w:pPr>
      <w:r w:rsidRPr="00BB0384">
        <w:rPr>
          <w:sz w:val="24"/>
          <w:szCs w:val="24"/>
        </w:rPr>
        <w:t>Ikke anvendt lægemiddel samt affald heraf skal bortskaffes i henhold til lokale retningslinjer.</w:t>
      </w:r>
    </w:p>
    <w:p w14:paraId="6B3D0DBD" w14:textId="77777777" w:rsidR="009260DE" w:rsidRPr="00C84483" w:rsidRDefault="009260DE" w:rsidP="000730CA">
      <w:pPr>
        <w:tabs>
          <w:tab w:val="left" w:pos="851"/>
        </w:tabs>
        <w:ind w:left="851"/>
        <w:rPr>
          <w:sz w:val="24"/>
          <w:szCs w:val="24"/>
        </w:rPr>
      </w:pPr>
    </w:p>
    <w:p w14:paraId="20450306" w14:textId="77777777"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14:paraId="4AA99647" w14:textId="77777777" w:rsidR="00BB0384" w:rsidRPr="00BB0384" w:rsidRDefault="00BB0384" w:rsidP="00BB0384">
      <w:pPr>
        <w:tabs>
          <w:tab w:val="left" w:pos="851"/>
        </w:tabs>
        <w:ind w:left="851"/>
        <w:rPr>
          <w:sz w:val="24"/>
          <w:szCs w:val="24"/>
        </w:rPr>
      </w:pPr>
      <w:r w:rsidRPr="00BB0384">
        <w:rPr>
          <w:sz w:val="24"/>
          <w:szCs w:val="24"/>
        </w:rPr>
        <w:t>Medical Valley Invest AB</w:t>
      </w:r>
    </w:p>
    <w:p w14:paraId="66F700BA" w14:textId="77777777" w:rsidR="00BB0384" w:rsidRPr="00BB0384" w:rsidRDefault="00BB0384" w:rsidP="00BB0384">
      <w:pPr>
        <w:tabs>
          <w:tab w:val="left" w:pos="851"/>
        </w:tabs>
        <w:ind w:left="851"/>
        <w:rPr>
          <w:sz w:val="24"/>
          <w:szCs w:val="24"/>
        </w:rPr>
      </w:pPr>
      <w:r w:rsidRPr="00BB0384">
        <w:rPr>
          <w:sz w:val="24"/>
          <w:szCs w:val="24"/>
        </w:rPr>
        <w:t xml:space="preserve">Brädgårdsvägen 28 </w:t>
      </w:r>
    </w:p>
    <w:p w14:paraId="2CE3BEBB" w14:textId="77777777" w:rsidR="00BB0384" w:rsidRPr="00BB0384" w:rsidRDefault="00BB0384" w:rsidP="00BB0384">
      <w:pPr>
        <w:tabs>
          <w:tab w:val="left" w:pos="851"/>
        </w:tabs>
        <w:ind w:left="851"/>
        <w:rPr>
          <w:sz w:val="24"/>
          <w:szCs w:val="24"/>
        </w:rPr>
      </w:pPr>
      <w:r w:rsidRPr="00BB0384">
        <w:rPr>
          <w:sz w:val="24"/>
          <w:szCs w:val="24"/>
        </w:rPr>
        <w:t xml:space="preserve">236 32 Höllviken </w:t>
      </w:r>
    </w:p>
    <w:p w14:paraId="3818D9A3" w14:textId="77777777" w:rsidR="00BB0384" w:rsidRPr="00BB0384" w:rsidRDefault="00BB0384" w:rsidP="00BB0384">
      <w:pPr>
        <w:tabs>
          <w:tab w:val="left" w:pos="851"/>
        </w:tabs>
        <w:ind w:left="851"/>
        <w:rPr>
          <w:sz w:val="24"/>
          <w:szCs w:val="24"/>
        </w:rPr>
      </w:pPr>
      <w:r w:rsidRPr="00BB0384">
        <w:rPr>
          <w:sz w:val="24"/>
          <w:szCs w:val="24"/>
        </w:rPr>
        <w:t>Sverige</w:t>
      </w:r>
    </w:p>
    <w:p w14:paraId="46B51CF5" w14:textId="77777777" w:rsidR="00641C65" w:rsidRPr="00641C65" w:rsidRDefault="00641C65" w:rsidP="009260DE">
      <w:pPr>
        <w:tabs>
          <w:tab w:val="left" w:pos="851"/>
        </w:tabs>
        <w:ind w:left="851"/>
        <w:rPr>
          <w:sz w:val="24"/>
          <w:szCs w:val="24"/>
        </w:rPr>
      </w:pPr>
    </w:p>
    <w:p w14:paraId="2D24BB45" w14:textId="77777777"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BF6243">
        <w:rPr>
          <w:b/>
          <w:sz w:val="24"/>
          <w:szCs w:val="24"/>
        </w:rPr>
        <w:t>-</w:t>
      </w:r>
      <w:r w:rsidRPr="00C84483">
        <w:rPr>
          <w:b/>
          <w:sz w:val="24"/>
          <w:szCs w:val="24"/>
        </w:rPr>
        <w:t>NUMRE)</w:t>
      </w:r>
    </w:p>
    <w:p w14:paraId="75311EDA" w14:textId="5CDF5523" w:rsidR="009260DE" w:rsidRDefault="00BB0384" w:rsidP="00EB7E24">
      <w:pPr>
        <w:tabs>
          <w:tab w:val="left" w:pos="851"/>
          <w:tab w:val="left" w:pos="1701"/>
        </w:tabs>
        <w:ind w:left="851"/>
        <w:rPr>
          <w:sz w:val="24"/>
          <w:szCs w:val="24"/>
        </w:rPr>
      </w:pPr>
      <w:r>
        <w:rPr>
          <w:sz w:val="24"/>
          <w:szCs w:val="24"/>
        </w:rPr>
        <w:t>10 mg:</w:t>
      </w:r>
      <w:r>
        <w:rPr>
          <w:sz w:val="24"/>
          <w:szCs w:val="24"/>
        </w:rPr>
        <w:tab/>
      </w:r>
      <w:r w:rsidR="00EB7E24">
        <w:rPr>
          <w:sz w:val="24"/>
          <w:szCs w:val="24"/>
        </w:rPr>
        <w:t>69556</w:t>
      </w:r>
    </w:p>
    <w:p w14:paraId="78799AC3" w14:textId="76661E9C" w:rsidR="009260DE" w:rsidRDefault="00BB0384" w:rsidP="00EB7E24">
      <w:pPr>
        <w:tabs>
          <w:tab w:val="left" w:pos="851"/>
          <w:tab w:val="left" w:pos="1701"/>
        </w:tabs>
        <w:ind w:left="851"/>
        <w:rPr>
          <w:sz w:val="24"/>
          <w:szCs w:val="24"/>
        </w:rPr>
      </w:pPr>
      <w:r>
        <w:rPr>
          <w:sz w:val="24"/>
          <w:szCs w:val="24"/>
        </w:rPr>
        <w:t>40 mg:</w:t>
      </w:r>
      <w:r>
        <w:rPr>
          <w:sz w:val="24"/>
          <w:szCs w:val="24"/>
        </w:rPr>
        <w:tab/>
      </w:r>
      <w:r w:rsidR="00EB7E24">
        <w:rPr>
          <w:sz w:val="24"/>
          <w:szCs w:val="24"/>
        </w:rPr>
        <w:t>69559</w:t>
      </w:r>
    </w:p>
    <w:p w14:paraId="24DB6C75" w14:textId="77777777" w:rsidR="00BB0384" w:rsidRPr="00C84483" w:rsidRDefault="00BB0384" w:rsidP="00BB0384">
      <w:pPr>
        <w:tabs>
          <w:tab w:val="left" w:pos="851"/>
        </w:tabs>
        <w:ind w:left="851"/>
        <w:rPr>
          <w:sz w:val="24"/>
          <w:szCs w:val="24"/>
        </w:rPr>
      </w:pPr>
    </w:p>
    <w:p w14:paraId="6C33178F" w14:textId="77777777"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14:paraId="7F1BB85D" w14:textId="7D589338" w:rsidR="009260DE" w:rsidRPr="00C84483" w:rsidRDefault="0081756B" w:rsidP="009260DE">
      <w:pPr>
        <w:tabs>
          <w:tab w:val="left" w:pos="851"/>
        </w:tabs>
        <w:ind w:left="851"/>
        <w:rPr>
          <w:sz w:val="24"/>
          <w:szCs w:val="24"/>
        </w:rPr>
      </w:pPr>
      <w:r>
        <w:rPr>
          <w:sz w:val="24"/>
          <w:szCs w:val="24"/>
        </w:rPr>
        <w:t>6. september 2024</w:t>
      </w:r>
    </w:p>
    <w:p w14:paraId="657CCBE2" w14:textId="77777777" w:rsidR="009260DE" w:rsidRPr="00C84483" w:rsidRDefault="009260DE" w:rsidP="009260DE">
      <w:pPr>
        <w:tabs>
          <w:tab w:val="left" w:pos="851"/>
        </w:tabs>
        <w:ind w:left="851"/>
        <w:rPr>
          <w:sz w:val="24"/>
          <w:szCs w:val="24"/>
        </w:rPr>
      </w:pPr>
    </w:p>
    <w:p w14:paraId="7FA67FEE" w14:textId="77777777"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14:paraId="3186BDB4" w14:textId="067D818E" w:rsidR="009260DE" w:rsidRPr="00C84483" w:rsidRDefault="00BB0384" w:rsidP="009260DE">
      <w:pPr>
        <w:tabs>
          <w:tab w:val="left" w:pos="851"/>
        </w:tabs>
        <w:ind w:left="851"/>
        <w:rPr>
          <w:sz w:val="24"/>
          <w:szCs w:val="24"/>
        </w:rPr>
      </w:pPr>
      <w:r>
        <w:rPr>
          <w:sz w:val="24"/>
          <w:szCs w:val="24"/>
        </w:rPr>
        <w:t>-</w:t>
      </w:r>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930880" w14:textId="77777777" w:rsidR="007865D0" w:rsidRDefault="007865D0">
      <w:r>
        <w:separator/>
      </w:r>
    </w:p>
  </w:endnote>
  <w:endnote w:type="continuationSeparator" w:id="0">
    <w:p w14:paraId="6E50B135" w14:textId="77777777" w:rsidR="007865D0" w:rsidRDefault="007865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20907E" w14:textId="77777777" w:rsidR="000259B9" w:rsidRDefault="000259B9">
    <w:pPr>
      <w:pStyle w:val="Sidefod"/>
      <w:pBdr>
        <w:bottom w:val="single" w:sz="6" w:space="1" w:color="auto"/>
      </w:pBdr>
    </w:pPr>
  </w:p>
  <w:p w14:paraId="3B540325" w14:textId="77777777" w:rsidR="000259B9" w:rsidRDefault="000259B9" w:rsidP="00C42586">
    <w:pPr>
      <w:pStyle w:val="Sidefod"/>
      <w:tabs>
        <w:tab w:val="clear" w:pos="4819"/>
        <w:tab w:val="left" w:pos="8505"/>
      </w:tabs>
      <w:rPr>
        <w:i/>
        <w:sz w:val="18"/>
        <w:szCs w:val="18"/>
      </w:rPr>
    </w:pPr>
  </w:p>
  <w:p w14:paraId="21098653" w14:textId="465EAAE2"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C15C88">
      <w:rPr>
        <w:i/>
        <w:noProof/>
        <w:sz w:val="18"/>
        <w:szCs w:val="18"/>
      </w:rPr>
      <w:t>Propranolol Medical Valley, filmovertrukne tabletter 10 mg og 40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1FA6E8" w14:textId="77777777" w:rsidR="007865D0" w:rsidRDefault="007865D0">
      <w:r>
        <w:separator/>
      </w:r>
    </w:p>
  </w:footnote>
  <w:footnote w:type="continuationSeparator" w:id="0">
    <w:p w14:paraId="6121B196" w14:textId="77777777" w:rsidR="007865D0" w:rsidRDefault="007865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C24408"/>
    <w:multiLevelType w:val="hybridMultilevel"/>
    <w:tmpl w:val="495CBDA0"/>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9CF2E89"/>
    <w:multiLevelType w:val="hybridMultilevel"/>
    <w:tmpl w:val="F1CEF83A"/>
    <w:lvl w:ilvl="0" w:tplc="FFFFFFFF">
      <w:start w:val="1"/>
      <w:numFmt w:val="bullet"/>
      <w:lvlText w:val="-"/>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5D0"/>
    <w:rsid w:val="000259B9"/>
    <w:rsid w:val="00041491"/>
    <w:rsid w:val="00050D16"/>
    <w:rsid w:val="000730CA"/>
    <w:rsid w:val="00074F2A"/>
    <w:rsid w:val="000A1CA8"/>
    <w:rsid w:val="000A466B"/>
    <w:rsid w:val="000B058C"/>
    <w:rsid w:val="000D68B0"/>
    <w:rsid w:val="000E4EE6"/>
    <w:rsid w:val="000F2EEE"/>
    <w:rsid w:val="001454E2"/>
    <w:rsid w:val="00206CE8"/>
    <w:rsid w:val="0021526C"/>
    <w:rsid w:val="00283A2B"/>
    <w:rsid w:val="002B30AD"/>
    <w:rsid w:val="002C1EC0"/>
    <w:rsid w:val="002C2C01"/>
    <w:rsid w:val="00321AF3"/>
    <w:rsid w:val="003A29AE"/>
    <w:rsid w:val="003A32D7"/>
    <w:rsid w:val="003B4074"/>
    <w:rsid w:val="003C769A"/>
    <w:rsid w:val="003D3A90"/>
    <w:rsid w:val="003F1838"/>
    <w:rsid w:val="004251C1"/>
    <w:rsid w:val="0045746C"/>
    <w:rsid w:val="0049104B"/>
    <w:rsid w:val="004E3B12"/>
    <w:rsid w:val="00532310"/>
    <w:rsid w:val="00565F0F"/>
    <w:rsid w:val="00594A86"/>
    <w:rsid w:val="00596D86"/>
    <w:rsid w:val="00637F5A"/>
    <w:rsid w:val="00641C65"/>
    <w:rsid w:val="00652489"/>
    <w:rsid w:val="006560B1"/>
    <w:rsid w:val="006756DD"/>
    <w:rsid w:val="0071241E"/>
    <w:rsid w:val="00737275"/>
    <w:rsid w:val="00740EEC"/>
    <w:rsid w:val="00765827"/>
    <w:rsid w:val="0078011A"/>
    <w:rsid w:val="00782AF4"/>
    <w:rsid w:val="007865D0"/>
    <w:rsid w:val="00790EE7"/>
    <w:rsid w:val="007B6649"/>
    <w:rsid w:val="0081756B"/>
    <w:rsid w:val="0082576E"/>
    <w:rsid w:val="00832CF7"/>
    <w:rsid w:val="0089346F"/>
    <w:rsid w:val="008F344B"/>
    <w:rsid w:val="00907F75"/>
    <w:rsid w:val="009260DE"/>
    <w:rsid w:val="0093258A"/>
    <w:rsid w:val="009C7BA3"/>
    <w:rsid w:val="009D1F5A"/>
    <w:rsid w:val="00A10294"/>
    <w:rsid w:val="00A24829"/>
    <w:rsid w:val="00A93BA7"/>
    <w:rsid w:val="00B003BF"/>
    <w:rsid w:val="00B373D7"/>
    <w:rsid w:val="00B55271"/>
    <w:rsid w:val="00B96F6B"/>
    <w:rsid w:val="00BB0384"/>
    <w:rsid w:val="00BD7931"/>
    <w:rsid w:val="00BF6243"/>
    <w:rsid w:val="00C15C88"/>
    <w:rsid w:val="00C36276"/>
    <w:rsid w:val="00C42586"/>
    <w:rsid w:val="00C45F6B"/>
    <w:rsid w:val="00C60CCD"/>
    <w:rsid w:val="00C84483"/>
    <w:rsid w:val="00C95551"/>
    <w:rsid w:val="00CA0104"/>
    <w:rsid w:val="00CB20D7"/>
    <w:rsid w:val="00D020B0"/>
    <w:rsid w:val="00D11748"/>
    <w:rsid w:val="00D237F6"/>
    <w:rsid w:val="00D34D98"/>
    <w:rsid w:val="00D366CF"/>
    <w:rsid w:val="00D93992"/>
    <w:rsid w:val="00E108AA"/>
    <w:rsid w:val="00E3749A"/>
    <w:rsid w:val="00E7437F"/>
    <w:rsid w:val="00E865B8"/>
    <w:rsid w:val="00EB7E24"/>
    <w:rsid w:val="00EC0B9B"/>
    <w:rsid w:val="00EC2020"/>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D346E4"/>
  <w15:chartTrackingRefBased/>
  <w15:docId w15:val="{6E1E0317-A262-4C7C-8954-359DE2A0C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semiHidden/>
    <w:unhideWhenUsed/>
    <w:rsid w:val="0076582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39366796">
      <w:bodyDiv w:val="1"/>
      <w:marLeft w:val="0"/>
      <w:marRight w:val="0"/>
      <w:marTop w:val="0"/>
      <w:marBottom w:val="0"/>
      <w:divBdr>
        <w:top w:val="none" w:sz="0" w:space="0" w:color="auto"/>
        <w:left w:val="none" w:sz="0" w:space="0" w:color="auto"/>
        <w:bottom w:val="none" w:sz="0" w:space="0" w:color="auto"/>
        <w:right w:val="none" w:sz="0" w:space="0" w:color="auto"/>
      </w:divBdr>
    </w:div>
    <w:div w:id="289479188">
      <w:bodyDiv w:val="1"/>
      <w:marLeft w:val="0"/>
      <w:marRight w:val="0"/>
      <w:marTop w:val="0"/>
      <w:marBottom w:val="0"/>
      <w:divBdr>
        <w:top w:val="none" w:sz="0" w:space="0" w:color="auto"/>
        <w:left w:val="none" w:sz="0" w:space="0" w:color="auto"/>
        <w:bottom w:val="none" w:sz="0" w:space="0" w:color="auto"/>
        <w:right w:val="none" w:sz="0" w:space="0" w:color="auto"/>
      </w:divBdr>
    </w:div>
    <w:div w:id="291519452">
      <w:bodyDiv w:val="1"/>
      <w:marLeft w:val="0"/>
      <w:marRight w:val="0"/>
      <w:marTop w:val="0"/>
      <w:marBottom w:val="0"/>
      <w:divBdr>
        <w:top w:val="none" w:sz="0" w:space="0" w:color="auto"/>
        <w:left w:val="none" w:sz="0" w:space="0" w:color="auto"/>
        <w:bottom w:val="none" w:sz="0" w:space="0" w:color="auto"/>
        <w:right w:val="none" w:sz="0" w:space="0" w:color="auto"/>
      </w:divBdr>
    </w:div>
    <w:div w:id="342979363">
      <w:bodyDiv w:val="1"/>
      <w:marLeft w:val="0"/>
      <w:marRight w:val="0"/>
      <w:marTop w:val="0"/>
      <w:marBottom w:val="0"/>
      <w:divBdr>
        <w:top w:val="none" w:sz="0" w:space="0" w:color="auto"/>
        <w:left w:val="none" w:sz="0" w:space="0" w:color="auto"/>
        <w:bottom w:val="none" w:sz="0" w:space="0" w:color="auto"/>
        <w:right w:val="none" w:sz="0" w:space="0" w:color="auto"/>
      </w:divBdr>
    </w:div>
    <w:div w:id="479617522">
      <w:bodyDiv w:val="1"/>
      <w:marLeft w:val="0"/>
      <w:marRight w:val="0"/>
      <w:marTop w:val="0"/>
      <w:marBottom w:val="0"/>
      <w:divBdr>
        <w:top w:val="none" w:sz="0" w:space="0" w:color="auto"/>
        <w:left w:val="none" w:sz="0" w:space="0" w:color="auto"/>
        <w:bottom w:val="none" w:sz="0" w:space="0" w:color="auto"/>
        <w:right w:val="none" w:sz="0" w:space="0" w:color="auto"/>
      </w:divBdr>
    </w:div>
    <w:div w:id="502284784">
      <w:bodyDiv w:val="1"/>
      <w:marLeft w:val="0"/>
      <w:marRight w:val="0"/>
      <w:marTop w:val="0"/>
      <w:marBottom w:val="0"/>
      <w:divBdr>
        <w:top w:val="none" w:sz="0" w:space="0" w:color="auto"/>
        <w:left w:val="none" w:sz="0" w:space="0" w:color="auto"/>
        <w:bottom w:val="none" w:sz="0" w:space="0" w:color="auto"/>
        <w:right w:val="none" w:sz="0" w:space="0" w:color="auto"/>
      </w:divBdr>
    </w:div>
    <w:div w:id="613247846">
      <w:bodyDiv w:val="1"/>
      <w:marLeft w:val="0"/>
      <w:marRight w:val="0"/>
      <w:marTop w:val="0"/>
      <w:marBottom w:val="0"/>
      <w:divBdr>
        <w:top w:val="none" w:sz="0" w:space="0" w:color="auto"/>
        <w:left w:val="none" w:sz="0" w:space="0" w:color="auto"/>
        <w:bottom w:val="none" w:sz="0" w:space="0" w:color="auto"/>
        <w:right w:val="none" w:sz="0" w:space="0" w:color="auto"/>
      </w:divBdr>
    </w:div>
    <w:div w:id="617957875">
      <w:bodyDiv w:val="1"/>
      <w:marLeft w:val="0"/>
      <w:marRight w:val="0"/>
      <w:marTop w:val="0"/>
      <w:marBottom w:val="0"/>
      <w:divBdr>
        <w:top w:val="none" w:sz="0" w:space="0" w:color="auto"/>
        <w:left w:val="none" w:sz="0" w:space="0" w:color="auto"/>
        <w:bottom w:val="none" w:sz="0" w:space="0" w:color="auto"/>
        <w:right w:val="none" w:sz="0" w:space="0" w:color="auto"/>
      </w:divBdr>
    </w:div>
    <w:div w:id="694890145">
      <w:bodyDiv w:val="1"/>
      <w:marLeft w:val="0"/>
      <w:marRight w:val="0"/>
      <w:marTop w:val="0"/>
      <w:marBottom w:val="0"/>
      <w:divBdr>
        <w:top w:val="none" w:sz="0" w:space="0" w:color="auto"/>
        <w:left w:val="none" w:sz="0" w:space="0" w:color="auto"/>
        <w:bottom w:val="none" w:sz="0" w:space="0" w:color="auto"/>
        <w:right w:val="none" w:sz="0" w:space="0" w:color="auto"/>
      </w:divBdr>
    </w:div>
    <w:div w:id="709571270">
      <w:bodyDiv w:val="1"/>
      <w:marLeft w:val="0"/>
      <w:marRight w:val="0"/>
      <w:marTop w:val="0"/>
      <w:marBottom w:val="0"/>
      <w:divBdr>
        <w:top w:val="none" w:sz="0" w:space="0" w:color="auto"/>
        <w:left w:val="none" w:sz="0" w:space="0" w:color="auto"/>
        <w:bottom w:val="none" w:sz="0" w:space="0" w:color="auto"/>
        <w:right w:val="none" w:sz="0" w:space="0" w:color="auto"/>
      </w:divBdr>
    </w:div>
    <w:div w:id="760033761">
      <w:bodyDiv w:val="1"/>
      <w:marLeft w:val="0"/>
      <w:marRight w:val="0"/>
      <w:marTop w:val="0"/>
      <w:marBottom w:val="0"/>
      <w:divBdr>
        <w:top w:val="none" w:sz="0" w:space="0" w:color="auto"/>
        <w:left w:val="none" w:sz="0" w:space="0" w:color="auto"/>
        <w:bottom w:val="none" w:sz="0" w:space="0" w:color="auto"/>
        <w:right w:val="none" w:sz="0" w:space="0" w:color="auto"/>
      </w:divBdr>
    </w:div>
    <w:div w:id="780076652">
      <w:bodyDiv w:val="1"/>
      <w:marLeft w:val="0"/>
      <w:marRight w:val="0"/>
      <w:marTop w:val="0"/>
      <w:marBottom w:val="0"/>
      <w:divBdr>
        <w:top w:val="none" w:sz="0" w:space="0" w:color="auto"/>
        <w:left w:val="none" w:sz="0" w:space="0" w:color="auto"/>
        <w:bottom w:val="none" w:sz="0" w:space="0" w:color="auto"/>
        <w:right w:val="none" w:sz="0" w:space="0" w:color="auto"/>
      </w:divBdr>
    </w:div>
    <w:div w:id="809519939">
      <w:bodyDiv w:val="1"/>
      <w:marLeft w:val="0"/>
      <w:marRight w:val="0"/>
      <w:marTop w:val="0"/>
      <w:marBottom w:val="0"/>
      <w:divBdr>
        <w:top w:val="none" w:sz="0" w:space="0" w:color="auto"/>
        <w:left w:val="none" w:sz="0" w:space="0" w:color="auto"/>
        <w:bottom w:val="none" w:sz="0" w:space="0" w:color="auto"/>
        <w:right w:val="none" w:sz="0" w:space="0" w:color="auto"/>
      </w:divBdr>
    </w:div>
    <w:div w:id="836849330">
      <w:bodyDiv w:val="1"/>
      <w:marLeft w:val="0"/>
      <w:marRight w:val="0"/>
      <w:marTop w:val="0"/>
      <w:marBottom w:val="0"/>
      <w:divBdr>
        <w:top w:val="none" w:sz="0" w:space="0" w:color="auto"/>
        <w:left w:val="none" w:sz="0" w:space="0" w:color="auto"/>
        <w:bottom w:val="none" w:sz="0" w:space="0" w:color="auto"/>
        <w:right w:val="none" w:sz="0" w:space="0" w:color="auto"/>
      </w:divBdr>
    </w:div>
    <w:div w:id="912084227">
      <w:bodyDiv w:val="1"/>
      <w:marLeft w:val="0"/>
      <w:marRight w:val="0"/>
      <w:marTop w:val="0"/>
      <w:marBottom w:val="0"/>
      <w:divBdr>
        <w:top w:val="none" w:sz="0" w:space="0" w:color="auto"/>
        <w:left w:val="none" w:sz="0" w:space="0" w:color="auto"/>
        <w:bottom w:val="none" w:sz="0" w:space="0" w:color="auto"/>
        <w:right w:val="none" w:sz="0" w:space="0" w:color="auto"/>
      </w:divBdr>
    </w:div>
    <w:div w:id="932279150">
      <w:bodyDiv w:val="1"/>
      <w:marLeft w:val="0"/>
      <w:marRight w:val="0"/>
      <w:marTop w:val="0"/>
      <w:marBottom w:val="0"/>
      <w:divBdr>
        <w:top w:val="none" w:sz="0" w:space="0" w:color="auto"/>
        <w:left w:val="none" w:sz="0" w:space="0" w:color="auto"/>
        <w:bottom w:val="none" w:sz="0" w:space="0" w:color="auto"/>
        <w:right w:val="none" w:sz="0" w:space="0" w:color="auto"/>
      </w:divBdr>
    </w:div>
    <w:div w:id="979919542">
      <w:bodyDiv w:val="1"/>
      <w:marLeft w:val="0"/>
      <w:marRight w:val="0"/>
      <w:marTop w:val="0"/>
      <w:marBottom w:val="0"/>
      <w:divBdr>
        <w:top w:val="none" w:sz="0" w:space="0" w:color="auto"/>
        <w:left w:val="none" w:sz="0" w:space="0" w:color="auto"/>
        <w:bottom w:val="none" w:sz="0" w:space="0" w:color="auto"/>
        <w:right w:val="none" w:sz="0" w:space="0" w:color="auto"/>
      </w:divBdr>
    </w:div>
    <w:div w:id="996496782">
      <w:bodyDiv w:val="1"/>
      <w:marLeft w:val="0"/>
      <w:marRight w:val="0"/>
      <w:marTop w:val="0"/>
      <w:marBottom w:val="0"/>
      <w:divBdr>
        <w:top w:val="none" w:sz="0" w:space="0" w:color="auto"/>
        <w:left w:val="none" w:sz="0" w:space="0" w:color="auto"/>
        <w:bottom w:val="none" w:sz="0" w:space="0" w:color="auto"/>
        <w:right w:val="none" w:sz="0" w:space="0" w:color="auto"/>
      </w:divBdr>
    </w:div>
    <w:div w:id="1092243009">
      <w:bodyDiv w:val="1"/>
      <w:marLeft w:val="0"/>
      <w:marRight w:val="0"/>
      <w:marTop w:val="0"/>
      <w:marBottom w:val="0"/>
      <w:divBdr>
        <w:top w:val="none" w:sz="0" w:space="0" w:color="auto"/>
        <w:left w:val="none" w:sz="0" w:space="0" w:color="auto"/>
        <w:bottom w:val="none" w:sz="0" w:space="0" w:color="auto"/>
        <w:right w:val="none" w:sz="0" w:space="0" w:color="auto"/>
      </w:divBdr>
    </w:div>
    <w:div w:id="1105686666">
      <w:bodyDiv w:val="1"/>
      <w:marLeft w:val="0"/>
      <w:marRight w:val="0"/>
      <w:marTop w:val="0"/>
      <w:marBottom w:val="0"/>
      <w:divBdr>
        <w:top w:val="none" w:sz="0" w:space="0" w:color="auto"/>
        <w:left w:val="none" w:sz="0" w:space="0" w:color="auto"/>
        <w:bottom w:val="none" w:sz="0" w:space="0" w:color="auto"/>
        <w:right w:val="none" w:sz="0" w:space="0" w:color="auto"/>
      </w:divBdr>
    </w:div>
    <w:div w:id="1173686484">
      <w:bodyDiv w:val="1"/>
      <w:marLeft w:val="0"/>
      <w:marRight w:val="0"/>
      <w:marTop w:val="0"/>
      <w:marBottom w:val="0"/>
      <w:divBdr>
        <w:top w:val="none" w:sz="0" w:space="0" w:color="auto"/>
        <w:left w:val="none" w:sz="0" w:space="0" w:color="auto"/>
        <w:bottom w:val="none" w:sz="0" w:space="0" w:color="auto"/>
        <w:right w:val="none" w:sz="0" w:space="0" w:color="auto"/>
      </w:divBdr>
    </w:div>
    <w:div w:id="1179930455">
      <w:bodyDiv w:val="1"/>
      <w:marLeft w:val="0"/>
      <w:marRight w:val="0"/>
      <w:marTop w:val="0"/>
      <w:marBottom w:val="0"/>
      <w:divBdr>
        <w:top w:val="none" w:sz="0" w:space="0" w:color="auto"/>
        <w:left w:val="none" w:sz="0" w:space="0" w:color="auto"/>
        <w:bottom w:val="none" w:sz="0" w:space="0" w:color="auto"/>
        <w:right w:val="none" w:sz="0" w:space="0" w:color="auto"/>
      </w:divBdr>
    </w:div>
    <w:div w:id="1259487822">
      <w:bodyDiv w:val="1"/>
      <w:marLeft w:val="0"/>
      <w:marRight w:val="0"/>
      <w:marTop w:val="0"/>
      <w:marBottom w:val="0"/>
      <w:divBdr>
        <w:top w:val="none" w:sz="0" w:space="0" w:color="auto"/>
        <w:left w:val="none" w:sz="0" w:space="0" w:color="auto"/>
        <w:bottom w:val="none" w:sz="0" w:space="0" w:color="auto"/>
        <w:right w:val="none" w:sz="0" w:space="0" w:color="auto"/>
      </w:divBdr>
    </w:div>
    <w:div w:id="1313409261">
      <w:bodyDiv w:val="1"/>
      <w:marLeft w:val="0"/>
      <w:marRight w:val="0"/>
      <w:marTop w:val="0"/>
      <w:marBottom w:val="0"/>
      <w:divBdr>
        <w:top w:val="none" w:sz="0" w:space="0" w:color="auto"/>
        <w:left w:val="none" w:sz="0" w:space="0" w:color="auto"/>
        <w:bottom w:val="none" w:sz="0" w:space="0" w:color="auto"/>
        <w:right w:val="none" w:sz="0" w:space="0" w:color="auto"/>
      </w:divBdr>
    </w:div>
    <w:div w:id="1343433096">
      <w:bodyDiv w:val="1"/>
      <w:marLeft w:val="0"/>
      <w:marRight w:val="0"/>
      <w:marTop w:val="0"/>
      <w:marBottom w:val="0"/>
      <w:divBdr>
        <w:top w:val="none" w:sz="0" w:space="0" w:color="auto"/>
        <w:left w:val="none" w:sz="0" w:space="0" w:color="auto"/>
        <w:bottom w:val="none" w:sz="0" w:space="0" w:color="auto"/>
        <w:right w:val="none" w:sz="0" w:space="0" w:color="auto"/>
      </w:divBdr>
    </w:div>
    <w:div w:id="1385791081">
      <w:bodyDiv w:val="1"/>
      <w:marLeft w:val="0"/>
      <w:marRight w:val="0"/>
      <w:marTop w:val="0"/>
      <w:marBottom w:val="0"/>
      <w:divBdr>
        <w:top w:val="none" w:sz="0" w:space="0" w:color="auto"/>
        <w:left w:val="none" w:sz="0" w:space="0" w:color="auto"/>
        <w:bottom w:val="none" w:sz="0" w:space="0" w:color="auto"/>
        <w:right w:val="none" w:sz="0" w:space="0" w:color="auto"/>
      </w:divBdr>
    </w:div>
    <w:div w:id="1414208006">
      <w:bodyDiv w:val="1"/>
      <w:marLeft w:val="0"/>
      <w:marRight w:val="0"/>
      <w:marTop w:val="0"/>
      <w:marBottom w:val="0"/>
      <w:divBdr>
        <w:top w:val="none" w:sz="0" w:space="0" w:color="auto"/>
        <w:left w:val="none" w:sz="0" w:space="0" w:color="auto"/>
        <w:bottom w:val="none" w:sz="0" w:space="0" w:color="auto"/>
        <w:right w:val="none" w:sz="0" w:space="0" w:color="auto"/>
      </w:divBdr>
    </w:div>
    <w:div w:id="1501575606">
      <w:bodyDiv w:val="1"/>
      <w:marLeft w:val="0"/>
      <w:marRight w:val="0"/>
      <w:marTop w:val="0"/>
      <w:marBottom w:val="0"/>
      <w:divBdr>
        <w:top w:val="none" w:sz="0" w:space="0" w:color="auto"/>
        <w:left w:val="none" w:sz="0" w:space="0" w:color="auto"/>
        <w:bottom w:val="none" w:sz="0" w:space="0" w:color="auto"/>
        <w:right w:val="none" w:sz="0" w:space="0" w:color="auto"/>
      </w:divBdr>
    </w:div>
    <w:div w:id="1536693190">
      <w:bodyDiv w:val="1"/>
      <w:marLeft w:val="0"/>
      <w:marRight w:val="0"/>
      <w:marTop w:val="0"/>
      <w:marBottom w:val="0"/>
      <w:divBdr>
        <w:top w:val="none" w:sz="0" w:space="0" w:color="auto"/>
        <w:left w:val="none" w:sz="0" w:space="0" w:color="auto"/>
        <w:bottom w:val="none" w:sz="0" w:space="0" w:color="auto"/>
        <w:right w:val="none" w:sz="0" w:space="0" w:color="auto"/>
      </w:divBdr>
    </w:div>
    <w:div w:id="1651447052">
      <w:bodyDiv w:val="1"/>
      <w:marLeft w:val="0"/>
      <w:marRight w:val="0"/>
      <w:marTop w:val="0"/>
      <w:marBottom w:val="0"/>
      <w:divBdr>
        <w:top w:val="none" w:sz="0" w:space="0" w:color="auto"/>
        <w:left w:val="none" w:sz="0" w:space="0" w:color="auto"/>
        <w:bottom w:val="none" w:sz="0" w:space="0" w:color="auto"/>
        <w:right w:val="none" w:sz="0" w:space="0" w:color="auto"/>
      </w:divBdr>
    </w:div>
    <w:div w:id="1683895325">
      <w:bodyDiv w:val="1"/>
      <w:marLeft w:val="0"/>
      <w:marRight w:val="0"/>
      <w:marTop w:val="0"/>
      <w:marBottom w:val="0"/>
      <w:divBdr>
        <w:top w:val="none" w:sz="0" w:space="0" w:color="auto"/>
        <w:left w:val="none" w:sz="0" w:space="0" w:color="auto"/>
        <w:bottom w:val="none" w:sz="0" w:space="0" w:color="auto"/>
        <w:right w:val="none" w:sz="0" w:space="0" w:color="auto"/>
      </w:divBdr>
    </w:div>
    <w:div w:id="1689717278">
      <w:bodyDiv w:val="1"/>
      <w:marLeft w:val="0"/>
      <w:marRight w:val="0"/>
      <w:marTop w:val="0"/>
      <w:marBottom w:val="0"/>
      <w:divBdr>
        <w:top w:val="none" w:sz="0" w:space="0" w:color="auto"/>
        <w:left w:val="none" w:sz="0" w:space="0" w:color="auto"/>
        <w:bottom w:val="none" w:sz="0" w:space="0" w:color="auto"/>
        <w:right w:val="none" w:sz="0" w:space="0" w:color="auto"/>
      </w:divBdr>
    </w:div>
    <w:div w:id="1719890595">
      <w:bodyDiv w:val="1"/>
      <w:marLeft w:val="0"/>
      <w:marRight w:val="0"/>
      <w:marTop w:val="0"/>
      <w:marBottom w:val="0"/>
      <w:divBdr>
        <w:top w:val="none" w:sz="0" w:space="0" w:color="auto"/>
        <w:left w:val="none" w:sz="0" w:space="0" w:color="auto"/>
        <w:bottom w:val="none" w:sz="0" w:space="0" w:color="auto"/>
        <w:right w:val="none" w:sz="0" w:space="0" w:color="auto"/>
      </w:divBdr>
    </w:div>
    <w:div w:id="1843428255">
      <w:bodyDiv w:val="1"/>
      <w:marLeft w:val="0"/>
      <w:marRight w:val="0"/>
      <w:marTop w:val="0"/>
      <w:marBottom w:val="0"/>
      <w:divBdr>
        <w:top w:val="none" w:sz="0" w:space="0" w:color="auto"/>
        <w:left w:val="none" w:sz="0" w:space="0" w:color="auto"/>
        <w:bottom w:val="none" w:sz="0" w:space="0" w:color="auto"/>
        <w:right w:val="none" w:sz="0" w:space="0" w:color="auto"/>
      </w:divBdr>
    </w:div>
    <w:div w:id="1899700953">
      <w:bodyDiv w:val="1"/>
      <w:marLeft w:val="0"/>
      <w:marRight w:val="0"/>
      <w:marTop w:val="0"/>
      <w:marBottom w:val="0"/>
      <w:divBdr>
        <w:top w:val="none" w:sz="0" w:space="0" w:color="auto"/>
        <w:left w:val="none" w:sz="0" w:space="0" w:color="auto"/>
        <w:bottom w:val="none" w:sz="0" w:space="0" w:color="auto"/>
        <w:right w:val="none" w:sz="0" w:space="0" w:color="auto"/>
      </w:divBdr>
    </w:div>
    <w:div w:id="2004158275">
      <w:bodyDiv w:val="1"/>
      <w:marLeft w:val="0"/>
      <w:marRight w:val="0"/>
      <w:marTop w:val="0"/>
      <w:marBottom w:val="0"/>
      <w:divBdr>
        <w:top w:val="none" w:sz="0" w:space="0" w:color="auto"/>
        <w:left w:val="none" w:sz="0" w:space="0" w:color="auto"/>
        <w:bottom w:val="none" w:sz="0" w:space="0" w:color="auto"/>
        <w:right w:val="none" w:sz="0" w:space="0" w:color="auto"/>
      </w:divBdr>
    </w:div>
    <w:div w:id="2075930106">
      <w:bodyDiv w:val="1"/>
      <w:marLeft w:val="0"/>
      <w:marRight w:val="0"/>
      <w:marTop w:val="0"/>
      <w:marBottom w:val="0"/>
      <w:divBdr>
        <w:top w:val="none" w:sz="0" w:space="0" w:color="auto"/>
        <w:left w:val="none" w:sz="0" w:space="0" w:color="auto"/>
        <w:bottom w:val="none" w:sz="0" w:space="0" w:color="auto"/>
        <w:right w:val="none" w:sz="0" w:space="0" w:color="auto"/>
      </w:divBdr>
    </w:div>
    <w:div w:id="2084914510">
      <w:bodyDiv w:val="1"/>
      <w:marLeft w:val="0"/>
      <w:marRight w:val="0"/>
      <w:marTop w:val="0"/>
      <w:marBottom w:val="0"/>
      <w:divBdr>
        <w:top w:val="none" w:sz="0" w:space="0" w:color="auto"/>
        <w:left w:val="none" w:sz="0" w:space="0" w:color="auto"/>
        <w:bottom w:val="none" w:sz="0" w:space="0" w:color="auto"/>
        <w:right w:val="none" w:sz="0" w:space="0" w:color="auto"/>
      </w:divBdr>
    </w:div>
    <w:div w:id="2109689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23</TotalTime>
  <Pages>10</Pages>
  <Words>2593</Words>
  <Characters>18261</Characters>
  <Application>Microsoft Office Word</Application>
  <DocSecurity>0</DocSecurity>
  <Lines>152</Lines>
  <Paragraphs>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Thy Iversen</dc:creator>
  <cp:keywords/>
  <dc:description>2023050134 mt</dc:description>
  <cp:lastModifiedBy>Hanne Thy Iversen</cp:lastModifiedBy>
  <cp:revision>14</cp:revision>
  <cp:lastPrinted>2012-08-22T08:53:00Z</cp:lastPrinted>
  <dcterms:created xsi:type="dcterms:W3CDTF">2024-09-06T08:22:00Z</dcterms:created>
  <dcterms:modified xsi:type="dcterms:W3CDTF">2024-09-06T11:52:00Z</dcterms:modified>
</cp:coreProperties>
</file>