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253EF" w14:textId="7C152E6F" w:rsidR="009260DE" w:rsidRPr="007C190E" w:rsidRDefault="0021526C" w:rsidP="007C190E">
      <w:pPr>
        <w:rPr>
          <w:b/>
          <w:sz w:val="24"/>
          <w:szCs w:val="24"/>
        </w:rPr>
      </w:pPr>
      <w:r w:rsidRPr="007C190E">
        <w:rPr>
          <w:noProof/>
          <w:sz w:val="24"/>
          <w:szCs w:val="24"/>
          <w:lang w:eastAsia="da-DK"/>
        </w:rPr>
        <w:drawing>
          <wp:anchor distT="0" distB="0" distL="114300" distR="114300" simplePos="0" relativeHeight="251658240" behindDoc="0" locked="0" layoutInCell="1" allowOverlap="1" wp14:anchorId="03EB114C" wp14:editId="6C03497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C190E">
        <w:rPr>
          <w:sz w:val="24"/>
          <w:szCs w:val="24"/>
        </w:rPr>
        <w:br w:type="textWrapping" w:clear="all"/>
      </w:r>
    </w:p>
    <w:p w14:paraId="2E7AD4D0" w14:textId="7DF4E9F4" w:rsidR="009260DE" w:rsidRPr="007C190E" w:rsidRDefault="009260DE" w:rsidP="009260DE">
      <w:pPr>
        <w:pStyle w:val="Titel"/>
        <w:tabs>
          <w:tab w:val="right" w:pos="9356"/>
        </w:tabs>
        <w:jc w:val="left"/>
        <w:rPr>
          <w:b w:val="0"/>
          <w:szCs w:val="24"/>
          <w:lang w:eastAsia="en-US"/>
        </w:rPr>
      </w:pPr>
      <w:r w:rsidRPr="007C190E">
        <w:rPr>
          <w:b w:val="0"/>
          <w:szCs w:val="24"/>
          <w:lang w:eastAsia="en-US"/>
        </w:rPr>
        <w:tab/>
      </w:r>
      <w:r w:rsidR="00964DE7">
        <w:rPr>
          <w:szCs w:val="24"/>
        </w:rPr>
        <w:t>24. maj 2023</w:t>
      </w:r>
      <w:bookmarkStart w:id="0" w:name="_GoBack"/>
      <w:bookmarkEnd w:id="0"/>
    </w:p>
    <w:p w14:paraId="3942F300" w14:textId="77777777" w:rsidR="009260DE" w:rsidRPr="007C190E" w:rsidRDefault="009260DE" w:rsidP="009260DE">
      <w:pPr>
        <w:pStyle w:val="Titel"/>
        <w:tabs>
          <w:tab w:val="left" w:pos="8222"/>
        </w:tabs>
        <w:jc w:val="left"/>
        <w:rPr>
          <w:b w:val="0"/>
          <w:szCs w:val="24"/>
        </w:rPr>
      </w:pPr>
    </w:p>
    <w:p w14:paraId="58710CC2" w14:textId="77777777" w:rsidR="009260DE" w:rsidRPr="007C190E" w:rsidRDefault="009260DE" w:rsidP="009260DE">
      <w:pPr>
        <w:pStyle w:val="Titel"/>
        <w:jc w:val="left"/>
        <w:rPr>
          <w:b w:val="0"/>
          <w:szCs w:val="24"/>
        </w:rPr>
      </w:pPr>
    </w:p>
    <w:p w14:paraId="04034C71" w14:textId="77777777" w:rsidR="009260DE" w:rsidRPr="007C190E" w:rsidRDefault="009260DE" w:rsidP="009260DE">
      <w:pPr>
        <w:pStyle w:val="Titel"/>
        <w:jc w:val="left"/>
        <w:rPr>
          <w:b w:val="0"/>
          <w:szCs w:val="24"/>
        </w:rPr>
      </w:pPr>
    </w:p>
    <w:p w14:paraId="0D9835FD" w14:textId="77777777" w:rsidR="009260DE" w:rsidRPr="007C190E" w:rsidRDefault="009260DE" w:rsidP="009260DE">
      <w:pPr>
        <w:jc w:val="center"/>
        <w:rPr>
          <w:b/>
          <w:sz w:val="24"/>
          <w:szCs w:val="24"/>
        </w:rPr>
      </w:pPr>
      <w:r w:rsidRPr="007C190E">
        <w:rPr>
          <w:b/>
          <w:sz w:val="24"/>
          <w:szCs w:val="24"/>
        </w:rPr>
        <w:t>PRODUKTRESUMÉ</w:t>
      </w:r>
    </w:p>
    <w:p w14:paraId="235BE176" w14:textId="77777777" w:rsidR="009260DE" w:rsidRPr="007C190E" w:rsidRDefault="009260DE" w:rsidP="009260DE">
      <w:pPr>
        <w:jc w:val="center"/>
        <w:rPr>
          <w:b/>
          <w:sz w:val="24"/>
          <w:szCs w:val="24"/>
        </w:rPr>
      </w:pPr>
    </w:p>
    <w:p w14:paraId="16E52856" w14:textId="77777777" w:rsidR="009260DE" w:rsidRPr="007C190E" w:rsidRDefault="009260DE" w:rsidP="009260DE">
      <w:pPr>
        <w:jc w:val="center"/>
        <w:rPr>
          <w:b/>
          <w:sz w:val="24"/>
          <w:szCs w:val="24"/>
        </w:rPr>
      </w:pPr>
      <w:r w:rsidRPr="007C190E">
        <w:rPr>
          <w:b/>
          <w:sz w:val="24"/>
          <w:szCs w:val="24"/>
        </w:rPr>
        <w:t>for</w:t>
      </w:r>
    </w:p>
    <w:p w14:paraId="7049351E" w14:textId="77777777" w:rsidR="000B058C" w:rsidRPr="007C190E" w:rsidRDefault="000B058C" w:rsidP="009260DE">
      <w:pPr>
        <w:jc w:val="center"/>
        <w:rPr>
          <w:b/>
          <w:sz w:val="24"/>
          <w:szCs w:val="24"/>
        </w:rPr>
      </w:pPr>
    </w:p>
    <w:p w14:paraId="4387C3D9" w14:textId="5F98AB0C" w:rsidR="009260DE" w:rsidRPr="007C190E" w:rsidRDefault="007062CB" w:rsidP="009260DE">
      <w:pPr>
        <w:jc w:val="center"/>
        <w:rPr>
          <w:b/>
          <w:sz w:val="24"/>
          <w:szCs w:val="24"/>
        </w:rPr>
      </w:pPr>
      <w:proofErr w:type="spellStart"/>
      <w:r w:rsidRPr="007C190E">
        <w:rPr>
          <w:b/>
          <w:sz w:val="24"/>
          <w:szCs w:val="24"/>
        </w:rPr>
        <w:t>Prothromplex</w:t>
      </w:r>
      <w:proofErr w:type="spellEnd"/>
      <w:r w:rsidRPr="007C190E">
        <w:rPr>
          <w:b/>
          <w:sz w:val="24"/>
          <w:szCs w:val="24"/>
        </w:rPr>
        <w:t>, pulver og solvens til injektionsvæske, opløsning</w:t>
      </w:r>
      <w:r w:rsidR="003C0469" w:rsidRPr="007C190E">
        <w:rPr>
          <w:b/>
          <w:sz w:val="24"/>
          <w:szCs w:val="24"/>
        </w:rPr>
        <w:t xml:space="preserve"> 500 IE</w:t>
      </w:r>
    </w:p>
    <w:p w14:paraId="4A7130BA" w14:textId="77777777" w:rsidR="009260DE" w:rsidRPr="007C190E" w:rsidRDefault="009260DE" w:rsidP="009260DE">
      <w:pPr>
        <w:jc w:val="both"/>
        <w:rPr>
          <w:sz w:val="24"/>
          <w:szCs w:val="24"/>
        </w:rPr>
      </w:pPr>
    </w:p>
    <w:p w14:paraId="736721B0" w14:textId="77777777" w:rsidR="009260DE" w:rsidRPr="007C190E" w:rsidRDefault="009260DE" w:rsidP="009260DE">
      <w:pPr>
        <w:jc w:val="both"/>
        <w:rPr>
          <w:sz w:val="24"/>
          <w:szCs w:val="24"/>
        </w:rPr>
      </w:pPr>
    </w:p>
    <w:p w14:paraId="56846023" w14:textId="77777777" w:rsidR="009260DE" w:rsidRPr="007C190E" w:rsidRDefault="009260DE" w:rsidP="009260DE">
      <w:pPr>
        <w:tabs>
          <w:tab w:val="left" w:pos="851"/>
        </w:tabs>
        <w:ind w:left="851" w:hanging="851"/>
        <w:rPr>
          <w:b/>
          <w:sz w:val="24"/>
          <w:szCs w:val="24"/>
        </w:rPr>
      </w:pPr>
      <w:r w:rsidRPr="007C190E">
        <w:rPr>
          <w:b/>
          <w:sz w:val="24"/>
          <w:szCs w:val="24"/>
        </w:rPr>
        <w:t>0.</w:t>
      </w:r>
      <w:r w:rsidRPr="007C190E">
        <w:rPr>
          <w:b/>
          <w:sz w:val="24"/>
          <w:szCs w:val="24"/>
        </w:rPr>
        <w:tab/>
        <w:t>D.SP.NR.</w:t>
      </w:r>
    </w:p>
    <w:p w14:paraId="2F68FAA7" w14:textId="690C3E01" w:rsidR="009260DE" w:rsidRPr="007C190E" w:rsidRDefault="007062CB" w:rsidP="009260DE">
      <w:pPr>
        <w:tabs>
          <w:tab w:val="left" w:pos="851"/>
        </w:tabs>
        <w:ind w:left="851"/>
        <w:rPr>
          <w:sz w:val="24"/>
          <w:szCs w:val="24"/>
        </w:rPr>
      </w:pPr>
      <w:r w:rsidRPr="007C190E">
        <w:rPr>
          <w:sz w:val="24"/>
          <w:szCs w:val="24"/>
        </w:rPr>
        <w:t>29147</w:t>
      </w:r>
    </w:p>
    <w:p w14:paraId="6964ADA2" w14:textId="77777777" w:rsidR="009260DE" w:rsidRPr="007C190E" w:rsidRDefault="009260DE" w:rsidP="009260DE">
      <w:pPr>
        <w:tabs>
          <w:tab w:val="left" w:pos="851"/>
        </w:tabs>
        <w:ind w:left="851"/>
        <w:rPr>
          <w:sz w:val="24"/>
          <w:szCs w:val="24"/>
        </w:rPr>
      </w:pPr>
    </w:p>
    <w:p w14:paraId="56661F4E" w14:textId="77777777" w:rsidR="009260DE" w:rsidRPr="007C190E" w:rsidRDefault="009260DE" w:rsidP="009260DE">
      <w:pPr>
        <w:tabs>
          <w:tab w:val="left" w:pos="851"/>
        </w:tabs>
        <w:ind w:left="851" w:hanging="851"/>
        <w:rPr>
          <w:b/>
          <w:sz w:val="24"/>
          <w:szCs w:val="24"/>
        </w:rPr>
      </w:pPr>
      <w:r w:rsidRPr="007C190E">
        <w:rPr>
          <w:b/>
          <w:sz w:val="24"/>
          <w:szCs w:val="24"/>
        </w:rPr>
        <w:t>1.</w:t>
      </w:r>
      <w:r w:rsidRPr="007C190E">
        <w:rPr>
          <w:b/>
          <w:sz w:val="24"/>
          <w:szCs w:val="24"/>
        </w:rPr>
        <w:tab/>
        <w:t>LÆGEMIDLETS NAVN</w:t>
      </w:r>
    </w:p>
    <w:p w14:paraId="26CBCC0E" w14:textId="42ACF285" w:rsidR="009260DE" w:rsidRPr="007C190E" w:rsidRDefault="007062CB" w:rsidP="009260DE">
      <w:pPr>
        <w:tabs>
          <w:tab w:val="left" w:pos="851"/>
        </w:tabs>
        <w:ind w:left="851"/>
        <w:rPr>
          <w:sz w:val="24"/>
          <w:szCs w:val="24"/>
        </w:rPr>
      </w:pPr>
      <w:proofErr w:type="spellStart"/>
      <w:r w:rsidRPr="007C190E">
        <w:rPr>
          <w:sz w:val="24"/>
          <w:szCs w:val="24"/>
        </w:rPr>
        <w:t>Prothromplex</w:t>
      </w:r>
      <w:proofErr w:type="spellEnd"/>
    </w:p>
    <w:p w14:paraId="735FEAF5" w14:textId="77777777" w:rsidR="009260DE" w:rsidRPr="007C190E" w:rsidRDefault="009260DE" w:rsidP="009260DE">
      <w:pPr>
        <w:tabs>
          <w:tab w:val="left" w:pos="851"/>
        </w:tabs>
        <w:ind w:left="851"/>
        <w:rPr>
          <w:sz w:val="24"/>
          <w:szCs w:val="24"/>
        </w:rPr>
      </w:pPr>
    </w:p>
    <w:p w14:paraId="41C5A9D9" w14:textId="77777777" w:rsidR="009260DE" w:rsidRPr="007C190E" w:rsidRDefault="009260DE" w:rsidP="009260DE">
      <w:pPr>
        <w:tabs>
          <w:tab w:val="left" w:pos="851"/>
        </w:tabs>
        <w:ind w:left="851" w:hanging="851"/>
        <w:rPr>
          <w:b/>
          <w:sz w:val="24"/>
          <w:szCs w:val="24"/>
        </w:rPr>
      </w:pPr>
      <w:r w:rsidRPr="007C190E">
        <w:rPr>
          <w:b/>
          <w:sz w:val="24"/>
          <w:szCs w:val="24"/>
        </w:rPr>
        <w:t>2.</w:t>
      </w:r>
      <w:r w:rsidRPr="007C190E">
        <w:rPr>
          <w:b/>
          <w:sz w:val="24"/>
          <w:szCs w:val="24"/>
        </w:rPr>
        <w:tab/>
        <w:t>KVALITATIV OG KVANTITATIV SAMMENSÆTNING</w:t>
      </w:r>
    </w:p>
    <w:p w14:paraId="5A6D5D7D" w14:textId="77777777" w:rsidR="00191E23" w:rsidRPr="007C190E" w:rsidRDefault="00191E23" w:rsidP="00191E23">
      <w:pPr>
        <w:ind w:left="851"/>
        <w:rPr>
          <w:sz w:val="24"/>
          <w:szCs w:val="24"/>
          <w:lang w:eastAsia="de-AT"/>
        </w:rPr>
      </w:pPr>
      <w:r w:rsidRPr="007C190E">
        <w:rPr>
          <w:sz w:val="24"/>
          <w:szCs w:val="24"/>
          <w:lang w:eastAsia="de-AT"/>
        </w:rPr>
        <w:t xml:space="preserve">Aktivt indholdsstof: Humant </w:t>
      </w:r>
      <w:proofErr w:type="spellStart"/>
      <w:r w:rsidRPr="007C190E">
        <w:rPr>
          <w:sz w:val="24"/>
          <w:szCs w:val="24"/>
          <w:lang w:eastAsia="de-AT"/>
        </w:rPr>
        <w:t>protrombinkompleks</w:t>
      </w:r>
      <w:proofErr w:type="spellEnd"/>
      <w:r w:rsidRPr="007C190E">
        <w:rPr>
          <w:sz w:val="24"/>
          <w:szCs w:val="24"/>
          <w:lang w:eastAsia="de-AT"/>
        </w:rPr>
        <w:t xml:space="preserve"> </w:t>
      </w:r>
    </w:p>
    <w:p w14:paraId="30A85988" w14:textId="77777777" w:rsidR="00191E23" w:rsidRPr="007C190E" w:rsidRDefault="00191E23" w:rsidP="00191E23">
      <w:pPr>
        <w:ind w:left="851"/>
        <w:rPr>
          <w:sz w:val="24"/>
          <w:szCs w:val="24"/>
          <w:lang w:eastAsia="de-AT"/>
        </w:rPr>
      </w:pPr>
    </w:p>
    <w:p w14:paraId="457F7712" w14:textId="77777777" w:rsidR="00191E23" w:rsidRPr="007C190E" w:rsidRDefault="00191E23" w:rsidP="00191E23">
      <w:pPr>
        <w:tabs>
          <w:tab w:val="left" w:pos="6686"/>
          <w:tab w:val="left" w:pos="7740"/>
        </w:tabs>
        <w:ind w:left="851"/>
        <w:rPr>
          <w:sz w:val="24"/>
          <w:szCs w:val="24"/>
          <w:lang w:eastAsia="de-AT"/>
        </w:rPr>
      </w:pPr>
      <w:proofErr w:type="spellStart"/>
      <w:r w:rsidRPr="007C190E">
        <w:rPr>
          <w:sz w:val="24"/>
          <w:szCs w:val="24"/>
          <w:lang w:eastAsia="de-AT"/>
        </w:rPr>
        <w:t>Prothromplex</w:t>
      </w:r>
      <w:proofErr w:type="spellEnd"/>
      <w:r w:rsidRPr="007C190E">
        <w:rPr>
          <w:sz w:val="24"/>
          <w:szCs w:val="24"/>
          <w:lang w:eastAsia="de-AT"/>
        </w:rPr>
        <w:t xml:space="preserve"> er et pulver til opløsning til intravenøs anvendelse. Hvert</w:t>
      </w:r>
      <w:r w:rsidRPr="007C190E">
        <w:rPr>
          <w:i/>
          <w:sz w:val="24"/>
          <w:szCs w:val="24"/>
          <w:lang w:eastAsia="de-AT"/>
        </w:rPr>
        <w:t xml:space="preserve"> </w:t>
      </w:r>
      <w:r w:rsidRPr="007C190E">
        <w:rPr>
          <w:sz w:val="24"/>
          <w:szCs w:val="24"/>
          <w:lang w:eastAsia="de-AT"/>
        </w:rPr>
        <w:t xml:space="preserve">hætteglas har et nominelt indhold på følgende IE humane koagulationsfaktorer: </w:t>
      </w:r>
    </w:p>
    <w:p w14:paraId="4607BE03" w14:textId="77777777" w:rsidR="00191E23" w:rsidRPr="007C190E" w:rsidRDefault="00191E23" w:rsidP="00191E23">
      <w:pPr>
        <w:tabs>
          <w:tab w:val="left" w:pos="6686"/>
          <w:tab w:val="left" w:pos="7740"/>
        </w:tabs>
        <w:ind w:left="851"/>
        <w:rPr>
          <w:sz w:val="24"/>
          <w:szCs w:val="24"/>
          <w:lang w:eastAsia="de-AT"/>
        </w:rPr>
      </w:pPr>
    </w:p>
    <w:tbl>
      <w:tblPr>
        <w:tblW w:w="8509" w:type="dxa"/>
        <w:tblInd w:w="851" w:type="dxa"/>
        <w:tblLook w:val="01E0" w:firstRow="1" w:lastRow="1" w:firstColumn="1" w:lastColumn="1" w:noHBand="0" w:noVBand="0"/>
      </w:tblPr>
      <w:tblGrid>
        <w:gridCol w:w="3402"/>
        <w:gridCol w:w="1984"/>
        <w:gridCol w:w="3123"/>
      </w:tblGrid>
      <w:tr w:rsidR="00191E23" w:rsidRPr="00B5420C" w14:paraId="11F307FA" w14:textId="77777777" w:rsidTr="00191E23">
        <w:tc>
          <w:tcPr>
            <w:tcW w:w="3402" w:type="dxa"/>
          </w:tcPr>
          <w:p w14:paraId="32115614" w14:textId="77777777" w:rsidR="00191E23" w:rsidRPr="00B5420C" w:rsidRDefault="00191E23">
            <w:pPr>
              <w:tabs>
                <w:tab w:val="left" w:pos="6686"/>
                <w:tab w:val="left" w:pos="7740"/>
              </w:tabs>
              <w:ind w:left="-108"/>
              <w:rPr>
                <w:sz w:val="22"/>
                <w:szCs w:val="22"/>
                <w:lang w:eastAsia="de-AT"/>
              </w:rPr>
            </w:pPr>
          </w:p>
        </w:tc>
        <w:tc>
          <w:tcPr>
            <w:tcW w:w="1984" w:type="dxa"/>
          </w:tcPr>
          <w:p w14:paraId="5E2000B3" w14:textId="77777777" w:rsidR="00191E23" w:rsidRPr="00B5420C" w:rsidRDefault="00191E23">
            <w:pPr>
              <w:tabs>
                <w:tab w:val="left" w:pos="6686"/>
                <w:tab w:val="left" w:pos="7740"/>
              </w:tabs>
              <w:ind w:left="317"/>
              <w:rPr>
                <w:sz w:val="22"/>
                <w:szCs w:val="22"/>
                <w:lang w:eastAsia="de-AT"/>
              </w:rPr>
            </w:pPr>
            <w:r w:rsidRPr="00B5420C">
              <w:rPr>
                <w:sz w:val="22"/>
                <w:szCs w:val="22"/>
                <w:lang w:eastAsia="de-AT"/>
              </w:rPr>
              <w:t>Pr. hætteglas</w:t>
            </w:r>
          </w:p>
          <w:p w14:paraId="0CC7BF27" w14:textId="77777777" w:rsidR="00191E23" w:rsidRPr="00B5420C" w:rsidRDefault="00191E23">
            <w:pPr>
              <w:tabs>
                <w:tab w:val="left" w:pos="6686"/>
                <w:tab w:val="left" w:pos="7740"/>
              </w:tabs>
              <w:ind w:left="317"/>
              <w:rPr>
                <w:sz w:val="22"/>
                <w:szCs w:val="22"/>
                <w:lang w:eastAsia="de-AT"/>
              </w:rPr>
            </w:pPr>
          </w:p>
          <w:p w14:paraId="65FCF2C3" w14:textId="77777777" w:rsidR="00191E23" w:rsidRPr="00B5420C" w:rsidRDefault="00191E23">
            <w:pPr>
              <w:tabs>
                <w:tab w:val="left" w:pos="6686"/>
                <w:tab w:val="left" w:pos="7740"/>
              </w:tabs>
              <w:ind w:left="317"/>
              <w:rPr>
                <w:sz w:val="22"/>
                <w:szCs w:val="22"/>
                <w:lang w:eastAsia="de-AT"/>
              </w:rPr>
            </w:pPr>
            <w:r w:rsidRPr="00B5420C">
              <w:rPr>
                <w:sz w:val="22"/>
                <w:szCs w:val="22"/>
                <w:lang w:eastAsia="de-AT"/>
              </w:rPr>
              <w:t>[IE]</w:t>
            </w:r>
          </w:p>
        </w:tc>
        <w:tc>
          <w:tcPr>
            <w:tcW w:w="3123" w:type="dxa"/>
            <w:hideMark/>
          </w:tcPr>
          <w:p w14:paraId="33FA1A80" w14:textId="77777777" w:rsidR="00191E23" w:rsidRPr="00B5420C" w:rsidRDefault="00191E23">
            <w:pPr>
              <w:tabs>
                <w:tab w:val="left" w:pos="6686"/>
                <w:tab w:val="left" w:pos="7740"/>
              </w:tabs>
              <w:ind w:left="92"/>
              <w:rPr>
                <w:sz w:val="22"/>
                <w:szCs w:val="22"/>
                <w:lang w:eastAsia="de-AT"/>
              </w:rPr>
            </w:pPr>
            <w:r w:rsidRPr="00B5420C">
              <w:rPr>
                <w:sz w:val="22"/>
                <w:szCs w:val="22"/>
                <w:lang w:eastAsia="de-AT"/>
              </w:rPr>
              <w:t xml:space="preserve">Efter </w:t>
            </w:r>
            <w:proofErr w:type="spellStart"/>
            <w:r w:rsidRPr="00B5420C">
              <w:rPr>
                <w:sz w:val="22"/>
                <w:szCs w:val="22"/>
                <w:lang w:eastAsia="de-AT"/>
              </w:rPr>
              <w:t>rekonstitution</w:t>
            </w:r>
            <w:proofErr w:type="spellEnd"/>
            <w:r w:rsidRPr="00B5420C">
              <w:rPr>
                <w:sz w:val="22"/>
                <w:szCs w:val="22"/>
                <w:lang w:eastAsia="de-AT"/>
              </w:rPr>
              <w:t xml:space="preserve"> i 17 ml vand til injektionsvæsker</w:t>
            </w:r>
          </w:p>
          <w:p w14:paraId="1CD77D6A" w14:textId="77777777" w:rsidR="00191E23" w:rsidRPr="00B5420C" w:rsidRDefault="00191E23">
            <w:pPr>
              <w:tabs>
                <w:tab w:val="left" w:pos="6686"/>
                <w:tab w:val="left" w:pos="7740"/>
              </w:tabs>
              <w:ind w:left="92"/>
              <w:rPr>
                <w:sz w:val="22"/>
                <w:szCs w:val="22"/>
                <w:lang w:eastAsia="de-AT"/>
              </w:rPr>
            </w:pPr>
            <w:r w:rsidRPr="00B5420C">
              <w:rPr>
                <w:sz w:val="22"/>
                <w:szCs w:val="22"/>
                <w:lang w:eastAsia="de-AT"/>
              </w:rPr>
              <w:t>[IE/ml]</w:t>
            </w:r>
          </w:p>
        </w:tc>
      </w:tr>
      <w:tr w:rsidR="00191E23" w:rsidRPr="00B5420C" w14:paraId="2532D2B7" w14:textId="77777777" w:rsidTr="00191E23">
        <w:tc>
          <w:tcPr>
            <w:tcW w:w="3402" w:type="dxa"/>
            <w:hideMark/>
          </w:tcPr>
          <w:p w14:paraId="3385CBB3" w14:textId="77777777" w:rsidR="00191E23" w:rsidRPr="00B5420C" w:rsidRDefault="00191E23">
            <w:pPr>
              <w:tabs>
                <w:tab w:val="left" w:pos="6686"/>
                <w:tab w:val="left" w:pos="7740"/>
              </w:tabs>
              <w:ind w:left="-108"/>
              <w:rPr>
                <w:sz w:val="22"/>
                <w:szCs w:val="22"/>
                <w:lang w:eastAsia="de-AT"/>
              </w:rPr>
            </w:pPr>
            <w:r w:rsidRPr="00B5420C">
              <w:rPr>
                <w:sz w:val="22"/>
                <w:szCs w:val="22"/>
                <w:lang w:eastAsia="de-AT"/>
              </w:rPr>
              <w:t>Human koagulationsfaktor II</w:t>
            </w:r>
          </w:p>
        </w:tc>
        <w:tc>
          <w:tcPr>
            <w:tcW w:w="1984" w:type="dxa"/>
            <w:hideMark/>
          </w:tcPr>
          <w:p w14:paraId="2EE46F9D" w14:textId="77777777" w:rsidR="00191E23" w:rsidRPr="00B5420C" w:rsidRDefault="00191E23">
            <w:pPr>
              <w:tabs>
                <w:tab w:val="left" w:pos="6686"/>
                <w:tab w:val="left" w:pos="7740"/>
              </w:tabs>
              <w:ind w:left="317"/>
              <w:rPr>
                <w:sz w:val="22"/>
                <w:szCs w:val="22"/>
                <w:lang w:eastAsia="de-AT"/>
              </w:rPr>
            </w:pPr>
            <w:r w:rsidRPr="00B5420C">
              <w:rPr>
                <w:sz w:val="22"/>
                <w:szCs w:val="22"/>
              </w:rPr>
              <w:t>375 – 708</w:t>
            </w:r>
          </w:p>
        </w:tc>
        <w:tc>
          <w:tcPr>
            <w:tcW w:w="3123" w:type="dxa"/>
            <w:hideMark/>
          </w:tcPr>
          <w:p w14:paraId="0C9AAEDC" w14:textId="77777777" w:rsidR="00191E23" w:rsidRPr="00B5420C" w:rsidRDefault="00191E23">
            <w:pPr>
              <w:tabs>
                <w:tab w:val="left" w:pos="6686"/>
                <w:tab w:val="left" w:pos="7740"/>
              </w:tabs>
              <w:ind w:left="92"/>
              <w:rPr>
                <w:sz w:val="22"/>
                <w:szCs w:val="22"/>
                <w:lang w:eastAsia="de-AT"/>
              </w:rPr>
            </w:pPr>
            <w:r w:rsidRPr="00B5420C">
              <w:rPr>
                <w:sz w:val="22"/>
                <w:szCs w:val="22"/>
                <w:lang w:eastAsia="de-AT"/>
              </w:rPr>
              <w:t>22,5</w:t>
            </w:r>
            <w:r w:rsidRPr="00B5420C">
              <w:rPr>
                <w:sz w:val="22"/>
                <w:szCs w:val="22"/>
              </w:rPr>
              <w:t xml:space="preserve"> – </w:t>
            </w:r>
            <w:r w:rsidRPr="00B5420C">
              <w:rPr>
                <w:sz w:val="22"/>
                <w:szCs w:val="22"/>
                <w:lang w:eastAsia="de-AT"/>
              </w:rPr>
              <w:t>42,5</w:t>
            </w:r>
          </w:p>
        </w:tc>
      </w:tr>
      <w:tr w:rsidR="00191E23" w:rsidRPr="00B5420C" w14:paraId="542978A6" w14:textId="77777777" w:rsidTr="00191E23">
        <w:tc>
          <w:tcPr>
            <w:tcW w:w="3402" w:type="dxa"/>
            <w:hideMark/>
          </w:tcPr>
          <w:p w14:paraId="29CA7113" w14:textId="77777777" w:rsidR="00191E23" w:rsidRPr="00B5420C" w:rsidRDefault="00191E23">
            <w:pPr>
              <w:tabs>
                <w:tab w:val="left" w:pos="6686"/>
                <w:tab w:val="left" w:pos="7740"/>
              </w:tabs>
              <w:ind w:left="-108"/>
              <w:rPr>
                <w:sz w:val="22"/>
                <w:szCs w:val="22"/>
                <w:lang w:eastAsia="de-AT"/>
              </w:rPr>
            </w:pPr>
            <w:r w:rsidRPr="00B5420C">
              <w:rPr>
                <w:sz w:val="22"/>
                <w:szCs w:val="22"/>
                <w:lang w:eastAsia="de-AT"/>
              </w:rPr>
              <w:t xml:space="preserve">Human koagulationsfaktor </w:t>
            </w:r>
            <w:smartTag w:uri="urn:schemas-microsoft-com:office:smarttags" w:element="stockticker">
              <w:r w:rsidRPr="00B5420C">
                <w:rPr>
                  <w:sz w:val="22"/>
                  <w:szCs w:val="22"/>
                  <w:lang w:eastAsia="de-AT"/>
                </w:rPr>
                <w:t>VII</w:t>
              </w:r>
            </w:smartTag>
          </w:p>
        </w:tc>
        <w:tc>
          <w:tcPr>
            <w:tcW w:w="1984" w:type="dxa"/>
            <w:hideMark/>
          </w:tcPr>
          <w:p w14:paraId="5660C164" w14:textId="77777777" w:rsidR="00191E23" w:rsidRPr="00B5420C" w:rsidRDefault="00191E23">
            <w:pPr>
              <w:tabs>
                <w:tab w:val="left" w:pos="6686"/>
                <w:tab w:val="left" w:pos="7740"/>
              </w:tabs>
              <w:ind w:left="317"/>
              <w:rPr>
                <w:sz w:val="22"/>
                <w:szCs w:val="22"/>
                <w:lang w:eastAsia="de-AT"/>
              </w:rPr>
            </w:pPr>
            <w:r w:rsidRPr="00B5420C">
              <w:rPr>
                <w:sz w:val="22"/>
                <w:szCs w:val="22"/>
              </w:rPr>
              <w:t>417</w:t>
            </w:r>
          </w:p>
        </w:tc>
        <w:tc>
          <w:tcPr>
            <w:tcW w:w="3123" w:type="dxa"/>
            <w:hideMark/>
          </w:tcPr>
          <w:p w14:paraId="58E7EAD9" w14:textId="77777777" w:rsidR="00191E23" w:rsidRPr="00B5420C" w:rsidRDefault="00191E23">
            <w:pPr>
              <w:tabs>
                <w:tab w:val="left" w:pos="6686"/>
                <w:tab w:val="left" w:pos="7740"/>
              </w:tabs>
              <w:ind w:left="92"/>
              <w:rPr>
                <w:sz w:val="22"/>
                <w:szCs w:val="22"/>
                <w:lang w:eastAsia="de-AT"/>
              </w:rPr>
            </w:pPr>
            <w:r w:rsidRPr="00B5420C">
              <w:rPr>
                <w:sz w:val="22"/>
                <w:szCs w:val="22"/>
                <w:lang w:eastAsia="de-AT"/>
              </w:rPr>
              <w:t>25</w:t>
            </w:r>
          </w:p>
        </w:tc>
      </w:tr>
      <w:tr w:rsidR="00191E23" w:rsidRPr="00B5420C" w14:paraId="508EA533" w14:textId="77777777" w:rsidTr="00191E23">
        <w:tc>
          <w:tcPr>
            <w:tcW w:w="3402" w:type="dxa"/>
            <w:hideMark/>
          </w:tcPr>
          <w:p w14:paraId="56064EC5" w14:textId="77777777" w:rsidR="00191E23" w:rsidRPr="00B5420C" w:rsidRDefault="00191E23">
            <w:pPr>
              <w:tabs>
                <w:tab w:val="left" w:pos="6686"/>
                <w:tab w:val="left" w:pos="7740"/>
              </w:tabs>
              <w:ind w:left="-108"/>
              <w:rPr>
                <w:sz w:val="22"/>
                <w:szCs w:val="22"/>
                <w:lang w:eastAsia="de-AT"/>
              </w:rPr>
            </w:pPr>
            <w:r w:rsidRPr="00B5420C">
              <w:rPr>
                <w:sz w:val="22"/>
                <w:szCs w:val="22"/>
                <w:lang w:eastAsia="de-AT"/>
              </w:rPr>
              <w:t>Human koagulationsfaktor IX</w:t>
            </w:r>
          </w:p>
        </w:tc>
        <w:tc>
          <w:tcPr>
            <w:tcW w:w="1984" w:type="dxa"/>
            <w:hideMark/>
          </w:tcPr>
          <w:p w14:paraId="4B08CCEF" w14:textId="77777777" w:rsidR="00191E23" w:rsidRPr="00B5420C" w:rsidRDefault="00191E23">
            <w:pPr>
              <w:tabs>
                <w:tab w:val="left" w:pos="6686"/>
                <w:tab w:val="left" w:pos="7740"/>
              </w:tabs>
              <w:ind w:left="317"/>
              <w:rPr>
                <w:sz w:val="22"/>
                <w:szCs w:val="22"/>
                <w:lang w:eastAsia="de-AT"/>
              </w:rPr>
            </w:pPr>
            <w:r w:rsidRPr="00B5420C">
              <w:rPr>
                <w:sz w:val="22"/>
                <w:szCs w:val="22"/>
                <w:lang w:eastAsia="de-AT"/>
              </w:rPr>
              <w:t>500</w:t>
            </w:r>
          </w:p>
        </w:tc>
        <w:tc>
          <w:tcPr>
            <w:tcW w:w="3123" w:type="dxa"/>
            <w:hideMark/>
          </w:tcPr>
          <w:p w14:paraId="2BAABFD9" w14:textId="77777777" w:rsidR="00191E23" w:rsidRPr="00B5420C" w:rsidRDefault="00191E23">
            <w:pPr>
              <w:tabs>
                <w:tab w:val="left" w:pos="6686"/>
                <w:tab w:val="left" w:pos="7740"/>
              </w:tabs>
              <w:ind w:left="92"/>
              <w:rPr>
                <w:sz w:val="22"/>
                <w:szCs w:val="22"/>
                <w:lang w:eastAsia="de-AT"/>
              </w:rPr>
            </w:pPr>
            <w:r w:rsidRPr="00B5420C">
              <w:rPr>
                <w:sz w:val="22"/>
                <w:szCs w:val="22"/>
                <w:lang w:eastAsia="de-AT"/>
              </w:rPr>
              <w:t>30</w:t>
            </w:r>
          </w:p>
        </w:tc>
      </w:tr>
      <w:tr w:rsidR="00191E23" w:rsidRPr="00B5420C" w14:paraId="298CEFE7" w14:textId="77777777" w:rsidTr="00191E23">
        <w:tc>
          <w:tcPr>
            <w:tcW w:w="3402" w:type="dxa"/>
            <w:hideMark/>
          </w:tcPr>
          <w:p w14:paraId="0B64664E" w14:textId="77777777" w:rsidR="00191E23" w:rsidRPr="00B5420C" w:rsidRDefault="00191E23">
            <w:pPr>
              <w:tabs>
                <w:tab w:val="left" w:pos="6686"/>
                <w:tab w:val="left" w:pos="7740"/>
              </w:tabs>
              <w:ind w:left="-108"/>
              <w:rPr>
                <w:sz w:val="22"/>
                <w:szCs w:val="22"/>
                <w:lang w:eastAsia="de-AT"/>
              </w:rPr>
            </w:pPr>
            <w:r w:rsidRPr="00B5420C">
              <w:rPr>
                <w:sz w:val="22"/>
                <w:szCs w:val="22"/>
                <w:lang w:eastAsia="de-AT"/>
              </w:rPr>
              <w:t>Human koagulationsfaktor X</w:t>
            </w:r>
          </w:p>
        </w:tc>
        <w:tc>
          <w:tcPr>
            <w:tcW w:w="1984" w:type="dxa"/>
            <w:hideMark/>
          </w:tcPr>
          <w:p w14:paraId="25B56A78" w14:textId="77777777" w:rsidR="00191E23" w:rsidRPr="00B5420C" w:rsidRDefault="00191E23">
            <w:pPr>
              <w:tabs>
                <w:tab w:val="left" w:pos="6686"/>
                <w:tab w:val="left" w:pos="7740"/>
              </w:tabs>
              <w:ind w:left="317"/>
              <w:rPr>
                <w:sz w:val="22"/>
                <w:szCs w:val="22"/>
                <w:lang w:eastAsia="de-AT"/>
              </w:rPr>
            </w:pPr>
            <w:r w:rsidRPr="00B5420C">
              <w:rPr>
                <w:sz w:val="22"/>
                <w:szCs w:val="22"/>
                <w:lang w:eastAsia="de-AT"/>
              </w:rPr>
              <w:t>500</w:t>
            </w:r>
          </w:p>
        </w:tc>
        <w:tc>
          <w:tcPr>
            <w:tcW w:w="3123" w:type="dxa"/>
            <w:hideMark/>
          </w:tcPr>
          <w:p w14:paraId="3BC256E9" w14:textId="77777777" w:rsidR="00191E23" w:rsidRPr="00B5420C" w:rsidRDefault="00191E23">
            <w:pPr>
              <w:tabs>
                <w:tab w:val="left" w:pos="6686"/>
                <w:tab w:val="left" w:pos="7740"/>
              </w:tabs>
              <w:ind w:left="92"/>
              <w:rPr>
                <w:sz w:val="22"/>
                <w:szCs w:val="22"/>
                <w:lang w:eastAsia="de-AT"/>
              </w:rPr>
            </w:pPr>
            <w:r w:rsidRPr="00B5420C">
              <w:rPr>
                <w:sz w:val="22"/>
                <w:szCs w:val="22"/>
                <w:lang w:eastAsia="de-AT"/>
              </w:rPr>
              <w:t>30</w:t>
            </w:r>
          </w:p>
        </w:tc>
      </w:tr>
    </w:tbl>
    <w:p w14:paraId="1EDC40CB" w14:textId="77777777" w:rsidR="00191E23" w:rsidRPr="007C190E" w:rsidRDefault="00191E23" w:rsidP="00191E23">
      <w:pPr>
        <w:ind w:left="851"/>
        <w:rPr>
          <w:sz w:val="24"/>
          <w:szCs w:val="24"/>
          <w:lang w:eastAsia="de-AT"/>
        </w:rPr>
      </w:pPr>
    </w:p>
    <w:p w14:paraId="02AE775A" w14:textId="77777777" w:rsidR="00191E23" w:rsidRPr="007C190E" w:rsidRDefault="00191E23" w:rsidP="00191E23">
      <w:pPr>
        <w:ind w:left="851"/>
        <w:rPr>
          <w:sz w:val="24"/>
          <w:szCs w:val="24"/>
          <w:lang w:eastAsia="de-AT"/>
        </w:rPr>
      </w:pPr>
      <w:r w:rsidRPr="007C190E">
        <w:rPr>
          <w:sz w:val="24"/>
          <w:szCs w:val="24"/>
          <w:lang w:eastAsia="de-AT"/>
        </w:rPr>
        <w:t xml:space="preserve">Det samlede proteinindhold pr. hætteglas er </w:t>
      </w:r>
      <w:r w:rsidRPr="007C190E">
        <w:rPr>
          <w:sz w:val="24"/>
          <w:szCs w:val="24"/>
        </w:rPr>
        <w:t>250 – 625</w:t>
      </w:r>
      <w:r w:rsidRPr="007C190E">
        <w:rPr>
          <w:sz w:val="24"/>
          <w:szCs w:val="24"/>
          <w:lang w:eastAsia="de-AT"/>
        </w:rPr>
        <w:t> mg. Produktets specifikke aktivitet er mindst 0,6 IE/mg i forhold til faktor IX-aktiviteten.</w:t>
      </w:r>
    </w:p>
    <w:p w14:paraId="7A2575BC" w14:textId="77777777" w:rsidR="00191E23" w:rsidRPr="007C190E" w:rsidRDefault="00191E23" w:rsidP="00191E23">
      <w:pPr>
        <w:ind w:left="851"/>
        <w:rPr>
          <w:sz w:val="24"/>
          <w:szCs w:val="24"/>
          <w:lang w:eastAsia="de-AT"/>
        </w:rPr>
      </w:pPr>
    </w:p>
    <w:p w14:paraId="0A22966D" w14:textId="77777777" w:rsidR="00191E23" w:rsidRPr="007C190E" w:rsidRDefault="00191E23" w:rsidP="00191E23">
      <w:pPr>
        <w:ind w:left="851"/>
        <w:rPr>
          <w:sz w:val="24"/>
          <w:szCs w:val="24"/>
          <w:lang w:eastAsia="de-AT"/>
        </w:rPr>
      </w:pPr>
      <w:r w:rsidRPr="007C190E">
        <w:rPr>
          <w:sz w:val="24"/>
          <w:szCs w:val="24"/>
          <w:lang w:eastAsia="de-AT"/>
        </w:rPr>
        <w:t>Et hætteglas indeholder mindst 333 </w:t>
      </w:r>
      <w:proofErr w:type="gramStart"/>
      <w:r w:rsidRPr="007C190E">
        <w:rPr>
          <w:sz w:val="24"/>
          <w:szCs w:val="24"/>
          <w:lang w:eastAsia="de-AT"/>
        </w:rPr>
        <w:t>IE protein</w:t>
      </w:r>
      <w:proofErr w:type="gramEnd"/>
      <w:r w:rsidRPr="007C190E">
        <w:rPr>
          <w:sz w:val="24"/>
          <w:szCs w:val="24"/>
          <w:lang w:eastAsia="de-AT"/>
        </w:rPr>
        <w:t xml:space="preserve"> C, der er renset sammen med blodkoagulationsfaktorerne.</w:t>
      </w:r>
    </w:p>
    <w:p w14:paraId="6BF19801" w14:textId="77777777" w:rsidR="00191E23" w:rsidRPr="007C190E" w:rsidRDefault="00191E23" w:rsidP="00191E23">
      <w:pPr>
        <w:ind w:left="851"/>
        <w:rPr>
          <w:sz w:val="24"/>
          <w:szCs w:val="24"/>
          <w:lang w:eastAsia="de-AT"/>
        </w:rPr>
      </w:pPr>
    </w:p>
    <w:p w14:paraId="2E615859" w14:textId="77777777" w:rsidR="00191E23" w:rsidRPr="007C190E" w:rsidRDefault="00191E23" w:rsidP="00191E23">
      <w:pPr>
        <w:ind w:left="851"/>
        <w:rPr>
          <w:sz w:val="24"/>
          <w:szCs w:val="24"/>
          <w:lang w:eastAsia="de-AT"/>
        </w:rPr>
      </w:pPr>
      <w:r w:rsidRPr="007C190E">
        <w:rPr>
          <w:sz w:val="24"/>
          <w:szCs w:val="24"/>
          <w:lang w:eastAsia="de-AT"/>
        </w:rPr>
        <w:t xml:space="preserve">Aktiviteten (IE) af faktor IX blev bestemt ved den </w:t>
      </w:r>
      <w:proofErr w:type="spellStart"/>
      <w:r w:rsidRPr="007C190E">
        <w:rPr>
          <w:sz w:val="24"/>
          <w:szCs w:val="24"/>
          <w:lang w:eastAsia="de-AT"/>
        </w:rPr>
        <w:t>ettrins</w:t>
      </w:r>
      <w:proofErr w:type="spellEnd"/>
      <w:r w:rsidRPr="007C190E">
        <w:rPr>
          <w:sz w:val="24"/>
          <w:szCs w:val="24"/>
          <w:lang w:eastAsia="de-AT"/>
        </w:rPr>
        <w:t xml:space="preserve"> koagulationstest, der er beskrevet i den Europæiske Farmakopé, som er kalibreret efter Verdenssundhedsorganisationens (WHO's) internationale standard for faktor IX-koncentrater. </w:t>
      </w:r>
    </w:p>
    <w:p w14:paraId="67871D14" w14:textId="77777777" w:rsidR="00191E23" w:rsidRPr="007C190E" w:rsidRDefault="00191E23" w:rsidP="00191E23">
      <w:pPr>
        <w:ind w:left="851"/>
        <w:rPr>
          <w:sz w:val="24"/>
          <w:szCs w:val="24"/>
          <w:lang w:eastAsia="de-AT"/>
        </w:rPr>
      </w:pPr>
    </w:p>
    <w:p w14:paraId="457384CC" w14:textId="75F4EDDC" w:rsidR="00191E23" w:rsidRPr="007C190E" w:rsidRDefault="00191E23" w:rsidP="00191E23">
      <w:pPr>
        <w:ind w:left="851"/>
        <w:rPr>
          <w:sz w:val="24"/>
          <w:szCs w:val="24"/>
          <w:lang w:eastAsia="de-AT"/>
        </w:rPr>
      </w:pPr>
      <w:r w:rsidRPr="007C190E">
        <w:rPr>
          <w:sz w:val="24"/>
          <w:szCs w:val="24"/>
          <w:lang w:eastAsia="de-AT"/>
        </w:rPr>
        <w:t xml:space="preserve">Aktiviteten (IE) af faktor II, faktor </w:t>
      </w:r>
      <w:smartTag w:uri="urn:schemas-microsoft-com:office:smarttags" w:element="stockticker">
        <w:r w:rsidRPr="007C190E">
          <w:rPr>
            <w:sz w:val="24"/>
            <w:szCs w:val="24"/>
            <w:lang w:eastAsia="de-AT"/>
          </w:rPr>
          <w:t>VII</w:t>
        </w:r>
      </w:smartTag>
      <w:r w:rsidRPr="007C190E">
        <w:rPr>
          <w:sz w:val="24"/>
          <w:szCs w:val="24"/>
          <w:lang w:eastAsia="de-AT"/>
        </w:rPr>
        <w:t xml:space="preserve"> og faktor X blev bestemt ved det </w:t>
      </w:r>
      <w:proofErr w:type="spellStart"/>
      <w:r w:rsidRPr="007C190E">
        <w:rPr>
          <w:sz w:val="24"/>
          <w:szCs w:val="24"/>
          <w:lang w:eastAsia="de-AT"/>
        </w:rPr>
        <w:t>kromogene</w:t>
      </w:r>
      <w:proofErr w:type="spellEnd"/>
      <w:r w:rsidRPr="007C190E">
        <w:rPr>
          <w:sz w:val="24"/>
          <w:szCs w:val="24"/>
          <w:lang w:eastAsia="de-AT"/>
        </w:rPr>
        <w:t xml:space="preserve"> </w:t>
      </w:r>
      <w:proofErr w:type="spellStart"/>
      <w:r w:rsidRPr="007C190E">
        <w:rPr>
          <w:sz w:val="24"/>
          <w:szCs w:val="24"/>
          <w:lang w:eastAsia="de-AT"/>
        </w:rPr>
        <w:t>assay</w:t>
      </w:r>
      <w:proofErr w:type="spellEnd"/>
      <w:r w:rsidRPr="007C190E">
        <w:rPr>
          <w:sz w:val="24"/>
          <w:szCs w:val="24"/>
          <w:lang w:eastAsia="de-AT"/>
        </w:rPr>
        <w:t>, der er beskrevet i den Europæiske Farmakopé, som er kalibreret efter Verdenssundheds</w:t>
      </w:r>
      <w:r w:rsidR="00B5420C">
        <w:rPr>
          <w:sz w:val="24"/>
          <w:szCs w:val="24"/>
          <w:lang w:eastAsia="de-AT"/>
        </w:rPr>
        <w:softHyphen/>
      </w:r>
      <w:r w:rsidRPr="007C190E">
        <w:rPr>
          <w:sz w:val="24"/>
          <w:szCs w:val="24"/>
          <w:lang w:eastAsia="de-AT"/>
        </w:rPr>
        <w:t xml:space="preserve">organisationens (WHO's) standarder for faktor II-, faktor </w:t>
      </w:r>
      <w:smartTag w:uri="urn:schemas-microsoft-com:office:smarttags" w:element="stockticker">
        <w:r w:rsidRPr="007C190E">
          <w:rPr>
            <w:sz w:val="24"/>
            <w:szCs w:val="24"/>
            <w:lang w:eastAsia="de-AT"/>
          </w:rPr>
          <w:t>VII-</w:t>
        </w:r>
      </w:smartTag>
      <w:r w:rsidRPr="007C190E">
        <w:rPr>
          <w:sz w:val="24"/>
          <w:szCs w:val="24"/>
          <w:lang w:eastAsia="de-AT"/>
        </w:rPr>
        <w:t xml:space="preserve"> og faktor X-koncentrater.</w:t>
      </w:r>
    </w:p>
    <w:p w14:paraId="7BBA5B99" w14:textId="77777777" w:rsidR="00191E23" w:rsidRPr="007C190E" w:rsidRDefault="00191E23" w:rsidP="00191E23">
      <w:pPr>
        <w:ind w:left="851"/>
        <w:rPr>
          <w:sz w:val="24"/>
          <w:szCs w:val="24"/>
          <w:lang w:eastAsia="de-AT"/>
        </w:rPr>
      </w:pPr>
    </w:p>
    <w:p w14:paraId="37590673" w14:textId="77777777" w:rsidR="00191E23" w:rsidRPr="007C190E" w:rsidRDefault="00191E23" w:rsidP="00191E23">
      <w:pPr>
        <w:ind w:left="851"/>
        <w:rPr>
          <w:sz w:val="24"/>
          <w:szCs w:val="24"/>
          <w:lang w:eastAsia="de-AT"/>
        </w:rPr>
      </w:pPr>
      <w:r w:rsidRPr="007C190E">
        <w:rPr>
          <w:sz w:val="24"/>
          <w:szCs w:val="24"/>
          <w:lang w:eastAsia="de-AT"/>
        </w:rPr>
        <w:lastRenderedPageBreak/>
        <w:t xml:space="preserve">Aktiviteten (IE) af protein C blev bestemt ved det </w:t>
      </w:r>
      <w:proofErr w:type="spellStart"/>
      <w:r w:rsidRPr="007C190E">
        <w:rPr>
          <w:sz w:val="24"/>
          <w:szCs w:val="24"/>
          <w:lang w:eastAsia="de-AT"/>
        </w:rPr>
        <w:t>kromogene</w:t>
      </w:r>
      <w:proofErr w:type="spellEnd"/>
      <w:r w:rsidRPr="007C190E">
        <w:rPr>
          <w:sz w:val="24"/>
          <w:szCs w:val="24"/>
          <w:lang w:eastAsia="de-AT"/>
        </w:rPr>
        <w:t xml:space="preserve"> </w:t>
      </w:r>
      <w:proofErr w:type="spellStart"/>
      <w:r w:rsidRPr="007C190E">
        <w:rPr>
          <w:sz w:val="24"/>
          <w:szCs w:val="24"/>
          <w:lang w:eastAsia="de-AT"/>
        </w:rPr>
        <w:t>assay</w:t>
      </w:r>
      <w:proofErr w:type="spellEnd"/>
      <w:r w:rsidRPr="007C190E">
        <w:rPr>
          <w:sz w:val="24"/>
          <w:szCs w:val="24"/>
          <w:lang w:eastAsia="de-AT"/>
        </w:rPr>
        <w:t>, der er beskrevet i den Europæiske Farmakopé, som er kalibreret efter Verdenssundhedsorganisationens (WHO's) internationale standard for protein C-koncentrater.</w:t>
      </w:r>
    </w:p>
    <w:p w14:paraId="6D594C02" w14:textId="77777777" w:rsidR="00191E23" w:rsidRPr="007C190E" w:rsidRDefault="00191E23" w:rsidP="00191E23">
      <w:pPr>
        <w:ind w:left="851"/>
        <w:rPr>
          <w:sz w:val="24"/>
          <w:szCs w:val="24"/>
          <w:lang w:eastAsia="de-AT"/>
        </w:rPr>
      </w:pPr>
    </w:p>
    <w:p w14:paraId="15C5C797" w14:textId="77777777" w:rsidR="00191E23" w:rsidRPr="007C190E" w:rsidRDefault="00191E23" w:rsidP="00191E23">
      <w:pPr>
        <w:ind w:left="851"/>
        <w:rPr>
          <w:sz w:val="24"/>
          <w:szCs w:val="24"/>
          <w:lang w:eastAsia="de-AT"/>
        </w:rPr>
      </w:pPr>
      <w:r w:rsidRPr="007C190E">
        <w:rPr>
          <w:sz w:val="24"/>
          <w:szCs w:val="24"/>
          <w:lang w:eastAsia="de-AT"/>
        </w:rPr>
        <w:t xml:space="preserve">Hjælpestoffer, som behandleren skal være opmærksom på: </w:t>
      </w:r>
      <w:proofErr w:type="spellStart"/>
      <w:r w:rsidRPr="007C190E">
        <w:rPr>
          <w:sz w:val="24"/>
          <w:szCs w:val="24"/>
          <w:lang w:eastAsia="de-AT"/>
        </w:rPr>
        <w:t>Prothromplex</w:t>
      </w:r>
      <w:proofErr w:type="spellEnd"/>
      <w:r w:rsidRPr="007C190E">
        <w:rPr>
          <w:sz w:val="24"/>
          <w:szCs w:val="24"/>
          <w:lang w:eastAsia="de-AT"/>
        </w:rPr>
        <w:t xml:space="preserve"> indeholder 68 mg natrium pr. hætteglas. Desuden indeholder hvert</w:t>
      </w:r>
      <w:r w:rsidRPr="007C190E">
        <w:rPr>
          <w:i/>
          <w:sz w:val="24"/>
          <w:szCs w:val="24"/>
          <w:lang w:eastAsia="de-AT"/>
        </w:rPr>
        <w:t xml:space="preserve"> </w:t>
      </w:r>
      <w:r w:rsidRPr="007C190E">
        <w:rPr>
          <w:sz w:val="24"/>
          <w:szCs w:val="24"/>
          <w:lang w:eastAsia="de-AT"/>
        </w:rPr>
        <w:t xml:space="preserve">hætteglas </w:t>
      </w:r>
      <w:proofErr w:type="spellStart"/>
      <w:r w:rsidRPr="007C190E">
        <w:rPr>
          <w:sz w:val="24"/>
          <w:szCs w:val="24"/>
          <w:lang w:eastAsia="de-AT"/>
        </w:rPr>
        <w:t>heparinnatrium</w:t>
      </w:r>
      <w:proofErr w:type="spellEnd"/>
      <w:r w:rsidRPr="007C190E">
        <w:rPr>
          <w:sz w:val="24"/>
          <w:szCs w:val="24"/>
          <w:lang w:eastAsia="de-AT"/>
        </w:rPr>
        <w:t xml:space="preserve"> (højst 0,5 IE pr. </w:t>
      </w:r>
      <w:proofErr w:type="gramStart"/>
      <w:r w:rsidRPr="007C190E">
        <w:rPr>
          <w:sz w:val="24"/>
          <w:szCs w:val="24"/>
          <w:lang w:eastAsia="de-AT"/>
        </w:rPr>
        <w:t>IE faktor</w:t>
      </w:r>
      <w:proofErr w:type="gramEnd"/>
      <w:r w:rsidRPr="007C190E">
        <w:rPr>
          <w:sz w:val="24"/>
          <w:szCs w:val="24"/>
          <w:lang w:eastAsia="de-AT"/>
        </w:rPr>
        <w:t xml:space="preserve"> IX).</w:t>
      </w:r>
    </w:p>
    <w:p w14:paraId="5F869DD5" w14:textId="77777777" w:rsidR="00191E23" w:rsidRPr="007C190E" w:rsidRDefault="00191E23" w:rsidP="00191E23">
      <w:pPr>
        <w:ind w:left="851"/>
        <w:rPr>
          <w:sz w:val="24"/>
          <w:szCs w:val="24"/>
          <w:lang w:eastAsia="de-AT"/>
        </w:rPr>
      </w:pPr>
    </w:p>
    <w:p w14:paraId="4A61D423" w14:textId="77777777" w:rsidR="00191E23" w:rsidRPr="007C190E" w:rsidRDefault="00191E23" w:rsidP="00191E23">
      <w:pPr>
        <w:ind w:left="851"/>
        <w:rPr>
          <w:sz w:val="24"/>
          <w:szCs w:val="24"/>
          <w:lang w:eastAsia="de-AT"/>
        </w:rPr>
      </w:pPr>
      <w:r w:rsidRPr="007C190E">
        <w:rPr>
          <w:sz w:val="24"/>
          <w:szCs w:val="24"/>
          <w:lang w:eastAsia="de-AT"/>
        </w:rPr>
        <w:t>Alle hjælpestoffer er anført under pkt. 6.1.</w:t>
      </w:r>
    </w:p>
    <w:p w14:paraId="5CFD0CA4" w14:textId="77777777" w:rsidR="009260DE" w:rsidRPr="007C190E" w:rsidRDefault="009260DE" w:rsidP="009260DE">
      <w:pPr>
        <w:tabs>
          <w:tab w:val="left" w:pos="851"/>
        </w:tabs>
        <w:ind w:left="851"/>
        <w:rPr>
          <w:sz w:val="24"/>
          <w:szCs w:val="24"/>
        </w:rPr>
      </w:pPr>
    </w:p>
    <w:p w14:paraId="72DADBD9" w14:textId="77777777" w:rsidR="009260DE" w:rsidRPr="007C190E" w:rsidRDefault="009260DE" w:rsidP="009260DE">
      <w:pPr>
        <w:tabs>
          <w:tab w:val="left" w:pos="851"/>
        </w:tabs>
        <w:ind w:left="851" w:hanging="851"/>
        <w:rPr>
          <w:b/>
          <w:sz w:val="24"/>
          <w:szCs w:val="24"/>
        </w:rPr>
      </w:pPr>
      <w:r w:rsidRPr="007C190E">
        <w:rPr>
          <w:b/>
          <w:sz w:val="24"/>
          <w:szCs w:val="24"/>
        </w:rPr>
        <w:t>3.</w:t>
      </w:r>
      <w:r w:rsidRPr="007C190E">
        <w:rPr>
          <w:b/>
          <w:sz w:val="24"/>
          <w:szCs w:val="24"/>
        </w:rPr>
        <w:tab/>
        <w:t>LÆGEMIDDELFORM</w:t>
      </w:r>
    </w:p>
    <w:p w14:paraId="1C0A867D" w14:textId="7EE6D694" w:rsidR="00191E23" w:rsidRPr="007C190E" w:rsidRDefault="00191E23" w:rsidP="00191E23">
      <w:pPr>
        <w:ind w:left="851"/>
        <w:rPr>
          <w:sz w:val="24"/>
          <w:szCs w:val="24"/>
          <w:lang w:eastAsia="de-AT"/>
        </w:rPr>
      </w:pPr>
      <w:r w:rsidRPr="007C190E">
        <w:rPr>
          <w:sz w:val="24"/>
          <w:szCs w:val="24"/>
          <w:lang w:eastAsia="de-AT"/>
        </w:rPr>
        <w:t>Pulver og solvens til injektionsvæske</w:t>
      </w:r>
    </w:p>
    <w:p w14:paraId="5AD62487" w14:textId="77777777" w:rsidR="00191E23" w:rsidRPr="007C190E" w:rsidRDefault="00191E23" w:rsidP="00191E23">
      <w:pPr>
        <w:ind w:left="851"/>
        <w:rPr>
          <w:sz w:val="24"/>
          <w:szCs w:val="24"/>
          <w:lang w:eastAsia="de-AT"/>
        </w:rPr>
      </w:pPr>
      <w:r w:rsidRPr="007C190E">
        <w:rPr>
          <w:sz w:val="24"/>
          <w:szCs w:val="24"/>
          <w:lang w:eastAsia="de-AT"/>
        </w:rPr>
        <w:t>Pulver: Hvidt til lysegult, frysetørret stof i pulverform eller kompakt form.</w:t>
      </w:r>
    </w:p>
    <w:p w14:paraId="644434F2" w14:textId="77777777" w:rsidR="00191E23" w:rsidRPr="007C190E" w:rsidRDefault="00191E23" w:rsidP="00191E23">
      <w:pPr>
        <w:ind w:left="851"/>
        <w:rPr>
          <w:sz w:val="24"/>
          <w:szCs w:val="24"/>
          <w:lang w:eastAsia="de-AT"/>
        </w:rPr>
      </w:pPr>
      <w:r w:rsidRPr="007C190E">
        <w:rPr>
          <w:sz w:val="24"/>
          <w:szCs w:val="24"/>
          <w:lang w:eastAsia="de-AT"/>
        </w:rPr>
        <w:t>Solvens: vand til injektionsvæsker</w:t>
      </w:r>
    </w:p>
    <w:p w14:paraId="27B002F4" w14:textId="77777777" w:rsidR="00191E23" w:rsidRPr="007C190E" w:rsidRDefault="00191E23" w:rsidP="00191E23">
      <w:pPr>
        <w:ind w:left="851"/>
        <w:rPr>
          <w:sz w:val="24"/>
          <w:szCs w:val="24"/>
          <w:lang w:eastAsia="de-AT"/>
        </w:rPr>
      </w:pPr>
    </w:p>
    <w:p w14:paraId="266E18B8" w14:textId="77777777" w:rsidR="00191E23" w:rsidRPr="007C190E" w:rsidRDefault="00191E23" w:rsidP="00191E23">
      <w:pPr>
        <w:autoSpaceDE w:val="0"/>
        <w:autoSpaceDN w:val="0"/>
        <w:adjustRightInd w:val="0"/>
        <w:ind w:left="851"/>
        <w:rPr>
          <w:color w:val="000000"/>
          <w:sz w:val="24"/>
          <w:szCs w:val="24"/>
        </w:rPr>
      </w:pPr>
      <w:r w:rsidRPr="007C190E">
        <w:rPr>
          <w:color w:val="000000"/>
          <w:sz w:val="24"/>
          <w:szCs w:val="24"/>
        </w:rPr>
        <w:t xml:space="preserve">Efter </w:t>
      </w:r>
      <w:proofErr w:type="spellStart"/>
      <w:r w:rsidRPr="007C190E">
        <w:rPr>
          <w:color w:val="000000"/>
          <w:sz w:val="24"/>
          <w:szCs w:val="24"/>
        </w:rPr>
        <w:t>rekonstitution</w:t>
      </w:r>
      <w:proofErr w:type="spellEnd"/>
      <w:r w:rsidRPr="007C190E">
        <w:rPr>
          <w:color w:val="000000"/>
          <w:sz w:val="24"/>
          <w:szCs w:val="24"/>
        </w:rPr>
        <w:t xml:space="preserve"> er pH i opløsningen 6,5 til 7,5 og </w:t>
      </w:r>
      <w:proofErr w:type="spellStart"/>
      <w:r w:rsidRPr="007C190E">
        <w:rPr>
          <w:color w:val="000000"/>
          <w:sz w:val="24"/>
          <w:szCs w:val="24"/>
        </w:rPr>
        <w:t>osmolaliteten</w:t>
      </w:r>
      <w:proofErr w:type="spellEnd"/>
      <w:r w:rsidRPr="007C190E">
        <w:rPr>
          <w:color w:val="000000"/>
          <w:sz w:val="24"/>
          <w:szCs w:val="24"/>
        </w:rPr>
        <w:t xml:space="preserve"> er ikke under 240 </w:t>
      </w:r>
      <w:proofErr w:type="spellStart"/>
      <w:r w:rsidRPr="007C190E">
        <w:rPr>
          <w:color w:val="000000"/>
          <w:sz w:val="24"/>
          <w:szCs w:val="24"/>
        </w:rPr>
        <w:t>mosm</w:t>
      </w:r>
      <w:proofErr w:type="spellEnd"/>
      <w:r w:rsidRPr="007C190E">
        <w:rPr>
          <w:color w:val="000000"/>
          <w:sz w:val="24"/>
          <w:szCs w:val="24"/>
        </w:rPr>
        <w:t>/kg. Opløsningen er klar eller let opaliserende.</w:t>
      </w:r>
    </w:p>
    <w:p w14:paraId="5FCF71FD" w14:textId="77777777" w:rsidR="009260DE" w:rsidRPr="007C190E" w:rsidRDefault="009260DE" w:rsidP="009260DE">
      <w:pPr>
        <w:tabs>
          <w:tab w:val="left" w:pos="851"/>
        </w:tabs>
        <w:ind w:left="851"/>
        <w:rPr>
          <w:sz w:val="24"/>
          <w:szCs w:val="24"/>
        </w:rPr>
      </w:pPr>
    </w:p>
    <w:p w14:paraId="3454D492" w14:textId="77777777" w:rsidR="009260DE" w:rsidRPr="007C190E" w:rsidRDefault="009260DE" w:rsidP="009260DE">
      <w:pPr>
        <w:tabs>
          <w:tab w:val="left" w:pos="851"/>
        </w:tabs>
        <w:ind w:left="851"/>
        <w:rPr>
          <w:sz w:val="24"/>
          <w:szCs w:val="24"/>
        </w:rPr>
      </w:pPr>
    </w:p>
    <w:p w14:paraId="356BC0D4" w14:textId="77777777" w:rsidR="009260DE" w:rsidRPr="007C190E" w:rsidRDefault="009260DE" w:rsidP="009260DE">
      <w:pPr>
        <w:tabs>
          <w:tab w:val="left" w:pos="851"/>
        </w:tabs>
        <w:ind w:left="851" w:hanging="851"/>
        <w:rPr>
          <w:b/>
          <w:sz w:val="24"/>
          <w:szCs w:val="24"/>
        </w:rPr>
      </w:pPr>
      <w:r w:rsidRPr="007C190E">
        <w:rPr>
          <w:b/>
          <w:sz w:val="24"/>
          <w:szCs w:val="24"/>
        </w:rPr>
        <w:t>4.</w:t>
      </w:r>
      <w:r w:rsidRPr="007C190E">
        <w:rPr>
          <w:b/>
          <w:sz w:val="24"/>
          <w:szCs w:val="24"/>
        </w:rPr>
        <w:tab/>
        <w:t>KLINISKE OPLYSNINGER</w:t>
      </w:r>
    </w:p>
    <w:p w14:paraId="01D14C0D" w14:textId="77777777" w:rsidR="009260DE" w:rsidRPr="007C190E" w:rsidRDefault="009260DE" w:rsidP="009260DE">
      <w:pPr>
        <w:tabs>
          <w:tab w:val="left" w:pos="851"/>
        </w:tabs>
        <w:ind w:left="851"/>
        <w:rPr>
          <w:b/>
          <w:sz w:val="24"/>
          <w:szCs w:val="24"/>
        </w:rPr>
      </w:pPr>
    </w:p>
    <w:p w14:paraId="555F49B1" w14:textId="77777777" w:rsidR="009260DE" w:rsidRPr="007C190E" w:rsidRDefault="009260DE" w:rsidP="009260DE">
      <w:pPr>
        <w:tabs>
          <w:tab w:val="left" w:pos="851"/>
        </w:tabs>
        <w:ind w:left="851" w:hanging="851"/>
        <w:rPr>
          <w:b/>
          <w:sz w:val="24"/>
          <w:szCs w:val="24"/>
          <w:u w:val="single"/>
        </w:rPr>
      </w:pPr>
      <w:r w:rsidRPr="007C190E">
        <w:rPr>
          <w:b/>
          <w:sz w:val="24"/>
          <w:szCs w:val="24"/>
        </w:rPr>
        <w:t>4.1</w:t>
      </w:r>
      <w:r w:rsidRPr="007C190E">
        <w:rPr>
          <w:b/>
          <w:sz w:val="24"/>
          <w:szCs w:val="24"/>
        </w:rPr>
        <w:tab/>
        <w:t>Terapeutiske indikationer</w:t>
      </w:r>
    </w:p>
    <w:p w14:paraId="46E29A5D" w14:textId="77777777" w:rsidR="00191E23" w:rsidRPr="007C190E" w:rsidRDefault="00191E23" w:rsidP="00191E23">
      <w:pPr>
        <w:tabs>
          <w:tab w:val="left" w:pos="851"/>
        </w:tabs>
        <w:overflowPunct w:val="0"/>
        <w:autoSpaceDE w:val="0"/>
        <w:autoSpaceDN w:val="0"/>
        <w:adjustRightInd w:val="0"/>
        <w:ind w:left="1134" w:hanging="283"/>
        <w:textAlignment w:val="baseline"/>
        <w:rPr>
          <w:sz w:val="24"/>
          <w:szCs w:val="24"/>
          <w:lang w:eastAsia="de-AT"/>
        </w:rPr>
      </w:pPr>
      <w:r w:rsidRPr="007C190E">
        <w:rPr>
          <w:sz w:val="24"/>
          <w:szCs w:val="24"/>
          <w:lang w:eastAsia="de-AT"/>
        </w:rPr>
        <w:t>-</w:t>
      </w:r>
      <w:r w:rsidRPr="007C190E">
        <w:rPr>
          <w:sz w:val="24"/>
          <w:szCs w:val="24"/>
          <w:lang w:eastAsia="de-AT"/>
        </w:rPr>
        <w:tab/>
        <w:t xml:space="preserve">Behandling af blødning og perioperativ profylakse af blødning ved erhvervet mangel på </w:t>
      </w:r>
      <w:proofErr w:type="spellStart"/>
      <w:r w:rsidRPr="007C190E">
        <w:rPr>
          <w:sz w:val="24"/>
          <w:szCs w:val="24"/>
          <w:lang w:eastAsia="de-AT"/>
        </w:rPr>
        <w:t>protrombinkomplekskoagulationsfaktorer</w:t>
      </w:r>
      <w:proofErr w:type="spellEnd"/>
      <w:r w:rsidRPr="007C190E">
        <w:rPr>
          <w:sz w:val="24"/>
          <w:szCs w:val="24"/>
          <w:lang w:eastAsia="de-AT"/>
        </w:rPr>
        <w:t xml:space="preserve">, såsom mangeltilstande forårsaget af behandling med vitamin K-antagonister, eller i tilfælde af overdosering af vitamin K-antagonister, når hurtig korrektion af manglen er påkrævet. </w:t>
      </w:r>
    </w:p>
    <w:p w14:paraId="7E48C0A4" w14:textId="77777777" w:rsidR="00191E23" w:rsidRPr="007C190E" w:rsidRDefault="00191E23" w:rsidP="00191E23">
      <w:pPr>
        <w:tabs>
          <w:tab w:val="left" w:pos="851"/>
        </w:tabs>
        <w:overflowPunct w:val="0"/>
        <w:autoSpaceDE w:val="0"/>
        <w:autoSpaceDN w:val="0"/>
        <w:adjustRightInd w:val="0"/>
        <w:ind w:left="1134" w:hanging="283"/>
        <w:textAlignment w:val="baseline"/>
        <w:rPr>
          <w:sz w:val="24"/>
          <w:szCs w:val="24"/>
          <w:lang w:eastAsia="de-AT"/>
        </w:rPr>
      </w:pPr>
      <w:r w:rsidRPr="007C190E">
        <w:rPr>
          <w:sz w:val="24"/>
          <w:szCs w:val="24"/>
          <w:lang w:eastAsia="de-AT"/>
        </w:rPr>
        <w:t>-</w:t>
      </w:r>
      <w:r w:rsidRPr="007C190E">
        <w:rPr>
          <w:sz w:val="24"/>
          <w:szCs w:val="24"/>
          <w:lang w:eastAsia="de-AT"/>
        </w:rPr>
        <w:tab/>
        <w:t>Behandling og perioperativ profylakse af blødninger ved medfødt mangel på vitamin K-afhængige koagulationsfaktorer, når et renset, specifikt koagulationsfaktorkoncentrat ikke er til rådighed.</w:t>
      </w:r>
    </w:p>
    <w:p w14:paraId="48135222" w14:textId="77777777" w:rsidR="00191E23" w:rsidRPr="007C190E" w:rsidRDefault="00191E23" w:rsidP="007C190E">
      <w:pPr>
        <w:ind w:left="851"/>
        <w:rPr>
          <w:sz w:val="24"/>
          <w:szCs w:val="24"/>
          <w:lang w:eastAsia="de-AT"/>
        </w:rPr>
      </w:pPr>
    </w:p>
    <w:p w14:paraId="2842B440" w14:textId="77777777" w:rsidR="00191E23" w:rsidRPr="007C190E" w:rsidRDefault="00191E23" w:rsidP="007C190E">
      <w:pPr>
        <w:ind w:left="851"/>
        <w:rPr>
          <w:sz w:val="24"/>
          <w:szCs w:val="24"/>
          <w:lang w:eastAsia="de-AT"/>
        </w:rPr>
      </w:pPr>
      <w:proofErr w:type="spellStart"/>
      <w:r w:rsidRPr="007C190E">
        <w:rPr>
          <w:sz w:val="24"/>
          <w:szCs w:val="24"/>
          <w:lang w:eastAsia="de-AT"/>
        </w:rPr>
        <w:t>Prothromplex</w:t>
      </w:r>
      <w:proofErr w:type="spellEnd"/>
      <w:r w:rsidRPr="007C190E">
        <w:rPr>
          <w:sz w:val="24"/>
          <w:szCs w:val="24"/>
          <w:lang w:eastAsia="de-AT"/>
        </w:rPr>
        <w:t xml:space="preserve"> er indiceret til voksne. Der er utilstrækkelige pædiatriske data til at anbefale brugen af </w:t>
      </w:r>
      <w:proofErr w:type="spellStart"/>
      <w:r w:rsidRPr="007C190E">
        <w:rPr>
          <w:sz w:val="24"/>
          <w:szCs w:val="24"/>
          <w:lang w:eastAsia="de-AT"/>
        </w:rPr>
        <w:t>Prothromplex</w:t>
      </w:r>
      <w:proofErr w:type="spellEnd"/>
      <w:r w:rsidRPr="007C190E">
        <w:rPr>
          <w:sz w:val="24"/>
          <w:szCs w:val="24"/>
          <w:lang w:eastAsia="de-AT"/>
        </w:rPr>
        <w:t xml:space="preserve"> til børn. </w:t>
      </w:r>
    </w:p>
    <w:p w14:paraId="280DA1FD" w14:textId="77777777" w:rsidR="009260DE" w:rsidRPr="007C190E" w:rsidRDefault="009260DE" w:rsidP="009260DE">
      <w:pPr>
        <w:tabs>
          <w:tab w:val="left" w:pos="851"/>
        </w:tabs>
        <w:ind w:left="851"/>
        <w:rPr>
          <w:sz w:val="24"/>
          <w:szCs w:val="24"/>
        </w:rPr>
      </w:pPr>
    </w:p>
    <w:p w14:paraId="2E0C2B2C" w14:textId="77777777" w:rsidR="009260DE" w:rsidRPr="007C190E" w:rsidRDefault="009260DE" w:rsidP="009260DE">
      <w:pPr>
        <w:tabs>
          <w:tab w:val="left" w:pos="851"/>
        </w:tabs>
        <w:ind w:left="851" w:hanging="851"/>
        <w:rPr>
          <w:b/>
          <w:sz w:val="24"/>
          <w:szCs w:val="24"/>
        </w:rPr>
      </w:pPr>
      <w:r w:rsidRPr="007C190E">
        <w:rPr>
          <w:b/>
          <w:sz w:val="24"/>
          <w:szCs w:val="24"/>
        </w:rPr>
        <w:t>4.2</w:t>
      </w:r>
      <w:r w:rsidRPr="007C190E">
        <w:rPr>
          <w:b/>
          <w:sz w:val="24"/>
          <w:szCs w:val="24"/>
        </w:rPr>
        <w:tab/>
        <w:t xml:space="preserve">Dosering og </w:t>
      </w:r>
      <w:r w:rsidR="002C1EC0" w:rsidRPr="007C190E">
        <w:rPr>
          <w:b/>
          <w:sz w:val="24"/>
          <w:szCs w:val="24"/>
        </w:rPr>
        <w:t>administration</w:t>
      </w:r>
    </w:p>
    <w:p w14:paraId="2137F723" w14:textId="77777777" w:rsidR="007C190E" w:rsidRPr="007C190E" w:rsidRDefault="007C190E" w:rsidP="007C190E">
      <w:pPr>
        <w:ind w:left="851"/>
        <w:rPr>
          <w:sz w:val="24"/>
          <w:szCs w:val="24"/>
          <w:lang w:eastAsia="de-AT"/>
        </w:rPr>
      </w:pPr>
    </w:p>
    <w:p w14:paraId="19C88260" w14:textId="70023F01" w:rsidR="00191E23" w:rsidRPr="007C190E" w:rsidRDefault="00191E23" w:rsidP="007C190E">
      <w:pPr>
        <w:ind w:left="851"/>
        <w:rPr>
          <w:b/>
          <w:sz w:val="24"/>
          <w:szCs w:val="24"/>
          <w:lang w:eastAsia="de-AT"/>
        </w:rPr>
      </w:pPr>
      <w:r w:rsidRPr="007C190E">
        <w:rPr>
          <w:b/>
          <w:sz w:val="24"/>
          <w:szCs w:val="24"/>
          <w:lang w:eastAsia="de-AT"/>
        </w:rPr>
        <w:t>Dosering</w:t>
      </w:r>
    </w:p>
    <w:p w14:paraId="3C3E64A6" w14:textId="77777777" w:rsidR="00191E23" w:rsidRPr="007C190E" w:rsidRDefault="00191E23" w:rsidP="00191E23">
      <w:pPr>
        <w:ind w:left="851"/>
        <w:rPr>
          <w:sz w:val="24"/>
          <w:szCs w:val="24"/>
          <w:lang w:eastAsia="de-AT"/>
        </w:rPr>
      </w:pPr>
      <w:r w:rsidRPr="007C190E">
        <w:rPr>
          <w:sz w:val="24"/>
          <w:szCs w:val="24"/>
          <w:lang w:eastAsia="de-AT"/>
        </w:rPr>
        <w:t xml:space="preserve">De </w:t>
      </w:r>
      <w:r w:rsidRPr="007C190E">
        <w:rPr>
          <w:iCs/>
          <w:sz w:val="24"/>
          <w:szCs w:val="24"/>
          <w:lang w:eastAsia="de-AT"/>
        </w:rPr>
        <w:t>nedenfor</w:t>
      </w:r>
      <w:r w:rsidRPr="007C190E">
        <w:rPr>
          <w:sz w:val="24"/>
          <w:szCs w:val="24"/>
          <w:lang w:eastAsia="de-AT"/>
        </w:rPr>
        <w:t xml:space="preserve"> angivne doseringer er generelle</w:t>
      </w:r>
      <w:r w:rsidRPr="007C190E">
        <w:rPr>
          <w:iCs/>
          <w:color w:val="1F497D"/>
          <w:sz w:val="24"/>
          <w:szCs w:val="24"/>
          <w:lang w:eastAsia="de-AT"/>
        </w:rPr>
        <w:t xml:space="preserve">; </w:t>
      </w:r>
      <w:r w:rsidRPr="007C190E">
        <w:rPr>
          <w:sz w:val="24"/>
          <w:szCs w:val="24"/>
          <w:lang w:eastAsia="de-AT"/>
        </w:rPr>
        <w:t xml:space="preserve">dette gælder dog ikke dosering til behandling af blødning og perioperativ profylakse af blødning under behandling med vitamin K-antagonister. </w:t>
      </w:r>
    </w:p>
    <w:p w14:paraId="40A7FF58" w14:textId="77777777" w:rsidR="00191E23" w:rsidRPr="007C190E" w:rsidRDefault="00191E23" w:rsidP="00191E23">
      <w:pPr>
        <w:ind w:left="851"/>
        <w:rPr>
          <w:sz w:val="24"/>
          <w:szCs w:val="24"/>
          <w:lang w:eastAsia="de-AT"/>
        </w:rPr>
      </w:pPr>
    </w:p>
    <w:p w14:paraId="07FBBC9F" w14:textId="77777777" w:rsidR="00191E23" w:rsidRPr="007C190E" w:rsidRDefault="00191E23" w:rsidP="00191E23">
      <w:pPr>
        <w:ind w:left="851"/>
        <w:rPr>
          <w:sz w:val="24"/>
          <w:szCs w:val="24"/>
          <w:lang w:eastAsia="de-AT"/>
        </w:rPr>
      </w:pPr>
      <w:r w:rsidRPr="007C190E">
        <w:rPr>
          <w:sz w:val="24"/>
          <w:szCs w:val="24"/>
          <w:lang w:eastAsia="de-AT"/>
        </w:rPr>
        <w:t xml:space="preserve">Behandlingen skal initieres under opsyn af en læge med erfaring i behandling af koagulationsforstyrrelser. </w:t>
      </w:r>
    </w:p>
    <w:p w14:paraId="5F7FD795" w14:textId="77777777" w:rsidR="00191E23" w:rsidRPr="007C190E" w:rsidRDefault="00191E23" w:rsidP="00191E23">
      <w:pPr>
        <w:ind w:left="851"/>
        <w:rPr>
          <w:sz w:val="24"/>
          <w:szCs w:val="24"/>
          <w:lang w:eastAsia="de-AT"/>
        </w:rPr>
      </w:pPr>
    </w:p>
    <w:p w14:paraId="467E5555" w14:textId="77777777" w:rsidR="00191E23" w:rsidRPr="007C190E" w:rsidRDefault="00191E23" w:rsidP="00191E23">
      <w:pPr>
        <w:ind w:left="851"/>
        <w:rPr>
          <w:sz w:val="24"/>
          <w:szCs w:val="24"/>
          <w:lang w:eastAsia="de-AT"/>
        </w:rPr>
      </w:pPr>
      <w:r w:rsidRPr="007C190E">
        <w:rPr>
          <w:sz w:val="24"/>
          <w:szCs w:val="24"/>
          <w:lang w:eastAsia="de-AT"/>
        </w:rPr>
        <w:t xml:space="preserve">Doseringen og varigheden af substitutionsbehandlingen afhænger af koagulationsforstyrrelsens sværhedsgrad, blødningens placering og omfang og patientens kliniske tilstand. </w:t>
      </w:r>
    </w:p>
    <w:p w14:paraId="779C6E6C" w14:textId="77777777" w:rsidR="00191E23" w:rsidRPr="007C190E" w:rsidRDefault="00191E23" w:rsidP="00191E23">
      <w:pPr>
        <w:ind w:left="851"/>
        <w:rPr>
          <w:sz w:val="24"/>
          <w:szCs w:val="24"/>
          <w:lang w:eastAsia="de-AT"/>
        </w:rPr>
      </w:pPr>
      <w:r w:rsidRPr="007C190E">
        <w:rPr>
          <w:sz w:val="24"/>
          <w:szCs w:val="24"/>
          <w:lang w:eastAsia="de-AT"/>
        </w:rPr>
        <w:t xml:space="preserve">Doseringen og administrationshyppigheden skal beregnes individuelt for hver patient. Doseringsintervallerne skal justeres efter de forskellige halveringstider i kredsløbet for de forskellige koagulationsfaktorer i </w:t>
      </w:r>
      <w:proofErr w:type="spellStart"/>
      <w:r w:rsidRPr="007C190E">
        <w:rPr>
          <w:sz w:val="24"/>
          <w:szCs w:val="24"/>
          <w:lang w:eastAsia="de-AT"/>
        </w:rPr>
        <w:t>protrombinkomplekset</w:t>
      </w:r>
      <w:proofErr w:type="spellEnd"/>
      <w:r w:rsidRPr="007C190E">
        <w:rPr>
          <w:sz w:val="24"/>
          <w:szCs w:val="24"/>
          <w:lang w:eastAsia="de-AT"/>
        </w:rPr>
        <w:t xml:space="preserve"> (se pkt. 5.2). </w:t>
      </w:r>
    </w:p>
    <w:p w14:paraId="47452F8D" w14:textId="77777777" w:rsidR="00191E23" w:rsidRPr="007C190E" w:rsidRDefault="00191E23" w:rsidP="00191E23">
      <w:pPr>
        <w:ind w:left="851"/>
        <w:rPr>
          <w:sz w:val="24"/>
          <w:szCs w:val="24"/>
          <w:lang w:eastAsia="de-AT"/>
        </w:rPr>
      </w:pPr>
    </w:p>
    <w:p w14:paraId="443E1A0D" w14:textId="77777777" w:rsidR="00191E23" w:rsidRPr="007C190E" w:rsidRDefault="00191E23" w:rsidP="007C190E">
      <w:pPr>
        <w:ind w:left="851"/>
        <w:rPr>
          <w:sz w:val="24"/>
          <w:szCs w:val="24"/>
          <w:lang w:eastAsia="de-AT"/>
        </w:rPr>
      </w:pPr>
      <w:r w:rsidRPr="007C190E">
        <w:rPr>
          <w:sz w:val="24"/>
          <w:szCs w:val="24"/>
          <w:lang w:eastAsia="de-AT"/>
        </w:rPr>
        <w:lastRenderedPageBreak/>
        <w:t xml:space="preserve">Det individuelle doseringsbehov kan kun identificeres ud fra regelmæssig bestemmelse af individets plasmaniveau af de pågældende koagulationsfaktorer eller på grundlag af overordnede analyser af </w:t>
      </w:r>
      <w:proofErr w:type="spellStart"/>
      <w:r w:rsidRPr="007C190E">
        <w:rPr>
          <w:sz w:val="24"/>
          <w:szCs w:val="24"/>
          <w:lang w:eastAsia="de-AT"/>
        </w:rPr>
        <w:t>protrombinkompleksniveauet</w:t>
      </w:r>
      <w:proofErr w:type="spellEnd"/>
      <w:r w:rsidRPr="007C190E">
        <w:rPr>
          <w:sz w:val="24"/>
          <w:szCs w:val="24"/>
          <w:lang w:eastAsia="de-AT"/>
        </w:rPr>
        <w:t xml:space="preserve"> (f.eks. Quicks tidsværdi, INR, </w:t>
      </w:r>
      <w:proofErr w:type="spellStart"/>
      <w:r w:rsidRPr="007C190E">
        <w:rPr>
          <w:sz w:val="24"/>
          <w:szCs w:val="24"/>
          <w:lang w:eastAsia="de-AT"/>
        </w:rPr>
        <w:t>protrombintid</w:t>
      </w:r>
      <w:proofErr w:type="spellEnd"/>
      <w:r w:rsidRPr="007C190E">
        <w:rPr>
          <w:sz w:val="24"/>
          <w:szCs w:val="24"/>
          <w:lang w:eastAsia="de-AT"/>
        </w:rPr>
        <w:t xml:space="preserve">) og vedvarende monitorering af patientens kliniske tilstand. </w:t>
      </w:r>
    </w:p>
    <w:p w14:paraId="1D7A38CB" w14:textId="77777777" w:rsidR="00191E23" w:rsidRPr="007C190E" w:rsidRDefault="00191E23" w:rsidP="00191E23">
      <w:pPr>
        <w:ind w:left="851"/>
        <w:rPr>
          <w:sz w:val="24"/>
          <w:szCs w:val="24"/>
          <w:lang w:eastAsia="de-AT"/>
        </w:rPr>
      </w:pPr>
    </w:p>
    <w:p w14:paraId="74E195F1" w14:textId="77777777" w:rsidR="00191E23" w:rsidRPr="007C190E" w:rsidRDefault="00191E23" w:rsidP="00191E23">
      <w:pPr>
        <w:ind w:left="851"/>
        <w:rPr>
          <w:sz w:val="24"/>
          <w:szCs w:val="24"/>
          <w:lang w:eastAsia="de-AT"/>
        </w:rPr>
      </w:pPr>
      <w:r w:rsidRPr="007C190E">
        <w:rPr>
          <w:sz w:val="24"/>
          <w:szCs w:val="24"/>
          <w:lang w:eastAsia="de-AT"/>
        </w:rPr>
        <w:t xml:space="preserve">I tilfælde af større kirurgiske indgreb er nøjagtig monitorering af substitutionsbehandlingen ved hjælp af koagulationsanalyser afgørende (specifikke koagulationsfaktoranalyser og/eller overordnede analyser af </w:t>
      </w:r>
      <w:proofErr w:type="spellStart"/>
      <w:r w:rsidRPr="007C190E">
        <w:rPr>
          <w:sz w:val="24"/>
          <w:szCs w:val="24"/>
          <w:lang w:eastAsia="de-AT"/>
        </w:rPr>
        <w:t>protrombinkompleksniveauet</w:t>
      </w:r>
      <w:proofErr w:type="spellEnd"/>
      <w:r w:rsidRPr="007C190E">
        <w:rPr>
          <w:sz w:val="24"/>
          <w:szCs w:val="24"/>
          <w:lang w:eastAsia="de-AT"/>
        </w:rPr>
        <w:t>).</w:t>
      </w:r>
    </w:p>
    <w:p w14:paraId="0D42225C" w14:textId="77777777" w:rsidR="00191E23" w:rsidRPr="007C190E" w:rsidRDefault="00191E23" w:rsidP="007C190E">
      <w:pPr>
        <w:ind w:left="851"/>
        <w:rPr>
          <w:sz w:val="24"/>
          <w:szCs w:val="24"/>
          <w:lang w:eastAsia="de-AT"/>
        </w:rPr>
      </w:pPr>
    </w:p>
    <w:p w14:paraId="3D2CD4CD" w14:textId="77777777" w:rsidR="00191E23" w:rsidRPr="007C190E" w:rsidRDefault="00191E23" w:rsidP="007C190E">
      <w:pPr>
        <w:ind w:left="851"/>
        <w:rPr>
          <w:sz w:val="24"/>
          <w:szCs w:val="24"/>
        </w:rPr>
      </w:pPr>
      <w:r w:rsidRPr="007C190E">
        <w:rPr>
          <w:i/>
          <w:iCs/>
          <w:sz w:val="24"/>
          <w:szCs w:val="24"/>
          <w:lang w:eastAsia="de-AT"/>
        </w:rPr>
        <w:t>Behandling af blødning og perioperativ profylakse af blødning under behandling med vitamin K-</w:t>
      </w:r>
      <w:r w:rsidRPr="007C190E">
        <w:rPr>
          <w:sz w:val="24"/>
          <w:szCs w:val="24"/>
        </w:rPr>
        <w:t>antagonister:</w:t>
      </w:r>
    </w:p>
    <w:p w14:paraId="7BEC8AD8" w14:textId="77777777" w:rsidR="00191E23" w:rsidRPr="007C190E" w:rsidRDefault="00191E23" w:rsidP="00191E23">
      <w:pPr>
        <w:ind w:left="851"/>
        <w:rPr>
          <w:sz w:val="24"/>
          <w:szCs w:val="24"/>
          <w:lang w:eastAsia="de-AT"/>
        </w:rPr>
      </w:pPr>
      <w:r w:rsidRPr="007C190E">
        <w:rPr>
          <w:sz w:val="24"/>
          <w:szCs w:val="24"/>
          <w:lang w:eastAsia="de-AT"/>
        </w:rPr>
        <w:t xml:space="preserve">Ved alvorlige blødninger eller inden operationer med høj risiko for blødning skal der sigtes efter at opnå normale værdier (Quicks tidsværdi på 100 % og INR på 1,0). </w:t>
      </w:r>
    </w:p>
    <w:p w14:paraId="3C978086" w14:textId="77777777" w:rsidR="00191E23" w:rsidRPr="007C190E" w:rsidRDefault="00191E23" w:rsidP="00191E23">
      <w:pPr>
        <w:ind w:left="851"/>
        <w:rPr>
          <w:sz w:val="24"/>
          <w:szCs w:val="24"/>
          <w:lang w:eastAsia="de-AT"/>
        </w:rPr>
      </w:pPr>
      <w:r w:rsidRPr="007C190E">
        <w:rPr>
          <w:sz w:val="24"/>
          <w:szCs w:val="24"/>
          <w:lang w:eastAsia="de-AT"/>
        </w:rPr>
        <w:t>Som tommelfingerregel gælder, at: 1 </w:t>
      </w:r>
      <w:proofErr w:type="gramStart"/>
      <w:r w:rsidRPr="007C190E">
        <w:rPr>
          <w:sz w:val="24"/>
          <w:szCs w:val="24"/>
          <w:lang w:eastAsia="de-AT"/>
        </w:rPr>
        <w:t>IE faktor</w:t>
      </w:r>
      <w:proofErr w:type="gramEnd"/>
      <w:r w:rsidRPr="007C190E">
        <w:rPr>
          <w:sz w:val="24"/>
          <w:szCs w:val="24"/>
          <w:lang w:eastAsia="de-AT"/>
        </w:rPr>
        <w:t> IX pr. kg. kropsvægt øger Quicks tidsværdi med ca. 1 %.</w:t>
      </w:r>
    </w:p>
    <w:p w14:paraId="1B2A587E" w14:textId="77777777" w:rsidR="00191E23" w:rsidRPr="007C190E" w:rsidRDefault="00191E23" w:rsidP="00191E23">
      <w:pPr>
        <w:ind w:left="851"/>
        <w:rPr>
          <w:sz w:val="24"/>
          <w:szCs w:val="24"/>
          <w:lang w:eastAsia="de-AT"/>
        </w:rPr>
      </w:pPr>
    </w:p>
    <w:p w14:paraId="42919C03" w14:textId="77777777" w:rsidR="00191E23" w:rsidRPr="007C190E" w:rsidRDefault="00191E23" w:rsidP="00191E23">
      <w:pPr>
        <w:ind w:left="851"/>
        <w:rPr>
          <w:sz w:val="24"/>
          <w:szCs w:val="24"/>
          <w:lang w:eastAsia="de-AT"/>
        </w:rPr>
      </w:pPr>
      <w:r w:rsidRPr="007C190E">
        <w:rPr>
          <w:sz w:val="24"/>
          <w:szCs w:val="24"/>
          <w:lang w:eastAsia="de-AT"/>
        </w:rPr>
        <w:t xml:space="preserve">Hvis administration af </w:t>
      </w:r>
      <w:proofErr w:type="spellStart"/>
      <w:r w:rsidRPr="007C190E">
        <w:rPr>
          <w:sz w:val="24"/>
          <w:szCs w:val="24"/>
          <w:lang w:eastAsia="de-AT"/>
        </w:rPr>
        <w:t>Prothromplex</w:t>
      </w:r>
      <w:proofErr w:type="spellEnd"/>
      <w:r w:rsidRPr="007C190E">
        <w:rPr>
          <w:sz w:val="24"/>
          <w:szCs w:val="24"/>
          <w:lang w:eastAsia="de-AT"/>
        </w:rPr>
        <w:t xml:space="preserve"> er baseret på INR-målingen, vil dosis afhænge af INR før behandlingen og den tilstræbte </w:t>
      </w:r>
      <w:proofErr w:type="gramStart"/>
      <w:r w:rsidRPr="007C190E">
        <w:rPr>
          <w:sz w:val="24"/>
          <w:szCs w:val="24"/>
          <w:lang w:eastAsia="de-AT"/>
        </w:rPr>
        <w:t>INR værdi</w:t>
      </w:r>
      <w:proofErr w:type="gramEnd"/>
      <w:r w:rsidRPr="007C190E">
        <w:rPr>
          <w:sz w:val="24"/>
          <w:szCs w:val="24"/>
          <w:lang w:eastAsia="de-AT"/>
        </w:rPr>
        <w:t>.</w:t>
      </w:r>
    </w:p>
    <w:p w14:paraId="671AE871" w14:textId="77777777" w:rsidR="00191E23" w:rsidRPr="007C190E" w:rsidRDefault="00191E23" w:rsidP="00191E23">
      <w:pPr>
        <w:ind w:left="851"/>
        <w:rPr>
          <w:sz w:val="24"/>
          <w:szCs w:val="24"/>
          <w:lang w:eastAsia="de-AT"/>
        </w:rPr>
      </w:pPr>
      <w:r w:rsidRPr="007C190E">
        <w:rPr>
          <w:sz w:val="24"/>
          <w:szCs w:val="24"/>
          <w:lang w:eastAsia="de-AT"/>
        </w:rPr>
        <w:t xml:space="preserve">Doseringerne som er angivet i skemaet nedenfor bør følges i henhold til anbefalingerne, i publikationen </w:t>
      </w:r>
      <w:proofErr w:type="spellStart"/>
      <w:r w:rsidRPr="007C190E">
        <w:rPr>
          <w:color w:val="000000"/>
          <w:sz w:val="24"/>
          <w:szCs w:val="24"/>
          <w:lang w:eastAsia="de-AT"/>
        </w:rPr>
        <w:t>Makris</w:t>
      </w:r>
      <w:proofErr w:type="spellEnd"/>
      <w:r w:rsidRPr="007C190E">
        <w:rPr>
          <w:color w:val="000000"/>
          <w:sz w:val="24"/>
          <w:szCs w:val="24"/>
          <w:lang w:eastAsia="de-AT"/>
        </w:rPr>
        <w:t xml:space="preserve"> et al</w:t>
      </w:r>
      <w:r w:rsidRPr="007C190E">
        <w:rPr>
          <w:rFonts w:eastAsia="TimesNewRoman"/>
          <w:sz w:val="24"/>
          <w:szCs w:val="24"/>
        </w:rPr>
        <w:t xml:space="preserve"> 2001</w:t>
      </w:r>
      <w:r w:rsidRPr="007C190E">
        <w:rPr>
          <w:rStyle w:val="Fodnotehenvisning"/>
          <w:rFonts w:eastAsia="TimesNewRoman"/>
          <w:sz w:val="24"/>
          <w:szCs w:val="24"/>
        </w:rPr>
        <w:t xml:space="preserve"> </w:t>
      </w:r>
      <w:r w:rsidRPr="007C190E">
        <w:rPr>
          <w:rStyle w:val="Fodnotehenvisning"/>
          <w:rFonts w:eastAsia="TimesNewRoman"/>
          <w:sz w:val="24"/>
          <w:szCs w:val="24"/>
        </w:rPr>
        <w:footnoteReference w:id="1"/>
      </w:r>
      <w:r w:rsidRPr="007C190E">
        <w:rPr>
          <w:color w:val="000000"/>
          <w:sz w:val="24"/>
          <w:szCs w:val="24"/>
          <w:lang w:eastAsia="de-AT"/>
        </w:rPr>
        <w:t>.</w:t>
      </w:r>
    </w:p>
    <w:p w14:paraId="0E543096" w14:textId="77777777" w:rsidR="00191E23" w:rsidRPr="007C190E" w:rsidRDefault="00191E23" w:rsidP="00191E23">
      <w:pPr>
        <w:ind w:left="851"/>
        <w:rPr>
          <w:sz w:val="24"/>
          <w:szCs w:val="24"/>
          <w:lang w:eastAsia="de-AT"/>
        </w:rPr>
      </w:pPr>
    </w:p>
    <w:tbl>
      <w:tblPr>
        <w:tblW w:w="666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19"/>
      </w:tblGrid>
      <w:tr w:rsidR="00191E23" w:rsidRPr="00B5420C" w14:paraId="6AC31BA3" w14:textId="77777777" w:rsidTr="00191E23">
        <w:tc>
          <w:tcPr>
            <w:tcW w:w="6662" w:type="dxa"/>
            <w:gridSpan w:val="2"/>
            <w:tcBorders>
              <w:top w:val="single" w:sz="4" w:space="0" w:color="auto"/>
              <w:left w:val="single" w:sz="4" w:space="0" w:color="auto"/>
              <w:bottom w:val="single" w:sz="4" w:space="0" w:color="auto"/>
              <w:right w:val="single" w:sz="4" w:space="0" w:color="auto"/>
            </w:tcBorders>
            <w:hideMark/>
          </w:tcPr>
          <w:p w14:paraId="4ED8B5CB" w14:textId="77777777" w:rsidR="00191E23" w:rsidRPr="00B5420C" w:rsidRDefault="00191E23">
            <w:pPr>
              <w:ind w:left="171"/>
              <w:rPr>
                <w:b/>
                <w:sz w:val="22"/>
                <w:szCs w:val="22"/>
                <w:lang w:eastAsia="de-AT"/>
              </w:rPr>
            </w:pPr>
            <w:r w:rsidRPr="00B5420C">
              <w:rPr>
                <w:b/>
                <w:sz w:val="22"/>
                <w:szCs w:val="22"/>
                <w:lang w:eastAsia="de-AT"/>
              </w:rPr>
              <w:t xml:space="preserve">Dosering af </w:t>
            </w:r>
            <w:proofErr w:type="spellStart"/>
            <w:r w:rsidRPr="00B5420C">
              <w:rPr>
                <w:b/>
                <w:sz w:val="22"/>
                <w:szCs w:val="22"/>
                <w:lang w:eastAsia="de-AT"/>
              </w:rPr>
              <w:t>Prothromplex</w:t>
            </w:r>
            <w:proofErr w:type="spellEnd"/>
            <w:r w:rsidRPr="00B5420C">
              <w:rPr>
                <w:b/>
                <w:sz w:val="22"/>
                <w:szCs w:val="22"/>
                <w:lang w:eastAsia="de-AT"/>
              </w:rPr>
              <w:t xml:space="preserve"> i henhold til den initiale INR-måling </w:t>
            </w:r>
          </w:p>
        </w:tc>
      </w:tr>
      <w:tr w:rsidR="00191E23" w:rsidRPr="00B5420C" w14:paraId="5D879581" w14:textId="77777777" w:rsidTr="00191E23">
        <w:tc>
          <w:tcPr>
            <w:tcW w:w="1843" w:type="dxa"/>
            <w:tcBorders>
              <w:top w:val="single" w:sz="4" w:space="0" w:color="auto"/>
              <w:left w:val="single" w:sz="4" w:space="0" w:color="auto"/>
              <w:bottom w:val="single" w:sz="4" w:space="0" w:color="auto"/>
              <w:right w:val="single" w:sz="4" w:space="0" w:color="auto"/>
            </w:tcBorders>
            <w:hideMark/>
          </w:tcPr>
          <w:p w14:paraId="5A0835D2" w14:textId="77777777" w:rsidR="00191E23" w:rsidRPr="00B5420C" w:rsidRDefault="00191E23">
            <w:pPr>
              <w:ind w:left="171"/>
              <w:rPr>
                <w:b/>
                <w:sz w:val="22"/>
                <w:szCs w:val="22"/>
                <w:lang w:eastAsia="de-AT"/>
              </w:rPr>
            </w:pPr>
            <w:r w:rsidRPr="00B5420C">
              <w:rPr>
                <w:b/>
                <w:sz w:val="22"/>
                <w:szCs w:val="22"/>
                <w:lang w:eastAsia="de-AT"/>
              </w:rPr>
              <w:t>INR</w:t>
            </w:r>
          </w:p>
        </w:tc>
        <w:tc>
          <w:tcPr>
            <w:tcW w:w="4819" w:type="dxa"/>
            <w:tcBorders>
              <w:top w:val="single" w:sz="4" w:space="0" w:color="auto"/>
              <w:left w:val="single" w:sz="4" w:space="0" w:color="auto"/>
              <w:bottom w:val="single" w:sz="4" w:space="0" w:color="auto"/>
              <w:right w:val="single" w:sz="4" w:space="0" w:color="auto"/>
            </w:tcBorders>
            <w:hideMark/>
          </w:tcPr>
          <w:p w14:paraId="0805B1ED" w14:textId="77777777" w:rsidR="00191E23" w:rsidRPr="00B5420C" w:rsidRDefault="00191E23">
            <w:pPr>
              <w:ind w:left="171"/>
              <w:rPr>
                <w:b/>
                <w:sz w:val="22"/>
                <w:szCs w:val="22"/>
                <w:lang w:eastAsia="de-AT"/>
              </w:rPr>
            </w:pPr>
            <w:r w:rsidRPr="00B5420C">
              <w:rPr>
                <w:b/>
                <w:sz w:val="22"/>
                <w:szCs w:val="22"/>
                <w:lang w:eastAsia="de-AT"/>
              </w:rPr>
              <w:t>Dosis, [IE pr. kg] (IE henviser til faktor IX)</w:t>
            </w:r>
          </w:p>
        </w:tc>
      </w:tr>
      <w:tr w:rsidR="00191E23" w:rsidRPr="00B5420C" w14:paraId="1BED784D" w14:textId="77777777" w:rsidTr="00191E23">
        <w:tc>
          <w:tcPr>
            <w:tcW w:w="1843" w:type="dxa"/>
            <w:tcBorders>
              <w:top w:val="single" w:sz="4" w:space="0" w:color="auto"/>
              <w:left w:val="single" w:sz="4" w:space="0" w:color="auto"/>
              <w:bottom w:val="single" w:sz="4" w:space="0" w:color="auto"/>
              <w:right w:val="single" w:sz="4" w:space="0" w:color="auto"/>
            </w:tcBorders>
            <w:hideMark/>
          </w:tcPr>
          <w:p w14:paraId="357F6FD9" w14:textId="77777777" w:rsidR="00191E23" w:rsidRPr="00B5420C" w:rsidRDefault="00191E23">
            <w:pPr>
              <w:ind w:left="171"/>
              <w:rPr>
                <w:sz w:val="22"/>
                <w:szCs w:val="22"/>
                <w:lang w:eastAsia="de-AT"/>
              </w:rPr>
            </w:pPr>
            <w:r w:rsidRPr="00B5420C">
              <w:rPr>
                <w:sz w:val="22"/>
                <w:szCs w:val="22"/>
                <w:lang w:eastAsia="de-AT"/>
              </w:rPr>
              <w:t>2,0 – 3,9</w:t>
            </w:r>
          </w:p>
        </w:tc>
        <w:tc>
          <w:tcPr>
            <w:tcW w:w="4819" w:type="dxa"/>
            <w:tcBorders>
              <w:top w:val="single" w:sz="4" w:space="0" w:color="auto"/>
              <w:left w:val="single" w:sz="4" w:space="0" w:color="auto"/>
              <w:bottom w:val="single" w:sz="4" w:space="0" w:color="auto"/>
              <w:right w:val="single" w:sz="4" w:space="0" w:color="auto"/>
            </w:tcBorders>
            <w:hideMark/>
          </w:tcPr>
          <w:p w14:paraId="74F2A694" w14:textId="77777777" w:rsidR="00191E23" w:rsidRPr="00B5420C" w:rsidRDefault="00191E23">
            <w:pPr>
              <w:ind w:left="171"/>
              <w:rPr>
                <w:sz w:val="22"/>
                <w:szCs w:val="22"/>
                <w:lang w:eastAsia="de-AT"/>
              </w:rPr>
            </w:pPr>
            <w:r w:rsidRPr="00B5420C">
              <w:rPr>
                <w:sz w:val="22"/>
                <w:szCs w:val="22"/>
                <w:lang w:eastAsia="de-AT"/>
              </w:rPr>
              <w:t>25</w:t>
            </w:r>
          </w:p>
        </w:tc>
      </w:tr>
      <w:tr w:rsidR="00191E23" w:rsidRPr="00B5420C" w14:paraId="7303E14A" w14:textId="77777777" w:rsidTr="00191E23">
        <w:tc>
          <w:tcPr>
            <w:tcW w:w="1843" w:type="dxa"/>
            <w:tcBorders>
              <w:top w:val="single" w:sz="4" w:space="0" w:color="auto"/>
              <w:left w:val="single" w:sz="4" w:space="0" w:color="auto"/>
              <w:bottom w:val="single" w:sz="4" w:space="0" w:color="auto"/>
              <w:right w:val="single" w:sz="4" w:space="0" w:color="auto"/>
            </w:tcBorders>
            <w:hideMark/>
          </w:tcPr>
          <w:p w14:paraId="002CD142" w14:textId="77777777" w:rsidR="00191E23" w:rsidRPr="00B5420C" w:rsidRDefault="00191E23">
            <w:pPr>
              <w:ind w:left="171"/>
              <w:rPr>
                <w:sz w:val="22"/>
                <w:szCs w:val="22"/>
                <w:lang w:eastAsia="de-AT"/>
              </w:rPr>
            </w:pPr>
            <w:r w:rsidRPr="00B5420C">
              <w:rPr>
                <w:sz w:val="22"/>
                <w:szCs w:val="22"/>
                <w:lang w:eastAsia="de-AT"/>
              </w:rPr>
              <w:t>4,0 – 6,0</w:t>
            </w:r>
          </w:p>
        </w:tc>
        <w:tc>
          <w:tcPr>
            <w:tcW w:w="4819" w:type="dxa"/>
            <w:tcBorders>
              <w:top w:val="single" w:sz="4" w:space="0" w:color="auto"/>
              <w:left w:val="single" w:sz="4" w:space="0" w:color="auto"/>
              <w:bottom w:val="single" w:sz="4" w:space="0" w:color="auto"/>
              <w:right w:val="single" w:sz="4" w:space="0" w:color="auto"/>
            </w:tcBorders>
            <w:hideMark/>
          </w:tcPr>
          <w:p w14:paraId="526475B1" w14:textId="77777777" w:rsidR="00191E23" w:rsidRPr="00B5420C" w:rsidRDefault="00191E23">
            <w:pPr>
              <w:ind w:left="171"/>
              <w:rPr>
                <w:sz w:val="22"/>
                <w:szCs w:val="22"/>
                <w:lang w:eastAsia="de-AT"/>
              </w:rPr>
            </w:pPr>
            <w:r w:rsidRPr="00B5420C">
              <w:rPr>
                <w:sz w:val="22"/>
                <w:szCs w:val="22"/>
                <w:lang w:eastAsia="de-AT"/>
              </w:rPr>
              <w:t>35</w:t>
            </w:r>
          </w:p>
        </w:tc>
      </w:tr>
      <w:tr w:rsidR="00191E23" w:rsidRPr="00B5420C" w14:paraId="1938CCCB" w14:textId="77777777" w:rsidTr="00191E23">
        <w:tc>
          <w:tcPr>
            <w:tcW w:w="1843" w:type="dxa"/>
            <w:tcBorders>
              <w:top w:val="single" w:sz="4" w:space="0" w:color="auto"/>
              <w:left w:val="single" w:sz="4" w:space="0" w:color="auto"/>
              <w:bottom w:val="single" w:sz="4" w:space="0" w:color="auto"/>
              <w:right w:val="single" w:sz="4" w:space="0" w:color="auto"/>
            </w:tcBorders>
            <w:hideMark/>
          </w:tcPr>
          <w:p w14:paraId="76E6C1E0" w14:textId="77777777" w:rsidR="00191E23" w:rsidRPr="00B5420C" w:rsidRDefault="00191E23">
            <w:pPr>
              <w:ind w:left="171"/>
              <w:rPr>
                <w:sz w:val="22"/>
                <w:szCs w:val="22"/>
                <w:lang w:eastAsia="de-AT"/>
              </w:rPr>
            </w:pPr>
            <w:r w:rsidRPr="00B5420C">
              <w:rPr>
                <w:sz w:val="22"/>
                <w:szCs w:val="22"/>
                <w:lang w:eastAsia="de-AT"/>
              </w:rPr>
              <w:t>&gt; 6,0</w:t>
            </w:r>
          </w:p>
        </w:tc>
        <w:tc>
          <w:tcPr>
            <w:tcW w:w="4819" w:type="dxa"/>
            <w:tcBorders>
              <w:top w:val="single" w:sz="4" w:space="0" w:color="auto"/>
              <w:left w:val="single" w:sz="4" w:space="0" w:color="auto"/>
              <w:bottom w:val="single" w:sz="4" w:space="0" w:color="auto"/>
              <w:right w:val="single" w:sz="4" w:space="0" w:color="auto"/>
            </w:tcBorders>
            <w:hideMark/>
          </w:tcPr>
          <w:p w14:paraId="0DA8A118" w14:textId="77777777" w:rsidR="00191E23" w:rsidRPr="00B5420C" w:rsidRDefault="00191E23">
            <w:pPr>
              <w:ind w:left="171"/>
              <w:rPr>
                <w:sz w:val="22"/>
                <w:szCs w:val="22"/>
                <w:lang w:eastAsia="de-AT"/>
              </w:rPr>
            </w:pPr>
            <w:r w:rsidRPr="00B5420C">
              <w:rPr>
                <w:sz w:val="22"/>
                <w:szCs w:val="22"/>
                <w:lang w:eastAsia="de-AT"/>
              </w:rPr>
              <w:t>50</w:t>
            </w:r>
          </w:p>
        </w:tc>
      </w:tr>
    </w:tbl>
    <w:p w14:paraId="33154EA1" w14:textId="77777777" w:rsidR="00191E23" w:rsidRPr="007C190E" w:rsidRDefault="00191E23" w:rsidP="00191E23">
      <w:pPr>
        <w:ind w:left="851"/>
        <w:rPr>
          <w:sz w:val="24"/>
          <w:szCs w:val="24"/>
          <w:lang w:eastAsia="de-AT"/>
        </w:rPr>
      </w:pPr>
    </w:p>
    <w:p w14:paraId="537649E2" w14:textId="77777777" w:rsidR="00191E23" w:rsidRPr="007C190E" w:rsidRDefault="00191E23" w:rsidP="007C190E">
      <w:pPr>
        <w:overflowPunct w:val="0"/>
        <w:autoSpaceDE w:val="0"/>
        <w:autoSpaceDN w:val="0"/>
        <w:adjustRightInd w:val="0"/>
        <w:ind w:left="851"/>
        <w:textAlignment w:val="baseline"/>
        <w:rPr>
          <w:sz w:val="24"/>
          <w:szCs w:val="24"/>
          <w:lang w:eastAsia="de-AT"/>
        </w:rPr>
      </w:pPr>
      <w:r w:rsidRPr="007C190E">
        <w:rPr>
          <w:sz w:val="24"/>
          <w:szCs w:val="24"/>
          <w:lang w:eastAsia="de-AT"/>
        </w:rPr>
        <w:t xml:space="preserve">Korrektionen af den hæmmede </w:t>
      </w:r>
      <w:proofErr w:type="spellStart"/>
      <w:r w:rsidRPr="007C190E">
        <w:rPr>
          <w:sz w:val="24"/>
          <w:szCs w:val="24"/>
          <w:lang w:eastAsia="de-AT"/>
        </w:rPr>
        <w:t>hæmostase</w:t>
      </w:r>
      <w:proofErr w:type="spellEnd"/>
      <w:r w:rsidRPr="007C190E">
        <w:rPr>
          <w:sz w:val="24"/>
          <w:szCs w:val="24"/>
          <w:lang w:eastAsia="de-AT"/>
        </w:rPr>
        <w:t xml:space="preserve">, induceret af vitamin K antagonist, varer i ca. 6 – 8 timer. Effekten af vitamin K, hvis administreret samtidigt, er sædvanligvis opnået indenfor 4 – 6 timer. Af denne grund er gentagen behandling med humant </w:t>
      </w:r>
      <w:proofErr w:type="spellStart"/>
      <w:r w:rsidRPr="007C190E">
        <w:rPr>
          <w:sz w:val="24"/>
          <w:szCs w:val="24"/>
          <w:lang w:eastAsia="de-AT"/>
        </w:rPr>
        <w:t>prothrombin</w:t>
      </w:r>
      <w:proofErr w:type="spellEnd"/>
      <w:r w:rsidRPr="007C190E">
        <w:rPr>
          <w:sz w:val="24"/>
          <w:szCs w:val="24"/>
          <w:lang w:eastAsia="de-AT"/>
        </w:rPr>
        <w:t>-kompleks normalt ikke nødvendig når vitamin K er blevet administreret.</w:t>
      </w:r>
    </w:p>
    <w:p w14:paraId="7BFD434E" w14:textId="77777777" w:rsidR="00191E23" w:rsidRPr="007C190E" w:rsidRDefault="00191E23" w:rsidP="007C190E">
      <w:pPr>
        <w:overflowPunct w:val="0"/>
        <w:autoSpaceDE w:val="0"/>
        <w:autoSpaceDN w:val="0"/>
        <w:adjustRightInd w:val="0"/>
        <w:ind w:left="851"/>
        <w:textAlignment w:val="baseline"/>
        <w:rPr>
          <w:sz w:val="24"/>
          <w:szCs w:val="24"/>
          <w:lang w:eastAsia="de-AT"/>
        </w:rPr>
      </w:pPr>
    </w:p>
    <w:p w14:paraId="3E0C103B" w14:textId="77777777" w:rsidR="00191E23" w:rsidRPr="007C190E" w:rsidRDefault="00191E23" w:rsidP="007C190E">
      <w:pPr>
        <w:overflowPunct w:val="0"/>
        <w:autoSpaceDE w:val="0"/>
        <w:autoSpaceDN w:val="0"/>
        <w:adjustRightInd w:val="0"/>
        <w:ind w:left="851"/>
        <w:textAlignment w:val="baseline"/>
        <w:rPr>
          <w:sz w:val="24"/>
          <w:szCs w:val="24"/>
          <w:lang w:eastAsia="de-AT"/>
        </w:rPr>
      </w:pPr>
      <w:r w:rsidRPr="007C190E">
        <w:rPr>
          <w:sz w:val="24"/>
          <w:szCs w:val="24"/>
          <w:lang w:eastAsia="de-AT"/>
        </w:rPr>
        <w:t>Da disse anbefalinger er empiriske og bedring og varighed af effekt kan variere, er overvågning af INR obligatorisk under behandling.</w:t>
      </w:r>
    </w:p>
    <w:p w14:paraId="6FD77BE0" w14:textId="77777777" w:rsidR="00191E23" w:rsidRPr="007C190E" w:rsidRDefault="00191E23" w:rsidP="007C190E">
      <w:pPr>
        <w:ind w:left="851"/>
        <w:rPr>
          <w:sz w:val="24"/>
          <w:szCs w:val="24"/>
          <w:lang w:eastAsia="de-AT"/>
        </w:rPr>
      </w:pPr>
    </w:p>
    <w:p w14:paraId="38B8356A" w14:textId="77777777" w:rsidR="00191E23" w:rsidRPr="007C190E" w:rsidRDefault="00191E23" w:rsidP="007C190E">
      <w:pPr>
        <w:overflowPunct w:val="0"/>
        <w:autoSpaceDE w:val="0"/>
        <w:autoSpaceDN w:val="0"/>
        <w:adjustRightInd w:val="0"/>
        <w:ind w:left="851"/>
        <w:textAlignment w:val="baseline"/>
        <w:rPr>
          <w:sz w:val="24"/>
          <w:szCs w:val="24"/>
          <w:lang w:eastAsia="de-AT"/>
        </w:rPr>
      </w:pPr>
      <w:r w:rsidRPr="007C190E">
        <w:rPr>
          <w:i/>
          <w:iCs/>
          <w:sz w:val="24"/>
          <w:szCs w:val="24"/>
          <w:lang w:eastAsia="de-AT"/>
        </w:rPr>
        <w:t>Behandling og perioperativ profylakse af blødning ved medfødt mangel på en hvilken som helst af de vitamin K-afhængige koagulationsfaktorer, når et specifikt koagulationsfaktorprodukt ikke er til rådighed:</w:t>
      </w:r>
    </w:p>
    <w:p w14:paraId="0DE5F2DC" w14:textId="77777777" w:rsidR="00191E23" w:rsidRPr="007C190E" w:rsidRDefault="00191E23" w:rsidP="007C190E">
      <w:pPr>
        <w:ind w:left="851"/>
        <w:rPr>
          <w:sz w:val="24"/>
          <w:szCs w:val="24"/>
          <w:lang w:eastAsia="de-AT"/>
        </w:rPr>
      </w:pPr>
      <w:r w:rsidRPr="007C190E">
        <w:rPr>
          <w:sz w:val="24"/>
          <w:szCs w:val="24"/>
          <w:lang w:eastAsia="de-AT"/>
        </w:rPr>
        <w:t>Den beregnede nødvendige dosis til behandling er baseret på de empiriske fund, at ca. 1 </w:t>
      </w:r>
      <w:proofErr w:type="gramStart"/>
      <w:r w:rsidRPr="007C190E">
        <w:rPr>
          <w:sz w:val="24"/>
          <w:szCs w:val="24"/>
          <w:lang w:eastAsia="de-AT"/>
        </w:rPr>
        <w:t>IE faktor</w:t>
      </w:r>
      <w:proofErr w:type="gramEnd"/>
      <w:r w:rsidRPr="007C190E">
        <w:rPr>
          <w:sz w:val="24"/>
          <w:szCs w:val="24"/>
          <w:lang w:eastAsia="de-AT"/>
        </w:rPr>
        <w:t> IX pr. kg kropsvægt øger faktor IX-plasma aktiviteten med ca. 0,015 IE/ml og 1 IE faktor VII pr. kg kropsvægt øger faktor VII-aktiviteten med ca. 0,024 IE/ml. 1 IE faktor II eller X pr. kg kropsvægt øger faktor II- eller X-aktiviteten i plasma med ca. 0,021</w:t>
      </w:r>
      <w:r w:rsidRPr="007C190E">
        <w:rPr>
          <w:sz w:val="24"/>
          <w:szCs w:val="24"/>
          <w:lang w:val="nn-NO"/>
        </w:rPr>
        <w:t xml:space="preserve"> IE/ml</w:t>
      </w:r>
      <w:r w:rsidRPr="007C190E">
        <w:rPr>
          <w:rStyle w:val="Fodnotehenvisning"/>
          <w:sz w:val="24"/>
          <w:szCs w:val="24"/>
          <w:lang w:val="nn-NO"/>
        </w:rPr>
        <w:footnoteReference w:id="2"/>
      </w:r>
      <w:r w:rsidRPr="007C190E">
        <w:rPr>
          <w:sz w:val="24"/>
          <w:szCs w:val="24"/>
          <w:lang w:val="nn-NO"/>
        </w:rPr>
        <w:t>.</w:t>
      </w:r>
    </w:p>
    <w:p w14:paraId="49A2A31C" w14:textId="77777777" w:rsidR="00191E23" w:rsidRPr="007C190E" w:rsidRDefault="00191E23" w:rsidP="007C190E">
      <w:pPr>
        <w:ind w:left="851"/>
        <w:rPr>
          <w:sz w:val="24"/>
          <w:szCs w:val="24"/>
          <w:lang w:eastAsia="de-AT"/>
        </w:rPr>
      </w:pPr>
    </w:p>
    <w:p w14:paraId="7F58440E" w14:textId="77777777" w:rsidR="00191E23" w:rsidRPr="007C190E" w:rsidRDefault="00191E23" w:rsidP="007C190E">
      <w:pPr>
        <w:ind w:left="851"/>
        <w:rPr>
          <w:sz w:val="24"/>
          <w:szCs w:val="24"/>
          <w:lang w:eastAsia="de-AT"/>
        </w:rPr>
      </w:pPr>
      <w:r w:rsidRPr="007C190E">
        <w:rPr>
          <w:sz w:val="24"/>
          <w:szCs w:val="24"/>
          <w:lang w:eastAsia="de-AT"/>
        </w:rPr>
        <w:t xml:space="preserve">Dosis af en administreret specifik faktor er angivet i internationale enheder (IE), som er relateret til WHO's gældende standard for hver faktor. En specifik koagulationsfaktors aktivitet i plasma er angivet enten i procent (i forhold til normalt humant plasma) eller i </w:t>
      </w:r>
      <w:r w:rsidRPr="007C190E">
        <w:rPr>
          <w:sz w:val="24"/>
          <w:szCs w:val="24"/>
          <w:lang w:eastAsia="de-AT"/>
        </w:rPr>
        <w:lastRenderedPageBreak/>
        <w:t xml:space="preserve">internationale enheder (i forhold til den internationale standard for specifikke faktorkoncentrater). </w:t>
      </w:r>
    </w:p>
    <w:p w14:paraId="7837D9F3" w14:textId="77777777" w:rsidR="00191E23" w:rsidRPr="007C190E" w:rsidRDefault="00191E23" w:rsidP="007C190E">
      <w:pPr>
        <w:ind w:left="851"/>
        <w:rPr>
          <w:sz w:val="24"/>
          <w:szCs w:val="24"/>
          <w:lang w:eastAsia="de-AT"/>
        </w:rPr>
      </w:pPr>
    </w:p>
    <w:p w14:paraId="11B12BB4" w14:textId="528E42E5" w:rsidR="00191E23" w:rsidRPr="007C190E" w:rsidRDefault="00191E23" w:rsidP="007C190E">
      <w:pPr>
        <w:ind w:left="851"/>
        <w:rPr>
          <w:sz w:val="24"/>
          <w:szCs w:val="24"/>
          <w:lang w:eastAsia="de-AT"/>
        </w:rPr>
      </w:pPr>
      <w:r w:rsidRPr="007C190E">
        <w:rPr>
          <w:sz w:val="24"/>
          <w:szCs w:val="24"/>
          <w:lang w:eastAsia="de-AT"/>
        </w:rPr>
        <w:t xml:space="preserve">En international enhed (IE) koagulationsfaktoraktivitet er ækvivalent med kvantiteten i en milliliter normalt humant plasma. </w:t>
      </w:r>
    </w:p>
    <w:p w14:paraId="54E64592" w14:textId="77777777" w:rsidR="00191E23" w:rsidRPr="007C190E" w:rsidRDefault="00191E23" w:rsidP="007C190E">
      <w:pPr>
        <w:ind w:left="851"/>
        <w:rPr>
          <w:sz w:val="24"/>
          <w:szCs w:val="24"/>
          <w:lang w:eastAsia="de-AT"/>
        </w:rPr>
      </w:pPr>
    </w:p>
    <w:p w14:paraId="2107E030" w14:textId="77777777" w:rsidR="00191E23" w:rsidRPr="007C190E" w:rsidRDefault="00191E23" w:rsidP="007C190E">
      <w:pPr>
        <w:ind w:left="851"/>
        <w:rPr>
          <w:sz w:val="24"/>
          <w:szCs w:val="24"/>
        </w:rPr>
      </w:pPr>
      <w:r w:rsidRPr="007C190E">
        <w:rPr>
          <w:sz w:val="24"/>
          <w:szCs w:val="24"/>
        </w:rPr>
        <w:t>For eksempel er beregningen af den nødvendige dosis af faktor X baseret på de empiriske fund, at én international enhed faktor X pr. kg kropsvægt øger faktor X aktiviteten i plasma med 0,017 IE/ml. Den nødvendige dosis bestemmes ved at anvende følgende formel:</w:t>
      </w:r>
    </w:p>
    <w:p w14:paraId="4630455D" w14:textId="77777777" w:rsidR="00191E23" w:rsidRPr="007C190E" w:rsidRDefault="00191E23" w:rsidP="007C190E">
      <w:pPr>
        <w:ind w:left="851"/>
        <w:rPr>
          <w:sz w:val="24"/>
          <w:szCs w:val="24"/>
        </w:rPr>
      </w:pPr>
    </w:p>
    <w:p w14:paraId="44E1D5E7" w14:textId="77777777" w:rsidR="00191E23" w:rsidRPr="007C190E" w:rsidRDefault="00191E23" w:rsidP="007C190E">
      <w:pPr>
        <w:ind w:left="851"/>
        <w:rPr>
          <w:b/>
          <w:bCs/>
          <w:sz w:val="24"/>
          <w:szCs w:val="24"/>
        </w:rPr>
      </w:pPr>
      <w:r w:rsidRPr="007C190E">
        <w:rPr>
          <w:b/>
          <w:bCs/>
          <w:sz w:val="24"/>
          <w:szCs w:val="24"/>
        </w:rPr>
        <w:t>Nødvendige enheder (IE) = kropsvægt (kg) x ønsket stigning i faktor X (IE/ml) x 60</w:t>
      </w:r>
    </w:p>
    <w:p w14:paraId="26D7E5F2" w14:textId="77777777" w:rsidR="00191E23" w:rsidRPr="007C190E" w:rsidRDefault="00191E23" w:rsidP="007C190E">
      <w:pPr>
        <w:ind w:left="851"/>
        <w:rPr>
          <w:sz w:val="24"/>
          <w:szCs w:val="24"/>
          <w:lang w:eastAsia="de-AT"/>
        </w:rPr>
      </w:pPr>
    </w:p>
    <w:p w14:paraId="439D4563" w14:textId="77777777" w:rsidR="00191E23" w:rsidRPr="007C190E" w:rsidRDefault="00191E23" w:rsidP="007C190E">
      <w:pPr>
        <w:ind w:left="851"/>
        <w:rPr>
          <w:sz w:val="24"/>
          <w:szCs w:val="24"/>
          <w:lang w:eastAsia="de-AT"/>
        </w:rPr>
      </w:pPr>
      <w:r w:rsidRPr="007C190E">
        <w:rPr>
          <w:sz w:val="24"/>
          <w:szCs w:val="24"/>
          <w:lang w:eastAsia="de-AT"/>
        </w:rPr>
        <w:t>hvor 60 (ml/kg) er reciprok af den estimerede bedring</w:t>
      </w:r>
    </w:p>
    <w:p w14:paraId="037BC3F4" w14:textId="77777777" w:rsidR="00191E23" w:rsidRPr="007C190E" w:rsidRDefault="00191E23" w:rsidP="007C190E">
      <w:pPr>
        <w:ind w:left="851"/>
        <w:rPr>
          <w:sz w:val="24"/>
          <w:szCs w:val="24"/>
        </w:rPr>
      </w:pPr>
      <w:r w:rsidRPr="007C190E">
        <w:rPr>
          <w:sz w:val="24"/>
          <w:szCs w:val="24"/>
        </w:rPr>
        <w:t>Hvis den individuelle bedring er kendt, er det den værdi, der skal bruges i beregningen.</w:t>
      </w:r>
    </w:p>
    <w:p w14:paraId="3E192B14" w14:textId="77777777" w:rsidR="00191E23" w:rsidRPr="007C190E" w:rsidRDefault="00191E23" w:rsidP="00191E23">
      <w:pPr>
        <w:ind w:left="851"/>
        <w:rPr>
          <w:b/>
          <w:sz w:val="24"/>
          <w:szCs w:val="24"/>
        </w:rPr>
      </w:pPr>
    </w:p>
    <w:p w14:paraId="66966406" w14:textId="77777777" w:rsidR="00191E23" w:rsidRPr="007C190E" w:rsidRDefault="00191E23" w:rsidP="00191E23">
      <w:pPr>
        <w:ind w:left="851"/>
        <w:rPr>
          <w:bCs/>
          <w:i/>
          <w:iCs/>
          <w:sz w:val="24"/>
          <w:szCs w:val="24"/>
        </w:rPr>
      </w:pPr>
      <w:r w:rsidRPr="007C190E">
        <w:rPr>
          <w:bCs/>
          <w:i/>
          <w:iCs/>
          <w:sz w:val="24"/>
          <w:szCs w:val="24"/>
        </w:rPr>
        <w:t>Maksimal enkeltdosis:</w:t>
      </w:r>
    </w:p>
    <w:p w14:paraId="32881824" w14:textId="77777777" w:rsidR="00191E23" w:rsidRPr="007C190E" w:rsidRDefault="00191E23" w:rsidP="00191E23">
      <w:pPr>
        <w:ind w:left="851"/>
        <w:rPr>
          <w:sz w:val="24"/>
          <w:szCs w:val="24"/>
        </w:rPr>
      </w:pPr>
      <w:r w:rsidRPr="007C190E">
        <w:rPr>
          <w:sz w:val="24"/>
          <w:szCs w:val="24"/>
        </w:rPr>
        <w:t>For at korrigere INR, er det ikke nødvendigt at overstige dosis på 50 IE/kg. Hvis alvorligheden af blødningen kræver en højere dosis, må risiko/fordel evalueres af den behandlende læge.</w:t>
      </w:r>
    </w:p>
    <w:p w14:paraId="2A12EE61" w14:textId="77777777" w:rsidR="00191E23" w:rsidRPr="007C190E" w:rsidRDefault="00191E23" w:rsidP="00191E23">
      <w:pPr>
        <w:ind w:left="851"/>
        <w:rPr>
          <w:sz w:val="24"/>
          <w:szCs w:val="24"/>
          <w:lang w:eastAsia="de-AT"/>
        </w:rPr>
      </w:pPr>
    </w:p>
    <w:p w14:paraId="334FB5CA" w14:textId="77777777" w:rsidR="00191E23" w:rsidRPr="007C190E" w:rsidRDefault="00191E23" w:rsidP="00191E23">
      <w:pPr>
        <w:overflowPunct w:val="0"/>
        <w:autoSpaceDE w:val="0"/>
        <w:autoSpaceDN w:val="0"/>
        <w:adjustRightInd w:val="0"/>
        <w:ind w:left="851"/>
        <w:textAlignment w:val="baseline"/>
        <w:rPr>
          <w:sz w:val="24"/>
          <w:szCs w:val="24"/>
          <w:u w:val="single"/>
        </w:rPr>
      </w:pPr>
      <w:r w:rsidRPr="007C190E">
        <w:rPr>
          <w:sz w:val="24"/>
          <w:szCs w:val="24"/>
          <w:u w:val="single"/>
        </w:rPr>
        <w:t>Pædiatrisk population</w:t>
      </w:r>
    </w:p>
    <w:p w14:paraId="13FDC2DA" w14:textId="77777777" w:rsidR="00191E23" w:rsidRPr="007C190E" w:rsidRDefault="00191E23" w:rsidP="00191E23">
      <w:pPr>
        <w:ind w:left="851"/>
        <w:rPr>
          <w:sz w:val="24"/>
          <w:szCs w:val="24"/>
          <w:lang w:eastAsia="de-AT"/>
        </w:rPr>
      </w:pPr>
      <w:r w:rsidRPr="007C190E">
        <w:rPr>
          <w:sz w:val="24"/>
          <w:szCs w:val="24"/>
          <w:lang w:eastAsia="de-AT"/>
        </w:rPr>
        <w:t xml:space="preserve">Sikkerheden og virkningen ved brug af </w:t>
      </w:r>
      <w:proofErr w:type="spellStart"/>
      <w:r w:rsidRPr="007C190E">
        <w:rPr>
          <w:sz w:val="24"/>
          <w:szCs w:val="24"/>
          <w:lang w:eastAsia="de-AT"/>
        </w:rPr>
        <w:t>Prothromplex</w:t>
      </w:r>
      <w:proofErr w:type="spellEnd"/>
      <w:r w:rsidRPr="007C190E">
        <w:rPr>
          <w:sz w:val="24"/>
          <w:szCs w:val="24"/>
          <w:lang w:eastAsia="de-AT"/>
        </w:rPr>
        <w:t xml:space="preserve"> til pædiatriske patienter er ikke fastlagt ved kliniske forsøg. </w:t>
      </w:r>
    </w:p>
    <w:p w14:paraId="0928EF14" w14:textId="77777777" w:rsidR="00191E23" w:rsidRPr="007C190E" w:rsidRDefault="00191E23" w:rsidP="00191E23">
      <w:pPr>
        <w:ind w:left="851"/>
        <w:rPr>
          <w:sz w:val="24"/>
          <w:szCs w:val="24"/>
          <w:lang w:eastAsia="de-AT"/>
        </w:rPr>
      </w:pPr>
    </w:p>
    <w:p w14:paraId="0268897E" w14:textId="77777777" w:rsidR="00191E23" w:rsidRPr="007C190E" w:rsidRDefault="00191E23" w:rsidP="00191E23">
      <w:pPr>
        <w:ind w:left="851"/>
        <w:rPr>
          <w:b/>
          <w:sz w:val="24"/>
          <w:szCs w:val="24"/>
          <w:lang w:eastAsia="de-AT"/>
        </w:rPr>
      </w:pPr>
      <w:r w:rsidRPr="007C190E">
        <w:rPr>
          <w:b/>
          <w:sz w:val="24"/>
          <w:szCs w:val="24"/>
          <w:lang w:eastAsia="de-AT"/>
        </w:rPr>
        <w:t>Administration</w:t>
      </w:r>
    </w:p>
    <w:p w14:paraId="7F6F553A" w14:textId="77777777" w:rsidR="00191E23" w:rsidRPr="007C190E" w:rsidRDefault="00191E23" w:rsidP="00191E23">
      <w:pPr>
        <w:ind w:left="851"/>
        <w:rPr>
          <w:b/>
          <w:sz w:val="24"/>
          <w:szCs w:val="24"/>
          <w:u w:val="single"/>
          <w:lang w:eastAsia="de-AT"/>
        </w:rPr>
      </w:pPr>
      <w:r w:rsidRPr="007C190E">
        <w:rPr>
          <w:sz w:val="24"/>
          <w:szCs w:val="24"/>
          <w:u w:val="single"/>
          <w:lang w:eastAsia="da-DK"/>
        </w:rPr>
        <w:t>Intravenøs anvendelse</w:t>
      </w:r>
    </w:p>
    <w:p w14:paraId="6D258396" w14:textId="77777777" w:rsidR="00191E23" w:rsidRPr="007C190E" w:rsidRDefault="00191E23" w:rsidP="00191E23">
      <w:pPr>
        <w:ind w:left="851"/>
        <w:rPr>
          <w:sz w:val="24"/>
          <w:szCs w:val="24"/>
          <w:lang w:eastAsia="de-AT"/>
        </w:rPr>
      </w:pPr>
      <w:proofErr w:type="spellStart"/>
      <w:r w:rsidRPr="007C190E">
        <w:rPr>
          <w:sz w:val="24"/>
          <w:szCs w:val="24"/>
          <w:lang w:eastAsia="de-AT"/>
        </w:rPr>
        <w:t>Prothromplex</w:t>
      </w:r>
      <w:proofErr w:type="spellEnd"/>
      <w:r w:rsidRPr="007C190E">
        <w:rPr>
          <w:sz w:val="24"/>
          <w:szCs w:val="24"/>
          <w:lang w:eastAsia="de-AT"/>
        </w:rPr>
        <w:t xml:space="preserve"> skal administreres intravenøst, og det skal ske langsomt. Det anbefales ikke at administrere mere end 2 ml pr. minut (60 IE pr. min.). </w:t>
      </w:r>
    </w:p>
    <w:p w14:paraId="53360974" w14:textId="77777777" w:rsidR="00191E23" w:rsidRPr="007C190E" w:rsidRDefault="00191E23" w:rsidP="00191E23">
      <w:pPr>
        <w:ind w:left="851"/>
        <w:rPr>
          <w:sz w:val="24"/>
          <w:szCs w:val="24"/>
          <w:lang w:eastAsia="de-AT"/>
        </w:rPr>
      </w:pPr>
      <w:r w:rsidRPr="007C190E">
        <w:rPr>
          <w:sz w:val="24"/>
          <w:szCs w:val="24"/>
          <w:lang w:eastAsia="de-AT"/>
        </w:rPr>
        <w:t xml:space="preserve">Se pkt. 6.6 for instruktioner om </w:t>
      </w:r>
      <w:proofErr w:type="spellStart"/>
      <w:r w:rsidRPr="007C190E">
        <w:rPr>
          <w:sz w:val="24"/>
          <w:szCs w:val="24"/>
          <w:lang w:eastAsia="de-AT"/>
        </w:rPr>
        <w:t>rekonstitution</w:t>
      </w:r>
      <w:proofErr w:type="spellEnd"/>
      <w:r w:rsidRPr="007C190E">
        <w:rPr>
          <w:sz w:val="24"/>
          <w:szCs w:val="24"/>
          <w:lang w:eastAsia="de-AT"/>
        </w:rPr>
        <w:t xml:space="preserve"> af lægemidlet inden administration.</w:t>
      </w:r>
    </w:p>
    <w:p w14:paraId="094A031E" w14:textId="77777777" w:rsidR="009260DE" w:rsidRPr="007C190E" w:rsidRDefault="009260DE" w:rsidP="009260DE">
      <w:pPr>
        <w:tabs>
          <w:tab w:val="left" w:pos="851"/>
        </w:tabs>
        <w:ind w:left="851"/>
        <w:rPr>
          <w:sz w:val="24"/>
          <w:szCs w:val="24"/>
        </w:rPr>
      </w:pPr>
    </w:p>
    <w:p w14:paraId="776644F3" w14:textId="77777777" w:rsidR="009260DE" w:rsidRPr="007C190E" w:rsidRDefault="009260DE" w:rsidP="009260DE">
      <w:pPr>
        <w:tabs>
          <w:tab w:val="left" w:pos="851"/>
        </w:tabs>
        <w:ind w:left="851" w:hanging="851"/>
        <w:rPr>
          <w:b/>
          <w:sz w:val="24"/>
          <w:szCs w:val="24"/>
        </w:rPr>
      </w:pPr>
      <w:r w:rsidRPr="007C190E">
        <w:rPr>
          <w:b/>
          <w:sz w:val="24"/>
          <w:szCs w:val="24"/>
        </w:rPr>
        <w:t>4.3</w:t>
      </w:r>
      <w:r w:rsidRPr="007C190E">
        <w:rPr>
          <w:b/>
          <w:sz w:val="24"/>
          <w:szCs w:val="24"/>
        </w:rPr>
        <w:tab/>
        <w:t>Kontraindikationer</w:t>
      </w:r>
    </w:p>
    <w:p w14:paraId="6F68E528" w14:textId="77777777" w:rsidR="00191E23" w:rsidRPr="007C190E" w:rsidRDefault="00191E23" w:rsidP="00191E23">
      <w:pPr>
        <w:numPr>
          <w:ilvl w:val="0"/>
          <w:numId w:val="6"/>
        </w:numPr>
        <w:ind w:left="1134" w:hanging="283"/>
        <w:rPr>
          <w:sz w:val="24"/>
          <w:szCs w:val="24"/>
          <w:lang w:eastAsia="de-AT"/>
        </w:rPr>
      </w:pPr>
      <w:r w:rsidRPr="007C190E">
        <w:rPr>
          <w:sz w:val="24"/>
          <w:szCs w:val="24"/>
          <w:lang w:eastAsia="de-AT"/>
        </w:rPr>
        <w:t>Overfølsomhed over for det aktive stof eller over for et eller flere af hjælpestofferne anført i pkt. 6.1.</w:t>
      </w:r>
    </w:p>
    <w:p w14:paraId="262C2924" w14:textId="77777777" w:rsidR="00191E23" w:rsidRPr="007C190E" w:rsidRDefault="00191E23" w:rsidP="00191E23">
      <w:pPr>
        <w:numPr>
          <w:ilvl w:val="0"/>
          <w:numId w:val="6"/>
        </w:numPr>
        <w:ind w:left="1134" w:hanging="283"/>
        <w:rPr>
          <w:sz w:val="24"/>
          <w:szCs w:val="24"/>
          <w:lang w:eastAsia="de-AT"/>
        </w:rPr>
      </w:pPr>
      <w:r w:rsidRPr="007C190E">
        <w:rPr>
          <w:sz w:val="24"/>
          <w:szCs w:val="24"/>
          <w:lang w:eastAsia="de-AT"/>
        </w:rPr>
        <w:t xml:space="preserve">Kendt allergi over for </w:t>
      </w:r>
      <w:proofErr w:type="spellStart"/>
      <w:r w:rsidRPr="007C190E">
        <w:rPr>
          <w:sz w:val="24"/>
          <w:szCs w:val="24"/>
          <w:lang w:eastAsia="de-AT"/>
        </w:rPr>
        <w:t>heparin</w:t>
      </w:r>
      <w:proofErr w:type="spellEnd"/>
      <w:r w:rsidRPr="007C190E">
        <w:rPr>
          <w:sz w:val="24"/>
          <w:szCs w:val="24"/>
          <w:lang w:eastAsia="de-AT"/>
        </w:rPr>
        <w:t xml:space="preserve"> eller tidligere tilfælde af </w:t>
      </w:r>
      <w:proofErr w:type="spellStart"/>
      <w:r w:rsidRPr="007C190E">
        <w:rPr>
          <w:sz w:val="24"/>
          <w:szCs w:val="24"/>
          <w:lang w:eastAsia="de-AT"/>
        </w:rPr>
        <w:t>heparininduceret</w:t>
      </w:r>
      <w:proofErr w:type="spellEnd"/>
      <w:r w:rsidRPr="007C190E">
        <w:rPr>
          <w:sz w:val="24"/>
          <w:szCs w:val="24"/>
          <w:lang w:eastAsia="de-AT"/>
        </w:rPr>
        <w:t xml:space="preserve"> </w:t>
      </w:r>
      <w:proofErr w:type="spellStart"/>
      <w:r w:rsidRPr="007C190E">
        <w:rPr>
          <w:sz w:val="24"/>
          <w:szCs w:val="24"/>
          <w:lang w:eastAsia="de-AT"/>
        </w:rPr>
        <w:t>trombocytopeni</w:t>
      </w:r>
      <w:proofErr w:type="spellEnd"/>
      <w:r w:rsidRPr="007C190E">
        <w:rPr>
          <w:sz w:val="24"/>
          <w:szCs w:val="24"/>
          <w:lang w:eastAsia="de-AT"/>
        </w:rPr>
        <w:t xml:space="preserve">. </w:t>
      </w:r>
    </w:p>
    <w:p w14:paraId="4DB5A1C6" w14:textId="77777777" w:rsidR="009260DE" w:rsidRPr="007C190E" w:rsidRDefault="009260DE" w:rsidP="009260DE">
      <w:pPr>
        <w:tabs>
          <w:tab w:val="left" w:pos="851"/>
        </w:tabs>
        <w:ind w:left="851"/>
        <w:rPr>
          <w:sz w:val="24"/>
          <w:szCs w:val="24"/>
        </w:rPr>
      </w:pPr>
    </w:p>
    <w:p w14:paraId="4C0C0E62" w14:textId="77777777" w:rsidR="009260DE" w:rsidRPr="007C190E" w:rsidRDefault="009260DE" w:rsidP="009260DE">
      <w:pPr>
        <w:tabs>
          <w:tab w:val="left" w:pos="851"/>
        </w:tabs>
        <w:ind w:left="851" w:hanging="851"/>
        <w:rPr>
          <w:b/>
          <w:sz w:val="24"/>
          <w:szCs w:val="24"/>
        </w:rPr>
      </w:pPr>
      <w:r w:rsidRPr="007C190E">
        <w:rPr>
          <w:b/>
          <w:sz w:val="24"/>
          <w:szCs w:val="24"/>
        </w:rPr>
        <w:t>4.4</w:t>
      </w:r>
      <w:r w:rsidRPr="007C190E">
        <w:rPr>
          <w:b/>
          <w:sz w:val="24"/>
          <w:szCs w:val="24"/>
        </w:rPr>
        <w:tab/>
        <w:t>Særlige advarsler og forsigtighedsregler vedrørende brugen</w:t>
      </w:r>
    </w:p>
    <w:p w14:paraId="4CC7380E" w14:textId="77777777" w:rsidR="007C190E" w:rsidRPr="007C190E" w:rsidRDefault="007C190E" w:rsidP="00191E23">
      <w:pPr>
        <w:tabs>
          <w:tab w:val="left" w:pos="851"/>
        </w:tabs>
        <w:ind w:left="851" w:hanging="5"/>
        <w:rPr>
          <w:sz w:val="24"/>
          <w:szCs w:val="24"/>
          <w:u w:val="single"/>
        </w:rPr>
      </w:pPr>
    </w:p>
    <w:p w14:paraId="5F85B1B9" w14:textId="51BCA308" w:rsidR="00191E23" w:rsidRPr="007C190E" w:rsidRDefault="00191E23" w:rsidP="00191E23">
      <w:pPr>
        <w:tabs>
          <w:tab w:val="left" w:pos="851"/>
        </w:tabs>
        <w:ind w:left="851" w:hanging="5"/>
        <w:rPr>
          <w:sz w:val="24"/>
          <w:szCs w:val="24"/>
          <w:u w:val="single"/>
        </w:rPr>
      </w:pPr>
      <w:r w:rsidRPr="007C190E">
        <w:rPr>
          <w:sz w:val="24"/>
          <w:szCs w:val="24"/>
          <w:u w:val="single"/>
        </w:rPr>
        <w:t>Sporbarhed</w:t>
      </w:r>
    </w:p>
    <w:p w14:paraId="26FFDCC0" w14:textId="77777777" w:rsidR="00191E23" w:rsidRPr="007C190E" w:rsidRDefault="00191E23" w:rsidP="00191E23">
      <w:pPr>
        <w:ind w:left="851"/>
        <w:rPr>
          <w:sz w:val="24"/>
          <w:szCs w:val="24"/>
        </w:rPr>
      </w:pPr>
      <w:r w:rsidRPr="007C190E">
        <w:rPr>
          <w:sz w:val="24"/>
          <w:szCs w:val="24"/>
        </w:rPr>
        <w:t>For at forbedre sporbarheden af biologiske lægemidler skal det administrerede produkts navn og batchnummer tydeligt registreres.</w:t>
      </w:r>
    </w:p>
    <w:p w14:paraId="40C483B9" w14:textId="77777777" w:rsidR="00191E23" w:rsidRPr="007C190E" w:rsidRDefault="00191E23" w:rsidP="00191E23">
      <w:pPr>
        <w:ind w:left="851"/>
        <w:rPr>
          <w:sz w:val="24"/>
          <w:szCs w:val="24"/>
          <w:lang w:eastAsia="de-AT"/>
        </w:rPr>
      </w:pPr>
    </w:p>
    <w:p w14:paraId="4DFE1F1B" w14:textId="77777777" w:rsidR="00191E23" w:rsidRPr="007C190E" w:rsidRDefault="00191E23" w:rsidP="00191E23">
      <w:pPr>
        <w:ind w:left="851"/>
        <w:rPr>
          <w:sz w:val="24"/>
          <w:szCs w:val="24"/>
          <w:lang w:eastAsia="de-AT"/>
        </w:rPr>
      </w:pPr>
      <w:r w:rsidRPr="007C190E">
        <w:rPr>
          <w:sz w:val="24"/>
          <w:szCs w:val="24"/>
          <w:lang w:eastAsia="de-AT"/>
        </w:rPr>
        <w:t>En specialist med erfaring i behandling af koagulationsforstyrrelser skal spørges til råds.</w:t>
      </w:r>
    </w:p>
    <w:p w14:paraId="28FC32EA" w14:textId="77777777" w:rsidR="00191E23" w:rsidRPr="007C190E" w:rsidRDefault="00191E23" w:rsidP="00191E23">
      <w:pPr>
        <w:ind w:left="851"/>
        <w:rPr>
          <w:sz w:val="24"/>
          <w:szCs w:val="24"/>
          <w:lang w:eastAsia="de-AT"/>
        </w:rPr>
      </w:pPr>
    </w:p>
    <w:p w14:paraId="6E3A0842" w14:textId="77777777" w:rsidR="00191E23" w:rsidRPr="007C190E" w:rsidRDefault="00191E23" w:rsidP="00191E23">
      <w:pPr>
        <w:ind w:left="851"/>
        <w:rPr>
          <w:sz w:val="24"/>
          <w:szCs w:val="24"/>
          <w:lang w:eastAsia="de-AT"/>
        </w:rPr>
      </w:pPr>
      <w:r w:rsidRPr="007C190E">
        <w:rPr>
          <w:sz w:val="24"/>
          <w:szCs w:val="24"/>
          <w:lang w:eastAsia="de-AT"/>
        </w:rPr>
        <w:t xml:space="preserve">Hos patienter med erhvervet mangel på vitamin K-afhængige koagulationsfaktorer (f.eks. induceret af behandling med vitamin K-antagonister) må </w:t>
      </w:r>
      <w:proofErr w:type="spellStart"/>
      <w:r w:rsidRPr="007C190E">
        <w:rPr>
          <w:sz w:val="24"/>
          <w:szCs w:val="24"/>
          <w:lang w:eastAsia="de-AT"/>
        </w:rPr>
        <w:t>Prothromplex</w:t>
      </w:r>
      <w:proofErr w:type="spellEnd"/>
      <w:r w:rsidRPr="007C190E">
        <w:rPr>
          <w:sz w:val="24"/>
          <w:szCs w:val="24"/>
          <w:lang w:eastAsia="de-AT"/>
        </w:rPr>
        <w:t xml:space="preserve"> kun anvendes, når hurtig korrektion af </w:t>
      </w:r>
      <w:proofErr w:type="spellStart"/>
      <w:r w:rsidRPr="007C190E">
        <w:rPr>
          <w:sz w:val="24"/>
          <w:szCs w:val="24"/>
          <w:lang w:eastAsia="de-AT"/>
        </w:rPr>
        <w:t>protrombinkompleksniveauet</w:t>
      </w:r>
      <w:proofErr w:type="spellEnd"/>
      <w:r w:rsidRPr="007C190E">
        <w:rPr>
          <w:sz w:val="24"/>
          <w:szCs w:val="24"/>
          <w:lang w:eastAsia="de-AT"/>
        </w:rPr>
        <w:t xml:space="preserve"> er påkrævet, som ved en større blødning eller et akut kirurgisk indgreb. I andre tilfælde er det sædvanligvis tilstrækkeligt at nedsætte dosen af vitamin K-antagonisten og/eller administrere vitamin K. </w:t>
      </w:r>
    </w:p>
    <w:p w14:paraId="435BB03B" w14:textId="77777777" w:rsidR="00191E23" w:rsidRPr="007C190E" w:rsidRDefault="00191E23" w:rsidP="00191E23">
      <w:pPr>
        <w:ind w:left="851"/>
        <w:rPr>
          <w:sz w:val="24"/>
          <w:szCs w:val="24"/>
          <w:lang w:eastAsia="de-AT"/>
        </w:rPr>
      </w:pPr>
    </w:p>
    <w:p w14:paraId="2F84A2C6" w14:textId="77777777" w:rsidR="00191E23" w:rsidRPr="007C190E" w:rsidRDefault="00191E23" w:rsidP="00191E23">
      <w:pPr>
        <w:ind w:left="851"/>
        <w:rPr>
          <w:sz w:val="24"/>
          <w:szCs w:val="24"/>
          <w:lang w:eastAsia="de-AT"/>
        </w:rPr>
      </w:pPr>
      <w:r w:rsidRPr="007C190E">
        <w:rPr>
          <w:sz w:val="24"/>
          <w:szCs w:val="24"/>
          <w:lang w:eastAsia="de-AT"/>
        </w:rPr>
        <w:lastRenderedPageBreak/>
        <w:t xml:space="preserve">Patienter, der får en vitamin K-antagonist, kan have underliggende </w:t>
      </w:r>
      <w:proofErr w:type="spellStart"/>
      <w:r w:rsidRPr="007C190E">
        <w:rPr>
          <w:sz w:val="24"/>
          <w:szCs w:val="24"/>
          <w:lang w:eastAsia="de-AT"/>
        </w:rPr>
        <w:t>hyperkoagulabilitet</w:t>
      </w:r>
      <w:proofErr w:type="spellEnd"/>
      <w:r w:rsidRPr="007C190E">
        <w:rPr>
          <w:sz w:val="24"/>
          <w:szCs w:val="24"/>
          <w:lang w:eastAsia="de-AT"/>
        </w:rPr>
        <w:t xml:space="preserve">, og infusion med humant </w:t>
      </w:r>
      <w:proofErr w:type="spellStart"/>
      <w:r w:rsidRPr="007C190E">
        <w:rPr>
          <w:sz w:val="24"/>
          <w:szCs w:val="24"/>
          <w:lang w:eastAsia="de-AT"/>
        </w:rPr>
        <w:t>protrombinkompleks</w:t>
      </w:r>
      <w:proofErr w:type="spellEnd"/>
      <w:r w:rsidRPr="007C190E">
        <w:rPr>
          <w:sz w:val="24"/>
          <w:szCs w:val="24"/>
          <w:lang w:eastAsia="de-AT"/>
        </w:rPr>
        <w:t xml:space="preserve"> kan forværre denne tilstand.</w:t>
      </w:r>
    </w:p>
    <w:p w14:paraId="0E654985" w14:textId="77777777" w:rsidR="00191E23" w:rsidRPr="007C190E" w:rsidRDefault="00191E23" w:rsidP="00191E23">
      <w:pPr>
        <w:ind w:left="851"/>
        <w:rPr>
          <w:sz w:val="24"/>
          <w:szCs w:val="24"/>
          <w:lang w:eastAsia="de-AT"/>
        </w:rPr>
      </w:pPr>
    </w:p>
    <w:p w14:paraId="5EC220A5" w14:textId="77777777" w:rsidR="00191E23" w:rsidRPr="007C190E" w:rsidRDefault="00191E23" w:rsidP="00191E23">
      <w:pPr>
        <w:ind w:left="851"/>
        <w:rPr>
          <w:sz w:val="24"/>
          <w:szCs w:val="24"/>
          <w:lang w:eastAsia="de-AT"/>
        </w:rPr>
      </w:pPr>
      <w:r w:rsidRPr="007C190E">
        <w:rPr>
          <w:sz w:val="24"/>
          <w:szCs w:val="24"/>
          <w:lang w:eastAsia="de-AT"/>
        </w:rPr>
        <w:t xml:space="preserve">Ved medfødt mangel på en hvilken som helst af de vitamin K-afhængige koagulationsfaktorer, skal der anvendes et specifikt koagulationsfaktorprodukt, når dette er til rådighed. </w:t>
      </w:r>
    </w:p>
    <w:p w14:paraId="586B5606" w14:textId="77777777" w:rsidR="00191E23" w:rsidRPr="007C190E" w:rsidRDefault="00191E23" w:rsidP="00191E23">
      <w:pPr>
        <w:ind w:left="851"/>
        <w:rPr>
          <w:sz w:val="24"/>
          <w:szCs w:val="24"/>
          <w:lang w:eastAsia="de-AT"/>
        </w:rPr>
      </w:pPr>
    </w:p>
    <w:p w14:paraId="28CFF63A" w14:textId="77777777" w:rsidR="00191E23" w:rsidRPr="007C190E" w:rsidRDefault="00191E23" w:rsidP="00191E23">
      <w:pPr>
        <w:ind w:left="851"/>
        <w:rPr>
          <w:bCs/>
          <w:sz w:val="24"/>
          <w:szCs w:val="24"/>
          <w:lang w:eastAsia="fr-FR"/>
        </w:rPr>
      </w:pPr>
      <w:r w:rsidRPr="007C190E">
        <w:rPr>
          <w:bCs/>
          <w:sz w:val="24"/>
          <w:szCs w:val="24"/>
          <w:lang w:eastAsia="de-AT"/>
        </w:rPr>
        <w:t xml:space="preserve">Allergiske overfølsomhedsreaktioner, herunder </w:t>
      </w:r>
      <w:proofErr w:type="spellStart"/>
      <w:r w:rsidRPr="007C190E">
        <w:rPr>
          <w:bCs/>
          <w:sz w:val="24"/>
          <w:szCs w:val="24"/>
          <w:lang w:eastAsia="de-AT"/>
        </w:rPr>
        <w:t>anafylaktiske</w:t>
      </w:r>
      <w:proofErr w:type="spellEnd"/>
      <w:r w:rsidRPr="007C190E">
        <w:rPr>
          <w:bCs/>
          <w:sz w:val="24"/>
          <w:szCs w:val="24"/>
          <w:lang w:eastAsia="de-AT"/>
        </w:rPr>
        <w:t xml:space="preserve"> reaktioner og </w:t>
      </w:r>
      <w:proofErr w:type="spellStart"/>
      <w:r w:rsidRPr="007C190E">
        <w:rPr>
          <w:bCs/>
          <w:sz w:val="24"/>
          <w:szCs w:val="24"/>
          <w:lang w:eastAsia="de-AT"/>
        </w:rPr>
        <w:t>anafylaktisk</w:t>
      </w:r>
      <w:proofErr w:type="spellEnd"/>
      <w:r w:rsidRPr="007C190E">
        <w:rPr>
          <w:bCs/>
          <w:sz w:val="24"/>
          <w:szCs w:val="24"/>
          <w:lang w:eastAsia="de-AT"/>
        </w:rPr>
        <w:t xml:space="preserve"> </w:t>
      </w:r>
      <w:proofErr w:type="spellStart"/>
      <w:r w:rsidRPr="007C190E">
        <w:rPr>
          <w:bCs/>
          <w:sz w:val="24"/>
          <w:szCs w:val="24"/>
          <w:lang w:eastAsia="de-AT"/>
        </w:rPr>
        <w:t>shock</w:t>
      </w:r>
      <w:proofErr w:type="spellEnd"/>
      <w:r w:rsidRPr="007C190E">
        <w:rPr>
          <w:bCs/>
          <w:sz w:val="24"/>
          <w:szCs w:val="24"/>
          <w:lang w:eastAsia="de-AT"/>
        </w:rPr>
        <w:t xml:space="preserve"> er set med </w:t>
      </w:r>
      <w:proofErr w:type="spellStart"/>
      <w:r w:rsidRPr="007C190E">
        <w:rPr>
          <w:bCs/>
          <w:sz w:val="24"/>
          <w:szCs w:val="24"/>
          <w:lang w:eastAsia="de-AT"/>
        </w:rPr>
        <w:t>Prothromplex</w:t>
      </w:r>
      <w:proofErr w:type="spellEnd"/>
      <w:r w:rsidRPr="007C190E">
        <w:rPr>
          <w:bCs/>
          <w:sz w:val="24"/>
          <w:szCs w:val="24"/>
          <w:lang w:eastAsia="de-AT"/>
        </w:rPr>
        <w:t>.</w:t>
      </w:r>
    </w:p>
    <w:p w14:paraId="4D25E4F0" w14:textId="77777777" w:rsidR="00191E23" w:rsidRPr="007C190E" w:rsidRDefault="00191E23" w:rsidP="00191E23">
      <w:pPr>
        <w:ind w:left="851"/>
        <w:rPr>
          <w:sz w:val="24"/>
          <w:szCs w:val="24"/>
          <w:lang w:eastAsia="de-AT"/>
        </w:rPr>
      </w:pPr>
    </w:p>
    <w:p w14:paraId="41CCAB2C" w14:textId="77777777" w:rsidR="00191E23" w:rsidRPr="007C190E" w:rsidRDefault="00191E23" w:rsidP="00191E23">
      <w:pPr>
        <w:ind w:left="851"/>
        <w:rPr>
          <w:sz w:val="24"/>
          <w:szCs w:val="24"/>
          <w:lang w:eastAsia="de-AT"/>
        </w:rPr>
      </w:pPr>
      <w:r w:rsidRPr="007C190E">
        <w:rPr>
          <w:sz w:val="24"/>
          <w:szCs w:val="24"/>
          <w:lang w:eastAsia="de-AT"/>
        </w:rPr>
        <w:t xml:space="preserve">Hvis allergiske reaktioner eller reaktioner af anafylaksitypen opstår, skal injektionen/infusionen straks stoppes. I tilfælde af </w:t>
      </w:r>
      <w:proofErr w:type="spellStart"/>
      <w:r w:rsidRPr="007C190E">
        <w:rPr>
          <w:sz w:val="24"/>
          <w:szCs w:val="24"/>
          <w:lang w:eastAsia="de-AT"/>
        </w:rPr>
        <w:t>shock</w:t>
      </w:r>
      <w:proofErr w:type="spellEnd"/>
      <w:r w:rsidRPr="007C190E">
        <w:rPr>
          <w:sz w:val="24"/>
          <w:szCs w:val="24"/>
          <w:lang w:eastAsia="de-AT"/>
        </w:rPr>
        <w:t xml:space="preserve"> skal gældende medicinsk standard for </w:t>
      </w:r>
      <w:proofErr w:type="spellStart"/>
      <w:r w:rsidRPr="007C190E">
        <w:rPr>
          <w:sz w:val="24"/>
          <w:szCs w:val="24"/>
          <w:lang w:eastAsia="de-AT"/>
        </w:rPr>
        <w:t>shockbehandling</w:t>
      </w:r>
      <w:proofErr w:type="spellEnd"/>
      <w:r w:rsidRPr="007C190E">
        <w:rPr>
          <w:sz w:val="24"/>
          <w:szCs w:val="24"/>
          <w:lang w:eastAsia="de-AT"/>
        </w:rPr>
        <w:t xml:space="preserve"> iværksættes.</w:t>
      </w:r>
    </w:p>
    <w:p w14:paraId="63CF849C" w14:textId="77777777" w:rsidR="00191E23" w:rsidRPr="007C190E" w:rsidRDefault="00191E23" w:rsidP="00191E23">
      <w:pPr>
        <w:ind w:left="851"/>
        <w:rPr>
          <w:sz w:val="24"/>
          <w:szCs w:val="24"/>
          <w:lang w:eastAsia="de-AT"/>
        </w:rPr>
      </w:pPr>
    </w:p>
    <w:p w14:paraId="2B1F3568" w14:textId="77777777" w:rsidR="00191E23" w:rsidRPr="007C190E" w:rsidRDefault="00191E23" w:rsidP="00191E23">
      <w:pPr>
        <w:tabs>
          <w:tab w:val="left" w:pos="1260"/>
        </w:tabs>
        <w:ind w:left="851"/>
        <w:rPr>
          <w:i/>
          <w:sz w:val="24"/>
          <w:szCs w:val="24"/>
        </w:rPr>
      </w:pPr>
      <w:proofErr w:type="spellStart"/>
      <w:r w:rsidRPr="007C190E">
        <w:rPr>
          <w:i/>
          <w:sz w:val="24"/>
          <w:szCs w:val="24"/>
        </w:rPr>
        <w:t>Tromboemboli</w:t>
      </w:r>
      <w:proofErr w:type="spellEnd"/>
      <w:r w:rsidRPr="007C190E">
        <w:rPr>
          <w:i/>
          <w:sz w:val="24"/>
          <w:szCs w:val="24"/>
        </w:rPr>
        <w:t xml:space="preserve">, DIC, </w:t>
      </w:r>
      <w:proofErr w:type="spellStart"/>
      <w:r w:rsidRPr="007C190E">
        <w:rPr>
          <w:i/>
          <w:sz w:val="24"/>
          <w:szCs w:val="24"/>
        </w:rPr>
        <w:t>fibrinolyse</w:t>
      </w:r>
      <w:proofErr w:type="spellEnd"/>
    </w:p>
    <w:p w14:paraId="67509D5D" w14:textId="36A92076" w:rsidR="00191E23" w:rsidRPr="007C190E" w:rsidRDefault="00191E23" w:rsidP="00191E23">
      <w:pPr>
        <w:ind w:left="851"/>
        <w:rPr>
          <w:sz w:val="24"/>
          <w:szCs w:val="24"/>
          <w:lang w:eastAsia="de-AT"/>
        </w:rPr>
      </w:pPr>
      <w:r w:rsidRPr="007C190E">
        <w:rPr>
          <w:sz w:val="24"/>
          <w:szCs w:val="24"/>
          <w:lang w:eastAsia="de-AT"/>
        </w:rPr>
        <w:t xml:space="preserve">Der er risiko for trombose og dissemineret </w:t>
      </w:r>
      <w:proofErr w:type="spellStart"/>
      <w:r w:rsidRPr="007C190E">
        <w:rPr>
          <w:sz w:val="24"/>
          <w:szCs w:val="24"/>
          <w:lang w:eastAsia="de-AT"/>
        </w:rPr>
        <w:t>intravaskulær</w:t>
      </w:r>
      <w:proofErr w:type="spellEnd"/>
      <w:r w:rsidRPr="007C190E">
        <w:rPr>
          <w:sz w:val="24"/>
          <w:szCs w:val="24"/>
          <w:lang w:eastAsia="de-AT"/>
        </w:rPr>
        <w:t xml:space="preserve"> koagulation (DIC), når patienter med enten medfødt eller erhvervet mangel behandles med humane </w:t>
      </w:r>
      <w:proofErr w:type="spellStart"/>
      <w:r w:rsidRPr="007C190E">
        <w:rPr>
          <w:sz w:val="24"/>
          <w:szCs w:val="24"/>
          <w:lang w:eastAsia="de-AT"/>
        </w:rPr>
        <w:t>protrombinkompleks</w:t>
      </w:r>
      <w:r w:rsidR="00B5420C">
        <w:rPr>
          <w:sz w:val="24"/>
          <w:szCs w:val="24"/>
          <w:lang w:eastAsia="de-AT"/>
        </w:rPr>
        <w:softHyphen/>
      </w:r>
      <w:r w:rsidRPr="007C190E">
        <w:rPr>
          <w:sz w:val="24"/>
          <w:szCs w:val="24"/>
          <w:lang w:eastAsia="de-AT"/>
        </w:rPr>
        <w:t>koncentrater</w:t>
      </w:r>
      <w:proofErr w:type="spellEnd"/>
      <w:r w:rsidRPr="007C190E">
        <w:rPr>
          <w:sz w:val="24"/>
          <w:szCs w:val="24"/>
          <w:lang w:eastAsia="de-AT"/>
        </w:rPr>
        <w:t xml:space="preserve">, herunder </w:t>
      </w:r>
      <w:proofErr w:type="spellStart"/>
      <w:r w:rsidRPr="007C190E">
        <w:rPr>
          <w:sz w:val="24"/>
          <w:szCs w:val="24"/>
          <w:lang w:eastAsia="de-AT"/>
        </w:rPr>
        <w:t>Prothromplex</w:t>
      </w:r>
      <w:proofErr w:type="spellEnd"/>
      <w:r w:rsidRPr="007C190E">
        <w:rPr>
          <w:sz w:val="24"/>
          <w:szCs w:val="24"/>
          <w:lang w:eastAsia="de-AT"/>
        </w:rPr>
        <w:t xml:space="preserve">, især ved gentagne doser. </w:t>
      </w:r>
    </w:p>
    <w:p w14:paraId="1AB1D6AC" w14:textId="77777777" w:rsidR="00191E23" w:rsidRPr="007C190E" w:rsidRDefault="00191E23" w:rsidP="00191E23">
      <w:pPr>
        <w:ind w:left="851"/>
        <w:rPr>
          <w:sz w:val="24"/>
          <w:szCs w:val="24"/>
          <w:lang w:eastAsia="de-AT"/>
        </w:rPr>
      </w:pPr>
    </w:p>
    <w:p w14:paraId="33854ED0" w14:textId="77777777" w:rsidR="00191E23" w:rsidRPr="007C190E" w:rsidRDefault="00191E23" w:rsidP="00191E23">
      <w:pPr>
        <w:autoSpaceDE w:val="0"/>
        <w:autoSpaceDN w:val="0"/>
        <w:adjustRightInd w:val="0"/>
        <w:ind w:left="851"/>
        <w:rPr>
          <w:sz w:val="24"/>
          <w:szCs w:val="24"/>
          <w:lang w:eastAsia="de-AT"/>
        </w:rPr>
      </w:pPr>
      <w:r w:rsidRPr="007C190E">
        <w:rPr>
          <w:sz w:val="24"/>
          <w:szCs w:val="24"/>
          <w:lang w:eastAsia="de-AT"/>
        </w:rPr>
        <w:t xml:space="preserve">Arterielle og venøse </w:t>
      </w:r>
      <w:proofErr w:type="spellStart"/>
      <w:r w:rsidRPr="007C190E">
        <w:rPr>
          <w:sz w:val="24"/>
          <w:szCs w:val="24"/>
          <w:lang w:eastAsia="de-AT"/>
        </w:rPr>
        <w:t>tromboemboliske</w:t>
      </w:r>
      <w:proofErr w:type="spellEnd"/>
      <w:r w:rsidRPr="007C190E">
        <w:rPr>
          <w:sz w:val="24"/>
          <w:szCs w:val="24"/>
          <w:lang w:eastAsia="de-AT"/>
        </w:rPr>
        <w:t xml:space="preserve"> hændelser, herunder myokardieinfarkt, </w:t>
      </w:r>
      <w:proofErr w:type="spellStart"/>
      <w:r w:rsidRPr="007C190E">
        <w:rPr>
          <w:sz w:val="24"/>
          <w:szCs w:val="24"/>
          <w:lang w:eastAsia="de-AT"/>
        </w:rPr>
        <w:t>cerebrovaskulære</w:t>
      </w:r>
      <w:proofErr w:type="spellEnd"/>
      <w:r w:rsidRPr="007C190E">
        <w:rPr>
          <w:sz w:val="24"/>
          <w:szCs w:val="24"/>
          <w:lang w:eastAsia="de-AT"/>
        </w:rPr>
        <w:t xml:space="preserve"> hændelser (f.eks. slagtilfælde), </w:t>
      </w:r>
      <w:proofErr w:type="spellStart"/>
      <w:r w:rsidRPr="007C190E">
        <w:rPr>
          <w:sz w:val="24"/>
          <w:szCs w:val="24"/>
          <w:lang w:eastAsia="de-AT"/>
        </w:rPr>
        <w:t>lungeemboli</w:t>
      </w:r>
      <w:proofErr w:type="spellEnd"/>
      <w:r w:rsidRPr="007C190E">
        <w:rPr>
          <w:sz w:val="24"/>
          <w:szCs w:val="24"/>
          <w:lang w:eastAsia="de-AT"/>
        </w:rPr>
        <w:t xml:space="preserve"> samt DIC, er set med </w:t>
      </w:r>
      <w:proofErr w:type="spellStart"/>
      <w:r w:rsidRPr="007C190E">
        <w:rPr>
          <w:sz w:val="24"/>
          <w:szCs w:val="24"/>
          <w:lang w:eastAsia="de-AT"/>
        </w:rPr>
        <w:t>Prothromplex</w:t>
      </w:r>
      <w:proofErr w:type="spellEnd"/>
      <w:r w:rsidRPr="007C190E">
        <w:rPr>
          <w:sz w:val="24"/>
          <w:szCs w:val="24"/>
          <w:lang w:eastAsia="de-AT"/>
        </w:rPr>
        <w:t>.</w:t>
      </w:r>
    </w:p>
    <w:p w14:paraId="1C2D6299" w14:textId="77777777" w:rsidR="00191E23" w:rsidRPr="007C190E" w:rsidRDefault="00191E23" w:rsidP="00191E23">
      <w:pPr>
        <w:ind w:left="851"/>
        <w:rPr>
          <w:sz w:val="24"/>
          <w:szCs w:val="24"/>
          <w:lang w:eastAsia="de-AT"/>
        </w:rPr>
      </w:pPr>
    </w:p>
    <w:p w14:paraId="142C43AD" w14:textId="77777777" w:rsidR="00191E23" w:rsidRPr="007C190E" w:rsidRDefault="00191E23" w:rsidP="00191E23">
      <w:pPr>
        <w:ind w:left="851"/>
        <w:rPr>
          <w:sz w:val="24"/>
          <w:szCs w:val="24"/>
          <w:lang w:eastAsia="de-AT"/>
        </w:rPr>
      </w:pPr>
      <w:r w:rsidRPr="007C190E">
        <w:rPr>
          <w:sz w:val="24"/>
          <w:szCs w:val="24"/>
          <w:lang w:eastAsia="de-AT"/>
        </w:rPr>
        <w:t xml:space="preserve">Risikoen kan være højere ved behandling af mangel på faktor </w:t>
      </w:r>
      <w:smartTag w:uri="urn:schemas-microsoft-com:office:smarttags" w:element="stockticker">
        <w:r w:rsidRPr="007C190E">
          <w:rPr>
            <w:sz w:val="24"/>
            <w:szCs w:val="24"/>
            <w:lang w:eastAsia="de-AT"/>
          </w:rPr>
          <w:t>VII</w:t>
        </w:r>
      </w:smartTag>
      <w:r w:rsidRPr="007C190E">
        <w:rPr>
          <w:sz w:val="24"/>
          <w:szCs w:val="24"/>
          <w:lang w:eastAsia="de-AT"/>
        </w:rPr>
        <w:t xml:space="preserve"> alene, da de andre vitamin K-afhængige koagulationsfaktorer, der har længere halveringstid, kan akkumuleres til niveauer, der er betydeligt højere end normalt. </w:t>
      </w:r>
    </w:p>
    <w:p w14:paraId="012D1141" w14:textId="77777777" w:rsidR="00191E23" w:rsidRPr="007C190E" w:rsidRDefault="00191E23" w:rsidP="00191E23">
      <w:pPr>
        <w:ind w:left="851"/>
        <w:rPr>
          <w:sz w:val="24"/>
          <w:szCs w:val="24"/>
          <w:lang w:eastAsia="de-AT"/>
        </w:rPr>
      </w:pPr>
      <w:r w:rsidRPr="007C190E">
        <w:rPr>
          <w:sz w:val="24"/>
          <w:szCs w:val="24"/>
          <w:lang w:eastAsia="de-AT"/>
        </w:rPr>
        <w:t xml:space="preserve">Patienter, der får humant </w:t>
      </w:r>
      <w:proofErr w:type="spellStart"/>
      <w:r w:rsidRPr="007C190E">
        <w:rPr>
          <w:sz w:val="24"/>
          <w:szCs w:val="24"/>
          <w:lang w:eastAsia="de-AT"/>
        </w:rPr>
        <w:t>protrombinkomplekskoncentrat</w:t>
      </w:r>
      <w:proofErr w:type="spellEnd"/>
      <w:r w:rsidRPr="007C190E">
        <w:rPr>
          <w:sz w:val="24"/>
          <w:szCs w:val="24"/>
          <w:lang w:eastAsia="de-AT"/>
        </w:rPr>
        <w:t xml:space="preserve">, skal observeres nøje for tegn og symptomer på </w:t>
      </w:r>
      <w:proofErr w:type="spellStart"/>
      <w:r w:rsidRPr="007C190E">
        <w:rPr>
          <w:sz w:val="24"/>
          <w:szCs w:val="24"/>
          <w:lang w:eastAsia="de-AT"/>
        </w:rPr>
        <w:t>intravaskulær</w:t>
      </w:r>
      <w:proofErr w:type="spellEnd"/>
      <w:r w:rsidRPr="007C190E">
        <w:rPr>
          <w:sz w:val="24"/>
          <w:szCs w:val="24"/>
          <w:lang w:eastAsia="de-AT"/>
        </w:rPr>
        <w:t xml:space="preserve"> koagulation eller trombose. På grund af risikoen for </w:t>
      </w:r>
      <w:proofErr w:type="spellStart"/>
      <w:r w:rsidRPr="007C190E">
        <w:rPr>
          <w:sz w:val="24"/>
          <w:szCs w:val="24"/>
          <w:lang w:eastAsia="de-AT"/>
        </w:rPr>
        <w:t>tromboemboliske</w:t>
      </w:r>
      <w:proofErr w:type="spellEnd"/>
      <w:r w:rsidRPr="007C190E">
        <w:rPr>
          <w:sz w:val="24"/>
          <w:szCs w:val="24"/>
          <w:lang w:eastAsia="de-AT"/>
        </w:rPr>
        <w:t xml:space="preserve"> komplikationer, skal monitoreringen være særligt omhyggelig, når </w:t>
      </w:r>
      <w:proofErr w:type="spellStart"/>
      <w:r w:rsidRPr="007C190E">
        <w:rPr>
          <w:sz w:val="24"/>
          <w:szCs w:val="24"/>
          <w:lang w:eastAsia="de-AT"/>
        </w:rPr>
        <w:t>protrombinkomplekskoncentrater</w:t>
      </w:r>
      <w:proofErr w:type="spellEnd"/>
      <w:r w:rsidRPr="007C190E">
        <w:rPr>
          <w:sz w:val="24"/>
          <w:szCs w:val="24"/>
          <w:lang w:eastAsia="de-AT"/>
        </w:rPr>
        <w:t xml:space="preserve"> administreres til: </w:t>
      </w:r>
    </w:p>
    <w:p w14:paraId="38FB9014" w14:textId="77777777" w:rsidR="00191E23" w:rsidRPr="007C190E" w:rsidRDefault="00191E23" w:rsidP="00191E23">
      <w:pPr>
        <w:numPr>
          <w:ilvl w:val="0"/>
          <w:numId w:val="7"/>
        </w:numPr>
        <w:ind w:left="1134" w:hanging="283"/>
        <w:rPr>
          <w:sz w:val="24"/>
          <w:szCs w:val="24"/>
          <w:lang w:eastAsia="de-AT"/>
        </w:rPr>
      </w:pPr>
      <w:r w:rsidRPr="007C190E">
        <w:rPr>
          <w:sz w:val="24"/>
          <w:szCs w:val="24"/>
          <w:lang w:eastAsia="de-AT"/>
        </w:rPr>
        <w:t xml:space="preserve">patienter med koronararteriesygdom i anamnesen </w:t>
      </w:r>
    </w:p>
    <w:p w14:paraId="25D32237" w14:textId="77777777" w:rsidR="00191E23" w:rsidRPr="007C190E" w:rsidRDefault="00191E23" w:rsidP="00191E23">
      <w:pPr>
        <w:numPr>
          <w:ilvl w:val="0"/>
          <w:numId w:val="7"/>
        </w:numPr>
        <w:ind w:left="1134" w:hanging="283"/>
        <w:rPr>
          <w:sz w:val="24"/>
          <w:szCs w:val="24"/>
          <w:lang w:eastAsia="de-AT"/>
        </w:rPr>
      </w:pPr>
      <w:r w:rsidRPr="007C190E">
        <w:rPr>
          <w:sz w:val="24"/>
          <w:szCs w:val="24"/>
          <w:lang w:eastAsia="de-AT"/>
        </w:rPr>
        <w:t xml:space="preserve">patienter med en leversygdom </w:t>
      </w:r>
    </w:p>
    <w:p w14:paraId="2FD459D8" w14:textId="77777777" w:rsidR="00191E23" w:rsidRPr="007C190E" w:rsidRDefault="00191E23" w:rsidP="00191E23">
      <w:pPr>
        <w:numPr>
          <w:ilvl w:val="0"/>
          <w:numId w:val="7"/>
        </w:numPr>
        <w:ind w:left="1134" w:hanging="283"/>
        <w:rPr>
          <w:sz w:val="24"/>
          <w:szCs w:val="24"/>
          <w:lang w:eastAsia="de-AT"/>
        </w:rPr>
      </w:pPr>
      <w:r w:rsidRPr="007C190E">
        <w:rPr>
          <w:sz w:val="24"/>
          <w:szCs w:val="24"/>
          <w:lang w:eastAsia="de-AT"/>
        </w:rPr>
        <w:t xml:space="preserve">præ- eller postoperative patienter </w:t>
      </w:r>
    </w:p>
    <w:p w14:paraId="00878059" w14:textId="77777777" w:rsidR="00191E23" w:rsidRPr="007C190E" w:rsidRDefault="00191E23" w:rsidP="00191E23">
      <w:pPr>
        <w:numPr>
          <w:ilvl w:val="0"/>
          <w:numId w:val="7"/>
        </w:numPr>
        <w:ind w:left="1134" w:hanging="283"/>
        <w:rPr>
          <w:sz w:val="24"/>
          <w:szCs w:val="24"/>
          <w:lang w:eastAsia="de-AT"/>
        </w:rPr>
      </w:pPr>
      <w:r w:rsidRPr="007C190E">
        <w:rPr>
          <w:sz w:val="24"/>
          <w:szCs w:val="24"/>
          <w:lang w:eastAsia="de-AT"/>
        </w:rPr>
        <w:t xml:space="preserve">nyfødte </w:t>
      </w:r>
    </w:p>
    <w:p w14:paraId="695397BE" w14:textId="77777777" w:rsidR="00191E23" w:rsidRPr="007C190E" w:rsidRDefault="00191E23" w:rsidP="00191E23">
      <w:pPr>
        <w:numPr>
          <w:ilvl w:val="0"/>
          <w:numId w:val="7"/>
        </w:numPr>
        <w:ind w:left="1134" w:hanging="283"/>
        <w:rPr>
          <w:sz w:val="24"/>
          <w:szCs w:val="24"/>
          <w:lang w:eastAsia="de-AT"/>
        </w:rPr>
      </w:pPr>
      <w:r w:rsidRPr="007C190E">
        <w:rPr>
          <w:sz w:val="24"/>
          <w:szCs w:val="24"/>
          <w:lang w:eastAsia="de-AT"/>
        </w:rPr>
        <w:t xml:space="preserve">andre patienter, der har risiko for </w:t>
      </w:r>
      <w:proofErr w:type="spellStart"/>
      <w:r w:rsidRPr="007C190E">
        <w:rPr>
          <w:sz w:val="24"/>
          <w:szCs w:val="24"/>
          <w:lang w:eastAsia="de-AT"/>
        </w:rPr>
        <w:t>tromboemboliske</w:t>
      </w:r>
      <w:proofErr w:type="spellEnd"/>
      <w:r w:rsidRPr="007C190E">
        <w:rPr>
          <w:sz w:val="24"/>
          <w:szCs w:val="24"/>
          <w:lang w:eastAsia="de-AT"/>
        </w:rPr>
        <w:t xml:space="preserve"> hændelser eller dissemineret </w:t>
      </w:r>
      <w:proofErr w:type="spellStart"/>
      <w:r w:rsidRPr="007C190E">
        <w:rPr>
          <w:sz w:val="24"/>
          <w:szCs w:val="24"/>
          <w:lang w:eastAsia="de-AT"/>
        </w:rPr>
        <w:t>intravaskulær</w:t>
      </w:r>
      <w:proofErr w:type="spellEnd"/>
      <w:r w:rsidRPr="007C190E">
        <w:rPr>
          <w:sz w:val="24"/>
          <w:szCs w:val="24"/>
          <w:lang w:eastAsia="de-AT"/>
        </w:rPr>
        <w:t xml:space="preserve"> koagulation. </w:t>
      </w:r>
    </w:p>
    <w:p w14:paraId="46F143D1" w14:textId="77777777" w:rsidR="00191E23" w:rsidRPr="007C190E" w:rsidRDefault="00191E23" w:rsidP="00191E23">
      <w:pPr>
        <w:ind w:left="851"/>
        <w:rPr>
          <w:sz w:val="24"/>
          <w:szCs w:val="24"/>
          <w:lang w:eastAsia="de-AT"/>
        </w:rPr>
      </w:pPr>
      <w:r w:rsidRPr="007C190E">
        <w:rPr>
          <w:sz w:val="24"/>
          <w:szCs w:val="24"/>
          <w:lang w:eastAsia="de-AT"/>
        </w:rPr>
        <w:t>I hver af disse situationer skal den mulige fordel ved behandlingen vejes op imod risikoen for disse komplikationer.</w:t>
      </w:r>
    </w:p>
    <w:p w14:paraId="30C38E88" w14:textId="77777777" w:rsidR="00191E23" w:rsidRPr="007C190E" w:rsidRDefault="00191E23" w:rsidP="00191E23">
      <w:pPr>
        <w:ind w:left="851"/>
        <w:rPr>
          <w:sz w:val="24"/>
          <w:szCs w:val="24"/>
          <w:lang w:eastAsia="de-AT"/>
        </w:rPr>
      </w:pPr>
    </w:p>
    <w:p w14:paraId="593FB692" w14:textId="77777777" w:rsidR="00191E23" w:rsidRPr="007C190E" w:rsidRDefault="00191E23" w:rsidP="00191E23">
      <w:pPr>
        <w:ind w:left="851"/>
        <w:rPr>
          <w:i/>
          <w:sz w:val="24"/>
          <w:szCs w:val="24"/>
        </w:rPr>
      </w:pPr>
      <w:r w:rsidRPr="007C190E">
        <w:rPr>
          <w:i/>
          <w:sz w:val="24"/>
          <w:szCs w:val="24"/>
        </w:rPr>
        <w:t>Virussikkerhed</w:t>
      </w:r>
    </w:p>
    <w:p w14:paraId="7C4BDD98" w14:textId="232A4CD4" w:rsidR="00191E23" w:rsidRPr="007C190E" w:rsidRDefault="00191E23" w:rsidP="00191E23">
      <w:pPr>
        <w:autoSpaceDE w:val="0"/>
        <w:autoSpaceDN w:val="0"/>
        <w:adjustRightInd w:val="0"/>
        <w:ind w:left="851"/>
        <w:rPr>
          <w:sz w:val="24"/>
          <w:szCs w:val="24"/>
        </w:rPr>
      </w:pPr>
      <w:r w:rsidRPr="007C190E">
        <w:rPr>
          <w:sz w:val="24"/>
          <w:szCs w:val="24"/>
        </w:rPr>
        <w:t xml:space="preserve">Standard forholdsregler for at forhindre infektioner, overført fra lægemidler fremstillet af humant blod eller plasma, omfatter udvælgelse af donorer, test af individuelle donationer og plasma pools for specifikke infektionsmarkører, samt effektive fremstillingstrin til inaktivering/fjernelse af vira. På trods af dette kan risikoen for overførsel af smitstoffer ikke fuldstændigt udelukkes, når der indgives lægemidler fremstillet af humant blod eller plasma. Dette gælder også for ukendte eller nyopdagede vira samt andre </w:t>
      </w:r>
      <w:proofErr w:type="spellStart"/>
      <w:r w:rsidRPr="007C190E">
        <w:rPr>
          <w:sz w:val="24"/>
          <w:szCs w:val="24"/>
        </w:rPr>
        <w:t>patogener</w:t>
      </w:r>
      <w:proofErr w:type="spellEnd"/>
    </w:p>
    <w:p w14:paraId="05811944" w14:textId="77777777" w:rsidR="00191E23" w:rsidRPr="007C190E" w:rsidRDefault="00191E23" w:rsidP="00191E23">
      <w:pPr>
        <w:autoSpaceDE w:val="0"/>
        <w:autoSpaceDN w:val="0"/>
        <w:adjustRightInd w:val="0"/>
        <w:ind w:left="851"/>
        <w:rPr>
          <w:sz w:val="24"/>
          <w:szCs w:val="24"/>
        </w:rPr>
      </w:pPr>
    </w:p>
    <w:p w14:paraId="44B301B9" w14:textId="77777777" w:rsidR="00191E23" w:rsidRPr="007C190E" w:rsidRDefault="00191E23" w:rsidP="00191E23">
      <w:pPr>
        <w:ind w:left="851"/>
        <w:rPr>
          <w:sz w:val="24"/>
          <w:szCs w:val="24"/>
        </w:rPr>
      </w:pPr>
      <w:r w:rsidRPr="007C190E">
        <w:rPr>
          <w:sz w:val="24"/>
          <w:szCs w:val="24"/>
        </w:rPr>
        <w:t xml:space="preserve">Forholdsreglerne antages at være effektive for kappeklædte vira som HIV, HBV og HCV samt mod det ikke-kappeklædte HAV-virus.  </w:t>
      </w:r>
    </w:p>
    <w:p w14:paraId="2255DCA4" w14:textId="77777777" w:rsidR="00191E23" w:rsidRPr="007C190E" w:rsidRDefault="00191E23" w:rsidP="00191E23">
      <w:pPr>
        <w:ind w:left="851"/>
        <w:rPr>
          <w:bCs/>
          <w:sz w:val="24"/>
          <w:szCs w:val="24"/>
        </w:rPr>
      </w:pPr>
    </w:p>
    <w:p w14:paraId="52FE4F87" w14:textId="28D21864" w:rsidR="00191E23" w:rsidRPr="007C190E" w:rsidRDefault="00191E23" w:rsidP="00191E23">
      <w:pPr>
        <w:ind w:left="851"/>
        <w:rPr>
          <w:bCs/>
          <w:sz w:val="24"/>
          <w:szCs w:val="24"/>
        </w:rPr>
      </w:pPr>
      <w:r w:rsidRPr="007C190E">
        <w:rPr>
          <w:bCs/>
          <w:sz w:val="24"/>
          <w:szCs w:val="24"/>
        </w:rPr>
        <w:lastRenderedPageBreak/>
        <w:t xml:space="preserve">Forholdsreglerne kan være af begrænset værdi mod ikke-kappeklædte vira som </w:t>
      </w:r>
      <w:proofErr w:type="spellStart"/>
      <w:r w:rsidRPr="007C190E">
        <w:rPr>
          <w:bCs/>
          <w:sz w:val="24"/>
          <w:szCs w:val="24"/>
        </w:rPr>
        <w:t>parvovirus</w:t>
      </w:r>
      <w:proofErr w:type="spellEnd"/>
      <w:r w:rsidRPr="007C190E">
        <w:rPr>
          <w:bCs/>
          <w:sz w:val="24"/>
          <w:szCs w:val="24"/>
        </w:rPr>
        <w:t xml:space="preserve"> B19. </w:t>
      </w:r>
      <w:proofErr w:type="spellStart"/>
      <w:r w:rsidRPr="007C190E">
        <w:rPr>
          <w:bCs/>
          <w:sz w:val="24"/>
          <w:szCs w:val="24"/>
        </w:rPr>
        <w:t>Parvovirus</w:t>
      </w:r>
      <w:proofErr w:type="spellEnd"/>
      <w:r w:rsidRPr="007C190E">
        <w:rPr>
          <w:bCs/>
          <w:sz w:val="24"/>
          <w:szCs w:val="24"/>
        </w:rPr>
        <w:t xml:space="preserve"> B19-infektion kan være alvorlig for gravide kvinder (</w:t>
      </w:r>
      <w:proofErr w:type="spellStart"/>
      <w:r w:rsidRPr="007C190E">
        <w:rPr>
          <w:bCs/>
          <w:sz w:val="24"/>
          <w:szCs w:val="24"/>
        </w:rPr>
        <w:t>føtal</w:t>
      </w:r>
      <w:proofErr w:type="spellEnd"/>
      <w:r w:rsidRPr="007C190E">
        <w:rPr>
          <w:bCs/>
          <w:sz w:val="24"/>
          <w:szCs w:val="24"/>
        </w:rPr>
        <w:t xml:space="preserve"> infektion) og for personer med immundefekt eller forøget dannelse af røde blodleg</w:t>
      </w:r>
      <w:r w:rsidR="00B5420C">
        <w:rPr>
          <w:bCs/>
          <w:sz w:val="24"/>
          <w:szCs w:val="24"/>
        </w:rPr>
        <w:t>e</w:t>
      </w:r>
      <w:r w:rsidRPr="007C190E">
        <w:rPr>
          <w:bCs/>
          <w:sz w:val="24"/>
          <w:szCs w:val="24"/>
        </w:rPr>
        <w:t xml:space="preserve">mer (f.eks. </w:t>
      </w:r>
      <w:proofErr w:type="spellStart"/>
      <w:r w:rsidRPr="007C190E">
        <w:rPr>
          <w:bCs/>
          <w:sz w:val="24"/>
          <w:szCs w:val="24"/>
        </w:rPr>
        <w:t>hæmolytisk</w:t>
      </w:r>
      <w:proofErr w:type="spellEnd"/>
      <w:r w:rsidRPr="007C190E">
        <w:rPr>
          <w:bCs/>
          <w:sz w:val="24"/>
          <w:szCs w:val="24"/>
        </w:rPr>
        <w:t xml:space="preserve"> anæmi).</w:t>
      </w:r>
    </w:p>
    <w:p w14:paraId="013DC09E" w14:textId="77777777" w:rsidR="00191E23" w:rsidRPr="007C190E" w:rsidRDefault="00191E23" w:rsidP="00191E23">
      <w:pPr>
        <w:ind w:left="851"/>
        <w:rPr>
          <w:sz w:val="24"/>
          <w:szCs w:val="24"/>
        </w:rPr>
      </w:pPr>
      <w:r w:rsidRPr="007C190E">
        <w:rPr>
          <w:sz w:val="24"/>
          <w:szCs w:val="24"/>
        </w:rPr>
        <w:t xml:space="preserve">Det anbefales på det kraftigste at nedskrive navn og batchnummer på produktet, hver gang </w:t>
      </w:r>
      <w:proofErr w:type="spellStart"/>
      <w:r w:rsidRPr="007C190E">
        <w:rPr>
          <w:sz w:val="24"/>
          <w:szCs w:val="24"/>
        </w:rPr>
        <w:t>Prothromplex</w:t>
      </w:r>
      <w:proofErr w:type="spellEnd"/>
      <w:r w:rsidRPr="007C190E">
        <w:rPr>
          <w:sz w:val="24"/>
          <w:szCs w:val="24"/>
        </w:rPr>
        <w:t xml:space="preserve"> administreres til en patient, for at sikre en forbindelse mellem patienten og produktets batchnummer. </w:t>
      </w:r>
    </w:p>
    <w:p w14:paraId="39132752" w14:textId="77777777" w:rsidR="00191E23" w:rsidRPr="007C190E" w:rsidRDefault="00191E23" w:rsidP="00191E23">
      <w:pPr>
        <w:ind w:left="851"/>
        <w:rPr>
          <w:sz w:val="24"/>
          <w:szCs w:val="24"/>
        </w:rPr>
      </w:pPr>
    </w:p>
    <w:p w14:paraId="2ED837ED" w14:textId="77777777" w:rsidR="00191E23" w:rsidRPr="007C190E" w:rsidRDefault="00191E23" w:rsidP="00191E23">
      <w:pPr>
        <w:ind w:left="851"/>
        <w:rPr>
          <w:sz w:val="24"/>
          <w:szCs w:val="24"/>
        </w:rPr>
      </w:pPr>
      <w:r w:rsidRPr="007C190E">
        <w:rPr>
          <w:sz w:val="24"/>
          <w:szCs w:val="24"/>
        </w:rPr>
        <w:t>Der skal overvejes passende vaccination (hepatitis A og B) når et lægemiddel fremstillet af humant blod eller plasma administreres regelmæssigt/gentagne gange.</w:t>
      </w:r>
    </w:p>
    <w:p w14:paraId="37E65AD0" w14:textId="77777777" w:rsidR="00191E23" w:rsidRPr="007C190E" w:rsidRDefault="00191E23" w:rsidP="00191E23">
      <w:pPr>
        <w:ind w:left="851"/>
        <w:rPr>
          <w:sz w:val="24"/>
          <w:szCs w:val="24"/>
        </w:rPr>
      </w:pPr>
    </w:p>
    <w:p w14:paraId="1B369DA1" w14:textId="77777777" w:rsidR="00191E23" w:rsidRPr="007C190E" w:rsidRDefault="00191E23" w:rsidP="00191E23">
      <w:pPr>
        <w:ind w:left="851"/>
        <w:rPr>
          <w:sz w:val="24"/>
          <w:szCs w:val="24"/>
          <w:lang w:eastAsia="de-AT"/>
        </w:rPr>
      </w:pPr>
      <w:r w:rsidRPr="007C190E">
        <w:rPr>
          <w:i/>
          <w:sz w:val="24"/>
          <w:szCs w:val="24"/>
        </w:rPr>
        <w:t>Natrium</w:t>
      </w:r>
    </w:p>
    <w:p w14:paraId="1949E895" w14:textId="77777777" w:rsidR="00191E23" w:rsidRPr="007C190E" w:rsidRDefault="00191E23" w:rsidP="00191E23">
      <w:pPr>
        <w:ind w:left="851"/>
        <w:rPr>
          <w:sz w:val="24"/>
          <w:szCs w:val="24"/>
        </w:rPr>
      </w:pPr>
      <w:r w:rsidRPr="007C190E">
        <w:rPr>
          <w:sz w:val="24"/>
          <w:szCs w:val="24"/>
          <w:lang w:eastAsia="de-AT"/>
        </w:rPr>
        <w:t xml:space="preserve">Dette lægemiddel indeholder 68 mg natrium pr. hætteglas </w:t>
      </w:r>
      <w:r w:rsidRPr="007C190E">
        <w:rPr>
          <w:sz w:val="24"/>
          <w:szCs w:val="24"/>
        </w:rPr>
        <w:t>eller 0,14 mg natrium pr. international enhed, svarende til 3,4 % af WHO’s anbefaling om et dagligt indtag af 2 g salt for voksne.</w:t>
      </w:r>
    </w:p>
    <w:p w14:paraId="436C4D5B" w14:textId="77777777" w:rsidR="00191E23" w:rsidRPr="007C190E" w:rsidRDefault="00191E23" w:rsidP="00191E23">
      <w:pPr>
        <w:ind w:left="851"/>
        <w:rPr>
          <w:sz w:val="24"/>
          <w:szCs w:val="24"/>
          <w:lang w:eastAsia="de-AT"/>
        </w:rPr>
      </w:pPr>
    </w:p>
    <w:p w14:paraId="2CE082DD" w14:textId="77777777" w:rsidR="00191E23" w:rsidRPr="007C190E" w:rsidRDefault="00191E23" w:rsidP="00191E23">
      <w:pPr>
        <w:ind w:left="851"/>
        <w:rPr>
          <w:sz w:val="24"/>
          <w:szCs w:val="24"/>
          <w:lang w:eastAsia="de-AT"/>
        </w:rPr>
      </w:pPr>
      <w:proofErr w:type="spellStart"/>
      <w:r w:rsidRPr="007C190E">
        <w:rPr>
          <w:i/>
          <w:sz w:val="24"/>
          <w:szCs w:val="24"/>
        </w:rPr>
        <w:t>Heparin</w:t>
      </w:r>
      <w:proofErr w:type="spellEnd"/>
    </w:p>
    <w:p w14:paraId="3C0913DB" w14:textId="77777777" w:rsidR="00191E23" w:rsidRPr="007C190E" w:rsidRDefault="00191E23" w:rsidP="00191E23">
      <w:pPr>
        <w:ind w:left="851"/>
        <w:rPr>
          <w:sz w:val="24"/>
          <w:szCs w:val="24"/>
          <w:lang w:eastAsia="de-AT"/>
        </w:rPr>
      </w:pPr>
      <w:proofErr w:type="spellStart"/>
      <w:r w:rsidRPr="007C190E">
        <w:rPr>
          <w:sz w:val="24"/>
          <w:szCs w:val="24"/>
          <w:lang w:eastAsia="de-AT"/>
        </w:rPr>
        <w:t>Heparin</w:t>
      </w:r>
      <w:proofErr w:type="spellEnd"/>
      <w:r w:rsidRPr="007C190E">
        <w:rPr>
          <w:sz w:val="24"/>
          <w:szCs w:val="24"/>
          <w:lang w:eastAsia="de-AT"/>
        </w:rPr>
        <w:t xml:space="preserve"> kan forårsage allergiske reaktioner og nedsættelse af antallet af blodlegemer, hvilket kan påvirke blodets koaguleringsevne. Patienter, der tidligere har haft </w:t>
      </w:r>
      <w:proofErr w:type="spellStart"/>
      <w:r w:rsidRPr="007C190E">
        <w:rPr>
          <w:sz w:val="24"/>
          <w:szCs w:val="24"/>
          <w:lang w:eastAsia="de-AT"/>
        </w:rPr>
        <w:t>heparininducerede</w:t>
      </w:r>
      <w:proofErr w:type="spellEnd"/>
      <w:r w:rsidRPr="007C190E">
        <w:rPr>
          <w:sz w:val="24"/>
          <w:szCs w:val="24"/>
          <w:lang w:eastAsia="de-AT"/>
        </w:rPr>
        <w:t xml:space="preserve"> allergiske reaktioner, skal undgå at bruge medicin, der indeholder </w:t>
      </w:r>
      <w:proofErr w:type="spellStart"/>
      <w:r w:rsidRPr="007C190E">
        <w:rPr>
          <w:sz w:val="24"/>
          <w:szCs w:val="24"/>
          <w:lang w:eastAsia="de-AT"/>
        </w:rPr>
        <w:t>heparin</w:t>
      </w:r>
      <w:proofErr w:type="spellEnd"/>
      <w:r w:rsidRPr="007C190E">
        <w:rPr>
          <w:sz w:val="24"/>
          <w:szCs w:val="24"/>
          <w:lang w:eastAsia="de-AT"/>
        </w:rPr>
        <w:t>.</w:t>
      </w:r>
    </w:p>
    <w:p w14:paraId="434B7B8B" w14:textId="77777777" w:rsidR="00191E23" w:rsidRPr="007C190E" w:rsidRDefault="00191E23" w:rsidP="00191E23">
      <w:pPr>
        <w:ind w:left="851"/>
        <w:rPr>
          <w:sz w:val="24"/>
          <w:szCs w:val="24"/>
          <w:lang w:eastAsia="de-AT"/>
        </w:rPr>
      </w:pPr>
    </w:p>
    <w:p w14:paraId="41CF6C2C" w14:textId="77777777" w:rsidR="00191E23" w:rsidRPr="007C190E" w:rsidRDefault="00191E23" w:rsidP="00191E23">
      <w:pPr>
        <w:ind w:left="851"/>
        <w:rPr>
          <w:sz w:val="24"/>
          <w:szCs w:val="24"/>
          <w:u w:val="single"/>
          <w:lang w:eastAsia="de-AT"/>
        </w:rPr>
      </w:pPr>
      <w:r w:rsidRPr="007C190E">
        <w:rPr>
          <w:sz w:val="24"/>
          <w:szCs w:val="24"/>
          <w:u w:val="single"/>
          <w:lang w:eastAsia="de-AT"/>
        </w:rPr>
        <w:t>Pædiatrisk population</w:t>
      </w:r>
    </w:p>
    <w:p w14:paraId="4D75A44F" w14:textId="77777777" w:rsidR="00191E23" w:rsidRPr="007C190E" w:rsidRDefault="00191E23" w:rsidP="00191E23">
      <w:pPr>
        <w:ind w:left="851"/>
        <w:rPr>
          <w:sz w:val="24"/>
          <w:szCs w:val="24"/>
          <w:lang w:eastAsia="de-AT"/>
        </w:rPr>
      </w:pPr>
      <w:r w:rsidRPr="007C190E">
        <w:rPr>
          <w:sz w:val="24"/>
          <w:szCs w:val="24"/>
          <w:lang w:eastAsia="de-AT"/>
        </w:rPr>
        <w:t xml:space="preserve">Der er ikke tilstrækkelige data til at anbefale administration af </w:t>
      </w:r>
      <w:proofErr w:type="spellStart"/>
      <w:r w:rsidRPr="007C190E">
        <w:rPr>
          <w:sz w:val="24"/>
          <w:szCs w:val="24"/>
          <w:lang w:eastAsia="de-AT"/>
        </w:rPr>
        <w:t>Prothromplex</w:t>
      </w:r>
      <w:proofErr w:type="spellEnd"/>
      <w:r w:rsidRPr="007C190E">
        <w:rPr>
          <w:sz w:val="24"/>
          <w:szCs w:val="24"/>
          <w:lang w:eastAsia="de-AT"/>
        </w:rPr>
        <w:t xml:space="preserve"> til børn.</w:t>
      </w:r>
    </w:p>
    <w:p w14:paraId="17EB479B" w14:textId="77777777" w:rsidR="009260DE" w:rsidRPr="007C190E" w:rsidRDefault="009260DE" w:rsidP="009260DE">
      <w:pPr>
        <w:tabs>
          <w:tab w:val="left" w:pos="851"/>
        </w:tabs>
        <w:ind w:left="851"/>
        <w:rPr>
          <w:sz w:val="24"/>
          <w:szCs w:val="24"/>
        </w:rPr>
      </w:pPr>
    </w:p>
    <w:p w14:paraId="3826C0E1" w14:textId="77777777" w:rsidR="009260DE" w:rsidRPr="007C190E" w:rsidRDefault="009260DE" w:rsidP="009260DE">
      <w:pPr>
        <w:tabs>
          <w:tab w:val="left" w:pos="851"/>
        </w:tabs>
        <w:ind w:left="851" w:hanging="851"/>
        <w:rPr>
          <w:b/>
          <w:sz w:val="24"/>
          <w:szCs w:val="24"/>
        </w:rPr>
      </w:pPr>
      <w:r w:rsidRPr="007C190E">
        <w:rPr>
          <w:b/>
          <w:sz w:val="24"/>
          <w:szCs w:val="24"/>
        </w:rPr>
        <w:t>4.5</w:t>
      </w:r>
      <w:r w:rsidRPr="007C190E">
        <w:rPr>
          <w:b/>
          <w:sz w:val="24"/>
          <w:szCs w:val="24"/>
        </w:rPr>
        <w:tab/>
        <w:t>Interaktion med andre lægemidler og andre former for interaktion</w:t>
      </w:r>
    </w:p>
    <w:p w14:paraId="1E259BB0" w14:textId="77777777" w:rsidR="00191E23" w:rsidRPr="007C190E" w:rsidRDefault="00191E23" w:rsidP="00191E23">
      <w:pPr>
        <w:ind w:left="851"/>
        <w:rPr>
          <w:sz w:val="24"/>
          <w:szCs w:val="24"/>
          <w:lang w:eastAsia="de-AT"/>
        </w:rPr>
      </w:pPr>
      <w:r w:rsidRPr="007C190E">
        <w:rPr>
          <w:sz w:val="24"/>
          <w:szCs w:val="24"/>
          <w:lang w:eastAsia="de-AT"/>
        </w:rPr>
        <w:t xml:space="preserve">Humane </w:t>
      </w:r>
      <w:proofErr w:type="spellStart"/>
      <w:r w:rsidRPr="007C190E">
        <w:rPr>
          <w:sz w:val="24"/>
          <w:szCs w:val="24"/>
          <w:lang w:eastAsia="de-AT"/>
        </w:rPr>
        <w:t>protrombinkompleksprodukter</w:t>
      </w:r>
      <w:proofErr w:type="spellEnd"/>
      <w:r w:rsidRPr="007C190E">
        <w:rPr>
          <w:sz w:val="24"/>
          <w:szCs w:val="24"/>
          <w:lang w:eastAsia="de-AT"/>
        </w:rPr>
        <w:t xml:space="preserve"> neutraliserer virkningen af behandling med vitamin K-antagonister.</w:t>
      </w:r>
    </w:p>
    <w:p w14:paraId="23D26929" w14:textId="77777777" w:rsidR="00191E23" w:rsidRPr="007C190E" w:rsidRDefault="00191E23" w:rsidP="00191E23">
      <w:pPr>
        <w:ind w:left="851"/>
        <w:rPr>
          <w:sz w:val="24"/>
          <w:szCs w:val="24"/>
          <w:lang w:eastAsia="de-AT"/>
        </w:rPr>
      </w:pPr>
    </w:p>
    <w:p w14:paraId="5A19028A" w14:textId="77777777" w:rsidR="00191E23" w:rsidRPr="007C190E" w:rsidRDefault="00191E23" w:rsidP="00191E23">
      <w:pPr>
        <w:ind w:left="851"/>
        <w:rPr>
          <w:sz w:val="24"/>
          <w:szCs w:val="24"/>
          <w:lang w:eastAsia="de-AT"/>
        </w:rPr>
      </w:pPr>
      <w:r w:rsidRPr="007C190E">
        <w:rPr>
          <w:sz w:val="24"/>
          <w:szCs w:val="24"/>
          <w:lang w:eastAsia="de-AT"/>
        </w:rPr>
        <w:t>Der er ikke udført interaktionsundersøgelser.</w:t>
      </w:r>
    </w:p>
    <w:p w14:paraId="0C834E43" w14:textId="77777777" w:rsidR="00191E23" w:rsidRPr="007C190E" w:rsidRDefault="00191E23" w:rsidP="00191E23">
      <w:pPr>
        <w:ind w:left="851"/>
        <w:rPr>
          <w:sz w:val="24"/>
          <w:szCs w:val="24"/>
          <w:lang w:eastAsia="de-AT"/>
        </w:rPr>
      </w:pPr>
    </w:p>
    <w:p w14:paraId="245E29EC" w14:textId="77777777" w:rsidR="00191E23" w:rsidRPr="007C190E" w:rsidRDefault="00191E23" w:rsidP="00191E23">
      <w:pPr>
        <w:ind w:left="851"/>
        <w:rPr>
          <w:sz w:val="24"/>
          <w:szCs w:val="24"/>
          <w:lang w:eastAsia="de-AT"/>
        </w:rPr>
      </w:pPr>
      <w:r w:rsidRPr="007C190E">
        <w:rPr>
          <w:sz w:val="24"/>
          <w:szCs w:val="24"/>
          <w:u w:val="single"/>
          <w:lang w:eastAsia="de-AT"/>
        </w:rPr>
        <w:t>Påvirkning af biologiske laboratorietests:</w:t>
      </w:r>
    </w:p>
    <w:p w14:paraId="4B7B0472" w14:textId="77777777" w:rsidR="00191E23" w:rsidRPr="007C190E" w:rsidRDefault="00191E23" w:rsidP="00191E23">
      <w:pPr>
        <w:ind w:left="851"/>
        <w:rPr>
          <w:sz w:val="24"/>
          <w:szCs w:val="24"/>
          <w:lang w:eastAsia="de-AT"/>
        </w:rPr>
      </w:pPr>
      <w:r w:rsidRPr="007C190E">
        <w:rPr>
          <w:bCs/>
          <w:sz w:val="24"/>
          <w:szCs w:val="24"/>
          <w:lang w:eastAsia="de-AT"/>
        </w:rPr>
        <w:t xml:space="preserve">Når der udføres blodkoagulationstests, der er følsomme over for </w:t>
      </w:r>
      <w:proofErr w:type="spellStart"/>
      <w:r w:rsidRPr="007C190E">
        <w:rPr>
          <w:bCs/>
          <w:sz w:val="24"/>
          <w:szCs w:val="24"/>
          <w:lang w:eastAsia="de-AT"/>
        </w:rPr>
        <w:t>heparin</w:t>
      </w:r>
      <w:proofErr w:type="spellEnd"/>
      <w:r w:rsidRPr="007C190E">
        <w:rPr>
          <w:bCs/>
          <w:sz w:val="24"/>
          <w:szCs w:val="24"/>
          <w:lang w:eastAsia="de-AT"/>
        </w:rPr>
        <w:t xml:space="preserve"> hos patienter, som får høje doser humant </w:t>
      </w:r>
      <w:proofErr w:type="spellStart"/>
      <w:r w:rsidRPr="007C190E">
        <w:rPr>
          <w:bCs/>
          <w:sz w:val="24"/>
          <w:szCs w:val="24"/>
          <w:lang w:eastAsia="de-AT"/>
        </w:rPr>
        <w:t>protrombinkompleks</w:t>
      </w:r>
      <w:proofErr w:type="spellEnd"/>
      <w:r w:rsidRPr="007C190E">
        <w:rPr>
          <w:bCs/>
          <w:sz w:val="24"/>
          <w:szCs w:val="24"/>
          <w:lang w:eastAsia="de-AT"/>
        </w:rPr>
        <w:t xml:space="preserve">, skal </w:t>
      </w:r>
      <w:proofErr w:type="spellStart"/>
      <w:r w:rsidRPr="007C190E">
        <w:rPr>
          <w:bCs/>
          <w:sz w:val="24"/>
          <w:szCs w:val="24"/>
          <w:lang w:eastAsia="de-AT"/>
        </w:rPr>
        <w:t>heparin</w:t>
      </w:r>
      <w:proofErr w:type="spellEnd"/>
      <w:r w:rsidRPr="007C190E">
        <w:rPr>
          <w:bCs/>
          <w:sz w:val="24"/>
          <w:szCs w:val="24"/>
          <w:lang w:eastAsia="de-AT"/>
        </w:rPr>
        <w:t xml:space="preserve"> som en bestanddel af det administrerede produkt tages i betragtning.</w:t>
      </w:r>
    </w:p>
    <w:p w14:paraId="5353B3E2" w14:textId="77777777" w:rsidR="009260DE" w:rsidRPr="007C190E" w:rsidRDefault="009260DE" w:rsidP="009260DE">
      <w:pPr>
        <w:tabs>
          <w:tab w:val="left" w:pos="851"/>
        </w:tabs>
        <w:ind w:left="851"/>
        <w:rPr>
          <w:sz w:val="24"/>
          <w:szCs w:val="24"/>
        </w:rPr>
      </w:pPr>
    </w:p>
    <w:p w14:paraId="4D28B56D" w14:textId="77777777" w:rsidR="009260DE" w:rsidRPr="007C190E" w:rsidRDefault="009260DE" w:rsidP="009260DE">
      <w:pPr>
        <w:tabs>
          <w:tab w:val="left" w:pos="851"/>
        </w:tabs>
        <w:ind w:left="851" w:hanging="851"/>
        <w:rPr>
          <w:b/>
          <w:sz w:val="24"/>
          <w:szCs w:val="24"/>
        </w:rPr>
      </w:pPr>
      <w:r w:rsidRPr="007C190E">
        <w:rPr>
          <w:b/>
          <w:sz w:val="24"/>
          <w:szCs w:val="24"/>
        </w:rPr>
        <w:t>4.6</w:t>
      </w:r>
      <w:r w:rsidRPr="007C190E">
        <w:rPr>
          <w:b/>
          <w:sz w:val="24"/>
          <w:szCs w:val="24"/>
        </w:rPr>
        <w:tab/>
      </w:r>
      <w:r w:rsidR="0071241E" w:rsidRPr="007C190E">
        <w:rPr>
          <w:b/>
          <w:sz w:val="24"/>
          <w:szCs w:val="24"/>
        </w:rPr>
        <w:t>Fertilitet, g</w:t>
      </w:r>
      <w:r w:rsidRPr="007C190E">
        <w:rPr>
          <w:b/>
          <w:sz w:val="24"/>
          <w:szCs w:val="24"/>
        </w:rPr>
        <w:t>raviditet og amning</w:t>
      </w:r>
    </w:p>
    <w:p w14:paraId="43DA1D81" w14:textId="77777777" w:rsidR="00191E23" w:rsidRPr="007C190E" w:rsidRDefault="00191E23" w:rsidP="00191E23">
      <w:pPr>
        <w:ind w:left="851"/>
        <w:rPr>
          <w:rFonts w:eastAsia="Batang"/>
          <w:bCs/>
          <w:iCs/>
          <w:sz w:val="24"/>
          <w:szCs w:val="24"/>
        </w:rPr>
      </w:pPr>
      <w:r w:rsidRPr="007C190E">
        <w:rPr>
          <w:rFonts w:eastAsia="Batang"/>
          <w:bCs/>
          <w:iCs/>
          <w:sz w:val="24"/>
          <w:szCs w:val="24"/>
        </w:rPr>
        <w:t xml:space="preserve">Virkningen af </w:t>
      </w:r>
      <w:proofErr w:type="spellStart"/>
      <w:r w:rsidRPr="007C190E">
        <w:rPr>
          <w:rFonts w:eastAsia="Batang"/>
          <w:bCs/>
          <w:iCs/>
          <w:sz w:val="24"/>
          <w:szCs w:val="24"/>
        </w:rPr>
        <w:t>Prothromplex</w:t>
      </w:r>
      <w:proofErr w:type="spellEnd"/>
      <w:r w:rsidRPr="007C190E">
        <w:rPr>
          <w:rFonts w:eastAsia="Batang"/>
          <w:bCs/>
          <w:iCs/>
          <w:sz w:val="24"/>
          <w:szCs w:val="24"/>
        </w:rPr>
        <w:t xml:space="preserve"> på fertilitet er ikke fastlagt ved kontrollerede kliniske forsøg.</w:t>
      </w:r>
    </w:p>
    <w:p w14:paraId="21AAA7AB" w14:textId="77777777" w:rsidR="00191E23" w:rsidRPr="007C190E" w:rsidRDefault="00191E23" w:rsidP="00191E23">
      <w:pPr>
        <w:ind w:left="851"/>
        <w:rPr>
          <w:sz w:val="24"/>
          <w:szCs w:val="24"/>
          <w:lang w:eastAsia="de-AT"/>
        </w:rPr>
      </w:pPr>
      <w:r w:rsidRPr="007C190E">
        <w:rPr>
          <w:sz w:val="24"/>
          <w:szCs w:val="24"/>
          <w:lang w:eastAsia="de-AT"/>
        </w:rPr>
        <w:t xml:space="preserve">Sikkerheden ved brug af human </w:t>
      </w:r>
      <w:proofErr w:type="spellStart"/>
      <w:r w:rsidRPr="007C190E">
        <w:rPr>
          <w:sz w:val="24"/>
          <w:szCs w:val="24"/>
          <w:lang w:eastAsia="de-AT"/>
        </w:rPr>
        <w:t>protrombinkompleks</w:t>
      </w:r>
      <w:proofErr w:type="spellEnd"/>
      <w:r w:rsidRPr="007C190E">
        <w:rPr>
          <w:sz w:val="24"/>
          <w:szCs w:val="24"/>
          <w:lang w:eastAsia="de-AT"/>
        </w:rPr>
        <w:t xml:space="preserve"> til gravide eller ammende kvinder er ikke fastlagt.</w:t>
      </w:r>
    </w:p>
    <w:p w14:paraId="2AEF21BD" w14:textId="77777777" w:rsidR="00191E23" w:rsidRPr="007C190E" w:rsidRDefault="00191E23" w:rsidP="00191E23">
      <w:pPr>
        <w:ind w:left="851"/>
        <w:rPr>
          <w:sz w:val="24"/>
          <w:szCs w:val="24"/>
          <w:lang w:eastAsia="de-AT"/>
        </w:rPr>
      </w:pPr>
    </w:p>
    <w:p w14:paraId="32EE289A" w14:textId="77777777" w:rsidR="00191E23" w:rsidRPr="007C190E" w:rsidRDefault="00191E23" w:rsidP="00191E23">
      <w:pPr>
        <w:ind w:left="851"/>
        <w:rPr>
          <w:sz w:val="24"/>
          <w:szCs w:val="24"/>
          <w:lang w:eastAsia="de-AT"/>
        </w:rPr>
      </w:pPr>
      <w:r w:rsidRPr="007C190E">
        <w:rPr>
          <w:sz w:val="24"/>
          <w:szCs w:val="24"/>
          <w:lang w:eastAsia="de-AT"/>
        </w:rPr>
        <w:t xml:space="preserve">Der foreligger ikke tilstrækkelige data om brugen af </w:t>
      </w:r>
      <w:proofErr w:type="spellStart"/>
      <w:r w:rsidRPr="007C190E">
        <w:rPr>
          <w:sz w:val="24"/>
          <w:szCs w:val="24"/>
          <w:lang w:eastAsia="de-AT"/>
        </w:rPr>
        <w:t>Prothromplex</w:t>
      </w:r>
      <w:proofErr w:type="spellEnd"/>
      <w:r w:rsidRPr="007C190E">
        <w:rPr>
          <w:sz w:val="24"/>
          <w:szCs w:val="24"/>
          <w:lang w:eastAsia="de-AT"/>
        </w:rPr>
        <w:t xml:space="preserve"> hos gravide eller ammende kvinder.</w:t>
      </w:r>
    </w:p>
    <w:p w14:paraId="759866B9" w14:textId="77777777" w:rsidR="00191E23" w:rsidRPr="007C190E" w:rsidRDefault="00191E23" w:rsidP="00191E23">
      <w:pPr>
        <w:ind w:left="851"/>
        <w:rPr>
          <w:sz w:val="24"/>
          <w:szCs w:val="24"/>
          <w:lang w:eastAsia="de-AT"/>
        </w:rPr>
      </w:pPr>
    </w:p>
    <w:p w14:paraId="72A9ABAF" w14:textId="77777777" w:rsidR="00191E23" w:rsidRPr="007C190E" w:rsidRDefault="00191E23" w:rsidP="00191E23">
      <w:pPr>
        <w:ind w:left="851"/>
        <w:rPr>
          <w:sz w:val="24"/>
          <w:szCs w:val="24"/>
          <w:lang w:eastAsia="de-AT"/>
        </w:rPr>
      </w:pPr>
      <w:r w:rsidRPr="007C190E">
        <w:rPr>
          <w:sz w:val="24"/>
          <w:szCs w:val="24"/>
          <w:lang w:eastAsia="de-AT"/>
        </w:rPr>
        <w:t>Erfaringsgrundlaget fra dyreforsøg er ikke egnet til at vurdere sikkerheden i forbindelse med graviditet, den embryonale/</w:t>
      </w:r>
      <w:proofErr w:type="spellStart"/>
      <w:r w:rsidRPr="007C190E">
        <w:rPr>
          <w:sz w:val="24"/>
          <w:szCs w:val="24"/>
          <w:lang w:eastAsia="de-AT"/>
        </w:rPr>
        <w:t>føtale</w:t>
      </w:r>
      <w:proofErr w:type="spellEnd"/>
      <w:r w:rsidRPr="007C190E">
        <w:rPr>
          <w:sz w:val="24"/>
          <w:szCs w:val="24"/>
          <w:lang w:eastAsia="de-AT"/>
        </w:rPr>
        <w:t xml:space="preserve"> udvikling, fødslen eller den </w:t>
      </w:r>
      <w:proofErr w:type="spellStart"/>
      <w:r w:rsidRPr="007C190E">
        <w:rPr>
          <w:sz w:val="24"/>
          <w:szCs w:val="24"/>
          <w:lang w:eastAsia="de-AT"/>
        </w:rPr>
        <w:t>postnatale</w:t>
      </w:r>
      <w:proofErr w:type="spellEnd"/>
      <w:r w:rsidRPr="007C190E">
        <w:rPr>
          <w:sz w:val="24"/>
          <w:szCs w:val="24"/>
          <w:lang w:eastAsia="de-AT"/>
        </w:rPr>
        <w:t xml:space="preserve"> udvikling. </w:t>
      </w:r>
      <w:proofErr w:type="spellStart"/>
      <w:r w:rsidRPr="007C190E">
        <w:rPr>
          <w:sz w:val="24"/>
          <w:szCs w:val="24"/>
          <w:lang w:eastAsia="de-AT"/>
        </w:rPr>
        <w:t>Prothromplex</w:t>
      </w:r>
      <w:proofErr w:type="spellEnd"/>
      <w:r w:rsidRPr="007C190E">
        <w:rPr>
          <w:sz w:val="24"/>
          <w:szCs w:val="24"/>
          <w:lang w:eastAsia="de-AT"/>
        </w:rPr>
        <w:t xml:space="preserve"> bør derfor ikke anvendes til gravide og ammende kvinder, medmindre det er klart indiceret. </w:t>
      </w:r>
    </w:p>
    <w:p w14:paraId="722C48BD" w14:textId="77777777" w:rsidR="00191E23" w:rsidRPr="007C190E" w:rsidRDefault="00191E23" w:rsidP="00191E23">
      <w:pPr>
        <w:ind w:left="851"/>
        <w:rPr>
          <w:sz w:val="24"/>
          <w:szCs w:val="24"/>
          <w:lang w:eastAsia="de-AT"/>
        </w:rPr>
      </w:pPr>
    </w:p>
    <w:p w14:paraId="27EF77B8" w14:textId="77777777" w:rsidR="00191E23" w:rsidRPr="007C190E" w:rsidRDefault="00191E23" w:rsidP="00191E23">
      <w:pPr>
        <w:ind w:left="851"/>
        <w:rPr>
          <w:sz w:val="24"/>
          <w:szCs w:val="24"/>
          <w:lang w:eastAsia="de-AT"/>
        </w:rPr>
      </w:pPr>
      <w:r w:rsidRPr="007C190E">
        <w:rPr>
          <w:sz w:val="24"/>
          <w:szCs w:val="24"/>
          <w:lang w:eastAsia="de-AT"/>
        </w:rPr>
        <w:t xml:space="preserve">Information om risikoen for infektion med </w:t>
      </w:r>
      <w:proofErr w:type="spellStart"/>
      <w:r w:rsidRPr="007C190E">
        <w:rPr>
          <w:sz w:val="24"/>
          <w:szCs w:val="24"/>
          <w:lang w:eastAsia="de-AT"/>
        </w:rPr>
        <w:t>parvovirus</w:t>
      </w:r>
      <w:proofErr w:type="spellEnd"/>
      <w:r w:rsidRPr="007C190E">
        <w:rPr>
          <w:sz w:val="24"/>
          <w:szCs w:val="24"/>
          <w:lang w:eastAsia="de-AT"/>
        </w:rPr>
        <w:t xml:space="preserve"> B19 hos gravide fremgår af pkt. 4.4.</w:t>
      </w:r>
    </w:p>
    <w:p w14:paraId="75AADCFB" w14:textId="77777777" w:rsidR="009260DE" w:rsidRPr="007C190E" w:rsidRDefault="009260DE" w:rsidP="009260DE">
      <w:pPr>
        <w:tabs>
          <w:tab w:val="left" w:pos="851"/>
        </w:tabs>
        <w:ind w:left="851"/>
        <w:rPr>
          <w:sz w:val="24"/>
          <w:szCs w:val="24"/>
        </w:rPr>
      </w:pPr>
    </w:p>
    <w:p w14:paraId="36EC748F" w14:textId="77777777" w:rsidR="009260DE" w:rsidRPr="007C190E" w:rsidRDefault="009260DE" w:rsidP="009260DE">
      <w:pPr>
        <w:tabs>
          <w:tab w:val="left" w:pos="851"/>
        </w:tabs>
        <w:ind w:left="851" w:hanging="851"/>
        <w:rPr>
          <w:b/>
          <w:sz w:val="24"/>
          <w:szCs w:val="24"/>
        </w:rPr>
      </w:pPr>
      <w:r w:rsidRPr="007C190E">
        <w:rPr>
          <w:b/>
          <w:sz w:val="24"/>
          <w:szCs w:val="24"/>
        </w:rPr>
        <w:lastRenderedPageBreak/>
        <w:t>4.7</w:t>
      </w:r>
      <w:r w:rsidRPr="007C190E">
        <w:rPr>
          <w:b/>
          <w:sz w:val="24"/>
          <w:szCs w:val="24"/>
        </w:rPr>
        <w:tab/>
        <w:t xml:space="preserve">Virkning på evnen til at føre motorkøretøj </w:t>
      </w:r>
      <w:r w:rsidR="0071241E" w:rsidRPr="007C190E">
        <w:rPr>
          <w:b/>
          <w:sz w:val="24"/>
          <w:szCs w:val="24"/>
        </w:rPr>
        <w:t>og</w:t>
      </w:r>
      <w:r w:rsidRPr="007C190E">
        <w:rPr>
          <w:b/>
          <w:sz w:val="24"/>
          <w:szCs w:val="24"/>
        </w:rPr>
        <w:t xml:space="preserve"> betjene maskiner</w:t>
      </w:r>
    </w:p>
    <w:p w14:paraId="60F87AD3" w14:textId="77777777" w:rsidR="00191E23" w:rsidRPr="007C190E" w:rsidRDefault="00191E23" w:rsidP="00191E23">
      <w:pPr>
        <w:tabs>
          <w:tab w:val="left" w:pos="540"/>
        </w:tabs>
        <w:ind w:left="851"/>
        <w:rPr>
          <w:sz w:val="24"/>
          <w:szCs w:val="24"/>
          <w:lang w:eastAsia="de-AT"/>
        </w:rPr>
      </w:pPr>
      <w:r w:rsidRPr="007C190E">
        <w:rPr>
          <w:sz w:val="24"/>
          <w:szCs w:val="24"/>
          <w:lang w:eastAsia="de-AT"/>
        </w:rPr>
        <w:t>Ikke mærkning.</w:t>
      </w:r>
    </w:p>
    <w:p w14:paraId="378CE46B" w14:textId="4AEAE6B3" w:rsidR="00191E23" w:rsidRPr="007C190E" w:rsidRDefault="00191E23" w:rsidP="00191E23">
      <w:pPr>
        <w:tabs>
          <w:tab w:val="left" w:pos="540"/>
        </w:tabs>
        <w:ind w:left="851"/>
        <w:rPr>
          <w:sz w:val="24"/>
          <w:szCs w:val="24"/>
          <w:lang w:eastAsia="de-AT"/>
        </w:rPr>
      </w:pPr>
      <w:r w:rsidRPr="007C190E">
        <w:rPr>
          <w:sz w:val="24"/>
          <w:szCs w:val="24"/>
          <w:lang w:eastAsia="de-AT"/>
        </w:rPr>
        <w:t>Der er ikke udført studier på effekten til at føre motorkøretøj eller betjene maskiner.</w:t>
      </w:r>
    </w:p>
    <w:p w14:paraId="466364DF" w14:textId="77777777" w:rsidR="009260DE" w:rsidRPr="007C190E" w:rsidRDefault="009260DE" w:rsidP="009260DE">
      <w:pPr>
        <w:tabs>
          <w:tab w:val="left" w:pos="851"/>
        </w:tabs>
        <w:ind w:left="851"/>
        <w:rPr>
          <w:sz w:val="24"/>
          <w:szCs w:val="24"/>
        </w:rPr>
      </w:pPr>
    </w:p>
    <w:p w14:paraId="6E21940E" w14:textId="77777777" w:rsidR="009260DE" w:rsidRPr="007C190E" w:rsidRDefault="009260DE" w:rsidP="009260DE">
      <w:pPr>
        <w:tabs>
          <w:tab w:val="left" w:pos="851"/>
        </w:tabs>
        <w:ind w:left="851" w:hanging="851"/>
        <w:rPr>
          <w:b/>
          <w:sz w:val="24"/>
          <w:szCs w:val="24"/>
        </w:rPr>
      </w:pPr>
      <w:r w:rsidRPr="007C190E">
        <w:rPr>
          <w:b/>
          <w:sz w:val="24"/>
          <w:szCs w:val="24"/>
        </w:rPr>
        <w:t>4.8</w:t>
      </w:r>
      <w:r w:rsidRPr="007C190E">
        <w:rPr>
          <w:b/>
          <w:sz w:val="24"/>
          <w:szCs w:val="24"/>
        </w:rPr>
        <w:tab/>
        <w:t>Bivirkninger</w:t>
      </w:r>
    </w:p>
    <w:p w14:paraId="34172B6D" w14:textId="77777777" w:rsidR="007C190E" w:rsidRPr="007C190E" w:rsidRDefault="007C190E" w:rsidP="00191E23">
      <w:pPr>
        <w:ind w:left="851"/>
        <w:rPr>
          <w:bCs/>
          <w:sz w:val="24"/>
          <w:szCs w:val="24"/>
          <w:u w:val="single"/>
          <w:lang w:eastAsia="de-AT"/>
        </w:rPr>
      </w:pPr>
    </w:p>
    <w:p w14:paraId="50203356" w14:textId="30A13912" w:rsidR="00191E23" w:rsidRPr="007C190E" w:rsidRDefault="00191E23" w:rsidP="00191E23">
      <w:pPr>
        <w:ind w:left="851"/>
        <w:rPr>
          <w:bCs/>
          <w:sz w:val="24"/>
          <w:szCs w:val="24"/>
          <w:u w:val="single"/>
          <w:lang w:eastAsia="de-AT"/>
        </w:rPr>
      </w:pPr>
      <w:r w:rsidRPr="007C190E">
        <w:rPr>
          <w:bCs/>
          <w:sz w:val="24"/>
          <w:szCs w:val="24"/>
          <w:u w:val="single"/>
          <w:lang w:eastAsia="de-AT"/>
        </w:rPr>
        <w:t>Resumé af sikkerhedsprofilen</w:t>
      </w:r>
    </w:p>
    <w:p w14:paraId="7E5E4BA5" w14:textId="77777777" w:rsidR="00191E23" w:rsidRPr="007C190E" w:rsidRDefault="00191E23" w:rsidP="00191E23">
      <w:pPr>
        <w:ind w:left="851"/>
        <w:rPr>
          <w:sz w:val="24"/>
          <w:szCs w:val="24"/>
          <w:lang w:eastAsia="de-AT"/>
        </w:rPr>
      </w:pPr>
    </w:p>
    <w:p w14:paraId="0288FE3E" w14:textId="77777777" w:rsidR="00191E23" w:rsidRPr="007C190E" w:rsidRDefault="00191E23" w:rsidP="00191E23">
      <w:pPr>
        <w:ind w:left="851"/>
        <w:rPr>
          <w:bCs/>
          <w:i/>
          <w:iCs/>
          <w:sz w:val="24"/>
          <w:szCs w:val="24"/>
          <w:lang w:eastAsia="de-AT"/>
        </w:rPr>
      </w:pPr>
      <w:r w:rsidRPr="007C190E">
        <w:rPr>
          <w:bCs/>
          <w:i/>
          <w:iCs/>
          <w:sz w:val="24"/>
          <w:szCs w:val="24"/>
          <w:lang w:eastAsia="de-AT"/>
        </w:rPr>
        <w:t>Immunsystemet</w:t>
      </w:r>
    </w:p>
    <w:p w14:paraId="5C8E4965" w14:textId="77777777" w:rsidR="00191E23" w:rsidRPr="007C190E" w:rsidRDefault="00191E23" w:rsidP="00191E23">
      <w:pPr>
        <w:ind w:left="851"/>
        <w:rPr>
          <w:sz w:val="24"/>
          <w:szCs w:val="24"/>
          <w:lang w:eastAsia="de-AT"/>
        </w:rPr>
      </w:pPr>
    </w:p>
    <w:p w14:paraId="59A27C5D" w14:textId="77777777" w:rsidR="00191E23" w:rsidRPr="007C190E" w:rsidRDefault="00191E23" w:rsidP="00191E23">
      <w:pPr>
        <w:autoSpaceDE w:val="0"/>
        <w:autoSpaceDN w:val="0"/>
        <w:adjustRightInd w:val="0"/>
        <w:ind w:left="851"/>
        <w:rPr>
          <w:bCs/>
          <w:color w:val="000000"/>
          <w:sz w:val="24"/>
          <w:szCs w:val="24"/>
          <w:lang w:eastAsia="fr-FR"/>
        </w:rPr>
      </w:pPr>
      <w:r w:rsidRPr="007C190E">
        <w:rPr>
          <w:bCs/>
          <w:color w:val="000000"/>
          <w:sz w:val="24"/>
          <w:szCs w:val="24"/>
          <w:lang w:eastAsia="de-AT"/>
        </w:rPr>
        <w:t xml:space="preserve">Substitutionsbehandling med humane </w:t>
      </w:r>
      <w:proofErr w:type="spellStart"/>
      <w:r w:rsidRPr="007C190E">
        <w:rPr>
          <w:bCs/>
          <w:color w:val="000000"/>
          <w:sz w:val="24"/>
          <w:szCs w:val="24"/>
          <w:lang w:eastAsia="de-AT"/>
        </w:rPr>
        <w:t>protrombinkomplekskoncentrater</w:t>
      </w:r>
      <w:proofErr w:type="spellEnd"/>
      <w:r w:rsidRPr="007C190E">
        <w:rPr>
          <w:bCs/>
          <w:color w:val="000000"/>
          <w:sz w:val="24"/>
          <w:szCs w:val="24"/>
          <w:lang w:eastAsia="de-AT"/>
        </w:rPr>
        <w:t xml:space="preserve">, herunder behandling med </w:t>
      </w:r>
      <w:proofErr w:type="spellStart"/>
      <w:r w:rsidRPr="007C190E">
        <w:rPr>
          <w:bCs/>
          <w:color w:val="000000"/>
          <w:sz w:val="24"/>
          <w:szCs w:val="24"/>
          <w:lang w:eastAsia="de-AT"/>
        </w:rPr>
        <w:t>Prothromplex</w:t>
      </w:r>
      <w:proofErr w:type="spellEnd"/>
      <w:r w:rsidRPr="007C190E">
        <w:rPr>
          <w:bCs/>
          <w:color w:val="000000"/>
          <w:sz w:val="24"/>
          <w:szCs w:val="24"/>
          <w:lang w:eastAsia="de-AT"/>
        </w:rPr>
        <w:t xml:space="preserve">, kan medføre dannelse af antistoffer i kredsløbet, der hæmmer en eller flere af faktorerne i det humane </w:t>
      </w:r>
      <w:proofErr w:type="spellStart"/>
      <w:r w:rsidRPr="007C190E">
        <w:rPr>
          <w:bCs/>
          <w:color w:val="000000"/>
          <w:sz w:val="24"/>
          <w:szCs w:val="24"/>
          <w:lang w:eastAsia="de-AT"/>
        </w:rPr>
        <w:t>protrombinkompleks</w:t>
      </w:r>
      <w:proofErr w:type="spellEnd"/>
      <w:r w:rsidRPr="007C190E">
        <w:rPr>
          <w:bCs/>
          <w:color w:val="000000"/>
          <w:sz w:val="24"/>
          <w:szCs w:val="24"/>
          <w:lang w:eastAsia="de-AT"/>
        </w:rPr>
        <w:t>. Hvis sådanne inhibitorer dannes, vil tilstanden manifestere sig ved et dårligt klinisk respons.</w:t>
      </w:r>
    </w:p>
    <w:p w14:paraId="4989D001" w14:textId="77777777" w:rsidR="00191E23" w:rsidRPr="007C190E" w:rsidRDefault="00191E23" w:rsidP="00191E23">
      <w:pPr>
        <w:autoSpaceDE w:val="0"/>
        <w:autoSpaceDN w:val="0"/>
        <w:adjustRightInd w:val="0"/>
        <w:ind w:left="851"/>
        <w:rPr>
          <w:bCs/>
          <w:color w:val="000000"/>
          <w:sz w:val="24"/>
          <w:szCs w:val="24"/>
          <w:lang w:eastAsia="fr-FR"/>
        </w:rPr>
      </w:pPr>
    </w:p>
    <w:p w14:paraId="46FD967F" w14:textId="77777777" w:rsidR="00191E23" w:rsidRPr="007C190E" w:rsidRDefault="00191E23" w:rsidP="00191E23">
      <w:pPr>
        <w:autoSpaceDE w:val="0"/>
        <w:autoSpaceDN w:val="0"/>
        <w:adjustRightInd w:val="0"/>
        <w:ind w:left="851"/>
        <w:rPr>
          <w:bCs/>
          <w:color w:val="000000"/>
          <w:sz w:val="24"/>
          <w:szCs w:val="24"/>
          <w:lang w:eastAsia="fr-FR"/>
        </w:rPr>
      </w:pPr>
      <w:r w:rsidRPr="007C190E">
        <w:rPr>
          <w:bCs/>
          <w:color w:val="000000"/>
          <w:sz w:val="24"/>
          <w:szCs w:val="24"/>
          <w:lang w:eastAsia="fr-FR"/>
        </w:rPr>
        <w:t xml:space="preserve">Allergiske eller </w:t>
      </w:r>
      <w:proofErr w:type="spellStart"/>
      <w:r w:rsidRPr="007C190E">
        <w:rPr>
          <w:bCs/>
          <w:color w:val="000000"/>
          <w:sz w:val="24"/>
          <w:szCs w:val="24"/>
          <w:lang w:eastAsia="fr-FR"/>
        </w:rPr>
        <w:t>anafylaktiske</w:t>
      </w:r>
      <w:proofErr w:type="spellEnd"/>
      <w:r w:rsidRPr="007C190E">
        <w:rPr>
          <w:bCs/>
          <w:color w:val="000000"/>
          <w:sz w:val="24"/>
          <w:szCs w:val="24"/>
          <w:lang w:eastAsia="fr-FR"/>
        </w:rPr>
        <w:t xml:space="preserve"> reaktioner er almindeligt observeret.</w:t>
      </w:r>
    </w:p>
    <w:p w14:paraId="098361B4" w14:textId="77777777" w:rsidR="00191E23" w:rsidRPr="007C190E" w:rsidRDefault="00191E23" w:rsidP="00191E23">
      <w:pPr>
        <w:autoSpaceDE w:val="0"/>
        <w:autoSpaceDN w:val="0"/>
        <w:adjustRightInd w:val="0"/>
        <w:ind w:left="851"/>
        <w:rPr>
          <w:bCs/>
          <w:color w:val="000000"/>
          <w:sz w:val="24"/>
          <w:szCs w:val="24"/>
          <w:lang w:eastAsia="fr-FR"/>
        </w:rPr>
      </w:pPr>
    </w:p>
    <w:p w14:paraId="1047E885" w14:textId="77777777" w:rsidR="00191E23" w:rsidRPr="007C190E" w:rsidRDefault="00191E23" w:rsidP="00191E23">
      <w:pPr>
        <w:autoSpaceDE w:val="0"/>
        <w:autoSpaceDN w:val="0"/>
        <w:adjustRightInd w:val="0"/>
        <w:ind w:left="851"/>
        <w:rPr>
          <w:bCs/>
          <w:color w:val="000000"/>
          <w:sz w:val="24"/>
          <w:szCs w:val="24"/>
          <w:lang w:eastAsia="fr-FR"/>
        </w:rPr>
      </w:pPr>
      <w:r w:rsidRPr="007C190E">
        <w:rPr>
          <w:bCs/>
          <w:i/>
          <w:iCs/>
          <w:color w:val="000000"/>
          <w:sz w:val="24"/>
          <w:szCs w:val="24"/>
          <w:lang w:eastAsia="fr-FR"/>
        </w:rPr>
        <w:t>Almene symptomer og reaktioner på administrationsstedet</w:t>
      </w:r>
    </w:p>
    <w:p w14:paraId="31AFFDA6" w14:textId="77777777" w:rsidR="00191E23" w:rsidRPr="007C190E" w:rsidRDefault="00191E23" w:rsidP="00191E23">
      <w:pPr>
        <w:autoSpaceDE w:val="0"/>
        <w:autoSpaceDN w:val="0"/>
        <w:adjustRightInd w:val="0"/>
        <w:ind w:left="851"/>
        <w:rPr>
          <w:bCs/>
          <w:color w:val="000000"/>
          <w:sz w:val="24"/>
          <w:szCs w:val="24"/>
          <w:lang w:eastAsia="fr-FR"/>
        </w:rPr>
      </w:pPr>
      <w:r w:rsidRPr="007C190E">
        <w:rPr>
          <w:bCs/>
          <w:color w:val="000000"/>
          <w:sz w:val="24"/>
          <w:szCs w:val="24"/>
          <w:lang w:eastAsia="fr-FR"/>
        </w:rPr>
        <w:t>En øget kropstemperatur er almindeligt observeret.</w:t>
      </w:r>
    </w:p>
    <w:p w14:paraId="47A2A025" w14:textId="77777777" w:rsidR="00191E23" w:rsidRPr="007C190E" w:rsidRDefault="00191E23" w:rsidP="00191E23">
      <w:pPr>
        <w:autoSpaceDE w:val="0"/>
        <w:autoSpaceDN w:val="0"/>
        <w:adjustRightInd w:val="0"/>
        <w:ind w:left="851"/>
        <w:rPr>
          <w:bCs/>
          <w:color w:val="000000"/>
          <w:sz w:val="24"/>
          <w:szCs w:val="24"/>
          <w:lang w:eastAsia="fr-FR"/>
        </w:rPr>
      </w:pPr>
    </w:p>
    <w:p w14:paraId="44E69949" w14:textId="77777777" w:rsidR="00191E23" w:rsidRPr="007C190E" w:rsidRDefault="00191E23" w:rsidP="00191E23">
      <w:pPr>
        <w:autoSpaceDE w:val="0"/>
        <w:autoSpaceDN w:val="0"/>
        <w:adjustRightInd w:val="0"/>
        <w:ind w:left="851"/>
        <w:rPr>
          <w:bCs/>
          <w:color w:val="000000"/>
          <w:sz w:val="24"/>
          <w:szCs w:val="24"/>
          <w:lang w:eastAsia="fr-FR"/>
        </w:rPr>
      </w:pPr>
      <w:proofErr w:type="spellStart"/>
      <w:r w:rsidRPr="007C190E">
        <w:rPr>
          <w:bCs/>
          <w:i/>
          <w:iCs/>
          <w:color w:val="000000"/>
          <w:sz w:val="24"/>
          <w:szCs w:val="24"/>
          <w:lang w:eastAsia="fr-FR"/>
        </w:rPr>
        <w:t>Vaskulære</w:t>
      </w:r>
      <w:proofErr w:type="spellEnd"/>
      <w:r w:rsidRPr="007C190E">
        <w:rPr>
          <w:bCs/>
          <w:i/>
          <w:iCs/>
          <w:color w:val="000000"/>
          <w:sz w:val="24"/>
          <w:szCs w:val="24"/>
          <w:lang w:eastAsia="fr-FR"/>
        </w:rPr>
        <w:t xml:space="preserve"> sygdomme</w:t>
      </w:r>
    </w:p>
    <w:p w14:paraId="5D936A4C" w14:textId="77E9BDCD" w:rsidR="00191E23" w:rsidRPr="007C190E" w:rsidRDefault="00191E23" w:rsidP="00191E23">
      <w:pPr>
        <w:ind w:left="851"/>
        <w:rPr>
          <w:sz w:val="24"/>
          <w:szCs w:val="24"/>
        </w:rPr>
      </w:pPr>
      <w:r w:rsidRPr="007C190E">
        <w:rPr>
          <w:sz w:val="24"/>
          <w:szCs w:val="24"/>
        </w:rPr>
        <w:t xml:space="preserve">Det er en risiko for </w:t>
      </w:r>
      <w:proofErr w:type="spellStart"/>
      <w:r w:rsidRPr="007C190E">
        <w:rPr>
          <w:sz w:val="24"/>
          <w:szCs w:val="24"/>
        </w:rPr>
        <w:t>tromboemboliske</w:t>
      </w:r>
      <w:proofErr w:type="spellEnd"/>
      <w:r w:rsidRPr="007C190E">
        <w:rPr>
          <w:sz w:val="24"/>
          <w:szCs w:val="24"/>
        </w:rPr>
        <w:t xml:space="preserve"> hændelser efter administration af humant </w:t>
      </w:r>
      <w:proofErr w:type="spellStart"/>
      <w:r w:rsidRPr="007C190E">
        <w:rPr>
          <w:sz w:val="24"/>
          <w:szCs w:val="24"/>
        </w:rPr>
        <w:t>protrombin</w:t>
      </w:r>
      <w:r w:rsidR="007C190E" w:rsidRPr="007C190E">
        <w:rPr>
          <w:sz w:val="24"/>
          <w:szCs w:val="24"/>
        </w:rPr>
        <w:softHyphen/>
      </w:r>
      <w:r w:rsidRPr="007C190E">
        <w:rPr>
          <w:sz w:val="24"/>
          <w:szCs w:val="24"/>
        </w:rPr>
        <w:t>kompleks</w:t>
      </w:r>
      <w:proofErr w:type="spellEnd"/>
      <w:r w:rsidRPr="007C190E">
        <w:rPr>
          <w:sz w:val="24"/>
          <w:szCs w:val="24"/>
        </w:rPr>
        <w:t xml:space="preserve"> (se pkt. 4.4).</w:t>
      </w:r>
    </w:p>
    <w:p w14:paraId="7B61CB35" w14:textId="77777777" w:rsidR="00191E23" w:rsidRPr="007C190E" w:rsidRDefault="00191E23" w:rsidP="00191E23">
      <w:pPr>
        <w:autoSpaceDE w:val="0"/>
        <w:autoSpaceDN w:val="0"/>
        <w:adjustRightInd w:val="0"/>
        <w:ind w:left="851"/>
        <w:rPr>
          <w:bCs/>
          <w:color w:val="000000"/>
          <w:sz w:val="24"/>
          <w:szCs w:val="24"/>
          <w:lang w:eastAsia="fr-FR"/>
        </w:rPr>
      </w:pPr>
    </w:p>
    <w:p w14:paraId="71BDBC24" w14:textId="77777777" w:rsidR="00191E23" w:rsidRPr="007C190E" w:rsidRDefault="00191E23" w:rsidP="00191E23">
      <w:pPr>
        <w:ind w:left="851"/>
        <w:rPr>
          <w:sz w:val="24"/>
          <w:szCs w:val="24"/>
          <w:lang w:eastAsia="de-AT"/>
        </w:rPr>
      </w:pPr>
      <w:r w:rsidRPr="007C190E">
        <w:rPr>
          <w:sz w:val="24"/>
          <w:szCs w:val="24"/>
          <w:lang w:eastAsia="de-AT"/>
        </w:rPr>
        <w:t>For sikkerhed hvad angår overførsel af smitsomme stoffer, se pkt. 4.4.</w:t>
      </w:r>
    </w:p>
    <w:p w14:paraId="16E7B614" w14:textId="77777777" w:rsidR="00191E23" w:rsidRPr="007C190E" w:rsidRDefault="00191E23" w:rsidP="00191E23">
      <w:pPr>
        <w:ind w:left="851"/>
        <w:rPr>
          <w:sz w:val="24"/>
          <w:szCs w:val="24"/>
          <w:lang w:eastAsia="de-AT"/>
        </w:rPr>
      </w:pPr>
    </w:p>
    <w:p w14:paraId="5240E0A0" w14:textId="77777777" w:rsidR="00191E23" w:rsidRPr="007C190E" w:rsidRDefault="00191E23" w:rsidP="00191E23">
      <w:pPr>
        <w:autoSpaceDE w:val="0"/>
        <w:autoSpaceDN w:val="0"/>
        <w:adjustRightInd w:val="0"/>
        <w:ind w:left="851"/>
        <w:rPr>
          <w:sz w:val="24"/>
          <w:szCs w:val="24"/>
          <w:u w:val="single"/>
          <w:lang w:eastAsia="de-AT"/>
        </w:rPr>
      </w:pPr>
      <w:r w:rsidRPr="007C190E">
        <w:rPr>
          <w:sz w:val="24"/>
          <w:szCs w:val="24"/>
          <w:u w:val="single"/>
          <w:lang w:eastAsia="de-AT"/>
        </w:rPr>
        <w:t>Oversigt over bivirkninger i tabelform</w:t>
      </w:r>
    </w:p>
    <w:p w14:paraId="1DF63F48" w14:textId="22372C1F" w:rsidR="00191E23" w:rsidRPr="007C190E" w:rsidRDefault="00191E23" w:rsidP="00191E23">
      <w:pPr>
        <w:ind w:left="851"/>
        <w:rPr>
          <w:sz w:val="24"/>
          <w:szCs w:val="24"/>
          <w:lang w:eastAsia="de-AT"/>
        </w:rPr>
      </w:pPr>
      <w:r w:rsidRPr="007C190E">
        <w:rPr>
          <w:rFonts w:eastAsia="Batang"/>
          <w:sz w:val="24"/>
          <w:szCs w:val="24"/>
        </w:rPr>
        <w:t xml:space="preserve">Det akutte myokardieinfarkt, </w:t>
      </w:r>
      <w:proofErr w:type="spellStart"/>
      <w:r w:rsidRPr="007C190E">
        <w:rPr>
          <w:rFonts w:eastAsia="Batang"/>
          <w:sz w:val="24"/>
          <w:szCs w:val="24"/>
        </w:rPr>
        <w:t>venetrombe</w:t>
      </w:r>
      <w:proofErr w:type="spellEnd"/>
      <w:r w:rsidRPr="007C190E">
        <w:rPr>
          <w:rFonts w:eastAsia="Batang"/>
          <w:sz w:val="24"/>
          <w:szCs w:val="24"/>
        </w:rPr>
        <w:t xml:space="preserve"> og </w:t>
      </w:r>
      <w:proofErr w:type="spellStart"/>
      <w:r w:rsidRPr="007C190E">
        <w:rPr>
          <w:rFonts w:eastAsia="Batang"/>
          <w:sz w:val="24"/>
          <w:szCs w:val="24"/>
        </w:rPr>
        <w:t>pyreksi</w:t>
      </w:r>
      <w:proofErr w:type="spellEnd"/>
      <w:r w:rsidRPr="007C190E">
        <w:rPr>
          <w:rFonts w:eastAsia="Batang"/>
          <w:sz w:val="24"/>
          <w:szCs w:val="24"/>
        </w:rPr>
        <w:t xml:space="preserve">, der er angivet i tabellen med bivirkninger nedenfor, er rapporteret i ét klinisk studie med </w:t>
      </w:r>
      <w:proofErr w:type="spellStart"/>
      <w:r w:rsidRPr="007C190E">
        <w:rPr>
          <w:rFonts w:eastAsia="Batang"/>
          <w:sz w:val="24"/>
          <w:szCs w:val="24"/>
        </w:rPr>
        <w:t>Prothromplex</w:t>
      </w:r>
      <w:proofErr w:type="spellEnd"/>
      <w:r w:rsidRPr="007C190E">
        <w:rPr>
          <w:rFonts w:eastAsia="Batang"/>
          <w:sz w:val="24"/>
          <w:szCs w:val="24"/>
        </w:rPr>
        <w:t xml:space="preserve"> til reversering af orale </w:t>
      </w:r>
      <w:proofErr w:type="spellStart"/>
      <w:r w:rsidRPr="007C190E">
        <w:rPr>
          <w:rFonts w:eastAsia="Batang"/>
          <w:sz w:val="24"/>
          <w:szCs w:val="24"/>
        </w:rPr>
        <w:t>antikoagulantia</w:t>
      </w:r>
      <w:proofErr w:type="spellEnd"/>
      <w:r w:rsidRPr="007C190E">
        <w:rPr>
          <w:rFonts w:eastAsia="Batang"/>
          <w:sz w:val="24"/>
          <w:szCs w:val="24"/>
        </w:rPr>
        <w:t xml:space="preserve"> hos patienter (n = 61) med erhvervet mangel på </w:t>
      </w:r>
      <w:proofErr w:type="spellStart"/>
      <w:r w:rsidRPr="007C190E">
        <w:rPr>
          <w:rFonts w:eastAsia="Batang"/>
          <w:sz w:val="24"/>
          <w:szCs w:val="24"/>
        </w:rPr>
        <w:t>protrombin</w:t>
      </w:r>
      <w:r w:rsidR="00B5420C">
        <w:rPr>
          <w:rFonts w:eastAsia="Batang"/>
          <w:sz w:val="24"/>
          <w:szCs w:val="24"/>
        </w:rPr>
        <w:softHyphen/>
      </w:r>
      <w:r w:rsidRPr="007C190E">
        <w:rPr>
          <w:rFonts w:eastAsia="Batang"/>
          <w:sz w:val="24"/>
          <w:szCs w:val="24"/>
        </w:rPr>
        <w:t>kompleks</w:t>
      </w:r>
      <w:r w:rsidR="00B5420C">
        <w:rPr>
          <w:rFonts w:eastAsia="Batang"/>
          <w:sz w:val="24"/>
          <w:szCs w:val="24"/>
        </w:rPr>
        <w:softHyphen/>
      </w:r>
      <w:r w:rsidRPr="007C190E">
        <w:rPr>
          <w:rFonts w:eastAsia="Batang"/>
          <w:sz w:val="24"/>
          <w:szCs w:val="24"/>
        </w:rPr>
        <w:t>koagulationsfaktorer</w:t>
      </w:r>
      <w:proofErr w:type="spellEnd"/>
      <w:r w:rsidRPr="007C190E">
        <w:rPr>
          <w:rFonts w:eastAsia="Batang"/>
          <w:sz w:val="24"/>
          <w:szCs w:val="24"/>
        </w:rPr>
        <w:t xml:space="preserve"> (II, VII, IX, X). De øvrige bivirkninger, der er angivet i tabellen, er udelukkende rapporteret efter markedsføring</w:t>
      </w:r>
      <w:r w:rsidRPr="007C190E">
        <w:rPr>
          <w:sz w:val="24"/>
          <w:szCs w:val="24"/>
          <w:lang w:eastAsia="de-AT"/>
        </w:rPr>
        <w:t xml:space="preserve"> og hyppigheden blev tildelt ved statistik ud fra en antagelse om, at bivirkningen kunne være opstået i det kliniske studie med 61 patienter.</w:t>
      </w:r>
    </w:p>
    <w:p w14:paraId="0AE668E1" w14:textId="77777777" w:rsidR="00191E23" w:rsidRPr="007C190E" w:rsidRDefault="00191E23" w:rsidP="00191E23">
      <w:pPr>
        <w:autoSpaceDE w:val="0"/>
        <w:autoSpaceDN w:val="0"/>
        <w:adjustRightInd w:val="0"/>
        <w:ind w:left="851"/>
        <w:rPr>
          <w:iCs/>
          <w:sz w:val="24"/>
          <w:szCs w:val="24"/>
          <w:lang w:eastAsia="zh-CN"/>
        </w:rPr>
      </w:pPr>
    </w:p>
    <w:p w14:paraId="44522A4C" w14:textId="77777777" w:rsidR="00191E23" w:rsidRPr="007C190E" w:rsidRDefault="00191E23" w:rsidP="00191E23">
      <w:pPr>
        <w:tabs>
          <w:tab w:val="left" w:pos="720"/>
        </w:tabs>
        <w:ind w:left="851"/>
        <w:rPr>
          <w:sz w:val="24"/>
          <w:szCs w:val="24"/>
        </w:rPr>
      </w:pPr>
      <w:r w:rsidRPr="007C190E">
        <w:rPr>
          <w:sz w:val="24"/>
          <w:szCs w:val="24"/>
        </w:rPr>
        <w:t xml:space="preserve">Bivirkninger ved behandling med </w:t>
      </w:r>
      <w:proofErr w:type="spellStart"/>
      <w:r w:rsidRPr="007C190E">
        <w:rPr>
          <w:sz w:val="24"/>
          <w:szCs w:val="24"/>
        </w:rPr>
        <w:t>Prothromplex</w:t>
      </w:r>
      <w:proofErr w:type="spellEnd"/>
      <w:r w:rsidRPr="007C190E">
        <w:rPr>
          <w:sz w:val="24"/>
          <w:szCs w:val="24"/>
        </w:rPr>
        <w:t xml:space="preserve"> er klassificeret i henhold til </w:t>
      </w:r>
      <w:proofErr w:type="spellStart"/>
      <w:r w:rsidRPr="007C190E">
        <w:rPr>
          <w:sz w:val="24"/>
          <w:szCs w:val="24"/>
        </w:rPr>
        <w:t>MedDRA</w:t>
      </w:r>
      <w:proofErr w:type="spellEnd"/>
      <w:r w:rsidRPr="007C190E">
        <w:rPr>
          <w:sz w:val="24"/>
          <w:szCs w:val="24"/>
        </w:rPr>
        <w:t xml:space="preserve"> systemorganklasse (version 15.1). Inden for hver hyppighed er bivirkninger præsenteret med faldende alvorlighed. Hyppighed defineres som meget almindelig (≥ 1/10), almindelig (≥ 1/100 til &lt; 1/10), ikke almindelig (≥ 1/1 000 til &lt; 1/100), sjælden (≥ 1/10 000 til &lt; 1/1 000) til meget sjælden (&lt; 1/10 000) og ikke kendt (kan ikke estimeres ud fra forhåndenværende data).</w:t>
      </w:r>
    </w:p>
    <w:p w14:paraId="1F2D860B" w14:textId="77777777" w:rsidR="00191E23" w:rsidRPr="007C190E" w:rsidRDefault="00191E23" w:rsidP="00191E23">
      <w:pPr>
        <w:autoSpaceDE w:val="0"/>
        <w:autoSpaceDN w:val="0"/>
        <w:adjustRightInd w:val="0"/>
        <w:ind w:left="851"/>
        <w:rPr>
          <w:sz w:val="24"/>
          <w:szCs w:val="24"/>
          <w:lang w:eastAsia="fr-FR"/>
        </w:rPr>
      </w:pPr>
    </w:p>
    <w:tbl>
      <w:tblPr>
        <w:tblW w:w="5000" w:type="pct"/>
        <w:tblLook w:val="01E0" w:firstRow="1" w:lastRow="1" w:firstColumn="1" w:lastColumn="1" w:noHBand="0" w:noVBand="0"/>
      </w:tblPr>
      <w:tblGrid>
        <w:gridCol w:w="2991"/>
        <w:gridCol w:w="4546"/>
        <w:gridCol w:w="2091"/>
      </w:tblGrid>
      <w:tr w:rsidR="00191E23" w:rsidRPr="00B5420C" w14:paraId="19EAA90F" w14:textId="77777777" w:rsidTr="007C190E">
        <w:trPr>
          <w:cantSplit/>
        </w:trPr>
        <w:tc>
          <w:tcPr>
            <w:tcW w:w="1553" w:type="pct"/>
            <w:tcBorders>
              <w:top w:val="single" w:sz="4" w:space="0" w:color="auto"/>
              <w:left w:val="single" w:sz="4" w:space="0" w:color="auto"/>
              <w:bottom w:val="single" w:sz="4" w:space="0" w:color="auto"/>
              <w:right w:val="single" w:sz="4" w:space="0" w:color="auto"/>
            </w:tcBorders>
            <w:hideMark/>
          </w:tcPr>
          <w:p w14:paraId="307C2512" w14:textId="77777777" w:rsidR="00191E23" w:rsidRPr="00B5420C" w:rsidRDefault="00191E23" w:rsidP="007C190E">
            <w:pPr>
              <w:rPr>
                <w:b/>
                <w:sz w:val="22"/>
                <w:szCs w:val="22"/>
                <w:lang w:eastAsia="de-AT"/>
              </w:rPr>
            </w:pPr>
            <w:r w:rsidRPr="00B5420C">
              <w:rPr>
                <w:b/>
                <w:sz w:val="22"/>
                <w:szCs w:val="22"/>
                <w:lang w:eastAsia="de-AT"/>
              </w:rPr>
              <w:t xml:space="preserve">Systemorganklasse </w:t>
            </w:r>
          </w:p>
        </w:tc>
        <w:tc>
          <w:tcPr>
            <w:tcW w:w="2361" w:type="pct"/>
            <w:tcBorders>
              <w:top w:val="single" w:sz="4" w:space="0" w:color="auto"/>
              <w:left w:val="single" w:sz="4" w:space="0" w:color="auto"/>
              <w:bottom w:val="single" w:sz="4" w:space="0" w:color="auto"/>
              <w:right w:val="single" w:sz="4" w:space="0" w:color="auto"/>
            </w:tcBorders>
            <w:hideMark/>
          </w:tcPr>
          <w:p w14:paraId="25A6EB8C" w14:textId="77777777" w:rsidR="00191E23" w:rsidRPr="00B5420C" w:rsidRDefault="00191E23">
            <w:pPr>
              <w:keepNext/>
              <w:keepLines/>
              <w:ind w:left="62"/>
              <w:rPr>
                <w:b/>
                <w:sz w:val="22"/>
                <w:szCs w:val="22"/>
                <w:lang w:eastAsia="de-AT"/>
              </w:rPr>
            </w:pPr>
            <w:r w:rsidRPr="00B5420C">
              <w:rPr>
                <w:b/>
                <w:sz w:val="22"/>
                <w:szCs w:val="22"/>
                <w:lang w:eastAsia="de-AT"/>
              </w:rPr>
              <w:t>Bivirkning</w:t>
            </w:r>
          </w:p>
        </w:tc>
        <w:tc>
          <w:tcPr>
            <w:tcW w:w="1087" w:type="pct"/>
            <w:tcBorders>
              <w:top w:val="single" w:sz="4" w:space="0" w:color="auto"/>
              <w:left w:val="single" w:sz="4" w:space="0" w:color="auto"/>
              <w:bottom w:val="single" w:sz="4" w:space="0" w:color="auto"/>
              <w:right w:val="single" w:sz="4" w:space="0" w:color="auto"/>
            </w:tcBorders>
            <w:hideMark/>
          </w:tcPr>
          <w:p w14:paraId="0FA722B1" w14:textId="77777777" w:rsidR="00191E23" w:rsidRPr="00B5420C" w:rsidRDefault="00191E23">
            <w:pPr>
              <w:keepNext/>
              <w:keepLines/>
              <w:ind w:left="171"/>
              <w:rPr>
                <w:b/>
                <w:sz w:val="22"/>
                <w:szCs w:val="22"/>
                <w:lang w:eastAsia="de-AT"/>
              </w:rPr>
            </w:pPr>
            <w:r w:rsidRPr="00B5420C">
              <w:rPr>
                <w:b/>
                <w:sz w:val="22"/>
                <w:szCs w:val="22"/>
                <w:lang w:eastAsia="de-AT"/>
              </w:rPr>
              <w:t>Hyppighed</w:t>
            </w:r>
          </w:p>
        </w:tc>
      </w:tr>
      <w:tr w:rsidR="00191E23" w:rsidRPr="00B5420C" w14:paraId="69C121A9" w14:textId="77777777" w:rsidTr="007C190E">
        <w:trPr>
          <w:cantSplit/>
        </w:trPr>
        <w:tc>
          <w:tcPr>
            <w:tcW w:w="1553" w:type="pct"/>
            <w:tcBorders>
              <w:top w:val="single" w:sz="4" w:space="0" w:color="auto"/>
              <w:left w:val="single" w:sz="4" w:space="0" w:color="auto"/>
              <w:bottom w:val="single" w:sz="4" w:space="0" w:color="auto"/>
              <w:right w:val="single" w:sz="4" w:space="0" w:color="auto"/>
            </w:tcBorders>
            <w:hideMark/>
          </w:tcPr>
          <w:p w14:paraId="5A64663C" w14:textId="77777777" w:rsidR="00191E23" w:rsidRPr="00B5420C" w:rsidRDefault="00191E23" w:rsidP="007C190E">
            <w:pPr>
              <w:rPr>
                <w:sz w:val="22"/>
                <w:szCs w:val="22"/>
                <w:lang w:eastAsia="de-AT"/>
              </w:rPr>
            </w:pPr>
            <w:r w:rsidRPr="00B5420C">
              <w:rPr>
                <w:bCs/>
                <w:sz w:val="22"/>
                <w:szCs w:val="22"/>
                <w:lang w:eastAsia="de-AT"/>
              </w:rPr>
              <w:t>Blod og lymfesystem</w:t>
            </w:r>
          </w:p>
        </w:tc>
        <w:tc>
          <w:tcPr>
            <w:tcW w:w="2361" w:type="pct"/>
            <w:tcBorders>
              <w:top w:val="single" w:sz="4" w:space="0" w:color="auto"/>
              <w:left w:val="single" w:sz="4" w:space="0" w:color="auto"/>
              <w:bottom w:val="single" w:sz="4" w:space="0" w:color="auto"/>
              <w:right w:val="single" w:sz="4" w:space="0" w:color="auto"/>
            </w:tcBorders>
            <w:hideMark/>
          </w:tcPr>
          <w:p w14:paraId="58B2F811" w14:textId="77777777" w:rsidR="00191E23" w:rsidRPr="00B5420C" w:rsidRDefault="00191E23">
            <w:pPr>
              <w:autoSpaceDE w:val="0"/>
              <w:autoSpaceDN w:val="0"/>
              <w:adjustRightInd w:val="0"/>
              <w:ind w:left="62"/>
              <w:rPr>
                <w:bCs/>
                <w:sz w:val="22"/>
                <w:szCs w:val="22"/>
                <w:lang w:eastAsia="de-AT"/>
              </w:rPr>
            </w:pPr>
            <w:r w:rsidRPr="00B5420C">
              <w:rPr>
                <w:bCs/>
                <w:sz w:val="22"/>
                <w:szCs w:val="22"/>
                <w:lang w:eastAsia="de-AT"/>
              </w:rPr>
              <w:t xml:space="preserve">Dissemineret </w:t>
            </w:r>
            <w:proofErr w:type="spellStart"/>
            <w:r w:rsidRPr="00B5420C">
              <w:rPr>
                <w:bCs/>
                <w:sz w:val="22"/>
                <w:szCs w:val="22"/>
                <w:lang w:eastAsia="de-AT"/>
              </w:rPr>
              <w:t>intravaskulær</w:t>
            </w:r>
            <w:proofErr w:type="spellEnd"/>
            <w:r w:rsidRPr="00B5420C">
              <w:rPr>
                <w:bCs/>
                <w:sz w:val="22"/>
                <w:szCs w:val="22"/>
                <w:lang w:eastAsia="de-AT"/>
              </w:rPr>
              <w:t xml:space="preserve"> koagulation, </w:t>
            </w:r>
          </w:p>
          <w:p w14:paraId="64E39012" w14:textId="77777777" w:rsidR="00191E23" w:rsidRPr="00B5420C" w:rsidRDefault="00191E23">
            <w:pPr>
              <w:autoSpaceDE w:val="0"/>
              <w:autoSpaceDN w:val="0"/>
              <w:adjustRightInd w:val="0"/>
              <w:ind w:left="62"/>
              <w:rPr>
                <w:sz w:val="22"/>
                <w:szCs w:val="22"/>
                <w:lang w:eastAsia="de-AT"/>
              </w:rPr>
            </w:pPr>
            <w:r w:rsidRPr="00B5420C">
              <w:rPr>
                <w:bCs/>
                <w:sz w:val="22"/>
                <w:szCs w:val="22"/>
                <w:lang w:eastAsia="de-AT"/>
              </w:rPr>
              <w:t xml:space="preserve">Inhibitorer mod en eller flere af </w:t>
            </w:r>
            <w:proofErr w:type="spellStart"/>
            <w:r w:rsidRPr="00B5420C">
              <w:rPr>
                <w:bCs/>
                <w:sz w:val="22"/>
                <w:szCs w:val="22"/>
                <w:lang w:eastAsia="de-AT"/>
              </w:rPr>
              <w:t>protrombinkompleksfaktorerne</w:t>
            </w:r>
            <w:proofErr w:type="spellEnd"/>
            <w:r w:rsidRPr="00B5420C">
              <w:rPr>
                <w:bCs/>
                <w:sz w:val="22"/>
                <w:szCs w:val="22"/>
                <w:lang w:eastAsia="de-AT"/>
              </w:rPr>
              <w:t xml:space="preserve"> </w:t>
            </w:r>
            <w:r w:rsidRPr="00B5420C">
              <w:rPr>
                <w:sz w:val="22"/>
                <w:szCs w:val="22"/>
                <w:lang w:eastAsia="de-AT"/>
              </w:rPr>
              <w:t xml:space="preserve">(faktor II, VII, IX, </w:t>
            </w:r>
            <w:proofErr w:type="gramStart"/>
            <w:r w:rsidRPr="00B5420C">
              <w:rPr>
                <w:sz w:val="22"/>
                <w:szCs w:val="22"/>
                <w:lang w:eastAsia="de-AT"/>
              </w:rPr>
              <w:t>X)</w:t>
            </w:r>
            <w:r w:rsidRPr="00B5420C">
              <w:rPr>
                <w:bCs/>
                <w:sz w:val="22"/>
                <w:szCs w:val="22"/>
                <w:lang w:eastAsia="de-AT"/>
              </w:rPr>
              <w:t>*</w:t>
            </w:r>
            <w:proofErr w:type="gramEnd"/>
          </w:p>
        </w:tc>
        <w:tc>
          <w:tcPr>
            <w:tcW w:w="1087" w:type="pct"/>
            <w:tcBorders>
              <w:top w:val="single" w:sz="4" w:space="0" w:color="auto"/>
              <w:left w:val="single" w:sz="4" w:space="0" w:color="auto"/>
              <w:bottom w:val="single" w:sz="4" w:space="0" w:color="auto"/>
              <w:right w:val="single" w:sz="4" w:space="0" w:color="auto"/>
            </w:tcBorders>
            <w:vAlign w:val="center"/>
            <w:hideMark/>
          </w:tcPr>
          <w:p w14:paraId="091AF1F6" w14:textId="77777777" w:rsidR="00191E23" w:rsidRPr="00B5420C" w:rsidRDefault="00191E23">
            <w:pPr>
              <w:autoSpaceDE w:val="0"/>
              <w:autoSpaceDN w:val="0"/>
              <w:adjustRightInd w:val="0"/>
              <w:ind w:left="171"/>
              <w:rPr>
                <w:bCs/>
                <w:sz w:val="22"/>
                <w:szCs w:val="22"/>
                <w:lang w:eastAsia="fr-FR"/>
              </w:rPr>
            </w:pPr>
            <w:r w:rsidRPr="00B5420C">
              <w:rPr>
                <w:bCs/>
                <w:sz w:val="22"/>
                <w:szCs w:val="22"/>
                <w:lang w:eastAsia="de-AT"/>
              </w:rPr>
              <w:t>Almindelig</w:t>
            </w:r>
          </w:p>
        </w:tc>
      </w:tr>
      <w:tr w:rsidR="00191E23" w:rsidRPr="00B5420C" w14:paraId="630A7BDC" w14:textId="77777777" w:rsidTr="007C190E">
        <w:trPr>
          <w:cantSplit/>
          <w:trHeight w:val="218"/>
        </w:trPr>
        <w:tc>
          <w:tcPr>
            <w:tcW w:w="1553" w:type="pct"/>
            <w:vMerge w:val="restart"/>
            <w:tcBorders>
              <w:top w:val="single" w:sz="4" w:space="0" w:color="auto"/>
              <w:left w:val="single" w:sz="4" w:space="0" w:color="auto"/>
              <w:bottom w:val="single" w:sz="4" w:space="0" w:color="auto"/>
              <w:right w:val="single" w:sz="4" w:space="0" w:color="auto"/>
            </w:tcBorders>
            <w:hideMark/>
          </w:tcPr>
          <w:p w14:paraId="3135528C" w14:textId="77777777" w:rsidR="00191E23" w:rsidRPr="00B5420C" w:rsidRDefault="00191E23" w:rsidP="007C190E">
            <w:pPr>
              <w:rPr>
                <w:sz w:val="22"/>
                <w:szCs w:val="22"/>
                <w:lang w:eastAsia="de-AT"/>
              </w:rPr>
            </w:pPr>
            <w:r w:rsidRPr="00B5420C">
              <w:rPr>
                <w:sz w:val="22"/>
                <w:szCs w:val="22"/>
                <w:lang w:eastAsia="de-AT"/>
              </w:rPr>
              <w:t xml:space="preserve">Immunsystemet </w:t>
            </w:r>
          </w:p>
        </w:tc>
        <w:tc>
          <w:tcPr>
            <w:tcW w:w="2361" w:type="pct"/>
            <w:tcBorders>
              <w:top w:val="single" w:sz="4" w:space="0" w:color="auto"/>
              <w:left w:val="single" w:sz="4" w:space="0" w:color="auto"/>
              <w:bottom w:val="nil"/>
              <w:right w:val="single" w:sz="4" w:space="0" w:color="auto"/>
            </w:tcBorders>
            <w:hideMark/>
          </w:tcPr>
          <w:p w14:paraId="65AC8BE4" w14:textId="77777777" w:rsidR="00191E23" w:rsidRPr="00B5420C" w:rsidRDefault="00191E23">
            <w:pPr>
              <w:ind w:left="62"/>
              <w:rPr>
                <w:sz w:val="22"/>
                <w:szCs w:val="22"/>
                <w:lang w:eastAsia="de-AT"/>
              </w:rPr>
            </w:pPr>
            <w:proofErr w:type="spellStart"/>
            <w:r w:rsidRPr="00B5420C">
              <w:rPr>
                <w:sz w:val="22"/>
                <w:szCs w:val="22"/>
                <w:lang w:eastAsia="de-AT"/>
              </w:rPr>
              <w:t>Anafylaktisk</w:t>
            </w:r>
            <w:proofErr w:type="spellEnd"/>
            <w:r w:rsidRPr="00B5420C">
              <w:rPr>
                <w:sz w:val="22"/>
                <w:szCs w:val="22"/>
                <w:lang w:eastAsia="de-AT"/>
              </w:rPr>
              <w:t xml:space="preserve"> </w:t>
            </w:r>
            <w:proofErr w:type="spellStart"/>
            <w:r w:rsidRPr="00B5420C">
              <w:rPr>
                <w:sz w:val="22"/>
                <w:szCs w:val="22"/>
                <w:lang w:eastAsia="de-AT"/>
              </w:rPr>
              <w:t>shock</w:t>
            </w:r>
            <w:proofErr w:type="spellEnd"/>
            <w:r w:rsidRPr="00B5420C">
              <w:rPr>
                <w:sz w:val="22"/>
                <w:szCs w:val="22"/>
                <w:lang w:eastAsia="de-AT"/>
              </w:rPr>
              <w:t xml:space="preserve">, </w:t>
            </w:r>
          </w:p>
        </w:tc>
        <w:tc>
          <w:tcPr>
            <w:tcW w:w="1087" w:type="pct"/>
            <w:vMerge w:val="restart"/>
            <w:tcBorders>
              <w:top w:val="single" w:sz="4" w:space="0" w:color="auto"/>
              <w:left w:val="single" w:sz="4" w:space="0" w:color="auto"/>
              <w:bottom w:val="single" w:sz="4" w:space="0" w:color="auto"/>
              <w:right w:val="single" w:sz="4" w:space="0" w:color="auto"/>
            </w:tcBorders>
            <w:vAlign w:val="center"/>
            <w:hideMark/>
          </w:tcPr>
          <w:p w14:paraId="277F8B29" w14:textId="77777777" w:rsidR="00191E23" w:rsidRPr="00B5420C" w:rsidRDefault="00191E23">
            <w:pPr>
              <w:overflowPunct w:val="0"/>
              <w:autoSpaceDE w:val="0"/>
              <w:autoSpaceDN w:val="0"/>
              <w:adjustRightInd w:val="0"/>
              <w:ind w:left="171"/>
              <w:textAlignment w:val="baseline"/>
              <w:rPr>
                <w:sz w:val="22"/>
                <w:szCs w:val="22"/>
                <w:lang w:eastAsia="de-AT"/>
              </w:rPr>
            </w:pPr>
            <w:r w:rsidRPr="00B5420C">
              <w:rPr>
                <w:sz w:val="22"/>
                <w:szCs w:val="22"/>
                <w:lang w:eastAsia="de-AT"/>
              </w:rPr>
              <w:t>Almindelig</w:t>
            </w:r>
          </w:p>
        </w:tc>
      </w:tr>
      <w:tr w:rsidR="00191E23" w:rsidRPr="00B5420C" w14:paraId="444690F5" w14:textId="77777777" w:rsidTr="007C190E">
        <w:trPr>
          <w:cantSplit/>
          <w:trHeight w:val="218"/>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243E8A34" w14:textId="77777777" w:rsidR="00191E23" w:rsidRPr="00B5420C" w:rsidRDefault="00191E23" w:rsidP="007C190E">
            <w:pPr>
              <w:rPr>
                <w:sz w:val="22"/>
                <w:szCs w:val="22"/>
                <w:lang w:eastAsia="de-AT"/>
              </w:rPr>
            </w:pPr>
          </w:p>
        </w:tc>
        <w:tc>
          <w:tcPr>
            <w:tcW w:w="2361" w:type="pct"/>
            <w:tcBorders>
              <w:top w:val="nil"/>
              <w:left w:val="single" w:sz="4" w:space="0" w:color="auto"/>
              <w:bottom w:val="nil"/>
              <w:right w:val="single" w:sz="4" w:space="0" w:color="auto"/>
            </w:tcBorders>
            <w:hideMark/>
          </w:tcPr>
          <w:p w14:paraId="0E48BA38" w14:textId="77777777" w:rsidR="00191E23" w:rsidRPr="00B5420C" w:rsidRDefault="00191E23">
            <w:pPr>
              <w:ind w:left="62"/>
              <w:rPr>
                <w:sz w:val="22"/>
                <w:szCs w:val="22"/>
                <w:lang w:eastAsia="de-AT"/>
              </w:rPr>
            </w:pPr>
            <w:proofErr w:type="spellStart"/>
            <w:r w:rsidRPr="00B5420C">
              <w:rPr>
                <w:sz w:val="22"/>
                <w:szCs w:val="22"/>
                <w:lang w:eastAsia="de-AT"/>
              </w:rPr>
              <w:t>Anafylaktisk</w:t>
            </w:r>
            <w:proofErr w:type="spellEnd"/>
            <w:r w:rsidRPr="00B5420C">
              <w:rPr>
                <w:sz w:val="22"/>
                <w:szCs w:val="22"/>
                <w:lang w:eastAsia="de-AT"/>
              </w:rPr>
              <w:t xml:space="preserve"> reaktion,</w:t>
            </w:r>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171CBB35" w14:textId="77777777" w:rsidR="00191E23" w:rsidRPr="00B5420C" w:rsidRDefault="00191E23">
            <w:pPr>
              <w:rPr>
                <w:sz w:val="22"/>
                <w:szCs w:val="22"/>
                <w:lang w:eastAsia="de-AT"/>
              </w:rPr>
            </w:pPr>
          </w:p>
        </w:tc>
      </w:tr>
      <w:tr w:rsidR="00191E23" w:rsidRPr="00B5420C" w14:paraId="2B0406CA" w14:textId="77777777" w:rsidTr="007C190E">
        <w:trPr>
          <w:cantSplit/>
          <w:trHeight w:val="218"/>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6233E364" w14:textId="77777777" w:rsidR="00191E23" w:rsidRPr="00B5420C" w:rsidRDefault="00191E23" w:rsidP="007C190E">
            <w:pPr>
              <w:rPr>
                <w:sz w:val="22"/>
                <w:szCs w:val="22"/>
                <w:lang w:eastAsia="de-AT"/>
              </w:rPr>
            </w:pPr>
          </w:p>
        </w:tc>
        <w:tc>
          <w:tcPr>
            <w:tcW w:w="2361" w:type="pct"/>
            <w:tcBorders>
              <w:top w:val="nil"/>
              <w:left w:val="single" w:sz="4" w:space="0" w:color="auto"/>
              <w:bottom w:val="single" w:sz="4" w:space="0" w:color="auto"/>
              <w:right w:val="single" w:sz="4" w:space="0" w:color="auto"/>
            </w:tcBorders>
            <w:hideMark/>
          </w:tcPr>
          <w:p w14:paraId="7BA74BBD" w14:textId="77777777" w:rsidR="00191E23" w:rsidRPr="00B5420C" w:rsidRDefault="00191E23">
            <w:pPr>
              <w:ind w:left="62"/>
              <w:rPr>
                <w:sz w:val="22"/>
                <w:szCs w:val="22"/>
                <w:lang w:eastAsia="de-AT"/>
              </w:rPr>
            </w:pPr>
            <w:r w:rsidRPr="00B5420C">
              <w:rPr>
                <w:sz w:val="22"/>
                <w:szCs w:val="22"/>
                <w:lang w:eastAsia="de-AT"/>
              </w:rPr>
              <w:t>Overfølsomhed</w:t>
            </w:r>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5C119EC0" w14:textId="77777777" w:rsidR="00191E23" w:rsidRPr="00B5420C" w:rsidRDefault="00191E23">
            <w:pPr>
              <w:rPr>
                <w:sz w:val="22"/>
                <w:szCs w:val="22"/>
                <w:lang w:eastAsia="de-AT"/>
              </w:rPr>
            </w:pPr>
          </w:p>
        </w:tc>
      </w:tr>
      <w:tr w:rsidR="00191E23" w:rsidRPr="00B5420C" w14:paraId="6D4A15E0" w14:textId="77777777" w:rsidTr="007C190E">
        <w:trPr>
          <w:cantSplit/>
          <w:trHeight w:val="218"/>
        </w:trPr>
        <w:tc>
          <w:tcPr>
            <w:tcW w:w="1553" w:type="pct"/>
            <w:vMerge w:val="restart"/>
            <w:tcBorders>
              <w:top w:val="single" w:sz="4" w:space="0" w:color="auto"/>
              <w:left w:val="single" w:sz="4" w:space="0" w:color="auto"/>
              <w:bottom w:val="single" w:sz="4" w:space="0" w:color="auto"/>
              <w:right w:val="single" w:sz="4" w:space="0" w:color="auto"/>
            </w:tcBorders>
            <w:hideMark/>
          </w:tcPr>
          <w:p w14:paraId="54854175" w14:textId="77777777" w:rsidR="00191E23" w:rsidRPr="00B5420C" w:rsidRDefault="00191E23" w:rsidP="007C190E">
            <w:pPr>
              <w:rPr>
                <w:sz w:val="22"/>
                <w:szCs w:val="22"/>
                <w:lang w:eastAsia="de-AT"/>
              </w:rPr>
            </w:pPr>
            <w:r w:rsidRPr="00B5420C">
              <w:rPr>
                <w:sz w:val="22"/>
                <w:szCs w:val="22"/>
                <w:lang w:eastAsia="de-AT"/>
              </w:rPr>
              <w:t>Nervesystemet</w:t>
            </w:r>
          </w:p>
        </w:tc>
        <w:tc>
          <w:tcPr>
            <w:tcW w:w="2361" w:type="pct"/>
            <w:tcBorders>
              <w:top w:val="single" w:sz="4" w:space="0" w:color="auto"/>
              <w:left w:val="single" w:sz="4" w:space="0" w:color="auto"/>
              <w:bottom w:val="nil"/>
              <w:right w:val="single" w:sz="4" w:space="0" w:color="auto"/>
            </w:tcBorders>
            <w:hideMark/>
          </w:tcPr>
          <w:p w14:paraId="172D09B0" w14:textId="77777777" w:rsidR="00191E23" w:rsidRPr="00B5420C" w:rsidRDefault="00191E23">
            <w:pPr>
              <w:ind w:left="62"/>
              <w:rPr>
                <w:sz w:val="22"/>
                <w:szCs w:val="22"/>
                <w:lang w:eastAsia="de-AT"/>
              </w:rPr>
            </w:pPr>
            <w:proofErr w:type="spellStart"/>
            <w:r w:rsidRPr="00B5420C">
              <w:rPr>
                <w:bCs/>
                <w:sz w:val="22"/>
                <w:szCs w:val="22"/>
                <w:lang w:eastAsia="de-AT"/>
              </w:rPr>
              <w:t>Cerebrovaskulær</w:t>
            </w:r>
            <w:proofErr w:type="spellEnd"/>
            <w:r w:rsidRPr="00B5420C">
              <w:rPr>
                <w:bCs/>
                <w:sz w:val="22"/>
                <w:szCs w:val="22"/>
                <w:lang w:eastAsia="de-AT"/>
              </w:rPr>
              <w:t xml:space="preserve"> hændelse, </w:t>
            </w:r>
          </w:p>
        </w:tc>
        <w:tc>
          <w:tcPr>
            <w:tcW w:w="1087" w:type="pct"/>
            <w:vMerge w:val="restart"/>
            <w:tcBorders>
              <w:top w:val="single" w:sz="4" w:space="0" w:color="auto"/>
              <w:left w:val="single" w:sz="4" w:space="0" w:color="auto"/>
              <w:bottom w:val="single" w:sz="4" w:space="0" w:color="auto"/>
              <w:right w:val="single" w:sz="4" w:space="0" w:color="auto"/>
            </w:tcBorders>
            <w:vAlign w:val="center"/>
            <w:hideMark/>
          </w:tcPr>
          <w:p w14:paraId="35D952CB" w14:textId="77777777" w:rsidR="00191E23" w:rsidRPr="00B5420C" w:rsidRDefault="00191E23">
            <w:pPr>
              <w:ind w:left="171"/>
              <w:rPr>
                <w:bCs/>
                <w:sz w:val="22"/>
                <w:szCs w:val="22"/>
                <w:lang w:eastAsia="fr-FR"/>
              </w:rPr>
            </w:pPr>
            <w:r w:rsidRPr="00B5420C">
              <w:rPr>
                <w:bCs/>
                <w:sz w:val="22"/>
                <w:szCs w:val="22"/>
                <w:lang w:eastAsia="de-AT"/>
              </w:rPr>
              <w:t>Almindelig</w:t>
            </w:r>
          </w:p>
        </w:tc>
      </w:tr>
      <w:tr w:rsidR="00191E23" w:rsidRPr="00B5420C" w14:paraId="7D23E0EF" w14:textId="77777777" w:rsidTr="007C190E">
        <w:trPr>
          <w:cantSplit/>
          <w:trHeight w:val="218"/>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4E36344D" w14:textId="77777777" w:rsidR="00191E23" w:rsidRPr="00B5420C" w:rsidRDefault="00191E23" w:rsidP="007C190E">
            <w:pPr>
              <w:rPr>
                <w:sz w:val="22"/>
                <w:szCs w:val="22"/>
                <w:lang w:eastAsia="de-AT"/>
              </w:rPr>
            </w:pPr>
          </w:p>
        </w:tc>
        <w:tc>
          <w:tcPr>
            <w:tcW w:w="2361" w:type="pct"/>
            <w:tcBorders>
              <w:top w:val="nil"/>
              <w:left w:val="single" w:sz="4" w:space="0" w:color="auto"/>
              <w:bottom w:val="single" w:sz="4" w:space="0" w:color="auto"/>
              <w:right w:val="single" w:sz="4" w:space="0" w:color="auto"/>
            </w:tcBorders>
            <w:hideMark/>
          </w:tcPr>
          <w:p w14:paraId="1081469E" w14:textId="77777777" w:rsidR="00191E23" w:rsidRPr="00B5420C" w:rsidRDefault="00191E23">
            <w:pPr>
              <w:ind w:left="62"/>
              <w:rPr>
                <w:bCs/>
                <w:sz w:val="22"/>
                <w:szCs w:val="22"/>
                <w:lang w:eastAsia="fr-FR"/>
              </w:rPr>
            </w:pPr>
            <w:r w:rsidRPr="00B5420C">
              <w:rPr>
                <w:bCs/>
                <w:sz w:val="22"/>
                <w:szCs w:val="22"/>
                <w:lang w:eastAsia="de-AT"/>
              </w:rPr>
              <w:t>Hovedpine</w:t>
            </w:r>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4A7ECA4E" w14:textId="77777777" w:rsidR="00191E23" w:rsidRPr="00B5420C" w:rsidRDefault="00191E23">
            <w:pPr>
              <w:rPr>
                <w:bCs/>
                <w:sz w:val="22"/>
                <w:szCs w:val="22"/>
                <w:lang w:eastAsia="fr-FR"/>
              </w:rPr>
            </w:pPr>
          </w:p>
        </w:tc>
      </w:tr>
      <w:tr w:rsidR="00191E23" w:rsidRPr="00B5420C" w14:paraId="30900917" w14:textId="77777777" w:rsidTr="007C190E">
        <w:trPr>
          <w:cantSplit/>
          <w:trHeight w:val="180"/>
        </w:trPr>
        <w:tc>
          <w:tcPr>
            <w:tcW w:w="1553" w:type="pct"/>
            <w:vMerge w:val="restart"/>
            <w:tcBorders>
              <w:top w:val="single" w:sz="4" w:space="0" w:color="auto"/>
              <w:left w:val="single" w:sz="4" w:space="0" w:color="auto"/>
              <w:bottom w:val="single" w:sz="4" w:space="0" w:color="auto"/>
              <w:right w:val="single" w:sz="4" w:space="0" w:color="auto"/>
            </w:tcBorders>
            <w:hideMark/>
          </w:tcPr>
          <w:p w14:paraId="64791F6B" w14:textId="77777777" w:rsidR="00191E23" w:rsidRPr="00B5420C" w:rsidRDefault="00191E23" w:rsidP="007C190E">
            <w:pPr>
              <w:rPr>
                <w:sz w:val="22"/>
                <w:szCs w:val="22"/>
                <w:lang w:eastAsia="de-AT"/>
              </w:rPr>
            </w:pPr>
            <w:r w:rsidRPr="00B5420C">
              <w:rPr>
                <w:sz w:val="22"/>
                <w:szCs w:val="22"/>
                <w:lang w:eastAsia="de-AT"/>
              </w:rPr>
              <w:lastRenderedPageBreak/>
              <w:t>Hjerte</w:t>
            </w:r>
          </w:p>
        </w:tc>
        <w:tc>
          <w:tcPr>
            <w:tcW w:w="2361" w:type="pct"/>
            <w:tcBorders>
              <w:top w:val="single" w:sz="4" w:space="0" w:color="auto"/>
              <w:left w:val="single" w:sz="4" w:space="0" w:color="auto"/>
              <w:bottom w:val="nil"/>
              <w:right w:val="single" w:sz="4" w:space="0" w:color="auto"/>
            </w:tcBorders>
            <w:hideMark/>
          </w:tcPr>
          <w:p w14:paraId="15B7299C" w14:textId="77777777" w:rsidR="00191E23" w:rsidRPr="00B5420C" w:rsidRDefault="00191E23">
            <w:pPr>
              <w:ind w:left="62"/>
              <w:rPr>
                <w:sz w:val="22"/>
                <w:szCs w:val="22"/>
                <w:lang w:eastAsia="de-AT"/>
              </w:rPr>
            </w:pPr>
            <w:r w:rsidRPr="00B5420C">
              <w:rPr>
                <w:sz w:val="22"/>
                <w:szCs w:val="22"/>
                <w:lang w:eastAsia="de-AT"/>
              </w:rPr>
              <w:t xml:space="preserve">Hjertesvigt, </w:t>
            </w:r>
          </w:p>
        </w:tc>
        <w:tc>
          <w:tcPr>
            <w:tcW w:w="1087" w:type="pct"/>
            <w:vMerge w:val="restart"/>
            <w:tcBorders>
              <w:top w:val="single" w:sz="4" w:space="0" w:color="auto"/>
              <w:left w:val="single" w:sz="4" w:space="0" w:color="auto"/>
              <w:bottom w:val="single" w:sz="4" w:space="0" w:color="auto"/>
              <w:right w:val="single" w:sz="4" w:space="0" w:color="auto"/>
            </w:tcBorders>
            <w:vAlign w:val="center"/>
            <w:hideMark/>
          </w:tcPr>
          <w:p w14:paraId="2EC40211" w14:textId="77777777" w:rsidR="00191E23" w:rsidRPr="00B5420C" w:rsidRDefault="00191E23">
            <w:pPr>
              <w:ind w:left="171"/>
              <w:rPr>
                <w:sz w:val="22"/>
                <w:szCs w:val="22"/>
                <w:lang w:eastAsia="de-AT"/>
              </w:rPr>
            </w:pPr>
            <w:r w:rsidRPr="00B5420C">
              <w:rPr>
                <w:bCs/>
                <w:sz w:val="22"/>
                <w:szCs w:val="22"/>
                <w:lang w:eastAsia="de-AT"/>
              </w:rPr>
              <w:t>Almindelig</w:t>
            </w:r>
          </w:p>
        </w:tc>
      </w:tr>
      <w:tr w:rsidR="00191E23" w:rsidRPr="00B5420C" w14:paraId="391E9F0D" w14:textId="77777777" w:rsidTr="007C190E">
        <w:trPr>
          <w:cantSplit/>
          <w:trHeight w:val="18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20B972B3" w14:textId="77777777" w:rsidR="00191E23" w:rsidRPr="00B5420C" w:rsidRDefault="00191E23" w:rsidP="007C190E">
            <w:pPr>
              <w:rPr>
                <w:sz w:val="22"/>
                <w:szCs w:val="22"/>
                <w:lang w:eastAsia="de-AT"/>
              </w:rPr>
            </w:pPr>
          </w:p>
        </w:tc>
        <w:tc>
          <w:tcPr>
            <w:tcW w:w="2361" w:type="pct"/>
            <w:tcBorders>
              <w:top w:val="nil"/>
              <w:left w:val="single" w:sz="4" w:space="0" w:color="auto"/>
              <w:bottom w:val="nil"/>
              <w:right w:val="single" w:sz="4" w:space="0" w:color="auto"/>
            </w:tcBorders>
            <w:hideMark/>
          </w:tcPr>
          <w:p w14:paraId="0572117A" w14:textId="77777777" w:rsidR="00191E23" w:rsidRPr="00B5420C" w:rsidRDefault="00191E23">
            <w:pPr>
              <w:ind w:left="62"/>
              <w:rPr>
                <w:sz w:val="22"/>
                <w:szCs w:val="22"/>
                <w:lang w:eastAsia="de-AT"/>
              </w:rPr>
            </w:pPr>
            <w:r w:rsidRPr="00B5420C">
              <w:rPr>
                <w:bCs/>
                <w:sz w:val="22"/>
                <w:szCs w:val="22"/>
                <w:lang w:eastAsia="de-AT"/>
              </w:rPr>
              <w:t>Akut myokardieinfarkt**,</w:t>
            </w:r>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04151DA3" w14:textId="77777777" w:rsidR="00191E23" w:rsidRPr="00B5420C" w:rsidRDefault="00191E23">
            <w:pPr>
              <w:rPr>
                <w:sz w:val="22"/>
                <w:szCs w:val="22"/>
                <w:lang w:eastAsia="de-AT"/>
              </w:rPr>
            </w:pPr>
          </w:p>
        </w:tc>
      </w:tr>
      <w:tr w:rsidR="00191E23" w:rsidRPr="00B5420C" w14:paraId="120B98CF" w14:textId="77777777" w:rsidTr="007C190E">
        <w:trPr>
          <w:cantSplit/>
          <w:trHeight w:val="18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66C88F56" w14:textId="77777777" w:rsidR="00191E23" w:rsidRPr="00B5420C" w:rsidRDefault="00191E23" w:rsidP="007C190E">
            <w:pPr>
              <w:rPr>
                <w:sz w:val="22"/>
                <w:szCs w:val="22"/>
                <w:lang w:eastAsia="de-AT"/>
              </w:rPr>
            </w:pPr>
          </w:p>
        </w:tc>
        <w:tc>
          <w:tcPr>
            <w:tcW w:w="2361" w:type="pct"/>
            <w:tcBorders>
              <w:top w:val="nil"/>
              <w:left w:val="single" w:sz="4" w:space="0" w:color="auto"/>
              <w:bottom w:val="single" w:sz="4" w:space="0" w:color="auto"/>
              <w:right w:val="single" w:sz="4" w:space="0" w:color="auto"/>
            </w:tcBorders>
            <w:hideMark/>
          </w:tcPr>
          <w:p w14:paraId="372FB960" w14:textId="77777777" w:rsidR="00191E23" w:rsidRPr="00B5420C" w:rsidRDefault="00191E23">
            <w:pPr>
              <w:ind w:left="62"/>
              <w:rPr>
                <w:sz w:val="22"/>
                <w:szCs w:val="22"/>
                <w:lang w:eastAsia="de-AT"/>
              </w:rPr>
            </w:pPr>
            <w:proofErr w:type="spellStart"/>
            <w:r w:rsidRPr="00B5420C">
              <w:rPr>
                <w:bCs/>
                <w:sz w:val="22"/>
                <w:szCs w:val="22"/>
                <w:lang w:eastAsia="de-AT"/>
              </w:rPr>
              <w:t>Takykardi</w:t>
            </w:r>
            <w:proofErr w:type="spellEnd"/>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3CE75744" w14:textId="77777777" w:rsidR="00191E23" w:rsidRPr="00B5420C" w:rsidRDefault="00191E23">
            <w:pPr>
              <w:rPr>
                <w:sz w:val="22"/>
                <w:szCs w:val="22"/>
                <w:lang w:eastAsia="de-AT"/>
              </w:rPr>
            </w:pPr>
          </w:p>
        </w:tc>
      </w:tr>
      <w:tr w:rsidR="00191E23" w:rsidRPr="00B5420C" w14:paraId="23825D73" w14:textId="77777777" w:rsidTr="007C190E">
        <w:trPr>
          <w:cantSplit/>
          <w:trHeight w:val="185"/>
        </w:trPr>
        <w:tc>
          <w:tcPr>
            <w:tcW w:w="1553" w:type="pct"/>
            <w:vMerge w:val="restart"/>
            <w:tcBorders>
              <w:top w:val="single" w:sz="4" w:space="0" w:color="auto"/>
              <w:left w:val="single" w:sz="4" w:space="0" w:color="auto"/>
              <w:bottom w:val="single" w:sz="4" w:space="0" w:color="auto"/>
              <w:right w:val="single" w:sz="4" w:space="0" w:color="auto"/>
            </w:tcBorders>
            <w:hideMark/>
          </w:tcPr>
          <w:p w14:paraId="61F1ED27" w14:textId="77777777" w:rsidR="00191E23" w:rsidRPr="00B5420C" w:rsidRDefault="00191E23" w:rsidP="007C190E">
            <w:pPr>
              <w:rPr>
                <w:caps/>
                <w:sz w:val="22"/>
                <w:szCs w:val="22"/>
                <w:lang w:eastAsia="de-AT"/>
              </w:rPr>
            </w:pPr>
            <w:r w:rsidRPr="00B5420C">
              <w:rPr>
                <w:caps/>
                <w:sz w:val="22"/>
                <w:szCs w:val="22"/>
                <w:lang w:eastAsia="de-AT"/>
              </w:rPr>
              <w:t>V</w:t>
            </w:r>
            <w:proofErr w:type="spellStart"/>
            <w:r w:rsidRPr="00B5420C">
              <w:rPr>
                <w:sz w:val="22"/>
                <w:szCs w:val="22"/>
                <w:lang w:val="de-AT" w:eastAsia="de-AT"/>
              </w:rPr>
              <w:t>askulære</w:t>
            </w:r>
            <w:proofErr w:type="spellEnd"/>
            <w:r w:rsidRPr="00B5420C">
              <w:rPr>
                <w:sz w:val="22"/>
                <w:szCs w:val="22"/>
                <w:lang w:val="de-AT" w:eastAsia="de-AT"/>
              </w:rPr>
              <w:t xml:space="preserve"> </w:t>
            </w:r>
            <w:proofErr w:type="spellStart"/>
            <w:r w:rsidRPr="00B5420C">
              <w:rPr>
                <w:sz w:val="22"/>
                <w:szCs w:val="22"/>
                <w:lang w:val="de-AT" w:eastAsia="de-AT"/>
              </w:rPr>
              <w:t>sygdomme</w:t>
            </w:r>
            <w:proofErr w:type="spellEnd"/>
          </w:p>
        </w:tc>
        <w:tc>
          <w:tcPr>
            <w:tcW w:w="2361" w:type="pct"/>
            <w:tcBorders>
              <w:top w:val="single" w:sz="4" w:space="0" w:color="auto"/>
              <w:left w:val="single" w:sz="4" w:space="0" w:color="auto"/>
              <w:bottom w:val="nil"/>
              <w:right w:val="single" w:sz="4" w:space="0" w:color="auto"/>
            </w:tcBorders>
            <w:hideMark/>
          </w:tcPr>
          <w:p w14:paraId="1923D49A" w14:textId="77777777" w:rsidR="00191E23" w:rsidRPr="00B5420C" w:rsidRDefault="00191E23">
            <w:pPr>
              <w:ind w:left="34"/>
              <w:rPr>
                <w:sz w:val="22"/>
                <w:szCs w:val="22"/>
                <w:lang w:eastAsia="de-AT"/>
              </w:rPr>
            </w:pPr>
            <w:r w:rsidRPr="00B5420C">
              <w:rPr>
                <w:bCs/>
                <w:sz w:val="22"/>
                <w:szCs w:val="22"/>
                <w:lang w:eastAsia="de-AT"/>
              </w:rPr>
              <w:t xml:space="preserve">Arterietrombose, </w:t>
            </w:r>
          </w:p>
        </w:tc>
        <w:tc>
          <w:tcPr>
            <w:tcW w:w="1087" w:type="pct"/>
            <w:vMerge w:val="restart"/>
            <w:tcBorders>
              <w:top w:val="single" w:sz="4" w:space="0" w:color="auto"/>
              <w:left w:val="single" w:sz="4" w:space="0" w:color="auto"/>
              <w:bottom w:val="single" w:sz="4" w:space="0" w:color="auto"/>
              <w:right w:val="single" w:sz="4" w:space="0" w:color="auto"/>
            </w:tcBorders>
            <w:vAlign w:val="center"/>
            <w:hideMark/>
          </w:tcPr>
          <w:p w14:paraId="0E9FCCD9" w14:textId="77777777" w:rsidR="00191E23" w:rsidRPr="00B5420C" w:rsidRDefault="00191E23">
            <w:pPr>
              <w:overflowPunct w:val="0"/>
              <w:autoSpaceDE w:val="0"/>
              <w:autoSpaceDN w:val="0"/>
              <w:adjustRightInd w:val="0"/>
              <w:ind w:left="171"/>
              <w:textAlignment w:val="baseline"/>
              <w:rPr>
                <w:bCs/>
                <w:sz w:val="22"/>
                <w:szCs w:val="22"/>
                <w:lang w:eastAsia="fr-FR"/>
              </w:rPr>
            </w:pPr>
            <w:r w:rsidRPr="00B5420C">
              <w:rPr>
                <w:bCs/>
                <w:sz w:val="22"/>
                <w:szCs w:val="22"/>
                <w:lang w:eastAsia="de-AT"/>
              </w:rPr>
              <w:t>Almindelig</w:t>
            </w:r>
          </w:p>
        </w:tc>
      </w:tr>
      <w:tr w:rsidR="00191E23" w:rsidRPr="00B5420C" w14:paraId="4FAD8F5C" w14:textId="77777777" w:rsidTr="007C190E">
        <w:trPr>
          <w:cantSplit/>
          <w:trHeight w:val="181"/>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5B47DC98" w14:textId="77777777" w:rsidR="00191E23" w:rsidRPr="00B5420C" w:rsidRDefault="00191E23" w:rsidP="007C190E">
            <w:pPr>
              <w:rPr>
                <w:caps/>
                <w:sz w:val="22"/>
                <w:szCs w:val="22"/>
                <w:lang w:eastAsia="de-AT"/>
              </w:rPr>
            </w:pPr>
          </w:p>
        </w:tc>
        <w:tc>
          <w:tcPr>
            <w:tcW w:w="2361" w:type="pct"/>
            <w:tcBorders>
              <w:top w:val="nil"/>
              <w:left w:val="single" w:sz="4" w:space="0" w:color="auto"/>
              <w:bottom w:val="nil"/>
              <w:right w:val="single" w:sz="4" w:space="0" w:color="auto"/>
            </w:tcBorders>
            <w:hideMark/>
          </w:tcPr>
          <w:p w14:paraId="6EE6888F" w14:textId="77777777" w:rsidR="00191E23" w:rsidRPr="00B5420C" w:rsidRDefault="00191E23">
            <w:pPr>
              <w:autoSpaceDE w:val="0"/>
              <w:autoSpaceDN w:val="0"/>
              <w:adjustRightInd w:val="0"/>
              <w:ind w:left="62"/>
              <w:rPr>
                <w:bCs/>
                <w:sz w:val="22"/>
                <w:szCs w:val="22"/>
                <w:lang w:eastAsia="fr-FR"/>
              </w:rPr>
            </w:pPr>
            <w:r w:rsidRPr="00B5420C">
              <w:rPr>
                <w:bCs/>
                <w:sz w:val="22"/>
                <w:szCs w:val="22"/>
                <w:lang w:eastAsia="de-AT"/>
              </w:rPr>
              <w:t>Venetrombose**,</w:t>
            </w:r>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1D11D1E2" w14:textId="77777777" w:rsidR="00191E23" w:rsidRPr="00B5420C" w:rsidRDefault="00191E23">
            <w:pPr>
              <w:rPr>
                <w:bCs/>
                <w:sz w:val="22"/>
                <w:szCs w:val="22"/>
                <w:lang w:eastAsia="fr-FR"/>
              </w:rPr>
            </w:pPr>
          </w:p>
        </w:tc>
      </w:tr>
      <w:tr w:rsidR="00191E23" w:rsidRPr="00B5420C" w14:paraId="4422A42E" w14:textId="77777777" w:rsidTr="007C190E">
        <w:trPr>
          <w:cantSplit/>
          <w:trHeight w:val="181"/>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5061A878" w14:textId="77777777" w:rsidR="00191E23" w:rsidRPr="00B5420C" w:rsidRDefault="00191E23" w:rsidP="007C190E">
            <w:pPr>
              <w:rPr>
                <w:caps/>
                <w:sz w:val="22"/>
                <w:szCs w:val="22"/>
                <w:lang w:eastAsia="de-AT"/>
              </w:rPr>
            </w:pPr>
          </w:p>
        </w:tc>
        <w:tc>
          <w:tcPr>
            <w:tcW w:w="2361" w:type="pct"/>
            <w:tcBorders>
              <w:top w:val="nil"/>
              <w:left w:val="single" w:sz="4" w:space="0" w:color="auto"/>
              <w:bottom w:val="nil"/>
              <w:right w:val="single" w:sz="4" w:space="0" w:color="auto"/>
            </w:tcBorders>
            <w:hideMark/>
          </w:tcPr>
          <w:p w14:paraId="4D88DA96" w14:textId="77777777" w:rsidR="00191E23" w:rsidRPr="00B5420C" w:rsidRDefault="00191E23">
            <w:pPr>
              <w:autoSpaceDE w:val="0"/>
              <w:autoSpaceDN w:val="0"/>
              <w:adjustRightInd w:val="0"/>
              <w:ind w:left="62"/>
              <w:rPr>
                <w:bCs/>
                <w:sz w:val="22"/>
                <w:szCs w:val="22"/>
                <w:lang w:eastAsia="fr-FR"/>
              </w:rPr>
            </w:pPr>
            <w:r w:rsidRPr="00B5420C">
              <w:rPr>
                <w:bCs/>
                <w:sz w:val="22"/>
                <w:szCs w:val="22"/>
                <w:lang w:eastAsia="de-AT"/>
              </w:rPr>
              <w:t>Hypotension,</w:t>
            </w:r>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163681EA" w14:textId="77777777" w:rsidR="00191E23" w:rsidRPr="00B5420C" w:rsidRDefault="00191E23">
            <w:pPr>
              <w:rPr>
                <w:bCs/>
                <w:sz w:val="22"/>
                <w:szCs w:val="22"/>
                <w:lang w:eastAsia="fr-FR"/>
              </w:rPr>
            </w:pPr>
          </w:p>
        </w:tc>
      </w:tr>
      <w:tr w:rsidR="00191E23" w:rsidRPr="00B5420C" w14:paraId="2BB16014" w14:textId="77777777" w:rsidTr="007C190E">
        <w:trPr>
          <w:cantSplit/>
          <w:trHeight w:val="274"/>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00015F11" w14:textId="77777777" w:rsidR="00191E23" w:rsidRPr="00B5420C" w:rsidRDefault="00191E23" w:rsidP="007C190E">
            <w:pPr>
              <w:rPr>
                <w:caps/>
                <w:sz w:val="22"/>
                <w:szCs w:val="22"/>
                <w:lang w:eastAsia="de-AT"/>
              </w:rPr>
            </w:pPr>
          </w:p>
        </w:tc>
        <w:tc>
          <w:tcPr>
            <w:tcW w:w="2361" w:type="pct"/>
            <w:tcBorders>
              <w:top w:val="nil"/>
              <w:left w:val="single" w:sz="4" w:space="0" w:color="auto"/>
              <w:bottom w:val="single" w:sz="4" w:space="0" w:color="auto"/>
              <w:right w:val="single" w:sz="4" w:space="0" w:color="auto"/>
            </w:tcBorders>
            <w:hideMark/>
          </w:tcPr>
          <w:p w14:paraId="4FA8C74C" w14:textId="77777777" w:rsidR="00191E23" w:rsidRPr="00B5420C" w:rsidRDefault="00191E23">
            <w:pPr>
              <w:autoSpaceDE w:val="0"/>
              <w:autoSpaceDN w:val="0"/>
              <w:adjustRightInd w:val="0"/>
              <w:ind w:left="62"/>
              <w:rPr>
                <w:bCs/>
                <w:sz w:val="22"/>
                <w:szCs w:val="22"/>
                <w:lang w:eastAsia="fr-FR"/>
              </w:rPr>
            </w:pPr>
            <w:r w:rsidRPr="00B5420C">
              <w:rPr>
                <w:bCs/>
                <w:sz w:val="22"/>
                <w:szCs w:val="22"/>
                <w:lang w:eastAsia="de-AT"/>
              </w:rPr>
              <w:t>Rødmen</w:t>
            </w:r>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18F28A53" w14:textId="77777777" w:rsidR="00191E23" w:rsidRPr="00B5420C" w:rsidRDefault="00191E23">
            <w:pPr>
              <w:rPr>
                <w:bCs/>
                <w:sz w:val="22"/>
                <w:szCs w:val="22"/>
                <w:lang w:eastAsia="fr-FR"/>
              </w:rPr>
            </w:pPr>
          </w:p>
        </w:tc>
      </w:tr>
      <w:tr w:rsidR="00191E23" w:rsidRPr="00B5420C" w14:paraId="5F7AE765" w14:textId="77777777" w:rsidTr="007C190E">
        <w:trPr>
          <w:cantSplit/>
          <w:trHeight w:val="146"/>
        </w:trPr>
        <w:tc>
          <w:tcPr>
            <w:tcW w:w="1553" w:type="pct"/>
            <w:vMerge w:val="restart"/>
            <w:tcBorders>
              <w:top w:val="single" w:sz="4" w:space="0" w:color="auto"/>
              <w:left w:val="single" w:sz="4" w:space="0" w:color="auto"/>
              <w:bottom w:val="single" w:sz="4" w:space="0" w:color="auto"/>
              <w:right w:val="single" w:sz="4" w:space="0" w:color="auto"/>
            </w:tcBorders>
            <w:hideMark/>
          </w:tcPr>
          <w:p w14:paraId="4EBFB582" w14:textId="77777777" w:rsidR="00191E23" w:rsidRPr="00B5420C" w:rsidRDefault="00191E23" w:rsidP="007C190E">
            <w:pPr>
              <w:rPr>
                <w:caps/>
                <w:sz w:val="22"/>
                <w:szCs w:val="22"/>
                <w:lang w:eastAsia="de-AT"/>
              </w:rPr>
            </w:pPr>
            <w:r w:rsidRPr="00B5420C">
              <w:rPr>
                <w:caps/>
                <w:sz w:val="22"/>
                <w:szCs w:val="22"/>
                <w:lang w:eastAsia="de-AT"/>
              </w:rPr>
              <w:t>L</w:t>
            </w:r>
            <w:proofErr w:type="spellStart"/>
            <w:r w:rsidRPr="00B5420C">
              <w:rPr>
                <w:sz w:val="22"/>
                <w:szCs w:val="22"/>
                <w:lang w:val="de-AT" w:eastAsia="de-AT"/>
              </w:rPr>
              <w:t>uftveje</w:t>
            </w:r>
            <w:proofErr w:type="spellEnd"/>
            <w:r w:rsidRPr="00B5420C">
              <w:rPr>
                <w:sz w:val="22"/>
                <w:szCs w:val="22"/>
                <w:lang w:val="de-AT" w:eastAsia="de-AT"/>
              </w:rPr>
              <w:t xml:space="preserve">, </w:t>
            </w:r>
            <w:proofErr w:type="spellStart"/>
            <w:r w:rsidRPr="00B5420C">
              <w:rPr>
                <w:sz w:val="22"/>
                <w:szCs w:val="22"/>
                <w:lang w:val="de-AT" w:eastAsia="de-AT"/>
              </w:rPr>
              <w:t>thorax</w:t>
            </w:r>
            <w:proofErr w:type="spellEnd"/>
            <w:r w:rsidRPr="00B5420C">
              <w:rPr>
                <w:sz w:val="22"/>
                <w:szCs w:val="22"/>
                <w:lang w:val="de-AT" w:eastAsia="de-AT"/>
              </w:rPr>
              <w:t xml:space="preserve"> og </w:t>
            </w:r>
            <w:proofErr w:type="spellStart"/>
            <w:r w:rsidRPr="00B5420C">
              <w:rPr>
                <w:sz w:val="22"/>
                <w:szCs w:val="22"/>
                <w:lang w:val="de-AT" w:eastAsia="de-AT"/>
              </w:rPr>
              <w:t>mediastinum</w:t>
            </w:r>
            <w:proofErr w:type="spellEnd"/>
          </w:p>
        </w:tc>
        <w:tc>
          <w:tcPr>
            <w:tcW w:w="2361" w:type="pct"/>
            <w:tcBorders>
              <w:top w:val="single" w:sz="4" w:space="0" w:color="auto"/>
              <w:left w:val="single" w:sz="4" w:space="0" w:color="auto"/>
              <w:bottom w:val="nil"/>
              <w:right w:val="single" w:sz="4" w:space="0" w:color="auto"/>
            </w:tcBorders>
            <w:hideMark/>
          </w:tcPr>
          <w:p w14:paraId="2BA318B1" w14:textId="77777777" w:rsidR="00191E23" w:rsidRPr="00B5420C" w:rsidRDefault="00191E23">
            <w:pPr>
              <w:ind w:left="62"/>
              <w:rPr>
                <w:sz w:val="22"/>
                <w:szCs w:val="22"/>
                <w:lang w:eastAsia="de-AT"/>
              </w:rPr>
            </w:pPr>
            <w:proofErr w:type="spellStart"/>
            <w:r w:rsidRPr="00B5420C">
              <w:rPr>
                <w:sz w:val="22"/>
                <w:szCs w:val="22"/>
                <w:lang w:eastAsia="de-AT"/>
              </w:rPr>
              <w:t>Lungeemboli</w:t>
            </w:r>
            <w:proofErr w:type="spellEnd"/>
            <w:r w:rsidRPr="00B5420C">
              <w:rPr>
                <w:sz w:val="22"/>
                <w:szCs w:val="22"/>
                <w:lang w:eastAsia="de-AT"/>
              </w:rPr>
              <w:t xml:space="preserve">, </w:t>
            </w:r>
          </w:p>
        </w:tc>
        <w:tc>
          <w:tcPr>
            <w:tcW w:w="1087" w:type="pct"/>
            <w:vMerge w:val="restart"/>
            <w:tcBorders>
              <w:top w:val="single" w:sz="4" w:space="0" w:color="auto"/>
              <w:left w:val="single" w:sz="4" w:space="0" w:color="auto"/>
              <w:bottom w:val="single" w:sz="4" w:space="0" w:color="auto"/>
              <w:right w:val="single" w:sz="4" w:space="0" w:color="auto"/>
            </w:tcBorders>
            <w:vAlign w:val="center"/>
            <w:hideMark/>
          </w:tcPr>
          <w:p w14:paraId="2AF6F753" w14:textId="77777777" w:rsidR="00191E23" w:rsidRPr="00B5420C" w:rsidRDefault="00191E23">
            <w:pPr>
              <w:ind w:left="171"/>
              <w:rPr>
                <w:sz w:val="22"/>
                <w:szCs w:val="22"/>
                <w:lang w:eastAsia="de-AT"/>
              </w:rPr>
            </w:pPr>
            <w:r w:rsidRPr="00B5420C">
              <w:rPr>
                <w:sz w:val="22"/>
                <w:szCs w:val="22"/>
                <w:lang w:eastAsia="de-AT"/>
              </w:rPr>
              <w:t>Almindelig</w:t>
            </w:r>
          </w:p>
        </w:tc>
      </w:tr>
      <w:tr w:rsidR="00191E23" w:rsidRPr="00B5420C" w14:paraId="47594550" w14:textId="77777777" w:rsidTr="007C190E">
        <w:trPr>
          <w:cantSplit/>
          <w:trHeight w:val="145"/>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090BE908" w14:textId="77777777" w:rsidR="00191E23" w:rsidRPr="00B5420C" w:rsidRDefault="00191E23" w:rsidP="007C190E">
            <w:pPr>
              <w:rPr>
                <w:caps/>
                <w:sz w:val="22"/>
                <w:szCs w:val="22"/>
                <w:lang w:eastAsia="de-AT"/>
              </w:rPr>
            </w:pPr>
          </w:p>
        </w:tc>
        <w:tc>
          <w:tcPr>
            <w:tcW w:w="2361" w:type="pct"/>
            <w:tcBorders>
              <w:top w:val="nil"/>
              <w:left w:val="single" w:sz="4" w:space="0" w:color="auto"/>
              <w:bottom w:val="nil"/>
              <w:right w:val="single" w:sz="4" w:space="0" w:color="auto"/>
            </w:tcBorders>
            <w:hideMark/>
          </w:tcPr>
          <w:p w14:paraId="28F79B7E" w14:textId="77777777" w:rsidR="00191E23" w:rsidRPr="00B5420C" w:rsidRDefault="00191E23">
            <w:pPr>
              <w:ind w:left="62"/>
              <w:rPr>
                <w:sz w:val="22"/>
                <w:szCs w:val="22"/>
                <w:lang w:eastAsia="de-AT"/>
              </w:rPr>
            </w:pPr>
            <w:r w:rsidRPr="00B5420C">
              <w:rPr>
                <w:sz w:val="22"/>
                <w:szCs w:val="22"/>
                <w:lang w:eastAsia="de-AT"/>
              </w:rPr>
              <w:t xml:space="preserve">Dyspnø, </w:t>
            </w:r>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3E150478" w14:textId="77777777" w:rsidR="00191E23" w:rsidRPr="00B5420C" w:rsidRDefault="00191E23">
            <w:pPr>
              <w:rPr>
                <w:sz w:val="22"/>
                <w:szCs w:val="22"/>
                <w:lang w:eastAsia="de-AT"/>
              </w:rPr>
            </w:pPr>
          </w:p>
        </w:tc>
      </w:tr>
      <w:tr w:rsidR="00191E23" w:rsidRPr="00B5420C" w14:paraId="2D96A607" w14:textId="77777777" w:rsidTr="007C190E">
        <w:trPr>
          <w:cantSplit/>
          <w:trHeight w:val="145"/>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46C4E01C" w14:textId="77777777" w:rsidR="00191E23" w:rsidRPr="00B5420C" w:rsidRDefault="00191E23" w:rsidP="007C190E">
            <w:pPr>
              <w:rPr>
                <w:caps/>
                <w:sz w:val="22"/>
                <w:szCs w:val="22"/>
                <w:lang w:eastAsia="de-AT"/>
              </w:rPr>
            </w:pPr>
          </w:p>
        </w:tc>
        <w:tc>
          <w:tcPr>
            <w:tcW w:w="2361" w:type="pct"/>
            <w:tcBorders>
              <w:top w:val="nil"/>
              <w:left w:val="single" w:sz="4" w:space="0" w:color="auto"/>
              <w:bottom w:val="single" w:sz="4" w:space="0" w:color="auto"/>
              <w:right w:val="single" w:sz="4" w:space="0" w:color="auto"/>
            </w:tcBorders>
            <w:hideMark/>
          </w:tcPr>
          <w:p w14:paraId="09D6680B" w14:textId="77777777" w:rsidR="00191E23" w:rsidRPr="00B5420C" w:rsidRDefault="00191E23">
            <w:pPr>
              <w:ind w:left="62"/>
              <w:rPr>
                <w:sz w:val="22"/>
                <w:szCs w:val="22"/>
                <w:lang w:eastAsia="de-AT"/>
              </w:rPr>
            </w:pPr>
            <w:r w:rsidRPr="00B5420C">
              <w:rPr>
                <w:sz w:val="22"/>
                <w:szCs w:val="22"/>
                <w:lang w:eastAsia="de-AT"/>
              </w:rPr>
              <w:t>Hvæsende åndedræt</w:t>
            </w:r>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0162279F" w14:textId="77777777" w:rsidR="00191E23" w:rsidRPr="00B5420C" w:rsidRDefault="00191E23">
            <w:pPr>
              <w:rPr>
                <w:sz w:val="22"/>
                <w:szCs w:val="22"/>
                <w:lang w:eastAsia="de-AT"/>
              </w:rPr>
            </w:pPr>
          </w:p>
        </w:tc>
      </w:tr>
      <w:tr w:rsidR="00191E23" w:rsidRPr="00B5420C" w14:paraId="7F01BA9A" w14:textId="77777777" w:rsidTr="007C190E">
        <w:trPr>
          <w:cantSplit/>
          <w:trHeight w:val="180"/>
        </w:trPr>
        <w:tc>
          <w:tcPr>
            <w:tcW w:w="1553" w:type="pct"/>
            <w:vMerge w:val="restart"/>
            <w:tcBorders>
              <w:top w:val="single" w:sz="4" w:space="0" w:color="auto"/>
              <w:left w:val="single" w:sz="4" w:space="0" w:color="auto"/>
              <w:bottom w:val="single" w:sz="4" w:space="0" w:color="auto"/>
              <w:right w:val="single" w:sz="4" w:space="0" w:color="auto"/>
            </w:tcBorders>
            <w:hideMark/>
          </w:tcPr>
          <w:p w14:paraId="076C14EB" w14:textId="77777777" w:rsidR="00191E23" w:rsidRPr="00B5420C" w:rsidRDefault="00191E23" w:rsidP="007C190E">
            <w:pPr>
              <w:rPr>
                <w:caps/>
                <w:sz w:val="22"/>
                <w:szCs w:val="22"/>
                <w:lang w:eastAsia="de-AT"/>
              </w:rPr>
            </w:pPr>
            <w:r w:rsidRPr="00B5420C">
              <w:rPr>
                <w:caps/>
                <w:sz w:val="22"/>
                <w:szCs w:val="22"/>
                <w:lang w:eastAsia="de-AT"/>
              </w:rPr>
              <w:t>M</w:t>
            </w:r>
            <w:proofErr w:type="spellStart"/>
            <w:r w:rsidRPr="00B5420C">
              <w:rPr>
                <w:sz w:val="22"/>
                <w:szCs w:val="22"/>
                <w:lang w:val="de-AT" w:eastAsia="de-AT"/>
              </w:rPr>
              <w:t>ave-tarm-kanalen</w:t>
            </w:r>
            <w:proofErr w:type="spellEnd"/>
          </w:p>
        </w:tc>
        <w:tc>
          <w:tcPr>
            <w:tcW w:w="2361" w:type="pct"/>
            <w:tcBorders>
              <w:top w:val="single" w:sz="4" w:space="0" w:color="auto"/>
              <w:left w:val="single" w:sz="4" w:space="0" w:color="auto"/>
              <w:bottom w:val="nil"/>
              <w:right w:val="single" w:sz="4" w:space="0" w:color="auto"/>
            </w:tcBorders>
            <w:hideMark/>
          </w:tcPr>
          <w:p w14:paraId="586B2717" w14:textId="77777777" w:rsidR="00191E23" w:rsidRPr="00B5420C" w:rsidRDefault="00191E23">
            <w:pPr>
              <w:ind w:left="62"/>
              <w:rPr>
                <w:sz w:val="22"/>
                <w:szCs w:val="22"/>
                <w:lang w:eastAsia="de-AT"/>
              </w:rPr>
            </w:pPr>
            <w:r w:rsidRPr="00B5420C">
              <w:rPr>
                <w:sz w:val="22"/>
                <w:szCs w:val="22"/>
                <w:lang w:eastAsia="de-AT"/>
              </w:rPr>
              <w:t xml:space="preserve">Opkastning, </w:t>
            </w:r>
          </w:p>
        </w:tc>
        <w:tc>
          <w:tcPr>
            <w:tcW w:w="1087" w:type="pct"/>
            <w:vMerge w:val="restart"/>
            <w:tcBorders>
              <w:top w:val="single" w:sz="4" w:space="0" w:color="auto"/>
              <w:left w:val="single" w:sz="4" w:space="0" w:color="auto"/>
              <w:bottom w:val="single" w:sz="4" w:space="0" w:color="auto"/>
              <w:right w:val="single" w:sz="4" w:space="0" w:color="auto"/>
            </w:tcBorders>
            <w:vAlign w:val="center"/>
            <w:hideMark/>
          </w:tcPr>
          <w:p w14:paraId="21C789E4" w14:textId="77777777" w:rsidR="00191E23" w:rsidRPr="00B5420C" w:rsidRDefault="00191E23">
            <w:pPr>
              <w:ind w:left="171"/>
              <w:rPr>
                <w:sz w:val="22"/>
                <w:szCs w:val="22"/>
                <w:lang w:eastAsia="de-AT"/>
              </w:rPr>
            </w:pPr>
            <w:r w:rsidRPr="00B5420C">
              <w:rPr>
                <w:sz w:val="22"/>
                <w:szCs w:val="22"/>
                <w:lang w:eastAsia="de-AT"/>
              </w:rPr>
              <w:t>Almindelig</w:t>
            </w:r>
          </w:p>
        </w:tc>
      </w:tr>
      <w:tr w:rsidR="00191E23" w:rsidRPr="00B5420C" w14:paraId="55CB1F64" w14:textId="77777777" w:rsidTr="007C190E">
        <w:trPr>
          <w:cantSplit/>
          <w:trHeight w:val="18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0060B0CB" w14:textId="77777777" w:rsidR="00191E23" w:rsidRPr="00B5420C" w:rsidRDefault="00191E23" w:rsidP="007C190E">
            <w:pPr>
              <w:rPr>
                <w:caps/>
                <w:sz w:val="22"/>
                <w:szCs w:val="22"/>
                <w:lang w:eastAsia="de-AT"/>
              </w:rPr>
            </w:pPr>
          </w:p>
        </w:tc>
        <w:tc>
          <w:tcPr>
            <w:tcW w:w="2361" w:type="pct"/>
            <w:tcBorders>
              <w:top w:val="nil"/>
              <w:left w:val="single" w:sz="4" w:space="0" w:color="auto"/>
              <w:bottom w:val="single" w:sz="4" w:space="0" w:color="auto"/>
              <w:right w:val="single" w:sz="4" w:space="0" w:color="auto"/>
            </w:tcBorders>
            <w:hideMark/>
          </w:tcPr>
          <w:p w14:paraId="186AFF31" w14:textId="77777777" w:rsidR="00191E23" w:rsidRPr="00B5420C" w:rsidRDefault="00191E23">
            <w:pPr>
              <w:ind w:left="62"/>
              <w:rPr>
                <w:sz w:val="22"/>
                <w:szCs w:val="22"/>
                <w:lang w:eastAsia="de-AT"/>
              </w:rPr>
            </w:pPr>
            <w:r w:rsidRPr="00B5420C">
              <w:rPr>
                <w:sz w:val="22"/>
                <w:szCs w:val="22"/>
                <w:lang w:eastAsia="de-AT"/>
              </w:rPr>
              <w:t>Kvalme</w:t>
            </w:r>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5BCCAB0E" w14:textId="77777777" w:rsidR="00191E23" w:rsidRPr="00B5420C" w:rsidRDefault="00191E23">
            <w:pPr>
              <w:rPr>
                <w:sz w:val="22"/>
                <w:szCs w:val="22"/>
                <w:lang w:eastAsia="de-AT"/>
              </w:rPr>
            </w:pPr>
          </w:p>
        </w:tc>
      </w:tr>
      <w:tr w:rsidR="00191E23" w:rsidRPr="00B5420C" w14:paraId="53BC588E" w14:textId="77777777" w:rsidTr="007C190E">
        <w:trPr>
          <w:cantSplit/>
          <w:trHeight w:val="180"/>
        </w:trPr>
        <w:tc>
          <w:tcPr>
            <w:tcW w:w="1553" w:type="pct"/>
            <w:vMerge w:val="restart"/>
            <w:tcBorders>
              <w:top w:val="single" w:sz="4" w:space="0" w:color="auto"/>
              <w:left w:val="single" w:sz="4" w:space="0" w:color="auto"/>
              <w:bottom w:val="single" w:sz="4" w:space="0" w:color="auto"/>
              <w:right w:val="single" w:sz="4" w:space="0" w:color="auto"/>
            </w:tcBorders>
            <w:hideMark/>
          </w:tcPr>
          <w:p w14:paraId="6C80338A" w14:textId="77777777" w:rsidR="00191E23" w:rsidRPr="00B5420C" w:rsidRDefault="00191E23" w:rsidP="007C190E">
            <w:pPr>
              <w:rPr>
                <w:caps/>
                <w:sz w:val="22"/>
                <w:szCs w:val="22"/>
                <w:lang w:eastAsia="de-AT"/>
              </w:rPr>
            </w:pPr>
            <w:r w:rsidRPr="00B5420C">
              <w:rPr>
                <w:caps/>
                <w:sz w:val="22"/>
                <w:szCs w:val="22"/>
                <w:lang w:eastAsia="de-AT"/>
              </w:rPr>
              <w:t>H</w:t>
            </w:r>
            <w:proofErr w:type="spellStart"/>
            <w:r w:rsidRPr="00B5420C">
              <w:rPr>
                <w:sz w:val="22"/>
                <w:szCs w:val="22"/>
                <w:lang w:val="de-AT" w:eastAsia="de-AT"/>
              </w:rPr>
              <w:t>ud</w:t>
            </w:r>
            <w:proofErr w:type="spellEnd"/>
            <w:r w:rsidRPr="00B5420C">
              <w:rPr>
                <w:sz w:val="22"/>
                <w:szCs w:val="22"/>
                <w:lang w:val="de-AT" w:eastAsia="de-AT"/>
              </w:rPr>
              <w:t xml:space="preserve"> og subkutane </w:t>
            </w:r>
            <w:proofErr w:type="spellStart"/>
            <w:r w:rsidRPr="00B5420C">
              <w:rPr>
                <w:sz w:val="22"/>
                <w:szCs w:val="22"/>
                <w:lang w:val="de-AT" w:eastAsia="de-AT"/>
              </w:rPr>
              <w:t>væv</w:t>
            </w:r>
            <w:proofErr w:type="spellEnd"/>
          </w:p>
        </w:tc>
        <w:tc>
          <w:tcPr>
            <w:tcW w:w="2361" w:type="pct"/>
            <w:tcBorders>
              <w:top w:val="single" w:sz="4" w:space="0" w:color="auto"/>
              <w:left w:val="single" w:sz="4" w:space="0" w:color="auto"/>
              <w:bottom w:val="nil"/>
              <w:right w:val="single" w:sz="4" w:space="0" w:color="auto"/>
            </w:tcBorders>
            <w:hideMark/>
          </w:tcPr>
          <w:p w14:paraId="0D462AC6" w14:textId="77777777" w:rsidR="00191E23" w:rsidRPr="00B5420C" w:rsidRDefault="00191E23">
            <w:pPr>
              <w:ind w:left="62"/>
              <w:rPr>
                <w:sz w:val="22"/>
                <w:szCs w:val="22"/>
                <w:lang w:eastAsia="de-AT"/>
              </w:rPr>
            </w:pPr>
            <w:proofErr w:type="spellStart"/>
            <w:r w:rsidRPr="00B5420C">
              <w:rPr>
                <w:sz w:val="22"/>
                <w:szCs w:val="22"/>
                <w:lang w:eastAsia="de-AT"/>
              </w:rPr>
              <w:t>Urticaria</w:t>
            </w:r>
            <w:proofErr w:type="spellEnd"/>
            <w:r w:rsidRPr="00B5420C">
              <w:rPr>
                <w:sz w:val="22"/>
                <w:szCs w:val="22"/>
                <w:lang w:eastAsia="de-AT"/>
              </w:rPr>
              <w:t>,</w:t>
            </w:r>
          </w:p>
        </w:tc>
        <w:tc>
          <w:tcPr>
            <w:tcW w:w="1087" w:type="pct"/>
            <w:vMerge w:val="restart"/>
            <w:tcBorders>
              <w:top w:val="single" w:sz="4" w:space="0" w:color="auto"/>
              <w:left w:val="single" w:sz="4" w:space="0" w:color="auto"/>
              <w:bottom w:val="single" w:sz="4" w:space="0" w:color="auto"/>
              <w:right w:val="single" w:sz="4" w:space="0" w:color="auto"/>
            </w:tcBorders>
            <w:vAlign w:val="center"/>
            <w:hideMark/>
          </w:tcPr>
          <w:p w14:paraId="57E3A84C" w14:textId="77777777" w:rsidR="00191E23" w:rsidRPr="00B5420C" w:rsidRDefault="00191E23">
            <w:pPr>
              <w:ind w:left="171"/>
              <w:rPr>
                <w:sz w:val="22"/>
                <w:szCs w:val="22"/>
                <w:lang w:eastAsia="de-AT"/>
              </w:rPr>
            </w:pPr>
            <w:r w:rsidRPr="00B5420C">
              <w:rPr>
                <w:sz w:val="22"/>
                <w:szCs w:val="22"/>
                <w:lang w:eastAsia="de-AT"/>
              </w:rPr>
              <w:t>Almindelig</w:t>
            </w:r>
          </w:p>
        </w:tc>
      </w:tr>
      <w:tr w:rsidR="00191E23" w:rsidRPr="00B5420C" w14:paraId="0710CDC2" w14:textId="77777777" w:rsidTr="007C190E">
        <w:trPr>
          <w:cantSplit/>
          <w:trHeight w:val="180"/>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7B9E1D78" w14:textId="77777777" w:rsidR="00191E23" w:rsidRPr="00B5420C" w:rsidRDefault="00191E23" w:rsidP="007C190E">
            <w:pPr>
              <w:rPr>
                <w:caps/>
                <w:sz w:val="22"/>
                <w:szCs w:val="22"/>
                <w:lang w:eastAsia="de-AT"/>
              </w:rPr>
            </w:pPr>
          </w:p>
        </w:tc>
        <w:tc>
          <w:tcPr>
            <w:tcW w:w="2361" w:type="pct"/>
            <w:tcBorders>
              <w:top w:val="nil"/>
              <w:left w:val="single" w:sz="4" w:space="0" w:color="auto"/>
              <w:bottom w:val="nil"/>
              <w:right w:val="single" w:sz="4" w:space="0" w:color="auto"/>
            </w:tcBorders>
            <w:hideMark/>
          </w:tcPr>
          <w:p w14:paraId="7BDD7548" w14:textId="77777777" w:rsidR="00191E23" w:rsidRPr="00B5420C" w:rsidRDefault="00191E23">
            <w:pPr>
              <w:ind w:left="62"/>
              <w:rPr>
                <w:sz w:val="22"/>
                <w:szCs w:val="22"/>
                <w:lang w:eastAsia="de-AT"/>
              </w:rPr>
            </w:pPr>
            <w:proofErr w:type="spellStart"/>
            <w:r w:rsidRPr="00B5420C">
              <w:rPr>
                <w:sz w:val="22"/>
                <w:szCs w:val="22"/>
                <w:lang w:eastAsia="de-AT"/>
              </w:rPr>
              <w:t>Erytematøst</w:t>
            </w:r>
            <w:proofErr w:type="spellEnd"/>
            <w:r w:rsidRPr="00B5420C">
              <w:rPr>
                <w:sz w:val="22"/>
                <w:szCs w:val="22"/>
                <w:lang w:eastAsia="de-AT"/>
              </w:rPr>
              <w:t xml:space="preserve"> udslæt,</w:t>
            </w:r>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79E9528C" w14:textId="77777777" w:rsidR="00191E23" w:rsidRPr="00B5420C" w:rsidRDefault="00191E23">
            <w:pPr>
              <w:rPr>
                <w:sz w:val="22"/>
                <w:szCs w:val="22"/>
                <w:lang w:eastAsia="de-AT"/>
              </w:rPr>
            </w:pPr>
          </w:p>
        </w:tc>
      </w:tr>
      <w:tr w:rsidR="00191E23" w:rsidRPr="00B5420C" w14:paraId="527C87C4" w14:textId="77777777" w:rsidTr="007C190E">
        <w:trPr>
          <w:cantSplit/>
          <w:trHeight w:val="229"/>
        </w:trPr>
        <w:tc>
          <w:tcPr>
            <w:tcW w:w="1553" w:type="pct"/>
            <w:vMerge/>
            <w:tcBorders>
              <w:top w:val="single" w:sz="4" w:space="0" w:color="auto"/>
              <w:left w:val="single" w:sz="4" w:space="0" w:color="auto"/>
              <w:bottom w:val="single" w:sz="4" w:space="0" w:color="auto"/>
              <w:right w:val="single" w:sz="4" w:space="0" w:color="auto"/>
            </w:tcBorders>
            <w:vAlign w:val="center"/>
            <w:hideMark/>
          </w:tcPr>
          <w:p w14:paraId="2AB2398F" w14:textId="77777777" w:rsidR="00191E23" w:rsidRPr="00B5420C" w:rsidRDefault="00191E23" w:rsidP="007C190E">
            <w:pPr>
              <w:rPr>
                <w:caps/>
                <w:sz w:val="22"/>
                <w:szCs w:val="22"/>
                <w:lang w:eastAsia="de-AT"/>
              </w:rPr>
            </w:pPr>
          </w:p>
        </w:tc>
        <w:tc>
          <w:tcPr>
            <w:tcW w:w="2361" w:type="pct"/>
            <w:tcBorders>
              <w:top w:val="nil"/>
              <w:left w:val="single" w:sz="4" w:space="0" w:color="auto"/>
              <w:bottom w:val="single" w:sz="4" w:space="0" w:color="auto"/>
              <w:right w:val="single" w:sz="4" w:space="0" w:color="auto"/>
            </w:tcBorders>
            <w:hideMark/>
          </w:tcPr>
          <w:p w14:paraId="1256F1A1" w14:textId="77777777" w:rsidR="00191E23" w:rsidRPr="00B5420C" w:rsidRDefault="00191E23">
            <w:pPr>
              <w:ind w:left="62"/>
              <w:rPr>
                <w:sz w:val="22"/>
                <w:szCs w:val="22"/>
                <w:lang w:eastAsia="de-AT"/>
              </w:rPr>
            </w:pPr>
            <w:proofErr w:type="spellStart"/>
            <w:r w:rsidRPr="00B5420C">
              <w:rPr>
                <w:sz w:val="22"/>
                <w:szCs w:val="22"/>
                <w:lang w:eastAsia="de-AT"/>
              </w:rPr>
              <w:t>Pruritus</w:t>
            </w:r>
            <w:proofErr w:type="spellEnd"/>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2C805653" w14:textId="77777777" w:rsidR="00191E23" w:rsidRPr="00B5420C" w:rsidRDefault="00191E23">
            <w:pPr>
              <w:rPr>
                <w:sz w:val="22"/>
                <w:szCs w:val="22"/>
                <w:lang w:eastAsia="de-AT"/>
              </w:rPr>
            </w:pPr>
          </w:p>
        </w:tc>
      </w:tr>
      <w:tr w:rsidR="00191E23" w:rsidRPr="00B5420C" w14:paraId="4D9400F5" w14:textId="77777777" w:rsidTr="007C190E">
        <w:trPr>
          <w:cantSplit/>
          <w:trHeight w:val="192"/>
        </w:trPr>
        <w:tc>
          <w:tcPr>
            <w:tcW w:w="1553" w:type="pct"/>
            <w:tcBorders>
              <w:top w:val="single" w:sz="4" w:space="0" w:color="auto"/>
              <w:left w:val="single" w:sz="4" w:space="0" w:color="auto"/>
              <w:bottom w:val="single" w:sz="4" w:space="0" w:color="auto"/>
              <w:right w:val="single" w:sz="4" w:space="0" w:color="auto"/>
            </w:tcBorders>
            <w:hideMark/>
          </w:tcPr>
          <w:p w14:paraId="0E714D56" w14:textId="77777777" w:rsidR="00191E23" w:rsidRPr="00B5420C" w:rsidRDefault="00191E23" w:rsidP="007C190E">
            <w:pPr>
              <w:rPr>
                <w:caps/>
                <w:sz w:val="22"/>
                <w:szCs w:val="22"/>
                <w:lang w:eastAsia="de-AT"/>
              </w:rPr>
            </w:pPr>
            <w:r w:rsidRPr="00B5420C">
              <w:rPr>
                <w:caps/>
                <w:sz w:val="22"/>
                <w:szCs w:val="22"/>
                <w:lang w:eastAsia="de-AT"/>
              </w:rPr>
              <w:t>N</w:t>
            </w:r>
            <w:proofErr w:type="spellStart"/>
            <w:r w:rsidRPr="00B5420C">
              <w:rPr>
                <w:sz w:val="22"/>
                <w:szCs w:val="22"/>
                <w:lang w:val="de-AT" w:eastAsia="de-AT"/>
              </w:rPr>
              <w:t>yrer</w:t>
            </w:r>
            <w:proofErr w:type="spellEnd"/>
            <w:r w:rsidRPr="00B5420C">
              <w:rPr>
                <w:sz w:val="22"/>
                <w:szCs w:val="22"/>
                <w:lang w:val="de-AT" w:eastAsia="de-AT"/>
              </w:rPr>
              <w:t xml:space="preserve"> og </w:t>
            </w:r>
            <w:proofErr w:type="spellStart"/>
            <w:r w:rsidRPr="00B5420C">
              <w:rPr>
                <w:sz w:val="22"/>
                <w:szCs w:val="22"/>
                <w:lang w:val="de-AT" w:eastAsia="de-AT"/>
              </w:rPr>
              <w:t>urinveje</w:t>
            </w:r>
            <w:proofErr w:type="spellEnd"/>
          </w:p>
        </w:tc>
        <w:tc>
          <w:tcPr>
            <w:tcW w:w="2361" w:type="pct"/>
            <w:tcBorders>
              <w:top w:val="single" w:sz="4" w:space="0" w:color="auto"/>
              <w:left w:val="single" w:sz="4" w:space="0" w:color="auto"/>
              <w:bottom w:val="single" w:sz="4" w:space="0" w:color="auto"/>
              <w:right w:val="single" w:sz="4" w:space="0" w:color="auto"/>
            </w:tcBorders>
            <w:vAlign w:val="center"/>
            <w:hideMark/>
          </w:tcPr>
          <w:p w14:paraId="2BB09BA2" w14:textId="77777777" w:rsidR="00191E23" w:rsidRPr="00B5420C" w:rsidRDefault="00191E23">
            <w:pPr>
              <w:ind w:left="62"/>
              <w:rPr>
                <w:sz w:val="22"/>
                <w:szCs w:val="22"/>
                <w:lang w:eastAsia="de-AT"/>
              </w:rPr>
            </w:pPr>
            <w:proofErr w:type="spellStart"/>
            <w:r w:rsidRPr="00B5420C">
              <w:rPr>
                <w:sz w:val="22"/>
                <w:szCs w:val="22"/>
                <w:lang w:eastAsia="de-AT"/>
              </w:rPr>
              <w:t>Nefrotisk</w:t>
            </w:r>
            <w:proofErr w:type="spellEnd"/>
            <w:r w:rsidRPr="00B5420C">
              <w:rPr>
                <w:sz w:val="22"/>
                <w:szCs w:val="22"/>
                <w:lang w:eastAsia="de-AT"/>
              </w:rPr>
              <w:t xml:space="preserve"> syndrom</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14F62F4" w14:textId="77777777" w:rsidR="00191E23" w:rsidRPr="00B5420C" w:rsidRDefault="00191E23">
            <w:pPr>
              <w:ind w:left="171"/>
              <w:rPr>
                <w:sz w:val="22"/>
                <w:szCs w:val="22"/>
                <w:lang w:eastAsia="de-AT"/>
              </w:rPr>
            </w:pPr>
            <w:r w:rsidRPr="00B5420C">
              <w:rPr>
                <w:sz w:val="22"/>
                <w:szCs w:val="22"/>
                <w:lang w:eastAsia="de-AT"/>
              </w:rPr>
              <w:t xml:space="preserve">Almindelig </w:t>
            </w:r>
          </w:p>
        </w:tc>
      </w:tr>
      <w:tr w:rsidR="00191E23" w:rsidRPr="00B5420C" w14:paraId="2151E9C6" w14:textId="77777777" w:rsidTr="007C190E">
        <w:trPr>
          <w:cantSplit/>
          <w:trHeight w:val="499"/>
        </w:trPr>
        <w:tc>
          <w:tcPr>
            <w:tcW w:w="1553" w:type="pct"/>
            <w:tcBorders>
              <w:top w:val="single" w:sz="4" w:space="0" w:color="auto"/>
              <w:left w:val="single" w:sz="4" w:space="0" w:color="auto"/>
              <w:bottom w:val="single" w:sz="4" w:space="0" w:color="auto"/>
              <w:right w:val="single" w:sz="4" w:space="0" w:color="auto"/>
            </w:tcBorders>
            <w:hideMark/>
          </w:tcPr>
          <w:p w14:paraId="41F59A6F" w14:textId="77777777" w:rsidR="00191E23" w:rsidRPr="00B5420C" w:rsidRDefault="00191E23" w:rsidP="007C190E">
            <w:pPr>
              <w:rPr>
                <w:caps/>
                <w:sz w:val="22"/>
                <w:szCs w:val="22"/>
                <w:lang w:eastAsia="de-AT"/>
              </w:rPr>
            </w:pPr>
            <w:r w:rsidRPr="00B5420C">
              <w:rPr>
                <w:caps/>
                <w:sz w:val="22"/>
                <w:szCs w:val="22"/>
                <w:lang w:eastAsia="de-AT"/>
              </w:rPr>
              <w:t>A</w:t>
            </w:r>
            <w:proofErr w:type="spellStart"/>
            <w:r w:rsidRPr="00B5420C">
              <w:rPr>
                <w:sz w:val="22"/>
                <w:szCs w:val="22"/>
                <w:lang w:val="de-AT" w:eastAsia="de-AT"/>
              </w:rPr>
              <w:t>lmene</w:t>
            </w:r>
            <w:proofErr w:type="spellEnd"/>
            <w:r w:rsidRPr="00B5420C">
              <w:rPr>
                <w:sz w:val="22"/>
                <w:szCs w:val="22"/>
                <w:lang w:val="de-AT" w:eastAsia="de-AT"/>
              </w:rPr>
              <w:t xml:space="preserve"> </w:t>
            </w:r>
            <w:proofErr w:type="spellStart"/>
            <w:r w:rsidRPr="00B5420C">
              <w:rPr>
                <w:sz w:val="22"/>
                <w:szCs w:val="22"/>
                <w:lang w:val="de-AT" w:eastAsia="de-AT"/>
              </w:rPr>
              <w:t>symptomer</w:t>
            </w:r>
            <w:proofErr w:type="spellEnd"/>
            <w:r w:rsidRPr="00B5420C">
              <w:rPr>
                <w:sz w:val="22"/>
                <w:szCs w:val="22"/>
                <w:lang w:val="de-AT" w:eastAsia="de-AT"/>
              </w:rPr>
              <w:t xml:space="preserve"> og </w:t>
            </w:r>
            <w:proofErr w:type="spellStart"/>
            <w:r w:rsidRPr="00B5420C">
              <w:rPr>
                <w:sz w:val="22"/>
                <w:szCs w:val="22"/>
                <w:lang w:val="de-AT" w:eastAsia="de-AT"/>
              </w:rPr>
              <w:t>reaktioner</w:t>
            </w:r>
            <w:proofErr w:type="spellEnd"/>
            <w:r w:rsidRPr="00B5420C">
              <w:rPr>
                <w:sz w:val="22"/>
                <w:szCs w:val="22"/>
                <w:lang w:val="de-AT" w:eastAsia="de-AT"/>
              </w:rPr>
              <w:t xml:space="preserve"> </w:t>
            </w:r>
            <w:proofErr w:type="spellStart"/>
            <w:r w:rsidRPr="00B5420C">
              <w:rPr>
                <w:sz w:val="22"/>
                <w:szCs w:val="22"/>
                <w:lang w:val="de-AT" w:eastAsia="de-AT"/>
              </w:rPr>
              <w:t>på</w:t>
            </w:r>
            <w:proofErr w:type="spellEnd"/>
            <w:r w:rsidRPr="00B5420C">
              <w:rPr>
                <w:sz w:val="22"/>
                <w:szCs w:val="22"/>
                <w:lang w:val="de-AT" w:eastAsia="de-AT"/>
              </w:rPr>
              <w:t xml:space="preserve"> </w:t>
            </w:r>
            <w:proofErr w:type="spellStart"/>
            <w:r w:rsidRPr="00B5420C">
              <w:rPr>
                <w:sz w:val="22"/>
                <w:szCs w:val="22"/>
                <w:lang w:val="de-AT" w:eastAsia="de-AT"/>
              </w:rPr>
              <w:t>administrationsstedet</w:t>
            </w:r>
            <w:proofErr w:type="spellEnd"/>
          </w:p>
        </w:tc>
        <w:tc>
          <w:tcPr>
            <w:tcW w:w="2361" w:type="pct"/>
            <w:tcBorders>
              <w:top w:val="single" w:sz="4" w:space="0" w:color="auto"/>
              <w:left w:val="single" w:sz="4" w:space="0" w:color="auto"/>
              <w:bottom w:val="single" w:sz="4" w:space="0" w:color="auto"/>
              <w:right w:val="single" w:sz="4" w:space="0" w:color="auto"/>
            </w:tcBorders>
            <w:hideMark/>
          </w:tcPr>
          <w:p w14:paraId="06326F97" w14:textId="77777777" w:rsidR="00191E23" w:rsidRPr="00B5420C" w:rsidRDefault="00191E23">
            <w:pPr>
              <w:ind w:left="62"/>
              <w:rPr>
                <w:sz w:val="22"/>
                <w:szCs w:val="22"/>
                <w:lang w:eastAsia="de-AT"/>
              </w:rPr>
            </w:pPr>
            <w:proofErr w:type="spellStart"/>
            <w:r w:rsidRPr="00B5420C">
              <w:rPr>
                <w:sz w:val="22"/>
                <w:szCs w:val="22"/>
                <w:lang w:eastAsia="de-AT"/>
              </w:rPr>
              <w:t>Pyreksi</w:t>
            </w:r>
            <w:proofErr w:type="spellEnd"/>
            <w:r w:rsidRPr="00B5420C">
              <w:rPr>
                <w:bCs/>
                <w:sz w:val="22"/>
                <w:szCs w:val="22"/>
                <w:lang w:eastAsia="de-AT"/>
              </w:rPr>
              <w:t>**</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7EFB079" w14:textId="77777777" w:rsidR="00191E23" w:rsidRPr="00B5420C" w:rsidRDefault="00191E23">
            <w:pPr>
              <w:ind w:left="171"/>
              <w:rPr>
                <w:sz w:val="22"/>
                <w:szCs w:val="22"/>
                <w:lang w:eastAsia="de-AT"/>
              </w:rPr>
            </w:pPr>
            <w:r w:rsidRPr="00B5420C">
              <w:rPr>
                <w:sz w:val="22"/>
                <w:szCs w:val="22"/>
                <w:lang w:eastAsia="de-AT"/>
              </w:rPr>
              <w:t>Almindelig</w:t>
            </w:r>
          </w:p>
        </w:tc>
      </w:tr>
    </w:tbl>
    <w:p w14:paraId="5E822645" w14:textId="0D6C8EB9" w:rsidR="00191E23" w:rsidRPr="00B5420C" w:rsidRDefault="00191E23" w:rsidP="007C190E">
      <w:pPr>
        <w:autoSpaceDE w:val="0"/>
        <w:autoSpaceDN w:val="0"/>
        <w:adjustRightInd w:val="0"/>
        <w:ind w:left="284" w:hanging="284"/>
        <w:rPr>
          <w:bCs/>
          <w:sz w:val="22"/>
          <w:szCs w:val="22"/>
          <w:lang w:eastAsia="de-AT"/>
        </w:rPr>
      </w:pPr>
      <w:r w:rsidRPr="00B5420C">
        <w:rPr>
          <w:bCs/>
          <w:sz w:val="22"/>
          <w:szCs w:val="22"/>
          <w:lang w:eastAsia="de-AT"/>
        </w:rPr>
        <w:t xml:space="preserve">* </w:t>
      </w:r>
      <w:r w:rsidR="007C190E" w:rsidRPr="00B5420C">
        <w:rPr>
          <w:bCs/>
          <w:sz w:val="22"/>
          <w:szCs w:val="22"/>
          <w:lang w:eastAsia="de-AT"/>
        </w:rPr>
        <w:tab/>
      </w:r>
      <w:r w:rsidRPr="00B5420C">
        <w:rPr>
          <w:bCs/>
          <w:sz w:val="22"/>
          <w:szCs w:val="22"/>
          <w:lang w:eastAsia="de-AT"/>
        </w:rPr>
        <w:t>Udvikling hos patienter med medfødt faktormangel</w:t>
      </w:r>
    </w:p>
    <w:p w14:paraId="420320FF" w14:textId="18AC0BAD" w:rsidR="00191E23" w:rsidRPr="00B5420C" w:rsidRDefault="00191E23" w:rsidP="007C190E">
      <w:pPr>
        <w:autoSpaceDE w:val="0"/>
        <w:autoSpaceDN w:val="0"/>
        <w:adjustRightInd w:val="0"/>
        <w:ind w:left="284" w:hanging="284"/>
        <w:rPr>
          <w:bCs/>
          <w:sz w:val="22"/>
          <w:szCs w:val="22"/>
          <w:lang w:eastAsia="fr-FR"/>
        </w:rPr>
      </w:pPr>
      <w:r w:rsidRPr="00B5420C">
        <w:rPr>
          <w:bCs/>
          <w:sz w:val="22"/>
          <w:szCs w:val="22"/>
          <w:lang w:eastAsia="de-AT"/>
        </w:rPr>
        <w:t xml:space="preserve">** </w:t>
      </w:r>
      <w:r w:rsidR="007C190E" w:rsidRPr="00B5420C">
        <w:rPr>
          <w:bCs/>
          <w:sz w:val="22"/>
          <w:szCs w:val="22"/>
          <w:lang w:eastAsia="de-AT"/>
        </w:rPr>
        <w:tab/>
      </w:r>
      <w:r w:rsidRPr="00B5420C">
        <w:rPr>
          <w:bCs/>
          <w:sz w:val="22"/>
          <w:szCs w:val="22"/>
          <w:lang w:eastAsia="de-AT"/>
        </w:rPr>
        <w:t>Rapporteret fra klinisk studie</w:t>
      </w:r>
    </w:p>
    <w:p w14:paraId="0D15C11D" w14:textId="77777777" w:rsidR="00191E23" w:rsidRPr="007C190E" w:rsidRDefault="00191E23" w:rsidP="00191E23">
      <w:pPr>
        <w:autoSpaceDE w:val="0"/>
        <w:autoSpaceDN w:val="0"/>
        <w:adjustRightInd w:val="0"/>
        <w:ind w:left="851"/>
        <w:rPr>
          <w:bCs/>
          <w:sz w:val="24"/>
          <w:szCs w:val="24"/>
          <w:lang w:eastAsia="fr-FR"/>
        </w:rPr>
      </w:pPr>
    </w:p>
    <w:p w14:paraId="169E2D49" w14:textId="77777777" w:rsidR="00191E23" w:rsidRPr="007C190E" w:rsidRDefault="00191E23" w:rsidP="00191E23">
      <w:pPr>
        <w:autoSpaceDE w:val="0"/>
        <w:autoSpaceDN w:val="0"/>
        <w:adjustRightInd w:val="0"/>
        <w:ind w:left="851"/>
        <w:rPr>
          <w:bCs/>
          <w:sz w:val="24"/>
          <w:szCs w:val="24"/>
          <w:lang w:eastAsia="fr-FR"/>
        </w:rPr>
      </w:pPr>
      <w:r w:rsidRPr="007C190E">
        <w:rPr>
          <w:bCs/>
          <w:i/>
          <w:sz w:val="24"/>
          <w:szCs w:val="24"/>
          <w:lang w:eastAsia="de-AT"/>
        </w:rPr>
        <w:t>Reaktioner i henhold til systemorganklasse</w:t>
      </w:r>
    </w:p>
    <w:p w14:paraId="4D3C0264" w14:textId="77777777" w:rsidR="00191E23" w:rsidRPr="007C190E" w:rsidRDefault="00191E23" w:rsidP="00191E23">
      <w:pPr>
        <w:ind w:left="851"/>
        <w:rPr>
          <w:sz w:val="24"/>
          <w:szCs w:val="24"/>
        </w:rPr>
      </w:pPr>
      <w:r w:rsidRPr="007C190E">
        <w:rPr>
          <w:caps/>
          <w:sz w:val="24"/>
          <w:szCs w:val="24"/>
        </w:rPr>
        <w:t>H</w:t>
      </w:r>
      <w:r w:rsidRPr="007C190E">
        <w:rPr>
          <w:sz w:val="24"/>
          <w:szCs w:val="24"/>
          <w:lang w:eastAsia="de-AT"/>
        </w:rPr>
        <w:t>ud og subkutane væv</w:t>
      </w:r>
      <w:r w:rsidRPr="007C190E">
        <w:rPr>
          <w:caps/>
          <w:sz w:val="24"/>
          <w:szCs w:val="24"/>
        </w:rPr>
        <w:t>:</w:t>
      </w:r>
      <w:r w:rsidRPr="007C190E">
        <w:rPr>
          <w:sz w:val="24"/>
          <w:szCs w:val="24"/>
        </w:rPr>
        <w:t xml:space="preserve"> </w:t>
      </w:r>
      <w:proofErr w:type="spellStart"/>
      <w:r w:rsidRPr="007C190E">
        <w:rPr>
          <w:sz w:val="24"/>
          <w:szCs w:val="24"/>
        </w:rPr>
        <w:t>Angioødem</w:t>
      </w:r>
      <w:proofErr w:type="spellEnd"/>
      <w:r w:rsidRPr="007C190E">
        <w:rPr>
          <w:sz w:val="24"/>
          <w:szCs w:val="24"/>
        </w:rPr>
        <w:t xml:space="preserve">, </w:t>
      </w:r>
      <w:proofErr w:type="spellStart"/>
      <w:r w:rsidRPr="007C190E">
        <w:rPr>
          <w:sz w:val="24"/>
          <w:szCs w:val="24"/>
        </w:rPr>
        <w:t>paræstesi</w:t>
      </w:r>
      <w:proofErr w:type="spellEnd"/>
      <w:r w:rsidRPr="007C190E">
        <w:rPr>
          <w:sz w:val="24"/>
          <w:szCs w:val="24"/>
        </w:rPr>
        <w:t xml:space="preserve"> </w:t>
      </w:r>
    </w:p>
    <w:p w14:paraId="12348B00" w14:textId="77777777" w:rsidR="00191E23" w:rsidRPr="007C190E" w:rsidRDefault="00191E23" w:rsidP="00191E23">
      <w:pPr>
        <w:ind w:left="851"/>
        <w:rPr>
          <w:sz w:val="24"/>
          <w:szCs w:val="24"/>
        </w:rPr>
      </w:pPr>
      <w:r w:rsidRPr="007C190E">
        <w:rPr>
          <w:caps/>
          <w:sz w:val="24"/>
          <w:szCs w:val="24"/>
        </w:rPr>
        <w:t>A</w:t>
      </w:r>
      <w:r w:rsidRPr="007C190E">
        <w:rPr>
          <w:sz w:val="24"/>
          <w:szCs w:val="24"/>
        </w:rPr>
        <w:t>lmene symptomer og reaktioner på administrationsstedet</w:t>
      </w:r>
      <w:r w:rsidRPr="007C190E">
        <w:rPr>
          <w:caps/>
          <w:sz w:val="24"/>
          <w:szCs w:val="24"/>
        </w:rPr>
        <w:t>:</w:t>
      </w:r>
      <w:r w:rsidRPr="007C190E">
        <w:rPr>
          <w:sz w:val="24"/>
          <w:szCs w:val="24"/>
        </w:rPr>
        <w:t xml:space="preserve"> Reaktion på infusionsstedet</w:t>
      </w:r>
    </w:p>
    <w:p w14:paraId="04C53C38" w14:textId="77777777" w:rsidR="00191E23" w:rsidRPr="007C190E" w:rsidRDefault="00191E23" w:rsidP="00191E23">
      <w:pPr>
        <w:ind w:left="851"/>
        <w:rPr>
          <w:caps/>
          <w:sz w:val="24"/>
          <w:szCs w:val="24"/>
        </w:rPr>
      </w:pPr>
      <w:r w:rsidRPr="007C190E">
        <w:rPr>
          <w:caps/>
          <w:sz w:val="24"/>
          <w:szCs w:val="24"/>
        </w:rPr>
        <w:t>N</w:t>
      </w:r>
      <w:r w:rsidRPr="007C190E">
        <w:rPr>
          <w:sz w:val="24"/>
          <w:szCs w:val="24"/>
          <w:lang w:eastAsia="de-AT"/>
        </w:rPr>
        <w:t>ervesystemet</w:t>
      </w:r>
      <w:r w:rsidRPr="007C190E">
        <w:rPr>
          <w:caps/>
          <w:sz w:val="24"/>
          <w:szCs w:val="24"/>
        </w:rPr>
        <w:t>:</w:t>
      </w:r>
      <w:r w:rsidRPr="007C190E">
        <w:rPr>
          <w:sz w:val="24"/>
          <w:szCs w:val="24"/>
        </w:rPr>
        <w:t xml:space="preserve"> Letargi</w:t>
      </w:r>
    </w:p>
    <w:p w14:paraId="1DA3F32F" w14:textId="77777777" w:rsidR="00191E23" w:rsidRPr="007C190E" w:rsidRDefault="00191E23" w:rsidP="00191E23">
      <w:pPr>
        <w:ind w:left="851"/>
        <w:rPr>
          <w:sz w:val="24"/>
          <w:szCs w:val="24"/>
        </w:rPr>
      </w:pPr>
      <w:r w:rsidRPr="007C190E">
        <w:rPr>
          <w:caps/>
          <w:sz w:val="24"/>
          <w:szCs w:val="24"/>
        </w:rPr>
        <w:t>P</w:t>
      </w:r>
      <w:r w:rsidRPr="007C190E">
        <w:rPr>
          <w:sz w:val="24"/>
          <w:szCs w:val="24"/>
          <w:lang w:eastAsia="de-AT"/>
        </w:rPr>
        <w:t>sykiske forstyrrelser</w:t>
      </w:r>
      <w:r w:rsidRPr="007C190E">
        <w:rPr>
          <w:caps/>
          <w:sz w:val="24"/>
          <w:szCs w:val="24"/>
        </w:rPr>
        <w:t>:</w:t>
      </w:r>
      <w:r w:rsidRPr="007C190E">
        <w:rPr>
          <w:sz w:val="24"/>
          <w:szCs w:val="24"/>
        </w:rPr>
        <w:t xml:space="preserve"> Rastløshed</w:t>
      </w:r>
    </w:p>
    <w:p w14:paraId="35B50673" w14:textId="77777777" w:rsidR="00191E23" w:rsidRPr="007C190E" w:rsidRDefault="00191E23" w:rsidP="00191E23">
      <w:pPr>
        <w:autoSpaceDE w:val="0"/>
        <w:autoSpaceDN w:val="0"/>
        <w:adjustRightInd w:val="0"/>
        <w:ind w:left="851"/>
        <w:rPr>
          <w:bCs/>
          <w:sz w:val="24"/>
          <w:szCs w:val="24"/>
          <w:lang w:eastAsia="fr-FR"/>
        </w:rPr>
      </w:pPr>
    </w:p>
    <w:p w14:paraId="7CC54257" w14:textId="77777777" w:rsidR="00191E23" w:rsidRPr="007C190E" w:rsidRDefault="00191E23" w:rsidP="00191E23">
      <w:pPr>
        <w:ind w:left="851"/>
        <w:rPr>
          <w:sz w:val="24"/>
          <w:szCs w:val="24"/>
          <w:u w:val="single"/>
          <w:lang w:eastAsia="de-AT"/>
        </w:rPr>
      </w:pPr>
      <w:r w:rsidRPr="007C190E">
        <w:rPr>
          <w:sz w:val="24"/>
          <w:szCs w:val="24"/>
          <w:u w:val="single"/>
          <w:lang w:eastAsia="de-AT"/>
        </w:rPr>
        <w:t>Pædiatrisk population</w:t>
      </w:r>
    </w:p>
    <w:p w14:paraId="368EF845" w14:textId="77777777" w:rsidR="00191E23" w:rsidRPr="007C190E" w:rsidRDefault="00191E23" w:rsidP="00191E23">
      <w:pPr>
        <w:ind w:left="851"/>
        <w:rPr>
          <w:sz w:val="24"/>
          <w:szCs w:val="24"/>
          <w:lang w:eastAsia="de-AT"/>
        </w:rPr>
      </w:pPr>
      <w:r w:rsidRPr="007C190E">
        <w:rPr>
          <w:sz w:val="24"/>
          <w:szCs w:val="24"/>
          <w:lang w:eastAsia="de-AT"/>
        </w:rPr>
        <w:t>Information om den pædiatriske population fremgår af pkt. 4.2.</w:t>
      </w:r>
    </w:p>
    <w:p w14:paraId="25D741DD" w14:textId="77777777" w:rsidR="00191E23" w:rsidRPr="007C190E" w:rsidRDefault="00191E23" w:rsidP="00191E23">
      <w:pPr>
        <w:ind w:left="851"/>
        <w:rPr>
          <w:sz w:val="24"/>
          <w:szCs w:val="24"/>
          <w:lang w:eastAsia="de-AT"/>
        </w:rPr>
      </w:pPr>
    </w:p>
    <w:p w14:paraId="4E068A1C" w14:textId="77777777" w:rsidR="00191E23" w:rsidRPr="007C190E" w:rsidRDefault="00191E23" w:rsidP="00191E23">
      <w:pPr>
        <w:ind w:left="851"/>
        <w:rPr>
          <w:bCs/>
          <w:sz w:val="24"/>
          <w:szCs w:val="24"/>
          <w:u w:val="single"/>
          <w:lang w:eastAsia="de-AT"/>
        </w:rPr>
      </w:pPr>
      <w:r w:rsidRPr="007C190E">
        <w:rPr>
          <w:bCs/>
          <w:sz w:val="24"/>
          <w:szCs w:val="24"/>
          <w:u w:val="single"/>
          <w:lang w:eastAsia="de-AT"/>
        </w:rPr>
        <w:t>Indberetning af formodede bivirkninger</w:t>
      </w:r>
    </w:p>
    <w:p w14:paraId="6BED314E" w14:textId="5A265C52" w:rsidR="00191E23" w:rsidRPr="007C190E" w:rsidRDefault="00191E23" w:rsidP="00191E23">
      <w:pPr>
        <w:ind w:left="851"/>
        <w:rPr>
          <w:sz w:val="24"/>
          <w:szCs w:val="24"/>
          <w:lang w:eastAsia="de-AT"/>
        </w:rPr>
      </w:pPr>
      <w:r w:rsidRPr="007C190E">
        <w:rPr>
          <w:sz w:val="24"/>
          <w:szCs w:val="24"/>
          <w:lang w:eastAsia="de-AT"/>
        </w:rPr>
        <w:t>Når lægemidlet er godkendt, er indberetning af formodede bivirkninger vigtig. Det muliggør løbende overvågning af benefit/</w:t>
      </w:r>
      <w:proofErr w:type="spellStart"/>
      <w:r w:rsidRPr="007C190E">
        <w:rPr>
          <w:sz w:val="24"/>
          <w:szCs w:val="24"/>
          <w:lang w:eastAsia="de-AT"/>
        </w:rPr>
        <w:t>risk</w:t>
      </w:r>
      <w:proofErr w:type="spellEnd"/>
      <w:r w:rsidRPr="007C190E">
        <w:rPr>
          <w:sz w:val="24"/>
          <w:szCs w:val="24"/>
          <w:lang w:eastAsia="de-AT"/>
        </w:rPr>
        <w:t>-forholdet for lægemidlet. Sundhedspersoner anmodes om at indberette alle formodede bivirkninger via:</w:t>
      </w:r>
    </w:p>
    <w:p w14:paraId="05897513" w14:textId="77777777" w:rsidR="00191E23" w:rsidRPr="007C190E" w:rsidRDefault="00191E23" w:rsidP="00191E23">
      <w:pPr>
        <w:tabs>
          <w:tab w:val="left" w:pos="851"/>
        </w:tabs>
        <w:ind w:left="851"/>
        <w:rPr>
          <w:sz w:val="24"/>
          <w:szCs w:val="24"/>
          <w:lang w:eastAsia="de-AT"/>
        </w:rPr>
      </w:pPr>
      <w:r w:rsidRPr="007C190E">
        <w:rPr>
          <w:sz w:val="24"/>
          <w:szCs w:val="24"/>
          <w:lang w:eastAsia="de-AT"/>
        </w:rPr>
        <w:t xml:space="preserve"> </w:t>
      </w:r>
    </w:p>
    <w:p w14:paraId="055D1792" w14:textId="77777777" w:rsidR="00191E23" w:rsidRPr="007C190E" w:rsidRDefault="00191E23" w:rsidP="00191E23">
      <w:pPr>
        <w:tabs>
          <w:tab w:val="left" w:pos="0"/>
        </w:tabs>
        <w:ind w:left="851"/>
        <w:rPr>
          <w:sz w:val="24"/>
          <w:szCs w:val="24"/>
          <w:lang w:eastAsia="de-AT"/>
        </w:rPr>
      </w:pPr>
      <w:r w:rsidRPr="007C190E">
        <w:rPr>
          <w:sz w:val="24"/>
          <w:szCs w:val="24"/>
          <w:lang w:eastAsia="de-AT"/>
        </w:rPr>
        <w:t>Lægemiddelstyrelsen</w:t>
      </w:r>
    </w:p>
    <w:p w14:paraId="5F5E0252" w14:textId="77777777" w:rsidR="00191E23" w:rsidRPr="007C190E" w:rsidRDefault="00191E23" w:rsidP="00191E23">
      <w:pPr>
        <w:tabs>
          <w:tab w:val="left" w:pos="0"/>
        </w:tabs>
        <w:ind w:left="851"/>
        <w:rPr>
          <w:sz w:val="24"/>
          <w:szCs w:val="24"/>
          <w:lang w:eastAsia="de-AT"/>
        </w:rPr>
      </w:pPr>
      <w:r w:rsidRPr="007C190E">
        <w:rPr>
          <w:sz w:val="24"/>
          <w:szCs w:val="24"/>
          <w:lang w:eastAsia="de-AT"/>
        </w:rPr>
        <w:t>Axel Heides Gade 1</w:t>
      </w:r>
    </w:p>
    <w:p w14:paraId="348BEC2A" w14:textId="77777777" w:rsidR="00191E23" w:rsidRPr="007C190E" w:rsidRDefault="00191E23" w:rsidP="00191E23">
      <w:pPr>
        <w:tabs>
          <w:tab w:val="left" w:pos="0"/>
        </w:tabs>
        <w:ind w:left="851"/>
        <w:rPr>
          <w:sz w:val="24"/>
          <w:szCs w:val="24"/>
          <w:lang w:eastAsia="de-AT"/>
        </w:rPr>
      </w:pPr>
      <w:r w:rsidRPr="007C190E">
        <w:rPr>
          <w:sz w:val="24"/>
          <w:szCs w:val="24"/>
          <w:lang w:eastAsia="de-AT"/>
        </w:rPr>
        <w:t>DK-2300 København S</w:t>
      </w:r>
    </w:p>
    <w:p w14:paraId="76EFE211" w14:textId="77777777" w:rsidR="00191E23" w:rsidRPr="007C190E" w:rsidRDefault="00191E23" w:rsidP="00191E23">
      <w:pPr>
        <w:tabs>
          <w:tab w:val="left" w:pos="0"/>
        </w:tabs>
        <w:ind w:left="851"/>
        <w:rPr>
          <w:sz w:val="24"/>
          <w:szCs w:val="24"/>
          <w:lang w:eastAsia="de-AT"/>
        </w:rPr>
      </w:pPr>
      <w:r w:rsidRPr="007C190E">
        <w:rPr>
          <w:sz w:val="24"/>
          <w:szCs w:val="24"/>
          <w:lang w:eastAsia="de-AT"/>
        </w:rPr>
        <w:t xml:space="preserve">Websted: </w:t>
      </w:r>
      <w:hyperlink r:id="rId8" w:history="1">
        <w:r w:rsidRPr="007C190E">
          <w:rPr>
            <w:rStyle w:val="Hyperlink"/>
            <w:sz w:val="24"/>
            <w:szCs w:val="24"/>
            <w:lang w:eastAsia="de-AT"/>
          </w:rPr>
          <w:t>www.meldenbivirkning.dk</w:t>
        </w:r>
      </w:hyperlink>
    </w:p>
    <w:p w14:paraId="571A092F" w14:textId="77777777" w:rsidR="009260DE" w:rsidRPr="007C190E" w:rsidRDefault="009260DE" w:rsidP="00A10294">
      <w:pPr>
        <w:tabs>
          <w:tab w:val="left" w:pos="851"/>
        </w:tabs>
        <w:ind w:left="851"/>
        <w:rPr>
          <w:sz w:val="24"/>
          <w:szCs w:val="24"/>
        </w:rPr>
      </w:pPr>
    </w:p>
    <w:p w14:paraId="1CDF3AA0" w14:textId="77777777" w:rsidR="009260DE" w:rsidRPr="007C190E" w:rsidRDefault="009260DE" w:rsidP="009260DE">
      <w:pPr>
        <w:tabs>
          <w:tab w:val="left" w:pos="851"/>
        </w:tabs>
        <w:ind w:left="851" w:hanging="851"/>
        <w:rPr>
          <w:b/>
          <w:sz w:val="24"/>
          <w:szCs w:val="24"/>
        </w:rPr>
      </w:pPr>
      <w:r w:rsidRPr="007C190E">
        <w:rPr>
          <w:b/>
          <w:sz w:val="24"/>
          <w:szCs w:val="24"/>
        </w:rPr>
        <w:t>4.9</w:t>
      </w:r>
      <w:r w:rsidRPr="007C190E">
        <w:rPr>
          <w:b/>
          <w:sz w:val="24"/>
          <w:szCs w:val="24"/>
        </w:rPr>
        <w:tab/>
        <w:t>Overdosering</w:t>
      </w:r>
    </w:p>
    <w:p w14:paraId="2AF41184" w14:textId="77777777" w:rsidR="00191E23" w:rsidRPr="007C190E" w:rsidRDefault="00191E23" w:rsidP="007C190E">
      <w:pPr>
        <w:ind w:left="851"/>
        <w:rPr>
          <w:sz w:val="24"/>
          <w:szCs w:val="24"/>
          <w:lang w:eastAsia="de-AT"/>
        </w:rPr>
      </w:pPr>
      <w:r w:rsidRPr="007C190E">
        <w:rPr>
          <w:sz w:val="24"/>
          <w:szCs w:val="24"/>
        </w:rPr>
        <w:t xml:space="preserve">Brugen af høje doser humane plasma </w:t>
      </w:r>
      <w:proofErr w:type="spellStart"/>
      <w:r w:rsidRPr="007C190E">
        <w:rPr>
          <w:sz w:val="24"/>
          <w:szCs w:val="24"/>
        </w:rPr>
        <w:t>protrombinkompleksprodukter</w:t>
      </w:r>
      <w:proofErr w:type="spellEnd"/>
      <w:r w:rsidRPr="007C190E">
        <w:rPr>
          <w:sz w:val="24"/>
          <w:szCs w:val="24"/>
        </w:rPr>
        <w:t xml:space="preserve"> er blevet forbundet med forekomst af myokardieinfarkt, dissemineret </w:t>
      </w:r>
      <w:proofErr w:type="spellStart"/>
      <w:r w:rsidRPr="007C190E">
        <w:rPr>
          <w:sz w:val="24"/>
          <w:szCs w:val="24"/>
        </w:rPr>
        <w:t>intravaskulær</w:t>
      </w:r>
      <w:proofErr w:type="spellEnd"/>
      <w:r w:rsidRPr="007C190E">
        <w:rPr>
          <w:sz w:val="24"/>
          <w:szCs w:val="24"/>
        </w:rPr>
        <w:t xml:space="preserve"> koagulation, venetrombose og </w:t>
      </w:r>
      <w:proofErr w:type="spellStart"/>
      <w:r w:rsidRPr="007C190E">
        <w:rPr>
          <w:sz w:val="24"/>
          <w:szCs w:val="24"/>
        </w:rPr>
        <w:t>lungeemboli</w:t>
      </w:r>
      <w:proofErr w:type="spellEnd"/>
      <w:r w:rsidRPr="007C190E">
        <w:rPr>
          <w:sz w:val="24"/>
          <w:szCs w:val="24"/>
        </w:rPr>
        <w:t xml:space="preserve">. I tilfælde af overdosering er risikoen for udvikling af </w:t>
      </w:r>
      <w:proofErr w:type="spellStart"/>
      <w:r w:rsidRPr="007C190E">
        <w:rPr>
          <w:sz w:val="24"/>
          <w:szCs w:val="24"/>
        </w:rPr>
        <w:t>tromboemboliske</w:t>
      </w:r>
      <w:proofErr w:type="spellEnd"/>
      <w:r w:rsidRPr="007C190E">
        <w:rPr>
          <w:sz w:val="24"/>
          <w:szCs w:val="24"/>
        </w:rPr>
        <w:t xml:space="preserve"> komplikationer eller dissemineret </w:t>
      </w:r>
      <w:proofErr w:type="spellStart"/>
      <w:r w:rsidRPr="007C190E">
        <w:rPr>
          <w:sz w:val="24"/>
          <w:szCs w:val="24"/>
        </w:rPr>
        <w:t>intravaskulær</w:t>
      </w:r>
      <w:proofErr w:type="spellEnd"/>
      <w:r w:rsidRPr="007C190E">
        <w:rPr>
          <w:sz w:val="24"/>
          <w:szCs w:val="24"/>
        </w:rPr>
        <w:t xml:space="preserve"> koagulation derfor forøget.</w:t>
      </w:r>
    </w:p>
    <w:p w14:paraId="29EA7538" w14:textId="77777777" w:rsidR="009260DE" w:rsidRPr="007C190E" w:rsidRDefault="009260DE" w:rsidP="009260DE">
      <w:pPr>
        <w:tabs>
          <w:tab w:val="left" w:pos="851"/>
        </w:tabs>
        <w:ind w:left="851"/>
        <w:rPr>
          <w:sz w:val="24"/>
          <w:szCs w:val="24"/>
        </w:rPr>
      </w:pPr>
    </w:p>
    <w:p w14:paraId="229FBA64" w14:textId="77777777" w:rsidR="009260DE" w:rsidRPr="007C190E" w:rsidRDefault="009260DE" w:rsidP="009260DE">
      <w:pPr>
        <w:tabs>
          <w:tab w:val="left" w:pos="851"/>
        </w:tabs>
        <w:ind w:left="851" w:hanging="851"/>
        <w:rPr>
          <w:b/>
          <w:sz w:val="24"/>
          <w:szCs w:val="24"/>
        </w:rPr>
      </w:pPr>
      <w:r w:rsidRPr="007C190E">
        <w:rPr>
          <w:b/>
          <w:sz w:val="24"/>
          <w:szCs w:val="24"/>
        </w:rPr>
        <w:t>4.10</w:t>
      </w:r>
      <w:r w:rsidRPr="007C190E">
        <w:rPr>
          <w:b/>
          <w:sz w:val="24"/>
          <w:szCs w:val="24"/>
        </w:rPr>
        <w:tab/>
        <w:t>Udlevering</w:t>
      </w:r>
    </w:p>
    <w:p w14:paraId="587B9AAB" w14:textId="4DA53B42" w:rsidR="00191E23" w:rsidRPr="007C190E" w:rsidRDefault="00191E23" w:rsidP="00191E23">
      <w:pPr>
        <w:tabs>
          <w:tab w:val="left" w:pos="851"/>
        </w:tabs>
        <w:ind w:left="851" w:hanging="851"/>
        <w:rPr>
          <w:sz w:val="24"/>
          <w:szCs w:val="24"/>
        </w:rPr>
      </w:pPr>
      <w:r w:rsidRPr="007C190E">
        <w:rPr>
          <w:sz w:val="24"/>
          <w:szCs w:val="24"/>
        </w:rPr>
        <w:tab/>
        <w:t>BEGR</w:t>
      </w:r>
      <w:r w:rsidR="007C190E" w:rsidRPr="007C190E">
        <w:rPr>
          <w:sz w:val="24"/>
          <w:szCs w:val="24"/>
        </w:rPr>
        <w:t xml:space="preserve"> (kun til sygehuse)</w:t>
      </w:r>
    </w:p>
    <w:p w14:paraId="64BE4805" w14:textId="500B31A0" w:rsidR="009260DE" w:rsidRPr="007C190E" w:rsidRDefault="009260DE" w:rsidP="009260DE">
      <w:pPr>
        <w:tabs>
          <w:tab w:val="left" w:pos="851"/>
        </w:tabs>
        <w:ind w:left="851"/>
        <w:rPr>
          <w:sz w:val="24"/>
          <w:szCs w:val="24"/>
        </w:rPr>
      </w:pPr>
    </w:p>
    <w:p w14:paraId="4551A28B" w14:textId="0CB091BB" w:rsidR="00B5420C" w:rsidRDefault="00B5420C">
      <w:pPr>
        <w:rPr>
          <w:sz w:val="24"/>
          <w:szCs w:val="24"/>
        </w:rPr>
      </w:pPr>
      <w:r>
        <w:rPr>
          <w:sz w:val="24"/>
          <w:szCs w:val="24"/>
        </w:rPr>
        <w:br w:type="page"/>
      </w:r>
    </w:p>
    <w:p w14:paraId="6CD36189" w14:textId="77777777" w:rsidR="009260DE" w:rsidRPr="007C190E" w:rsidRDefault="009260DE" w:rsidP="009260DE">
      <w:pPr>
        <w:tabs>
          <w:tab w:val="left" w:pos="851"/>
        </w:tabs>
        <w:ind w:left="851"/>
        <w:rPr>
          <w:sz w:val="24"/>
          <w:szCs w:val="24"/>
        </w:rPr>
      </w:pPr>
    </w:p>
    <w:p w14:paraId="67D57573" w14:textId="77777777" w:rsidR="009260DE" w:rsidRPr="007C190E" w:rsidRDefault="009260DE" w:rsidP="009260DE">
      <w:pPr>
        <w:tabs>
          <w:tab w:val="left" w:pos="851"/>
        </w:tabs>
        <w:ind w:left="851" w:hanging="851"/>
        <w:rPr>
          <w:b/>
          <w:sz w:val="24"/>
          <w:szCs w:val="24"/>
        </w:rPr>
      </w:pPr>
      <w:r w:rsidRPr="007C190E">
        <w:rPr>
          <w:b/>
          <w:sz w:val="24"/>
          <w:szCs w:val="24"/>
        </w:rPr>
        <w:t>5.</w:t>
      </w:r>
      <w:r w:rsidRPr="007C190E">
        <w:rPr>
          <w:b/>
          <w:sz w:val="24"/>
          <w:szCs w:val="24"/>
        </w:rPr>
        <w:tab/>
        <w:t>FARMAKOLOGISKE EGENSKABER</w:t>
      </w:r>
    </w:p>
    <w:p w14:paraId="0307BD82" w14:textId="77777777" w:rsidR="009260DE" w:rsidRPr="007C190E" w:rsidRDefault="009260DE" w:rsidP="009260DE">
      <w:pPr>
        <w:tabs>
          <w:tab w:val="left" w:pos="851"/>
        </w:tabs>
        <w:ind w:left="851"/>
        <w:rPr>
          <w:sz w:val="24"/>
          <w:szCs w:val="24"/>
        </w:rPr>
      </w:pPr>
    </w:p>
    <w:p w14:paraId="5AFDD9F3" w14:textId="77777777" w:rsidR="009260DE" w:rsidRPr="007C190E" w:rsidRDefault="009260DE" w:rsidP="009260DE">
      <w:pPr>
        <w:tabs>
          <w:tab w:val="num" w:pos="851"/>
        </w:tabs>
        <w:ind w:left="851" w:hanging="851"/>
        <w:rPr>
          <w:b/>
          <w:sz w:val="24"/>
          <w:szCs w:val="24"/>
        </w:rPr>
      </w:pPr>
      <w:r w:rsidRPr="007C190E">
        <w:rPr>
          <w:b/>
          <w:sz w:val="24"/>
          <w:szCs w:val="24"/>
        </w:rPr>
        <w:t>5.1</w:t>
      </w:r>
      <w:r w:rsidRPr="007C190E">
        <w:rPr>
          <w:b/>
          <w:sz w:val="24"/>
          <w:szCs w:val="24"/>
        </w:rPr>
        <w:tab/>
      </w:r>
      <w:proofErr w:type="spellStart"/>
      <w:r w:rsidRPr="007C190E">
        <w:rPr>
          <w:b/>
          <w:sz w:val="24"/>
          <w:szCs w:val="24"/>
        </w:rPr>
        <w:t>Farmakodynamiske</w:t>
      </w:r>
      <w:proofErr w:type="spellEnd"/>
      <w:r w:rsidRPr="007C190E">
        <w:rPr>
          <w:b/>
          <w:sz w:val="24"/>
          <w:szCs w:val="24"/>
        </w:rPr>
        <w:t xml:space="preserve"> egenskaber</w:t>
      </w:r>
    </w:p>
    <w:p w14:paraId="223BC151" w14:textId="60E9FA26" w:rsidR="00191E23" w:rsidRPr="007C190E" w:rsidRDefault="00191E23" w:rsidP="00191E23">
      <w:pPr>
        <w:ind w:left="851"/>
        <w:rPr>
          <w:sz w:val="24"/>
          <w:szCs w:val="24"/>
          <w:lang w:eastAsia="de-AT"/>
        </w:rPr>
      </w:pPr>
      <w:proofErr w:type="spellStart"/>
      <w:r w:rsidRPr="007C190E">
        <w:rPr>
          <w:sz w:val="24"/>
          <w:szCs w:val="24"/>
        </w:rPr>
        <w:t>Farmakoterapeutisk</w:t>
      </w:r>
      <w:proofErr w:type="spellEnd"/>
      <w:r w:rsidRPr="007C190E">
        <w:rPr>
          <w:sz w:val="24"/>
          <w:szCs w:val="24"/>
        </w:rPr>
        <w:t xml:space="preserve"> klassifikation: </w:t>
      </w:r>
      <w:r w:rsidRPr="007C190E">
        <w:rPr>
          <w:sz w:val="24"/>
          <w:szCs w:val="24"/>
          <w:lang w:eastAsia="de-AT"/>
        </w:rPr>
        <w:t xml:space="preserve">Koagulationsfaktorer IX, II, </w:t>
      </w:r>
      <w:smartTag w:uri="urn:schemas-microsoft-com:office:smarttags" w:element="stockticker">
        <w:r w:rsidRPr="007C190E">
          <w:rPr>
            <w:sz w:val="24"/>
            <w:szCs w:val="24"/>
            <w:lang w:eastAsia="de-AT"/>
          </w:rPr>
          <w:t>VII</w:t>
        </w:r>
      </w:smartTag>
      <w:r w:rsidRPr="007C190E">
        <w:rPr>
          <w:sz w:val="24"/>
          <w:szCs w:val="24"/>
          <w:lang w:eastAsia="de-AT"/>
        </w:rPr>
        <w:t xml:space="preserve"> og X i kombination</w:t>
      </w:r>
      <w:r w:rsidR="007C190E" w:rsidRPr="007C190E">
        <w:rPr>
          <w:sz w:val="24"/>
          <w:szCs w:val="24"/>
          <w:lang w:eastAsia="de-AT"/>
        </w:rPr>
        <w:t>, ATC-kode: B02BD01.</w:t>
      </w:r>
    </w:p>
    <w:p w14:paraId="6973F2DA" w14:textId="77777777" w:rsidR="00191E23" w:rsidRPr="007C190E" w:rsidRDefault="00191E23" w:rsidP="00191E23">
      <w:pPr>
        <w:ind w:left="851"/>
        <w:rPr>
          <w:sz w:val="24"/>
          <w:szCs w:val="24"/>
        </w:rPr>
      </w:pPr>
    </w:p>
    <w:p w14:paraId="20387867" w14:textId="77777777" w:rsidR="00191E23" w:rsidRPr="007C190E" w:rsidRDefault="00191E23" w:rsidP="007C190E">
      <w:pPr>
        <w:ind w:left="851"/>
        <w:rPr>
          <w:sz w:val="24"/>
          <w:szCs w:val="24"/>
        </w:rPr>
      </w:pPr>
      <w:r w:rsidRPr="007C190E">
        <w:rPr>
          <w:sz w:val="24"/>
          <w:szCs w:val="24"/>
        </w:rPr>
        <w:t xml:space="preserve">Koagulationsfaktorerne II, </w:t>
      </w:r>
      <w:smartTag w:uri="urn:schemas-microsoft-com:office:smarttags" w:element="stockticker">
        <w:r w:rsidRPr="007C190E">
          <w:rPr>
            <w:sz w:val="24"/>
            <w:szCs w:val="24"/>
          </w:rPr>
          <w:t>VII</w:t>
        </w:r>
      </w:smartTag>
      <w:r w:rsidRPr="007C190E">
        <w:rPr>
          <w:sz w:val="24"/>
          <w:szCs w:val="24"/>
        </w:rPr>
        <w:t xml:space="preserve">, IX og X, som syntetiseres i leveren ved hjælp af vitamin K, kaldes almindeligvis </w:t>
      </w:r>
      <w:proofErr w:type="spellStart"/>
      <w:r w:rsidRPr="007C190E">
        <w:rPr>
          <w:sz w:val="24"/>
          <w:szCs w:val="24"/>
        </w:rPr>
        <w:t>protrombinkomplekset</w:t>
      </w:r>
      <w:proofErr w:type="spellEnd"/>
      <w:r w:rsidRPr="007C190E">
        <w:rPr>
          <w:sz w:val="24"/>
          <w:szCs w:val="24"/>
        </w:rPr>
        <w:t>.</w:t>
      </w:r>
    </w:p>
    <w:p w14:paraId="316FCDC7" w14:textId="77777777" w:rsidR="00191E23" w:rsidRPr="007C190E" w:rsidRDefault="00191E23" w:rsidP="007C190E">
      <w:pPr>
        <w:ind w:left="851"/>
        <w:rPr>
          <w:sz w:val="24"/>
          <w:szCs w:val="24"/>
        </w:rPr>
      </w:pPr>
    </w:p>
    <w:p w14:paraId="29361446" w14:textId="77777777" w:rsidR="00191E23" w:rsidRPr="007C190E" w:rsidRDefault="00191E23" w:rsidP="007C190E">
      <w:pPr>
        <w:ind w:left="851"/>
        <w:rPr>
          <w:sz w:val="24"/>
          <w:szCs w:val="24"/>
        </w:rPr>
      </w:pPr>
      <w:r w:rsidRPr="007C190E">
        <w:rPr>
          <w:sz w:val="24"/>
          <w:szCs w:val="24"/>
        </w:rPr>
        <w:t xml:space="preserve">Faktor </w:t>
      </w:r>
      <w:smartTag w:uri="urn:schemas-microsoft-com:office:smarttags" w:element="stockticker">
        <w:r w:rsidRPr="007C190E">
          <w:rPr>
            <w:sz w:val="24"/>
            <w:szCs w:val="24"/>
          </w:rPr>
          <w:t>VII</w:t>
        </w:r>
      </w:smartTag>
      <w:r w:rsidRPr="007C190E">
        <w:rPr>
          <w:sz w:val="24"/>
          <w:szCs w:val="24"/>
        </w:rPr>
        <w:t xml:space="preserve"> er zymogenet af den aktive </w:t>
      </w:r>
      <w:proofErr w:type="spellStart"/>
      <w:r w:rsidRPr="007C190E">
        <w:rPr>
          <w:sz w:val="24"/>
          <w:szCs w:val="24"/>
        </w:rPr>
        <w:t>serinproteasefaktor</w:t>
      </w:r>
      <w:proofErr w:type="spellEnd"/>
      <w:r w:rsidRPr="007C190E">
        <w:rPr>
          <w:sz w:val="24"/>
          <w:szCs w:val="24"/>
        </w:rPr>
        <w:t> </w:t>
      </w:r>
      <w:proofErr w:type="spellStart"/>
      <w:r w:rsidRPr="007C190E">
        <w:rPr>
          <w:sz w:val="24"/>
          <w:szCs w:val="24"/>
        </w:rPr>
        <w:t>VIIa</w:t>
      </w:r>
      <w:proofErr w:type="spellEnd"/>
      <w:r w:rsidRPr="007C190E">
        <w:rPr>
          <w:sz w:val="24"/>
          <w:szCs w:val="24"/>
        </w:rPr>
        <w:t xml:space="preserve">, som initierer den </w:t>
      </w:r>
      <w:proofErr w:type="spellStart"/>
      <w:r w:rsidRPr="007C190E">
        <w:rPr>
          <w:sz w:val="24"/>
          <w:szCs w:val="24"/>
        </w:rPr>
        <w:t>ekstrinsiske</w:t>
      </w:r>
      <w:proofErr w:type="spellEnd"/>
      <w:r w:rsidRPr="007C190E">
        <w:rPr>
          <w:sz w:val="24"/>
          <w:szCs w:val="24"/>
        </w:rPr>
        <w:t xml:space="preserve"> blodkoagulationskaskade. Vævsfaktoren/faktor </w:t>
      </w:r>
      <w:proofErr w:type="spellStart"/>
      <w:r w:rsidRPr="007C190E">
        <w:rPr>
          <w:sz w:val="24"/>
          <w:szCs w:val="24"/>
        </w:rPr>
        <w:t>VIIa</w:t>
      </w:r>
      <w:proofErr w:type="spellEnd"/>
      <w:r w:rsidRPr="007C190E">
        <w:rPr>
          <w:sz w:val="24"/>
          <w:szCs w:val="24"/>
        </w:rPr>
        <w:t xml:space="preserve">-komplekset aktiverer koagulationsfaktorerne X og IX, hvorved faktor </w:t>
      </w:r>
      <w:proofErr w:type="spellStart"/>
      <w:r w:rsidRPr="007C190E">
        <w:rPr>
          <w:sz w:val="24"/>
          <w:szCs w:val="24"/>
        </w:rPr>
        <w:t>IXa</w:t>
      </w:r>
      <w:proofErr w:type="spellEnd"/>
      <w:r w:rsidRPr="007C190E">
        <w:rPr>
          <w:sz w:val="24"/>
          <w:szCs w:val="24"/>
        </w:rPr>
        <w:t xml:space="preserve"> og </w:t>
      </w:r>
      <w:proofErr w:type="spellStart"/>
      <w:r w:rsidRPr="007C190E">
        <w:rPr>
          <w:sz w:val="24"/>
          <w:szCs w:val="24"/>
        </w:rPr>
        <w:t>Xa</w:t>
      </w:r>
      <w:proofErr w:type="spellEnd"/>
      <w:r w:rsidRPr="007C190E">
        <w:rPr>
          <w:sz w:val="24"/>
          <w:szCs w:val="24"/>
        </w:rPr>
        <w:t xml:space="preserve"> dannes. Ved yderligere aktivering af koagulationskaskaden aktiveres </w:t>
      </w:r>
      <w:proofErr w:type="spellStart"/>
      <w:r w:rsidRPr="007C190E">
        <w:rPr>
          <w:sz w:val="24"/>
          <w:szCs w:val="24"/>
        </w:rPr>
        <w:t>protrombin</w:t>
      </w:r>
      <w:proofErr w:type="spellEnd"/>
      <w:r w:rsidRPr="007C190E">
        <w:rPr>
          <w:sz w:val="24"/>
          <w:szCs w:val="24"/>
        </w:rPr>
        <w:t xml:space="preserve"> (faktor II) og omdannes til </w:t>
      </w:r>
      <w:proofErr w:type="spellStart"/>
      <w:r w:rsidRPr="007C190E">
        <w:rPr>
          <w:sz w:val="24"/>
          <w:szCs w:val="24"/>
        </w:rPr>
        <w:t>trombin</w:t>
      </w:r>
      <w:proofErr w:type="spellEnd"/>
      <w:r w:rsidRPr="007C190E">
        <w:rPr>
          <w:sz w:val="24"/>
          <w:szCs w:val="24"/>
        </w:rPr>
        <w:t xml:space="preserve">. Ved hjælp af </w:t>
      </w:r>
      <w:proofErr w:type="spellStart"/>
      <w:r w:rsidRPr="007C190E">
        <w:rPr>
          <w:sz w:val="24"/>
          <w:szCs w:val="24"/>
        </w:rPr>
        <w:t>trombin</w:t>
      </w:r>
      <w:proofErr w:type="spellEnd"/>
      <w:r w:rsidRPr="007C190E">
        <w:rPr>
          <w:sz w:val="24"/>
          <w:szCs w:val="24"/>
        </w:rPr>
        <w:t xml:space="preserve"> omdannes </w:t>
      </w:r>
      <w:proofErr w:type="spellStart"/>
      <w:r w:rsidRPr="007C190E">
        <w:rPr>
          <w:sz w:val="24"/>
          <w:szCs w:val="24"/>
        </w:rPr>
        <w:t>fibrinogen</w:t>
      </w:r>
      <w:proofErr w:type="spellEnd"/>
      <w:r w:rsidRPr="007C190E">
        <w:rPr>
          <w:sz w:val="24"/>
          <w:szCs w:val="24"/>
        </w:rPr>
        <w:t xml:space="preserve"> til </w:t>
      </w:r>
      <w:proofErr w:type="spellStart"/>
      <w:r w:rsidRPr="007C190E">
        <w:rPr>
          <w:sz w:val="24"/>
          <w:szCs w:val="24"/>
        </w:rPr>
        <w:t>fibrin</w:t>
      </w:r>
      <w:proofErr w:type="spellEnd"/>
      <w:r w:rsidRPr="007C190E">
        <w:rPr>
          <w:sz w:val="24"/>
          <w:szCs w:val="24"/>
        </w:rPr>
        <w:t xml:space="preserve">, hvilket resulterer i dannelse af </w:t>
      </w:r>
      <w:proofErr w:type="spellStart"/>
      <w:r w:rsidRPr="007C190E">
        <w:rPr>
          <w:sz w:val="24"/>
          <w:szCs w:val="24"/>
        </w:rPr>
        <w:t>blodkoagel</w:t>
      </w:r>
      <w:proofErr w:type="spellEnd"/>
      <w:r w:rsidRPr="007C190E">
        <w:rPr>
          <w:sz w:val="24"/>
          <w:szCs w:val="24"/>
        </w:rPr>
        <w:t xml:space="preserve">. Normal dannelse af </w:t>
      </w:r>
      <w:proofErr w:type="spellStart"/>
      <w:r w:rsidRPr="007C190E">
        <w:rPr>
          <w:sz w:val="24"/>
          <w:szCs w:val="24"/>
        </w:rPr>
        <w:t>trombin</w:t>
      </w:r>
      <w:proofErr w:type="spellEnd"/>
      <w:r w:rsidRPr="007C190E">
        <w:rPr>
          <w:sz w:val="24"/>
          <w:szCs w:val="24"/>
        </w:rPr>
        <w:t xml:space="preserve"> har også afgørende betydning for </w:t>
      </w:r>
      <w:proofErr w:type="spellStart"/>
      <w:r w:rsidRPr="007C190E">
        <w:rPr>
          <w:sz w:val="24"/>
          <w:szCs w:val="24"/>
        </w:rPr>
        <w:t>trombocytfunktionen</w:t>
      </w:r>
      <w:proofErr w:type="spellEnd"/>
      <w:r w:rsidRPr="007C190E">
        <w:rPr>
          <w:sz w:val="24"/>
          <w:szCs w:val="24"/>
        </w:rPr>
        <w:t xml:space="preserve"> som en del af den primære </w:t>
      </w:r>
      <w:proofErr w:type="spellStart"/>
      <w:r w:rsidRPr="007C190E">
        <w:rPr>
          <w:sz w:val="24"/>
          <w:szCs w:val="24"/>
        </w:rPr>
        <w:t>hæmostase</w:t>
      </w:r>
      <w:proofErr w:type="spellEnd"/>
      <w:r w:rsidRPr="007C190E">
        <w:rPr>
          <w:sz w:val="24"/>
          <w:szCs w:val="24"/>
        </w:rPr>
        <w:t xml:space="preserve">. </w:t>
      </w:r>
    </w:p>
    <w:p w14:paraId="1AB49820" w14:textId="77777777" w:rsidR="00191E23" w:rsidRPr="007C190E" w:rsidRDefault="00191E23" w:rsidP="007C190E">
      <w:pPr>
        <w:ind w:left="851"/>
        <w:rPr>
          <w:sz w:val="24"/>
          <w:szCs w:val="24"/>
        </w:rPr>
      </w:pPr>
      <w:r w:rsidRPr="007C190E">
        <w:rPr>
          <w:sz w:val="24"/>
          <w:szCs w:val="24"/>
        </w:rPr>
        <w:t xml:space="preserve">Isoleret svær mangel på faktor </w:t>
      </w:r>
      <w:smartTag w:uri="urn:schemas-microsoft-com:office:smarttags" w:element="stockticker">
        <w:r w:rsidRPr="007C190E">
          <w:rPr>
            <w:sz w:val="24"/>
            <w:szCs w:val="24"/>
          </w:rPr>
          <w:t>VII</w:t>
        </w:r>
      </w:smartTag>
      <w:r w:rsidRPr="007C190E">
        <w:rPr>
          <w:sz w:val="24"/>
          <w:szCs w:val="24"/>
        </w:rPr>
        <w:t xml:space="preserve"> fører til nedsat </w:t>
      </w:r>
      <w:proofErr w:type="spellStart"/>
      <w:r w:rsidRPr="007C190E">
        <w:rPr>
          <w:sz w:val="24"/>
          <w:szCs w:val="24"/>
        </w:rPr>
        <w:t>trombindannelse</w:t>
      </w:r>
      <w:proofErr w:type="spellEnd"/>
      <w:r w:rsidRPr="007C190E">
        <w:rPr>
          <w:sz w:val="24"/>
          <w:szCs w:val="24"/>
        </w:rPr>
        <w:t xml:space="preserve"> og blødningstendens på grund af nedsat </w:t>
      </w:r>
      <w:proofErr w:type="spellStart"/>
      <w:r w:rsidRPr="007C190E">
        <w:rPr>
          <w:sz w:val="24"/>
          <w:szCs w:val="24"/>
        </w:rPr>
        <w:t>fibrindannelse</w:t>
      </w:r>
      <w:proofErr w:type="spellEnd"/>
      <w:r w:rsidRPr="007C190E">
        <w:rPr>
          <w:sz w:val="24"/>
          <w:szCs w:val="24"/>
        </w:rPr>
        <w:t xml:space="preserve"> og nedsat primær </w:t>
      </w:r>
      <w:proofErr w:type="spellStart"/>
      <w:r w:rsidRPr="007C190E">
        <w:rPr>
          <w:sz w:val="24"/>
          <w:szCs w:val="24"/>
        </w:rPr>
        <w:t>hæmostase</w:t>
      </w:r>
      <w:proofErr w:type="spellEnd"/>
      <w:r w:rsidRPr="007C190E">
        <w:rPr>
          <w:sz w:val="24"/>
          <w:szCs w:val="24"/>
        </w:rPr>
        <w:t>. Isoleret mangel på faktor IX er en klassisk hæmofilisygdom (hæmofili B). Isoleret mangel på faktor II eller X er meget sjældent, men i svær form kan det forårsage blødningstendens svarende til den, som ses ved klassisk hæmofili.</w:t>
      </w:r>
    </w:p>
    <w:p w14:paraId="1D3CBD2C" w14:textId="77777777" w:rsidR="00191E23" w:rsidRPr="007C190E" w:rsidRDefault="00191E23" w:rsidP="007C190E">
      <w:pPr>
        <w:ind w:left="851"/>
        <w:rPr>
          <w:sz w:val="24"/>
          <w:szCs w:val="24"/>
        </w:rPr>
      </w:pPr>
    </w:p>
    <w:p w14:paraId="3E3207A4" w14:textId="77777777" w:rsidR="00191E23" w:rsidRPr="007C190E" w:rsidRDefault="00191E23" w:rsidP="007C190E">
      <w:pPr>
        <w:ind w:left="851"/>
        <w:rPr>
          <w:sz w:val="24"/>
          <w:szCs w:val="24"/>
        </w:rPr>
      </w:pPr>
      <w:r w:rsidRPr="007C190E">
        <w:rPr>
          <w:sz w:val="24"/>
          <w:szCs w:val="24"/>
        </w:rPr>
        <w:t xml:space="preserve">Erhvervet mangel på vitamin K-afhængige koagulationsfaktorer opstår under behandling med vitamin K-antagonister. Hvis manglen bliver alvorlig, medfører den svær blødningstendens, som oftere er kendetegnet ved </w:t>
      </w:r>
      <w:proofErr w:type="spellStart"/>
      <w:r w:rsidRPr="007C190E">
        <w:rPr>
          <w:sz w:val="24"/>
          <w:szCs w:val="24"/>
        </w:rPr>
        <w:t>retroperitoneal</w:t>
      </w:r>
      <w:proofErr w:type="spellEnd"/>
      <w:r w:rsidRPr="007C190E">
        <w:rPr>
          <w:sz w:val="24"/>
          <w:szCs w:val="24"/>
        </w:rPr>
        <w:t xml:space="preserve"> eller cerebral blødning end blødning i muskler og led. Svær </w:t>
      </w:r>
      <w:proofErr w:type="spellStart"/>
      <w:r w:rsidRPr="007C190E">
        <w:rPr>
          <w:sz w:val="24"/>
          <w:szCs w:val="24"/>
        </w:rPr>
        <w:t>hepatisk</w:t>
      </w:r>
      <w:proofErr w:type="spellEnd"/>
      <w:r w:rsidRPr="007C190E">
        <w:rPr>
          <w:sz w:val="24"/>
          <w:szCs w:val="24"/>
        </w:rPr>
        <w:t xml:space="preserve"> insufficiens resulterer også i markant nedsat niveau af vitamin K-afhængige koagulationsfaktorer og en klinisk blødningstendens, som imidlertid ofte er kompleks på grund af den samtidigt opståede lave grad af </w:t>
      </w:r>
      <w:proofErr w:type="spellStart"/>
      <w:r w:rsidRPr="007C190E">
        <w:rPr>
          <w:sz w:val="24"/>
          <w:szCs w:val="24"/>
        </w:rPr>
        <w:t>intravaskulær</w:t>
      </w:r>
      <w:proofErr w:type="spellEnd"/>
      <w:r w:rsidRPr="007C190E">
        <w:rPr>
          <w:sz w:val="24"/>
          <w:szCs w:val="24"/>
        </w:rPr>
        <w:t xml:space="preserve"> koagulation, lavt </w:t>
      </w:r>
      <w:proofErr w:type="spellStart"/>
      <w:r w:rsidRPr="007C190E">
        <w:rPr>
          <w:sz w:val="24"/>
          <w:szCs w:val="24"/>
        </w:rPr>
        <w:t>trombocytniveau</w:t>
      </w:r>
      <w:proofErr w:type="spellEnd"/>
      <w:r w:rsidRPr="007C190E">
        <w:rPr>
          <w:sz w:val="24"/>
          <w:szCs w:val="24"/>
        </w:rPr>
        <w:t xml:space="preserve">, mangel på </w:t>
      </w:r>
      <w:proofErr w:type="spellStart"/>
      <w:r w:rsidRPr="007C190E">
        <w:rPr>
          <w:sz w:val="24"/>
          <w:szCs w:val="24"/>
        </w:rPr>
        <w:t>koagulationshæmmere</w:t>
      </w:r>
      <w:proofErr w:type="spellEnd"/>
      <w:r w:rsidRPr="007C190E">
        <w:rPr>
          <w:sz w:val="24"/>
          <w:szCs w:val="24"/>
        </w:rPr>
        <w:t xml:space="preserve"> og forstyrrelse af </w:t>
      </w:r>
      <w:proofErr w:type="spellStart"/>
      <w:r w:rsidRPr="007C190E">
        <w:rPr>
          <w:sz w:val="24"/>
          <w:szCs w:val="24"/>
        </w:rPr>
        <w:t>fibrinolysen</w:t>
      </w:r>
      <w:proofErr w:type="spellEnd"/>
      <w:r w:rsidRPr="007C190E">
        <w:rPr>
          <w:sz w:val="24"/>
          <w:szCs w:val="24"/>
        </w:rPr>
        <w:t>.</w:t>
      </w:r>
    </w:p>
    <w:p w14:paraId="205C036F" w14:textId="77777777" w:rsidR="00191E23" w:rsidRPr="007C190E" w:rsidRDefault="00191E23" w:rsidP="007C190E">
      <w:pPr>
        <w:ind w:left="851"/>
        <w:rPr>
          <w:sz w:val="24"/>
          <w:szCs w:val="24"/>
        </w:rPr>
      </w:pPr>
    </w:p>
    <w:p w14:paraId="04FC7F89" w14:textId="77777777" w:rsidR="00191E23" w:rsidRPr="007C190E" w:rsidRDefault="00191E23" w:rsidP="007C190E">
      <w:pPr>
        <w:ind w:left="851"/>
        <w:rPr>
          <w:sz w:val="24"/>
          <w:szCs w:val="24"/>
        </w:rPr>
      </w:pPr>
      <w:r w:rsidRPr="007C190E">
        <w:rPr>
          <w:sz w:val="24"/>
          <w:szCs w:val="24"/>
        </w:rPr>
        <w:t xml:space="preserve">Administrationen af humane </w:t>
      </w:r>
      <w:proofErr w:type="spellStart"/>
      <w:r w:rsidRPr="007C190E">
        <w:rPr>
          <w:sz w:val="24"/>
          <w:szCs w:val="24"/>
        </w:rPr>
        <w:t>protrombinkomplekskoncentrater</w:t>
      </w:r>
      <w:proofErr w:type="spellEnd"/>
      <w:r w:rsidRPr="007C190E">
        <w:rPr>
          <w:sz w:val="24"/>
          <w:szCs w:val="24"/>
        </w:rPr>
        <w:t xml:space="preserve"> giver en stigning i plasmaniveauet af vitamin K-afhængige koagulationsfaktorer, og kan midlertidigt korrigere koagulationsdefekten hos patienter med mangel på en eller flere af disse faktorer. </w:t>
      </w:r>
    </w:p>
    <w:p w14:paraId="65B565D0" w14:textId="77777777" w:rsidR="00191E23" w:rsidRPr="007C190E" w:rsidRDefault="00191E23" w:rsidP="007C190E">
      <w:pPr>
        <w:ind w:left="851"/>
        <w:rPr>
          <w:sz w:val="24"/>
          <w:szCs w:val="24"/>
        </w:rPr>
      </w:pPr>
    </w:p>
    <w:p w14:paraId="7B0FBB7E" w14:textId="77777777" w:rsidR="00191E23" w:rsidRPr="007C190E" w:rsidRDefault="00191E23" w:rsidP="007C190E">
      <w:pPr>
        <w:ind w:left="851"/>
        <w:rPr>
          <w:sz w:val="24"/>
          <w:szCs w:val="24"/>
          <w:u w:val="single"/>
        </w:rPr>
      </w:pPr>
      <w:r w:rsidRPr="007C190E">
        <w:rPr>
          <w:sz w:val="24"/>
          <w:szCs w:val="24"/>
          <w:u w:val="single"/>
        </w:rPr>
        <w:t>Pædiatrisk population</w:t>
      </w:r>
    </w:p>
    <w:p w14:paraId="2598D64C" w14:textId="77777777" w:rsidR="00191E23" w:rsidRPr="007C190E" w:rsidRDefault="00191E23" w:rsidP="007C190E">
      <w:pPr>
        <w:ind w:left="851"/>
        <w:rPr>
          <w:sz w:val="24"/>
          <w:szCs w:val="24"/>
          <w:lang w:eastAsia="de-AT"/>
        </w:rPr>
      </w:pPr>
      <w:r w:rsidRPr="007C190E">
        <w:rPr>
          <w:sz w:val="24"/>
          <w:szCs w:val="24"/>
          <w:lang w:eastAsia="de-AT"/>
        </w:rPr>
        <w:t xml:space="preserve">Der er ikke tilstrækkelige data til at anbefale administration af </w:t>
      </w:r>
      <w:proofErr w:type="spellStart"/>
      <w:r w:rsidRPr="007C190E">
        <w:rPr>
          <w:sz w:val="24"/>
          <w:szCs w:val="24"/>
          <w:lang w:eastAsia="de-AT"/>
        </w:rPr>
        <w:t>Prothromplex</w:t>
      </w:r>
      <w:proofErr w:type="spellEnd"/>
      <w:r w:rsidRPr="007C190E">
        <w:rPr>
          <w:sz w:val="24"/>
          <w:szCs w:val="24"/>
          <w:lang w:eastAsia="de-AT"/>
        </w:rPr>
        <w:t xml:space="preserve"> til børn.</w:t>
      </w:r>
    </w:p>
    <w:p w14:paraId="0EEF4CEE" w14:textId="77777777" w:rsidR="009260DE" w:rsidRPr="007C190E" w:rsidRDefault="009260DE" w:rsidP="009260DE">
      <w:pPr>
        <w:tabs>
          <w:tab w:val="left" w:pos="851"/>
        </w:tabs>
        <w:ind w:left="851"/>
        <w:rPr>
          <w:sz w:val="24"/>
          <w:szCs w:val="24"/>
        </w:rPr>
      </w:pPr>
    </w:p>
    <w:p w14:paraId="0D66F080" w14:textId="77777777" w:rsidR="009260DE" w:rsidRPr="007C190E" w:rsidRDefault="009260DE" w:rsidP="009260DE">
      <w:pPr>
        <w:tabs>
          <w:tab w:val="left" w:pos="851"/>
        </w:tabs>
        <w:ind w:left="851" w:hanging="851"/>
        <w:rPr>
          <w:b/>
          <w:sz w:val="24"/>
          <w:szCs w:val="24"/>
        </w:rPr>
      </w:pPr>
      <w:r w:rsidRPr="007C190E">
        <w:rPr>
          <w:b/>
          <w:sz w:val="24"/>
          <w:szCs w:val="24"/>
        </w:rPr>
        <w:t>5.2</w:t>
      </w:r>
      <w:r w:rsidRPr="007C190E">
        <w:rPr>
          <w:b/>
          <w:sz w:val="24"/>
          <w:szCs w:val="24"/>
        </w:rPr>
        <w:tab/>
      </w:r>
      <w:proofErr w:type="spellStart"/>
      <w:r w:rsidRPr="007C190E">
        <w:rPr>
          <w:b/>
          <w:sz w:val="24"/>
          <w:szCs w:val="24"/>
        </w:rPr>
        <w:t>Farmakokinetiske</w:t>
      </w:r>
      <w:proofErr w:type="spellEnd"/>
      <w:r w:rsidRPr="007C190E">
        <w:rPr>
          <w:b/>
          <w:sz w:val="24"/>
          <w:szCs w:val="24"/>
        </w:rPr>
        <w:t xml:space="preserve"> egenskaber</w:t>
      </w:r>
    </w:p>
    <w:p w14:paraId="1AD4DE7A" w14:textId="77777777" w:rsidR="007C190E" w:rsidRPr="007C190E" w:rsidRDefault="007C190E" w:rsidP="00191E23">
      <w:pPr>
        <w:tabs>
          <w:tab w:val="left" w:pos="3261"/>
        </w:tabs>
        <w:ind w:left="851"/>
        <w:rPr>
          <w:sz w:val="24"/>
          <w:szCs w:val="24"/>
          <w:u w:val="single"/>
        </w:rPr>
      </w:pPr>
    </w:p>
    <w:p w14:paraId="3FF89466" w14:textId="46C1FB5C" w:rsidR="00191E23" w:rsidRPr="007C190E" w:rsidRDefault="00191E23" w:rsidP="00191E23">
      <w:pPr>
        <w:tabs>
          <w:tab w:val="left" w:pos="3261"/>
        </w:tabs>
        <w:ind w:left="851"/>
        <w:rPr>
          <w:sz w:val="24"/>
          <w:szCs w:val="24"/>
          <w:u w:val="single"/>
        </w:rPr>
      </w:pPr>
      <w:r w:rsidRPr="007C190E">
        <w:rPr>
          <w:sz w:val="24"/>
          <w:szCs w:val="24"/>
          <w:u w:val="single"/>
        </w:rPr>
        <w:t>Koagulationsfaktor</w:t>
      </w:r>
      <w:r w:rsidRPr="007C190E">
        <w:rPr>
          <w:sz w:val="24"/>
          <w:szCs w:val="24"/>
        </w:rPr>
        <w:tab/>
      </w:r>
      <w:r w:rsidRPr="007C190E">
        <w:rPr>
          <w:sz w:val="24"/>
          <w:szCs w:val="24"/>
          <w:u w:val="single"/>
        </w:rPr>
        <w:t>Halveringstid</w:t>
      </w:r>
    </w:p>
    <w:p w14:paraId="3E61EA91" w14:textId="77777777" w:rsidR="00191E23" w:rsidRPr="007C190E" w:rsidRDefault="00191E23" w:rsidP="00191E23">
      <w:pPr>
        <w:tabs>
          <w:tab w:val="left" w:pos="3261"/>
        </w:tabs>
        <w:ind w:left="851"/>
        <w:rPr>
          <w:sz w:val="24"/>
          <w:szCs w:val="24"/>
        </w:rPr>
      </w:pPr>
      <w:r w:rsidRPr="007C190E">
        <w:rPr>
          <w:sz w:val="24"/>
          <w:szCs w:val="24"/>
        </w:rPr>
        <w:t>Faktor II</w:t>
      </w:r>
      <w:r w:rsidRPr="007C190E">
        <w:rPr>
          <w:sz w:val="24"/>
          <w:szCs w:val="24"/>
        </w:rPr>
        <w:tab/>
        <w:t>40 – 60 timer</w:t>
      </w:r>
    </w:p>
    <w:p w14:paraId="4D708A87" w14:textId="77777777" w:rsidR="00191E23" w:rsidRPr="007C190E" w:rsidRDefault="00191E23" w:rsidP="00191E23">
      <w:pPr>
        <w:tabs>
          <w:tab w:val="left" w:pos="3261"/>
        </w:tabs>
        <w:ind w:left="851"/>
        <w:rPr>
          <w:sz w:val="24"/>
          <w:szCs w:val="24"/>
        </w:rPr>
      </w:pPr>
      <w:r w:rsidRPr="007C190E">
        <w:rPr>
          <w:sz w:val="24"/>
          <w:szCs w:val="24"/>
        </w:rPr>
        <w:t xml:space="preserve">Faktor </w:t>
      </w:r>
      <w:smartTag w:uri="urn:schemas-microsoft-com:office:smarttags" w:element="stockticker">
        <w:r w:rsidRPr="007C190E">
          <w:rPr>
            <w:sz w:val="24"/>
            <w:szCs w:val="24"/>
          </w:rPr>
          <w:t>VII</w:t>
        </w:r>
      </w:smartTag>
      <w:r w:rsidRPr="007C190E">
        <w:rPr>
          <w:sz w:val="24"/>
          <w:szCs w:val="24"/>
        </w:rPr>
        <w:tab/>
        <w:t>3 – 5 timer</w:t>
      </w:r>
    </w:p>
    <w:p w14:paraId="717F2C50" w14:textId="77777777" w:rsidR="00191E23" w:rsidRPr="007C190E" w:rsidRDefault="00191E23" w:rsidP="00191E23">
      <w:pPr>
        <w:tabs>
          <w:tab w:val="left" w:pos="3261"/>
        </w:tabs>
        <w:ind w:left="851"/>
        <w:rPr>
          <w:sz w:val="24"/>
          <w:szCs w:val="24"/>
        </w:rPr>
      </w:pPr>
      <w:r w:rsidRPr="007C190E">
        <w:rPr>
          <w:sz w:val="24"/>
          <w:szCs w:val="24"/>
        </w:rPr>
        <w:t>Faktor IX</w:t>
      </w:r>
      <w:r w:rsidRPr="007C190E">
        <w:rPr>
          <w:sz w:val="24"/>
          <w:szCs w:val="24"/>
        </w:rPr>
        <w:tab/>
        <w:t>16 – 30 timer</w:t>
      </w:r>
    </w:p>
    <w:p w14:paraId="36D40002" w14:textId="77777777" w:rsidR="00191E23" w:rsidRPr="007C190E" w:rsidRDefault="00191E23" w:rsidP="00191E23">
      <w:pPr>
        <w:tabs>
          <w:tab w:val="left" w:pos="3261"/>
        </w:tabs>
        <w:ind w:left="851"/>
        <w:rPr>
          <w:sz w:val="24"/>
          <w:szCs w:val="24"/>
        </w:rPr>
      </w:pPr>
      <w:r w:rsidRPr="007C190E">
        <w:rPr>
          <w:sz w:val="24"/>
          <w:szCs w:val="24"/>
        </w:rPr>
        <w:t>Faktor X</w:t>
      </w:r>
      <w:r w:rsidRPr="007C190E">
        <w:rPr>
          <w:sz w:val="24"/>
          <w:szCs w:val="24"/>
        </w:rPr>
        <w:tab/>
        <w:t>30 – 60 timer</w:t>
      </w:r>
    </w:p>
    <w:p w14:paraId="459CDC16" w14:textId="77777777" w:rsidR="009260DE" w:rsidRPr="007C190E" w:rsidRDefault="009260DE" w:rsidP="009260DE">
      <w:pPr>
        <w:tabs>
          <w:tab w:val="left" w:pos="851"/>
        </w:tabs>
        <w:ind w:left="851"/>
        <w:rPr>
          <w:sz w:val="24"/>
          <w:szCs w:val="24"/>
        </w:rPr>
      </w:pPr>
    </w:p>
    <w:p w14:paraId="2DB423BE" w14:textId="77777777" w:rsidR="009260DE" w:rsidRPr="007C190E" w:rsidRDefault="009260DE" w:rsidP="009260DE">
      <w:pPr>
        <w:tabs>
          <w:tab w:val="left" w:pos="851"/>
        </w:tabs>
        <w:ind w:left="851" w:hanging="851"/>
        <w:rPr>
          <w:b/>
          <w:sz w:val="24"/>
          <w:szCs w:val="24"/>
        </w:rPr>
      </w:pPr>
      <w:r w:rsidRPr="007C190E">
        <w:rPr>
          <w:b/>
          <w:sz w:val="24"/>
          <w:szCs w:val="24"/>
        </w:rPr>
        <w:t>5.3</w:t>
      </w:r>
      <w:r w:rsidRPr="007C190E">
        <w:rPr>
          <w:b/>
          <w:sz w:val="24"/>
          <w:szCs w:val="24"/>
        </w:rPr>
        <w:tab/>
      </w:r>
      <w:r w:rsidR="00BD7931" w:rsidRPr="007C190E">
        <w:rPr>
          <w:b/>
          <w:sz w:val="24"/>
          <w:szCs w:val="24"/>
        </w:rPr>
        <w:t>Non-</w:t>
      </w:r>
      <w:r w:rsidRPr="007C190E">
        <w:rPr>
          <w:b/>
          <w:sz w:val="24"/>
          <w:szCs w:val="24"/>
        </w:rPr>
        <w:t>kliniske sikkerhedsdata</w:t>
      </w:r>
    </w:p>
    <w:p w14:paraId="5BF2DAF2" w14:textId="77777777" w:rsidR="00191E23" w:rsidRPr="007C190E" w:rsidRDefault="00191E23" w:rsidP="00191E23">
      <w:pPr>
        <w:ind w:left="851"/>
        <w:rPr>
          <w:sz w:val="24"/>
          <w:szCs w:val="24"/>
          <w:lang w:eastAsia="de-AT"/>
        </w:rPr>
      </w:pPr>
      <w:r w:rsidRPr="007C190E">
        <w:rPr>
          <w:sz w:val="24"/>
          <w:szCs w:val="24"/>
          <w:lang w:eastAsia="de-AT"/>
        </w:rPr>
        <w:t xml:space="preserve">Faktorerne i det humane </w:t>
      </w:r>
      <w:proofErr w:type="spellStart"/>
      <w:r w:rsidRPr="007C190E">
        <w:rPr>
          <w:sz w:val="24"/>
          <w:szCs w:val="24"/>
          <w:lang w:eastAsia="de-AT"/>
        </w:rPr>
        <w:t>protrombinkompleks</w:t>
      </w:r>
      <w:proofErr w:type="spellEnd"/>
      <w:r w:rsidRPr="007C190E">
        <w:rPr>
          <w:sz w:val="24"/>
          <w:szCs w:val="24"/>
          <w:lang w:eastAsia="de-AT"/>
        </w:rPr>
        <w:t xml:space="preserve"> (i et koncentrat) er normale bestanddele af humant plasma og opfører sig som endogene koagulationsfaktorer. </w:t>
      </w:r>
    </w:p>
    <w:p w14:paraId="0EC64EA2" w14:textId="77777777" w:rsidR="00191E23" w:rsidRPr="007C190E" w:rsidRDefault="00191E23" w:rsidP="00191E23">
      <w:pPr>
        <w:ind w:left="851"/>
        <w:rPr>
          <w:sz w:val="24"/>
          <w:szCs w:val="24"/>
          <w:lang w:eastAsia="de-AT"/>
        </w:rPr>
      </w:pPr>
    </w:p>
    <w:p w14:paraId="68C352B9" w14:textId="77777777" w:rsidR="00191E23" w:rsidRPr="007C190E" w:rsidRDefault="00191E23" w:rsidP="00191E23">
      <w:pPr>
        <w:ind w:left="851"/>
        <w:rPr>
          <w:sz w:val="24"/>
          <w:szCs w:val="24"/>
          <w:lang w:eastAsia="de-AT"/>
        </w:rPr>
      </w:pPr>
      <w:r w:rsidRPr="007C190E">
        <w:rPr>
          <w:sz w:val="24"/>
          <w:szCs w:val="24"/>
          <w:lang w:eastAsia="de-AT"/>
        </w:rPr>
        <w:lastRenderedPageBreak/>
        <w:t>Da høje doser fører til volumenoverbelastning, har toksicitetskontrol efter en enkelt administration ingen betydning.</w:t>
      </w:r>
    </w:p>
    <w:p w14:paraId="2849740D" w14:textId="77777777" w:rsidR="00191E23" w:rsidRPr="007C190E" w:rsidRDefault="00191E23" w:rsidP="00191E23">
      <w:pPr>
        <w:ind w:left="851"/>
        <w:rPr>
          <w:sz w:val="24"/>
          <w:szCs w:val="24"/>
          <w:lang w:eastAsia="de-AT"/>
        </w:rPr>
      </w:pPr>
    </w:p>
    <w:p w14:paraId="24F5DF55" w14:textId="77777777" w:rsidR="00191E23" w:rsidRPr="007C190E" w:rsidRDefault="00191E23" w:rsidP="00191E23">
      <w:pPr>
        <w:ind w:left="851"/>
        <w:rPr>
          <w:sz w:val="24"/>
          <w:szCs w:val="24"/>
          <w:lang w:eastAsia="de-AT"/>
        </w:rPr>
      </w:pPr>
      <w:r w:rsidRPr="007C190E">
        <w:rPr>
          <w:sz w:val="24"/>
          <w:szCs w:val="24"/>
          <w:lang w:eastAsia="de-AT"/>
        </w:rPr>
        <w:t xml:space="preserve">Toksicitetsstudier efter gentagen administration ved dyreforsøg er ikke mulige, da der opstår forstyrrelser på grund af udviklingen af antistoffer mod heterologe proteiner. </w:t>
      </w:r>
    </w:p>
    <w:p w14:paraId="078573BC" w14:textId="77777777" w:rsidR="00191E23" w:rsidRPr="007C190E" w:rsidRDefault="00191E23" w:rsidP="00191E23">
      <w:pPr>
        <w:ind w:left="851"/>
        <w:rPr>
          <w:sz w:val="24"/>
          <w:szCs w:val="24"/>
          <w:lang w:eastAsia="de-AT"/>
        </w:rPr>
      </w:pPr>
    </w:p>
    <w:p w14:paraId="25B59B16" w14:textId="77777777" w:rsidR="00191E23" w:rsidRPr="007C190E" w:rsidRDefault="00191E23" w:rsidP="00191E23">
      <w:pPr>
        <w:ind w:left="851"/>
        <w:rPr>
          <w:sz w:val="24"/>
          <w:szCs w:val="24"/>
          <w:lang w:eastAsia="de-AT"/>
        </w:rPr>
      </w:pPr>
      <w:r w:rsidRPr="007C190E">
        <w:rPr>
          <w:sz w:val="24"/>
          <w:szCs w:val="24"/>
          <w:lang w:eastAsia="de-AT"/>
        </w:rPr>
        <w:t xml:space="preserve">Da humane koagulationsfaktorer ikke anses for at være </w:t>
      </w:r>
      <w:proofErr w:type="spellStart"/>
      <w:r w:rsidRPr="007C190E">
        <w:rPr>
          <w:sz w:val="24"/>
          <w:szCs w:val="24"/>
          <w:lang w:eastAsia="de-AT"/>
        </w:rPr>
        <w:t>carcinogene</w:t>
      </w:r>
      <w:proofErr w:type="spellEnd"/>
      <w:r w:rsidRPr="007C190E">
        <w:rPr>
          <w:sz w:val="24"/>
          <w:szCs w:val="24"/>
          <w:lang w:eastAsia="de-AT"/>
        </w:rPr>
        <w:t xml:space="preserve"> eller mutagene, ansås det ikke for nødvendigt at udføre eksperimentelle studier, især hos heterologe arter.</w:t>
      </w:r>
    </w:p>
    <w:p w14:paraId="2B6DDD39" w14:textId="7367B0EE" w:rsidR="009260DE" w:rsidRPr="007C190E" w:rsidRDefault="009260DE" w:rsidP="009260DE">
      <w:pPr>
        <w:tabs>
          <w:tab w:val="left" w:pos="851"/>
        </w:tabs>
        <w:ind w:left="851"/>
        <w:rPr>
          <w:sz w:val="24"/>
          <w:szCs w:val="24"/>
        </w:rPr>
      </w:pPr>
    </w:p>
    <w:p w14:paraId="6BFB86A8" w14:textId="77777777" w:rsidR="007C190E" w:rsidRPr="007C190E" w:rsidRDefault="007C190E" w:rsidP="009260DE">
      <w:pPr>
        <w:tabs>
          <w:tab w:val="left" w:pos="851"/>
        </w:tabs>
        <w:ind w:left="851"/>
        <w:rPr>
          <w:sz w:val="24"/>
          <w:szCs w:val="24"/>
        </w:rPr>
      </w:pPr>
    </w:p>
    <w:p w14:paraId="30CCA1C9" w14:textId="77777777" w:rsidR="009260DE" w:rsidRPr="007C190E" w:rsidRDefault="009260DE" w:rsidP="009260DE">
      <w:pPr>
        <w:tabs>
          <w:tab w:val="left" w:pos="851"/>
        </w:tabs>
        <w:ind w:left="851" w:hanging="851"/>
        <w:rPr>
          <w:b/>
          <w:sz w:val="24"/>
          <w:szCs w:val="24"/>
        </w:rPr>
      </w:pPr>
      <w:r w:rsidRPr="007C190E">
        <w:rPr>
          <w:b/>
          <w:sz w:val="24"/>
          <w:szCs w:val="24"/>
        </w:rPr>
        <w:t>6.</w:t>
      </w:r>
      <w:r w:rsidRPr="007C190E">
        <w:rPr>
          <w:b/>
          <w:sz w:val="24"/>
          <w:szCs w:val="24"/>
        </w:rPr>
        <w:tab/>
        <w:t>FARMACEUTISKE OPLYSNINGER</w:t>
      </w:r>
    </w:p>
    <w:p w14:paraId="356759D6" w14:textId="77777777" w:rsidR="009260DE" w:rsidRPr="007C190E" w:rsidRDefault="009260DE" w:rsidP="009260DE">
      <w:pPr>
        <w:tabs>
          <w:tab w:val="left" w:pos="851"/>
        </w:tabs>
        <w:ind w:left="851"/>
        <w:rPr>
          <w:sz w:val="24"/>
          <w:szCs w:val="24"/>
        </w:rPr>
      </w:pPr>
    </w:p>
    <w:p w14:paraId="58EE3AF6" w14:textId="77777777" w:rsidR="009260DE" w:rsidRPr="007C190E" w:rsidRDefault="009260DE" w:rsidP="009260DE">
      <w:pPr>
        <w:tabs>
          <w:tab w:val="left" w:pos="851"/>
        </w:tabs>
        <w:ind w:left="851" w:hanging="851"/>
        <w:rPr>
          <w:b/>
          <w:sz w:val="24"/>
          <w:szCs w:val="24"/>
        </w:rPr>
      </w:pPr>
      <w:r w:rsidRPr="007C190E">
        <w:rPr>
          <w:b/>
          <w:sz w:val="24"/>
          <w:szCs w:val="24"/>
        </w:rPr>
        <w:t>6.1</w:t>
      </w:r>
      <w:r w:rsidRPr="007C190E">
        <w:rPr>
          <w:b/>
          <w:sz w:val="24"/>
          <w:szCs w:val="24"/>
        </w:rPr>
        <w:tab/>
        <w:t>Hjælpestoffer</w:t>
      </w:r>
    </w:p>
    <w:p w14:paraId="563687C8" w14:textId="77777777" w:rsidR="00191E23" w:rsidRPr="007C190E" w:rsidRDefault="00191E23" w:rsidP="007D202E">
      <w:pPr>
        <w:tabs>
          <w:tab w:val="left" w:pos="2268"/>
        </w:tabs>
        <w:ind w:left="851"/>
        <w:rPr>
          <w:sz w:val="24"/>
          <w:szCs w:val="24"/>
          <w:lang w:eastAsia="de-AT"/>
        </w:rPr>
      </w:pPr>
      <w:r w:rsidRPr="007C190E">
        <w:rPr>
          <w:sz w:val="24"/>
          <w:szCs w:val="24"/>
          <w:lang w:eastAsia="de-AT"/>
        </w:rPr>
        <w:t>Pulver:</w:t>
      </w:r>
      <w:r w:rsidRPr="007C190E">
        <w:rPr>
          <w:sz w:val="24"/>
          <w:szCs w:val="24"/>
          <w:lang w:eastAsia="de-AT"/>
        </w:rPr>
        <w:tab/>
      </w:r>
      <w:proofErr w:type="spellStart"/>
      <w:r w:rsidRPr="007C190E">
        <w:rPr>
          <w:sz w:val="24"/>
          <w:szCs w:val="24"/>
          <w:lang w:eastAsia="de-AT"/>
        </w:rPr>
        <w:t>Natriumchlorid</w:t>
      </w:r>
      <w:proofErr w:type="spellEnd"/>
      <w:r w:rsidRPr="007C190E">
        <w:rPr>
          <w:sz w:val="24"/>
          <w:szCs w:val="24"/>
          <w:lang w:eastAsia="de-AT"/>
        </w:rPr>
        <w:t xml:space="preserve"> </w:t>
      </w:r>
    </w:p>
    <w:p w14:paraId="0503DCE6" w14:textId="77777777" w:rsidR="00191E23" w:rsidRPr="007C190E" w:rsidRDefault="00191E23" w:rsidP="007D202E">
      <w:pPr>
        <w:tabs>
          <w:tab w:val="left" w:pos="2268"/>
        </w:tabs>
        <w:ind w:left="851"/>
        <w:rPr>
          <w:sz w:val="24"/>
          <w:szCs w:val="24"/>
          <w:lang w:eastAsia="de-AT"/>
        </w:rPr>
      </w:pPr>
      <w:r w:rsidRPr="007C190E">
        <w:rPr>
          <w:sz w:val="24"/>
          <w:szCs w:val="24"/>
          <w:lang w:eastAsia="de-AT"/>
        </w:rPr>
        <w:tab/>
        <w:t>Natriumcitrat</w:t>
      </w:r>
    </w:p>
    <w:p w14:paraId="003E23D9" w14:textId="77777777" w:rsidR="00191E23" w:rsidRPr="007C190E" w:rsidRDefault="00191E23" w:rsidP="007D202E">
      <w:pPr>
        <w:tabs>
          <w:tab w:val="left" w:pos="2268"/>
        </w:tabs>
        <w:ind w:left="851"/>
        <w:rPr>
          <w:sz w:val="24"/>
          <w:szCs w:val="24"/>
          <w:lang w:eastAsia="de-AT"/>
        </w:rPr>
      </w:pPr>
      <w:r w:rsidRPr="007C190E">
        <w:rPr>
          <w:sz w:val="24"/>
          <w:szCs w:val="24"/>
          <w:lang w:eastAsia="de-AT"/>
        </w:rPr>
        <w:tab/>
      </w:r>
      <w:proofErr w:type="spellStart"/>
      <w:r w:rsidRPr="007C190E">
        <w:rPr>
          <w:sz w:val="24"/>
          <w:szCs w:val="24"/>
          <w:lang w:eastAsia="de-AT"/>
        </w:rPr>
        <w:t>Heparinnatrium</w:t>
      </w:r>
      <w:proofErr w:type="spellEnd"/>
      <w:r w:rsidRPr="007C190E">
        <w:rPr>
          <w:sz w:val="24"/>
          <w:szCs w:val="24"/>
          <w:lang w:eastAsia="de-AT"/>
        </w:rPr>
        <w:t>, højst 0,2 – 0,5 IE/</w:t>
      </w:r>
      <w:proofErr w:type="gramStart"/>
      <w:r w:rsidRPr="007C190E">
        <w:rPr>
          <w:sz w:val="24"/>
          <w:szCs w:val="24"/>
          <w:lang w:eastAsia="de-AT"/>
        </w:rPr>
        <w:t>IE faktor</w:t>
      </w:r>
      <w:proofErr w:type="gramEnd"/>
      <w:r w:rsidRPr="007C190E">
        <w:rPr>
          <w:sz w:val="24"/>
          <w:szCs w:val="24"/>
          <w:lang w:eastAsia="de-AT"/>
        </w:rPr>
        <w:t xml:space="preserve"> IX</w:t>
      </w:r>
    </w:p>
    <w:p w14:paraId="6AF1E976" w14:textId="77777777" w:rsidR="00191E23" w:rsidRPr="007C190E" w:rsidRDefault="00191E23" w:rsidP="007D202E">
      <w:pPr>
        <w:tabs>
          <w:tab w:val="left" w:pos="2268"/>
        </w:tabs>
        <w:ind w:left="851"/>
        <w:rPr>
          <w:sz w:val="24"/>
          <w:szCs w:val="24"/>
          <w:lang w:val="fr-FR" w:eastAsia="de-AT"/>
        </w:rPr>
      </w:pPr>
      <w:r w:rsidRPr="007C190E">
        <w:rPr>
          <w:sz w:val="24"/>
          <w:szCs w:val="24"/>
          <w:lang w:eastAsia="de-AT"/>
        </w:rPr>
        <w:tab/>
      </w:r>
      <w:r w:rsidRPr="007C190E">
        <w:rPr>
          <w:sz w:val="24"/>
          <w:szCs w:val="24"/>
          <w:lang w:val="fr-FR" w:eastAsia="de-AT"/>
        </w:rPr>
        <w:t xml:space="preserve">Antitrombin III, </w:t>
      </w:r>
      <w:r w:rsidRPr="007C190E">
        <w:rPr>
          <w:sz w:val="24"/>
          <w:szCs w:val="24"/>
          <w:lang w:val="fr-FR"/>
        </w:rPr>
        <w:t>12,5 – 25</w:t>
      </w:r>
      <w:r w:rsidRPr="007C190E">
        <w:rPr>
          <w:sz w:val="24"/>
          <w:szCs w:val="24"/>
          <w:lang w:val="fr-FR" w:eastAsia="de-AT"/>
        </w:rPr>
        <w:t> IE pr. Hætteglas (0,75 – 1,5 IE/ml)</w:t>
      </w:r>
    </w:p>
    <w:p w14:paraId="5D964575" w14:textId="77777777" w:rsidR="00191E23" w:rsidRPr="007C190E" w:rsidRDefault="00191E23" w:rsidP="007D202E">
      <w:pPr>
        <w:tabs>
          <w:tab w:val="left" w:pos="2268"/>
        </w:tabs>
        <w:ind w:left="851"/>
        <w:rPr>
          <w:sz w:val="24"/>
          <w:szCs w:val="24"/>
          <w:lang w:val="fr-FR" w:eastAsia="de-AT"/>
        </w:rPr>
      </w:pPr>
    </w:p>
    <w:p w14:paraId="68F38FD0" w14:textId="626A57AC" w:rsidR="00191E23" w:rsidRPr="007C190E" w:rsidRDefault="00191E23" w:rsidP="007D202E">
      <w:pPr>
        <w:tabs>
          <w:tab w:val="left" w:pos="2268"/>
        </w:tabs>
        <w:ind w:left="851"/>
        <w:rPr>
          <w:sz w:val="24"/>
          <w:szCs w:val="24"/>
          <w:lang w:eastAsia="de-AT"/>
        </w:rPr>
      </w:pPr>
      <w:r w:rsidRPr="007C190E">
        <w:rPr>
          <w:sz w:val="24"/>
          <w:szCs w:val="24"/>
          <w:lang w:eastAsia="de-AT"/>
        </w:rPr>
        <w:t xml:space="preserve">Solvens: </w:t>
      </w:r>
      <w:r w:rsidR="007D202E">
        <w:rPr>
          <w:sz w:val="24"/>
          <w:szCs w:val="24"/>
          <w:lang w:eastAsia="de-AT"/>
        </w:rPr>
        <w:tab/>
      </w:r>
      <w:r w:rsidRPr="007C190E">
        <w:rPr>
          <w:sz w:val="24"/>
          <w:szCs w:val="24"/>
          <w:lang w:eastAsia="de-AT"/>
        </w:rPr>
        <w:t>Vand til injektionsvæsker</w:t>
      </w:r>
    </w:p>
    <w:p w14:paraId="581D3D10" w14:textId="77777777" w:rsidR="009260DE" w:rsidRPr="007C190E" w:rsidRDefault="009260DE" w:rsidP="009260DE">
      <w:pPr>
        <w:tabs>
          <w:tab w:val="left" w:pos="851"/>
        </w:tabs>
        <w:ind w:left="851"/>
        <w:rPr>
          <w:sz w:val="24"/>
          <w:szCs w:val="24"/>
        </w:rPr>
      </w:pPr>
    </w:p>
    <w:p w14:paraId="74BC674D" w14:textId="77777777" w:rsidR="009260DE" w:rsidRPr="007C190E" w:rsidRDefault="009260DE" w:rsidP="009260DE">
      <w:pPr>
        <w:tabs>
          <w:tab w:val="left" w:pos="851"/>
        </w:tabs>
        <w:ind w:left="851" w:hanging="851"/>
        <w:rPr>
          <w:b/>
          <w:sz w:val="24"/>
          <w:szCs w:val="24"/>
        </w:rPr>
      </w:pPr>
      <w:r w:rsidRPr="007C190E">
        <w:rPr>
          <w:b/>
          <w:sz w:val="24"/>
          <w:szCs w:val="24"/>
        </w:rPr>
        <w:t>6.2</w:t>
      </w:r>
      <w:r w:rsidRPr="007C190E">
        <w:rPr>
          <w:b/>
          <w:sz w:val="24"/>
          <w:szCs w:val="24"/>
        </w:rPr>
        <w:tab/>
        <w:t>Uforligeligheder</w:t>
      </w:r>
    </w:p>
    <w:p w14:paraId="387D61DA" w14:textId="77777777" w:rsidR="00191E23" w:rsidRPr="007C190E" w:rsidRDefault="00191E23" w:rsidP="00191E23">
      <w:pPr>
        <w:ind w:left="851"/>
        <w:rPr>
          <w:sz w:val="24"/>
          <w:szCs w:val="24"/>
        </w:rPr>
      </w:pPr>
      <w:r w:rsidRPr="007C190E">
        <w:rPr>
          <w:sz w:val="24"/>
          <w:szCs w:val="24"/>
          <w:lang w:eastAsia="de-AT"/>
        </w:rPr>
        <w:t xml:space="preserve">Dette lægemiddel må ikke blandes med andre lægemidler end dem, der er anført under pkt. 6.6. </w:t>
      </w:r>
      <w:r w:rsidRPr="007C190E">
        <w:rPr>
          <w:sz w:val="24"/>
          <w:szCs w:val="24"/>
        </w:rPr>
        <w:t xml:space="preserve">Til </w:t>
      </w:r>
      <w:proofErr w:type="spellStart"/>
      <w:r w:rsidRPr="007C190E">
        <w:rPr>
          <w:sz w:val="24"/>
          <w:szCs w:val="24"/>
        </w:rPr>
        <w:t>rekonstitution</w:t>
      </w:r>
      <w:proofErr w:type="spellEnd"/>
      <w:r w:rsidRPr="007C190E">
        <w:rPr>
          <w:sz w:val="24"/>
          <w:szCs w:val="24"/>
        </w:rPr>
        <w:t xml:space="preserve"> må kun det vedlagte </w:t>
      </w:r>
      <w:proofErr w:type="spellStart"/>
      <w:r w:rsidRPr="007C190E">
        <w:rPr>
          <w:sz w:val="24"/>
          <w:szCs w:val="24"/>
        </w:rPr>
        <w:t>rekonstitutionssæt</w:t>
      </w:r>
      <w:proofErr w:type="spellEnd"/>
      <w:r w:rsidRPr="007C190E">
        <w:rPr>
          <w:sz w:val="24"/>
          <w:szCs w:val="24"/>
        </w:rPr>
        <w:t xml:space="preserve"> anvendes. </w:t>
      </w:r>
    </w:p>
    <w:p w14:paraId="3D1FB0F4" w14:textId="77777777" w:rsidR="00191E23" w:rsidRPr="007C190E" w:rsidRDefault="00191E23" w:rsidP="00191E23">
      <w:pPr>
        <w:ind w:left="851"/>
        <w:rPr>
          <w:sz w:val="24"/>
          <w:szCs w:val="24"/>
          <w:lang w:eastAsia="de-AT"/>
        </w:rPr>
      </w:pPr>
    </w:p>
    <w:p w14:paraId="03D4426F" w14:textId="77777777" w:rsidR="00191E23" w:rsidRPr="007C190E" w:rsidRDefault="00191E23" w:rsidP="00191E23">
      <w:pPr>
        <w:ind w:left="851"/>
        <w:rPr>
          <w:sz w:val="24"/>
          <w:szCs w:val="24"/>
          <w:lang w:eastAsia="de-AT"/>
        </w:rPr>
      </w:pPr>
      <w:r w:rsidRPr="007C190E">
        <w:rPr>
          <w:sz w:val="24"/>
          <w:szCs w:val="24"/>
          <w:lang w:eastAsia="de-AT"/>
        </w:rPr>
        <w:t xml:space="preserve">Som med alle koagulationsfaktorpræparater kan virkningen af og toleransen for lægemidlet blive nedsat ved blanding med andre lægemidler. Det tilrådes at skylle den venøse adgang med isotonisk saltvandsopløsning før og efter administration af </w:t>
      </w:r>
      <w:proofErr w:type="spellStart"/>
      <w:r w:rsidRPr="007C190E">
        <w:rPr>
          <w:sz w:val="24"/>
          <w:szCs w:val="24"/>
          <w:lang w:eastAsia="de-AT"/>
        </w:rPr>
        <w:t>Prothromplex</w:t>
      </w:r>
      <w:proofErr w:type="spellEnd"/>
      <w:r w:rsidRPr="007C190E">
        <w:rPr>
          <w:sz w:val="24"/>
          <w:szCs w:val="24"/>
          <w:lang w:eastAsia="de-AT"/>
        </w:rPr>
        <w:t>.</w:t>
      </w:r>
    </w:p>
    <w:p w14:paraId="2DAB90F7" w14:textId="77777777" w:rsidR="009260DE" w:rsidRPr="007C190E" w:rsidRDefault="009260DE" w:rsidP="009260DE">
      <w:pPr>
        <w:tabs>
          <w:tab w:val="left" w:pos="851"/>
        </w:tabs>
        <w:ind w:left="851"/>
        <w:rPr>
          <w:sz w:val="24"/>
          <w:szCs w:val="24"/>
        </w:rPr>
      </w:pPr>
    </w:p>
    <w:p w14:paraId="29E51B4A" w14:textId="77777777" w:rsidR="009260DE" w:rsidRPr="007C190E" w:rsidRDefault="009260DE" w:rsidP="009260DE">
      <w:pPr>
        <w:tabs>
          <w:tab w:val="left" w:pos="851"/>
        </w:tabs>
        <w:ind w:left="851" w:hanging="851"/>
        <w:rPr>
          <w:b/>
          <w:sz w:val="24"/>
          <w:szCs w:val="24"/>
        </w:rPr>
      </w:pPr>
      <w:r w:rsidRPr="007C190E">
        <w:rPr>
          <w:b/>
          <w:sz w:val="24"/>
          <w:szCs w:val="24"/>
        </w:rPr>
        <w:t>6.3</w:t>
      </w:r>
      <w:r w:rsidRPr="007C190E">
        <w:rPr>
          <w:b/>
          <w:sz w:val="24"/>
          <w:szCs w:val="24"/>
        </w:rPr>
        <w:tab/>
        <w:t>Opbevaringstid</w:t>
      </w:r>
    </w:p>
    <w:p w14:paraId="399DF299" w14:textId="5AA95F6A" w:rsidR="00191E23" w:rsidRPr="007C190E" w:rsidRDefault="00191E23" w:rsidP="00191E23">
      <w:pPr>
        <w:ind w:left="851"/>
        <w:rPr>
          <w:sz w:val="24"/>
          <w:szCs w:val="24"/>
          <w:lang w:eastAsia="de-AT"/>
        </w:rPr>
      </w:pPr>
      <w:r w:rsidRPr="007C190E">
        <w:rPr>
          <w:sz w:val="24"/>
          <w:szCs w:val="24"/>
          <w:lang w:eastAsia="de-AT"/>
        </w:rPr>
        <w:t xml:space="preserve">3 år. </w:t>
      </w:r>
    </w:p>
    <w:p w14:paraId="7B709B8A" w14:textId="77777777" w:rsidR="00191E23" w:rsidRPr="007C190E" w:rsidRDefault="00191E23" w:rsidP="00191E23">
      <w:pPr>
        <w:ind w:left="851"/>
        <w:rPr>
          <w:sz w:val="24"/>
          <w:szCs w:val="24"/>
          <w:lang w:eastAsia="de-AT"/>
        </w:rPr>
      </w:pPr>
    </w:p>
    <w:p w14:paraId="2A0BF3AC" w14:textId="77777777" w:rsidR="00191E23" w:rsidRPr="007C190E" w:rsidRDefault="00191E23" w:rsidP="00191E23">
      <w:pPr>
        <w:ind w:left="851"/>
        <w:rPr>
          <w:b/>
          <w:sz w:val="24"/>
          <w:szCs w:val="24"/>
          <w:lang w:eastAsia="de-AT"/>
        </w:rPr>
      </w:pPr>
      <w:r w:rsidRPr="007C190E">
        <w:rPr>
          <w:sz w:val="24"/>
          <w:szCs w:val="24"/>
          <w:lang w:eastAsia="de-AT"/>
        </w:rPr>
        <w:t xml:space="preserve">Produktet kan opbevares ved stuetemperatur (maksimalt 25 °C) i en sammenhængende periode på op til seks måneder inden for holdbarhedstiden. Start og slutdato på opbevaring ved stuetemperatur bør noteres på pakningen. Efter opbevaring ved stuetemperatur må </w:t>
      </w:r>
      <w:proofErr w:type="spellStart"/>
      <w:r w:rsidRPr="007C190E">
        <w:rPr>
          <w:sz w:val="24"/>
          <w:szCs w:val="24"/>
          <w:lang w:eastAsia="de-AT"/>
        </w:rPr>
        <w:t>Prothromplex</w:t>
      </w:r>
      <w:proofErr w:type="spellEnd"/>
      <w:r w:rsidRPr="007C190E">
        <w:rPr>
          <w:sz w:val="24"/>
          <w:szCs w:val="24"/>
          <w:lang w:eastAsia="de-AT"/>
        </w:rPr>
        <w:t xml:space="preserve"> ikke lægges tilbage i køleskabet (2 °C til 8 °C), men skal anvendes inden for seks måneder eller bortskaffes. </w:t>
      </w:r>
    </w:p>
    <w:p w14:paraId="278FCEC0" w14:textId="77777777" w:rsidR="00191E23" w:rsidRPr="007C190E" w:rsidRDefault="00191E23" w:rsidP="00191E23">
      <w:pPr>
        <w:overflowPunct w:val="0"/>
        <w:autoSpaceDE w:val="0"/>
        <w:autoSpaceDN w:val="0"/>
        <w:adjustRightInd w:val="0"/>
        <w:ind w:left="851"/>
        <w:textAlignment w:val="baseline"/>
        <w:rPr>
          <w:sz w:val="24"/>
          <w:szCs w:val="24"/>
          <w:lang w:eastAsia="de-AT"/>
        </w:rPr>
      </w:pPr>
    </w:p>
    <w:p w14:paraId="52FB573E" w14:textId="77777777" w:rsidR="00191E23" w:rsidRPr="007C190E" w:rsidRDefault="00191E23" w:rsidP="00191E23">
      <w:pPr>
        <w:ind w:left="851"/>
        <w:rPr>
          <w:sz w:val="24"/>
          <w:szCs w:val="24"/>
          <w:lang w:eastAsia="de-AT"/>
        </w:rPr>
      </w:pPr>
      <w:r w:rsidRPr="007C190E">
        <w:rPr>
          <w:sz w:val="24"/>
          <w:szCs w:val="24"/>
          <w:lang w:eastAsia="de-AT"/>
        </w:rPr>
        <w:t xml:space="preserve">Den klargjorte opløsnings kemiske og fysiske stabilitet under brug er dokumenteret ved opbevaring i tre timer ved 20 °C </w:t>
      </w:r>
      <w:r w:rsidRPr="007C190E">
        <w:rPr>
          <w:sz w:val="24"/>
          <w:szCs w:val="24"/>
        </w:rPr>
        <w:t>–</w:t>
      </w:r>
      <w:r w:rsidRPr="007C190E">
        <w:rPr>
          <w:sz w:val="24"/>
          <w:szCs w:val="24"/>
          <w:lang w:eastAsia="de-AT"/>
        </w:rPr>
        <w:t xml:space="preserve"> 25 °C.</w:t>
      </w:r>
    </w:p>
    <w:p w14:paraId="0F4EC7E8" w14:textId="77777777" w:rsidR="00191E23" w:rsidRPr="007C190E" w:rsidRDefault="00191E23" w:rsidP="00191E23">
      <w:pPr>
        <w:ind w:left="851"/>
        <w:rPr>
          <w:sz w:val="24"/>
          <w:szCs w:val="24"/>
          <w:lang w:eastAsia="de-AT"/>
        </w:rPr>
      </w:pPr>
    </w:p>
    <w:p w14:paraId="5C57D5B6" w14:textId="77777777" w:rsidR="00191E23" w:rsidRPr="007C190E" w:rsidRDefault="00191E23" w:rsidP="00191E23">
      <w:pPr>
        <w:ind w:left="851"/>
        <w:rPr>
          <w:sz w:val="24"/>
          <w:szCs w:val="24"/>
          <w:lang w:eastAsia="de-AT"/>
        </w:rPr>
      </w:pPr>
      <w:r w:rsidRPr="007C190E">
        <w:rPr>
          <w:sz w:val="24"/>
          <w:szCs w:val="24"/>
          <w:lang w:eastAsia="de-AT"/>
        </w:rPr>
        <w:t xml:space="preserve">Fra et mikrobiologisk synspunkt skal </w:t>
      </w:r>
      <w:proofErr w:type="spellStart"/>
      <w:r w:rsidRPr="007C190E">
        <w:rPr>
          <w:sz w:val="24"/>
          <w:szCs w:val="24"/>
          <w:lang w:eastAsia="de-AT"/>
        </w:rPr>
        <w:t>Prothromplex</w:t>
      </w:r>
      <w:proofErr w:type="spellEnd"/>
      <w:r w:rsidRPr="007C190E">
        <w:rPr>
          <w:sz w:val="24"/>
          <w:szCs w:val="24"/>
          <w:lang w:eastAsia="de-AT"/>
        </w:rPr>
        <w:t xml:space="preserve"> anvendes straks efter </w:t>
      </w:r>
      <w:proofErr w:type="spellStart"/>
      <w:r w:rsidRPr="007C190E">
        <w:rPr>
          <w:sz w:val="24"/>
          <w:szCs w:val="24"/>
          <w:lang w:eastAsia="de-AT"/>
        </w:rPr>
        <w:t>rekonstituering</w:t>
      </w:r>
      <w:proofErr w:type="spellEnd"/>
      <w:r w:rsidRPr="007C190E">
        <w:rPr>
          <w:sz w:val="24"/>
          <w:szCs w:val="24"/>
          <w:lang w:eastAsia="de-AT"/>
        </w:rPr>
        <w:t xml:space="preserve">, da præparatet ikke indeholder nogen konserveringsmidler. Hvis den </w:t>
      </w:r>
      <w:proofErr w:type="spellStart"/>
      <w:r w:rsidRPr="007C190E">
        <w:rPr>
          <w:sz w:val="24"/>
          <w:szCs w:val="24"/>
          <w:lang w:eastAsia="de-AT"/>
        </w:rPr>
        <w:t>rekonstituerede</w:t>
      </w:r>
      <w:proofErr w:type="spellEnd"/>
      <w:r w:rsidRPr="007C190E">
        <w:rPr>
          <w:sz w:val="24"/>
          <w:szCs w:val="24"/>
          <w:lang w:eastAsia="de-AT"/>
        </w:rPr>
        <w:t xml:space="preserve"> opløsning ikke administreres straks, er brugeren ansvarlig for opbevaringsforholdene, herunder opbevaringstiden. Den klargjorte opløsning må ikke nedkøles igen.</w:t>
      </w:r>
    </w:p>
    <w:p w14:paraId="2C3B3130" w14:textId="77777777" w:rsidR="009260DE" w:rsidRPr="007C190E" w:rsidRDefault="009260DE" w:rsidP="009260DE">
      <w:pPr>
        <w:tabs>
          <w:tab w:val="left" w:pos="851"/>
        </w:tabs>
        <w:ind w:left="851"/>
        <w:rPr>
          <w:sz w:val="24"/>
          <w:szCs w:val="24"/>
        </w:rPr>
      </w:pPr>
    </w:p>
    <w:p w14:paraId="75DABDF9" w14:textId="77777777" w:rsidR="009260DE" w:rsidRPr="007C190E" w:rsidRDefault="009260DE" w:rsidP="009260DE">
      <w:pPr>
        <w:tabs>
          <w:tab w:val="left" w:pos="851"/>
        </w:tabs>
        <w:ind w:left="851" w:hanging="851"/>
        <w:rPr>
          <w:b/>
          <w:sz w:val="24"/>
          <w:szCs w:val="24"/>
        </w:rPr>
      </w:pPr>
      <w:r w:rsidRPr="007C190E">
        <w:rPr>
          <w:b/>
          <w:sz w:val="24"/>
          <w:szCs w:val="24"/>
        </w:rPr>
        <w:t>6.4</w:t>
      </w:r>
      <w:r w:rsidRPr="007C190E">
        <w:rPr>
          <w:b/>
          <w:sz w:val="24"/>
          <w:szCs w:val="24"/>
        </w:rPr>
        <w:tab/>
        <w:t>Særlige opbevaringsforhold</w:t>
      </w:r>
    </w:p>
    <w:p w14:paraId="2007E95E" w14:textId="77777777" w:rsidR="00191E23" w:rsidRPr="007C190E" w:rsidRDefault="00191E23" w:rsidP="00191E23">
      <w:pPr>
        <w:ind w:left="851"/>
        <w:rPr>
          <w:sz w:val="24"/>
          <w:szCs w:val="24"/>
          <w:lang w:eastAsia="de-AT"/>
        </w:rPr>
      </w:pPr>
      <w:r w:rsidRPr="007C190E">
        <w:rPr>
          <w:sz w:val="24"/>
          <w:szCs w:val="24"/>
          <w:lang w:eastAsia="de-AT"/>
        </w:rPr>
        <w:t>Opbevares koldt (2 </w:t>
      </w:r>
      <w:r w:rsidRPr="007C190E">
        <w:rPr>
          <w:sz w:val="24"/>
          <w:szCs w:val="24"/>
          <w:lang w:eastAsia="de-AT"/>
        </w:rPr>
        <w:sym w:font="Symbol" w:char="F0B0"/>
      </w:r>
      <w:r w:rsidRPr="007C190E">
        <w:rPr>
          <w:sz w:val="24"/>
          <w:szCs w:val="24"/>
          <w:lang w:eastAsia="de-AT"/>
        </w:rPr>
        <w:t>C til 8 </w:t>
      </w:r>
      <w:r w:rsidRPr="007C190E">
        <w:rPr>
          <w:sz w:val="24"/>
          <w:szCs w:val="24"/>
          <w:lang w:eastAsia="de-AT"/>
        </w:rPr>
        <w:sym w:font="Symbol" w:char="F0B0"/>
      </w:r>
      <w:r w:rsidRPr="007C190E">
        <w:rPr>
          <w:sz w:val="24"/>
          <w:szCs w:val="24"/>
          <w:lang w:eastAsia="de-AT"/>
        </w:rPr>
        <w:t xml:space="preserve">C). Må ikke fryses. </w:t>
      </w:r>
    </w:p>
    <w:p w14:paraId="6A908B65" w14:textId="77777777" w:rsidR="00191E23" w:rsidRPr="007C190E" w:rsidRDefault="00191E23" w:rsidP="00191E23">
      <w:pPr>
        <w:autoSpaceDE w:val="0"/>
        <w:autoSpaceDN w:val="0"/>
        <w:adjustRightInd w:val="0"/>
        <w:ind w:left="851"/>
        <w:rPr>
          <w:color w:val="000000"/>
          <w:sz w:val="24"/>
          <w:szCs w:val="24"/>
          <w:lang w:eastAsia="de-AT"/>
        </w:rPr>
      </w:pPr>
      <w:r w:rsidRPr="007C190E">
        <w:rPr>
          <w:color w:val="000000"/>
          <w:sz w:val="24"/>
          <w:szCs w:val="24"/>
          <w:lang w:eastAsia="de-AT"/>
        </w:rPr>
        <w:t>Opbevares i den originale yderpakning for at beskytte mod lys.</w:t>
      </w:r>
    </w:p>
    <w:p w14:paraId="46409023" w14:textId="77777777" w:rsidR="00191E23" w:rsidRPr="007C190E" w:rsidRDefault="00191E23" w:rsidP="00191E23">
      <w:pPr>
        <w:autoSpaceDE w:val="0"/>
        <w:autoSpaceDN w:val="0"/>
        <w:adjustRightInd w:val="0"/>
        <w:ind w:left="851"/>
        <w:rPr>
          <w:color w:val="000000"/>
          <w:sz w:val="24"/>
          <w:szCs w:val="24"/>
          <w:lang w:eastAsia="de-AT"/>
        </w:rPr>
      </w:pPr>
    </w:p>
    <w:p w14:paraId="35E65E84" w14:textId="77777777" w:rsidR="00191E23" w:rsidRPr="007C190E" w:rsidRDefault="00191E23" w:rsidP="00191E23">
      <w:pPr>
        <w:autoSpaceDE w:val="0"/>
        <w:autoSpaceDN w:val="0"/>
        <w:adjustRightInd w:val="0"/>
        <w:ind w:left="851"/>
        <w:rPr>
          <w:color w:val="000000"/>
          <w:sz w:val="24"/>
          <w:szCs w:val="24"/>
          <w:lang w:eastAsia="de-AT"/>
        </w:rPr>
      </w:pPr>
      <w:r w:rsidRPr="007C190E">
        <w:rPr>
          <w:color w:val="000000"/>
          <w:sz w:val="24"/>
          <w:szCs w:val="24"/>
          <w:lang w:eastAsia="de-AT"/>
        </w:rPr>
        <w:t xml:space="preserve">For opbevaringsforhold efter </w:t>
      </w:r>
      <w:proofErr w:type="spellStart"/>
      <w:r w:rsidRPr="007C190E">
        <w:rPr>
          <w:color w:val="000000"/>
          <w:sz w:val="24"/>
          <w:szCs w:val="24"/>
          <w:lang w:eastAsia="de-AT"/>
        </w:rPr>
        <w:t>rekonstituering</w:t>
      </w:r>
      <w:proofErr w:type="spellEnd"/>
      <w:r w:rsidRPr="007C190E">
        <w:rPr>
          <w:color w:val="000000"/>
          <w:sz w:val="24"/>
          <w:szCs w:val="24"/>
          <w:lang w:eastAsia="de-AT"/>
        </w:rPr>
        <w:t xml:space="preserve"> af lægemidlet, se pkt. 6.3.</w:t>
      </w:r>
    </w:p>
    <w:p w14:paraId="7DC29812" w14:textId="77777777" w:rsidR="009260DE" w:rsidRPr="007C190E" w:rsidRDefault="009260DE" w:rsidP="009260DE">
      <w:pPr>
        <w:tabs>
          <w:tab w:val="left" w:pos="851"/>
        </w:tabs>
        <w:ind w:left="851"/>
        <w:rPr>
          <w:sz w:val="24"/>
          <w:szCs w:val="24"/>
        </w:rPr>
      </w:pPr>
    </w:p>
    <w:p w14:paraId="2D50D5B0" w14:textId="77777777" w:rsidR="009260DE" w:rsidRPr="007C190E" w:rsidRDefault="009260DE" w:rsidP="009260DE">
      <w:pPr>
        <w:tabs>
          <w:tab w:val="left" w:pos="851"/>
        </w:tabs>
        <w:ind w:left="851" w:hanging="851"/>
        <w:rPr>
          <w:b/>
          <w:sz w:val="24"/>
          <w:szCs w:val="24"/>
        </w:rPr>
      </w:pPr>
      <w:r w:rsidRPr="007C190E">
        <w:rPr>
          <w:b/>
          <w:sz w:val="24"/>
          <w:szCs w:val="24"/>
        </w:rPr>
        <w:lastRenderedPageBreak/>
        <w:t>6.5</w:t>
      </w:r>
      <w:r w:rsidRPr="007C190E">
        <w:rPr>
          <w:b/>
          <w:sz w:val="24"/>
          <w:szCs w:val="24"/>
        </w:rPr>
        <w:tab/>
        <w:t>Emballagetype og pakningsstørrelser</w:t>
      </w:r>
    </w:p>
    <w:p w14:paraId="5C1F49E3" w14:textId="77777777" w:rsidR="00191E23" w:rsidRPr="007C190E" w:rsidRDefault="00191E23" w:rsidP="00191E23">
      <w:pPr>
        <w:ind w:left="851"/>
        <w:rPr>
          <w:sz w:val="24"/>
          <w:szCs w:val="24"/>
          <w:lang w:eastAsia="de-AT"/>
        </w:rPr>
      </w:pPr>
      <w:r w:rsidRPr="007C190E">
        <w:rPr>
          <w:sz w:val="24"/>
          <w:szCs w:val="24"/>
          <w:lang w:eastAsia="de-AT"/>
        </w:rPr>
        <w:t>Pulveret leveres i hætteglas, der er fremstillet af overfladebehandlet, farveløst glas (hydrolytisk klasse II). Solvensen leveres i hætteglas, der er fremstillet af overfladebehandlet, farveløst glas (hydrolytisk klasse I). Både hætteglasset med produktet og hætteglasset med solvens er lukket med propper, der er fremstillet af butylgummi.</w:t>
      </w:r>
    </w:p>
    <w:p w14:paraId="3762616E" w14:textId="77777777" w:rsidR="00191E23" w:rsidRPr="007C190E" w:rsidRDefault="00191E23" w:rsidP="00191E23">
      <w:pPr>
        <w:ind w:left="851"/>
        <w:rPr>
          <w:sz w:val="24"/>
          <w:szCs w:val="24"/>
          <w:lang w:eastAsia="de-AT"/>
        </w:rPr>
      </w:pPr>
    </w:p>
    <w:p w14:paraId="54409C3D" w14:textId="77777777" w:rsidR="00191E23" w:rsidRPr="007C190E" w:rsidRDefault="00191E23" w:rsidP="007C190E">
      <w:pPr>
        <w:ind w:left="851"/>
        <w:rPr>
          <w:sz w:val="24"/>
          <w:szCs w:val="24"/>
          <w:u w:val="single"/>
          <w:lang w:eastAsia="de-AT"/>
        </w:rPr>
      </w:pPr>
      <w:r w:rsidRPr="007C190E">
        <w:rPr>
          <w:sz w:val="24"/>
          <w:szCs w:val="24"/>
          <w:u w:val="single"/>
          <w:lang w:eastAsia="de-AT"/>
        </w:rPr>
        <w:t>Pakningsstørrelse</w:t>
      </w:r>
    </w:p>
    <w:p w14:paraId="4DB6C3D9" w14:textId="77777777" w:rsidR="00191E23" w:rsidRPr="007C190E" w:rsidRDefault="00191E23" w:rsidP="007C190E">
      <w:pPr>
        <w:ind w:left="851"/>
        <w:rPr>
          <w:sz w:val="24"/>
          <w:szCs w:val="24"/>
          <w:lang w:eastAsia="de-AT"/>
        </w:rPr>
      </w:pPr>
      <w:r w:rsidRPr="007C190E">
        <w:rPr>
          <w:sz w:val="24"/>
          <w:szCs w:val="24"/>
          <w:lang w:eastAsia="de-AT"/>
        </w:rPr>
        <w:t>1 pakke indeholder:</w:t>
      </w:r>
    </w:p>
    <w:p w14:paraId="7784470D" w14:textId="77777777" w:rsidR="00191E23" w:rsidRPr="007C190E" w:rsidRDefault="00191E23" w:rsidP="00191E23">
      <w:pPr>
        <w:ind w:left="851"/>
        <w:rPr>
          <w:sz w:val="24"/>
          <w:szCs w:val="24"/>
          <w:lang w:eastAsia="de-AT"/>
        </w:rPr>
      </w:pPr>
      <w:r w:rsidRPr="007C190E">
        <w:rPr>
          <w:sz w:val="24"/>
          <w:szCs w:val="24"/>
          <w:lang w:eastAsia="de-AT"/>
        </w:rPr>
        <w:t xml:space="preserve">- 1 hætteglas med 500 IE </w:t>
      </w:r>
      <w:proofErr w:type="spellStart"/>
      <w:r w:rsidRPr="007C190E">
        <w:rPr>
          <w:sz w:val="24"/>
          <w:szCs w:val="24"/>
          <w:lang w:eastAsia="de-AT"/>
        </w:rPr>
        <w:t>Prothromplex</w:t>
      </w:r>
      <w:proofErr w:type="spellEnd"/>
      <w:r w:rsidRPr="007C190E">
        <w:rPr>
          <w:sz w:val="24"/>
          <w:szCs w:val="24"/>
          <w:lang w:eastAsia="de-AT"/>
        </w:rPr>
        <w:t xml:space="preserve"> i pulverform</w:t>
      </w:r>
    </w:p>
    <w:p w14:paraId="28A6BB28" w14:textId="77777777" w:rsidR="00191E23" w:rsidRPr="007C190E" w:rsidRDefault="00191E23" w:rsidP="00191E23">
      <w:pPr>
        <w:ind w:left="851"/>
        <w:rPr>
          <w:sz w:val="24"/>
          <w:szCs w:val="24"/>
          <w:lang w:eastAsia="de-AT"/>
        </w:rPr>
      </w:pPr>
      <w:r w:rsidRPr="007C190E">
        <w:rPr>
          <w:sz w:val="24"/>
          <w:szCs w:val="24"/>
          <w:lang w:eastAsia="de-AT"/>
        </w:rPr>
        <w:t>- 1 hætteglas med 17 ml vand til injektionsvæsker</w:t>
      </w:r>
    </w:p>
    <w:p w14:paraId="1F66A3B5" w14:textId="77777777" w:rsidR="00191E23" w:rsidRPr="007C190E" w:rsidRDefault="00191E23" w:rsidP="00191E23">
      <w:pPr>
        <w:ind w:left="851"/>
        <w:rPr>
          <w:sz w:val="24"/>
          <w:szCs w:val="24"/>
          <w:lang w:eastAsia="de-AT"/>
        </w:rPr>
      </w:pPr>
      <w:r w:rsidRPr="007C190E">
        <w:rPr>
          <w:sz w:val="24"/>
          <w:szCs w:val="24"/>
          <w:lang w:eastAsia="de-AT"/>
        </w:rPr>
        <w:t xml:space="preserve">- 1 Mix2Vial til </w:t>
      </w:r>
      <w:proofErr w:type="spellStart"/>
      <w:r w:rsidRPr="007C190E">
        <w:rPr>
          <w:sz w:val="24"/>
          <w:szCs w:val="24"/>
          <w:lang w:eastAsia="de-AT"/>
        </w:rPr>
        <w:t>rekonstitution</w:t>
      </w:r>
      <w:proofErr w:type="spellEnd"/>
    </w:p>
    <w:p w14:paraId="3FA316BE" w14:textId="77777777" w:rsidR="00191E23" w:rsidRPr="007C190E" w:rsidRDefault="00191E23" w:rsidP="00191E23">
      <w:pPr>
        <w:ind w:left="851"/>
        <w:rPr>
          <w:color w:val="000000"/>
          <w:sz w:val="24"/>
          <w:szCs w:val="24"/>
          <w:lang w:eastAsia="de-AT"/>
        </w:rPr>
      </w:pPr>
    </w:p>
    <w:p w14:paraId="6EAC5581" w14:textId="77777777" w:rsidR="00191E23" w:rsidRPr="007C190E" w:rsidRDefault="00191E23" w:rsidP="00191E23">
      <w:pPr>
        <w:ind w:left="851"/>
        <w:rPr>
          <w:color w:val="000000"/>
          <w:sz w:val="24"/>
          <w:szCs w:val="24"/>
          <w:lang w:eastAsia="de-AT"/>
        </w:rPr>
      </w:pPr>
      <w:r w:rsidRPr="007C190E">
        <w:rPr>
          <w:color w:val="000000"/>
          <w:sz w:val="24"/>
          <w:szCs w:val="24"/>
          <w:lang w:eastAsia="de-AT"/>
        </w:rPr>
        <w:t>1 x 500 IE</w:t>
      </w:r>
    </w:p>
    <w:p w14:paraId="645937F0" w14:textId="77777777" w:rsidR="00191E23" w:rsidRPr="007C190E" w:rsidRDefault="00191E23" w:rsidP="00191E23">
      <w:pPr>
        <w:ind w:left="851"/>
        <w:rPr>
          <w:color w:val="000000"/>
          <w:sz w:val="24"/>
          <w:szCs w:val="24"/>
          <w:lang w:eastAsia="de-AT"/>
        </w:rPr>
      </w:pPr>
    </w:p>
    <w:p w14:paraId="4DC3D89D" w14:textId="77777777" w:rsidR="00191E23" w:rsidRPr="007C190E" w:rsidRDefault="00191E23" w:rsidP="00191E23">
      <w:pPr>
        <w:ind w:left="851"/>
        <w:rPr>
          <w:color w:val="000000"/>
          <w:sz w:val="24"/>
          <w:szCs w:val="24"/>
          <w:lang w:eastAsia="de-AT"/>
        </w:rPr>
      </w:pPr>
      <w:r w:rsidRPr="007C190E">
        <w:rPr>
          <w:color w:val="000000"/>
          <w:sz w:val="24"/>
          <w:szCs w:val="24"/>
          <w:lang w:eastAsia="de-AT"/>
        </w:rPr>
        <w:t>Ikke alle pakningsstørrelser er nødvendigvis markedsført.</w:t>
      </w:r>
    </w:p>
    <w:p w14:paraId="7628A684" w14:textId="77777777" w:rsidR="009260DE" w:rsidRPr="007C190E" w:rsidRDefault="009260DE" w:rsidP="009260DE">
      <w:pPr>
        <w:tabs>
          <w:tab w:val="left" w:pos="851"/>
        </w:tabs>
        <w:ind w:left="851"/>
        <w:rPr>
          <w:sz w:val="24"/>
          <w:szCs w:val="24"/>
        </w:rPr>
      </w:pPr>
    </w:p>
    <w:p w14:paraId="10890C1E" w14:textId="77777777" w:rsidR="009260DE" w:rsidRPr="007C190E" w:rsidRDefault="009260DE" w:rsidP="009260DE">
      <w:pPr>
        <w:tabs>
          <w:tab w:val="left" w:pos="851"/>
        </w:tabs>
        <w:ind w:left="851" w:hanging="851"/>
        <w:rPr>
          <w:b/>
          <w:sz w:val="24"/>
          <w:szCs w:val="24"/>
        </w:rPr>
      </w:pPr>
      <w:r w:rsidRPr="007C190E">
        <w:rPr>
          <w:b/>
          <w:sz w:val="24"/>
          <w:szCs w:val="24"/>
        </w:rPr>
        <w:t>6.6</w:t>
      </w:r>
      <w:r w:rsidRPr="007C190E">
        <w:rPr>
          <w:b/>
          <w:sz w:val="24"/>
          <w:szCs w:val="24"/>
        </w:rPr>
        <w:tab/>
        <w:t xml:space="preserve">Regler for </w:t>
      </w:r>
      <w:r w:rsidR="00BD7931" w:rsidRPr="007C190E">
        <w:rPr>
          <w:b/>
          <w:sz w:val="24"/>
          <w:szCs w:val="24"/>
        </w:rPr>
        <w:t>bortskaffelse</w:t>
      </w:r>
      <w:r w:rsidRPr="007C190E">
        <w:rPr>
          <w:b/>
          <w:sz w:val="24"/>
          <w:szCs w:val="24"/>
        </w:rPr>
        <w:t xml:space="preserve"> og anden håndtering</w:t>
      </w:r>
    </w:p>
    <w:p w14:paraId="65DCA256" w14:textId="77777777" w:rsidR="007D202E" w:rsidRDefault="007D202E" w:rsidP="00191E23">
      <w:pPr>
        <w:ind w:left="864"/>
        <w:rPr>
          <w:bCs/>
          <w:sz w:val="24"/>
          <w:szCs w:val="24"/>
          <w:u w:val="single"/>
          <w:lang w:eastAsia="de-AT"/>
        </w:rPr>
      </w:pPr>
    </w:p>
    <w:p w14:paraId="2E07E8A6" w14:textId="24B243B8" w:rsidR="00191E23" w:rsidRPr="007C190E" w:rsidRDefault="00191E23" w:rsidP="00191E23">
      <w:pPr>
        <w:ind w:left="864"/>
        <w:rPr>
          <w:bCs/>
          <w:sz w:val="24"/>
          <w:szCs w:val="24"/>
          <w:u w:val="single"/>
          <w:lang w:eastAsia="de-AT"/>
        </w:rPr>
      </w:pPr>
      <w:r w:rsidRPr="007C190E">
        <w:rPr>
          <w:bCs/>
          <w:sz w:val="24"/>
          <w:szCs w:val="24"/>
          <w:u w:val="single"/>
          <w:lang w:eastAsia="de-AT"/>
        </w:rPr>
        <w:t>Generelle vejledninger</w:t>
      </w:r>
    </w:p>
    <w:p w14:paraId="0074E5E6" w14:textId="77777777" w:rsidR="00191E23" w:rsidRPr="007C190E" w:rsidRDefault="00191E23" w:rsidP="00191E23">
      <w:pPr>
        <w:pStyle w:val="Listeafsnit"/>
        <w:numPr>
          <w:ilvl w:val="0"/>
          <w:numId w:val="8"/>
        </w:numPr>
        <w:ind w:left="1350" w:hanging="522"/>
        <w:rPr>
          <w:rFonts w:ascii="Times New Roman" w:hAnsi="Times New Roman"/>
          <w:bCs/>
          <w:sz w:val="24"/>
          <w:lang w:val="da-DK" w:eastAsia="de-AT"/>
        </w:rPr>
      </w:pPr>
      <w:r w:rsidRPr="007C190E">
        <w:rPr>
          <w:rFonts w:ascii="Times New Roman" w:hAnsi="Times New Roman"/>
          <w:bCs/>
          <w:sz w:val="24"/>
          <w:lang w:val="da-DK" w:eastAsia="de-AT"/>
        </w:rPr>
        <w:t xml:space="preserve">Kun det vedlagte </w:t>
      </w:r>
      <w:proofErr w:type="spellStart"/>
      <w:r w:rsidRPr="007C190E">
        <w:rPr>
          <w:rFonts w:ascii="Times New Roman" w:hAnsi="Times New Roman"/>
          <w:bCs/>
          <w:sz w:val="24"/>
          <w:lang w:val="da-DK" w:eastAsia="de-AT"/>
        </w:rPr>
        <w:t>rekonstitutionssæt</w:t>
      </w:r>
      <w:proofErr w:type="spellEnd"/>
      <w:r w:rsidRPr="007C190E">
        <w:rPr>
          <w:rFonts w:ascii="Times New Roman" w:hAnsi="Times New Roman"/>
          <w:bCs/>
          <w:sz w:val="24"/>
          <w:lang w:val="da-DK" w:eastAsia="de-AT"/>
        </w:rPr>
        <w:t xml:space="preserve"> må anvendes til </w:t>
      </w:r>
      <w:proofErr w:type="spellStart"/>
      <w:r w:rsidRPr="007C190E">
        <w:rPr>
          <w:rFonts w:ascii="Times New Roman" w:hAnsi="Times New Roman"/>
          <w:bCs/>
          <w:sz w:val="24"/>
          <w:lang w:val="da-DK" w:eastAsia="de-AT"/>
        </w:rPr>
        <w:t>rekonstitution</w:t>
      </w:r>
      <w:proofErr w:type="spellEnd"/>
      <w:r w:rsidRPr="007C190E">
        <w:rPr>
          <w:rFonts w:ascii="Times New Roman" w:hAnsi="Times New Roman"/>
          <w:bCs/>
          <w:sz w:val="24"/>
          <w:lang w:val="da-DK" w:eastAsia="de-AT"/>
        </w:rPr>
        <w:t>.</w:t>
      </w:r>
    </w:p>
    <w:p w14:paraId="1FA467DF" w14:textId="77777777" w:rsidR="00191E23" w:rsidRPr="007C190E" w:rsidRDefault="00191E23" w:rsidP="00191E23">
      <w:pPr>
        <w:pStyle w:val="Listeafsnit"/>
        <w:numPr>
          <w:ilvl w:val="0"/>
          <w:numId w:val="8"/>
        </w:numPr>
        <w:ind w:left="1350" w:hanging="522"/>
        <w:jc w:val="left"/>
        <w:rPr>
          <w:rFonts w:ascii="Times New Roman" w:hAnsi="Times New Roman"/>
          <w:bCs/>
          <w:sz w:val="24"/>
          <w:lang w:val="da-DK" w:eastAsia="de-AT"/>
        </w:rPr>
      </w:pPr>
      <w:r w:rsidRPr="007C190E">
        <w:rPr>
          <w:rFonts w:ascii="Times New Roman" w:hAnsi="Times New Roman"/>
          <w:bCs/>
          <w:sz w:val="24"/>
          <w:lang w:val="da-DK" w:eastAsia="de-AT"/>
        </w:rPr>
        <w:t xml:space="preserve">Kontrollér udløbsdatoen og sørg for, at </w:t>
      </w:r>
      <w:proofErr w:type="spellStart"/>
      <w:r w:rsidRPr="007C190E">
        <w:rPr>
          <w:rFonts w:ascii="Times New Roman" w:hAnsi="Times New Roman"/>
          <w:bCs/>
          <w:sz w:val="24"/>
          <w:lang w:val="da-DK" w:eastAsia="de-AT"/>
        </w:rPr>
        <w:t>Prothromplex</w:t>
      </w:r>
      <w:proofErr w:type="spellEnd"/>
      <w:r w:rsidRPr="007C190E">
        <w:rPr>
          <w:rFonts w:ascii="Times New Roman" w:hAnsi="Times New Roman"/>
          <w:bCs/>
          <w:sz w:val="24"/>
          <w:lang w:val="da-DK" w:eastAsia="de-AT"/>
        </w:rPr>
        <w:t xml:space="preserve"> pulver og vand til injektioner (solvens) har stuetemperatur inden </w:t>
      </w:r>
      <w:proofErr w:type="spellStart"/>
      <w:r w:rsidRPr="007C190E">
        <w:rPr>
          <w:rFonts w:ascii="Times New Roman" w:hAnsi="Times New Roman"/>
          <w:bCs/>
          <w:sz w:val="24"/>
          <w:lang w:val="da-DK" w:eastAsia="de-AT"/>
        </w:rPr>
        <w:t>preparation</w:t>
      </w:r>
      <w:proofErr w:type="spellEnd"/>
      <w:r w:rsidRPr="007C190E">
        <w:rPr>
          <w:rFonts w:ascii="Times New Roman" w:hAnsi="Times New Roman"/>
          <w:bCs/>
          <w:sz w:val="24"/>
          <w:lang w:val="da-DK" w:eastAsia="de-AT"/>
        </w:rPr>
        <w:t>. Må ikke bruges efter den udløbsdato, som er stemplet på mærkater og emballage.</w:t>
      </w:r>
    </w:p>
    <w:p w14:paraId="01319C26" w14:textId="77777777" w:rsidR="00191E23" w:rsidRPr="007C190E" w:rsidRDefault="00191E23" w:rsidP="00191E23">
      <w:pPr>
        <w:pStyle w:val="Listeafsnit"/>
        <w:numPr>
          <w:ilvl w:val="0"/>
          <w:numId w:val="8"/>
        </w:numPr>
        <w:ind w:left="1350" w:hanging="522"/>
        <w:jc w:val="left"/>
        <w:rPr>
          <w:rFonts w:ascii="Times New Roman" w:hAnsi="Times New Roman"/>
          <w:bCs/>
          <w:sz w:val="24"/>
          <w:lang w:val="da-DK" w:eastAsia="de-AT"/>
        </w:rPr>
      </w:pPr>
      <w:r w:rsidRPr="007C190E">
        <w:rPr>
          <w:rFonts w:ascii="Times New Roman" w:hAnsi="Times New Roman"/>
          <w:bCs/>
          <w:sz w:val="24"/>
          <w:lang w:val="da-DK" w:eastAsia="de-AT"/>
        </w:rPr>
        <w:t xml:space="preserve">Brug antiseptisk teknik (rene og lav-bakterie forhold) og en plan arbejdsoverflade under </w:t>
      </w:r>
      <w:proofErr w:type="spellStart"/>
      <w:r w:rsidRPr="007C190E">
        <w:rPr>
          <w:rFonts w:ascii="Times New Roman" w:hAnsi="Times New Roman"/>
          <w:bCs/>
          <w:sz w:val="24"/>
          <w:lang w:val="da-DK" w:eastAsia="de-AT"/>
        </w:rPr>
        <w:t>rekonstitutionsproceduren</w:t>
      </w:r>
      <w:proofErr w:type="spellEnd"/>
      <w:r w:rsidRPr="007C190E">
        <w:rPr>
          <w:rFonts w:ascii="Times New Roman" w:hAnsi="Times New Roman"/>
          <w:bCs/>
          <w:sz w:val="24"/>
          <w:lang w:val="da-DK" w:eastAsia="de-AT"/>
        </w:rPr>
        <w:t>. Vask hænder og brug rene beskyttelseshandsker (brug af handsker er valgfri).</w:t>
      </w:r>
    </w:p>
    <w:p w14:paraId="67401D61" w14:textId="77777777" w:rsidR="00191E23" w:rsidRPr="007C190E" w:rsidRDefault="00191E23" w:rsidP="00191E23">
      <w:pPr>
        <w:pStyle w:val="Listeafsnit"/>
        <w:numPr>
          <w:ilvl w:val="0"/>
          <w:numId w:val="8"/>
        </w:numPr>
        <w:ind w:left="1350" w:hanging="522"/>
        <w:jc w:val="left"/>
        <w:rPr>
          <w:rFonts w:ascii="Times New Roman" w:hAnsi="Times New Roman"/>
          <w:bCs/>
          <w:sz w:val="24"/>
          <w:lang w:val="da-DK" w:eastAsia="de-AT"/>
        </w:rPr>
      </w:pPr>
      <w:r w:rsidRPr="007C190E">
        <w:rPr>
          <w:rFonts w:ascii="Times New Roman" w:hAnsi="Times New Roman"/>
          <w:bCs/>
          <w:sz w:val="24"/>
          <w:lang w:val="da-DK" w:eastAsia="de-AT"/>
        </w:rPr>
        <w:t xml:space="preserve">Opvarm det uåbnede hætteglas med solvens (vand til injektionsvæsker) til stue- eller kropstemperatur (maksimalt </w:t>
      </w:r>
      <w:r w:rsidRPr="007C190E">
        <w:rPr>
          <w:rFonts w:ascii="Times New Roman" w:hAnsi="Times New Roman"/>
          <w:bCs/>
          <w:sz w:val="24"/>
          <w:lang w:val="da-DK"/>
        </w:rPr>
        <w:t>37 °C).</w:t>
      </w:r>
    </w:p>
    <w:p w14:paraId="21B403F2" w14:textId="77777777" w:rsidR="00191E23" w:rsidRPr="007C190E" w:rsidRDefault="00191E23" w:rsidP="00191E23">
      <w:pPr>
        <w:pStyle w:val="Listeafsnit"/>
        <w:numPr>
          <w:ilvl w:val="0"/>
          <w:numId w:val="8"/>
        </w:numPr>
        <w:ind w:left="1350" w:hanging="522"/>
        <w:jc w:val="left"/>
        <w:rPr>
          <w:rFonts w:ascii="Times New Roman" w:hAnsi="Times New Roman"/>
          <w:sz w:val="24"/>
          <w:lang w:val="de-DE" w:eastAsia="de-AT"/>
        </w:rPr>
      </w:pPr>
      <w:proofErr w:type="spellStart"/>
      <w:r w:rsidRPr="007C190E">
        <w:rPr>
          <w:rFonts w:ascii="Times New Roman" w:hAnsi="Times New Roman"/>
          <w:sz w:val="24"/>
          <w:lang w:val="da-DK" w:eastAsia="de-AT"/>
        </w:rPr>
        <w:t>Prothromplex</w:t>
      </w:r>
      <w:proofErr w:type="spellEnd"/>
      <w:r w:rsidRPr="007C190E">
        <w:rPr>
          <w:rFonts w:ascii="Times New Roman" w:hAnsi="Times New Roman"/>
          <w:sz w:val="24"/>
          <w:lang w:val="da-DK" w:eastAsia="de-AT"/>
        </w:rPr>
        <w:t xml:space="preserve"> skal </w:t>
      </w:r>
      <w:proofErr w:type="spellStart"/>
      <w:r w:rsidRPr="007C190E">
        <w:rPr>
          <w:rFonts w:ascii="Times New Roman" w:hAnsi="Times New Roman"/>
          <w:sz w:val="24"/>
          <w:lang w:val="da-DK" w:eastAsia="de-AT"/>
        </w:rPr>
        <w:t>rekonstitueres</w:t>
      </w:r>
      <w:proofErr w:type="spellEnd"/>
      <w:r w:rsidRPr="007C190E">
        <w:rPr>
          <w:rFonts w:ascii="Times New Roman" w:hAnsi="Times New Roman"/>
          <w:sz w:val="24"/>
          <w:lang w:val="da-DK" w:eastAsia="de-AT"/>
        </w:rPr>
        <w:t xml:space="preserve"> umiddelbart inden administrationen. Opløsningen er klar eller let opaliserende. Opløsninger, der er uklare eller har udfældninger skal bortskaffes. </w:t>
      </w:r>
    </w:p>
    <w:p w14:paraId="12081F40" w14:textId="77777777" w:rsidR="00191E23" w:rsidRPr="007C190E" w:rsidRDefault="00191E23" w:rsidP="00191E23">
      <w:pPr>
        <w:ind w:left="851"/>
        <w:rPr>
          <w:sz w:val="24"/>
          <w:szCs w:val="24"/>
          <w:lang w:eastAsia="de-AT"/>
        </w:rPr>
      </w:pPr>
    </w:p>
    <w:p w14:paraId="5CA3A6E6" w14:textId="77777777" w:rsidR="00191E23" w:rsidRPr="007C190E" w:rsidRDefault="00191E23" w:rsidP="007C190E">
      <w:pPr>
        <w:ind w:left="851"/>
        <w:rPr>
          <w:sz w:val="24"/>
          <w:szCs w:val="24"/>
          <w:u w:val="single"/>
          <w:lang w:eastAsia="de-AT"/>
        </w:rPr>
      </w:pPr>
      <w:r w:rsidRPr="007C190E">
        <w:rPr>
          <w:sz w:val="24"/>
          <w:szCs w:val="24"/>
          <w:u w:val="single"/>
          <w:lang w:eastAsia="de-AT"/>
        </w:rPr>
        <w:t xml:space="preserve">Instruktioner til </w:t>
      </w:r>
      <w:proofErr w:type="spellStart"/>
      <w:r w:rsidRPr="007C190E">
        <w:rPr>
          <w:sz w:val="24"/>
          <w:szCs w:val="24"/>
          <w:u w:val="single"/>
          <w:lang w:eastAsia="de-AT"/>
        </w:rPr>
        <w:t>rekonstitution</w:t>
      </w:r>
      <w:proofErr w:type="spellEnd"/>
      <w:r w:rsidRPr="007C190E">
        <w:rPr>
          <w:sz w:val="24"/>
          <w:szCs w:val="24"/>
          <w:u w:val="single"/>
          <w:lang w:eastAsia="de-AT"/>
        </w:rPr>
        <w:t xml:space="preserve"> af pulveret til injektionsvæske, opløsning:</w:t>
      </w:r>
    </w:p>
    <w:p w14:paraId="0D46BECB" w14:textId="77777777" w:rsidR="00191E23" w:rsidRPr="007C190E" w:rsidRDefault="00191E23" w:rsidP="007C190E">
      <w:pPr>
        <w:ind w:left="851"/>
        <w:rPr>
          <w:sz w:val="24"/>
          <w:szCs w:val="24"/>
          <w:lang w:eastAsia="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5948"/>
        <w:gridCol w:w="3214"/>
      </w:tblGrid>
      <w:tr w:rsidR="00191E23" w:rsidRPr="007C190E" w14:paraId="517E92C3" w14:textId="77777777" w:rsidTr="007C190E">
        <w:trPr>
          <w:tblHeader/>
        </w:trPr>
        <w:tc>
          <w:tcPr>
            <w:tcW w:w="242" w:type="pct"/>
            <w:tcBorders>
              <w:top w:val="single" w:sz="4" w:space="0" w:color="auto"/>
              <w:left w:val="single" w:sz="4" w:space="0" w:color="auto"/>
              <w:bottom w:val="single" w:sz="4" w:space="0" w:color="auto"/>
              <w:right w:val="single" w:sz="4" w:space="0" w:color="auto"/>
            </w:tcBorders>
            <w:shd w:val="clear" w:color="auto" w:fill="E7E6E6"/>
          </w:tcPr>
          <w:p w14:paraId="6E12212C" w14:textId="77777777" w:rsidR="00191E23" w:rsidRPr="007C190E" w:rsidRDefault="00191E23">
            <w:pPr>
              <w:keepNext/>
              <w:keepLines/>
              <w:tabs>
                <w:tab w:val="left" w:pos="567"/>
              </w:tabs>
              <w:spacing w:line="260" w:lineRule="exact"/>
              <w:rPr>
                <w:sz w:val="24"/>
                <w:szCs w:val="24"/>
              </w:rPr>
            </w:pPr>
          </w:p>
        </w:tc>
        <w:tc>
          <w:tcPr>
            <w:tcW w:w="3089" w:type="pct"/>
            <w:tcBorders>
              <w:top w:val="single" w:sz="4" w:space="0" w:color="auto"/>
              <w:left w:val="single" w:sz="4" w:space="0" w:color="auto"/>
              <w:bottom w:val="single" w:sz="4" w:space="0" w:color="auto"/>
              <w:right w:val="single" w:sz="4" w:space="0" w:color="auto"/>
            </w:tcBorders>
            <w:shd w:val="clear" w:color="auto" w:fill="E7E6E6"/>
            <w:hideMark/>
          </w:tcPr>
          <w:p w14:paraId="488F945D" w14:textId="77777777" w:rsidR="00191E23" w:rsidRPr="007C190E" w:rsidRDefault="00191E23" w:rsidP="007C190E">
            <w:pPr>
              <w:keepNext/>
              <w:keepLines/>
              <w:tabs>
                <w:tab w:val="left" w:pos="567"/>
              </w:tabs>
              <w:spacing w:line="260" w:lineRule="exact"/>
              <w:rPr>
                <w:b/>
                <w:bCs/>
                <w:sz w:val="24"/>
                <w:szCs w:val="24"/>
              </w:rPr>
            </w:pPr>
            <w:r w:rsidRPr="007C190E">
              <w:rPr>
                <w:b/>
                <w:bCs/>
                <w:sz w:val="24"/>
                <w:szCs w:val="24"/>
              </w:rPr>
              <w:t>Trin</w:t>
            </w:r>
          </w:p>
        </w:tc>
        <w:tc>
          <w:tcPr>
            <w:tcW w:w="166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3B8588" w14:textId="77777777" w:rsidR="00191E23" w:rsidRPr="007C190E" w:rsidRDefault="00191E23">
            <w:pPr>
              <w:keepNext/>
              <w:keepLines/>
              <w:tabs>
                <w:tab w:val="left" w:pos="567"/>
              </w:tabs>
              <w:spacing w:line="260" w:lineRule="exact"/>
              <w:jc w:val="center"/>
              <w:rPr>
                <w:b/>
                <w:bCs/>
                <w:sz w:val="24"/>
                <w:szCs w:val="24"/>
              </w:rPr>
            </w:pPr>
            <w:r w:rsidRPr="007C190E">
              <w:rPr>
                <w:b/>
                <w:bCs/>
                <w:sz w:val="24"/>
                <w:szCs w:val="24"/>
              </w:rPr>
              <w:t>Billede</w:t>
            </w:r>
          </w:p>
        </w:tc>
      </w:tr>
      <w:tr w:rsidR="00191E23" w:rsidRPr="007C190E" w14:paraId="631B583B" w14:textId="77777777" w:rsidTr="007C190E">
        <w:tc>
          <w:tcPr>
            <w:tcW w:w="242" w:type="pct"/>
            <w:tcBorders>
              <w:top w:val="single" w:sz="4" w:space="0" w:color="auto"/>
              <w:left w:val="single" w:sz="4" w:space="0" w:color="auto"/>
              <w:bottom w:val="single" w:sz="4" w:space="0" w:color="auto"/>
              <w:right w:val="single" w:sz="4" w:space="0" w:color="auto"/>
            </w:tcBorders>
            <w:hideMark/>
          </w:tcPr>
          <w:p w14:paraId="7FD1334E" w14:textId="77777777" w:rsidR="00191E23" w:rsidRPr="007C190E" w:rsidRDefault="00191E23">
            <w:pPr>
              <w:tabs>
                <w:tab w:val="left" w:pos="567"/>
              </w:tabs>
              <w:spacing w:line="260" w:lineRule="exact"/>
              <w:rPr>
                <w:sz w:val="24"/>
                <w:szCs w:val="24"/>
              </w:rPr>
            </w:pPr>
            <w:r w:rsidRPr="007C190E">
              <w:rPr>
                <w:sz w:val="24"/>
                <w:szCs w:val="24"/>
              </w:rPr>
              <w:t>1</w:t>
            </w:r>
          </w:p>
        </w:tc>
        <w:tc>
          <w:tcPr>
            <w:tcW w:w="3089" w:type="pct"/>
            <w:tcBorders>
              <w:top w:val="single" w:sz="4" w:space="0" w:color="auto"/>
              <w:left w:val="single" w:sz="4" w:space="0" w:color="auto"/>
              <w:bottom w:val="single" w:sz="4" w:space="0" w:color="auto"/>
              <w:right w:val="single" w:sz="4" w:space="0" w:color="auto"/>
            </w:tcBorders>
            <w:hideMark/>
          </w:tcPr>
          <w:p w14:paraId="17AA29D4" w14:textId="77777777" w:rsidR="00191E23" w:rsidRPr="007C190E" w:rsidRDefault="00191E23" w:rsidP="007C190E">
            <w:pPr>
              <w:numPr>
                <w:ilvl w:val="0"/>
                <w:numId w:val="9"/>
              </w:numPr>
              <w:tabs>
                <w:tab w:val="left" w:pos="567"/>
              </w:tabs>
              <w:rPr>
                <w:sz w:val="24"/>
                <w:szCs w:val="24"/>
              </w:rPr>
            </w:pPr>
            <w:r w:rsidRPr="007C190E">
              <w:rPr>
                <w:sz w:val="24"/>
                <w:szCs w:val="24"/>
              </w:rPr>
              <w:t>Fjern beskyttelseshætterne fra glassene med pulver og solvens.</w:t>
            </w:r>
          </w:p>
        </w:tc>
        <w:tc>
          <w:tcPr>
            <w:tcW w:w="1669" w:type="pct"/>
            <w:tcBorders>
              <w:top w:val="single" w:sz="4" w:space="0" w:color="auto"/>
              <w:left w:val="single" w:sz="4" w:space="0" w:color="auto"/>
              <w:bottom w:val="single" w:sz="4" w:space="0" w:color="auto"/>
              <w:right w:val="single" w:sz="4" w:space="0" w:color="auto"/>
            </w:tcBorders>
            <w:vAlign w:val="center"/>
            <w:hideMark/>
          </w:tcPr>
          <w:p w14:paraId="76137278" w14:textId="0BEAA4FF" w:rsidR="00191E23" w:rsidRPr="007C190E" w:rsidRDefault="00191E23">
            <w:pPr>
              <w:tabs>
                <w:tab w:val="left" w:pos="567"/>
              </w:tabs>
              <w:spacing w:line="260" w:lineRule="exact"/>
              <w:rPr>
                <w:sz w:val="24"/>
                <w:szCs w:val="24"/>
              </w:rPr>
            </w:pPr>
            <w:r w:rsidRPr="007C190E">
              <w:rPr>
                <w:noProof/>
                <w:sz w:val="24"/>
                <w:szCs w:val="24"/>
              </w:rPr>
              <w:drawing>
                <wp:anchor distT="0" distB="0" distL="114300" distR="114300" simplePos="0" relativeHeight="251660288" behindDoc="0" locked="0" layoutInCell="1" allowOverlap="1" wp14:anchorId="7E996330" wp14:editId="343FBAB6">
                  <wp:simplePos x="0" y="0"/>
                  <wp:positionH relativeFrom="margin">
                    <wp:posOffset>46990</wp:posOffset>
                  </wp:positionH>
                  <wp:positionV relativeFrom="margin">
                    <wp:posOffset>124460</wp:posOffset>
                  </wp:positionV>
                  <wp:extent cx="1621155" cy="1227455"/>
                  <wp:effectExtent l="0" t="0" r="0" b="0"/>
                  <wp:wrapSquare wrapText="bothSides"/>
                  <wp:docPr id="13" name="Billed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155" cy="1227455"/>
                          </a:xfrm>
                          <a:prstGeom prst="rect">
                            <a:avLst/>
                          </a:prstGeom>
                          <a:noFill/>
                        </pic:spPr>
                      </pic:pic>
                    </a:graphicData>
                  </a:graphic>
                  <wp14:sizeRelH relativeFrom="margin">
                    <wp14:pctWidth>0</wp14:pctWidth>
                  </wp14:sizeRelH>
                  <wp14:sizeRelV relativeFrom="margin">
                    <wp14:pctHeight>0</wp14:pctHeight>
                  </wp14:sizeRelV>
                </wp:anchor>
              </w:drawing>
            </w:r>
          </w:p>
        </w:tc>
      </w:tr>
      <w:tr w:rsidR="00191E23" w:rsidRPr="007C190E" w14:paraId="1617638A" w14:textId="77777777" w:rsidTr="007C190E">
        <w:tc>
          <w:tcPr>
            <w:tcW w:w="242" w:type="pct"/>
            <w:tcBorders>
              <w:top w:val="single" w:sz="4" w:space="0" w:color="auto"/>
              <w:left w:val="single" w:sz="4" w:space="0" w:color="auto"/>
              <w:bottom w:val="single" w:sz="4" w:space="0" w:color="auto"/>
              <w:right w:val="single" w:sz="4" w:space="0" w:color="auto"/>
            </w:tcBorders>
            <w:hideMark/>
          </w:tcPr>
          <w:p w14:paraId="2B14CC57" w14:textId="77777777" w:rsidR="00191E23" w:rsidRPr="007C190E" w:rsidRDefault="00191E23">
            <w:pPr>
              <w:tabs>
                <w:tab w:val="left" w:pos="567"/>
              </w:tabs>
              <w:spacing w:line="260" w:lineRule="exact"/>
              <w:rPr>
                <w:sz w:val="24"/>
                <w:szCs w:val="24"/>
              </w:rPr>
            </w:pPr>
            <w:r w:rsidRPr="007C190E">
              <w:rPr>
                <w:sz w:val="24"/>
                <w:szCs w:val="24"/>
              </w:rPr>
              <w:lastRenderedPageBreak/>
              <w:t>2</w:t>
            </w:r>
          </w:p>
        </w:tc>
        <w:tc>
          <w:tcPr>
            <w:tcW w:w="3089" w:type="pct"/>
            <w:tcBorders>
              <w:top w:val="single" w:sz="4" w:space="0" w:color="auto"/>
              <w:left w:val="single" w:sz="4" w:space="0" w:color="auto"/>
              <w:bottom w:val="single" w:sz="4" w:space="0" w:color="auto"/>
              <w:right w:val="single" w:sz="4" w:space="0" w:color="auto"/>
            </w:tcBorders>
            <w:hideMark/>
          </w:tcPr>
          <w:p w14:paraId="57EFF793" w14:textId="77777777" w:rsidR="00191E23" w:rsidRPr="007C190E" w:rsidRDefault="00191E23" w:rsidP="007C190E">
            <w:pPr>
              <w:numPr>
                <w:ilvl w:val="0"/>
                <w:numId w:val="10"/>
              </w:numPr>
              <w:tabs>
                <w:tab w:val="left" w:pos="567"/>
              </w:tabs>
              <w:autoSpaceDE w:val="0"/>
              <w:autoSpaceDN w:val="0"/>
              <w:adjustRightInd w:val="0"/>
              <w:rPr>
                <w:sz w:val="24"/>
                <w:szCs w:val="24"/>
              </w:rPr>
            </w:pPr>
            <w:r w:rsidRPr="007C190E">
              <w:rPr>
                <w:sz w:val="24"/>
                <w:szCs w:val="24"/>
              </w:rPr>
              <w:t>Desinficér hver hætte med en separat steril desinfektionsserviet (eller anden egnet steril opløsning) ved at tørre den af i flere sekunder.</w:t>
            </w:r>
          </w:p>
          <w:p w14:paraId="2BF9B7AB" w14:textId="77777777" w:rsidR="00191E23" w:rsidRPr="007C190E" w:rsidRDefault="00191E23" w:rsidP="007C190E">
            <w:pPr>
              <w:numPr>
                <w:ilvl w:val="0"/>
                <w:numId w:val="10"/>
              </w:numPr>
              <w:tabs>
                <w:tab w:val="left" w:pos="567"/>
              </w:tabs>
              <w:autoSpaceDE w:val="0"/>
              <w:autoSpaceDN w:val="0"/>
              <w:adjustRightInd w:val="0"/>
              <w:rPr>
                <w:sz w:val="24"/>
                <w:szCs w:val="24"/>
              </w:rPr>
            </w:pPr>
            <w:r w:rsidRPr="007C190E">
              <w:rPr>
                <w:sz w:val="24"/>
                <w:szCs w:val="24"/>
              </w:rPr>
              <w:t>Lad gummiproppen tørre. Sæt hætteglassene på en plan overflade.</w:t>
            </w:r>
          </w:p>
        </w:tc>
        <w:tc>
          <w:tcPr>
            <w:tcW w:w="1669" w:type="pct"/>
            <w:tcBorders>
              <w:top w:val="single" w:sz="4" w:space="0" w:color="auto"/>
              <w:left w:val="single" w:sz="4" w:space="0" w:color="auto"/>
              <w:bottom w:val="single" w:sz="4" w:space="0" w:color="auto"/>
              <w:right w:val="single" w:sz="4" w:space="0" w:color="auto"/>
            </w:tcBorders>
            <w:vAlign w:val="center"/>
            <w:hideMark/>
          </w:tcPr>
          <w:p w14:paraId="2607D8DD" w14:textId="2A4BB37A" w:rsidR="00191E23" w:rsidRPr="007C190E" w:rsidRDefault="00191E23">
            <w:pPr>
              <w:tabs>
                <w:tab w:val="left" w:pos="567"/>
              </w:tabs>
              <w:spacing w:line="260" w:lineRule="exact"/>
              <w:rPr>
                <w:sz w:val="24"/>
                <w:szCs w:val="24"/>
              </w:rPr>
            </w:pPr>
            <w:r w:rsidRPr="007C190E">
              <w:rPr>
                <w:noProof/>
                <w:sz w:val="24"/>
                <w:szCs w:val="24"/>
              </w:rPr>
              <w:drawing>
                <wp:anchor distT="0" distB="0" distL="114300" distR="114300" simplePos="0" relativeHeight="251661312" behindDoc="0" locked="0" layoutInCell="1" allowOverlap="1" wp14:anchorId="5D7F3527" wp14:editId="6ABE86F1">
                  <wp:simplePos x="0" y="0"/>
                  <wp:positionH relativeFrom="margin">
                    <wp:posOffset>59055</wp:posOffset>
                  </wp:positionH>
                  <wp:positionV relativeFrom="margin">
                    <wp:posOffset>88900</wp:posOffset>
                  </wp:positionV>
                  <wp:extent cx="1672590" cy="1307465"/>
                  <wp:effectExtent l="0" t="0" r="3810" b="6985"/>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2590" cy="1307465"/>
                          </a:xfrm>
                          <a:prstGeom prst="rect">
                            <a:avLst/>
                          </a:prstGeom>
                          <a:noFill/>
                        </pic:spPr>
                      </pic:pic>
                    </a:graphicData>
                  </a:graphic>
                  <wp14:sizeRelH relativeFrom="margin">
                    <wp14:pctWidth>0</wp14:pctWidth>
                  </wp14:sizeRelH>
                  <wp14:sizeRelV relativeFrom="margin">
                    <wp14:pctHeight>0</wp14:pctHeight>
                  </wp14:sizeRelV>
                </wp:anchor>
              </w:drawing>
            </w:r>
          </w:p>
        </w:tc>
      </w:tr>
      <w:tr w:rsidR="00191E23" w:rsidRPr="007C190E" w14:paraId="5A0A5A59" w14:textId="77777777" w:rsidTr="007C190E">
        <w:tc>
          <w:tcPr>
            <w:tcW w:w="242" w:type="pct"/>
            <w:tcBorders>
              <w:top w:val="single" w:sz="4" w:space="0" w:color="auto"/>
              <w:left w:val="single" w:sz="4" w:space="0" w:color="auto"/>
              <w:bottom w:val="single" w:sz="4" w:space="0" w:color="auto"/>
              <w:right w:val="single" w:sz="4" w:space="0" w:color="auto"/>
            </w:tcBorders>
            <w:hideMark/>
          </w:tcPr>
          <w:p w14:paraId="1A526307" w14:textId="77777777" w:rsidR="00191E23" w:rsidRPr="007C190E" w:rsidRDefault="00191E23">
            <w:pPr>
              <w:tabs>
                <w:tab w:val="left" w:pos="567"/>
              </w:tabs>
              <w:spacing w:line="260" w:lineRule="exact"/>
              <w:rPr>
                <w:sz w:val="24"/>
                <w:szCs w:val="24"/>
              </w:rPr>
            </w:pPr>
            <w:r w:rsidRPr="007C190E">
              <w:rPr>
                <w:sz w:val="24"/>
                <w:szCs w:val="24"/>
              </w:rPr>
              <w:t>3</w:t>
            </w:r>
          </w:p>
        </w:tc>
        <w:tc>
          <w:tcPr>
            <w:tcW w:w="3089" w:type="pct"/>
            <w:tcBorders>
              <w:top w:val="single" w:sz="4" w:space="0" w:color="auto"/>
              <w:left w:val="single" w:sz="4" w:space="0" w:color="auto"/>
              <w:bottom w:val="single" w:sz="4" w:space="0" w:color="auto"/>
              <w:right w:val="single" w:sz="4" w:space="0" w:color="auto"/>
            </w:tcBorders>
            <w:hideMark/>
          </w:tcPr>
          <w:p w14:paraId="65ADB85E" w14:textId="77777777" w:rsidR="00191E23" w:rsidRPr="007C190E" w:rsidRDefault="00191E23" w:rsidP="007C190E">
            <w:pPr>
              <w:numPr>
                <w:ilvl w:val="0"/>
                <w:numId w:val="11"/>
              </w:numPr>
              <w:tabs>
                <w:tab w:val="left" w:pos="567"/>
              </w:tabs>
              <w:autoSpaceDE w:val="0"/>
              <w:autoSpaceDN w:val="0"/>
              <w:adjustRightInd w:val="0"/>
              <w:rPr>
                <w:sz w:val="24"/>
                <w:szCs w:val="24"/>
              </w:rPr>
            </w:pPr>
            <w:r w:rsidRPr="007C190E">
              <w:rPr>
                <w:sz w:val="24"/>
                <w:szCs w:val="24"/>
              </w:rPr>
              <w:t>Åbn Mix2Vial-emballagen ved at trække låget helt af uden at røre ved indersiden af emballagen.</w:t>
            </w:r>
          </w:p>
          <w:p w14:paraId="5486CA29" w14:textId="77777777" w:rsidR="00191E23" w:rsidRPr="007C190E" w:rsidRDefault="00191E23" w:rsidP="007C190E">
            <w:pPr>
              <w:numPr>
                <w:ilvl w:val="0"/>
                <w:numId w:val="11"/>
              </w:numPr>
              <w:tabs>
                <w:tab w:val="left" w:pos="567"/>
              </w:tabs>
              <w:autoSpaceDE w:val="0"/>
              <w:autoSpaceDN w:val="0"/>
              <w:adjustRightInd w:val="0"/>
              <w:rPr>
                <w:sz w:val="24"/>
                <w:szCs w:val="24"/>
              </w:rPr>
            </w:pPr>
            <w:r w:rsidRPr="007C190E">
              <w:rPr>
                <w:sz w:val="24"/>
                <w:szCs w:val="24"/>
              </w:rPr>
              <w:t>Tag ikke Mix2Vial-enheden ud af emballagen.</w:t>
            </w:r>
          </w:p>
        </w:tc>
        <w:tc>
          <w:tcPr>
            <w:tcW w:w="1669" w:type="pct"/>
            <w:tcBorders>
              <w:top w:val="single" w:sz="4" w:space="0" w:color="auto"/>
              <w:left w:val="single" w:sz="4" w:space="0" w:color="auto"/>
              <w:bottom w:val="single" w:sz="4" w:space="0" w:color="auto"/>
              <w:right w:val="single" w:sz="4" w:space="0" w:color="auto"/>
            </w:tcBorders>
            <w:hideMark/>
          </w:tcPr>
          <w:p w14:paraId="520662D5" w14:textId="3FB3BF0E" w:rsidR="00191E23" w:rsidRPr="007C190E" w:rsidRDefault="00191E23">
            <w:pPr>
              <w:tabs>
                <w:tab w:val="left" w:pos="567"/>
              </w:tabs>
              <w:spacing w:line="260" w:lineRule="exact"/>
              <w:rPr>
                <w:sz w:val="24"/>
                <w:szCs w:val="24"/>
              </w:rPr>
            </w:pPr>
            <w:r w:rsidRPr="007C190E">
              <w:rPr>
                <w:noProof/>
                <w:sz w:val="24"/>
                <w:szCs w:val="24"/>
              </w:rPr>
              <w:drawing>
                <wp:anchor distT="0" distB="0" distL="114300" distR="114300" simplePos="0" relativeHeight="251662336" behindDoc="0" locked="0" layoutInCell="1" allowOverlap="1" wp14:anchorId="7426F7CD" wp14:editId="32AA05F8">
                  <wp:simplePos x="0" y="0"/>
                  <wp:positionH relativeFrom="margin">
                    <wp:posOffset>41910</wp:posOffset>
                  </wp:positionH>
                  <wp:positionV relativeFrom="margin">
                    <wp:posOffset>95885</wp:posOffset>
                  </wp:positionV>
                  <wp:extent cx="1685290" cy="1316990"/>
                  <wp:effectExtent l="0" t="0" r="0" b="0"/>
                  <wp:wrapSquare wrapText="bothSides"/>
                  <wp:docPr id="11" name="Billed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290" cy="1316990"/>
                          </a:xfrm>
                          <a:prstGeom prst="rect">
                            <a:avLst/>
                          </a:prstGeom>
                          <a:noFill/>
                        </pic:spPr>
                      </pic:pic>
                    </a:graphicData>
                  </a:graphic>
                  <wp14:sizeRelH relativeFrom="margin">
                    <wp14:pctWidth>0</wp14:pctWidth>
                  </wp14:sizeRelH>
                  <wp14:sizeRelV relativeFrom="margin">
                    <wp14:pctHeight>0</wp14:pctHeight>
                  </wp14:sizeRelV>
                </wp:anchor>
              </w:drawing>
            </w:r>
          </w:p>
        </w:tc>
      </w:tr>
      <w:tr w:rsidR="00191E23" w:rsidRPr="007C190E" w14:paraId="51BE30C7" w14:textId="77777777" w:rsidTr="007C190E">
        <w:trPr>
          <w:trHeight w:val="2082"/>
        </w:trPr>
        <w:tc>
          <w:tcPr>
            <w:tcW w:w="242" w:type="pct"/>
            <w:tcBorders>
              <w:top w:val="single" w:sz="4" w:space="0" w:color="auto"/>
              <w:left w:val="single" w:sz="4" w:space="0" w:color="auto"/>
              <w:bottom w:val="single" w:sz="4" w:space="0" w:color="auto"/>
              <w:right w:val="single" w:sz="4" w:space="0" w:color="auto"/>
            </w:tcBorders>
            <w:hideMark/>
          </w:tcPr>
          <w:p w14:paraId="5A38E16C" w14:textId="77777777" w:rsidR="00191E23" w:rsidRPr="007C190E" w:rsidRDefault="00191E23">
            <w:pPr>
              <w:tabs>
                <w:tab w:val="left" w:pos="567"/>
              </w:tabs>
              <w:spacing w:line="260" w:lineRule="exact"/>
              <w:rPr>
                <w:sz w:val="24"/>
                <w:szCs w:val="24"/>
              </w:rPr>
            </w:pPr>
            <w:r w:rsidRPr="007C190E">
              <w:rPr>
                <w:sz w:val="24"/>
                <w:szCs w:val="24"/>
              </w:rPr>
              <w:t>4</w:t>
            </w:r>
          </w:p>
        </w:tc>
        <w:tc>
          <w:tcPr>
            <w:tcW w:w="3089" w:type="pct"/>
            <w:tcBorders>
              <w:top w:val="single" w:sz="4" w:space="0" w:color="auto"/>
              <w:left w:val="single" w:sz="4" w:space="0" w:color="auto"/>
              <w:bottom w:val="single" w:sz="4" w:space="0" w:color="auto"/>
              <w:right w:val="single" w:sz="4" w:space="0" w:color="auto"/>
            </w:tcBorders>
            <w:hideMark/>
          </w:tcPr>
          <w:p w14:paraId="532CC4F3" w14:textId="77777777" w:rsidR="00191E23" w:rsidRPr="007C190E" w:rsidRDefault="00191E23" w:rsidP="007C190E">
            <w:pPr>
              <w:numPr>
                <w:ilvl w:val="0"/>
                <w:numId w:val="12"/>
              </w:numPr>
              <w:tabs>
                <w:tab w:val="left" w:pos="18"/>
              </w:tabs>
              <w:autoSpaceDE w:val="0"/>
              <w:autoSpaceDN w:val="0"/>
              <w:adjustRightInd w:val="0"/>
              <w:ind w:left="378"/>
              <w:rPr>
                <w:sz w:val="24"/>
                <w:szCs w:val="24"/>
              </w:rPr>
            </w:pPr>
            <w:r w:rsidRPr="007C190E">
              <w:rPr>
                <w:sz w:val="24"/>
                <w:szCs w:val="24"/>
              </w:rPr>
              <w:t>Vend bunden opad på emballagen med Mix2Vial og sæt den ned over solvenshætteglasset.</w:t>
            </w:r>
          </w:p>
          <w:p w14:paraId="778C7A83" w14:textId="77777777" w:rsidR="00191E23" w:rsidRPr="007C190E" w:rsidRDefault="00191E23" w:rsidP="007C190E">
            <w:pPr>
              <w:numPr>
                <w:ilvl w:val="0"/>
                <w:numId w:val="12"/>
              </w:numPr>
              <w:tabs>
                <w:tab w:val="left" w:pos="18"/>
              </w:tabs>
              <w:autoSpaceDE w:val="0"/>
              <w:autoSpaceDN w:val="0"/>
              <w:adjustRightInd w:val="0"/>
              <w:ind w:left="378"/>
              <w:rPr>
                <w:sz w:val="24"/>
                <w:szCs w:val="24"/>
              </w:rPr>
            </w:pPr>
            <w:r w:rsidRPr="007C190E">
              <w:rPr>
                <w:sz w:val="24"/>
                <w:szCs w:val="24"/>
              </w:rPr>
              <w:t>Tryk enhedens blå plastikspids ned i midten af solvenshætteglasset ved at trykke lige nedad. Tag fat i emballagens kant og løft den af Mix2Vial-enheden.</w:t>
            </w:r>
          </w:p>
          <w:p w14:paraId="6344E46E" w14:textId="77777777" w:rsidR="00191E23" w:rsidRPr="007C190E" w:rsidRDefault="00191E23" w:rsidP="007C190E">
            <w:pPr>
              <w:numPr>
                <w:ilvl w:val="0"/>
                <w:numId w:val="12"/>
              </w:numPr>
              <w:tabs>
                <w:tab w:val="left" w:pos="18"/>
              </w:tabs>
              <w:autoSpaceDE w:val="0"/>
              <w:autoSpaceDN w:val="0"/>
              <w:adjustRightInd w:val="0"/>
              <w:ind w:left="378"/>
              <w:rPr>
                <w:sz w:val="24"/>
                <w:szCs w:val="24"/>
              </w:rPr>
            </w:pPr>
            <w:r w:rsidRPr="007C190E">
              <w:rPr>
                <w:sz w:val="24"/>
                <w:szCs w:val="24"/>
              </w:rPr>
              <w:t>Undgå at røre den gennemsigtige plastikspids.</w:t>
            </w:r>
          </w:p>
          <w:p w14:paraId="64FC3F14" w14:textId="77777777" w:rsidR="00191E23" w:rsidRPr="007C190E" w:rsidRDefault="00191E23" w:rsidP="007C190E">
            <w:pPr>
              <w:numPr>
                <w:ilvl w:val="0"/>
                <w:numId w:val="12"/>
              </w:numPr>
              <w:tabs>
                <w:tab w:val="left" w:pos="18"/>
              </w:tabs>
              <w:autoSpaceDE w:val="0"/>
              <w:autoSpaceDN w:val="0"/>
              <w:adjustRightInd w:val="0"/>
              <w:ind w:left="378"/>
              <w:rPr>
                <w:sz w:val="24"/>
                <w:szCs w:val="24"/>
              </w:rPr>
            </w:pPr>
            <w:r w:rsidRPr="007C190E">
              <w:rPr>
                <w:sz w:val="24"/>
                <w:szCs w:val="24"/>
              </w:rPr>
              <w:t xml:space="preserve">Mix2Vial-enheden sidder nu fast på solvenshætteglasset, som er klar til at blive sat fast på </w:t>
            </w:r>
            <w:proofErr w:type="spellStart"/>
            <w:r w:rsidRPr="007C190E">
              <w:rPr>
                <w:sz w:val="24"/>
                <w:szCs w:val="24"/>
              </w:rPr>
              <w:t>Prothromplex</w:t>
            </w:r>
            <w:proofErr w:type="spellEnd"/>
            <w:r w:rsidRPr="007C190E">
              <w:rPr>
                <w:sz w:val="24"/>
                <w:szCs w:val="24"/>
              </w:rPr>
              <w:t>-hætteglasset.</w:t>
            </w:r>
          </w:p>
        </w:tc>
        <w:tc>
          <w:tcPr>
            <w:tcW w:w="1669" w:type="pct"/>
            <w:tcBorders>
              <w:top w:val="single" w:sz="4" w:space="0" w:color="auto"/>
              <w:left w:val="single" w:sz="4" w:space="0" w:color="auto"/>
              <w:bottom w:val="single" w:sz="4" w:space="0" w:color="auto"/>
              <w:right w:val="single" w:sz="4" w:space="0" w:color="auto"/>
            </w:tcBorders>
            <w:hideMark/>
          </w:tcPr>
          <w:p w14:paraId="3C0CCA6B" w14:textId="327DB7BD" w:rsidR="00191E23" w:rsidRPr="007C190E" w:rsidRDefault="00191E23">
            <w:pPr>
              <w:tabs>
                <w:tab w:val="left" w:pos="567"/>
              </w:tabs>
              <w:spacing w:line="260" w:lineRule="exact"/>
              <w:rPr>
                <w:sz w:val="24"/>
                <w:szCs w:val="24"/>
              </w:rPr>
            </w:pPr>
            <w:r w:rsidRPr="007C190E">
              <w:rPr>
                <w:noProof/>
                <w:sz w:val="24"/>
                <w:szCs w:val="24"/>
              </w:rPr>
              <w:drawing>
                <wp:anchor distT="0" distB="0" distL="114300" distR="114300" simplePos="0" relativeHeight="251663360" behindDoc="0" locked="0" layoutInCell="1" allowOverlap="1" wp14:anchorId="15FD5D20" wp14:editId="76303567">
                  <wp:simplePos x="0" y="0"/>
                  <wp:positionH relativeFrom="margin">
                    <wp:posOffset>58420</wp:posOffset>
                  </wp:positionH>
                  <wp:positionV relativeFrom="margin">
                    <wp:posOffset>95250</wp:posOffset>
                  </wp:positionV>
                  <wp:extent cx="1567815" cy="1187450"/>
                  <wp:effectExtent l="0" t="0" r="0" b="0"/>
                  <wp:wrapSquare wrapText="bothSides"/>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7815" cy="1187450"/>
                          </a:xfrm>
                          <a:prstGeom prst="rect">
                            <a:avLst/>
                          </a:prstGeom>
                          <a:noFill/>
                        </pic:spPr>
                      </pic:pic>
                    </a:graphicData>
                  </a:graphic>
                  <wp14:sizeRelH relativeFrom="page">
                    <wp14:pctWidth>0</wp14:pctWidth>
                  </wp14:sizeRelH>
                  <wp14:sizeRelV relativeFrom="page">
                    <wp14:pctHeight>0</wp14:pctHeight>
                  </wp14:sizeRelV>
                </wp:anchor>
              </w:drawing>
            </w:r>
          </w:p>
        </w:tc>
      </w:tr>
      <w:tr w:rsidR="00191E23" w:rsidRPr="007C190E" w14:paraId="48764CDD" w14:textId="77777777" w:rsidTr="007C190E">
        <w:tc>
          <w:tcPr>
            <w:tcW w:w="242" w:type="pct"/>
            <w:tcBorders>
              <w:top w:val="single" w:sz="4" w:space="0" w:color="auto"/>
              <w:left w:val="single" w:sz="4" w:space="0" w:color="auto"/>
              <w:bottom w:val="single" w:sz="4" w:space="0" w:color="auto"/>
              <w:right w:val="single" w:sz="4" w:space="0" w:color="auto"/>
            </w:tcBorders>
            <w:hideMark/>
          </w:tcPr>
          <w:p w14:paraId="08622E32" w14:textId="77777777" w:rsidR="00191E23" w:rsidRPr="007C190E" w:rsidRDefault="00191E23">
            <w:pPr>
              <w:tabs>
                <w:tab w:val="left" w:pos="567"/>
              </w:tabs>
              <w:spacing w:line="260" w:lineRule="exact"/>
              <w:rPr>
                <w:sz w:val="24"/>
                <w:szCs w:val="24"/>
              </w:rPr>
            </w:pPr>
            <w:r w:rsidRPr="007C190E">
              <w:rPr>
                <w:sz w:val="24"/>
                <w:szCs w:val="24"/>
              </w:rPr>
              <w:t>5</w:t>
            </w:r>
          </w:p>
        </w:tc>
        <w:tc>
          <w:tcPr>
            <w:tcW w:w="3089" w:type="pct"/>
            <w:tcBorders>
              <w:top w:val="single" w:sz="4" w:space="0" w:color="auto"/>
              <w:left w:val="single" w:sz="4" w:space="0" w:color="auto"/>
              <w:bottom w:val="single" w:sz="4" w:space="0" w:color="auto"/>
              <w:right w:val="single" w:sz="4" w:space="0" w:color="auto"/>
            </w:tcBorders>
            <w:hideMark/>
          </w:tcPr>
          <w:p w14:paraId="3992D6DB" w14:textId="77777777" w:rsidR="00191E23" w:rsidRPr="007C190E" w:rsidRDefault="00191E23" w:rsidP="007C190E">
            <w:pPr>
              <w:numPr>
                <w:ilvl w:val="0"/>
                <w:numId w:val="13"/>
              </w:numPr>
              <w:tabs>
                <w:tab w:val="left" w:pos="18"/>
              </w:tabs>
              <w:autoSpaceDE w:val="0"/>
              <w:autoSpaceDN w:val="0"/>
              <w:adjustRightInd w:val="0"/>
              <w:ind w:left="378"/>
              <w:rPr>
                <w:sz w:val="24"/>
                <w:szCs w:val="24"/>
              </w:rPr>
            </w:pPr>
            <w:r w:rsidRPr="007C190E">
              <w:rPr>
                <w:sz w:val="24"/>
                <w:szCs w:val="24"/>
              </w:rPr>
              <w:t xml:space="preserve">For at sætte </w:t>
            </w:r>
            <w:proofErr w:type="spellStart"/>
            <w:r w:rsidRPr="007C190E">
              <w:rPr>
                <w:sz w:val="24"/>
                <w:szCs w:val="24"/>
              </w:rPr>
              <w:t>Prothromplex</w:t>
            </w:r>
            <w:proofErr w:type="spellEnd"/>
            <w:r w:rsidRPr="007C190E">
              <w:rPr>
                <w:sz w:val="24"/>
                <w:szCs w:val="24"/>
              </w:rPr>
              <w:t xml:space="preserve">-hætteglasset fast på solvensen vendes solvenshætteglasset med bunden opad og sættes ovenpå hætteglasset med </w:t>
            </w:r>
            <w:proofErr w:type="spellStart"/>
            <w:r w:rsidRPr="007C190E">
              <w:rPr>
                <w:sz w:val="24"/>
                <w:szCs w:val="24"/>
              </w:rPr>
              <w:t>Prothromplex</w:t>
            </w:r>
            <w:proofErr w:type="spellEnd"/>
            <w:r w:rsidRPr="007C190E">
              <w:rPr>
                <w:sz w:val="24"/>
                <w:szCs w:val="24"/>
              </w:rPr>
              <w:t>-pulveret.</w:t>
            </w:r>
          </w:p>
          <w:p w14:paraId="51496D38" w14:textId="77777777" w:rsidR="00191E23" w:rsidRPr="007C190E" w:rsidRDefault="00191E23" w:rsidP="007C190E">
            <w:pPr>
              <w:numPr>
                <w:ilvl w:val="0"/>
                <w:numId w:val="13"/>
              </w:numPr>
              <w:tabs>
                <w:tab w:val="left" w:pos="18"/>
              </w:tabs>
              <w:autoSpaceDE w:val="0"/>
              <w:autoSpaceDN w:val="0"/>
              <w:adjustRightInd w:val="0"/>
              <w:ind w:left="378"/>
              <w:rPr>
                <w:sz w:val="24"/>
                <w:szCs w:val="24"/>
              </w:rPr>
            </w:pPr>
            <w:r w:rsidRPr="007C190E">
              <w:rPr>
                <w:sz w:val="24"/>
                <w:szCs w:val="24"/>
              </w:rPr>
              <w:t xml:space="preserve">Sæt den gennemsigtige plastikspids helt ned i </w:t>
            </w:r>
            <w:proofErr w:type="spellStart"/>
            <w:r w:rsidRPr="007C190E">
              <w:rPr>
                <w:sz w:val="24"/>
                <w:szCs w:val="24"/>
              </w:rPr>
              <w:t>Prothromplex</w:t>
            </w:r>
            <w:proofErr w:type="spellEnd"/>
            <w:r w:rsidRPr="007C190E">
              <w:rPr>
                <w:sz w:val="24"/>
                <w:szCs w:val="24"/>
              </w:rPr>
              <w:t>-hætteglassets prop ved at trykke lige ned. Dette bør gøres øjeblikkeligt for at holde væsken fri for bakterier.</w:t>
            </w:r>
          </w:p>
          <w:p w14:paraId="08EFD922" w14:textId="77777777" w:rsidR="00191E23" w:rsidRPr="007C190E" w:rsidRDefault="00191E23" w:rsidP="007C190E">
            <w:pPr>
              <w:numPr>
                <w:ilvl w:val="0"/>
                <w:numId w:val="13"/>
              </w:numPr>
              <w:tabs>
                <w:tab w:val="left" w:pos="18"/>
              </w:tabs>
              <w:autoSpaceDE w:val="0"/>
              <w:autoSpaceDN w:val="0"/>
              <w:adjustRightInd w:val="0"/>
              <w:ind w:left="378"/>
              <w:rPr>
                <w:sz w:val="24"/>
                <w:szCs w:val="24"/>
              </w:rPr>
            </w:pPr>
            <w:r w:rsidRPr="007C190E">
              <w:rPr>
                <w:sz w:val="24"/>
                <w:szCs w:val="24"/>
              </w:rPr>
              <w:t xml:space="preserve">Solvensen vil løbe ned i </w:t>
            </w:r>
            <w:proofErr w:type="spellStart"/>
            <w:r w:rsidRPr="007C190E">
              <w:rPr>
                <w:sz w:val="24"/>
                <w:szCs w:val="24"/>
              </w:rPr>
              <w:t>Prothromplex</w:t>
            </w:r>
            <w:proofErr w:type="spellEnd"/>
            <w:r w:rsidRPr="007C190E">
              <w:rPr>
                <w:sz w:val="24"/>
                <w:szCs w:val="24"/>
              </w:rPr>
              <w:t>-hætteglasset ved hjælp af vakuum. Tjek, at al solvensen er løbet ned.</w:t>
            </w:r>
          </w:p>
          <w:p w14:paraId="7469B461" w14:textId="77777777" w:rsidR="00191E23" w:rsidRPr="007C190E" w:rsidRDefault="00191E23" w:rsidP="007C190E">
            <w:pPr>
              <w:numPr>
                <w:ilvl w:val="0"/>
                <w:numId w:val="13"/>
              </w:numPr>
              <w:tabs>
                <w:tab w:val="left" w:pos="18"/>
              </w:tabs>
              <w:autoSpaceDE w:val="0"/>
              <w:autoSpaceDN w:val="0"/>
              <w:adjustRightInd w:val="0"/>
              <w:ind w:left="378"/>
              <w:rPr>
                <w:sz w:val="24"/>
                <w:szCs w:val="24"/>
              </w:rPr>
            </w:pPr>
            <w:r w:rsidRPr="007C190E">
              <w:rPr>
                <w:sz w:val="24"/>
                <w:szCs w:val="24"/>
              </w:rPr>
              <w:t xml:space="preserve">Må ikke bruges, hvis der ikke længere forekommer vakuum og solvensen ikke løber ned i </w:t>
            </w:r>
            <w:proofErr w:type="spellStart"/>
            <w:r w:rsidRPr="007C190E">
              <w:rPr>
                <w:sz w:val="24"/>
                <w:szCs w:val="24"/>
              </w:rPr>
              <w:t>Prothromplex</w:t>
            </w:r>
            <w:proofErr w:type="spellEnd"/>
            <w:r w:rsidRPr="007C190E">
              <w:rPr>
                <w:sz w:val="24"/>
                <w:szCs w:val="24"/>
              </w:rPr>
              <w:t>-hætteglasset.</w:t>
            </w:r>
          </w:p>
        </w:tc>
        <w:tc>
          <w:tcPr>
            <w:tcW w:w="1669" w:type="pct"/>
            <w:tcBorders>
              <w:top w:val="single" w:sz="4" w:space="0" w:color="auto"/>
              <w:left w:val="single" w:sz="4" w:space="0" w:color="auto"/>
              <w:bottom w:val="single" w:sz="4" w:space="0" w:color="auto"/>
              <w:right w:val="single" w:sz="4" w:space="0" w:color="auto"/>
            </w:tcBorders>
            <w:hideMark/>
          </w:tcPr>
          <w:p w14:paraId="1639F4F0" w14:textId="75994D1C" w:rsidR="00191E23" w:rsidRPr="007C190E" w:rsidRDefault="00191E23">
            <w:pPr>
              <w:tabs>
                <w:tab w:val="left" w:pos="567"/>
              </w:tabs>
              <w:spacing w:line="260" w:lineRule="exact"/>
              <w:rPr>
                <w:sz w:val="24"/>
                <w:szCs w:val="24"/>
              </w:rPr>
            </w:pPr>
            <w:r w:rsidRPr="007C190E">
              <w:rPr>
                <w:noProof/>
                <w:sz w:val="24"/>
                <w:szCs w:val="24"/>
              </w:rPr>
              <w:drawing>
                <wp:anchor distT="0" distB="0" distL="114300" distR="114300" simplePos="0" relativeHeight="251664384" behindDoc="0" locked="0" layoutInCell="1" allowOverlap="1" wp14:anchorId="33EA4C99" wp14:editId="2437392E">
                  <wp:simplePos x="0" y="0"/>
                  <wp:positionH relativeFrom="margin">
                    <wp:posOffset>-10160</wp:posOffset>
                  </wp:positionH>
                  <wp:positionV relativeFrom="margin">
                    <wp:posOffset>144780</wp:posOffset>
                  </wp:positionV>
                  <wp:extent cx="1781175" cy="1349375"/>
                  <wp:effectExtent l="0" t="0" r="9525" b="3175"/>
                  <wp:wrapSquare wrapText="bothSides"/>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175" cy="1349375"/>
                          </a:xfrm>
                          <a:prstGeom prst="rect">
                            <a:avLst/>
                          </a:prstGeom>
                          <a:noFill/>
                        </pic:spPr>
                      </pic:pic>
                    </a:graphicData>
                  </a:graphic>
                  <wp14:sizeRelH relativeFrom="margin">
                    <wp14:pctWidth>0</wp14:pctWidth>
                  </wp14:sizeRelH>
                  <wp14:sizeRelV relativeFrom="margin">
                    <wp14:pctHeight>0</wp14:pctHeight>
                  </wp14:sizeRelV>
                </wp:anchor>
              </w:drawing>
            </w:r>
          </w:p>
        </w:tc>
      </w:tr>
      <w:tr w:rsidR="00191E23" w:rsidRPr="007C190E" w14:paraId="1AE3C487" w14:textId="77777777" w:rsidTr="007C190E">
        <w:tc>
          <w:tcPr>
            <w:tcW w:w="242" w:type="pct"/>
            <w:tcBorders>
              <w:top w:val="single" w:sz="4" w:space="0" w:color="auto"/>
              <w:left w:val="single" w:sz="4" w:space="0" w:color="auto"/>
              <w:bottom w:val="single" w:sz="4" w:space="0" w:color="auto"/>
              <w:right w:val="single" w:sz="4" w:space="0" w:color="auto"/>
            </w:tcBorders>
            <w:hideMark/>
          </w:tcPr>
          <w:p w14:paraId="7D6FA488" w14:textId="77777777" w:rsidR="00191E23" w:rsidRPr="007C190E" w:rsidRDefault="00191E23">
            <w:pPr>
              <w:tabs>
                <w:tab w:val="left" w:pos="567"/>
              </w:tabs>
              <w:spacing w:line="260" w:lineRule="exact"/>
              <w:rPr>
                <w:sz w:val="24"/>
                <w:szCs w:val="24"/>
              </w:rPr>
            </w:pPr>
            <w:r w:rsidRPr="007C190E">
              <w:rPr>
                <w:sz w:val="24"/>
                <w:szCs w:val="24"/>
              </w:rPr>
              <w:t>6</w:t>
            </w:r>
          </w:p>
        </w:tc>
        <w:tc>
          <w:tcPr>
            <w:tcW w:w="3089" w:type="pct"/>
            <w:tcBorders>
              <w:top w:val="single" w:sz="4" w:space="0" w:color="auto"/>
              <w:left w:val="single" w:sz="4" w:space="0" w:color="auto"/>
              <w:bottom w:val="single" w:sz="4" w:space="0" w:color="auto"/>
              <w:right w:val="single" w:sz="4" w:space="0" w:color="auto"/>
            </w:tcBorders>
            <w:hideMark/>
          </w:tcPr>
          <w:p w14:paraId="3F07E4FA" w14:textId="77777777" w:rsidR="00191E23" w:rsidRPr="007C190E" w:rsidRDefault="00191E23" w:rsidP="007C190E">
            <w:pPr>
              <w:numPr>
                <w:ilvl w:val="0"/>
                <w:numId w:val="14"/>
              </w:numPr>
              <w:tabs>
                <w:tab w:val="left" w:pos="18"/>
              </w:tabs>
              <w:autoSpaceDE w:val="0"/>
              <w:autoSpaceDN w:val="0"/>
              <w:adjustRightInd w:val="0"/>
              <w:ind w:left="378"/>
              <w:rPr>
                <w:sz w:val="24"/>
                <w:szCs w:val="24"/>
              </w:rPr>
            </w:pPr>
            <w:r w:rsidRPr="007C190E">
              <w:rPr>
                <w:sz w:val="24"/>
                <w:szCs w:val="24"/>
              </w:rPr>
              <w:t xml:space="preserve">Rotér de sammensatte hætteglas forsigtigt og kontinuerligt, indtil indholdet er opløst, eller lad det </w:t>
            </w:r>
            <w:proofErr w:type="spellStart"/>
            <w:r w:rsidRPr="007C190E">
              <w:rPr>
                <w:sz w:val="24"/>
                <w:szCs w:val="24"/>
              </w:rPr>
              <w:t>rekonstituerede</w:t>
            </w:r>
            <w:proofErr w:type="spellEnd"/>
            <w:r w:rsidRPr="007C190E">
              <w:rPr>
                <w:sz w:val="24"/>
                <w:szCs w:val="24"/>
              </w:rPr>
              <w:t xml:space="preserve"> produkt stå i 5 minutter, og rotér det så forsigtigt for at sikre, at pulveret er fuldstændigt opløst.</w:t>
            </w:r>
          </w:p>
          <w:p w14:paraId="2CE81021" w14:textId="77777777" w:rsidR="00191E23" w:rsidRPr="007C190E" w:rsidRDefault="00191E23" w:rsidP="007C190E">
            <w:pPr>
              <w:numPr>
                <w:ilvl w:val="0"/>
                <w:numId w:val="14"/>
              </w:numPr>
              <w:tabs>
                <w:tab w:val="left" w:pos="18"/>
              </w:tabs>
              <w:autoSpaceDE w:val="0"/>
              <w:autoSpaceDN w:val="0"/>
              <w:adjustRightInd w:val="0"/>
              <w:ind w:left="378"/>
              <w:rPr>
                <w:sz w:val="24"/>
                <w:szCs w:val="24"/>
              </w:rPr>
            </w:pPr>
            <w:r w:rsidRPr="007C190E">
              <w:rPr>
                <w:sz w:val="24"/>
                <w:szCs w:val="24"/>
              </w:rPr>
              <w:t xml:space="preserve">Må ikke rystes. Rystelser vil have en skadelig effekt på produktet. Må ikke nedkøles efter </w:t>
            </w:r>
            <w:proofErr w:type="spellStart"/>
            <w:r w:rsidRPr="007C190E">
              <w:rPr>
                <w:sz w:val="24"/>
                <w:szCs w:val="24"/>
              </w:rPr>
              <w:t>rekonstitution</w:t>
            </w:r>
            <w:proofErr w:type="spellEnd"/>
            <w:r w:rsidRPr="007C190E">
              <w:rPr>
                <w:sz w:val="24"/>
                <w:szCs w:val="24"/>
              </w:rPr>
              <w:t>.</w:t>
            </w:r>
          </w:p>
        </w:tc>
        <w:tc>
          <w:tcPr>
            <w:tcW w:w="1669" w:type="pct"/>
            <w:tcBorders>
              <w:top w:val="single" w:sz="4" w:space="0" w:color="auto"/>
              <w:left w:val="single" w:sz="4" w:space="0" w:color="auto"/>
              <w:bottom w:val="single" w:sz="4" w:space="0" w:color="auto"/>
              <w:right w:val="single" w:sz="4" w:space="0" w:color="auto"/>
            </w:tcBorders>
            <w:vAlign w:val="center"/>
            <w:hideMark/>
          </w:tcPr>
          <w:p w14:paraId="5DBF9C80" w14:textId="406AAC87" w:rsidR="00191E23" w:rsidRPr="007C190E" w:rsidRDefault="00191E23">
            <w:pPr>
              <w:tabs>
                <w:tab w:val="left" w:pos="567"/>
              </w:tabs>
              <w:spacing w:line="260" w:lineRule="exact"/>
              <w:rPr>
                <w:sz w:val="24"/>
                <w:szCs w:val="24"/>
              </w:rPr>
            </w:pPr>
            <w:r w:rsidRPr="007C190E">
              <w:rPr>
                <w:noProof/>
                <w:sz w:val="24"/>
                <w:szCs w:val="24"/>
              </w:rPr>
              <w:drawing>
                <wp:anchor distT="0" distB="0" distL="114300" distR="114300" simplePos="0" relativeHeight="251665408" behindDoc="0" locked="0" layoutInCell="1" allowOverlap="1" wp14:anchorId="3E89575C" wp14:editId="597A35B1">
                  <wp:simplePos x="0" y="0"/>
                  <wp:positionH relativeFrom="margin">
                    <wp:posOffset>-8255</wp:posOffset>
                  </wp:positionH>
                  <wp:positionV relativeFrom="margin">
                    <wp:posOffset>110490</wp:posOffset>
                  </wp:positionV>
                  <wp:extent cx="1822450" cy="1380490"/>
                  <wp:effectExtent l="0" t="0" r="6350" b="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2450" cy="1380490"/>
                          </a:xfrm>
                          <a:prstGeom prst="rect">
                            <a:avLst/>
                          </a:prstGeom>
                          <a:noFill/>
                        </pic:spPr>
                      </pic:pic>
                    </a:graphicData>
                  </a:graphic>
                  <wp14:sizeRelH relativeFrom="margin">
                    <wp14:pctWidth>0</wp14:pctWidth>
                  </wp14:sizeRelH>
                  <wp14:sizeRelV relativeFrom="margin">
                    <wp14:pctHeight>0</wp14:pctHeight>
                  </wp14:sizeRelV>
                </wp:anchor>
              </w:drawing>
            </w:r>
          </w:p>
        </w:tc>
      </w:tr>
      <w:tr w:rsidR="00191E23" w:rsidRPr="007C190E" w14:paraId="42FEB8EF" w14:textId="77777777" w:rsidTr="007C190E">
        <w:tc>
          <w:tcPr>
            <w:tcW w:w="242" w:type="pct"/>
            <w:tcBorders>
              <w:top w:val="single" w:sz="4" w:space="0" w:color="auto"/>
              <w:left w:val="single" w:sz="4" w:space="0" w:color="auto"/>
              <w:bottom w:val="nil"/>
              <w:right w:val="single" w:sz="4" w:space="0" w:color="auto"/>
            </w:tcBorders>
            <w:hideMark/>
          </w:tcPr>
          <w:p w14:paraId="2EF72358" w14:textId="77777777" w:rsidR="00191E23" w:rsidRPr="007C190E" w:rsidRDefault="00191E23">
            <w:pPr>
              <w:tabs>
                <w:tab w:val="left" w:pos="567"/>
              </w:tabs>
              <w:spacing w:line="260" w:lineRule="exact"/>
              <w:rPr>
                <w:sz w:val="24"/>
                <w:szCs w:val="24"/>
              </w:rPr>
            </w:pPr>
            <w:r w:rsidRPr="007C190E">
              <w:rPr>
                <w:sz w:val="24"/>
                <w:szCs w:val="24"/>
              </w:rPr>
              <w:lastRenderedPageBreak/>
              <w:t>7</w:t>
            </w:r>
          </w:p>
        </w:tc>
        <w:tc>
          <w:tcPr>
            <w:tcW w:w="3089" w:type="pct"/>
            <w:tcBorders>
              <w:top w:val="single" w:sz="4" w:space="0" w:color="auto"/>
              <w:left w:val="single" w:sz="4" w:space="0" w:color="auto"/>
              <w:bottom w:val="nil"/>
              <w:right w:val="single" w:sz="4" w:space="0" w:color="auto"/>
            </w:tcBorders>
            <w:hideMark/>
          </w:tcPr>
          <w:p w14:paraId="5A13B890" w14:textId="77777777" w:rsidR="00191E23" w:rsidRPr="007C190E" w:rsidRDefault="00191E23" w:rsidP="007C190E">
            <w:pPr>
              <w:numPr>
                <w:ilvl w:val="0"/>
                <w:numId w:val="15"/>
              </w:numPr>
              <w:tabs>
                <w:tab w:val="left" w:pos="18"/>
              </w:tabs>
              <w:autoSpaceDE w:val="0"/>
              <w:autoSpaceDN w:val="0"/>
              <w:adjustRightInd w:val="0"/>
              <w:rPr>
                <w:sz w:val="24"/>
                <w:szCs w:val="24"/>
              </w:rPr>
            </w:pPr>
            <w:r w:rsidRPr="007C190E">
              <w:rPr>
                <w:sz w:val="24"/>
                <w:szCs w:val="24"/>
              </w:rPr>
              <w:t xml:space="preserve">Skru de to dele af Mix2Vial fra hinanden ved at holde den gennemsigtige plastikdel af Mix2Vial, som sidder fast på </w:t>
            </w:r>
            <w:proofErr w:type="spellStart"/>
            <w:r w:rsidRPr="007C190E">
              <w:rPr>
                <w:sz w:val="24"/>
                <w:szCs w:val="24"/>
              </w:rPr>
              <w:t>Prothromplex</w:t>
            </w:r>
            <w:proofErr w:type="spellEnd"/>
            <w:r w:rsidRPr="007C190E">
              <w:rPr>
                <w:sz w:val="24"/>
                <w:szCs w:val="24"/>
              </w:rPr>
              <w:t>-hætteglasset, med den ene hånd, og den blå plastikdel på Mix2Vial, som sidder fast på solvenshætteglasset med den anden hånd.</w:t>
            </w:r>
          </w:p>
          <w:p w14:paraId="419C6519" w14:textId="77777777" w:rsidR="00191E23" w:rsidRPr="007C190E" w:rsidRDefault="00191E23" w:rsidP="007C190E">
            <w:pPr>
              <w:numPr>
                <w:ilvl w:val="0"/>
                <w:numId w:val="15"/>
              </w:numPr>
              <w:tabs>
                <w:tab w:val="left" w:pos="18"/>
              </w:tabs>
              <w:autoSpaceDE w:val="0"/>
              <w:autoSpaceDN w:val="0"/>
              <w:adjustRightInd w:val="0"/>
              <w:rPr>
                <w:sz w:val="24"/>
                <w:szCs w:val="24"/>
              </w:rPr>
            </w:pPr>
            <w:r w:rsidRPr="007C190E">
              <w:rPr>
                <w:sz w:val="24"/>
                <w:szCs w:val="24"/>
              </w:rPr>
              <w:t>Drej den blå plastikside mod uret og træk de to hætteglas forsigtigt fra hinanden.</w:t>
            </w:r>
          </w:p>
          <w:p w14:paraId="27DF426E" w14:textId="77777777" w:rsidR="00191E23" w:rsidRPr="007C190E" w:rsidRDefault="00191E23" w:rsidP="007C190E">
            <w:pPr>
              <w:numPr>
                <w:ilvl w:val="0"/>
                <w:numId w:val="15"/>
              </w:numPr>
              <w:tabs>
                <w:tab w:val="left" w:pos="18"/>
              </w:tabs>
              <w:autoSpaceDE w:val="0"/>
              <w:autoSpaceDN w:val="0"/>
              <w:adjustRightInd w:val="0"/>
              <w:rPr>
                <w:sz w:val="24"/>
                <w:szCs w:val="24"/>
              </w:rPr>
            </w:pPr>
            <w:r w:rsidRPr="007C190E">
              <w:rPr>
                <w:sz w:val="24"/>
                <w:szCs w:val="24"/>
              </w:rPr>
              <w:t xml:space="preserve">Rør ikke ved spidsen af plastikspidsen på hætteglasset med </w:t>
            </w:r>
            <w:proofErr w:type="spellStart"/>
            <w:r w:rsidRPr="007C190E">
              <w:rPr>
                <w:sz w:val="24"/>
                <w:szCs w:val="24"/>
              </w:rPr>
              <w:t>Prothromplex</w:t>
            </w:r>
            <w:proofErr w:type="spellEnd"/>
            <w:r w:rsidRPr="007C190E">
              <w:rPr>
                <w:sz w:val="24"/>
                <w:szCs w:val="24"/>
              </w:rPr>
              <w:t xml:space="preserve"> med det opløste produkt. </w:t>
            </w:r>
          </w:p>
          <w:p w14:paraId="3B044157" w14:textId="77777777" w:rsidR="00191E23" w:rsidRPr="007C190E" w:rsidRDefault="00191E23" w:rsidP="007C190E">
            <w:pPr>
              <w:numPr>
                <w:ilvl w:val="0"/>
                <w:numId w:val="15"/>
              </w:numPr>
              <w:tabs>
                <w:tab w:val="left" w:pos="18"/>
              </w:tabs>
              <w:autoSpaceDE w:val="0"/>
              <w:autoSpaceDN w:val="0"/>
              <w:adjustRightInd w:val="0"/>
              <w:rPr>
                <w:sz w:val="24"/>
                <w:szCs w:val="24"/>
              </w:rPr>
            </w:pPr>
            <w:r w:rsidRPr="007C190E">
              <w:rPr>
                <w:sz w:val="24"/>
                <w:szCs w:val="24"/>
              </w:rPr>
              <w:t xml:space="preserve">Sæt hætteglasset med </w:t>
            </w:r>
            <w:proofErr w:type="spellStart"/>
            <w:r w:rsidRPr="007C190E">
              <w:rPr>
                <w:sz w:val="24"/>
                <w:szCs w:val="24"/>
              </w:rPr>
              <w:t>Prothromplex</w:t>
            </w:r>
            <w:proofErr w:type="spellEnd"/>
            <w:r w:rsidRPr="007C190E">
              <w:rPr>
                <w:sz w:val="24"/>
                <w:szCs w:val="24"/>
              </w:rPr>
              <w:t xml:space="preserve"> på en plan arbejdsoverflade. Bortskaf det tomme hætteglas med solvens.</w:t>
            </w:r>
          </w:p>
        </w:tc>
        <w:tc>
          <w:tcPr>
            <w:tcW w:w="1669" w:type="pct"/>
            <w:tcBorders>
              <w:top w:val="single" w:sz="4" w:space="0" w:color="auto"/>
              <w:left w:val="single" w:sz="4" w:space="0" w:color="auto"/>
              <w:bottom w:val="nil"/>
              <w:right w:val="single" w:sz="4" w:space="0" w:color="auto"/>
            </w:tcBorders>
            <w:hideMark/>
          </w:tcPr>
          <w:p w14:paraId="2D4B761B" w14:textId="5E18B618" w:rsidR="00191E23" w:rsidRPr="007C190E" w:rsidRDefault="00191E23">
            <w:pPr>
              <w:tabs>
                <w:tab w:val="left" w:pos="567"/>
              </w:tabs>
              <w:spacing w:line="260" w:lineRule="exact"/>
              <w:rPr>
                <w:sz w:val="24"/>
                <w:szCs w:val="24"/>
              </w:rPr>
            </w:pPr>
            <w:r w:rsidRPr="007C190E">
              <w:rPr>
                <w:noProof/>
                <w:sz w:val="24"/>
                <w:szCs w:val="24"/>
              </w:rPr>
              <w:drawing>
                <wp:anchor distT="0" distB="0" distL="114300" distR="114300" simplePos="0" relativeHeight="251666432" behindDoc="0" locked="0" layoutInCell="1" allowOverlap="1" wp14:anchorId="35E92CBB" wp14:editId="52DF5DA7">
                  <wp:simplePos x="0" y="0"/>
                  <wp:positionH relativeFrom="margin">
                    <wp:posOffset>37465</wp:posOffset>
                  </wp:positionH>
                  <wp:positionV relativeFrom="margin">
                    <wp:posOffset>134620</wp:posOffset>
                  </wp:positionV>
                  <wp:extent cx="1733550" cy="1347470"/>
                  <wp:effectExtent l="0" t="0" r="0" b="5080"/>
                  <wp:wrapSquare wrapText="bothSides"/>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0" cy="1347470"/>
                          </a:xfrm>
                          <a:prstGeom prst="rect">
                            <a:avLst/>
                          </a:prstGeom>
                          <a:noFill/>
                        </pic:spPr>
                      </pic:pic>
                    </a:graphicData>
                  </a:graphic>
                  <wp14:sizeRelH relativeFrom="margin">
                    <wp14:pctWidth>0</wp14:pctWidth>
                  </wp14:sizeRelH>
                  <wp14:sizeRelV relativeFrom="margin">
                    <wp14:pctHeight>0</wp14:pctHeight>
                  </wp14:sizeRelV>
                </wp:anchor>
              </w:drawing>
            </w:r>
          </w:p>
        </w:tc>
      </w:tr>
      <w:tr w:rsidR="00191E23" w:rsidRPr="007C190E" w14:paraId="2A999E11" w14:textId="77777777" w:rsidTr="007C190E">
        <w:trPr>
          <w:trHeight w:val="2393"/>
        </w:trPr>
        <w:tc>
          <w:tcPr>
            <w:tcW w:w="242" w:type="pct"/>
            <w:tcBorders>
              <w:top w:val="single" w:sz="4" w:space="0" w:color="auto"/>
              <w:left w:val="single" w:sz="4" w:space="0" w:color="auto"/>
              <w:bottom w:val="single" w:sz="4" w:space="0" w:color="auto"/>
              <w:right w:val="single" w:sz="4" w:space="0" w:color="auto"/>
            </w:tcBorders>
            <w:hideMark/>
          </w:tcPr>
          <w:p w14:paraId="41097B78" w14:textId="77777777" w:rsidR="00191E23" w:rsidRPr="007C190E" w:rsidRDefault="00191E23">
            <w:pPr>
              <w:tabs>
                <w:tab w:val="left" w:pos="567"/>
              </w:tabs>
              <w:spacing w:line="260" w:lineRule="exact"/>
              <w:rPr>
                <w:sz w:val="24"/>
                <w:szCs w:val="24"/>
              </w:rPr>
            </w:pPr>
            <w:r w:rsidRPr="007C190E">
              <w:rPr>
                <w:sz w:val="24"/>
                <w:szCs w:val="24"/>
              </w:rPr>
              <w:t>8</w:t>
            </w:r>
          </w:p>
        </w:tc>
        <w:tc>
          <w:tcPr>
            <w:tcW w:w="3089" w:type="pct"/>
            <w:tcBorders>
              <w:top w:val="single" w:sz="4" w:space="0" w:color="auto"/>
              <w:left w:val="single" w:sz="4" w:space="0" w:color="auto"/>
              <w:bottom w:val="single" w:sz="4" w:space="0" w:color="auto"/>
              <w:right w:val="single" w:sz="4" w:space="0" w:color="auto"/>
            </w:tcBorders>
            <w:hideMark/>
          </w:tcPr>
          <w:p w14:paraId="23D291D9" w14:textId="77777777" w:rsidR="00191E23" w:rsidRPr="007C190E" w:rsidRDefault="00191E23" w:rsidP="007C190E">
            <w:pPr>
              <w:numPr>
                <w:ilvl w:val="0"/>
                <w:numId w:val="16"/>
              </w:numPr>
              <w:tabs>
                <w:tab w:val="left" w:pos="18"/>
              </w:tabs>
              <w:autoSpaceDE w:val="0"/>
              <w:autoSpaceDN w:val="0"/>
              <w:adjustRightInd w:val="0"/>
              <w:rPr>
                <w:sz w:val="24"/>
                <w:szCs w:val="24"/>
              </w:rPr>
            </w:pPr>
            <w:r w:rsidRPr="007C190E">
              <w:rPr>
                <w:sz w:val="24"/>
                <w:szCs w:val="24"/>
              </w:rPr>
              <w:t>Sug luft ind i en tom, steril engangsplastiksprøjte ved at trække stemplet tilbage.</w:t>
            </w:r>
          </w:p>
          <w:p w14:paraId="6031F0D8" w14:textId="77777777" w:rsidR="00191E23" w:rsidRPr="007C190E" w:rsidRDefault="00191E23" w:rsidP="007C190E">
            <w:pPr>
              <w:numPr>
                <w:ilvl w:val="0"/>
                <w:numId w:val="16"/>
              </w:numPr>
              <w:tabs>
                <w:tab w:val="left" w:pos="18"/>
              </w:tabs>
              <w:autoSpaceDE w:val="0"/>
              <w:autoSpaceDN w:val="0"/>
              <w:adjustRightInd w:val="0"/>
              <w:rPr>
                <w:sz w:val="24"/>
                <w:szCs w:val="24"/>
              </w:rPr>
            </w:pPr>
            <w:r w:rsidRPr="007C190E">
              <w:rPr>
                <w:sz w:val="24"/>
                <w:szCs w:val="24"/>
              </w:rPr>
              <w:t xml:space="preserve">Mængden af luft bør være den samme som mængden af </w:t>
            </w:r>
            <w:proofErr w:type="spellStart"/>
            <w:r w:rsidRPr="007C190E">
              <w:rPr>
                <w:sz w:val="24"/>
                <w:szCs w:val="24"/>
              </w:rPr>
              <w:t>rekonstitueret</w:t>
            </w:r>
            <w:proofErr w:type="spellEnd"/>
            <w:r w:rsidRPr="007C190E">
              <w:rPr>
                <w:sz w:val="24"/>
                <w:szCs w:val="24"/>
              </w:rPr>
              <w:t xml:space="preserve"> </w:t>
            </w:r>
            <w:proofErr w:type="spellStart"/>
            <w:r w:rsidRPr="007C190E">
              <w:rPr>
                <w:sz w:val="24"/>
                <w:szCs w:val="24"/>
              </w:rPr>
              <w:t>Prothromplex</w:t>
            </w:r>
            <w:proofErr w:type="spellEnd"/>
            <w:r w:rsidRPr="007C190E">
              <w:rPr>
                <w:sz w:val="24"/>
                <w:szCs w:val="24"/>
              </w:rPr>
              <w:t xml:space="preserve">, som der skal fjernes fra hætteglasset. </w:t>
            </w:r>
          </w:p>
        </w:tc>
        <w:tc>
          <w:tcPr>
            <w:tcW w:w="1669" w:type="pct"/>
            <w:tcBorders>
              <w:top w:val="single" w:sz="4" w:space="0" w:color="auto"/>
              <w:left w:val="single" w:sz="4" w:space="0" w:color="auto"/>
              <w:bottom w:val="single" w:sz="4" w:space="0" w:color="auto"/>
              <w:right w:val="single" w:sz="4" w:space="0" w:color="auto"/>
            </w:tcBorders>
            <w:hideMark/>
          </w:tcPr>
          <w:p w14:paraId="76F18574" w14:textId="6A67DA2D" w:rsidR="00191E23" w:rsidRPr="007C190E" w:rsidRDefault="00191E23">
            <w:pPr>
              <w:tabs>
                <w:tab w:val="left" w:pos="567"/>
              </w:tabs>
              <w:spacing w:line="260" w:lineRule="exact"/>
              <w:rPr>
                <w:sz w:val="24"/>
                <w:szCs w:val="24"/>
              </w:rPr>
            </w:pPr>
            <w:r w:rsidRPr="007C190E">
              <w:rPr>
                <w:noProof/>
                <w:sz w:val="24"/>
                <w:szCs w:val="24"/>
              </w:rPr>
              <w:drawing>
                <wp:anchor distT="0" distB="0" distL="114300" distR="114300" simplePos="0" relativeHeight="251667456" behindDoc="0" locked="0" layoutInCell="1" allowOverlap="1" wp14:anchorId="4D65C046" wp14:editId="6D9AE59E">
                  <wp:simplePos x="0" y="0"/>
                  <wp:positionH relativeFrom="margin">
                    <wp:posOffset>28575</wp:posOffset>
                  </wp:positionH>
                  <wp:positionV relativeFrom="margin">
                    <wp:posOffset>83185</wp:posOffset>
                  </wp:positionV>
                  <wp:extent cx="1769110" cy="1334135"/>
                  <wp:effectExtent l="0" t="0" r="2540" b="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9110" cy="1334135"/>
                          </a:xfrm>
                          <a:prstGeom prst="rect">
                            <a:avLst/>
                          </a:prstGeom>
                          <a:noFill/>
                        </pic:spPr>
                      </pic:pic>
                    </a:graphicData>
                  </a:graphic>
                  <wp14:sizeRelH relativeFrom="page">
                    <wp14:pctWidth>0</wp14:pctWidth>
                  </wp14:sizeRelH>
                  <wp14:sizeRelV relativeFrom="page">
                    <wp14:pctHeight>0</wp14:pctHeight>
                  </wp14:sizeRelV>
                </wp:anchor>
              </w:drawing>
            </w:r>
          </w:p>
        </w:tc>
      </w:tr>
      <w:tr w:rsidR="00191E23" w:rsidRPr="007C190E" w14:paraId="3ED58506" w14:textId="77777777" w:rsidTr="007C190E">
        <w:tc>
          <w:tcPr>
            <w:tcW w:w="242" w:type="pct"/>
            <w:tcBorders>
              <w:top w:val="single" w:sz="4" w:space="0" w:color="auto"/>
              <w:left w:val="single" w:sz="4" w:space="0" w:color="auto"/>
              <w:bottom w:val="single" w:sz="4" w:space="0" w:color="auto"/>
              <w:right w:val="single" w:sz="4" w:space="0" w:color="auto"/>
            </w:tcBorders>
            <w:hideMark/>
          </w:tcPr>
          <w:p w14:paraId="6251AD71" w14:textId="77777777" w:rsidR="00191E23" w:rsidRPr="007C190E" w:rsidRDefault="00191E23">
            <w:pPr>
              <w:tabs>
                <w:tab w:val="left" w:pos="567"/>
              </w:tabs>
              <w:spacing w:line="260" w:lineRule="exact"/>
              <w:rPr>
                <w:sz w:val="24"/>
                <w:szCs w:val="24"/>
              </w:rPr>
            </w:pPr>
            <w:r w:rsidRPr="007C190E">
              <w:rPr>
                <w:sz w:val="24"/>
                <w:szCs w:val="24"/>
              </w:rPr>
              <w:t>9</w:t>
            </w:r>
          </w:p>
        </w:tc>
        <w:tc>
          <w:tcPr>
            <w:tcW w:w="3089" w:type="pct"/>
            <w:tcBorders>
              <w:top w:val="single" w:sz="4" w:space="0" w:color="auto"/>
              <w:left w:val="single" w:sz="4" w:space="0" w:color="auto"/>
              <w:bottom w:val="single" w:sz="4" w:space="0" w:color="auto"/>
              <w:right w:val="single" w:sz="4" w:space="0" w:color="auto"/>
            </w:tcBorders>
            <w:hideMark/>
          </w:tcPr>
          <w:p w14:paraId="7277BBE3" w14:textId="77777777" w:rsidR="00191E23" w:rsidRPr="007C190E" w:rsidRDefault="00191E23" w:rsidP="007C190E">
            <w:pPr>
              <w:numPr>
                <w:ilvl w:val="0"/>
                <w:numId w:val="17"/>
              </w:numPr>
              <w:tabs>
                <w:tab w:val="left" w:pos="0"/>
              </w:tabs>
              <w:autoSpaceDE w:val="0"/>
              <w:autoSpaceDN w:val="0"/>
              <w:adjustRightInd w:val="0"/>
              <w:rPr>
                <w:sz w:val="24"/>
                <w:szCs w:val="24"/>
              </w:rPr>
            </w:pPr>
            <w:r w:rsidRPr="007C190E">
              <w:rPr>
                <w:sz w:val="24"/>
                <w:szCs w:val="24"/>
              </w:rPr>
              <w:t xml:space="preserve">Lad hætteglasset med </w:t>
            </w:r>
            <w:proofErr w:type="spellStart"/>
            <w:r w:rsidRPr="007C190E">
              <w:rPr>
                <w:sz w:val="24"/>
                <w:szCs w:val="24"/>
              </w:rPr>
              <w:t>Prothromplex</w:t>
            </w:r>
            <w:proofErr w:type="spellEnd"/>
            <w:r w:rsidRPr="007C190E">
              <w:rPr>
                <w:sz w:val="24"/>
                <w:szCs w:val="24"/>
              </w:rPr>
              <w:t xml:space="preserve"> (med det genopløste produkt) stå på den plane arbejdsoverflade, sæt sprøjten ned i den gennemsigtige plastikforbindelse og drej sprøjten med uret.</w:t>
            </w:r>
          </w:p>
        </w:tc>
        <w:tc>
          <w:tcPr>
            <w:tcW w:w="1669" w:type="pct"/>
            <w:tcBorders>
              <w:top w:val="single" w:sz="4" w:space="0" w:color="auto"/>
              <w:left w:val="single" w:sz="4" w:space="0" w:color="auto"/>
              <w:bottom w:val="single" w:sz="4" w:space="0" w:color="auto"/>
              <w:right w:val="single" w:sz="4" w:space="0" w:color="auto"/>
            </w:tcBorders>
            <w:hideMark/>
          </w:tcPr>
          <w:p w14:paraId="766FEC9F" w14:textId="38476027" w:rsidR="00191E23" w:rsidRPr="007C190E" w:rsidRDefault="00191E23">
            <w:pPr>
              <w:tabs>
                <w:tab w:val="left" w:pos="567"/>
              </w:tabs>
              <w:spacing w:line="260" w:lineRule="exact"/>
              <w:rPr>
                <w:sz w:val="24"/>
                <w:szCs w:val="24"/>
              </w:rPr>
            </w:pPr>
            <w:r w:rsidRPr="007C190E">
              <w:rPr>
                <w:noProof/>
                <w:sz w:val="24"/>
                <w:szCs w:val="24"/>
              </w:rPr>
              <w:drawing>
                <wp:anchor distT="0" distB="0" distL="114300" distR="114300" simplePos="0" relativeHeight="251668480" behindDoc="0" locked="0" layoutInCell="1" allowOverlap="1" wp14:anchorId="538E1C10" wp14:editId="1A2FD692">
                  <wp:simplePos x="0" y="0"/>
                  <wp:positionH relativeFrom="margin">
                    <wp:posOffset>3175</wp:posOffset>
                  </wp:positionH>
                  <wp:positionV relativeFrom="margin">
                    <wp:posOffset>95250</wp:posOffset>
                  </wp:positionV>
                  <wp:extent cx="1810385" cy="1371600"/>
                  <wp:effectExtent l="0" t="0" r="0"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0385" cy="1371600"/>
                          </a:xfrm>
                          <a:prstGeom prst="rect">
                            <a:avLst/>
                          </a:prstGeom>
                          <a:noFill/>
                        </pic:spPr>
                      </pic:pic>
                    </a:graphicData>
                  </a:graphic>
                  <wp14:sizeRelH relativeFrom="page">
                    <wp14:pctWidth>0</wp14:pctWidth>
                  </wp14:sizeRelH>
                  <wp14:sizeRelV relativeFrom="page">
                    <wp14:pctHeight>0</wp14:pctHeight>
                  </wp14:sizeRelV>
                </wp:anchor>
              </w:drawing>
            </w:r>
          </w:p>
        </w:tc>
      </w:tr>
      <w:tr w:rsidR="00191E23" w:rsidRPr="007C190E" w14:paraId="378CB4AE" w14:textId="77777777" w:rsidTr="007C190E">
        <w:tc>
          <w:tcPr>
            <w:tcW w:w="242" w:type="pct"/>
            <w:tcBorders>
              <w:top w:val="single" w:sz="4" w:space="0" w:color="auto"/>
              <w:left w:val="single" w:sz="4" w:space="0" w:color="auto"/>
              <w:bottom w:val="single" w:sz="4" w:space="0" w:color="auto"/>
              <w:right w:val="single" w:sz="4" w:space="0" w:color="auto"/>
            </w:tcBorders>
            <w:hideMark/>
          </w:tcPr>
          <w:p w14:paraId="205D1B5C" w14:textId="77777777" w:rsidR="00191E23" w:rsidRPr="007C190E" w:rsidRDefault="00191E23">
            <w:pPr>
              <w:tabs>
                <w:tab w:val="left" w:pos="567"/>
              </w:tabs>
              <w:spacing w:line="260" w:lineRule="exact"/>
              <w:rPr>
                <w:sz w:val="24"/>
                <w:szCs w:val="24"/>
              </w:rPr>
            </w:pPr>
            <w:r w:rsidRPr="007C190E">
              <w:rPr>
                <w:sz w:val="24"/>
                <w:szCs w:val="24"/>
              </w:rPr>
              <w:t>10</w:t>
            </w:r>
          </w:p>
        </w:tc>
        <w:tc>
          <w:tcPr>
            <w:tcW w:w="3089" w:type="pct"/>
            <w:tcBorders>
              <w:top w:val="single" w:sz="4" w:space="0" w:color="auto"/>
              <w:left w:val="single" w:sz="4" w:space="0" w:color="auto"/>
              <w:bottom w:val="single" w:sz="4" w:space="0" w:color="auto"/>
              <w:right w:val="single" w:sz="4" w:space="0" w:color="auto"/>
            </w:tcBorders>
            <w:hideMark/>
          </w:tcPr>
          <w:p w14:paraId="2EEF6CA5" w14:textId="77777777" w:rsidR="00191E23" w:rsidRPr="007C190E" w:rsidRDefault="00191E23" w:rsidP="007C190E">
            <w:pPr>
              <w:numPr>
                <w:ilvl w:val="0"/>
                <w:numId w:val="17"/>
              </w:numPr>
              <w:tabs>
                <w:tab w:val="left" w:pos="0"/>
              </w:tabs>
              <w:autoSpaceDE w:val="0"/>
              <w:autoSpaceDN w:val="0"/>
              <w:adjustRightInd w:val="0"/>
              <w:rPr>
                <w:sz w:val="24"/>
                <w:szCs w:val="24"/>
              </w:rPr>
            </w:pPr>
            <w:r w:rsidRPr="007C190E">
              <w:rPr>
                <w:sz w:val="24"/>
                <w:szCs w:val="24"/>
              </w:rPr>
              <w:t>Hold hætteglasset med den ene hånd, og brug den anden hånd til at trække al luften ud af sprøjten og ind i hætteglasset.</w:t>
            </w:r>
          </w:p>
        </w:tc>
        <w:tc>
          <w:tcPr>
            <w:tcW w:w="1669" w:type="pct"/>
            <w:tcBorders>
              <w:top w:val="single" w:sz="4" w:space="0" w:color="auto"/>
              <w:left w:val="single" w:sz="4" w:space="0" w:color="auto"/>
              <w:bottom w:val="single" w:sz="4" w:space="0" w:color="auto"/>
              <w:right w:val="single" w:sz="4" w:space="0" w:color="auto"/>
            </w:tcBorders>
            <w:hideMark/>
          </w:tcPr>
          <w:p w14:paraId="3227AFB6" w14:textId="327292BA" w:rsidR="00191E23" w:rsidRPr="007C190E" w:rsidRDefault="00191E23">
            <w:pPr>
              <w:tabs>
                <w:tab w:val="left" w:pos="567"/>
              </w:tabs>
              <w:spacing w:line="260" w:lineRule="exact"/>
              <w:rPr>
                <w:sz w:val="24"/>
                <w:szCs w:val="24"/>
              </w:rPr>
            </w:pPr>
            <w:r w:rsidRPr="007C190E">
              <w:rPr>
                <w:noProof/>
                <w:sz w:val="24"/>
                <w:szCs w:val="24"/>
              </w:rPr>
              <w:drawing>
                <wp:anchor distT="0" distB="0" distL="114300" distR="114300" simplePos="0" relativeHeight="251669504" behindDoc="0" locked="0" layoutInCell="1" allowOverlap="1" wp14:anchorId="0DD77B77" wp14:editId="549D527E">
                  <wp:simplePos x="0" y="0"/>
                  <wp:positionH relativeFrom="margin">
                    <wp:posOffset>15240</wp:posOffset>
                  </wp:positionH>
                  <wp:positionV relativeFrom="margin">
                    <wp:posOffset>106680</wp:posOffset>
                  </wp:positionV>
                  <wp:extent cx="1798955" cy="1400810"/>
                  <wp:effectExtent l="0" t="0" r="0" b="889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8955" cy="1400810"/>
                          </a:xfrm>
                          <a:prstGeom prst="rect">
                            <a:avLst/>
                          </a:prstGeom>
                          <a:noFill/>
                        </pic:spPr>
                      </pic:pic>
                    </a:graphicData>
                  </a:graphic>
                  <wp14:sizeRelH relativeFrom="page">
                    <wp14:pctWidth>0</wp14:pctWidth>
                  </wp14:sizeRelH>
                  <wp14:sizeRelV relativeFrom="page">
                    <wp14:pctHeight>0</wp14:pctHeight>
                  </wp14:sizeRelV>
                </wp:anchor>
              </w:drawing>
            </w:r>
          </w:p>
        </w:tc>
      </w:tr>
      <w:tr w:rsidR="00191E23" w:rsidRPr="007C190E" w14:paraId="76BF90AB" w14:textId="77777777" w:rsidTr="007C190E">
        <w:tc>
          <w:tcPr>
            <w:tcW w:w="242" w:type="pct"/>
            <w:tcBorders>
              <w:top w:val="single" w:sz="4" w:space="0" w:color="auto"/>
              <w:left w:val="single" w:sz="4" w:space="0" w:color="auto"/>
              <w:bottom w:val="single" w:sz="4" w:space="0" w:color="auto"/>
              <w:right w:val="single" w:sz="4" w:space="0" w:color="auto"/>
            </w:tcBorders>
            <w:hideMark/>
          </w:tcPr>
          <w:p w14:paraId="2BFC4FB4" w14:textId="77777777" w:rsidR="00191E23" w:rsidRPr="007C190E" w:rsidRDefault="00191E23">
            <w:pPr>
              <w:tabs>
                <w:tab w:val="left" w:pos="567"/>
              </w:tabs>
              <w:spacing w:line="260" w:lineRule="exact"/>
              <w:rPr>
                <w:sz w:val="24"/>
                <w:szCs w:val="24"/>
              </w:rPr>
            </w:pPr>
            <w:r w:rsidRPr="007C190E">
              <w:rPr>
                <w:sz w:val="24"/>
                <w:szCs w:val="24"/>
              </w:rPr>
              <w:t>11</w:t>
            </w:r>
          </w:p>
        </w:tc>
        <w:tc>
          <w:tcPr>
            <w:tcW w:w="3089" w:type="pct"/>
            <w:tcBorders>
              <w:top w:val="single" w:sz="4" w:space="0" w:color="auto"/>
              <w:left w:val="single" w:sz="4" w:space="0" w:color="auto"/>
              <w:bottom w:val="single" w:sz="4" w:space="0" w:color="auto"/>
              <w:right w:val="single" w:sz="4" w:space="0" w:color="auto"/>
            </w:tcBorders>
            <w:hideMark/>
          </w:tcPr>
          <w:p w14:paraId="098A73BA" w14:textId="77777777" w:rsidR="00191E23" w:rsidRPr="007C190E" w:rsidRDefault="00191E23" w:rsidP="007C190E">
            <w:pPr>
              <w:numPr>
                <w:ilvl w:val="0"/>
                <w:numId w:val="17"/>
              </w:numPr>
              <w:tabs>
                <w:tab w:val="left" w:pos="0"/>
              </w:tabs>
              <w:autoSpaceDE w:val="0"/>
              <w:autoSpaceDN w:val="0"/>
              <w:adjustRightInd w:val="0"/>
              <w:rPr>
                <w:sz w:val="24"/>
                <w:szCs w:val="24"/>
              </w:rPr>
            </w:pPr>
            <w:r w:rsidRPr="007C190E">
              <w:rPr>
                <w:sz w:val="24"/>
                <w:szCs w:val="24"/>
              </w:rPr>
              <w:t xml:space="preserve">Vend sprøjte og </w:t>
            </w:r>
            <w:proofErr w:type="spellStart"/>
            <w:r w:rsidRPr="007C190E">
              <w:rPr>
                <w:sz w:val="24"/>
                <w:szCs w:val="24"/>
              </w:rPr>
              <w:t>Prothromplex</w:t>
            </w:r>
            <w:proofErr w:type="spellEnd"/>
            <w:r w:rsidRPr="007C190E">
              <w:rPr>
                <w:sz w:val="24"/>
                <w:szCs w:val="24"/>
              </w:rPr>
              <w:t xml:space="preserve">-hætteglas om, så hætteglasset er øverst. Sørg for at holde sprøjtens stempel trykket ned. Træk </w:t>
            </w:r>
            <w:proofErr w:type="spellStart"/>
            <w:r w:rsidRPr="007C190E">
              <w:rPr>
                <w:sz w:val="24"/>
                <w:szCs w:val="24"/>
              </w:rPr>
              <w:t>Prothromplex</w:t>
            </w:r>
            <w:proofErr w:type="spellEnd"/>
            <w:r w:rsidRPr="007C190E">
              <w:rPr>
                <w:sz w:val="24"/>
                <w:szCs w:val="24"/>
              </w:rPr>
              <w:t xml:space="preserve"> ind i sprøjten ved at trække stemplet langsomt tilbage.</w:t>
            </w:r>
          </w:p>
          <w:p w14:paraId="1F86570D" w14:textId="77777777" w:rsidR="00191E23" w:rsidRPr="007C190E" w:rsidRDefault="00191E23" w:rsidP="007C190E">
            <w:pPr>
              <w:numPr>
                <w:ilvl w:val="0"/>
                <w:numId w:val="17"/>
              </w:numPr>
              <w:tabs>
                <w:tab w:val="left" w:pos="0"/>
              </w:tabs>
              <w:autoSpaceDE w:val="0"/>
              <w:autoSpaceDN w:val="0"/>
              <w:adjustRightInd w:val="0"/>
              <w:rPr>
                <w:sz w:val="24"/>
                <w:szCs w:val="24"/>
              </w:rPr>
            </w:pPr>
            <w:r w:rsidRPr="007C190E">
              <w:rPr>
                <w:sz w:val="24"/>
                <w:szCs w:val="24"/>
              </w:rPr>
              <w:t>Opløsningen må ikke trækkes og skubbes frem og tilbage mellem sprøjte og hætteglas, da dette kan beskadige lægemidlet.</w:t>
            </w:r>
          </w:p>
        </w:tc>
        <w:tc>
          <w:tcPr>
            <w:tcW w:w="1669" w:type="pct"/>
            <w:tcBorders>
              <w:top w:val="single" w:sz="4" w:space="0" w:color="auto"/>
              <w:left w:val="single" w:sz="4" w:space="0" w:color="auto"/>
              <w:bottom w:val="single" w:sz="4" w:space="0" w:color="auto"/>
              <w:right w:val="single" w:sz="4" w:space="0" w:color="auto"/>
            </w:tcBorders>
            <w:hideMark/>
          </w:tcPr>
          <w:p w14:paraId="7FC65533" w14:textId="074449F2" w:rsidR="00191E23" w:rsidRPr="007C190E" w:rsidRDefault="00191E23">
            <w:pPr>
              <w:tabs>
                <w:tab w:val="left" w:pos="567"/>
              </w:tabs>
              <w:spacing w:line="260" w:lineRule="exact"/>
              <w:rPr>
                <w:sz w:val="24"/>
                <w:szCs w:val="24"/>
              </w:rPr>
            </w:pPr>
            <w:r w:rsidRPr="007C190E">
              <w:rPr>
                <w:noProof/>
                <w:sz w:val="24"/>
                <w:szCs w:val="24"/>
              </w:rPr>
              <w:drawing>
                <wp:anchor distT="0" distB="0" distL="114300" distR="114300" simplePos="0" relativeHeight="251670528" behindDoc="0" locked="0" layoutInCell="1" allowOverlap="1" wp14:anchorId="1EA83C0E" wp14:editId="3FB11375">
                  <wp:simplePos x="0" y="0"/>
                  <wp:positionH relativeFrom="margin">
                    <wp:posOffset>3810</wp:posOffset>
                  </wp:positionH>
                  <wp:positionV relativeFrom="margin">
                    <wp:posOffset>95250</wp:posOffset>
                  </wp:positionV>
                  <wp:extent cx="1810385" cy="143637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0385" cy="1436370"/>
                          </a:xfrm>
                          <a:prstGeom prst="rect">
                            <a:avLst/>
                          </a:prstGeom>
                          <a:noFill/>
                        </pic:spPr>
                      </pic:pic>
                    </a:graphicData>
                  </a:graphic>
                  <wp14:sizeRelH relativeFrom="page">
                    <wp14:pctWidth>0</wp14:pctWidth>
                  </wp14:sizeRelH>
                  <wp14:sizeRelV relativeFrom="page">
                    <wp14:pctHeight>0</wp14:pctHeight>
                  </wp14:sizeRelV>
                </wp:anchor>
              </w:drawing>
            </w:r>
          </w:p>
        </w:tc>
      </w:tr>
      <w:tr w:rsidR="00191E23" w:rsidRPr="007C190E" w14:paraId="2739670A" w14:textId="77777777" w:rsidTr="007C190E">
        <w:tc>
          <w:tcPr>
            <w:tcW w:w="242" w:type="pct"/>
            <w:tcBorders>
              <w:top w:val="single" w:sz="4" w:space="0" w:color="auto"/>
              <w:left w:val="single" w:sz="4" w:space="0" w:color="auto"/>
              <w:bottom w:val="single" w:sz="4" w:space="0" w:color="auto"/>
              <w:right w:val="single" w:sz="4" w:space="0" w:color="auto"/>
            </w:tcBorders>
            <w:hideMark/>
          </w:tcPr>
          <w:p w14:paraId="2E1DD5CD" w14:textId="77777777" w:rsidR="00191E23" w:rsidRPr="007C190E" w:rsidRDefault="00191E23">
            <w:pPr>
              <w:tabs>
                <w:tab w:val="left" w:pos="567"/>
              </w:tabs>
              <w:spacing w:line="260" w:lineRule="exact"/>
              <w:rPr>
                <w:sz w:val="24"/>
                <w:szCs w:val="24"/>
              </w:rPr>
            </w:pPr>
            <w:r w:rsidRPr="007C190E">
              <w:rPr>
                <w:sz w:val="24"/>
                <w:szCs w:val="24"/>
              </w:rPr>
              <w:lastRenderedPageBreak/>
              <w:t>12</w:t>
            </w:r>
          </w:p>
        </w:tc>
        <w:tc>
          <w:tcPr>
            <w:tcW w:w="3089" w:type="pct"/>
            <w:tcBorders>
              <w:top w:val="single" w:sz="4" w:space="0" w:color="auto"/>
              <w:left w:val="single" w:sz="4" w:space="0" w:color="auto"/>
              <w:bottom w:val="single" w:sz="4" w:space="0" w:color="auto"/>
              <w:right w:val="single" w:sz="4" w:space="0" w:color="auto"/>
            </w:tcBorders>
            <w:hideMark/>
          </w:tcPr>
          <w:p w14:paraId="499FDFAE" w14:textId="77777777" w:rsidR="00191E23" w:rsidRPr="007C190E" w:rsidRDefault="00191E23" w:rsidP="007C190E">
            <w:pPr>
              <w:numPr>
                <w:ilvl w:val="0"/>
                <w:numId w:val="18"/>
              </w:numPr>
              <w:tabs>
                <w:tab w:val="left" w:pos="18"/>
              </w:tabs>
              <w:autoSpaceDE w:val="0"/>
              <w:autoSpaceDN w:val="0"/>
              <w:adjustRightInd w:val="0"/>
              <w:rPr>
                <w:sz w:val="24"/>
                <w:szCs w:val="24"/>
              </w:rPr>
            </w:pPr>
            <w:r w:rsidRPr="007C190E">
              <w:rPr>
                <w:sz w:val="24"/>
                <w:szCs w:val="24"/>
              </w:rPr>
              <w:t>Når injektionen er klar tages sprøjten af ved at dreje den mod uret. Kontroller sprøjten for partikler; opløsningen skal være klar og en anelse opaliserende.</w:t>
            </w:r>
          </w:p>
          <w:p w14:paraId="1554F79F" w14:textId="77777777" w:rsidR="00191E23" w:rsidRPr="007C190E" w:rsidRDefault="00191E23" w:rsidP="007C190E">
            <w:pPr>
              <w:numPr>
                <w:ilvl w:val="0"/>
                <w:numId w:val="18"/>
              </w:numPr>
              <w:tabs>
                <w:tab w:val="left" w:pos="18"/>
              </w:tabs>
              <w:autoSpaceDE w:val="0"/>
              <w:autoSpaceDN w:val="0"/>
              <w:adjustRightInd w:val="0"/>
              <w:rPr>
                <w:sz w:val="24"/>
                <w:szCs w:val="24"/>
              </w:rPr>
            </w:pPr>
            <w:r w:rsidRPr="007C190E">
              <w:rPr>
                <w:sz w:val="24"/>
                <w:szCs w:val="24"/>
              </w:rPr>
              <w:t>Hvis opløsningen er uklar eller indeholder partikler må den ikke bruges.</w:t>
            </w:r>
          </w:p>
        </w:tc>
        <w:tc>
          <w:tcPr>
            <w:tcW w:w="1669" w:type="pct"/>
            <w:tcBorders>
              <w:top w:val="single" w:sz="4" w:space="0" w:color="auto"/>
              <w:left w:val="single" w:sz="4" w:space="0" w:color="auto"/>
              <w:bottom w:val="single" w:sz="4" w:space="0" w:color="auto"/>
              <w:right w:val="single" w:sz="4" w:space="0" w:color="auto"/>
            </w:tcBorders>
            <w:hideMark/>
          </w:tcPr>
          <w:p w14:paraId="77AC4754" w14:textId="382ACB3D" w:rsidR="00191E23" w:rsidRPr="007C190E" w:rsidRDefault="00191E23">
            <w:pPr>
              <w:tabs>
                <w:tab w:val="left" w:pos="567"/>
              </w:tabs>
              <w:spacing w:line="260" w:lineRule="exact"/>
              <w:rPr>
                <w:sz w:val="24"/>
                <w:szCs w:val="24"/>
              </w:rPr>
            </w:pPr>
            <w:r w:rsidRPr="007C190E">
              <w:rPr>
                <w:noProof/>
                <w:sz w:val="24"/>
                <w:szCs w:val="24"/>
              </w:rPr>
              <w:drawing>
                <wp:anchor distT="0" distB="0" distL="114300" distR="114300" simplePos="0" relativeHeight="251671552" behindDoc="0" locked="0" layoutInCell="1" allowOverlap="1" wp14:anchorId="3714A4ED" wp14:editId="643DF69D">
                  <wp:simplePos x="0" y="0"/>
                  <wp:positionH relativeFrom="margin">
                    <wp:posOffset>15240</wp:posOffset>
                  </wp:positionH>
                  <wp:positionV relativeFrom="margin">
                    <wp:posOffset>95250</wp:posOffset>
                  </wp:positionV>
                  <wp:extent cx="1809750" cy="1367155"/>
                  <wp:effectExtent l="0" t="0" r="0" b="4445"/>
                  <wp:wrapSquare wrapText="bothSides"/>
                  <wp:docPr id="2" name="Billed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0" cy="1367155"/>
                          </a:xfrm>
                          <a:prstGeom prst="rect">
                            <a:avLst/>
                          </a:prstGeom>
                          <a:noFill/>
                        </pic:spPr>
                      </pic:pic>
                    </a:graphicData>
                  </a:graphic>
                  <wp14:sizeRelH relativeFrom="page">
                    <wp14:pctWidth>0</wp14:pctWidth>
                  </wp14:sizeRelH>
                  <wp14:sizeRelV relativeFrom="page">
                    <wp14:pctHeight>0</wp14:pctHeight>
                  </wp14:sizeRelV>
                </wp:anchor>
              </w:drawing>
            </w:r>
          </w:p>
        </w:tc>
      </w:tr>
    </w:tbl>
    <w:p w14:paraId="6032B87B" w14:textId="77777777" w:rsidR="00191E23" w:rsidRPr="007C190E" w:rsidRDefault="00191E23" w:rsidP="00191E23">
      <w:pPr>
        <w:rPr>
          <w:sz w:val="24"/>
          <w:szCs w:val="24"/>
        </w:rPr>
      </w:pPr>
    </w:p>
    <w:p w14:paraId="14DC3C53" w14:textId="77777777" w:rsidR="00191E23" w:rsidRPr="007C190E" w:rsidRDefault="00191E23" w:rsidP="007C190E">
      <w:pPr>
        <w:ind w:left="851"/>
        <w:rPr>
          <w:sz w:val="24"/>
          <w:szCs w:val="24"/>
          <w:u w:val="single"/>
        </w:rPr>
      </w:pPr>
      <w:r w:rsidRPr="007C190E">
        <w:rPr>
          <w:sz w:val="24"/>
          <w:szCs w:val="24"/>
          <w:u w:val="single"/>
        </w:rPr>
        <w:t>Instruktioner for injektion</w:t>
      </w:r>
    </w:p>
    <w:p w14:paraId="6002F65F" w14:textId="77777777" w:rsidR="00191E23" w:rsidRPr="007C190E" w:rsidRDefault="00191E23" w:rsidP="007C190E">
      <w:pPr>
        <w:ind w:left="851"/>
        <w:rPr>
          <w:sz w:val="24"/>
          <w:szCs w:val="24"/>
        </w:rPr>
      </w:pPr>
    </w:p>
    <w:p w14:paraId="6CB27985" w14:textId="5C4CBBCB" w:rsidR="00191E23" w:rsidRPr="007C190E" w:rsidRDefault="00191E23" w:rsidP="007D202E">
      <w:pPr>
        <w:tabs>
          <w:tab w:val="left" w:pos="1260"/>
        </w:tabs>
        <w:autoSpaceDE w:val="0"/>
        <w:autoSpaceDN w:val="0"/>
        <w:adjustRightInd w:val="0"/>
        <w:ind w:left="846"/>
        <w:rPr>
          <w:sz w:val="24"/>
          <w:szCs w:val="24"/>
          <w:lang w:eastAsia="en-GB"/>
        </w:rPr>
      </w:pPr>
      <w:r w:rsidRPr="007C190E">
        <w:rPr>
          <w:color w:val="000000"/>
          <w:sz w:val="24"/>
          <w:szCs w:val="24"/>
          <w:lang w:eastAsia="en-GB"/>
        </w:rPr>
        <w:t>Inden injektion bør den forberedte opløsning i sprøjten kontrolleres visuelt for partikler og misfarvning (opløsningen bør være klar, ufarvet og uden partikler). Filteret i Mix2Vial fjerner partiklerne fuldstændigt. Filtrering har ingen indflydelse på doserings</w:t>
      </w:r>
      <w:r w:rsidR="007D202E">
        <w:rPr>
          <w:color w:val="000000"/>
          <w:sz w:val="24"/>
          <w:szCs w:val="24"/>
          <w:lang w:eastAsia="en-GB"/>
        </w:rPr>
        <w:softHyphen/>
      </w:r>
      <w:r w:rsidRPr="007C190E">
        <w:rPr>
          <w:color w:val="000000"/>
          <w:sz w:val="24"/>
          <w:szCs w:val="24"/>
          <w:lang w:eastAsia="en-GB"/>
        </w:rPr>
        <w:t>beregningerne.</w:t>
      </w:r>
      <w:r w:rsidRPr="007C190E">
        <w:rPr>
          <w:sz w:val="24"/>
          <w:szCs w:val="24"/>
          <w:lang w:eastAsia="en-GB"/>
        </w:rPr>
        <w:t xml:space="preserve"> </w:t>
      </w:r>
      <w:r w:rsidRPr="007C190E">
        <w:rPr>
          <w:b/>
          <w:bCs/>
          <w:sz w:val="24"/>
          <w:szCs w:val="24"/>
          <w:lang w:eastAsia="en-GB"/>
        </w:rPr>
        <w:t xml:space="preserve">Opløsningen i sprøjten </w:t>
      </w:r>
      <w:r w:rsidRPr="007C190E">
        <w:rPr>
          <w:sz w:val="24"/>
          <w:szCs w:val="24"/>
          <w:lang w:eastAsia="en-GB"/>
        </w:rPr>
        <w:t>må ikke bruges, hvis den er uklar eller indeholder flager eller partikler efter filtrering.</w:t>
      </w:r>
    </w:p>
    <w:p w14:paraId="15ECC972" w14:textId="77777777" w:rsidR="00191E23" w:rsidRPr="007C190E" w:rsidRDefault="00191E23" w:rsidP="007D202E">
      <w:pPr>
        <w:tabs>
          <w:tab w:val="left" w:pos="1260"/>
        </w:tabs>
        <w:autoSpaceDE w:val="0"/>
        <w:autoSpaceDN w:val="0"/>
        <w:adjustRightInd w:val="0"/>
        <w:ind w:left="846"/>
        <w:rPr>
          <w:color w:val="000000"/>
          <w:sz w:val="24"/>
          <w:szCs w:val="24"/>
          <w:lang w:eastAsia="en-GB"/>
        </w:rPr>
      </w:pPr>
    </w:p>
    <w:p w14:paraId="37F8E412" w14:textId="77777777" w:rsidR="00191E23" w:rsidRPr="007C190E" w:rsidRDefault="00191E23" w:rsidP="007D202E">
      <w:pPr>
        <w:numPr>
          <w:ilvl w:val="0"/>
          <w:numId w:val="19"/>
        </w:numPr>
        <w:autoSpaceDE w:val="0"/>
        <w:autoSpaceDN w:val="0"/>
        <w:adjustRightInd w:val="0"/>
        <w:ind w:left="1276" w:hanging="425"/>
        <w:rPr>
          <w:color w:val="000000"/>
          <w:sz w:val="24"/>
          <w:szCs w:val="24"/>
          <w:lang w:eastAsia="en-GB"/>
        </w:rPr>
      </w:pPr>
      <w:r w:rsidRPr="007C190E">
        <w:rPr>
          <w:color w:val="000000"/>
          <w:sz w:val="24"/>
          <w:szCs w:val="24"/>
          <w:lang w:eastAsia="en-GB"/>
        </w:rPr>
        <w:t xml:space="preserve">Infusionsnålen fastsættes på en sprøjte, som indeholder </w:t>
      </w:r>
      <w:proofErr w:type="spellStart"/>
      <w:r w:rsidRPr="007C190E">
        <w:rPr>
          <w:color w:val="000000"/>
          <w:sz w:val="24"/>
          <w:szCs w:val="24"/>
          <w:lang w:eastAsia="en-GB"/>
        </w:rPr>
        <w:t>Prothromplex</w:t>
      </w:r>
      <w:proofErr w:type="spellEnd"/>
      <w:r w:rsidRPr="007C190E">
        <w:rPr>
          <w:color w:val="000000"/>
          <w:sz w:val="24"/>
          <w:szCs w:val="24"/>
          <w:lang w:eastAsia="en-GB"/>
        </w:rPr>
        <w:t>-opløsningen. Der anbefales en Butterflynål for komfort. Ret nålen opad og fjern evt. luftbobler ved at banke forsigtigt på den med fingeren, og trykke luften langsomt og forsigtigt ud af sprøjte og nål.</w:t>
      </w:r>
    </w:p>
    <w:p w14:paraId="62524F38" w14:textId="77777777" w:rsidR="00191E23" w:rsidRPr="007C190E" w:rsidRDefault="00191E23" w:rsidP="007D202E">
      <w:pPr>
        <w:numPr>
          <w:ilvl w:val="0"/>
          <w:numId w:val="19"/>
        </w:numPr>
        <w:autoSpaceDE w:val="0"/>
        <w:autoSpaceDN w:val="0"/>
        <w:adjustRightInd w:val="0"/>
        <w:ind w:left="1276" w:hanging="425"/>
        <w:rPr>
          <w:color w:val="000000"/>
          <w:sz w:val="24"/>
          <w:szCs w:val="24"/>
          <w:lang w:eastAsia="en-GB"/>
        </w:rPr>
      </w:pPr>
      <w:r w:rsidRPr="007C190E">
        <w:rPr>
          <w:color w:val="000000"/>
          <w:sz w:val="24"/>
          <w:szCs w:val="24"/>
          <w:lang w:eastAsia="en-GB"/>
        </w:rPr>
        <w:t>Placér et stasebånd og gør injektionsstedet klar ved at tørre det grundigt af med en steril alkoholserviet (eller lignende opløsning).</w:t>
      </w:r>
    </w:p>
    <w:p w14:paraId="0AB5F888" w14:textId="77777777" w:rsidR="00191E23" w:rsidRPr="007C190E" w:rsidRDefault="00191E23" w:rsidP="007D202E">
      <w:pPr>
        <w:numPr>
          <w:ilvl w:val="0"/>
          <w:numId w:val="19"/>
        </w:numPr>
        <w:autoSpaceDE w:val="0"/>
        <w:autoSpaceDN w:val="0"/>
        <w:adjustRightInd w:val="0"/>
        <w:ind w:left="1276" w:hanging="425"/>
        <w:rPr>
          <w:color w:val="000000"/>
          <w:sz w:val="24"/>
          <w:szCs w:val="24"/>
          <w:lang w:eastAsia="en-GB"/>
        </w:rPr>
      </w:pPr>
      <w:r w:rsidRPr="007C190E">
        <w:rPr>
          <w:color w:val="000000"/>
          <w:sz w:val="24"/>
          <w:szCs w:val="24"/>
        </w:rPr>
        <w:t xml:space="preserve">Før nålen ind i venen og fjern stasebåndet. Injicér </w:t>
      </w:r>
      <w:proofErr w:type="spellStart"/>
      <w:r w:rsidRPr="007C190E">
        <w:rPr>
          <w:bCs/>
          <w:sz w:val="24"/>
          <w:szCs w:val="24"/>
        </w:rPr>
        <w:t>Prothromplex</w:t>
      </w:r>
      <w:proofErr w:type="spellEnd"/>
      <w:r w:rsidRPr="007C190E">
        <w:rPr>
          <w:bCs/>
          <w:sz w:val="24"/>
          <w:szCs w:val="24"/>
        </w:rPr>
        <w:t xml:space="preserve"> langsomt</w:t>
      </w:r>
      <w:r w:rsidRPr="007C190E">
        <w:rPr>
          <w:color w:val="000000"/>
          <w:sz w:val="24"/>
          <w:szCs w:val="24"/>
        </w:rPr>
        <w:t>. Injicér ikke hurtigere end 2 ml i minuttet. Fjern den tomme sprøjte.</w:t>
      </w:r>
    </w:p>
    <w:p w14:paraId="020C1D14" w14:textId="77777777" w:rsidR="00191E23" w:rsidRPr="007C190E" w:rsidRDefault="00191E23" w:rsidP="007D202E">
      <w:pPr>
        <w:ind w:left="1276"/>
        <w:rPr>
          <w:b/>
          <w:sz w:val="24"/>
          <w:szCs w:val="24"/>
          <w:lang w:eastAsia="en-GB"/>
        </w:rPr>
      </w:pPr>
      <w:r w:rsidRPr="007C190E">
        <w:rPr>
          <w:b/>
          <w:sz w:val="24"/>
          <w:szCs w:val="24"/>
          <w:lang w:eastAsia="en-GB"/>
        </w:rPr>
        <w:t>Bemærk:</w:t>
      </w:r>
    </w:p>
    <w:p w14:paraId="25C42710" w14:textId="32A4A43B" w:rsidR="00191E23" w:rsidRPr="007C190E" w:rsidRDefault="007C190E" w:rsidP="007D202E">
      <w:pPr>
        <w:tabs>
          <w:tab w:val="left" w:pos="360"/>
        </w:tabs>
        <w:autoSpaceDE w:val="0"/>
        <w:autoSpaceDN w:val="0"/>
        <w:adjustRightInd w:val="0"/>
        <w:ind w:left="1276" w:hanging="425"/>
        <w:rPr>
          <w:color w:val="000000"/>
          <w:sz w:val="24"/>
          <w:szCs w:val="24"/>
          <w:lang w:eastAsia="en-GB"/>
        </w:rPr>
      </w:pPr>
      <w:r w:rsidRPr="007C190E">
        <w:rPr>
          <w:color w:val="000000"/>
          <w:sz w:val="24"/>
          <w:szCs w:val="24"/>
        </w:rPr>
        <w:tab/>
      </w:r>
      <w:r w:rsidR="00191E23" w:rsidRPr="007C190E">
        <w:rPr>
          <w:color w:val="000000"/>
          <w:sz w:val="24"/>
          <w:szCs w:val="24"/>
        </w:rPr>
        <w:t>Fjern ikke Butterflynålen, indtil alle sprøjter er injiceret, og rør ikke ved Luer-porten, som sidder fast på sprøjten.</w:t>
      </w:r>
    </w:p>
    <w:p w14:paraId="711B5D64" w14:textId="77777777" w:rsidR="00191E23" w:rsidRPr="007C190E" w:rsidRDefault="00191E23" w:rsidP="007D202E">
      <w:pPr>
        <w:numPr>
          <w:ilvl w:val="0"/>
          <w:numId w:val="19"/>
        </w:numPr>
        <w:tabs>
          <w:tab w:val="left" w:pos="360"/>
        </w:tabs>
        <w:autoSpaceDE w:val="0"/>
        <w:autoSpaceDN w:val="0"/>
        <w:adjustRightInd w:val="0"/>
        <w:ind w:left="1276" w:hanging="425"/>
        <w:rPr>
          <w:color w:val="000000"/>
          <w:sz w:val="24"/>
          <w:szCs w:val="24"/>
          <w:lang w:eastAsia="en-GB"/>
        </w:rPr>
      </w:pPr>
      <w:r w:rsidRPr="007C190E">
        <w:rPr>
          <w:color w:val="000000"/>
          <w:sz w:val="24"/>
          <w:szCs w:val="24"/>
          <w:lang w:eastAsia="en-GB"/>
        </w:rPr>
        <w:t>Tag nålen ud af venen og brug steril gaze til at lægge pres på indstiksstedet i flere minutter.</w:t>
      </w:r>
    </w:p>
    <w:p w14:paraId="41DAA83C" w14:textId="77777777" w:rsidR="00191E23" w:rsidRPr="007C190E" w:rsidRDefault="00191E23" w:rsidP="007D202E">
      <w:pPr>
        <w:tabs>
          <w:tab w:val="left" w:pos="1260"/>
        </w:tabs>
        <w:autoSpaceDE w:val="0"/>
        <w:autoSpaceDN w:val="0"/>
        <w:adjustRightInd w:val="0"/>
        <w:ind w:left="846"/>
        <w:rPr>
          <w:color w:val="000000"/>
          <w:sz w:val="24"/>
          <w:szCs w:val="24"/>
          <w:lang w:eastAsia="en-GB"/>
        </w:rPr>
      </w:pPr>
    </w:p>
    <w:p w14:paraId="7C74D6A4" w14:textId="77777777" w:rsidR="00191E23" w:rsidRPr="007C190E" w:rsidRDefault="00191E23" w:rsidP="007D202E">
      <w:pPr>
        <w:tabs>
          <w:tab w:val="left" w:pos="851"/>
          <w:tab w:val="left" w:pos="1260"/>
        </w:tabs>
        <w:ind w:left="846"/>
        <w:rPr>
          <w:sz w:val="24"/>
          <w:szCs w:val="24"/>
        </w:rPr>
      </w:pPr>
      <w:r w:rsidRPr="007C190E">
        <w:rPr>
          <w:color w:val="000000"/>
          <w:sz w:val="24"/>
          <w:szCs w:val="24"/>
          <w:lang w:eastAsia="en-GB"/>
        </w:rPr>
        <w:t xml:space="preserve">Sæt ikke hætten tilbage på nålen. Læg nålen, sprøjten og det tomme hætteglas med </w:t>
      </w:r>
      <w:proofErr w:type="spellStart"/>
      <w:r w:rsidRPr="007C190E">
        <w:rPr>
          <w:color w:val="000000"/>
          <w:sz w:val="24"/>
          <w:szCs w:val="24"/>
          <w:lang w:eastAsia="en-GB"/>
        </w:rPr>
        <w:t>Prothromplex</w:t>
      </w:r>
      <w:proofErr w:type="spellEnd"/>
      <w:r w:rsidRPr="007C190E">
        <w:rPr>
          <w:color w:val="000000"/>
          <w:sz w:val="24"/>
          <w:szCs w:val="24"/>
          <w:lang w:eastAsia="en-GB"/>
        </w:rPr>
        <w:t xml:space="preserve"> og solvens i en kanylebeholder. Disse ting må ikke bortskaffes i dagrenovationen</w:t>
      </w:r>
    </w:p>
    <w:p w14:paraId="1DD1ECCE" w14:textId="77777777" w:rsidR="009260DE" w:rsidRPr="007C190E" w:rsidRDefault="009260DE" w:rsidP="007D202E">
      <w:pPr>
        <w:tabs>
          <w:tab w:val="left" w:pos="851"/>
        </w:tabs>
        <w:ind w:left="851"/>
        <w:rPr>
          <w:sz w:val="24"/>
          <w:szCs w:val="24"/>
        </w:rPr>
      </w:pPr>
    </w:p>
    <w:p w14:paraId="1976591B" w14:textId="77777777" w:rsidR="009260DE" w:rsidRPr="007C190E" w:rsidRDefault="009260DE" w:rsidP="009260DE">
      <w:pPr>
        <w:tabs>
          <w:tab w:val="left" w:pos="851"/>
        </w:tabs>
        <w:ind w:left="851" w:hanging="851"/>
        <w:rPr>
          <w:b/>
          <w:sz w:val="24"/>
          <w:szCs w:val="24"/>
        </w:rPr>
      </w:pPr>
      <w:r w:rsidRPr="007C190E">
        <w:rPr>
          <w:b/>
          <w:sz w:val="24"/>
          <w:szCs w:val="24"/>
        </w:rPr>
        <w:t>7.</w:t>
      </w:r>
      <w:r w:rsidRPr="007C190E">
        <w:rPr>
          <w:b/>
          <w:sz w:val="24"/>
          <w:szCs w:val="24"/>
        </w:rPr>
        <w:tab/>
        <w:t>INDEHAVER AF MARKEDSFØRINGSTILLADELSEN</w:t>
      </w:r>
    </w:p>
    <w:p w14:paraId="7341AEDC" w14:textId="77777777" w:rsidR="00191E23" w:rsidRPr="007C190E" w:rsidRDefault="00191E23" w:rsidP="00191E23">
      <w:pPr>
        <w:ind w:left="851"/>
        <w:rPr>
          <w:sz w:val="24"/>
          <w:szCs w:val="24"/>
          <w:lang w:eastAsia="de-AT"/>
        </w:rPr>
      </w:pPr>
      <w:proofErr w:type="spellStart"/>
      <w:r w:rsidRPr="007C190E">
        <w:rPr>
          <w:sz w:val="24"/>
          <w:szCs w:val="24"/>
          <w:lang w:eastAsia="de-AT"/>
        </w:rPr>
        <w:t>Baxalta</w:t>
      </w:r>
      <w:proofErr w:type="spellEnd"/>
      <w:r w:rsidRPr="007C190E">
        <w:rPr>
          <w:sz w:val="24"/>
          <w:szCs w:val="24"/>
          <w:lang w:eastAsia="de-AT"/>
        </w:rPr>
        <w:t xml:space="preserve"> Innovations GmbH</w:t>
      </w:r>
    </w:p>
    <w:p w14:paraId="39DE17F3" w14:textId="77777777" w:rsidR="00191E23" w:rsidRPr="007C190E" w:rsidRDefault="00191E23" w:rsidP="00191E23">
      <w:pPr>
        <w:ind w:left="851"/>
        <w:rPr>
          <w:sz w:val="24"/>
          <w:szCs w:val="24"/>
          <w:lang w:eastAsia="de-AT"/>
        </w:rPr>
      </w:pPr>
      <w:proofErr w:type="spellStart"/>
      <w:r w:rsidRPr="007C190E">
        <w:rPr>
          <w:sz w:val="24"/>
          <w:szCs w:val="24"/>
          <w:lang w:eastAsia="de-AT"/>
        </w:rPr>
        <w:t>Industriestrasse</w:t>
      </w:r>
      <w:proofErr w:type="spellEnd"/>
      <w:r w:rsidRPr="007C190E">
        <w:rPr>
          <w:sz w:val="24"/>
          <w:szCs w:val="24"/>
          <w:lang w:eastAsia="de-AT"/>
        </w:rPr>
        <w:t xml:space="preserve"> 67</w:t>
      </w:r>
    </w:p>
    <w:p w14:paraId="18499095" w14:textId="22590974" w:rsidR="00191E23" w:rsidRPr="007C190E" w:rsidRDefault="00191E23" w:rsidP="00191E23">
      <w:pPr>
        <w:ind w:left="851"/>
        <w:rPr>
          <w:sz w:val="24"/>
          <w:szCs w:val="24"/>
          <w:lang w:eastAsia="de-AT"/>
        </w:rPr>
      </w:pPr>
      <w:r w:rsidRPr="007C190E">
        <w:rPr>
          <w:sz w:val="24"/>
          <w:szCs w:val="24"/>
          <w:lang w:eastAsia="de-AT"/>
        </w:rPr>
        <w:t xml:space="preserve">1221 </w:t>
      </w:r>
      <w:r w:rsidR="007D202E">
        <w:rPr>
          <w:sz w:val="24"/>
          <w:szCs w:val="24"/>
          <w:lang w:eastAsia="de-AT"/>
        </w:rPr>
        <w:t>Wien</w:t>
      </w:r>
    </w:p>
    <w:p w14:paraId="593C6CA9" w14:textId="77777777" w:rsidR="00191E23" w:rsidRPr="007C190E" w:rsidRDefault="00191E23" w:rsidP="00191E23">
      <w:pPr>
        <w:ind w:left="851"/>
        <w:rPr>
          <w:sz w:val="24"/>
          <w:szCs w:val="24"/>
          <w:lang w:eastAsia="de-AT"/>
        </w:rPr>
      </w:pPr>
      <w:r w:rsidRPr="007C190E">
        <w:rPr>
          <w:sz w:val="24"/>
          <w:szCs w:val="24"/>
          <w:lang w:eastAsia="de-AT"/>
        </w:rPr>
        <w:t>Østrig</w:t>
      </w:r>
    </w:p>
    <w:p w14:paraId="7E2162A3" w14:textId="77777777" w:rsidR="00191E23" w:rsidRPr="007C190E" w:rsidRDefault="00191E23" w:rsidP="00191E23">
      <w:pPr>
        <w:ind w:left="851"/>
        <w:rPr>
          <w:sz w:val="24"/>
          <w:szCs w:val="24"/>
          <w:lang w:eastAsia="de-AT"/>
        </w:rPr>
      </w:pPr>
    </w:p>
    <w:p w14:paraId="61D1FFD9" w14:textId="77777777" w:rsidR="00191E23" w:rsidRPr="007C190E" w:rsidRDefault="00191E23" w:rsidP="00191E23">
      <w:pPr>
        <w:ind w:left="851"/>
        <w:rPr>
          <w:b/>
          <w:sz w:val="24"/>
          <w:szCs w:val="24"/>
          <w:lang w:eastAsia="de-AT"/>
        </w:rPr>
      </w:pPr>
      <w:r w:rsidRPr="007C190E">
        <w:rPr>
          <w:b/>
          <w:sz w:val="24"/>
          <w:szCs w:val="24"/>
          <w:lang w:eastAsia="de-AT"/>
        </w:rPr>
        <w:t>Repræsentant</w:t>
      </w:r>
    </w:p>
    <w:p w14:paraId="505112C1" w14:textId="77777777" w:rsidR="00191E23" w:rsidRPr="007C190E" w:rsidRDefault="00191E23" w:rsidP="00191E23">
      <w:pPr>
        <w:tabs>
          <w:tab w:val="left" w:pos="851"/>
        </w:tabs>
        <w:ind w:left="855"/>
        <w:rPr>
          <w:sz w:val="24"/>
          <w:szCs w:val="24"/>
        </w:rPr>
      </w:pPr>
      <w:proofErr w:type="spellStart"/>
      <w:r w:rsidRPr="007C190E">
        <w:rPr>
          <w:sz w:val="24"/>
          <w:szCs w:val="24"/>
        </w:rPr>
        <w:t>Takeda</w:t>
      </w:r>
      <w:proofErr w:type="spellEnd"/>
      <w:r w:rsidRPr="007C190E">
        <w:rPr>
          <w:sz w:val="24"/>
          <w:szCs w:val="24"/>
        </w:rPr>
        <w:t xml:space="preserve"> Pharma A/S</w:t>
      </w:r>
    </w:p>
    <w:p w14:paraId="514957AB" w14:textId="77777777" w:rsidR="00191E23" w:rsidRPr="007C190E" w:rsidRDefault="00191E23" w:rsidP="00191E23">
      <w:pPr>
        <w:tabs>
          <w:tab w:val="left" w:pos="851"/>
        </w:tabs>
        <w:ind w:left="855"/>
        <w:rPr>
          <w:sz w:val="24"/>
          <w:szCs w:val="24"/>
        </w:rPr>
      </w:pPr>
      <w:r w:rsidRPr="007C190E">
        <w:rPr>
          <w:sz w:val="24"/>
          <w:szCs w:val="24"/>
        </w:rPr>
        <w:t>Delta Park 45</w:t>
      </w:r>
    </w:p>
    <w:p w14:paraId="05B527FF" w14:textId="77777777" w:rsidR="00191E23" w:rsidRPr="007C190E" w:rsidRDefault="00191E23" w:rsidP="00191E23">
      <w:pPr>
        <w:tabs>
          <w:tab w:val="left" w:pos="851"/>
        </w:tabs>
        <w:ind w:left="855"/>
        <w:rPr>
          <w:sz w:val="24"/>
          <w:szCs w:val="24"/>
        </w:rPr>
      </w:pPr>
      <w:r w:rsidRPr="007C190E">
        <w:rPr>
          <w:sz w:val="24"/>
          <w:szCs w:val="24"/>
        </w:rPr>
        <w:t>2665 Vallensbæk Strand</w:t>
      </w:r>
    </w:p>
    <w:p w14:paraId="11CC1232" w14:textId="77777777" w:rsidR="00191E23" w:rsidRPr="007C190E" w:rsidRDefault="00191E23" w:rsidP="00191E23">
      <w:pPr>
        <w:tabs>
          <w:tab w:val="left" w:pos="851"/>
        </w:tabs>
        <w:rPr>
          <w:sz w:val="24"/>
          <w:szCs w:val="24"/>
        </w:rPr>
      </w:pPr>
    </w:p>
    <w:p w14:paraId="768A1480" w14:textId="77777777" w:rsidR="009260DE" w:rsidRPr="007C190E" w:rsidRDefault="009260DE" w:rsidP="009260DE">
      <w:pPr>
        <w:tabs>
          <w:tab w:val="left" w:pos="851"/>
        </w:tabs>
        <w:ind w:left="851" w:hanging="851"/>
        <w:rPr>
          <w:b/>
          <w:sz w:val="24"/>
          <w:szCs w:val="24"/>
        </w:rPr>
      </w:pPr>
      <w:r w:rsidRPr="007C190E">
        <w:rPr>
          <w:b/>
          <w:sz w:val="24"/>
          <w:szCs w:val="24"/>
        </w:rPr>
        <w:t>8.</w:t>
      </w:r>
      <w:r w:rsidRPr="007C190E">
        <w:rPr>
          <w:b/>
          <w:sz w:val="24"/>
          <w:szCs w:val="24"/>
        </w:rPr>
        <w:tab/>
        <w:t>MARKEDSFØRINGSTILLADELSESNUMMER (</w:t>
      </w:r>
      <w:r w:rsidR="00BF6243" w:rsidRPr="007C190E">
        <w:rPr>
          <w:b/>
          <w:sz w:val="24"/>
          <w:szCs w:val="24"/>
        </w:rPr>
        <w:t>-</w:t>
      </w:r>
      <w:r w:rsidRPr="007C190E">
        <w:rPr>
          <w:b/>
          <w:sz w:val="24"/>
          <w:szCs w:val="24"/>
        </w:rPr>
        <w:t>NUMRE)</w:t>
      </w:r>
    </w:p>
    <w:p w14:paraId="2A416644" w14:textId="7C16CBF1" w:rsidR="009260DE" w:rsidRPr="007C190E" w:rsidRDefault="00191E23" w:rsidP="009260DE">
      <w:pPr>
        <w:tabs>
          <w:tab w:val="left" w:pos="851"/>
        </w:tabs>
        <w:ind w:left="851"/>
        <w:rPr>
          <w:sz w:val="24"/>
          <w:szCs w:val="24"/>
        </w:rPr>
      </w:pPr>
      <w:r w:rsidRPr="007C190E">
        <w:rPr>
          <w:sz w:val="24"/>
          <w:szCs w:val="24"/>
        </w:rPr>
        <w:t>67675</w:t>
      </w:r>
    </w:p>
    <w:p w14:paraId="29FD0A9B" w14:textId="77777777" w:rsidR="009260DE" w:rsidRPr="007C190E" w:rsidRDefault="009260DE" w:rsidP="009260DE">
      <w:pPr>
        <w:tabs>
          <w:tab w:val="left" w:pos="851"/>
        </w:tabs>
        <w:ind w:left="851"/>
        <w:jc w:val="both"/>
        <w:rPr>
          <w:sz w:val="24"/>
          <w:szCs w:val="24"/>
        </w:rPr>
      </w:pPr>
    </w:p>
    <w:p w14:paraId="6B8CB638" w14:textId="77777777" w:rsidR="009260DE" w:rsidRPr="007C190E" w:rsidRDefault="009260DE" w:rsidP="009260DE">
      <w:pPr>
        <w:tabs>
          <w:tab w:val="left" w:pos="851"/>
        </w:tabs>
        <w:ind w:left="851" w:hanging="851"/>
        <w:rPr>
          <w:b/>
          <w:sz w:val="24"/>
          <w:szCs w:val="24"/>
        </w:rPr>
      </w:pPr>
      <w:r w:rsidRPr="007C190E">
        <w:rPr>
          <w:b/>
          <w:sz w:val="24"/>
          <w:szCs w:val="24"/>
        </w:rPr>
        <w:lastRenderedPageBreak/>
        <w:t>9.</w:t>
      </w:r>
      <w:r w:rsidRPr="007C190E">
        <w:rPr>
          <w:b/>
          <w:sz w:val="24"/>
          <w:szCs w:val="24"/>
        </w:rPr>
        <w:tab/>
        <w:t>DATO FOR FØRSTE MARKEDSFØRINGSTILLADELSE</w:t>
      </w:r>
    </w:p>
    <w:p w14:paraId="11AA4E14" w14:textId="77777777" w:rsidR="003C0469" w:rsidRPr="007C190E" w:rsidRDefault="003C0469" w:rsidP="003C0469">
      <w:pPr>
        <w:tabs>
          <w:tab w:val="left" w:pos="851"/>
        </w:tabs>
        <w:rPr>
          <w:sz w:val="24"/>
          <w:szCs w:val="24"/>
        </w:rPr>
      </w:pPr>
      <w:r w:rsidRPr="007C190E">
        <w:rPr>
          <w:sz w:val="24"/>
          <w:szCs w:val="24"/>
        </w:rPr>
        <w:tab/>
        <w:t>18. juli 2014</w:t>
      </w:r>
    </w:p>
    <w:p w14:paraId="3C6A08AD" w14:textId="77777777" w:rsidR="009260DE" w:rsidRPr="007C190E" w:rsidRDefault="009260DE" w:rsidP="009260DE">
      <w:pPr>
        <w:tabs>
          <w:tab w:val="left" w:pos="851"/>
        </w:tabs>
        <w:ind w:left="851"/>
        <w:rPr>
          <w:sz w:val="24"/>
          <w:szCs w:val="24"/>
        </w:rPr>
      </w:pPr>
    </w:p>
    <w:p w14:paraId="4ADBAA6A" w14:textId="77777777" w:rsidR="009260DE" w:rsidRPr="007C190E" w:rsidRDefault="009260DE" w:rsidP="009260DE">
      <w:pPr>
        <w:tabs>
          <w:tab w:val="left" w:pos="851"/>
        </w:tabs>
        <w:ind w:left="851" w:hanging="851"/>
        <w:rPr>
          <w:b/>
          <w:sz w:val="24"/>
          <w:szCs w:val="24"/>
        </w:rPr>
      </w:pPr>
      <w:r w:rsidRPr="007C190E">
        <w:rPr>
          <w:b/>
          <w:sz w:val="24"/>
          <w:szCs w:val="24"/>
        </w:rPr>
        <w:t>10.</w:t>
      </w:r>
      <w:r w:rsidRPr="007C190E">
        <w:rPr>
          <w:b/>
          <w:sz w:val="24"/>
          <w:szCs w:val="24"/>
        </w:rPr>
        <w:tab/>
        <w:t>DATO FOR ÆNDRING AF TEKSTEN</w:t>
      </w:r>
    </w:p>
    <w:p w14:paraId="68258EFB" w14:textId="11EF3A2F" w:rsidR="009260DE" w:rsidRPr="007C190E" w:rsidRDefault="003C0469" w:rsidP="009260DE">
      <w:pPr>
        <w:tabs>
          <w:tab w:val="left" w:pos="851"/>
        </w:tabs>
        <w:ind w:left="851"/>
        <w:rPr>
          <w:sz w:val="24"/>
          <w:szCs w:val="24"/>
        </w:rPr>
      </w:pPr>
      <w:r w:rsidRPr="007C190E">
        <w:rPr>
          <w:sz w:val="24"/>
          <w:szCs w:val="24"/>
        </w:rPr>
        <w:t>-</w:t>
      </w:r>
    </w:p>
    <w:sectPr w:rsidR="009260DE" w:rsidRPr="007C190E" w:rsidSect="000259B9">
      <w:footerReference w:type="default" r:id="rId2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0EB1" w14:textId="77777777" w:rsidR="00B5420C" w:rsidRDefault="00B5420C">
      <w:r>
        <w:separator/>
      </w:r>
    </w:p>
  </w:endnote>
  <w:endnote w:type="continuationSeparator" w:id="0">
    <w:p w14:paraId="4C2949A1" w14:textId="77777777" w:rsidR="00B5420C" w:rsidRDefault="00B5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39BBE" w14:textId="77777777" w:rsidR="00B5420C" w:rsidRDefault="00B5420C">
    <w:pPr>
      <w:pStyle w:val="Sidefod"/>
      <w:pBdr>
        <w:bottom w:val="single" w:sz="6" w:space="1" w:color="auto"/>
      </w:pBdr>
    </w:pPr>
  </w:p>
  <w:p w14:paraId="20FA97D3" w14:textId="77777777" w:rsidR="00B5420C" w:rsidRDefault="00B5420C" w:rsidP="00C42586">
    <w:pPr>
      <w:pStyle w:val="Sidefod"/>
      <w:tabs>
        <w:tab w:val="clear" w:pos="4819"/>
        <w:tab w:val="left" w:pos="8505"/>
      </w:tabs>
      <w:rPr>
        <w:i/>
        <w:sz w:val="18"/>
        <w:szCs w:val="18"/>
      </w:rPr>
    </w:pPr>
  </w:p>
  <w:p w14:paraId="489F3E49" w14:textId="48E43896" w:rsidR="00B5420C" w:rsidRPr="00B373D7" w:rsidRDefault="00B5420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66703">
      <w:rPr>
        <w:i/>
        <w:noProof/>
        <w:sz w:val="18"/>
        <w:szCs w:val="18"/>
      </w:rPr>
      <w:t>Prothromplex, pulver og solvens til injektionsvæske, opløsning 500 IE.docx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B5F17" w14:textId="77777777" w:rsidR="00B5420C" w:rsidRDefault="00B5420C">
      <w:r>
        <w:separator/>
      </w:r>
    </w:p>
  </w:footnote>
  <w:footnote w:type="continuationSeparator" w:id="0">
    <w:p w14:paraId="4E903418" w14:textId="77777777" w:rsidR="00B5420C" w:rsidRDefault="00B5420C">
      <w:r>
        <w:continuationSeparator/>
      </w:r>
    </w:p>
  </w:footnote>
  <w:footnote w:id="1">
    <w:p w14:paraId="5B1579A3" w14:textId="77777777" w:rsidR="00B5420C" w:rsidRDefault="00B5420C" w:rsidP="00191E23">
      <w:pPr>
        <w:autoSpaceDE w:val="0"/>
        <w:autoSpaceDN w:val="0"/>
        <w:adjustRightInd w:val="0"/>
        <w:rPr>
          <w:rFonts w:eastAsia="TimesNewRoman" w:cs="Arial"/>
          <w:sz w:val="20"/>
          <w:lang w:val="en-US"/>
        </w:rPr>
      </w:pPr>
      <w:r>
        <w:rPr>
          <w:rStyle w:val="Fodnotehenvisning"/>
          <w:rFonts w:cs="Arial"/>
          <w:sz w:val="20"/>
        </w:rPr>
        <w:footnoteRef/>
      </w:r>
      <w:r>
        <w:rPr>
          <w:rFonts w:eastAsia="TimesNewRoman" w:cs="Arial"/>
          <w:sz w:val="20"/>
          <w:lang w:val="en-US"/>
        </w:rPr>
        <w:t xml:space="preserve"> </w:t>
      </w:r>
      <w:r>
        <w:rPr>
          <w:rFonts w:eastAsia="TimesNewRoman" w:cs="Arial"/>
          <w:sz w:val="18"/>
          <w:szCs w:val="18"/>
          <w:lang w:val="en-US"/>
        </w:rPr>
        <w:t>Makris M, Watson HG: The Management of Coumarin-Induced Over-Anticoagulation Br.J.Haematol. 2001; 114: 271-280</w:t>
      </w:r>
    </w:p>
    <w:p w14:paraId="61E83B87" w14:textId="77777777" w:rsidR="00B5420C" w:rsidRDefault="00B5420C" w:rsidP="00191E23">
      <w:pPr>
        <w:pStyle w:val="Fodnotetekst"/>
        <w:rPr>
          <w:rFonts w:cs="Arial"/>
          <w:lang w:val="en-US"/>
        </w:rPr>
      </w:pPr>
    </w:p>
  </w:footnote>
  <w:footnote w:id="2">
    <w:p w14:paraId="254097AA" w14:textId="77777777" w:rsidR="00B5420C" w:rsidRDefault="00B5420C" w:rsidP="00191E23">
      <w:pPr>
        <w:autoSpaceDE w:val="0"/>
        <w:autoSpaceDN w:val="0"/>
        <w:adjustRightInd w:val="0"/>
        <w:rPr>
          <w:lang w:val="en-US"/>
        </w:rPr>
      </w:pPr>
      <w:r>
        <w:rPr>
          <w:rFonts w:eastAsia="TimesNewRoman" w:cs="Arial"/>
          <w:sz w:val="20"/>
          <w:lang w:val="en-US"/>
        </w:rPr>
        <w:footnoteRef/>
      </w:r>
      <w:r>
        <w:rPr>
          <w:rFonts w:eastAsia="TimesNewRoman" w:cs="Arial"/>
          <w:sz w:val="20"/>
          <w:lang w:val="en-US"/>
        </w:rPr>
        <w:t xml:space="preserve"> </w:t>
      </w:r>
      <w:r>
        <w:rPr>
          <w:rFonts w:eastAsia="TimesNewRoman" w:cs="Arial"/>
          <w:sz w:val="18"/>
          <w:szCs w:val="18"/>
          <w:lang w:val="en-US"/>
        </w:rPr>
        <w:t xml:space="preserve">Ostermann H, </w:t>
      </w:r>
      <w:r>
        <w:rPr>
          <w:rFonts w:eastAsia="TimesNewRoman" w:cs="Arial"/>
          <w:sz w:val="18"/>
          <w:szCs w:val="18"/>
          <w:lang w:val="en-US"/>
        </w:rPr>
        <w:t>Haertel S, Knaub S, Kalina U, Jung K, Pabinger I, Pharmakokinetics of Beriplex P/N prothrombin complex concentrate in healthy volunteers. Thromb Haemost. 2007; 98(4): 790-797.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DE7"/>
    <w:multiLevelType w:val="hybridMultilevel"/>
    <w:tmpl w:val="FE4E9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4E5B17"/>
    <w:multiLevelType w:val="hybridMultilevel"/>
    <w:tmpl w:val="DD70C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9DA6DE2"/>
    <w:multiLevelType w:val="hybridMultilevel"/>
    <w:tmpl w:val="7EEED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8A1571"/>
    <w:multiLevelType w:val="hybridMultilevel"/>
    <w:tmpl w:val="7B6EA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A241F1"/>
    <w:multiLevelType w:val="hybridMultilevel"/>
    <w:tmpl w:val="E34C6D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CDD513B"/>
    <w:multiLevelType w:val="hybridMultilevel"/>
    <w:tmpl w:val="F12A66AA"/>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7" w15:restartNumberingAfterBreak="0">
    <w:nsid w:val="2EF77216"/>
    <w:multiLevelType w:val="hybridMultilevel"/>
    <w:tmpl w:val="11F07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1C921F9"/>
    <w:multiLevelType w:val="hybridMultilevel"/>
    <w:tmpl w:val="EC68D9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373351AF"/>
    <w:multiLevelType w:val="hybridMultilevel"/>
    <w:tmpl w:val="FCA272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9886244"/>
    <w:multiLevelType w:val="hybridMultilevel"/>
    <w:tmpl w:val="4A5E76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4" w15:restartNumberingAfterBreak="0">
    <w:nsid w:val="4DB00C7A"/>
    <w:multiLevelType w:val="hybridMultilevel"/>
    <w:tmpl w:val="7E62DA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20D72FA"/>
    <w:multiLevelType w:val="hybridMultilevel"/>
    <w:tmpl w:val="A08823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674645A0"/>
    <w:multiLevelType w:val="hybridMultilevel"/>
    <w:tmpl w:val="BD48E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29A47D2"/>
    <w:multiLevelType w:val="hybridMultilevel"/>
    <w:tmpl w:val="F9944A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
  </w:num>
  <w:num w:numId="8">
    <w:abstractNumId w:val="6"/>
  </w:num>
  <w:num w:numId="9">
    <w:abstractNumId w:val="8"/>
  </w:num>
  <w:num w:numId="10">
    <w:abstractNumId w:val="15"/>
  </w:num>
  <w:num w:numId="11">
    <w:abstractNumId w:val="2"/>
  </w:num>
  <w:num w:numId="12">
    <w:abstractNumId w:val="12"/>
  </w:num>
  <w:num w:numId="13">
    <w:abstractNumId w:val="5"/>
  </w:num>
  <w:num w:numId="14">
    <w:abstractNumId w:val="14"/>
  </w:num>
  <w:num w:numId="15">
    <w:abstractNumId w:val="11"/>
  </w:num>
  <w:num w:numId="16">
    <w:abstractNumId w:val="17"/>
  </w:num>
  <w:num w:numId="17">
    <w:abstractNumId w:val="0"/>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E6"/>
    <w:rsid w:val="000259B9"/>
    <w:rsid w:val="00041491"/>
    <w:rsid w:val="00050D16"/>
    <w:rsid w:val="000730CA"/>
    <w:rsid w:val="00074F2A"/>
    <w:rsid w:val="000A1CA8"/>
    <w:rsid w:val="000A466B"/>
    <w:rsid w:val="000B058C"/>
    <w:rsid w:val="000D68B0"/>
    <w:rsid w:val="000E4EE6"/>
    <w:rsid w:val="001454E2"/>
    <w:rsid w:val="00191E23"/>
    <w:rsid w:val="00206CE8"/>
    <w:rsid w:val="0021526C"/>
    <w:rsid w:val="00283A2B"/>
    <w:rsid w:val="002B30AD"/>
    <w:rsid w:val="002C1EC0"/>
    <w:rsid w:val="002C2C01"/>
    <w:rsid w:val="00366703"/>
    <w:rsid w:val="003A29AE"/>
    <w:rsid w:val="003A32D7"/>
    <w:rsid w:val="003B4074"/>
    <w:rsid w:val="003C0469"/>
    <w:rsid w:val="003C769A"/>
    <w:rsid w:val="003D3A90"/>
    <w:rsid w:val="003F1838"/>
    <w:rsid w:val="0045746C"/>
    <w:rsid w:val="0049104B"/>
    <w:rsid w:val="004E3B12"/>
    <w:rsid w:val="00532310"/>
    <w:rsid w:val="00565F0F"/>
    <w:rsid w:val="00594A86"/>
    <w:rsid w:val="00596D86"/>
    <w:rsid w:val="00637F5A"/>
    <w:rsid w:val="00641C65"/>
    <w:rsid w:val="006560B1"/>
    <w:rsid w:val="006756DD"/>
    <w:rsid w:val="007062CB"/>
    <w:rsid w:val="0071241E"/>
    <w:rsid w:val="00737275"/>
    <w:rsid w:val="00740EEC"/>
    <w:rsid w:val="0078011A"/>
    <w:rsid w:val="00782AF4"/>
    <w:rsid w:val="00790EE7"/>
    <w:rsid w:val="007B6649"/>
    <w:rsid w:val="007C190E"/>
    <w:rsid w:val="007D202E"/>
    <w:rsid w:val="0082576E"/>
    <w:rsid w:val="00907F75"/>
    <w:rsid w:val="009260DE"/>
    <w:rsid w:val="0093258A"/>
    <w:rsid w:val="00964DE7"/>
    <w:rsid w:val="009753E6"/>
    <w:rsid w:val="009C7BA3"/>
    <w:rsid w:val="009D1F5A"/>
    <w:rsid w:val="00A10294"/>
    <w:rsid w:val="00B003BF"/>
    <w:rsid w:val="00B373D7"/>
    <w:rsid w:val="00B5420C"/>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 w:val="00FE4E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FF11524"/>
  <w15:chartTrackingRefBased/>
  <w15:docId w15:val="{A4843DC8-E66A-484C-BD93-01FC2757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Fodnotetekst">
    <w:name w:val="footnote text"/>
    <w:basedOn w:val="Normal"/>
    <w:link w:val="FodnotetekstTegn"/>
    <w:uiPriority w:val="99"/>
    <w:semiHidden/>
    <w:unhideWhenUsed/>
    <w:rsid w:val="00191E23"/>
    <w:pPr>
      <w:overflowPunct w:val="0"/>
      <w:autoSpaceDE w:val="0"/>
      <w:autoSpaceDN w:val="0"/>
      <w:adjustRightInd w:val="0"/>
    </w:pPr>
    <w:rPr>
      <w:rFonts w:ascii="Arial" w:hAnsi="Arial"/>
      <w:sz w:val="20"/>
      <w:lang w:val="en-GB" w:eastAsia="de-AT"/>
    </w:rPr>
  </w:style>
  <w:style w:type="character" w:customStyle="1" w:styleId="FodnotetekstTegn">
    <w:name w:val="Fodnotetekst Tegn"/>
    <w:basedOn w:val="Standardskrifttypeiafsnit"/>
    <w:link w:val="Fodnotetekst"/>
    <w:uiPriority w:val="99"/>
    <w:semiHidden/>
    <w:rsid w:val="00191E23"/>
    <w:rPr>
      <w:rFonts w:ascii="Arial" w:hAnsi="Arial"/>
      <w:lang w:val="en-GB" w:eastAsia="de-AT"/>
    </w:rPr>
  </w:style>
  <w:style w:type="character" w:styleId="Fodnotehenvisning">
    <w:name w:val="footnote reference"/>
    <w:uiPriority w:val="99"/>
    <w:semiHidden/>
    <w:unhideWhenUsed/>
    <w:rsid w:val="00191E23"/>
    <w:rPr>
      <w:vertAlign w:val="superscript"/>
    </w:rPr>
  </w:style>
  <w:style w:type="character" w:styleId="Hyperlink">
    <w:name w:val="Hyperlink"/>
    <w:basedOn w:val="Standardskrifttypeiafsnit"/>
    <w:uiPriority w:val="99"/>
    <w:semiHidden/>
    <w:unhideWhenUsed/>
    <w:rsid w:val="00191E23"/>
    <w:rPr>
      <w:color w:val="0563C1" w:themeColor="hyperlink"/>
      <w:u w:val="single"/>
    </w:rPr>
  </w:style>
  <w:style w:type="paragraph" w:customStyle="1" w:styleId="BodyText21">
    <w:name w:val="Body Text 21"/>
    <w:basedOn w:val="Normal"/>
    <w:rsid w:val="00191E23"/>
    <w:pPr>
      <w:overflowPunct w:val="0"/>
      <w:autoSpaceDE w:val="0"/>
      <w:autoSpaceDN w:val="0"/>
      <w:adjustRightInd w:val="0"/>
    </w:pPr>
    <w:rPr>
      <w:b/>
      <w:sz w:val="24"/>
      <w:lang w:val="de-DE" w:eastAsia="de-AT"/>
    </w:rPr>
  </w:style>
  <w:style w:type="paragraph" w:styleId="Brdtekst">
    <w:name w:val="Body Text"/>
    <w:basedOn w:val="Normal"/>
    <w:link w:val="BrdtekstTegn"/>
    <w:uiPriority w:val="99"/>
    <w:semiHidden/>
    <w:unhideWhenUsed/>
    <w:rsid w:val="00191E23"/>
    <w:pPr>
      <w:spacing w:after="120"/>
    </w:pPr>
  </w:style>
  <w:style w:type="character" w:customStyle="1" w:styleId="BrdtekstTegn">
    <w:name w:val="Brødtekst Tegn"/>
    <w:basedOn w:val="Standardskrifttypeiafsnit"/>
    <w:link w:val="Brdtekst"/>
    <w:uiPriority w:val="99"/>
    <w:semiHidden/>
    <w:rsid w:val="00191E23"/>
    <w:rPr>
      <w:sz w:val="23"/>
      <w:lang w:eastAsia="en-US"/>
    </w:rPr>
  </w:style>
  <w:style w:type="paragraph" w:styleId="Listeafsnit">
    <w:name w:val="List Paragraph"/>
    <w:basedOn w:val="Normal"/>
    <w:uiPriority w:val="34"/>
    <w:qFormat/>
    <w:rsid w:val="00191E23"/>
    <w:pPr>
      <w:ind w:left="720"/>
      <w:jc w:val="both"/>
    </w:pPr>
    <w:rPr>
      <w:rFonts w:ascii="Arial" w:hAnsi="Arial"/>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372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969413">
      <w:bodyDiv w:val="1"/>
      <w:marLeft w:val="0"/>
      <w:marRight w:val="0"/>
      <w:marTop w:val="0"/>
      <w:marBottom w:val="0"/>
      <w:divBdr>
        <w:top w:val="none" w:sz="0" w:space="0" w:color="auto"/>
        <w:left w:val="none" w:sz="0" w:space="0" w:color="auto"/>
        <w:bottom w:val="none" w:sz="0" w:space="0" w:color="auto"/>
        <w:right w:val="none" w:sz="0" w:space="0" w:color="auto"/>
      </w:divBdr>
    </w:div>
    <w:div w:id="271211902">
      <w:bodyDiv w:val="1"/>
      <w:marLeft w:val="0"/>
      <w:marRight w:val="0"/>
      <w:marTop w:val="0"/>
      <w:marBottom w:val="0"/>
      <w:divBdr>
        <w:top w:val="none" w:sz="0" w:space="0" w:color="auto"/>
        <w:left w:val="none" w:sz="0" w:space="0" w:color="auto"/>
        <w:bottom w:val="none" w:sz="0" w:space="0" w:color="auto"/>
        <w:right w:val="none" w:sz="0" w:space="0" w:color="auto"/>
      </w:divBdr>
    </w:div>
    <w:div w:id="341592459">
      <w:bodyDiv w:val="1"/>
      <w:marLeft w:val="0"/>
      <w:marRight w:val="0"/>
      <w:marTop w:val="0"/>
      <w:marBottom w:val="0"/>
      <w:divBdr>
        <w:top w:val="none" w:sz="0" w:space="0" w:color="auto"/>
        <w:left w:val="none" w:sz="0" w:space="0" w:color="auto"/>
        <w:bottom w:val="none" w:sz="0" w:space="0" w:color="auto"/>
        <w:right w:val="none" w:sz="0" w:space="0" w:color="auto"/>
      </w:divBdr>
    </w:div>
    <w:div w:id="355038209">
      <w:bodyDiv w:val="1"/>
      <w:marLeft w:val="0"/>
      <w:marRight w:val="0"/>
      <w:marTop w:val="0"/>
      <w:marBottom w:val="0"/>
      <w:divBdr>
        <w:top w:val="none" w:sz="0" w:space="0" w:color="auto"/>
        <w:left w:val="none" w:sz="0" w:space="0" w:color="auto"/>
        <w:bottom w:val="none" w:sz="0" w:space="0" w:color="auto"/>
        <w:right w:val="none" w:sz="0" w:space="0" w:color="auto"/>
      </w:divBdr>
    </w:div>
    <w:div w:id="842086310">
      <w:bodyDiv w:val="1"/>
      <w:marLeft w:val="0"/>
      <w:marRight w:val="0"/>
      <w:marTop w:val="0"/>
      <w:marBottom w:val="0"/>
      <w:divBdr>
        <w:top w:val="none" w:sz="0" w:space="0" w:color="auto"/>
        <w:left w:val="none" w:sz="0" w:space="0" w:color="auto"/>
        <w:bottom w:val="none" w:sz="0" w:space="0" w:color="auto"/>
        <w:right w:val="none" w:sz="0" w:space="0" w:color="auto"/>
      </w:divBdr>
    </w:div>
    <w:div w:id="934560120">
      <w:bodyDiv w:val="1"/>
      <w:marLeft w:val="0"/>
      <w:marRight w:val="0"/>
      <w:marTop w:val="0"/>
      <w:marBottom w:val="0"/>
      <w:divBdr>
        <w:top w:val="none" w:sz="0" w:space="0" w:color="auto"/>
        <w:left w:val="none" w:sz="0" w:space="0" w:color="auto"/>
        <w:bottom w:val="none" w:sz="0" w:space="0" w:color="auto"/>
        <w:right w:val="none" w:sz="0" w:space="0" w:color="auto"/>
      </w:divBdr>
    </w:div>
    <w:div w:id="968819792">
      <w:bodyDiv w:val="1"/>
      <w:marLeft w:val="0"/>
      <w:marRight w:val="0"/>
      <w:marTop w:val="0"/>
      <w:marBottom w:val="0"/>
      <w:divBdr>
        <w:top w:val="none" w:sz="0" w:space="0" w:color="auto"/>
        <w:left w:val="none" w:sz="0" w:space="0" w:color="auto"/>
        <w:bottom w:val="none" w:sz="0" w:space="0" w:color="auto"/>
        <w:right w:val="none" w:sz="0" w:space="0" w:color="auto"/>
      </w:divBdr>
    </w:div>
    <w:div w:id="1006372002">
      <w:bodyDiv w:val="1"/>
      <w:marLeft w:val="0"/>
      <w:marRight w:val="0"/>
      <w:marTop w:val="0"/>
      <w:marBottom w:val="0"/>
      <w:divBdr>
        <w:top w:val="none" w:sz="0" w:space="0" w:color="auto"/>
        <w:left w:val="none" w:sz="0" w:space="0" w:color="auto"/>
        <w:bottom w:val="none" w:sz="0" w:space="0" w:color="auto"/>
        <w:right w:val="none" w:sz="0" w:space="0" w:color="auto"/>
      </w:divBdr>
    </w:div>
    <w:div w:id="1026830085">
      <w:bodyDiv w:val="1"/>
      <w:marLeft w:val="0"/>
      <w:marRight w:val="0"/>
      <w:marTop w:val="0"/>
      <w:marBottom w:val="0"/>
      <w:divBdr>
        <w:top w:val="none" w:sz="0" w:space="0" w:color="auto"/>
        <w:left w:val="none" w:sz="0" w:space="0" w:color="auto"/>
        <w:bottom w:val="none" w:sz="0" w:space="0" w:color="auto"/>
        <w:right w:val="none" w:sz="0" w:space="0" w:color="auto"/>
      </w:divBdr>
    </w:div>
    <w:div w:id="1063874551">
      <w:bodyDiv w:val="1"/>
      <w:marLeft w:val="0"/>
      <w:marRight w:val="0"/>
      <w:marTop w:val="0"/>
      <w:marBottom w:val="0"/>
      <w:divBdr>
        <w:top w:val="none" w:sz="0" w:space="0" w:color="auto"/>
        <w:left w:val="none" w:sz="0" w:space="0" w:color="auto"/>
        <w:bottom w:val="none" w:sz="0" w:space="0" w:color="auto"/>
        <w:right w:val="none" w:sz="0" w:space="0" w:color="auto"/>
      </w:divBdr>
    </w:div>
    <w:div w:id="1111818461">
      <w:bodyDiv w:val="1"/>
      <w:marLeft w:val="0"/>
      <w:marRight w:val="0"/>
      <w:marTop w:val="0"/>
      <w:marBottom w:val="0"/>
      <w:divBdr>
        <w:top w:val="none" w:sz="0" w:space="0" w:color="auto"/>
        <w:left w:val="none" w:sz="0" w:space="0" w:color="auto"/>
        <w:bottom w:val="none" w:sz="0" w:space="0" w:color="auto"/>
        <w:right w:val="none" w:sz="0" w:space="0" w:color="auto"/>
      </w:divBdr>
    </w:div>
    <w:div w:id="1225987559">
      <w:bodyDiv w:val="1"/>
      <w:marLeft w:val="0"/>
      <w:marRight w:val="0"/>
      <w:marTop w:val="0"/>
      <w:marBottom w:val="0"/>
      <w:divBdr>
        <w:top w:val="none" w:sz="0" w:space="0" w:color="auto"/>
        <w:left w:val="none" w:sz="0" w:space="0" w:color="auto"/>
        <w:bottom w:val="none" w:sz="0" w:space="0" w:color="auto"/>
        <w:right w:val="none" w:sz="0" w:space="0" w:color="auto"/>
      </w:divBdr>
    </w:div>
    <w:div w:id="1330862188">
      <w:bodyDiv w:val="1"/>
      <w:marLeft w:val="0"/>
      <w:marRight w:val="0"/>
      <w:marTop w:val="0"/>
      <w:marBottom w:val="0"/>
      <w:divBdr>
        <w:top w:val="none" w:sz="0" w:space="0" w:color="auto"/>
        <w:left w:val="none" w:sz="0" w:space="0" w:color="auto"/>
        <w:bottom w:val="none" w:sz="0" w:space="0" w:color="auto"/>
        <w:right w:val="none" w:sz="0" w:space="0" w:color="auto"/>
      </w:divBdr>
    </w:div>
    <w:div w:id="1331520209">
      <w:bodyDiv w:val="1"/>
      <w:marLeft w:val="0"/>
      <w:marRight w:val="0"/>
      <w:marTop w:val="0"/>
      <w:marBottom w:val="0"/>
      <w:divBdr>
        <w:top w:val="none" w:sz="0" w:space="0" w:color="auto"/>
        <w:left w:val="none" w:sz="0" w:space="0" w:color="auto"/>
        <w:bottom w:val="none" w:sz="0" w:space="0" w:color="auto"/>
        <w:right w:val="none" w:sz="0" w:space="0" w:color="auto"/>
      </w:divBdr>
    </w:div>
    <w:div w:id="1357000864">
      <w:bodyDiv w:val="1"/>
      <w:marLeft w:val="0"/>
      <w:marRight w:val="0"/>
      <w:marTop w:val="0"/>
      <w:marBottom w:val="0"/>
      <w:divBdr>
        <w:top w:val="none" w:sz="0" w:space="0" w:color="auto"/>
        <w:left w:val="none" w:sz="0" w:space="0" w:color="auto"/>
        <w:bottom w:val="none" w:sz="0" w:space="0" w:color="auto"/>
        <w:right w:val="none" w:sz="0" w:space="0" w:color="auto"/>
      </w:divBdr>
    </w:div>
    <w:div w:id="1479768052">
      <w:bodyDiv w:val="1"/>
      <w:marLeft w:val="0"/>
      <w:marRight w:val="0"/>
      <w:marTop w:val="0"/>
      <w:marBottom w:val="0"/>
      <w:divBdr>
        <w:top w:val="none" w:sz="0" w:space="0" w:color="auto"/>
        <w:left w:val="none" w:sz="0" w:space="0" w:color="auto"/>
        <w:bottom w:val="none" w:sz="0" w:space="0" w:color="auto"/>
        <w:right w:val="none" w:sz="0" w:space="0" w:color="auto"/>
      </w:divBdr>
    </w:div>
    <w:div w:id="1529249527">
      <w:bodyDiv w:val="1"/>
      <w:marLeft w:val="0"/>
      <w:marRight w:val="0"/>
      <w:marTop w:val="0"/>
      <w:marBottom w:val="0"/>
      <w:divBdr>
        <w:top w:val="none" w:sz="0" w:space="0" w:color="auto"/>
        <w:left w:val="none" w:sz="0" w:space="0" w:color="auto"/>
        <w:bottom w:val="none" w:sz="0" w:space="0" w:color="auto"/>
        <w:right w:val="none" w:sz="0" w:space="0" w:color="auto"/>
      </w:divBdr>
    </w:div>
    <w:div w:id="1605528820">
      <w:bodyDiv w:val="1"/>
      <w:marLeft w:val="0"/>
      <w:marRight w:val="0"/>
      <w:marTop w:val="0"/>
      <w:marBottom w:val="0"/>
      <w:divBdr>
        <w:top w:val="none" w:sz="0" w:space="0" w:color="auto"/>
        <w:left w:val="none" w:sz="0" w:space="0" w:color="auto"/>
        <w:bottom w:val="none" w:sz="0" w:space="0" w:color="auto"/>
        <w:right w:val="none" w:sz="0" w:space="0" w:color="auto"/>
      </w:divBdr>
    </w:div>
    <w:div w:id="1657227002">
      <w:bodyDiv w:val="1"/>
      <w:marLeft w:val="0"/>
      <w:marRight w:val="0"/>
      <w:marTop w:val="0"/>
      <w:marBottom w:val="0"/>
      <w:divBdr>
        <w:top w:val="none" w:sz="0" w:space="0" w:color="auto"/>
        <w:left w:val="none" w:sz="0" w:space="0" w:color="auto"/>
        <w:bottom w:val="none" w:sz="0" w:space="0" w:color="auto"/>
        <w:right w:val="none" w:sz="0" w:space="0" w:color="auto"/>
      </w:divBdr>
    </w:div>
    <w:div w:id="1865746897">
      <w:bodyDiv w:val="1"/>
      <w:marLeft w:val="0"/>
      <w:marRight w:val="0"/>
      <w:marTop w:val="0"/>
      <w:marBottom w:val="0"/>
      <w:divBdr>
        <w:top w:val="none" w:sz="0" w:space="0" w:color="auto"/>
        <w:left w:val="none" w:sz="0" w:space="0" w:color="auto"/>
        <w:bottom w:val="none" w:sz="0" w:space="0" w:color="auto"/>
        <w:right w:val="none" w:sz="0" w:space="0" w:color="auto"/>
      </w:divBdr>
    </w:div>
    <w:div w:id="1882981646">
      <w:bodyDiv w:val="1"/>
      <w:marLeft w:val="0"/>
      <w:marRight w:val="0"/>
      <w:marTop w:val="0"/>
      <w:marBottom w:val="0"/>
      <w:divBdr>
        <w:top w:val="none" w:sz="0" w:space="0" w:color="auto"/>
        <w:left w:val="none" w:sz="0" w:space="0" w:color="auto"/>
        <w:bottom w:val="none" w:sz="0" w:space="0" w:color="auto"/>
        <w:right w:val="none" w:sz="0" w:space="0" w:color="auto"/>
      </w:divBdr>
    </w:div>
    <w:div w:id="198458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30</TotalTime>
  <Pages>15</Pages>
  <Words>3882</Words>
  <Characters>25253</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2022041600, MT</dc:description>
  <cp:lastModifiedBy>Gitte Jørgensen</cp:lastModifiedBy>
  <cp:revision>9</cp:revision>
  <cp:lastPrinted>2012-08-22T08:53:00Z</cp:lastPrinted>
  <dcterms:created xsi:type="dcterms:W3CDTF">2023-05-24T06:50:00Z</dcterms:created>
  <dcterms:modified xsi:type="dcterms:W3CDTF">2023-05-24T11:17:00Z</dcterms:modified>
</cp:coreProperties>
</file>