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2777E">
        <w:rPr>
          <w:szCs w:val="24"/>
        </w:rPr>
        <w:t>26</w:t>
      </w:r>
      <w:r w:rsidR="00F37F07">
        <w:rPr>
          <w:szCs w:val="24"/>
        </w:rPr>
        <w:t xml:space="preserve">. </w:t>
      </w:r>
      <w:r w:rsidR="0072777E">
        <w:rPr>
          <w:szCs w:val="24"/>
        </w:rPr>
        <w:t>oktober</w:t>
      </w:r>
      <w:r w:rsidR="00F37F07">
        <w:rPr>
          <w:szCs w:val="24"/>
        </w:rPr>
        <w:t xml:space="preserve">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16A02" w:rsidP="009260DE">
      <w:pPr>
        <w:jc w:val="center"/>
        <w:rPr>
          <w:b/>
          <w:sz w:val="24"/>
          <w:szCs w:val="24"/>
        </w:rPr>
      </w:pPr>
      <w:proofErr w:type="spellStart"/>
      <w:r>
        <w:rPr>
          <w:b/>
          <w:sz w:val="24"/>
          <w:szCs w:val="24"/>
        </w:rPr>
        <w:t>Proursan</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37EE8" w:rsidP="009260DE">
      <w:pPr>
        <w:tabs>
          <w:tab w:val="left" w:pos="851"/>
        </w:tabs>
        <w:ind w:left="851"/>
        <w:rPr>
          <w:sz w:val="24"/>
          <w:szCs w:val="24"/>
        </w:rPr>
      </w:pPr>
      <w:r>
        <w:rPr>
          <w:sz w:val="24"/>
          <w:szCs w:val="24"/>
        </w:rPr>
        <w:t>32111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37EE8" w:rsidP="009260DE">
      <w:pPr>
        <w:tabs>
          <w:tab w:val="left" w:pos="851"/>
        </w:tabs>
        <w:ind w:left="851"/>
        <w:rPr>
          <w:sz w:val="24"/>
          <w:szCs w:val="24"/>
        </w:rPr>
      </w:pPr>
      <w:proofErr w:type="spellStart"/>
      <w:r>
        <w:rPr>
          <w:sz w:val="24"/>
          <w:szCs w:val="24"/>
        </w:rPr>
        <w:t>Proursan</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256EB" w:rsidRPr="003256EB" w:rsidRDefault="003256EB" w:rsidP="003256EB">
      <w:pPr>
        <w:tabs>
          <w:tab w:val="left" w:pos="851"/>
        </w:tabs>
        <w:ind w:left="851"/>
        <w:rPr>
          <w:sz w:val="24"/>
          <w:szCs w:val="24"/>
          <w:lang w:val="cs-CZ"/>
        </w:rPr>
      </w:pPr>
      <w:r w:rsidRPr="003256EB">
        <w:rPr>
          <w:sz w:val="24"/>
          <w:szCs w:val="24"/>
        </w:rPr>
        <w:t xml:space="preserve">En filmovertrukket tablet indeholder 500 mg </w:t>
      </w:r>
      <w:proofErr w:type="spellStart"/>
      <w:r w:rsidRPr="003256EB">
        <w:rPr>
          <w:sz w:val="24"/>
          <w:szCs w:val="24"/>
        </w:rPr>
        <w:t>ursodeoxycholsyre</w:t>
      </w:r>
      <w:proofErr w:type="spellEnd"/>
      <w:r w:rsidRPr="003256EB">
        <w:rPr>
          <w:sz w:val="24"/>
          <w:szCs w:val="24"/>
        </w:rPr>
        <w:t xml:space="preserve"> som aktivt stof.</w:t>
      </w:r>
    </w:p>
    <w:p w:rsidR="003256EB" w:rsidRPr="003256EB" w:rsidRDefault="003256EB" w:rsidP="003256EB">
      <w:pPr>
        <w:tabs>
          <w:tab w:val="left" w:pos="851"/>
        </w:tabs>
        <w:ind w:left="851"/>
        <w:rPr>
          <w:sz w:val="24"/>
          <w:szCs w:val="24"/>
          <w:u w:val="single"/>
          <w:lang w:val="cs-CZ"/>
        </w:rPr>
      </w:pPr>
    </w:p>
    <w:p w:rsidR="003256EB" w:rsidRPr="003256EB" w:rsidRDefault="003256EB" w:rsidP="003256EB">
      <w:pPr>
        <w:tabs>
          <w:tab w:val="left" w:pos="851"/>
        </w:tabs>
        <w:ind w:left="851"/>
        <w:rPr>
          <w:sz w:val="24"/>
          <w:szCs w:val="24"/>
          <w:lang w:val="cs-CZ"/>
        </w:rPr>
      </w:pPr>
      <w:r w:rsidRPr="003256EB">
        <w:rPr>
          <w:sz w:val="24"/>
          <w:szCs w:val="24"/>
        </w:rPr>
        <w:t>Alle hjælpestoffer er anført under pkt. 6.1.</w:t>
      </w:r>
    </w:p>
    <w:p w:rsidR="009260DE" w:rsidRPr="003256EB"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86C13" w:rsidRDefault="00686C13" w:rsidP="00686C13">
      <w:pPr>
        <w:tabs>
          <w:tab w:val="left" w:pos="851"/>
        </w:tabs>
        <w:ind w:left="851"/>
        <w:rPr>
          <w:sz w:val="24"/>
          <w:szCs w:val="24"/>
        </w:rPr>
      </w:pPr>
      <w:r w:rsidRPr="00686C13">
        <w:rPr>
          <w:sz w:val="24"/>
          <w:szCs w:val="24"/>
        </w:rPr>
        <w:t>Filmovertruk</w:t>
      </w:r>
      <w:r>
        <w:rPr>
          <w:sz w:val="24"/>
          <w:szCs w:val="24"/>
        </w:rPr>
        <w:t>ne</w:t>
      </w:r>
      <w:r w:rsidRPr="00686C13">
        <w:rPr>
          <w:sz w:val="24"/>
          <w:szCs w:val="24"/>
        </w:rPr>
        <w:t xml:space="preserve"> tablet</w:t>
      </w:r>
      <w:r>
        <w:rPr>
          <w:sz w:val="24"/>
          <w:szCs w:val="24"/>
        </w:rPr>
        <w:t>ter</w:t>
      </w:r>
    </w:p>
    <w:p w:rsidR="00686C13" w:rsidRPr="00686C13" w:rsidRDefault="00686C13" w:rsidP="00686C13">
      <w:pPr>
        <w:tabs>
          <w:tab w:val="left" w:pos="851"/>
        </w:tabs>
        <w:ind w:left="851"/>
        <w:rPr>
          <w:sz w:val="24"/>
          <w:szCs w:val="24"/>
          <w:lang w:val="cs-CZ"/>
        </w:rPr>
      </w:pPr>
    </w:p>
    <w:p w:rsidR="00686C13" w:rsidRPr="00686C13" w:rsidRDefault="00686C13" w:rsidP="00686C13">
      <w:pPr>
        <w:tabs>
          <w:tab w:val="left" w:pos="851"/>
        </w:tabs>
        <w:ind w:left="851"/>
        <w:rPr>
          <w:sz w:val="24"/>
          <w:szCs w:val="24"/>
          <w:lang w:val="cs-CZ"/>
        </w:rPr>
      </w:pPr>
      <w:r w:rsidRPr="00686C13">
        <w:rPr>
          <w:sz w:val="24"/>
          <w:szCs w:val="24"/>
        </w:rPr>
        <w:t>Næsten hvid, aflang</w:t>
      </w:r>
      <w:r>
        <w:rPr>
          <w:sz w:val="24"/>
          <w:szCs w:val="24"/>
        </w:rPr>
        <w:t>,</w:t>
      </w:r>
      <w:r w:rsidRPr="00686C13">
        <w:rPr>
          <w:sz w:val="24"/>
          <w:szCs w:val="24"/>
        </w:rPr>
        <w:t xml:space="preserve"> filmovertrukket tablet med en delekærv på hver side og en længde på 17 mm og en bredde på 9 mm.</w:t>
      </w:r>
    </w:p>
    <w:p w:rsidR="00686C13" w:rsidRPr="00686C13" w:rsidRDefault="00686C13" w:rsidP="00686C13">
      <w:pPr>
        <w:tabs>
          <w:tab w:val="left" w:pos="851"/>
        </w:tabs>
        <w:ind w:left="851"/>
        <w:rPr>
          <w:sz w:val="24"/>
          <w:szCs w:val="24"/>
          <w:lang w:val="cs-CZ"/>
        </w:rPr>
      </w:pPr>
      <w:r w:rsidRPr="00686C13">
        <w:rPr>
          <w:sz w:val="24"/>
          <w:szCs w:val="24"/>
        </w:rPr>
        <w:t>Tabletten kan deles i lige store doser.</w:t>
      </w:r>
    </w:p>
    <w:p w:rsidR="009260DE" w:rsidRPr="00686C13" w:rsidRDefault="009260DE" w:rsidP="009260DE">
      <w:pPr>
        <w:tabs>
          <w:tab w:val="left" w:pos="851"/>
        </w:tabs>
        <w:ind w:left="851"/>
        <w:rPr>
          <w:sz w:val="24"/>
          <w:szCs w:val="24"/>
          <w:lang w:val="cs-CZ"/>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86C13" w:rsidRPr="00686C13" w:rsidRDefault="00686C13" w:rsidP="00686C13">
      <w:pPr>
        <w:tabs>
          <w:tab w:val="left" w:pos="851"/>
        </w:tabs>
        <w:ind w:left="851"/>
        <w:rPr>
          <w:sz w:val="24"/>
          <w:szCs w:val="24"/>
          <w:lang w:val="cs-CZ"/>
        </w:rPr>
      </w:pPr>
      <w:r w:rsidRPr="00686C13">
        <w:rPr>
          <w:sz w:val="24"/>
          <w:szCs w:val="24"/>
        </w:rPr>
        <w:t xml:space="preserve">Til opløsning af kolesterolgaldesten i galdeblæren. Galdestenene skal være røntgen-negative og have en diameter på under 15 mm. Galdeblæren skal fungere på trods af galdestenen/galdestenene. Til symptomatisk behandling af primær biliær cirrose (PBC), forudsat at der ikke er tale om </w:t>
      </w:r>
      <w:proofErr w:type="spellStart"/>
      <w:r w:rsidRPr="00686C13">
        <w:rPr>
          <w:sz w:val="24"/>
          <w:szCs w:val="24"/>
        </w:rPr>
        <w:t>dekompenseret</w:t>
      </w:r>
      <w:proofErr w:type="spellEnd"/>
      <w:r w:rsidRPr="00686C13">
        <w:rPr>
          <w:sz w:val="24"/>
          <w:szCs w:val="24"/>
        </w:rPr>
        <w:t xml:space="preserve"> levercirrose.</w:t>
      </w:r>
    </w:p>
    <w:p w:rsidR="00686C13" w:rsidRPr="00686C13" w:rsidRDefault="00686C13" w:rsidP="00686C13">
      <w:pPr>
        <w:tabs>
          <w:tab w:val="left" w:pos="851"/>
        </w:tabs>
        <w:ind w:left="851"/>
        <w:rPr>
          <w:sz w:val="24"/>
          <w:szCs w:val="24"/>
          <w:lang w:val="cs-CZ"/>
        </w:rPr>
      </w:pPr>
    </w:p>
    <w:p w:rsidR="00686C13" w:rsidRPr="00686C13" w:rsidRDefault="00686C13" w:rsidP="00686C13">
      <w:pPr>
        <w:tabs>
          <w:tab w:val="left" w:pos="851"/>
        </w:tabs>
        <w:ind w:left="851"/>
        <w:rPr>
          <w:iCs/>
          <w:sz w:val="24"/>
          <w:szCs w:val="24"/>
          <w:u w:val="single"/>
          <w:lang w:val="cs-CZ"/>
        </w:rPr>
      </w:pPr>
      <w:r w:rsidRPr="00686C13">
        <w:rPr>
          <w:sz w:val="24"/>
          <w:szCs w:val="24"/>
          <w:u w:val="single"/>
        </w:rPr>
        <w:t>Pædiatrisk population</w:t>
      </w:r>
    </w:p>
    <w:p w:rsidR="00686C13" w:rsidRPr="00686C13" w:rsidRDefault="00686C13" w:rsidP="00686C13">
      <w:pPr>
        <w:tabs>
          <w:tab w:val="left" w:pos="851"/>
        </w:tabs>
        <w:ind w:left="851"/>
        <w:rPr>
          <w:sz w:val="24"/>
          <w:szCs w:val="24"/>
          <w:lang w:val="cs-CZ"/>
        </w:rPr>
      </w:pPr>
      <w:r w:rsidRPr="00686C13">
        <w:rPr>
          <w:sz w:val="24"/>
          <w:szCs w:val="24"/>
        </w:rPr>
        <w:t>Til behandling af lever- og galdevejssygdomme forbundet med cystisk fibrose hos børn i alderen 6-18 år.</w:t>
      </w:r>
    </w:p>
    <w:p w:rsidR="009260DE" w:rsidRPr="00686C13"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C41AA" w:rsidRPr="004C41AA" w:rsidRDefault="004C41AA" w:rsidP="004C41AA">
      <w:pPr>
        <w:tabs>
          <w:tab w:val="left" w:pos="851"/>
        </w:tabs>
        <w:ind w:left="851"/>
        <w:rPr>
          <w:sz w:val="24"/>
          <w:szCs w:val="24"/>
          <w:lang w:val="cs-CZ"/>
        </w:rPr>
      </w:pPr>
    </w:p>
    <w:p w:rsidR="004C41AA" w:rsidRPr="000B6CDD" w:rsidRDefault="004C41AA" w:rsidP="004C41AA">
      <w:pPr>
        <w:tabs>
          <w:tab w:val="left" w:pos="851"/>
        </w:tabs>
        <w:ind w:left="851"/>
        <w:rPr>
          <w:b/>
          <w:sz w:val="24"/>
          <w:szCs w:val="24"/>
          <w:lang w:val="de-DE"/>
        </w:rPr>
      </w:pPr>
      <w:r w:rsidRPr="000B6CDD">
        <w:rPr>
          <w:b/>
          <w:sz w:val="24"/>
          <w:szCs w:val="24"/>
        </w:rPr>
        <w:t>Dosering</w:t>
      </w:r>
    </w:p>
    <w:p w:rsidR="004C41AA" w:rsidRPr="004C41AA" w:rsidRDefault="004C41AA" w:rsidP="004C41AA">
      <w:pPr>
        <w:tabs>
          <w:tab w:val="left" w:pos="851"/>
        </w:tabs>
        <w:ind w:left="851"/>
        <w:rPr>
          <w:sz w:val="24"/>
          <w:szCs w:val="24"/>
          <w:lang w:val="de-DE"/>
        </w:rPr>
      </w:pPr>
      <w:r w:rsidRPr="004C41AA">
        <w:rPr>
          <w:sz w:val="24"/>
          <w:szCs w:val="24"/>
        </w:rPr>
        <w:t>Følgende daglige dosis anbefales for de forskellige indikationer:</w:t>
      </w:r>
    </w:p>
    <w:p w:rsidR="004C41AA" w:rsidRPr="004C41AA" w:rsidRDefault="004C41AA" w:rsidP="004C41AA">
      <w:pPr>
        <w:tabs>
          <w:tab w:val="left" w:pos="851"/>
        </w:tabs>
        <w:ind w:left="851"/>
        <w:rPr>
          <w:sz w:val="24"/>
          <w:szCs w:val="24"/>
          <w:lang w:val="de-DE"/>
        </w:rPr>
      </w:pPr>
    </w:p>
    <w:p w:rsidR="004C41AA" w:rsidRPr="000B6CDD" w:rsidRDefault="004C41AA" w:rsidP="004C41AA">
      <w:pPr>
        <w:tabs>
          <w:tab w:val="left" w:pos="851"/>
        </w:tabs>
        <w:ind w:left="851"/>
        <w:rPr>
          <w:sz w:val="24"/>
          <w:szCs w:val="24"/>
          <w:u w:val="single"/>
          <w:lang w:val="de-DE"/>
        </w:rPr>
      </w:pPr>
      <w:r w:rsidRPr="000B6CDD">
        <w:rPr>
          <w:iCs/>
          <w:sz w:val="24"/>
          <w:szCs w:val="24"/>
          <w:u w:val="single"/>
        </w:rPr>
        <w:lastRenderedPageBreak/>
        <w:t>Til opløsning af kolesterolgaldesten</w:t>
      </w:r>
    </w:p>
    <w:p w:rsidR="004C41AA" w:rsidRPr="004C41AA" w:rsidRDefault="004C41AA" w:rsidP="004C41AA">
      <w:pPr>
        <w:tabs>
          <w:tab w:val="left" w:pos="851"/>
        </w:tabs>
        <w:ind w:left="851"/>
        <w:rPr>
          <w:sz w:val="24"/>
          <w:szCs w:val="24"/>
          <w:lang w:val="de-DE"/>
        </w:rPr>
      </w:pPr>
      <w:proofErr w:type="spellStart"/>
      <w:r w:rsidRPr="004C41AA">
        <w:rPr>
          <w:sz w:val="24"/>
          <w:szCs w:val="24"/>
        </w:rPr>
        <w:t>Proursan</w:t>
      </w:r>
      <w:proofErr w:type="spellEnd"/>
      <w:r w:rsidRPr="004C41AA">
        <w:rPr>
          <w:sz w:val="24"/>
          <w:szCs w:val="24"/>
        </w:rPr>
        <w:t xml:space="preserve"> er egnet til patienter med en legemsvægt på 47 kg eller derover. For patienter med en legemsvægt under 47 kg eller patienter, der ikke er i stand til at synke </w:t>
      </w:r>
      <w:proofErr w:type="spellStart"/>
      <w:r w:rsidRPr="004C41AA">
        <w:rPr>
          <w:sz w:val="24"/>
          <w:szCs w:val="24"/>
        </w:rPr>
        <w:t>Proursan</w:t>
      </w:r>
      <w:proofErr w:type="spellEnd"/>
      <w:r w:rsidRPr="004C41AA">
        <w:rPr>
          <w:sz w:val="24"/>
          <w:szCs w:val="24"/>
        </w:rPr>
        <w:t xml:space="preserve">, findes der andre lægemiddelformer (suspension) med </w:t>
      </w:r>
      <w:proofErr w:type="spellStart"/>
      <w:r w:rsidRPr="004C41AA">
        <w:rPr>
          <w:sz w:val="24"/>
          <w:szCs w:val="24"/>
        </w:rPr>
        <w:t>ursodeoxycholsyre</w:t>
      </w:r>
      <w:proofErr w:type="spellEnd"/>
      <w:r w:rsidRPr="004C41AA">
        <w:rPr>
          <w:sz w:val="24"/>
          <w:szCs w:val="24"/>
        </w:rPr>
        <w:t>.</w:t>
      </w:r>
    </w:p>
    <w:p w:rsidR="004C41AA" w:rsidRPr="004C41AA" w:rsidRDefault="004C41AA" w:rsidP="004C41AA">
      <w:pPr>
        <w:tabs>
          <w:tab w:val="left" w:pos="851"/>
        </w:tabs>
        <w:ind w:left="851"/>
        <w:rPr>
          <w:i/>
          <w:sz w:val="24"/>
          <w:szCs w:val="24"/>
          <w:u w:val="single"/>
          <w:lang w:val="de-DE"/>
        </w:rPr>
      </w:pPr>
    </w:p>
    <w:p w:rsidR="004C41AA" w:rsidRPr="004C41AA" w:rsidRDefault="004C41AA" w:rsidP="004C41AA">
      <w:pPr>
        <w:tabs>
          <w:tab w:val="left" w:pos="851"/>
        </w:tabs>
        <w:ind w:left="851"/>
        <w:rPr>
          <w:sz w:val="24"/>
          <w:szCs w:val="24"/>
          <w:lang w:val="de-DE"/>
        </w:rPr>
      </w:pPr>
      <w:r w:rsidRPr="004C41AA">
        <w:rPr>
          <w:sz w:val="24"/>
          <w:szCs w:val="24"/>
        </w:rPr>
        <w:t xml:space="preserve">Ca. 10 mg </w:t>
      </w:r>
      <w:proofErr w:type="spellStart"/>
      <w:r w:rsidRPr="004C41AA">
        <w:rPr>
          <w:sz w:val="24"/>
          <w:szCs w:val="24"/>
        </w:rPr>
        <w:t>ursodeoxycholsyre</w:t>
      </w:r>
      <w:proofErr w:type="spellEnd"/>
      <w:r w:rsidRPr="004C41AA">
        <w:rPr>
          <w:sz w:val="24"/>
          <w:szCs w:val="24"/>
        </w:rPr>
        <w:t xml:space="preserve"> pr. kg legemsvægt svarende til:</w:t>
      </w:r>
    </w:p>
    <w:p w:rsidR="004C41AA" w:rsidRPr="004C41AA" w:rsidRDefault="004C41AA" w:rsidP="004C41AA">
      <w:pPr>
        <w:tabs>
          <w:tab w:val="left" w:pos="851"/>
        </w:tabs>
        <w:ind w:left="851"/>
        <w:rPr>
          <w:sz w:val="24"/>
          <w:szCs w:val="24"/>
          <w:lang w:val="de-DE"/>
        </w:rPr>
      </w:pPr>
    </w:p>
    <w:tbl>
      <w:tblPr>
        <w:tblW w:w="56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tblGrid>
      <w:tr w:rsidR="004C41AA" w:rsidRPr="004C41AA" w:rsidTr="00EA5FB9">
        <w:tc>
          <w:tcPr>
            <w:tcW w:w="226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33"/>
              <w:rPr>
                <w:sz w:val="24"/>
                <w:szCs w:val="24"/>
                <w:lang w:val="de-DE"/>
              </w:rPr>
            </w:pPr>
            <w:r w:rsidRPr="004C41AA">
              <w:rPr>
                <w:sz w:val="24"/>
                <w:szCs w:val="24"/>
              </w:rPr>
              <w:t>47-60 kg</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110"/>
              <w:rPr>
                <w:sz w:val="24"/>
                <w:szCs w:val="24"/>
                <w:lang w:val="cs-CZ"/>
              </w:rPr>
            </w:pPr>
            <w:r w:rsidRPr="004C41AA">
              <w:rPr>
                <w:sz w:val="24"/>
                <w:szCs w:val="24"/>
              </w:rPr>
              <w:t>1 filmovertrukket tablet</w:t>
            </w:r>
          </w:p>
        </w:tc>
      </w:tr>
      <w:tr w:rsidR="004C41AA" w:rsidRPr="004C41AA" w:rsidTr="00EA5FB9">
        <w:tc>
          <w:tcPr>
            <w:tcW w:w="226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33"/>
              <w:rPr>
                <w:sz w:val="24"/>
                <w:szCs w:val="24"/>
                <w:lang w:val="de-DE"/>
              </w:rPr>
            </w:pPr>
            <w:r w:rsidRPr="004C41AA">
              <w:rPr>
                <w:sz w:val="24"/>
                <w:szCs w:val="24"/>
              </w:rPr>
              <w:t>61-80 kg</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110"/>
              <w:rPr>
                <w:sz w:val="24"/>
                <w:szCs w:val="24"/>
                <w:lang w:val="cs-CZ"/>
              </w:rPr>
            </w:pPr>
            <w:r w:rsidRPr="004C41AA">
              <w:rPr>
                <w:sz w:val="24"/>
                <w:szCs w:val="24"/>
              </w:rPr>
              <w:t>1½ filmovertrukket tablet</w:t>
            </w:r>
          </w:p>
        </w:tc>
      </w:tr>
      <w:tr w:rsidR="004C41AA" w:rsidRPr="004C41AA" w:rsidTr="00EA5FB9">
        <w:tc>
          <w:tcPr>
            <w:tcW w:w="226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33"/>
              <w:rPr>
                <w:sz w:val="24"/>
                <w:szCs w:val="24"/>
                <w:lang w:val="de-DE"/>
              </w:rPr>
            </w:pPr>
            <w:r w:rsidRPr="004C41AA">
              <w:rPr>
                <w:sz w:val="24"/>
                <w:szCs w:val="24"/>
              </w:rPr>
              <w:t>81-100 kg</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110"/>
              <w:rPr>
                <w:sz w:val="24"/>
                <w:szCs w:val="24"/>
                <w:lang w:val="cs-CZ"/>
              </w:rPr>
            </w:pPr>
            <w:r w:rsidRPr="004C41AA">
              <w:rPr>
                <w:sz w:val="24"/>
                <w:szCs w:val="24"/>
              </w:rPr>
              <w:t>2 filmovertrukne tabletter</w:t>
            </w:r>
          </w:p>
        </w:tc>
      </w:tr>
      <w:tr w:rsidR="004C41AA" w:rsidRPr="004C41AA" w:rsidTr="00EA5FB9">
        <w:tc>
          <w:tcPr>
            <w:tcW w:w="226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33"/>
              <w:rPr>
                <w:sz w:val="24"/>
                <w:szCs w:val="24"/>
                <w:lang w:val="de-DE"/>
              </w:rPr>
            </w:pPr>
            <w:r w:rsidRPr="004C41AA">
              <w:rPr>
                <w:sz w:val="24"/>
                <w:szCs w:val="24"/>
              </w:rPr>
              <w:t>over 100 kg</w:t>
            </w:r>
          </w:p>
        </w:tc>
        <w:tc>
          <w:tcPr>
            <w:tcW w:w="34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EA5FB9">
            <w:pPr>
              <w:ind w:left="110"/>
              <w:rPr>
                <w:sz w:val="24"/>
                <w:szCs w:val="24"/>
                <w:lang w:val="cs-CZ"/>
              </w:rPr>
            </w:pPr>
            <w:r w:rsidRPr="004C41AA">
              <w:rPr>
                <w:sz w:val="24"/>
                <w:szCs w:val="24"/>
              </w:rPr>
              <w:t>2½ filmovertrukne tabletter</w:t>
            </w:r>
          </w:p>
        </w:tc>
      </w:tr>
    </w:tbl>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de-DE"/>
        </w:rPr>
      </w:pPr>
      <w:r w:rsidRPr="004C41AA">
        <w:rPr>
          <w:sz w:val="24"/>
          <w:szCs w:val="24"/>
        </w:rPr>
        <w:t>De filmovertrukne tabletter bør tages om aftenen før sengetid.</w:t>
      </w:r>
    </w:p>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de-DE"/>
        </w:rPr>
      </w:pPr>
      <w:r w:rsidRPr="004C41AA">
        <w:rPr>
          <w:sz w:val="24"/>
          <w:szCs w:val="24"/>
        </w:rPr>
        <w:t>Der går typisk 6-24 måneder, før galdestenene er opløst. Hvis størrelsen af galdestenene ikke er blevet mindre efter 12 måneder, bør behandlingen ikke fortsættes.</w:t>
      </w:r>
    </w:p>
    <w:p w:rsidR="004C41AA" w:rsidRPr="004C41AA" w:rsidRDefault="004C41AA" w:rsidP="004C41AA">
      <w:pPr>
        <w:tabs>
          <w:tab w:val="left" w:pos="851"/>
        </w:tabs>
        <w:ind w:left="851"/>
        <w:rPr>
          <w:sz w:val="24"/>
          <w:szCs w:val="24"/>
          <w:lang w:val="cs-CZ"/>
        </w:rPr>
      </w:pPr>
      <w:r w:rsidRPr="004C41AA">
        <w:rPr>
          <w:sz w:val="24"/>
          <w:szCs w:val="24"/>
        </w:rPr>
        <w:t>Behandlingens virkning bør tjekkes ved ultralyds- eller røntgenundersøgelse hver 6. måned. Det bør også tjekkes ved kontrolundersøgelser, om der er sket forkalkning af stenene i mellemtiden. Hvis det er tilfældet, bør behandlingen standses.</w:t>
      </w:r>
    </w:p>
    <w:p w:rsidR="004C41AA" w:rsidRPr="004C41AA" w:rsidRDefault="004C41AA" w:rsidP="004C41AA">
      <w:pPr>
        <w:tabs>
          <w:tab w:val="left" w:pos="851"/>
        </w:tabs>
        <w:ind w:left="851"/>
        <w:rPr>
          <w:sz w:val="24"/>
          <w:szCs w:val="24"/>
          <w:u w:val="single"/>
          <w:lang w:val="de-DE"/>
        </w:rPr>
      </w:pPr>
    </w:p>
    <w:p w:rsidR="004C41AA" w:rsidRPr="000B6CDD" w:rsidRDefault="004C41AA" w:rsidP="004C41AA">
      <w:pPr>
        <w:tabs>
          <w:tab w:val="left" w:pos="851"/>
        </w:tabs>
        <w:ind w:left="851"/>
        <w:rPr>
          <w:sz w:val="24"/>
          <w:szCs w:val="24"/>
          <w:u w:val="single"/>
          <w:lang w:val="de-DE"/>
        </w:rPr>
      </w:pPr>
      <w:r w:rsidRPr="000B6CDD">
        <w:rPr>
          <w:iCs/>
          <w:sz w:val="24"/>
          <w:szCs w:val="24"/>
          <w:u w:val="single"/>
        </w:rPr>
        <w:t>Til symptomatisk behandling af primær biliær cirrose</w:t>
      </w:r>
    </w:p>
    <w:p w:rsidR="004C41AA" w:rsidRPr="004C41AA" w:rsidRDefault="004C41AA" w:rsidP="004C41AA">
      <w:pPr>
        <w:tabs>
          <w:tab w:val="left" w:pos="851"/>
        </w:tabs>
        <w:ind w:left="851"/>
        <w:rPr>
          <w:sz w:val="24"/>
          <w:szCs w:val="24"/>
          <w:lang w:val="de-DE"/>
        </w:rPr>
      </w:pPr>
      <w:proofErr w:type="spellStart"/>
      <w:r w:rsidRPr="004C41AA">
        <w:rPr>
          <w:sz w:val="24"/>
          <w:szCs w:val="24"/>
        </w:rPr>
        <w:t>Proursan</w:t>
      </w:r>
      <w:proofErr w:type="spellEnd"/>
      <w:r w:rsidRPr="004C41AA">
        <w:rPr>
          <w:sz w:val="24"/>
          <w:szCs w:val="24"/>
        </w:rPr>
        <w:t xml:space="preserve"> er egnet til patienter med en legemsvægt på 47 kg eller derover. For patienter med en legemsvægt under 47 kg eller patienter, der ikke er i stand til at synke </w:t>
      </w:r>
      <w:proofErr w:type="spellStart"/>
      <w:r w:rsidRPr="004C41AA">
        <w:rPr>
          <w:sz w:val="24"/>
          <w:szCs w:val="24"/>
        </w:rPr>
        <w:t>Proursan</w:t>
      </w:r>
      <w:proofErr w:type="spellEnd"/>
      <w:r w:rsidRPr="004C41AA">
        <w:rPr>
          <w:sz w:val="24"/>
          <w:szCs w:val="24"/>
        </w:rPr>
        <w:t xml:space="preserve">, findes der andre lægemiddelformer (suspension) med </w:t>
      </w:r>
      <w:proofErr w:type="spellStart"/>
      <w:r w:rsidRPr="004C41AA">
        <w:rPr>
          <w:sz w:val="24"/>
          <w:szCs w:val="24"/>
        </w:rPr>
        <w:t>ursodeoxycholsyre</w:t>
      </w:r>
      <w:proofErr w:type="spellEnd"/>
      <w:r w:rsidRPr="004C41AA">
        <w:rPr>
          <w:sz w:val="24"/>
          <w:szCs w:val="24"/>
        </w:rPr>
        <w:t>.</w:t>
      </w:r>
    </w:p>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de-DE"/>
        </w:rPr>
      </w:pPr>
      <w:r w:rsidRPr="004C41AA">
        <w:rPr>
          <w:sz w:val="24"/>
          <w:szCs w:val="24"/>
        </w:rPr>
        <w:t xml:space="preserve">Den daglige dosis afhænger af legemsvægten og er 1½-3½ filmovertrukne tabletter (14 ± 2 mg </w:t>
      </w:r>
      <w:proofErr w:type="spellStart"/>
      <w:r w:rsidRPr="004C41AA">
        <w:rPr>
          <w:sz w:val="24"/>
          <w:szCs w:val="24"/>
        </w:rPr>
        <w:t>ursodeoxycholsyre</w:t>
      </w:r>
      <w:proofErr w:type="spellEnd"/>
      <w:r w:rsidRPr="004C41AA">
        <w:rPr>
          <w:sz w:val="24"/>
          <w:szCs w:val="24"/>
        </w:rPr>
        <w:t xml:space="preserve"> pr. kg legemsvægt).</w:t>
      </w:r>
    </w:p>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de-DE"/>
        </w:rPr>
      </w:pPr>
      <w:r w:rsidRPr="004C41AA">
        <w:rPr>
          <w:sz w:val="24"/>
          <w:szCs w:val="24"/>
        </w:rPr>
        <w:t xml:space="preserve">I de første 3 måneder af behandlingen bør </w:t>
      </w:r>
      <w:proofErr w:type="spellStart"/>
      <w:r w:rsidRPr="004C41AA">
        <w:rPr>
          <w:sz w:val="24"/>
          <w:szCs w:val="24"/>
        </w:rPr>
        <w:t>Proursan</w:t>
      </w:r>
      <w:proofErr w:type="spellEnd"/>
      <w:r w:rsidRPr="004C41AA">
        <w:rPr>
          <w:sz w:val="24"/>
          <w:szCs w:val="24"/>
        </w:rPr>
        <w:t xml:space="preserve"> tages fordelt over dagen. Når leverværdierne er bedret, kan den daglige dosis tages </w:t>
      </w:r>
      <w:r w:rsidR="00742D51">
        <w:rPr>
          <w:sz w:val="24"/>
          <w:szCs w:val="24"/>
        </w:rPr>
        <w:t>e</w:t>
      </w:r>
      <w:r w:rsidRPr="004C41AA">
        <w:rPr>
          <w:sz w:val="24"/>
          <w:szCs w:val="24"/>
        </w:rPr>
        <w:t xml:space="preserve">n gang </w:t>
      </w:r>
      <w:r w:rsidR="00742D51">
        <w:rPr>
          <w:sz w:val="24"/>
          <w:szCs w:val="24"/>
        </w:rPr>
        <w:t>daglig</w:t>
      </w:r>
      <w:r w:rsidRPr="004C41AA">
        <w:rPr>
          <w:sz w:val="24"/>
          <w:szCs w:val="24"/>
        </w:rPr>
        <w:t xml:space="preserve"> (om aftenen).</w:t>
      </w:r>
    </w:p>
    <w:p w:rsidR="004C41AA" w:rsidRPr="004C41AA" w:rsidRDefault="004C41AA" w:rsidP="004C41AA">
      <w:pPr>
        <w:tabs>
          <w:tab w:val="left" w:pos="851"/>
        </w:tabs>
        <w:ind w:left="851"/>
        <w:rPr>
          <w:sz w:val="24"/>
          <w:szCs w:val="24"/>
          <w:lang w:val="de-DE"/>
        </w:rPr>
      </w:pPr>
    </w:p>
    <w:tbl>
      <w:tblPr>
        <w:tblW w:w="89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2300"/>
        <w:gridCol w:w="1222"/>
        <w:gridCol w:w="1200"/>
        <w:gridCol w:w="1201"/>
        <w:gridCol w:w="1937"/>
      </w:tblGrid>
      <w:tr w:rsidR="004C41AA" w:rsidRPr="004C41AA" w:rsidTr="00634096">
        <w:trPr>
          <w:trHeight w:val="313"/>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proofErr w:type="spellStart"/>
            <w:r w:rsidRPr="004C41AA">
              <w:rPr>
                <w:sz w:val="24"/>
                <w:szCs w:val="24"/>
              </w:rPr>
              <w:t>Legems</w:t>
            </w:r>
            <w:proofErr w:type="spellEnd"/>
            <w:r w:rsidR="000B6CDD">
              <w:rPr>
                <w:sz w:val="24"/>
                <w:szCs w:val="24"/>
              </w:rPr>
              <w:t>-</w:t>
            </w:r>
            <w:r w:rsidRPr="004C41AA">
              <w:rPr>
                <w:sz w:val="24"/>
                <w:szCs w:val="24"/>
              </w:rPr>
              <w:t>vægt (kg)</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cs-CZ"/>
              </w:rPr>
            </w:pPr>
            <w:r w:rsidRPr="004C41AA">
              <w:rPr>
                <w:sz w:val="24"/>
                <w:szCs w:val="24"/>
              </w:rPr>
              <w:t>Daglig dosis</w:t>
            </w:r>
          </w:p>
          <w:p w:rsidR="004C41AA" w:rsidRPr="004C41AA" w:rsidRDefault="004C41AA" w:rsidP="00DF49FA">
            <w:pPr>
              <w:rPr>
                <w:sz w:val="24"/>
                <w:szCs w:val="24"/>
                <w:lang w:val="de-DE"/>
              </w:rPr>
            </w:pPr>
            <w:r w:rsidRPr="004C41AA">
              <w:rPr>
                <w:sz w:val="24"/>
                <w:szCs w:val="24"/>
              </w:rPr>
              <w:t>(mg/kg legemsvægt)</w:t>
            </w:r>
          </w:p>
        </w:tc>
        <w:tc>
          <w:tcPr>
            <w:tcW w:w="5560" w:type="dxa"/>
            <w:gridSpan w:val="4"/>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cs-CZ"/>
              </w:rPr>
            </w:pPr>
            <w:proofErr w:type="spellStart"/>
            <w:r w:rsidRPr="004C41AA">
              <w:rPr>
                <w:sz w:val="24"/>
                <w:szCs w:val="24"/>
              </w:rPr>
              <w:t>Proursan</w:t>
            </w:r>
            <w:proofErr w:type="spellEnd"/>
            <w:r w:rsidRPr="004C41AA">
              <w:rPr>
                <w:sz w:val="24"/>
                <w:szCs w:val="24"/>
              </w:rPr>
              <w:t xml:space="preserve"> 500 mg filmovertrukne tabletter</w:t>
            </w:r>
          </w:p>
        </w:tc>
      </w:tr>
      <w:tr w:rsidR="004C41AA" w:rsidRPr="004C41AA" w:rsidTr="00634096">
        <w:trPr>
          <w:trHeight w:val="145"/>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p>
        </w:tc>
        <w:tc>
          <w:tcPr>
            <w:tcW w:w="3623" w:type="dxa"/>
            <w:gridSpan w:val="3"/>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b/>
                <w:bCs/>
                <w:sz w:val="24"/>
                <w:szCs w:val="24"/>
              </w:rPr>
              <w:t>Første 3 måneder</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b/>
                <w:bCs/>
                <w:sz w:val="24"/>
                <w:szCs w:val="24"/>
              </w:rPr>
              <w:t>Derefter</w:t>
            </w:r>
          </w:p>
        </w:tc>
      </w:tr>
      <w:tr w:rsidR="004C41AA" w:rsidRPr="004C41AA" w:rsidTr="00634096">
        <w:trPr>
          <w:trHeight w:val="145"/>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Morgen</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Middag</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Aften</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Aften</w:t>
            </w:r>
          </w:p>
          <w:p w:rsidR="004C41AA" w:rsidRPr="004C41AA" w:rsidRDefault="004C41AA" w:rsidP="00DF49FA">
            <w:pPr>
              <w:rPr>
                <w:sz w:val="24"/>
                <w:szCs w:val="24"/>
                <w:lang w:val="de-DE"/>
              </w:rPr>
            </w:pPr>
            <w:r w:rsidRPr="004C41AA">
              <w:rPr>
                <w:sz w:val="24"/>
                <w:szCs w:val="24"/>
              </w:rPr>
              <w:t xml:space="preserve">(1 gang </w:t>
            </w:r>
            <w:r w:rsidR="00742D51">
              <w:rPr>
                <w:sz w:val="24"/>
                <w:szCs w:val="24"/>
              </w:rPr>
              <w:t>daglig</w:t>
            </w:r>
            <w:r w:rsidRPr="004C41AA">
              <w:rPr>
                <w:sz w:val="24"/>
                <w:szCs w:val="24"/>
              </w:rPr>
              <w:t xml:space="preserve">) </w:t>
            </w:r>
          </w:p>
        </w:tc>
      </w:tr>
      <w:tr w:rsidR="004C41AA" w:rsidRPr="004C41AA" w:rsidTr="00634096">
        <w:trPr>
          <w:trHeight w:val="313"/>
        </w:trPr>
        <w:tc>
          <w:tcPr>
            <w:tcW w:w="11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r w:rsidRPr="004C41AA">
              <w:rPr>
                <w:sz w:val="24"/>
                <w:szCs w:val="24"/>
              </w:rPr>
              <w:t>47-62</w:t>
            </w:r>
          </w:p>
        </w:tc>
        <w:tc>
          <w:tcPr>
            <w:tcW w:w="23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12-16</w:t>
            </w: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1½</w:t>
            </w:r>
          </w:p>
        </w:tc>
      </w:tr>
      <w:tr w:rsidR="004C41AA" w:rsidRPr="004C41AA" w:rsidTr="00634096">
        <w:trPr>
          <w:trHeight w:val="313"/>
        </w:trPr>
        <w:tc>
          <w:tcPr>
            <w:tcW w:w="11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r w:rsidRPr="004C41AA">
              <w:rPr>
                <w:sz w:val="24"/>
                <w:szCs w:val="24"/>
              </w:rPr>
              <w:t>63-78</w:t>
            </w:r>
          </w:p>
        </w:tc>
        <w:tc>
          <w:tcPr>
            <w:tcW w:w="23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13-16</w:t>
            </w: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2</w:t>
            </w:r>
          </w:p>
        </w:tc>
      </w:tr>
      <w:tr w:rsidR="004C41AA" w:rsidRPr="004C41AA" w:rsidTr="00634096">
        <w:trPr>
          <w:trHeight w:val="325"/>
        </w:trPr>
        <w:tc>
          <w:tcPr>
            <w:tcW w:w="11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r w:rsidRPr="004C41AA">
              <w:rPr>
                <w:sz w:val="24"/>
                <w:szCs w:val="24"/>
              </w:rPr>
              <w:t>79-93</w:t>
            </w:r>
          </w:p>
        </w:tc>
        <w:tc>
          <w:tcPr>
            <w:tcW w:w="23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13-16</w:t>
            </w: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½</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2½</w:t>
            </w:r>
          </w:p>
        </w:tc>
      </w:tr>
      <w:tr w:rsidR="004C41AA" w:rsidRPr="004C41AA" w:rsidTr="00634096">
        <w:trPr>
          <w:trHeight w:val="313"/>
        </w:trPr>
        <w:tc>
          <w:tcPr>
            <w:tcW w:w="11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r w:rsidRPr="004C41AA">
              <w:rPr>
                <w:sz w:val="24"/>
                <w:szCs w:val="24"/>
              </w:rPr>
              <w:t>94-109</w:t>
            </w:r>
          </w:p>
        </w:tc>
        <w:tc>
          <w:tcPr>
            <w:tcW w:w="23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14-16</w:t>
            </w: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3</w:t>
            </w:r>
          </w:p>
        </w:tc>
      </w:tr>
      <w:tr w:rsidR="004C41AA" w:rsidRPr="004C41AA" w:rsidTr="00634096">
        <w:trPr>
          <w:trHeight w:val="325"/>
        </w:trPr>
        <w:tc>
          <w:tcPr>
            <w:tcW w:w="110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ind w:left="33"/>
              <w:rPr>
                <w:sz w:val="24"/>
                <w:szCs w:val="24"/>
                <w:lang w:val="de-DE"/>
              </w:rPr>
            </w:pPr>
            <w:r w:rsidRPr="004C41AA">
              <w:rPr>
                <w:sz w:val="24"/>
                <w:szCs w:val="24"/>
              </w:rPr>
              <w:t>over 110</w:t>
            </w:r>
          </w:p>
        </w:tc>
        <w:tc>
          <w:tcPr>
            <w:tcW w:w="23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w:t>
            </w:r>
          </w:p>
        </w:tc>
        <w:tc>
          <w:tcPr>
            <w:tcW w:w="1222"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1½</w:t>
            </w:r>
          </w:p>
        </w:tc>
        <w:tc>
          <w:tcPr>
            <w:tcW w:w="1937"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DF49FA">
            <w:pPr>
              <w:rPr>
                <w:sz w:val="24"/>
                <w:szCs w:val="24"/>
                <w:lang w:val="de-DE"/>
              </w:rPr>
            </w:pPr>
            <w:r w:rsidRPr="004C41AA">
              <w:rPr>
                <w:sz w:val="24"/>
                <w:szCs w:val="24"/>
              </w:rPr>
              <w:t>3½</w:t>
            </w:r>
          </w:p>
        </w:tc>
      </w:tr>
    </w:tbl>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de-DE"/>
        </w:rPr>
      </w:pPr>
      <w:r w:rsidRPr="004C41AA">
        <w:rPr>
          <w:sz w:val="24"/>
          <w:szCs w:val="24"/>
        </w:rPr>
        <w:t xml:space="preserve">Brugen af </w:t>
      </w:r>
      <w:proofErr w:type="spellStart"/>
      <w:r w:rsidRPr="004C41AA">
        <w:rPr>
          <w:sz w:val="24"/>
          <w:szCs w:val="24"/>
        </w:rPr>
        <w:t>Proursan</w:t>
      </w:r>
      <w:proofErr w:type="spellEnd"/>
      <w:r w:rsidRPr="004C41AA">
        <w:rPr>
          <w:sz w:val="24"/>
          <w:szCs w:val="24"/>
        </w:rPr>
        <w:t xml:space="preserve"> ved primær biliær cirrose kan fortsætte på ubestemt tid.</w:t>
      </w:r>
    </w:p>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lang w:val="cs-CZ"/>
        </w:rPr>
      </w:pPr>
      <w:r w:rsidRPr="004C41AA">
        <w:rPr>
          <w:sz w:val="24"/>
          <w:szCs w:val="24"/>
        </w:rPr>
        <w:t>Det er muligt, at de kliniske symptomer hos patienter med primær biliær cirrose forværres i begyndelsen af behandlingen, f.eks. at eventuel kløe bliver værre. Hvis det er tilfældet, fortsættes behandlingen med ½ filmovertrukket tablet pr. dag, og den trappes gradvist op (med en stigning i daglig dosis på ½ filmovertrukket tablet pr. uge), indtil den planlagte dosis i doseringsplanen er nået igen.</w:t>
      </w:r>
    </w:p>
    <w:p w:rsidR="00634096" w:rsidRDefault="00634096">
      <w:pPr>
        <w:rPr>
          <w:i/>
          <w:iCs/>
          <w:sz w:val="24"/>
          <w:szCs w:val="24"/>
          <w:lang w:val="cs-CZ"/>
        </w:rPr>
      </w:pPr>
      <w:r>
        <w:rPr>
          <w:i/>
          <w:iCs/>
          <w:sz w:val="24"/>
          <w:szCs w:val="24"/>
          <w:lang w:val="cs-CZ"/>
        </w:rPr>
        <w:br w:type="page"/>
      </w:r>
    </w:p>
    <w:p w:rsidR="004C41AA" w:rsidRPr="004C41AA" w:rsidRDefault="004C41AA" w:rsidP="00634096">
      <w:pPr>
        <w:tabs>
          <w:tab w:val="left" w:pos="851"/>
        </w:tabs>
        <w:ind w:left="851" w:firstLine="1304"/>
        <w:rPr>
          <w:i/>
          <w:iCs/>
          <w:sz w:val="24"/>
          <w:szCs w:val="24"/>
          <w:lang w:val="cs-CZ"/>
        </w:rPr>
      </w:pPr>
    </w:p>
    <w:p w:rsidR="004C41AA" w:rsidRPr="00282F62" w:rsidRDefault="004C41AA" w:rsidP="004C41AA">
      <w:pPr>
        <w:tabs>
          <w:tab w:val="left" w:pos="851"/>
        </w:tabs>
        <w:ind w:left="851"/>
        <w:rPr>
          <w:iCs/>
          <w:sz w:val="24"/>
          <w:szCs w:val="24"/>
          <w:u w:val="single"/>
          <w:lang w:val="cs-CZ"/>
        </w:rPr>
      </w:pPr>
      <w:r w:rsidRPr="00282F62">
        <w:rPr>
          <w:iCs/>
          <w:sz w:val="24"/>
          <w:szCs w:val="24"/>
          <w:u w:val="single"/>
        </w:rPr>
        <w:t>Pædiatrisk population</w:t>
      </w:r>
    </w:p>
    <w:p w:rsidR="00282F62" w:rsidRDefault="00282F62" w:rsidP="004C41AA">
      <w:pPr>
        <w:tabs>
          <w:tab w:val="left" w:pos="851"/>
        </w:tabs>
        <w:ind w:left="851"/>
        <w:rPr>
          <w:i/>
          <w:iCs/>
          <w:sz w:val="24"/>
          <w:szCs w:val="24"/>
          <w:u w:val="single"/>
        </w:rPr>
      </w:pPr>
    </w:p>
    <w:p w:rsidR="004C41AA" w:rsidRPr="00282F62" w:rsidRDefault="004C41AA" w:rsidP="004C41AA">
      <w:pPr>
        <w:tabs>
          <w:tab w:val="left" w:pos="851"/>
        </w:tabs>
        <w:ind w:left="851"/>
        <w:rPr>
          <w:i/>
          <w:sz w:val="24"/>
          <w:szCs w:val="24"/>
          <w:lang w:val="cs-CZ"/>
        </w:rPr>
      </w:pPr>
      <w:r w:rsidRPr="00282F62">
        <w:rPr>
          <w:i/>
          <w:iCs/>
          <w:sz w:val="24"/>
          <w:szCs w:val="24"/>
        </w:rPr>
        <w:t>Børn med cystisk fibrose i alderen 6 til 18 år</w:t>
      </w:r>
    </w:p>
    <w:p w:rsidR="004C41AA" w:rsidRPr="004C41AA" w:rsidRDefault="004C41AA" w:rsidP="004C41AA">
      <w:pPr>
        <w:tabs>
          <w:tab w:val="left" w:pos="851"/>
        </w:tabs>
        <w:ind w:left="851"/>
        <w:rPr>
          <w:sz w:val="24"/>
          <w:szCs w:val="24"/>
          <w:lang w:val="cs-CZ"/>
        </w:rPr>
      </w:pPr>
      <w:r w:rsidRPr="004C41AA">
        <w:rPr>
          <w:sz w:val="24"/>
          <w:szCs w:val="24"/>
        </w:rPr>
        <w:t>20 mg/kg/dag i 2-3 opdelte doser med en yderligere stigning til 30 mg/kg/dag om nødvendigt.</w:t>
      </w:r>
    </w:p>
    <w:p w:rsidR="004C41AA" w:rsidRPr="004C41AA" w:rsidRDefault="004C41AA" w:rsidP="004C41AA">
      <w:pPr>
        <w:tabs>
          <w:tab w:val="left" w:pos="851"/>
        </w:tabs>
        <w:ind w:left="851"/>
        <w:rPr>
          <w:sz w:val="24"/>
          <w:szCs w:val="24"/>
          <w:lang w:val="cs-CZ"/>
        </w:rPr>
      </w:pPr>
    </w:p>
    <w:tbl>
      <w:tblPr>
        <w:tblW w:w="6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538"/>
        <w:gridCol w:w="1539"/>
        <w:gridCol w:w="1539"/>
      </w:tblGrid>
      <w:tr w:rsidR="004C41AA" w:rsidRPr="004C41AA" w:rsidTr="00282F62">
        <w:trPr>
          <w:trHeight w:val="2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Legemsvægt (kg)</w:t>
            </w:r>
          </w:p>
        </w:tc>
        <w:tc>
          <w:tcPr>
            <w:tcW w:w="4616" w:type="dxa"/>
            <w:gridSpan w:val="3"/>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proofErr w:type="spellStart"/>
            <w:r w:rsidRPr="004C41AA">
              <w:rPr>
                <w:sz w:val="24"/>
                <w:szCs w:val="24"/>
              </w:rPr>
              <w:t>Proursan</w:t>
            </w:r>
            <w:proofErr w:type="spellEnd"/>
            <w:r w:rsidRPr="004C41AA">
              <w:rPr>
                <w:sz w:val="24"/>
                <w:szCs w:val="24"/>
              </w:rPr>
              <w:t xml:space="preserve"> 500 mg filmovertrukne tabletter</w:t>
            </w:r>
          </w:p>
        </w:tc>
      </w:tr>
      <w:tr w:rsidR="004C41AA" w:rsidRPr="004C41AA" w:rsidTr="00282F62">
        <w:trPr>
          <w:trHeight w:val="148"/>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Morgen</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Middag</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Aften</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20-29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30-39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40-49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r>
      <w:tr w:rsidR="004C41AA" w:rsidRPr="004C41AA" w:rsidTr="00282F62">
        <w:trPr>
          <w:trHeight w:val="308"/>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50-59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r>
      <w:tr w:rsidR="004C41AA" w:rsidRPr="004C41AA" w:rsidTr="00282F62">
        <w:trPr>
          <w:trHeight w:val="332"/>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60-69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70-79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80-89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r>
      <w:tr w:rsidR="004C41AA" w:rsidRPr="004C41AA" w:rsidTr="00282F62">
        <w:trPr>
          <w:trHeight w:val="320"/>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90-99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r>
      <w:tr w:rsidR="004C41AA" w:rsidRPr="004C41AA" w:rsidTr="00282F62">
        <w:trPr>
          <w:trHeight w:val="308"/>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100-109</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2</w:t>
            </w:r>
          </w:p>
        </w:tc>
      </w:tr>
      <w:tr w:rsidR="004C41AA" w:rsidRPr="004C41AA" w:rsidTr="00282F62">
        <w:trPr>
          <w:trHeight w:val="332"/>
        </w:trPr>
        <w:tc>
          <w:tcPr>
            <w:tcW w:w="1384"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282F62">
            <w:pPr>
              <w:ind w:left="33"/>
              <w:rPr>
                <w:sz w:val="24"/>
                <w:szCs w:val="24"/>
                <w:lang w:val="cs-CZ"/>
              </w:rPr>
            </w:pPr>
            <w:r w:rsidRPr="004C41AA">
              <w:rPr>
                <w:sz w:val="24"/>
                <w:szCs w:val="24"/>
              </w:rPr>
              <w:t>over 110</w:t>
            </w:r>
          </w:p>
        </w:tc>
        <w:tc>
          <w:tcPr>
            <w:tcW w:w="1538"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1½</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2</w:t>
            </w:r>
          </w:p>
        </w:tc>
        <w:tc>
          <w:tcPr>
            <w:tcW w:w="1539" w:type="dxa"/>
            <w:tcBorders>
              <w:top w:val="single" w:sz="4" w:space="0" w:color="auto"/>
              <w:left w:val="single" w:sz="4" w:space="0" w:color="auto"/>
              <w:bottom w:val="single" w:sz="4" w:space="0" w:color="auto"/>
              <w:right w:val="single" w:sz="4" w:space="0" w:color="auto"/>
            </w:tcBorders>
            <w:vAlign w:val="center"/>
            <w:hideMark/>
          </w:tcPr>
          <w:p w:rsidR="004C41AA" w:rsidRPr="004C41AA" w:rsidRDefault="004C41AA" w:rsidP="003F543A">
            <w:pPr>
              <w:ind w:left="70"/>
              <w:rPr>
                <w:sz w:val="24"/>
                <w:szCs w:val="24"/>
                <w:lang w:val="cs-CZ"/>
              </w:rPr>
            </w:pPr>
            <w:r w:rsidRPr="004C41AA">
              <w:rPr>
                <w:sz w:val="24"/>
                <w:szCs w:val="24"/>
              </w:rPr>
              <w:t>2</w:t>
            </w:r>
          </w:p>
        </w:tc>
      </w:tr>
    </w:tbl>
    <w:p w:rsidR="004C41AA" w:rsidRPr="004C41AA" w:rsidRDefault="004C41AA" w:rsidP="004C41AA">
      <w:pPr>
        <w:tabs>
          <w:tab w:val="left" w:pos="851"/>
        </w:tabs>
        <w:ind w:left="851"/>
        <w:rPr>
          <w:sz w:val="24"/>
          <w:szCs w:val="24"/>
          <w:lang w:val="de-DE"/>
        </w:rPr>
      </w:pPr>
    </w:p>
    <w:p w:rsidR="004C41AA" w:rsidRPr="004C41AA" w:rsidRDefault="004C41AA" w:rsidP="004C41AA">
      <w:pPr>
        <w:tabs>
          <w:tab w:val="left" w:pos="851"/>
        </w:tabs>
        <w:ind w:left="851"/>
        <w:rPr>
          <w:sz w:val="24"/>
          <w:szCs w:val="24"/>
          <w:u w:val="single"/>
          <w:lang w:val="de-DE"/>
        </w:rPr>
      </w:pPr>
      <w:proofErr w:type="spellStart"/>
      <w:r w:rsidRPr="004C41AA">
        <w:rPr>
          <w:sz w:val="24"/>
          <w:szCs w:val="24"/>
        </w:rPr>
        <w:t>Proursan</w:t>
      </w:r>
      <w:proofErr w:type="spellEnd"/>
      <w:r w:rsidRPr="004C41AA">
        <w:rPr>
          <w:sz w:val="24"/>
          <w:szCs w:val="24"/>
        </w:rPr>
        <w:t xml:space="preserve"> er ikke egnet til børn under 6 år på grund af lægemiddelform og styrke.</w:t>
      </w:r>
    </w:p>
    <w:p w:rsidR="004C41AA" w:rsidRPr="004C41AA" w:rsidRDefault="004C41AA" w:rsidP="004C41AA">
      <w:pPr>
        <w:tabs>
          <w:tab w:val="left" w:pos="851"/>
        </w:tabs>
        <w:ind w:left="851"/>
        <w:rPr>
          <w:sz w:val="24"/>
          <w:szCs w:val="24"/>
          <w:u w:val="single"/>
          <w:lang w:val="de-DE"/>
        </w:rPr>
      </w:pPr>
    </w:p>
    <w:p w:rsidR="004C41AA" w:rsidRPr="00282F62" w:rsidRDefault="004C41AA" w:rsidP="004C41AA">
      <w:pPr>
        <w:tabs>
          <w:tab w:val="left" w:pos="851"/>
        </w:tabs>
        <w:ind w:left="851"/>
        <w:rPr>
          <w:b/>
          <w:sz w:val="24"/>
          <w:szCs w:val="24"/>
          <w:lang w:val="de-DE"/>
        </w:rPr>
      </w:pPr>
      <w:r w:rsidRPr="00282F62">
        <w:rPr>
          <w:b/>
          <w:sz w:val="24"/>
          <w:szCs w:val="24"/>
        </w:rPr>
        <w:t>Administration</w:t>
      </w:r>
    </w:p>
    <w:p w:rsidR="004C41AA" w:rsidRPr="004C41AA" w:rsidRDefault="004C41AA" w:rsidP="004C41AA">
      <w:pPr>
        <w:tabs>
          <w:tab w:val="left" w:pos="851"/>
        </w:tabs>
        <w:ind w:left="851"/>
        <w:rPr>
          <w:sz w:val="24"/>
          <w:szCs w:val="24"/>
          <w:lang w:val="de-DE"/>
        </w:rPr>
      </w:pPr>
      <w:r w:rsidRPr="004C41AA">
        <w:rPr>
          <w:sz w:val="24"/>
          <w:szCs w:val="24"/>
        </w:rPr>
        <w:t>De filmovertrukne tabletter skal synkes hele sammen med væske.</w:t>
      </w:r>
    </w:p>
    <w:p w:rsidR="004C41AA" w:rsidRPr="004C41AA" w:rsidRDefault="004C41AA" w:rsidP="004C41AA">
      <w:pPr>
        <w:tabs>
          <w:tab w:val="left" w:pos="851"/>
        </w:tabs>
        <w:ind w:left="851"/>
        <w:rPr>
          <w:sz w:val="24"/>
          <w:szCs w:val="24"/>
          <w:lang w:val="de-DE"/>
        </w:rPr>
      </w:pPr>
      <w:r w:rsidRPr="004C41AA">
        <w:rPr>
          <w:sz w:val="24"/>
          <w:szCs w:val="24"/>
        </w:rPr>
        <w:t>Tabletterne skal tages regelmæssigt.</w:t>
      </w:r>
    </w:p>
    <w:p w:rsidR="004C41AA" w:rsidRPr="004C41AA" w:rsidRDefault="004C41AA" w:rsidP="004C41AA">
      <w:pPr>
        <w:tabs>
          <w:tab w:val="left" w:pos="851"/>
        </w:tabs>
        <w:ind w:left="851"/>
        <w:rPr>
          <w:sz w:val="24"/>
          <w:szCs w:val="24"/>
          <w:lang w:val="de-DE"/>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F543A" w:rsidRPr="003F543A" w:rsidRDefault="003F543A" w:rsidP="003F543A">
      <w:pPr>
        <w:tabs>
          <w:tab w:val="left" w:pos="851"/>
        </w:tabs>
        <w:ind w:left="851"/>
        <w:rPr>
          <w:sz w:val="24"/>
          <w:szCs w:val="24"/>
          <w:lang w:val="cs-CZ"/>
        </w:rPr>
      </w:pPr>
      <w:proofErr w:type="spellStart"/>
      <w:r w:rsidRPr="003F543A">
        <w:rPr>
          <w:sz w:val="24"/>
          <w:szCs w:val="24"/>
        </w:rPr>
        <w:t>Proursan</w:t>
      </w:r>
      <w:proofErr w:type="spellEnd"/>
      <w:r w:rsidRPr="003F543A">
        <w:rPr>
          <w:sz w:val="24"/>
          <w:szCs w:val="24"/>
        </w:rPr>
        <w:t xml:space="preserve"> må ikke anvendes til patienter med:</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t>overfølsomhed over for galdesyrer eller over for et eller flere af hjælpestofferne anført i pkt. 6.1.</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t>akut inflammation i galdeblæren og galdevejene</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r>
      <w:proofErr w:type="spellStart"/>
      <w:r w:rsidRPr="003F543A">
        <w:rPr>
          <w:sz w:val="24"/>
          <w:szCs w:val="24"/>
        </w:rPr>
        <w:t>okklusion</w:t>
      </w:r>
      <w:proofErr w:type="spellEnd"/>
      <w:r w:rsidRPr="003F543A">
        <w:rPr>
          <w:sz w:val="24"/>
          <w:szCs w:val="24"/>
        </w:rPr>
        <w:t xml:space="preserve"> af galdevejene (</w:t>
      </w:r>
      <w:proofErr w:type="spellStart"/>
      <w:r w:rsidRPr="003F543A">
        <w:rPr>
          <w:sz w:val="24"/>
          <w:szCs w:val="24"/>
        </w:rPr>
        <w:t>okklusion</w:t>
      </w:r>
      <w:proofErr w:type="spellEnd"/>
      <w:r w:rsidRPr="003F543A">
        <w:rPr>
          <w:sz w:val="24"/>
          <w:szCs w:val="24"/>
        </w:rPr>
        <w:t xml:space="preserve"> af den fælles galdegang eller galdeblæregangen)</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t>hyppige episoder med biliær kolik</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t>røntgentætte, forkalkede galdesten</w:t>
      </w:r>
    </w:p>
    <w:p w:rsidR="003F543A" w:rsidRPr="003F543A" w:rsidRDefault="003F543A" w:rsidP="003F543A">
      <w:pPr>
        <w:tabs>
          <w:tab w:val="left" w:pos="1134"/>
        </w:tabs>
        <w:ind w:left="1134" w:hanging="283"/>
        <w:rPr>
          <w:sz w:val="24"/>
          <w:szCs w:val="24"/>
          <w:lang w:val="cs-CZ"/>
        </w:rPr>
      </w:pPr>
      <w:r w:rsidRPr="003F543A">
        <w:rPr>
          <w:sz w:val="24"/>
          <w:szCs w:val="24"/>
        </w:rPr>
        <w:t>-</w:t>
      </w:r>
      <w:r w:rsidRPr="003F543A">
        <w:rPr>
          <w:sz w:val="24"/>
          <w:szCs w:val="24"/>
        </w:rPr>
        <w:tab/>
        <w:t xml:space="preserve">nedsat </w:t>
      </w:r>
      <w:proofErr w:type="spellStart"/>
      <w:r w:rsidRPr="003F543A">
        <w:rPr>
          <w:sz w:val="24"/>
          <w:szCs w:val="24"/>
        </w:rPr>
        <w:t>kontraktilitet</w:t>
      </w:r>
      <w:proofErr w:type="spellEnd"/>
      <w:r w:rsidRPr="003F543A">
        <w:rPr>
          <w:sz w:val="24"/>
          <w:szCs w:val="24"/>
        </w:rPr>
        <w:t xml:space="preserve"> af galdeblæren</w:t>
      </w:r>
    </w:p>
    <w:p w:rsidR="003F543A" w:rsidRPr="003F543A" w:rsidRDefault="003F543A" w:rsidP="003F543A">
      <w:pPr>
        <w:tabs>
          <w:tab w:val="left" w:pos="851"/>
        </w:tabs>
        <w:ind w:left="851"/>
        <w:rPr>
          <w:sz w:val="24"/>
          <w:szCs w:val="24"/>
          <w:lang w:val="cs-CZ"/>
        </w:rPr>
      </w:pPr>
    </w:p>
    <w:p w:rsidR="003F543A" w:rsidRPr="003F543A" w:rsidRDefault="003F543A" w:rsidP="003F543A">
      <w:pPr>
        <w:tabs>
          <w:tab w:val="left" w:pos="851"/>
        </w:tabs>
        <w:ind w:left="851"/>
        <w:rPr>
          <w:sz w:val="24"/>
          <w:szCs w:val="24"/>
          <w:u w:val="single"/>
          <w:lang w:val="cs-CZ"/>
        </w:rPr>
      </w:pPr>
      <w:r w:rsidRPr="003F543A">
        <w:rPr>
          <w:sz w:val="24"/>
          <w:szCs w:val="24"/>
          <w:u w:val="single"/>
        </w:rPr>
        <w:t>Pædiatrisk population</w:t>
      </w:r>
    </w:p>
    <w:p w:rsidR="003F543A" w:rsidRPr="003F543A" w:rsidRDefault="003F543A" w:rsidP="001F2500">
      <w:pPr>
        <w:numPr>
          <w:ilvl w:val="0"/>
          <w:numId w:val="6"/>
        </w:numPr>
        <w:tabs>
          <w:tab w:val="left" w:pos="851"/>
        </w:tabs>
        <w:ind w:left="1134" w:hanging="283"/>
        <w:rPr>
          <w:sz w:val="24"/>
          <w:szCs w:val="24"/>
          <w:u w:val="single"/>
          <w:lang w:val="cs-CZ"/>
        </w:rPr>
      </w:pPr>
      <w:r w:rsidRPr="003F543A">
        <w:rPr>
          <w:sz w:val="24"/>
          <w:szCs w:val="24"/>
        </w:rPr>
        <w:t xml:space="preserve">Mislykket </w:t>
      </w:r>
      <w:proofErr w:type="spellStart"/>
      <w:r w:rsidRPr="003F543A">
        <w:rPr>
          <w:sz w:val="24"/>
          <w:szCs w:val="24"/>
        </w:rPr>
        <w:t>portoenterostomi</w:t>
      </w:r>
      <w:proofErr w:type="spellEnd"/>
      <w:r w:rsidRPr="003F543A">
        <w:rPr>
          <w:sz w:val="24"/>
          <w:szCs w:val="24"/>
        </w:rPr>
        <w:t xml:space="preserve"> eller ved udeblivelse af funktionel galdestrøm hos børn med biliær atresi.</w:t>
      </w:r>
    </w:p>
    <w:p w:rsidR="009260DE" w:rsidRPr="003F543A"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631BC" w:rsidRPr="003631BC" w:rsidRDefault="003631BC" w:rsidP="003631BC">
      <w:pPr>
        <w:tabs>
          <w:tab w:val="left" w:pos="851"/>
        </w:tabs>
        <w:ind w:left="851"/>
        <w:rPr>
          <w:sz w:val="24"/>
          <w:szCs w:val="24"/>
          <w:lang w:val="de-DE"/>
        </w:rPr>
      </w:pPr>
      <w:proofErr w:type="spellStart"/>
      <w:r w:rsidRPr="003631BC">
        <w:rPr>
          <w:sz w:val="24"/>
          <w:szCs w:val="24"/>
        </w:rPr>
        <w:t>Proursan</w:t>
      </w:r>
      <w:proofErr w:type="spellEnd"/>
      <w:r w:rsidRPr="003631BC">
        <w:rPr>
          <w:sz w:val="24"/>
          <w:szCs w:val="24"/>
        </w:rPr>
        <w:t xml:space="preserve"> skal tages under lægelig overvågning.</w:t>
      </w:r>
    </w:p>
    <w:p w:rsidR="003631BC" w:rsidRPr="003631BC" w:rsidRDefault="003631BC" w:rsidP="003631BC">
      <w:pPr>
        <w:tabs>
          <w:tab w:val="left" w:pos="851"/>
        </w:tabs>
        <w:ind w:left="851"/>
        <w:rPr>
          <w:sz w:val="24"/>
          <w:szCs w:val="24"/>
          <w:lang w:val="de-DE"/>
        </w:rPr>
      </w:pPr>
    </w:p>
    <w:p w:rsidR="003631BC" w:rsidRPr="003631BC" w:rsidRDefault="003631BC" w:rsidP="003631BC">
      <w:pPr>
        <w:tabs>
          <w:tab w:val="left" w:pos="851"/>
        </w:tabs>
        <w:ind w:left="851"/>
        <w:rPr>
          <w:sz w:val="24"/>
          <w:szCs w:val="24"/>
          <w:lang w:val="de-DE"/>
        </w:rPr>
      </w:pPr>
      <w:proofErr w:type="spellStart"/>
      <w:r w:rsidRPr="003631BC">
        <w:rPr>
          <w:sz w:val="24"/>
          <w:szCs w:val="24"/>
        </w:rPr>
        <w:t>Proursan</w:t>
      </w:r>
      <w:proofErr w:type="spellEnd"/>
      <w:r w:rsidRPr="003631BC">
        <w:rPr>
          <w:sz w:val="24"/>
          <w:szCs w:val="24"/>
        </w:rPr>
        <w:t xml:space="preserve"> er egnet til patienter med en legemsvægt på 47 kg eller derover. For patienter med en legemsvægt under 47 kg eller patienter, der ikke er i stand til at synke </w:t>
      </w:r>
      <w:proofErr w:type="spellStart"/>
      <w:r w:rsidRPr="003631BC">
        <w:rPr>
          <w:sz w:val="24"/>
          <w:szCs w:val="24"/>
        </w:rPr>
        <w:t>Proursan</w:t>
      </w:r>
      <w:proofErr w:type="spellEnd"/>
      <w:r w:rsidRPr="003631BC">
        <w:rPr>
          <w:sz w:val="24"/>
          <w:szCs w:val="24"/>
        </w:rPr>
        <w:t xml:space="preserve">, findes der andre formuleringer med </w:t>
      </w:r>
      <w:proofErr w:type="spellStart"/>
      <w:r w:rsidRPr="003631BC">
        <w:rPr>
          <w:sz w:val="24"/>
          <w:szCs w:val="24"/>
        </w:rPr>
        <w:t>ursodeoxycholsyre</w:t>
      </w:r>
      <w:proofErr w:type="spellEnd"/>
      <w:r w:rsidRPr="003631BC">
        <w:rPr>
          <w:sz w:val="24"/>
          <w:szCs w:val="24"/>
        </w:rPr>
        <w:t>.</w:t>
      </w:r>
    </w:p>
    <w:p w:rsidR="003631BC" w:rsidRPr="003631BC" w:rsidRDefault="003631BC" w:rsidP="003631BC">
      <w:pPr>
        <w:tabs>
          <w:tab w:val="left" w:pos="851"/>
        </w:tabs>
        <w:ind w:left="851"/>
        <w:rPr>
          <w:sz w:val="24"/>
          <w:szCs w:val="24"/>
          <w:lang w:val="de-DE"/>
        </w:rPr>
      </w:pPr>
    </w:p>
    <w:p w:rsidR="003631BC" w:rsidRPr="003631BC" w:rsidRDefault="003631BC" w:rsidP="003631BC">
      <w:pPr>
        <w:tabs>
          <w:tab w:val="left" w:pos="851"/>
        </w:tabs>
        <w:ind w:left="851"/>
        <w:rPr>
          <w:sz w:val="24"/>
          <w:szCs w:val="24"/>
          <w:lang w:val="de-DE"/>
        </w:rPr>
      </w:pPr>
      <w:r w:rsidRPr="003631BC">
        <w:rPr>
          <w:sz w:val="24"/>
          <w:szCs w:val="24"/>
        </w:rPr>
        <w:t>I løbet af de første tre måneders behandling bør leverfunktionsværdierne ASAT</w:t>
      </w:r>
      <w:r w:rsidRPr="003631BC">
        <w:rPr>
          <w:sz w:val="24"/>
          <w:szCs w:val="24"/>
          <w:lang w:val="de-DE"/>
        </w:rPr>
        <w:t>(SGOT</w:t>
      </w:r>
      <w:proofErr w:type="gramStart"/>
      <w:r w:rsidRPr="003631BC">
        <w:rPr>
          <w:sz w:val="24"/>
          <w:szCs w:val="24"/>
          <w:lang w:val="de-DE"/>
        </w:rPr>
        <w:t xml:space="preserve">), </w:t>
      </w:r>
      <w:r w:rsidRPr="003631BC">
        <w:rPr>
          <w:sz w:val="24"/>
          <w:szCs w:val="24"/>
        </w:rPr>
        <w:t xml:space="preserve"> ALAT</w:t>
      </w:r>
      <w:proofErr w:type="gramEnd"/>
      <w:r w:rsidRPr="003631BC">
        <w:rPr>
          <w:sz w:val="24"/>
          <w:szCs w:val="24"/>
        </w:rPr>
        <w:t xml:space="preserve"> </w:t>
      </w:r>
      <w:r w:rsidRPr="003631BC">
        <w:rPr>
          <w:sz w:val="24"/>
          <w:szCs w:val="24"/>
          <w:lang w:val="de-DE"/>
        </w:rPr>
        <w:t xml:space="preserve">(SGPT) </w:t>
      </w:r>
      <w:r w:rsidRPr="003631BC">
        <w:rPr>
          <w:sz w:val="24"/>
          <w:szCs w:val="24"/>
        </w:rPr>
        <w:t xml:space="preserve">og γ-GT monitoreres af lægen hver fjerde uge og derefter hver </w:t>
      </w:r>
      <w:r w:rsidRPr="003631BC">
        <w:rPr>
          <w:sz w:val="24"/>
          <w:szCs w:val="24"/>
        </w:rPr>
        <w:lastRenderedPageBreak/>
        <w:t xml:space="preserve">tredje måned. Udover at gøre det muligt at identificere patienter, der responderer og ikke responderer på behandlingen af primær biliær cirrose, gør denne monitorering det også muligt tidligt at opdage en potentiel </w:t>
      </w:r>
      <w:proofErr w:type="spellStart"/>
      <w:r w:rsidRPr="003631BC">
        <w:rPr>
          <w:sz w:val="24"/>
          <w:szCs w:val="24"/>
        </w:rPr>
        <w:t>hepatisk</w:t>
      </w:r>
      <w:proofErr w:type="spellEnd"/>
      <w:r w:rsidRPr="003631BC">
        <w:rPr>
          <w:sz w:val="24"/>
          <w:szCs w:val="24"/>
        </w:rPr>
        <w:t xml:space="preserve"> forværring, navnlig hos patienter med fremskreden primær biliær cirrose.</w:t>
      </w:r>
    </w:p>
    <w:p w:rsidR="003631BC" w:rsidRPr="003631BC" w:rsidRDefault="003631BC" w:rsidP="003631BC">
      <w:pPr>
        <w:tabs>
          <w:tab w:val="left" w:pos="851"/>
        </w:tabs>
        <w:ind w:left="851"/>
        <w:rPr>
          <w:sz w:val="24"/>
          <w:szCs w:val="24"/>
          <w:lang w:val="de-DE"/>
        </w:rPr>
      </w:pPr>
    </w:p>
    <w:p w:rsidR="003631BC" w:rsidRPr="003631BC" w:rsidRDefault="003631BC" w:rsidP="003631BC">
      <w:pPr>
        <w:tabs>
          <w:tab w:val="left" w:pos="851"/>
        </w:tabs>
        <w:ind w:left="851"/>
        <w:rPr>
          <w:sz w:val="24"/>
          <w:szCs w:val="24"/>
          <w:lang w:val="cs-CZ"/>
        </w:rPr>
      </w:pPr>
      <w:r w:rsidRPr="003631BC">
        <w:rPr>
          <w:sz w:val="24"/>
          <w:szCs w:val="24"/>
          <w:u w:val="single"/>
        </w:rPr>
        <w:t>Ved anvendelse til opløsning af kolesterolgaldesten</w:t>
      </w:r>
    </w:p>
    <w:p w:rsidR="003631BC" w:rsidRPr="003631BC" w:rsidRDefault="003631BC" w:rsidP="003631BC">
      <w:pPr>
        <w:tabs>
          <w:tab w:val="left" w:pos="851"/>
        </w:tabs>
        <w:ind w:left="851"/>
        <w:rPr>
          <w:sz w:val="24"/>
          <w:szCs w:val="24"/>
          <w:lang w:val="cs-CZ"/>
        </w:rPr>
      </w:pPr>
      <w:r w:rsidRPr="003631BC">
        <w:rPr>
          <w:sz w:val="24"/>
          <w:szCs w:val="24"/>
        </w:rPr>
        <w:t xml:space="preserve">For at kunne bedømme terapeutiske fremskridt og for at kunne opdage enhver forkalkning af galdestenene i god tid, afhængigt af stenenes størrelse, bør galdeblæren visualiseres (oral </w:t>
      </w:r>
      <w:proofErr w:type="spellStart"/>
      <w:r w:rsidRPr="003631BC">
        <w:rPr>
          <w:sz w:val="24"/>
          <w:szCs w:val="24"/>
        </w:rPr>
        <w:t>kolecystografi</w:t>
      </w:r>
      <w:proofErr w:type="spellEnd"/>
      <w:r w:rsidRPr="003631BC">
        <w:rPr>
          <w:sz w:val="24"/>
          <w:szCs w:val="24"/>
        </w:rPr>
        <w:t xml:space="preserve">) med oversigts- og </w:t>
      </w:r>
      <w:proofErr w:type="spellStart"/>
      <w:r w:rsidRPr="003631BC">
        <w:rPr>
          <w:sz w:val="24"/>
          <w:szCs w:val="24"/>
        </w:rPr>
        <w:t>okklusionsbilleder</w:t>
      </w:r>
      <w:proofErr w:type="spellEnd"/>
      <w:r w:rsidRPr="003631BC">
        <w:rPr>
          <w:sz w:val="24"/>
          <w:szCs w:val="24"/>
        </w:rPr>
        <w:t xml:space="preserve"> i stående og liggende position (ultralydskontrol) 6-10 måneder efter behandlingens start.</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lang w:val="cs-CZ"/>
        </w:rPr>
      </w:pPr>
      <w:proofErr w:type="spellStart"/>
      <w:r w:rsidRPr="003631BC">
        <w:rPr>
          <w:sz w:val="24"/>
          <w:szCs w:val="24"/>
        </w:rPr>
        <w:t>Proursan</w:t>
      </w:r>
      <w:proofErr w:type="spellEnd"/>
      <w:r w:rsidRPr="003631BC">
        <w:rPr>
          <w:sz w:val="24"/>
          <w:szCs w:val="24"/>
        </w:rPr>
        <w:t xml:space="preserve"> må ikke anvendes, hvis galdeblæren ikke kan visualiseres på røntgenbilleder, eller i tilfælde af forkalkede galdesten, nedsat </w:t>
      </w:r>
      <w:proofErr w:type="spellStart"/>
      <w:r w:rsidRPr="003631BC">
        <w:rPr>
          <w:sz w:val="24"/>
          <w:szCs w:val="24"/>
        </w:rPr>
        <w:t>kontraktilitet</w:t>
      </w:r>
      <w:proofErr w:type="spellEnd"/>
      <w:r w:rsidRPr="003631BC">
        <w:rPr>
          <w:sz w:val="24"/>
          <w:szCs w:val="24"/>
        </w:rPr>
        <w:t xml:space="preserve"> af galdeblæren eller hyppige episoder af biliær kolik.</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lang w:val="cs-CZ"/>
        </w:rPr>
      </w:pPr>
      <w:r w:rsidRPr="003631BC">
        <w:rPr>
          <w:sz w:val="24"/>
          <w:szCs w:val="24"/>
        </w:rPr>
        <w:t xml:space="preserve">Kvindelige patienter, der tager </w:t>
      </w:r>
      <w:proofErr w:type="spellStart"/>
      <w:r w:rsidRPr="003631BC">
        <w:rPr>
          <w:sz w:val="24"/>
          <w:szCs w:val="24"/>
        </w:rPr>
        <w:t>Proursan</w:t>
      </w:r>
      <w:proofErr w:type="spellEnd"/>
      <w:r w:rsidRPr="003631BC">
        <w:rPr>
          <w:sz w:val="24"/>
          <w:szCs w:val="24"/>
        </w:rPr>
        <w:t xml:space="preserve"> for at opløse galdesten, bør anvende en sikker ikke-hormonel præventionsmetode, da hormonelle præventionsmidler kan øge biliær </w:t>
      </w:r>
      <w:proofErr w:type="spellStart"/>
      <w:r w:rsidRPr="003631BC">
        <w:rPr>
          <w:sz w:val="24"/>
          <w:szCs w:val="24"/>
        </w:rPr>
        <w:t>litiasis</w:t>
      </w:r>
      <w:proofErr w:type="spellEnd"/>
      <w:r w:rsidRPr="003631BC">
        <w:rPr>
          <w:sz w:val="24"/>
          <w:szCs w:val="24"/>
        </w:rPr>
        <w:t xml:space="preserve"> (se pkt. 4.5 og 4.6).</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u w:val="single"/>
          <w:lang w:val="cs-CZ"/>
        </w:rPr>
      </w:pPr>
      <w:r w:rsidRPr="003631BC">
        <w:rPr>
          <w:sz w:val="24"/>
          <w:szCs w:val="24"/>
          <w:u w:val="single"/>
        </w:rPr>
        <w:t>Ved anvendelse til behandling af fremskreden primær biliær cirrose</w:t>
      </w:r>
    </w:p>
    <w:p w:rsidR="003631BC" w:rsidRPr="003631BC" w:rsidRDefault="003631BC" w:rsidP="003631BC">
      <w:pPr>
        <w:tabs>
          <w:tab w:val="left" w:pos="851"/>
        </w:tabs>
        <w:ind w:left="851"/>
        <w:rPr>
          <w:sz w:val="24"/>
          <w:szCs w:val="24"/>
          <w:lang w:val="cs-CZ"/>
        </w:rPr>
      </w:pPr>
      <w:r w:rsidRPr="003631BC">
        <w:rPr>
          <w:sz w:val="24"/>
          <w:szCs w:val="24"/>
        </w:rPr>
        <w:t xml:space="preserve">Der er i meget sjældne tilfælde set </w:t>
      </w:r>
      <w:proofErr w:type="spellStart"/>
      <w:r w:rsidRPr="003631BC">
        <w:rPr>
          <w:sz w:val="24"/>
          <w:szCs w:val="24"/>
        </w:rPr>
        <w:t>dekompenseret</w:t>
      </w:r>
      <w:proofErr w:type="spellEnd"/>
      <w:r w:rsidRPr="003631BC">
        <w:rPr>
          <w:sz w:val="24"/>
          <w:szCs w:val="24"/>
        </w:rPr>
        <w:t xml:space="preserve"> levercirrose, som forsvandt delvis efter </w:t>
      </w:r>
      <w:proofErr w:type="spellStart"/>
      <w:r w:rsidRPr="003631BC">
        <w:rPr>
          <w:sz w:val="24"/>
          <w:szCs w:val="24"/>
        </w:rPr>
        <w:t>seponering</w:t>
      </w:r>
      <w:proofErr w:type="spellEnd"/>
      <w:r w:rsidRPr="003631BC">
        <w:rPr>
          <w:sz w:val="24"/>
          <w:szCs w:val="24"/>
        </w:rPr>
        <w:t xml:space="preserve"> af behandlingen.</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lang w:val="cs-CZ"/>
        </w:rPr>
      </w:pPr>
      <w:r w:rsidRPr="003631BC">
        <w:rPr>
          <w:sz w:val="24"/>
          <w:szCs w:val="24"/>
        </w:rPr>
        <w:t xml:space="preserve">Hos patienter med primær biliær cirrose kan de kliniske symptomer i sjældne tilfælde forværres i starten af behandlingen, f.eks. forværret kløe. Hvis det sker, bør dosen af </w:t>
      </w:r>
      <w:proofErr w:type="spellStart"/>
      <w:r w:rsidRPr="003631BC">
        <w:rPr>
          <w:sz w:val="24"/>
          <w:szCs w:val="24"/>
        </w:rPr>
        <w:t>Proursan</w:t>
      </w:r>
      <w:proofErr w:type="spellEnd"/>
      <w:r w:rsidRPr="003631BC">
        <w:rPr>
          <w:sz w:val="24"/>
          <w:szCs w:val="24"/>
        </w:rPr>
        <w:t xml:space="preserve"> reduceres til ½ tablet </w:t>
      </w:r>
      <w:proofErr w:type="spellStart"/>
      <w:r w:rsidRPr="003631BC">
        <w:rPr>
          <w:sz w:val="24"/>
          <w:szCs w:val="24"/>
        </w:rPr>
        <w:t>Proursan</w:t>
      </w:r>
      <w:proofErr w:type="spellEnd"/>
      <w:r w:rsidRPr="003631BC">
        <w:rPr>
          <w:sz w:val="24"/>
          <w:szCs w:val="24"/>
        </w:rPr>
        <w:t xml:space="preserve"> </w:t>
      </w:r>
      <w:r w:rsidR="00742D51">
        <w:rPr>
          <w:sz w:val="24"/>
          <w:szCs w:val="24"/>
        </w:rPr>
        <w:t>daglig</w:t>
      </w:r>
      <w:r w:rsidRPr="003631BC">
        <w:rPr>
          <w:sz w:val="24"/>
          <w:szCs w:val="24"/>
        </w:rPr>
        <w:t xml:space="preserve"> og derefter øges igen som beskrevet i pkt. 4.2.</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lang w:val="cs-CZ"/>
        </w:rPr>
      </w:pPr>
      <w:r w:rsidRPr="003631BC">
        <w:rPr>
          <w:sz w:val="24"/>
          <w:szCs w:val="24"/>
        </w:rPr>
        <w:t>Hvis der forekommer diarré, skal dosen reduceres, og i tilfælde af vedvarende diarré, bør behandlingen seponeres.</w:t>
      </w:r>
    </w:p>
    <w:p w:rsidR="003631BC" w:rsidRPr="003631BC" w:rsidRDefault="003631BC" w:rsidP="003631BC">
      <w:pPr>
        <w:tabs>
          <w:tab w:val="left" w:pos="851"/>
        </w:tabs>
        <w:ind w:left="851"/>
        <w:rPr>
          <w:sz w:val="24"/>
          <w:szCs w:val="24"/>
          <w:lang w:val="cs-CZ"/>
        </w:rPr>
      </w:pPr>
    </w:p>
    <w:p w:rsidR="003631BC" w:rsidRPr="003631BC" w:rsidRDefault="003631BC" w:rsidP="003631BC">
      <w:pPr>
        <w:tabs>
          <w:tab w:val="left" w:pos="851"/>
        </w:tabs>
        <w:ind w:left="851"/>
        <w:rPr>
          <w:sz w:val="24"/>
          <w:szCs w:val="24"/>
          <w:u w:val="single"/>
          <w:lang w:val="cs-CZ"/>
        </w:rPr>
      </w:pPr>
      <w:proofErr w:type="spellStart"/>
      <w:r w:rsidRPr="003631BC">
        <w:rPr>
          <w:sz w:val="24"/>
          <w:szCs w:val="24"/>
          <w:u w:val="single"/>
        </w:rPr>
        <w:t>Proursan</w:t>
      </w:r>
      <w:proofErr w:type="spellEnd"/>
      <w:r w:rsidRPr="003631BC">
        <w:rPr>
          <w:sz w:val="24"/>
          <w:szCs w:val="24"/>
          <w:u w:val="single"/>
        </w:rPr>
        <w:t xml:space="preserve"> indeholder natrium (</w:t>
      </w:r>
      <w:proofErr w:type="spellStart"/>
      <w:r w:rsidRPr="003631BC">
        <w:rPr>
          <w:sz w:val="24"/>
          <w:szCs w:val="24"/>
          <w:u w:val="single"/>
        </w:rPr>
        <w:t>natriumstivelsesglycolat</w:t>
      </w:r>
      <w:proofErr w:type="spellEnd"/>
      <w:r w:rsidRPr="003631BC">
        <w:rPr>
          <w:sz w:val="24"/>
          <w:szCs w:val="24"/>
          <w:u w:val="single"/>
        </w:rPr>
        <w:t xml:space="preserve"> A)</w:t>
      </w:r>
    </w:p>
    <w:p w:rsidR="003631BC" w:rsidRPr="003631BC" w:rsidRDefault="003631BC" w:rsidP="003631BC">
      <w:pPr>
        <w:tabs>
          <w:tab w:val="left" w:pos="851"/>
        </w:tabs>
        <w:ind w:left="851"/>
        <w:rPr>
          <w:sz w:val="24"/>
          <w:szCs w:val="24"/>
          <w:lang w:val="cs-CZ"/>
        </w:rPr>
      </w:pPr>
      <w:r w:rsidRPr="003631BC">
        <w:rPr>
          <w:sz w:val="24"/>
          <w:szCs w:val="24"/>
        </w:rPr>
        <w:t>Dette lægemiddel indeholder mindre end 1 mmol natrium (23 mg) pr. tablet og er således stort set natriumfrit.</w:t>
      </w:r>
    </w:p>
    <w:p w:rsidR="009260DE" w:rsidRPr="003631BC"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34096" w:rsidRPr="00634096" w:rsidRDefault="00634096" w:rsidP="00634096">
      <w:pPr>
        <w:tabs>
          <w:tab w:val="left" w:pos="851"/>
        </w:tabs>
        <w:ind w:left="851"/>
        <w:rPr>
          <w:sz w:val="24"/>
          <w:szCs w:val="24"/>
          <w:lang w:val="de-DE"/>
        </w:rPr>
      </w:pPr>
      <w:proofErr w:type="spellStart"/>
      <w:r w:rsidRPr="00634096">
        <w:rPr>
          <w:sz w:val="24"/>
          <w:szCs w:val="24"/>
        </w:rPr>
        <w:t>Proursan</w:t>
      </w:r>
      <w:proofErr w:type="spellEnd"/>
      <w:r w:rsidRPr="00634096">
        <w:rPr>
          <w:sz w:val="24"/>
          <w:szCs w:val="24"/>
        </w:rPr>
        <w:t xml:space="preserve"> bør ikke administreres samtidig med </w:t>
      </w:r>
      <w:proofErr w:type="spellStart"/>
      <w:r w:rsidRPr="00634096">
        <w:rPr>
          <w:sz w:val="24"/>
          <w:szCs w:val="24"/>
        </w:rPr>
        <w:t>colestyramin</w:t>
      </w:r>
      <w:proofErr w:type="spellEnd"/>
      <w:r w:rsidRPr="00634096">
        <w:rPr>
          <w:sz w:val="24"/>
          <w:szCs w:val="24"/>
        </w:rPr>
        <w:t xml:space="preserve">, </w:t>
      </w:r>
      <w:proofErr w:type="spellStart"/>
      <w:r w:rsidRPr="00634096">
        <w:rPr>
          <w:sz w:val="24"/>
          <w:szCs w:val="24"/>
        </w:rPr>
        <w:t>colestipol</w:t>
      </w:r>
      <w:proofErr w:type="spellEnd"/>
      <w:r w:rsidRPr="00634096">
        <w:rPr>
          <w:sz w:val="24"/>
          <w:szCs w:val="24"/>
        </w:rPr>
        <w:t xml:space="preserve"> eller syreneutraliserende midler, der indeholder aluminiumhydroxid og/eller aluminiumoxid, da disse stoffer binder </w:t>
      </w:r>
      <w:proofErr w:type="spellStart"/>
      <w:r w:rsidRPr="00634096">
        <w:rPr>
          <w:sz w:val="24"/>
          <w:szCs w:val="24"/>
        </w:rPr>
        <w:t>ursodeoxycholsyre</w:t>
      </w:r>
      <w:proofErr w:type="spellEnd"/>
      <w:r w:rsidRPr="00634096">
        <w:rPr>
          <w:sz w:val="24"/>
          <w:szCs w:val="24"/>
        </w:rPr>
        <w:t xml:space="preserve"> i tarmene og dermed hæmmer dens absorption og virkning. Hvis anvendelse af et lægemiddel, der indeholder et af disse aktive stoffer, bliver nødvendigt, skal det tages minimum 2 timer før eller efter </w:t>
      </w:r>
      <w:proofErr w:type="spellStart"/>
      <w:r w:rsidRPr="00634096">
        <w:rPr>
          <w:sz w:val="24"/>
          <w:szCs w:val="24"/>
        </w:rPr>
        <w:t>Proursan</w:t>
      </w:r>
      <w:proofErr w:type="spellEnd"/>
      <w:r w:rsidRPr="00634096">
        <w:rPr>
          <w:sz w:val="24"/>
          <w:szCs w:val="24"/>
        </w:rPr>
        <w:t>.</w:t>
      </w:r>
    </w:p>
    <w:p w:rsidR="00634096" w:rsidRPr="00634096" w:rsidRDefault="00634096" w:rsidP="00634096">
      <w:pPr>
        <w:tabs>
          <w:tab w:val="left" w:pos="851"/>
        </w:tabs>
        <w:ind w:left="851"/>
        <w:rPr>
          <w:sz w:val="24"/>
          <w:szCs w:val="24"/>
          <w:lang w:val="de-DE"/>
        </w:rPr>
      </w:pPr>
      <w:proofErr w:type="spellStart"/>
      <w:r w:rsidRPr="00634096">
        <w:rPr>
          <w:sz w:val="24"/>
          <w:szCs w:val="24"/>
        </w:rPr>
        <w:t>Ursodeoxycholsyre</w:t>
      </w:r>
      <w:proofErr w:type="spellEnd"/>
      <w:r w:rsidRPr="00634096">
        <w:rPr>
          <w:sz w:val="24"/>
          <w:szCs w:val="24"/>
        </w:rPr>
        <w:t xml:space="preserve"> kan påvirke optagelsen af </w:t>
      </w:r>
      <w:proofErr w:type="spellStart"/>
      <w:r w:rsidRPr="00634096">
        <w:rPr>
          <w:sz w:val="24"/>
          <w:szCs w:val="24"/>
        </w:rPr>
        <w:t>ciclosporin</w:t>
      </w:r>
      <w:proofErr w:type="spellEnd"/>
      <w:r w:rsidRPr="00634096">
        <w:rPr>
          <w:sz w:val="24"/>
          <w:szCs w:val="24"/>
        </w:rPr>
        <w:t xml:space="preserve"> fra tarmene. Hos patienter, der får </w:t>
      </w:r>
      <w:proofErr w:type="spellStart"/>
      <w:r w:rsidRPr="00634096">
        <w:rPr>
          <w:sz w:val="24"/>
          <w:szCs w:val="24"/>
        </w:rPr>
        <w:t>ciclosporinbehandling</w:t>
      </w:r>
      <w:proofErr w:type="spellEnd"/>
      <w:r w:rsidRPr="00634096">
        <w:rPr>
          <w:sz w:val="24"/>
          <w:szCs w:val="24"/>
        </w:rPr>
        <w:t xml:space="preserve">, bør koncentrationen af dette stof i blodet derfor tjekkes af lægen, og </w:t>
      </w:r>
      <w:proofErr w:type="spellStart"/>
      <w:r w:rsidRPr="00634096">
        <w:rPr>
          <w:sz w:val="24"/>
          <w:szCs w:val="24"/>
        </w:rPr>
        <w:t>ciclosporindosen</w:t>
      </w:r>
      <w:proofErr w:type="spellEnd"/>
      <w:r w:rsidRPr="00634096">
        <w:rPr>
          <w:sz w:val="24"/>
          <w:szCs w:val="24"/>
        </w:rPr>
        <w:t xml:space="preserve"> bør om nødvendigt tilpasses.</w:t>
      </w:r>
    </w:p>
    <w:p w:rsidR="00634096" w:rsidRPr="00634096" w:rsidRDefault="00634096" w:rsidP="00634096">
      <w:pPr>
        <w:tabs>
          <w:tab w:val="left" w:pos="851"/>
        </w:tabs>
        <w:ind w:left="851"/>
        <w:rPr>
          <w:sz w:val="24"/>
          <w:szCs w:val="24"/>
          <w:lang w:val="de-DE"/>
        </w:rPr>
      </w:pPr>
    </w:p>
    <w:p w:rsidR="00634096" w:rsidRPr="00634096" w:rsidRDefault="00634096" w:rsidP="00634096">
      <w:pPr>
        <w:tabs>
          <w:tab w:val="left" w:pos="851"/>
        </w:tabs>
        <w:ind w:left="851"/>
        <w:rPr>
          <w:sz w:val="24"/>
          <w:szCs w:val="24"/>
          <w:lang w:val="de-DE"/>
        </w:rPr>
      </w:pPr>
      <w:r w:rsidRPr="00634096">
        <w:rPr>
          <w:sz w:val="24"/>
          <w:szCs w:val="24"/>
        </w:rPr>
        <w:t xml:space="preserve">I enkeltstående tilfælde kan </w:t>
      </w:r>
      <w:proofErr w:type="spellStart"/>
      <w:r w:rsidRPr="00634096">
        <w:rPr>
          <w:sz w:val="24"/>
          <w:szCs w:val="24"/>
        </w:rPr>
        <w:t>ursodeoxycholsyre</w:t>
      </w:r>
      <w:proofErr w:type="spellEnd"/>
      <w:r w:rsidRPr="00634096">
        <w:rPr>
          <w:sz w:val="24"/>
          <w:szCs w:val="24"/>
        </w:rPr>
        <w:t xml:space="preserve"> reducere optagelsen af </w:t>
      </w:r>
      <w:proofErr w:type="spellStart"/>
      <w:r w:rsidRPr="00634096">
        <w:rPr>
          <w:sz w:val="24"/>
          <w:szCs w:val="24"/>
        </w:rPr>
        <w:t>ciprofloxacin</w:t>
      </w:r>
      <w:proofErr w:type="spellEnd"/>
      <w:r w:rsidRPr="00634096">
        <w:rPr>
          <w:sz w:val="24"/>
          <w:szCs w:val="24"/>
        </w:rPr>
        <w:t>.</w:t>
      </w:r>
    </w:p>
    <w:p w:rsidR="00634096" w:rsidRPr="00634096" w:rsidRDefault="00634096" w:rsidP="00634096">
      <w:pPr>
        <w:tabs>
          <w:tab w:val="left" w:pos="851"/>
        </w:tabs>
        <w:ind w:left="851"/>
        <w:rPr>
          <w:sz w:val="24"/>
          <w:szCs w:val="24"/>
          <w:lang w:val="de-DE"/>
        </w:rPr>
      </w:pPr>
    </w:p>
    <w:p w:rsidR="00634096" w:rsidRPr="00634096" w:rsidRDefault="00634096" w:rsidP="00634096">
      <w:pPr>
        <w:tabs>
          <w:tab w:val="left" w:pos="851"/>
        </w:tabs>
        <w:ind w:left="851"/>
        <w:rPr>
          <w:sz w:val="24"/>
          <w:szCs w:val="24"/>
          <w:lang w:val="de-DE"/>
        </w:rPr>
      </w:pPr>
      <w:r w:rsidRPr="00634096">
        <w:rPr>
          <w:sz w:val="24"/>
          <w:szCs w:val="24"/>
        </w:rPr>
        <w:t xml:space="preserve">I et klinisk studie hos raske frivillige forsøgspersoner medførte brugen af </w:t>
      </w:r>
      <w:proofErr w:type="spellStart"/>
      <w:r w:rsidRPr="00634096">
        <w:rPr>
          <w:sz w:val="24"/>
          <w:szCs w:val="24"/>
        </w:rPr>
        <w:t>ursodeoxycholsyre</w:t>
      </w:r>
      <w:proofErr w:type="spellEnd"/>
      <w:r w:rsidRPr="00634096">
        <w:rPr>
          <w:sz w:val="24"/>
          <w:szCs w:val="24"/>
        </w:rPr>
        <w:t xml:space="preserve"> (500 mg/dag) og </w:t>
      </w:r>
      <w:proofErr w:type="spellStart"/>
      <w:r w:rsidRPr="00634096">
        <w:rPr>
          <w:sz w:val="24"/>
          <w:szCs w:val="24"/>
        </w:rPr>
        <w:t>rosuvastatin</w:t>
      </w:r>
      <w:proofErr w:type="spellEnd"/>
      <w:r w:rsidRPr="00634096">
        <w:rPr>
          <w:sz w:val="24"/>
          <w:szCs w:val="24"/>
        </w:rPr>
        <w:t xml:space="preserve"> (20 mg/dag) let forhøjede plasmaniveauer af </w:t>
      </w:r>
      <w:proofErr w:type="spellStart"/>
      <w:r w:rsidRPr="00634096">
        <w:rPr>
          <w:sz w:val="24"/>
          <w:szCs w:val="24"/>
        </w:rPr>
        <w:t>rosuvastatin</w:t>
      </w:r>
      <w:proofErr w:type="spellEnd"/>
      <w:r w:rsidRPr="00634096">
        <w:rPr>
          <w:sz w:val="24"/>
          <w:szCs w:val="24"/>
        </w:rPr>
        <w:t xml:space="preserve">. Den kliniske relevans af denne interaktion, herunder i forhold til andre </w:t>
      </w:r>
      <w:proofErr w:type="spellStart"/>
      <w:r w:rsidRPr="00634096">
        <w:rPr>
          <w:sz w:val="24"/>
          <w:szCs w:val="24"/>
        </w:rPr>
        <w:t>statiner</w:t>
      </w:r>
      <w:proofErr w:type="spellEnd"/>
      <w:r w:rsidRPr="00634096">
        <w:rPr>
          <w:sz w:val="24"/>
          <w:szCs w:val="24"/>
        </w:rPr>
        <w:t>, er ikke kendt.</w:t>
      </w:r>
    </w:p>
    <w:p w:rsidR="00634096" w:rsidRPr="00634096" w:rsidRDefault="00634096" w:rsidP="00634096">
      <w:pPr>
        <w:tabs>
          <w:tab w:val="left" w:pos="851"/>
        </w:tabs>
        <w:ind w:left="851"/>
        <w:rPr>
          <w:sz w:val="24"/>
          <w:szCs w:val="24"/>
          <w:lang w:val="cs-CZ"/>
        </w:rPr>
      </w:pPr>
    </w:p>
    <w:p w:rsidR="00634096" w:rsidRPr="00634096" w:rsidRDefault="00634096" w:rsidP="00634096">
      <w:pPr>
        <w:tabs>
          <w:tab w:val="left" w:pos="851"/>
        </w:tabs>
        <w:ind w:left="851"/>
        <w:rPr>
          <w:sz w:val="24"/>
          <w:szCs w:val="24"/>
          <w:lang w:val="cs-CZ"/>
        </w:rPr>
      </w:pPr>
      <w:r w:rsidRPr="00634096">
        <w:rPr>
          <w:sz w:val="24"/>
          <w:szCs w:val="24"/>
        </w:rPr>
        <w:t xml:space="preserve">Det er også påvist, at </w:t>
      </w:r>
      <w:proofErr w:type="spellStart"/>
      <w:r w:rsidRPr="00634096">
        <w:rPr>
          <w:sz w:val="24"/>
          <w:szCs w:val="24"/>
        </w:rPr>
        <w:t>ursodeoxycholsyre</w:t>
      </w:r>
      <w:proofErr w:type="spellEnd"/>
      <w:r w:rsidRPr="00634096">
        <w:rPr>
          <w:sz w:val="24"/>
          <w:szCs w:val="24"/>
        </w:rPr>
        <w:t xml:space="preserve"> reducerer den maksimale plasmakoncentration (</w:t>
      </w:r>
      <w:proofErr w:type="spellStart"/>
      <w:r w:rsidRPr="00634096">
        <w:rPr>
          <w:sz w:val="24"/>
          <w:szCs w:val="24"/>
        </w:rPr>
        <w:t>C</w:t>
      </w:r>
      <w:r w:rsidRPr="00634096">
        <w:rPr>
          <w:sz w:val="24"/>
          <w:szCs w:val="24"/>
          <w:vertAlign w:val="subscript"/>
        </w:rPr>
        <w:t>max</w:t>
      </w:r>
      <w:proofErr w:type="spellEnd"/>
      <w:r w:rsidRPr="00634096">
        <w:rPr>
          <w:sz w:val="24"/>
          <w:szCs w:val="24"/>
        </w:rPr>
        <w:t xml:space="preserve">) og arealet under kurven (AUC) for kalciumantagonisten </w:t>
      </w:r>
      <w:proofErr w:type="spellStart"/>
      <w:r w:rsidRPr="00634096">
        <w:rPr>
          <w:sz w:val="24"/>
          <w:szCs w:val="24"/>
        </w:rPr>
        <w:t>nitrendipin</w:t>
      </w:r>
      <w:proofErr w:type="spellEnd"/>
      <w:r w:rsidRPr="00634096">
        <w:rPr>
          <w:sz w:val="24"/>
          <w:szCs w:val="24"/>
        </w:rPr>
        <w:t xml:space="preserve"> hos raske frivillige forsøgspersoner. Omhyggelig overvågning ved samtidig brug af </w:t>
      </w:r>
      <w:proofErr w:type="spellStart"/>
      <w:r w:rsidRPr="00634096">
        <w:rPr>
          <w:sz w:val="24"/>
          <w:szCs w:val="24"/>
        </w:rPr>
        <w:t>nitrendipin</w:t>
      </w:r>
      <w:proofErr w:type="spellEnd"/>
      <w:r w:rsidRPr="00634096">
        <w:rPr>
          <w:sz w:val="24"/>
          <w:szCs w:val="24"/>
        </w:rPr>
        <w:t xml:space="preserve"> og </w:t>
      </w:r>
      <w:proofErr w:type="spellStart"/>
      <w:r w:rsidRPr="00634096">
        <w:rPr>
          <w:sz w:val="24"/>
          <w:szCs w:val="24"/>
        </w:rPr>
        <w:t>ursodeoxycholsyre</w:t>
      </w:r>
      <w:proofErr w:type="spellEnd"/>
      <w:r w:rsidRPr="00634096">
        <w:rPr>
          <w:sz w:val="24"/>
          <w:szCs w:val="24"/>
        </w:rPr>
        <w:t xml:space="preserve"> anbefales. Det kan være nødvendigt at øge dosen af </w:t>
      </w:r>
      <w:proofErr w:type="spellStart"/>
      <w:r w:rsidRPr="00634096">
        <w:rPr>
          <w:sz w:val="24"/>
          <w:szCs w:val="24"/>
        </w:rPr>
        <w:t>nitrendipin</w:t>
      </w:r>
      <w:proofErr w:type="spellEnd"/>
      <w:r w:rsidRPr="00634096">
        <w:rPr>
          <w:sz w:val="24"/>
          <w:szCs w:val="24"/>
        </w:rPr>
        <w:t xml:space="preserve">. Der er også rapporteret om en interaktion, som medførte reduktion af den terapeutiske virkning af </w:t>
      </w:r>
      <w:proofErr w:type="spellStart"/>
      <w:r w:rsidRPr="00634096">
        <w:rPr>
          <w:sz w:val="24"/>
          <w:szCs w:val="24"/>
        </w:rPr>
        <w:t>dapson</w:t>
      </w:r>
      <w:proofErr w:type="spellEnd"/>
      <w:r w:rsidRPr="00634096">
        <w:rPr>
          <w:sz w:val="24"/>
          <w:szCs w:val="24"/>
        </w:rPr>
        <w:t xml:space="preserve">. Disse observationer i tillæg til </w:t>
      </w:r>
      <w:r w:rsidRPr="00634096">
        <w:rPr>
          <w:i/>
          <w:iCs/>
          <w:sz w:val="24"/>
          <w:szCs w:val="24"/>
        </w:rPr>
        <w:t>in </w:t>
      </w:r>
      <w:proofErr w:type="spellStart"/>
      <w:r w:rsidRPr="00634096">
        <w:rPr>
          <w:i/>
          <w:iCs/>
          <w:sz w:val="24"/>
          <w:szCs w:val="24"/>
        </w:rPr>
        <w:t>vitro</w:t>
      </w:r>
      <w:proofErr w:type="spellEnd"/>
      <w:r w:rsidRPr="00634096">
        <w:rPr>
          <w:sz w:val="24"/>
          <w:szCs w:val="24"/>
        </w:rPr>
        <w:t xml:space="preserve">-resultaterne kan indikere, at </w:t>
      </w:r>
      <w:proofErr w:type="spellStart"/>
      <w:r w:rsidRPr="00634096">
        <w:rPr>
          <w:sz w:val="24"/>
          <w:szCs w:val="24"/>
        </w:rPr>
        <w:t>ursodeoxycholsyre</w:t>
      </w:r>
      <w:proofErr w:type="spellEnd"/>
      <w:r w:rsidRPr="00634096">
        <w:rPr>
          <w:sz w:val="24"/>
          <w:szCs w:val="24"/>
        </w:rPr>
        <w:t xml:space="preserve"> har potentiale til at inducere </w:t>
      </w:r>
      <w:proofErr w:type="spellStart"/>
      <w:r w:rsidRPr="00634096">
        <w:rPr>
          <w:sz w:val="24"/>
          <w:szCs w:val="24"/>
        </w:rPr>
        <w:t>cytokrom</w:t>
      </w:r>
      <w:proofErr w:type="spellEnd"/>
      <w:r w:rsidRPr="00634096">
        <w:rPr>
          <w:sz w:val="24"/>
          <w:szCs w:val="24"/>
        </w:rPr>
        <w:t xml:space="preserve"> P450 3A-enzymer.</w:t>
      </w:r>
    </w:p>
    <w:p w:rsidR="00634096" w:rsidRPr="00634096" w:rsidRDefault="00634096" w:rsidP="00634096">
      <w:pPr>
        <w:tabs>
          <w:tab w:val="left" w:pos="851"/>
        </w:tabs>
        <w:ind w:left="851"/>
        <w:rPr>
          <w:sz w:val="24"/>
          <w:szCs w:val="24"/>
          <w:lang w:val="cs-CZ"/>
        </w:rPr>
      </w:pPr>
      <w:r w:rsidRPr="00634096">
        <w:rPr>
          <w:sz w:val="24"/>
          <w:szCs w:val="24"/>
        </w:rPr>
        <w:t xml:space="preserve">Der er imidlertid ikke set nogen induktion i et veldesignet interaktionsstudie med </w:t>
      </w:r>
      <w:proofErr w:type="spellStart"/>
      <w:r w:rsidRPr="00634096">
        <w:rPr>
          <w:sz w:val="24"/>
          <w:szCs w:val="24"/>
        </w:rPr>
        <w:t>budesonid</w:t>
      </w:r>
      <w:proofErr w:type="spellEnd"/>
      <w:r w:rsidRPr="00634096">
        <w:rPr>
          <w:sz w:val="24"/>
          <w:szCs w:val="24"/>
        </w:rPr>
        <w:t xml:space="preserve">, der er et kendt </w:t>
      </w:r>
      <w:proofErr w:type="spellStart"/>
      <w:r w:rsidRPr="00634096">
        <w:rPr>
          <w:sz w:val="24"/>
          <w:szCs w:val="24"/>
        </w:rPr>
        <w:t>cytokrom</w:t>
      </w:r>
      <w:proofErr w:type="spellEnd"/>
      <w:r w:rsidRPr="00634096">
        <w:rPr>
          <w:sz w:val="24"/>
          <w:szCs w:val="24"/>
        </w:rPr>
        <w:t xml:space="preserve"> P450 3A4-substrat.</w:t>
      </w:r>
    </w:p>
    <w:p w:rsidR="00634096" w:rsidRPr="00634096" w:rsidRDefault="00634096" w:rsidP="00634096">
      <w:pPr>
        <w:tabs>
          <w:tab w:val="left" w:pos="851"/>
        </w:tabs>
        <w:ind w:left="851"/>
        <w:rPr>
          <w:sz w:val="24"/>
          <w:szCs w:val="24"/>
          <w:lang w:val="cs-CZ"/>
        </w:rPr>
      </w:pPr>
    </w:p>
    <w:p w:rsidR="00634096" w:rsidRPr="00634096" w:rsidRDefault="00634096" w:rsidP="00634096">
      <w:pPr>
        <w:tabs>
          <w:tab w:val="left" w:pos="851"/>
        </w:tabs>
        <w:ind w:left="851"/>
        <w:rPr>
          <w:sz w:val="24"/>
          <w:szCs w:val="24"/>
          <w:lang w:val="cs-CZ"/>
        </w:rPr>
      </w:pPr>
      <w:r w:rsidRPr="00634096">
        <w:rPr>
          <w:sz w:val="24"/>
          <w:szCs w:val="24"/>
        </w:rPr>
        <w:t xml:space="preserve">Østrogenhormoner og blodkolesterolsænkende midler som </w:t>
      </w:r>
      <w:proofErr w:type="spellStart"/>
      <w:r w:rsidRPr="00634096">
        <w:rPr>
          <w:sz w:val="24"/>
          <w:szCs w:val="24"/>
        </w:rPr>
        <w:t>clofibrat</w:t>
      </w:r>
      <w:proofErr w:type="spellEnd"/>
      <w:r w:rsidRPr="00634096">
        <w:rPr>
          <w:sz w:val="24"/>
          <w:szCs w:val="24"/>
        </w:rPr>
        <w:t xml:space="preserve"> øger udskillelsen af kolesterol fra leveren og kan derfor fremme biliær </w:t>
      </w:r>
      <w:proofErr w:type="spellStart"/>
      <w:r w:rsidRPr="00634096">
        <w:rPr>
          <w:sz w:val="24"/>
          <w:szCs w:val="24"/>
        </w:rPr>
        <w:t>litiasis</w:t>
      </w:r>
      <w:proofErr w:type="spellEnd"/>
      <w:r w:rsidRPr="00634096">
        <w:rPr>
          <w:sz w:val="24"/>
          <w:szCs w:val="24"/>
        </w:rPr>
        <w:t xml:space="preserve">, hvilket modvirker </w:t>
      </w:r>
      <w:proofErr w:type="spellStart"/>
      <w:r w:rsidRPr="00634096">
        <w:rPr>
          <w:sz w:val="24"/>
          <w:szCs w:val="24"/>
        </w:rPr>
        <w:t>ursodeoxycholsyrens</w:t>
      </w:r>
      <w:proofErr w:type="spellEnd"/>
      <w:r w:rsidRPr="00634096">
        <w:rPr>
          <w:sz w:val="24"/>
          <w:szCs w:val="24"/>
        </w:rPr>
        <w:t xml:space="preserve"> opløsning af galdesten.</w:t>
      </w:r>
    </w:p>
    <w:p w:rsidR="009260DE" w:rsidRPr="00634096"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372F98" w:rsidRDefault="00372F98" w:rsidP="00372F98">
      <w:pPr>
        <w:tabs>
          <w:tab w:val="left" w:pos="851"/>
        </w:tabs>
        <w:ind w:left="851"/>
        <w:rPr>
          <w:sz w:val="24"/>
          <w:szCs w:val="24"/>
          <w:u w:val="single"/>
        </w:rPr>
      </w:pPr>
    </w:p>
    <w:p w:rsidR="00372F98" w:rsidRPr="00372F98" w:rsidRDefault="00372F98" w:rsidP="00372F98">
      <w:pPr>
        <w:tabs>
          <w:tab w:val="left" w:pos="851"/>
        </w:tabs>
        <w:ind w:left="851"/>
        <w:rPr>
          <w:sz w:val="24"/>
          <w:szCs w:val="24"/>
          <w:u w:val="single"/>
          <w:lang w:val="cs-CZ"/>
        </w:rPr>
      </w:pPr>
      <w:r w:rsidRPr="00372F98">
        <w:rPr>
          <w:sz w:val="24"/>
          <w:szCs w:val="24"/>
          <w:u w:val="single"/>
        </w:rPr>
        <w:t>Graviditet</w:t>
      </w:r>
    </w:p>
    <w:p w:rsidR="00372F98" w:rsidRPr="00372F98" w:rsidRDefault="00372F98" w:rsidP="00372F98">
      <w:pPr>
        <w:tabs>
          <w:tab w:val="left" w:pos="851"/>
        </w:tabs>
        <w:ind w:left="851"/>
        <w:rPr>
          <w:sz w:val="24"/>
          <w:szCs w:val="24"/>
          <w:lang w:val="cs-CZ"/>
        </w:rPr>
      </w:pPr>
      <w:r w:rsidRPr="00372F98">
        <w:rPr>
          <w:sz w:val="24"/>
          <w:szCs w:val="24"/>
        </w:rPr>
        <w:t xml:space="preserve">Der er ingen eller utilstrækkelige data fra anvendelse af </w:t>
      </w:r>
      <w:proofErr w:type="spellStart"/>
      <w:r w:rsidRPr="00372F98">
        <w:rPr>
          <w:sz w:val="24"/>
          <w:szCs w:val="24"/>
        </w:rPr>
        <w:t>ursodeoxycholsyre</w:t>
      </w:r>
      <w:proofErr w:type="spellEnd"/>
      <w:r w:rsidRPr="00372F98">
        <w:rPr>
          <w:sz w:val="24"/>
          <w:szCs w:val="24"/>
        </w:rPr>
        <w:t xml:space="preserve"> til gravide kvinder. Dyreforsøg har påvist reproduktionstoksicitet i den tidlige fase af et svangerskab (se pkt. 5.3). </w:t>
      </w:r>
      <w:proofErr w:type="spellStart"/>
      <w:r w:rsidRPr="00372F98">
        <w:rPr>
          <w:sz w:val="24"/>
          <w:szCs w:val="24"/>
        </w:rPr>
        <w:t>Proursan</w:t>
      </w:r>
      <w:proofErr w:type="spellEnd"/>
      <w:r w:rsidRPr="00372F98">
        <w:rPr>
          <w:sz w:val="24"/>
          <w:szCs w:val="24"/>
        </w:rPr>
        <w:t xml:space="preserve"> må kun anvendes på tvingende indikation til gravide.</w:t>
      </w:r>
    </w:p>
    <w:p w:rsidR="00372F98" w:rsidRPr="00372F98" w:rsidRDefault="00372F98" w:rsidP="00372F98">
      <w:pPr>
        <w:tabs>
          <w:tab w:val="left" w:pos="851"/>
        </w:tabs>
        <w:ind w:left="851"/>
        <w:rPr>
          <w:sz w:val="24"/>
          <w:szCs w:val="24"/>
          <w:lang w:val="cs-CZ"/>
        </w:rPr>
      </w:pPr>
    </w:p>
    <w:p w:rsidR="00372F98" w:rsidRPr="00372F98" w:rsidRDefault="00372F98" w:rsidP="00372F98">
      <w:pPr>
        <w:tabs>
          <w:tab w:val="left" w:pos="851"/>
        </w:tabs>
        <w:ind w:left="851"/>
        <w:rPr>
          <w:sz w:val="24"/>
          <w:szCs w:val="24"/>
          <w:lang w:val="cs-CZ"/>
        </w:rPr>
      </w:pPr>
      <w:r w:rsidRPr="00372F98">
        <w:rPr>
          <w:sz w:val="24"/>
          <w:szCs w:val="24"/>
        </w:rPr>
        <w:t xml:space="preserve">Kvinder, der kan blive gravide, bør kun behandles, hvis de anvender sikker prævention: Ikke-hormonelle præventionsmetoder eller p-piller med et lavt indhold af østrogen anbefales. Patienter, der tager </w:t>
      </w:r>
      <w:proofErr w:type="spellStart"/>
      <w:r w:rsidRPr="00372F98">
        <w:rPr>
          <w:sz w:val="24"/>
          <w:szCs w:val="24"/>
        </w:rPr>
        <w:t>Proursan</w:t>
      </w:r>
      <w:proofErr w:type="spellEnd"/>
      <w:r w:rsidRPr="00372F98">
        <w:rPr>
          <w:sz w:val="24"/>
          <w:szCs w:val="24"/>
        </w:rPr>
        <w:t xml:space="preserve"> til opløsning af galdesten, bør dog anvende sikker ikke-hormonel prævention, da hormonelle p-piller kan øge biliær </w:t>
      </w:r>
      <w:proofErr w:type="spellStart"/>
      <w:r w:rsidRPr="00372F98">
        <w:rPr>
          <w:sz w:val="24"/>
          <w:szCs w:val="24"/>
        </w:rPr>
        <w:t>litiasis</w:t>
      </w:r>
      <w:proofErr w:type="spellEnd"/>
      <w:r w:rsidRPr="00372F98">
        <w:rPr>
          <w:sz w:val="24"/>
          <w:szCs w:val="24"/>
        </w:rPr>
        <w:t>.</w:t>
      </w:r>
    </w:p>
    <w:p w:rsidR="00372F98" w:rsidRPr="00372F98" w:rsidRDefault="00372F98" w:rsidP="00372F98">
      <w:pPr>
        <w:tabs>
          <w:tab w:val="left" w:pos="851"/>
        </w:tabs>
        <w:ind w:left="851"/>
        <w:rPr>
          <w:sz w:val="24"/>
          <w:szCs w:val="24"/>
          <w:lang w:val="cs-CZ"/>
        </w:rPr>
      </w:pPr>
      <w:r w:rsidRPr="00372F98">
        <w:rPr>
          <w:sz w:val="24"/>
          <w:szCs w:val="24"/>
        </w:rPr>
        <w:t>Graviditet skal udelukkes før påbegyndelse af behandling.</w:t>
      </w:r>
    </w:p>
    <w:p w:rsidR="00372F98" w:rsidRPr="00372F98" w:rsidRDefault="00372F98" w:rsidP="00372F98">
      <w:pPr>
        <w:tabs>
          <w:tab w:val="left" w:pos="851"/>
        </w:tabs>
        <w:ind w:left="851"/>
        <w:rPr>
          <w:sz w:val="24"/>
          <w:szCs w:val="24"/>
          <w:lang w:val="cs-CZ"/>
        </w:rPr>
      </w:pPr>
    </w:p>
    <w:p w:rsidR="00372F98" w:rsidRPr="00372F98" w:rsidRDefault="00372F98" w:rsidP="00372F98">
      <w:pPr>
        <w:tabs>
          <w:tab w:val="left" w:pos="851"/>
        </w:tabs>
        <w:ind w:left="851"/>
        <w:rPr>
          <w:sz w:val="24"/>
          <w:szCs w:val="24"/>
          <w:u w:val="single"/>
          <w:lang w:val="cs-CZ"/>
        </w:rPr>
      </w:pPr>
      <w:r w:rsidRPr="00372F98">
        <w:rPr>
          <w:sz w:val="24"/>
          <w:szCs w:val="24"/>
          <w:u w:val="single"/>
        </w:rPr>
        <w:t>Amning</w:t>
      </w:r>
    </w:p>
    <w:p w:rsidR="00372F98" w:rsidRPr="00372F98" w:rsidRDefault="00372F98" w:rsidP="00372F98">
      <w:pPr>
        <w:tabs>
          <w:tab w:val="left" w:pos="851"/>
        </w:tabs>
        <w:ind w:left="851"/>
        <w:rPr>
          <w:sz w:val="24"/>
          <w:szCs w:val="24"/>
          <w:lang w:val="cs-CZ"/>
        </w:rPr>
      </w:pPr>
      <w:r w:rsidRPr="00372F98">
        <w:rPr>
          <w:sz w:val="24"/>
          <w:szCs w:val="24"/>
        </w:rPr>
        <w:t xml:space="preserve">Ifølge nogle få dokumenterede tilfælde af ammende kvinder er niveauet af </w:t>
      </w:r>
      <w:proofErr w:type="spellStart"/>
      <w:r w:rsidRPr="00372F98">
        <w:rPr>
          <w:sz w:val="24"/>
          <w:szCs w:val="24"/>
        </w:rPr>
        <w:t>ursodeoxycholsyre</w:t>
      </w:r>
      <w:proofErr w:type="spellEnd"/>
      <w:r w:rsidRPr="00372F98">
        <w:rPr>
          <w:sz w:val="24"/>
          <w:szCs w:val="24"/>
        </w:rPr>
        <w:t xml:space="preserve"> i brystmælk meget lavt, og der vil sandsynligvis ikke forekomme bivirkninger hos diende spædbørn.</w:t>
      </w:r>
    </w:p>
    <w:p w:rsidR="00372F98" w:rsidRPr="00372F98" w:rsidRDefault="00372F98" w:rsidP="00372F98">
      <w:pPr>
        <w:tabs>
          <w:tab w:val="left" w:pos="851"/>
        </w:tabs>
        <w:ind w:left="851"/>
        <w:rPr>
          <w:sz w:val="24"/>
          <w:szCs w:val="24"/>
          <w:lang w:val="cs-CZ"/>
        </w:rPr>
      </w:pPr>
    </w:p>
    <w:p w:rsidR="00372F98" w:rsidRPr="00372F98" w:rsidRDefault="00372F98" w:rsidP="00372F98">
      <w:pPr>
        <w:tabs>
          <w:tab w:val="left" w:pos="851"/>
        </w:tabs>
        <w:ind w:left="851"/>
        <w:rPr>
          <w:sz w:val="24"/>
          <w:szCs w:val="24"/>
          <w:u w:val="single"/>
          <w:lang w:val="cs-CZ"/>
        </w:rPr>
      </w:pPr>
      <w:r w:rsidRPr="00372F98">
        <w:rPr>
          <w:sz w:val="24"/>
          <w:szCs w:val="24"/>
          <w:u w:val="single"/>
        </w:rPr>
        <w:t>Fertilitet</w:t>
      </w:r>
    </w:p>
    <w:p w:rsidR="00372F98" w:rsidRPr="00372F98" w:rsidRDefault="00372F98" w:rsidP="00372F98">
      <w:pPr>
        <w:tabs>
          <w:tab w:val="left" w:pos="851"/>
        </w:tabs>
        <w:ind w:left="851"/>
        <w:rPr>
          <w:sz w:val="24"/>
          <w:szCs w:val="24"/>
          <w:lang w:val="cs-CZ"/>
        </w:rPr>
      </w:pPr>
      <w:r w:rsidRPr="00372F98">
        <w:rPr>
          <w:sz w:val="24"/>
          <w:szCs w:val="24"/>
        </w:rPr>
        <w:t xml:space="preserve">Dyreforsøg har ikke påvist indvirkning af </w:t>
      </w:r>
      <w:proofErr w:type="spellStart"/>
      <w:r w:rsidRPr="00372F98">
        <w:rPr>
          <w:sz w:val="24"/>
          <w:szCs w:val="24"/>
        </w:rPr>
        <w:t>ursodeoxycholsyre</w:t>
      </w:r>
      <w:proofErr w:type="spellEnd"/>
      <w:r w:rsidRPr="00372F98">
        <w:rPr>
          <w:sz w:val="24"/>
          <w:szCs w:val="24"/>
        </w:rPr>
        <w:t xml:space="preserve"> på fertiliteten (se pkt. 5.3). Humane data vedrørende fertilitet efter behandling med </w:t>
      </w:r>
      <w:proofErr w:type="spellStart"/>
      <w:r w:rsidRPr="00372F98">
        <w:rPr>
          <w:sz w:val="24"/>
          <w:szCs w:val="24"/>
        </w:rPr>
        <w:t>ursodeoxycholsyre</w:t>
      </w:r>
      <w:proofErr w:type="spellEnd"/>
      <w:r w:rsidRPr="00372F98">
        <w:rPr>
          <w:sz w:val="24"/>
          <w:szCs w:val="24"/>
        </w:rPr>
        <w:t xml:space="preserve"> er ikke tilgængelige.</w:t>
      </w:r>
    </w:p>
    <w:p w:rsidR="00372F98" w:rsidRPr="00372F98" w:rsidRDefault="00372F98" w:rsidP="00372F98">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72F98" w:rsidRPr="00372F98" w:rsidRDefault="00372F98" w:rsidP="00372F98">
      <w:pPr>
        <w:tabs>
          <w:tab w:val="left" w:pos="851"/>
        </w:tabs>
        <w:ind w:left="851"/>
        <w:rPr>
          <w:sz w:val="24"/>
          <w:szCs w:val="24"/>
          <w:lang w:val="cs-CZ"/>
        </w:rPr>
      </w:pPr>
      <w:r w:rsidRPr="00372F98">
        <w:rPr>
          <w:sz w:val="24"/>
          <w:szCs w:val="24"/>
          <w:lang w:val="cs-CZ"/>
        </w:rPr>
        <w:t>Ikke mærkning</w:t>
      </w:r>
      <w:r>
        <w:rPr>
          <w:sz w:val="24"/>
          <w:szCs w:val="24"/>
          <w:lang w:val="cs-CZ"/>
        </w:rPr>
        <w:t>.</w:t>
      </w:r>
    </w:p>
    <w:p w:rsidR="00372F98" w:rsidRPr="00372F98" w:rsidRDefault="00372F98" w:rsidP="00372F98">
      <w:pPr>
        <w:tabs>
          <w:tab w:val="left" w:pos="851"/>
        </w:tabs>
        <w:ind w:left="851"/>
        <w:rPr>
          <w:sz w:val="24"/>
          <w:szCs w:val="24"/>
          <w:lang w:val="cs-CZ"/>
        </w:rPr>
      </w:pPr>
    </w:p>
    <w:p w:rsidR="00372F98" w:rsidRPr="00372F98" w:rsidRDefault="00372F98" w:rsidP="00372F98">
      <w:pPr>
        <w:tabs>
          <w:tab w:val="left" w:pos="851"/>
        </w:tabs>
        <w:ind w:left="851"/>
        <w:rPr>
          <w:sz w:val="24"/>
          <w:szCs w:val="24"/>
          <w:lang w:val="cs-CZ"/>
        </w:rPr>
      </w:pPr>
      <w:proofErr w:type="spellStart"/>
      <w:r w:rsidRPr="00372F98">
        <w:rPr>
          <w:sz w:val="24"/>
          <w:szCs w:val="24"/>
        </w:rPr>
        <w:t>Ursodeoxycholsyre</w:t>
      </w:r>
      <w:proofErr w:type="spellEnd"/>
      <w:r w:rsidRPr="00372F98">
        <w:rPr>
          <w:sz w:val="24"/>
          <w:szCs w:val="24"/>
        </w:rPr>
        <w:t xml:space="preserve"> påvirker ikke eller kun i ubetydelig grad evnen til at føre motorkøretøj og betjene maskiner.</w:t>
      </w:r>
    </w:p>
    <w:p w:rsidR="009260DE" w:rsidRPr="00372F98"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25C6C" w:rsidRPr="00025C6C" w:rsidRDefault="00025C6C" w:rsidP="00025C6C">
      <w:pPr>
        <w:tabs>
          <w:tab w:val="left" w:pos="851"/>
        </w:tabs>
        <w:ind w:left="851"/>
        <w:rPr>
          <w:sz w:val="24"/>
          <w:szCs w:val="24"/>
          <w:lang w:val="cs-CZ"/>
        </w:rPr>
      </w:pPr>
    </w:p>
    <w:p w:rsidR="00025C6C" w:rsidRPr="00854316" w:rsidRDefault="00025C6C" w:rsidP="00025C6C">
      <w:pPr>
        <w:tabs>
          <w:tab w:val="left" w:pos="851"/>
        </w:tabs>
        <w:ind w:left="851"/>
        <w:rPr>
          <w:sz w:val="24"/>
          <w:szCs w:val="24"/>
          <w:u w:val="single"/>
          <w:lang w:val="cs-CZ"/>
        </w:rPr>
      </w:pPr>
      <w:r w:rsidRPr="00854316">
        <w:rPr>
          <w:sz w:val="24"/>
          <w:szCs w:val="24"/>
          <w:u w:val="single"/>
        </w:rPr>
        <w:t>Hyppigheden af bivirkninger er baseret på følgende</w:t>
      </w:r>
    </w:p>
    <w:p w:rsidR="00025C6C" w:rsidRPr="00025C6C" w:rsidRDefault="00025C6C" w:rsidP="00025C6C">
      <w:pPr>
        <w:tabs>
          <w:tab w:val="left" w:pos="851"/>
        </w:tabs>
        <w:ind w:left="851"/>
        <w:rPr>
          <w:sz w:val="24"/>
          <w:szCs w:val="24"/>
          <w:lang w:val="cs-CZ"/>
        </w:rPr>
      </w:pPr>
      <w:r w:rsidRPr="00025C6C">
        <w:rPr>
          <w:sz w:val="24"/>
          <w:szCs w:val="24"/>
        </w:rPr>
        <w:t>Meget almindelig (≥ 1/10)</w:t>
      </w:r>
    </w:p>
    <w:p w:rsidR="00025C6C" w:rsidRPr="00025C6C" w:rsidRDefault="00025C6C" w:rsidP="00025C6C">
      <w:pPr>
        <w:tabs>
          <w:tab w:val="left" w:pos="851"/>
        </w:tabs>
        <w:ind w:left="851"/>
        <w:rPr>
          <w:sz w:val="24"/>
          <w:szCs w:val="24"/>
          <w:lang w:val="cs-CZ"/>
        </w:rPr>
      </w:pPr>
      <w:r w:rsidRPr="00025C6C">
        <w:rPr>
          <w:sz w:val="24"/>
          <w:szCs w:val="24"/>
        </w:rPr>
        <w:t>Almindelig (≥ 1/100 til &lt; 1/10)</w:t>
      </w:r>
    </w:p>
    <w:p w:rsidR="00025C6C" w:rsidRPr="00025C6C" w:rsidRDefault="00025C6C" w:rsidP="00025C6C">
      <w:pPr>
        <w:tabs>
          <w:tab w:val="left" w:pos="851"/>
        </w:tabs>
        <w:ind w:left="851"/>
        <w:rPr>
          <w:sz w:val="24"/>
          <w:szCs w:val="24"/>
          <w:lang w:val="cs-CZ"/>
        </w:rPr>
      </w:pPr>
      <w:r w:rsidRPr="00025C6C">
        <w:rPr>
          <w:sz w:val="24"/>
          <w:szCs w:val="24"/>
        </w:rPr>
        <w:t>Ikke almindelig (≥ 1/1.000 til &lt; 1/100)</w:t>
      </w:r>
    </w:p>
    <w:p w:rsidR="00025C6C" w:rsidRPr="00025C6C" w:rsidRDefault="00025C6C" w:rsidP="00025C6C">
      <w:pPr>
        <w:tabs>
          <w:tab w:val="left" w:pos="851"/>
        </w:tabs>
        <w:ind w:left="851"/>
        <w:rPr>
          <w:sz w:val="24"/>
          <w:szCs w:val="24"/>
          <w:lang w:val="cs-CZ"/>
        </w:rPr>
      </w:pPr>
      <w:r w:rsidRPr="00025C6C">
        <w:rPr>
          <w:sz w:val="24"/>
          <w:szCs w:val="24"/>
        </w:rPr>
        <w:t>Sjælden (≥ 1/10.000 til &lt; 1/1.000)</w:t>
      </w:r>
    </w:p>
    <w:p w:rsidR="00025C6C" w:rsidRPr="00025C6C" w:rsidRDefault="00025C6C" w:rsidP="00025C6C">
      <w:pPr>
        <w:tabs>
          <w:tab w:val="left" w:pos="851"/>
        </w:tabs>
        <w:ind w:left="851"/>
        <w:rPr>
          <w:sz w:val="24"/>
          <w:szCs w:val="24"/>
          <w:lang w:val="cs-CZ"/>
        </w:rPr>
      </w:pPr>
      <w:r w:rsidRPr="00025C6C">
        <w:rPr>
          <w:sz w:val="24"/>
          <w:szCs w:val="24"/>
        </w:rPr>
        <w:lastRenderedPageBreak/>
        <w:t>Meget sjælden (&lt; 1/10.000)</w:t>
      </w:r>
    </w:p>
    <w:p w:rsidR="00025C6C" w:rsidRPr="00025C6C" w:rsidRDefault="00025C6C" w:rsidP="00025C6C">
      <w:pPr>
        <w:tabs>
          <w:tab w:val="left" w:pos="851"/>
        </w:tabs>
        <w:ind w:left="851"/>
        <w:rPr>
          <w:sz w:val="24"/>
          <w:szCs w:val="24"/>
          <w:lang w:val="cs-CZ"/>
        </w:rPr>
      </w:pPr>
      <w:r w:rsidRPr="00025C6C">
        <w:rPr>
          <w:sz w:val="24"/>
          <w:szCs w:val="24"/>
        </w:rPr>
        <w:t>Ikke kendt (kan ikke estimeres ud fra forhåndenværende data)</w:t>
      </w:r>
    </w:p>
    <w:p w:rsidR="00025C6C" w:rsidRPr="00025C6C" w:rsidRDefault="00025C6C" w:rsidP="00025C6C">
      <w:pPr>
        <w:tabs>
          <w:tab w:val="left" w:pos="851"/>
        </w:tabs>
        <w:ind w:left="851"/>
        <w:rPr>
          <w:sz w:val="24"/>
          <w:szCs w:val="24"/>
          <w:lang w:val="cs-CZ"/>
        </w:rPr>
      </w:pPr>
    </w:p>
    <w:p w:rsidR="00025C6C" w:rsidRPr="00025C6C" w:rsidRDefault="00025C6C" w:rsidP="00025C6C">
      <w:pPr>
        <w:tabs>
          <w:tab w:val="left" w:pos="851"/>
        </w:tabs>
        <w:ind w:left="851"/>
        <w:rPr>
          <w:iCs/>
          <w:sz w:val="24"/>
          <w:szCs w:val="24"/>
          <w:u w:val="single"/>
          <w:lang w:val="cs-CZ"/>
        </w:rPr>
      </w:pPr>
      <w:r w:rsidRPr="00025C6C">
        <w:rPr>
          <w:sz w:val="24"/>
          <w:szCs w:val="24"/>
          <w:u w:val="single"/>
        </w:rPr>
        <w:t>Mave-tarm-kanalen</w:t>
      </w:r>
    </w:p>
    <w:p w:rsidR="00025C6C" w:rsidRPr="00025C6C" w:rsidRDefault="00025C6C" w:rsidP="00854316">
      <w:pPr>
        <w:tabs>
          <w:tab w:val="left" w:pos="851"/>
          <w:tab w:val="left" w:pos="2410"/>
        </w:tabs>
        <w:ind w:left="851"/>
        <w:rPr>
          <w:sz w:val="24"/>
          <w:szCs w:val="24"/>
          <w:lang w:val="cs-CZ"/>
        </w:rPr>
      </w:pPr>
      <w:r w:rsidRPr="00025C6C">
        <w:rPr>
          <w:i/>
          <w:iCs/>
          <w:sz w:val="24"/>
          <w:szCs w:val="24"/>
        </w:rPr>
        <w:t>Almindelig</w:t>
      </w:r>
      <w:r w:rsidRPr="00025C6C">
        <w:rPr>
          <w:sz w:val="24"/>
          <w:szCs w:val="24"/>
        </w:rPr>
        <w:t>:</w:t>
      </w:r>
      <w:r w:rsidRPr="00025C6C">
        <w:rPr>
          <w:sz w:val="24"/>
          <w:szCs w:val="24"/>
        </w:rPr>
        <w:tab/>
      </w:r>
      <w:r w:rsidR="00854316">
        <w:rPr>
          <w:sz w:val="24"/>
          <w:szCs w:val="24"/>
        </w:rPr>
        <w:t>K</w:t>
      </w:r>
      <w:r w:rsidRPr="00025C6C">
        <w:rPr>
          <w:sz w:val="24"/>
          <w:szCs w:val="24"/>
        </w:rPr>
        <w:t>læg afføring eller diarré er set i kliniske studier</w:t>
      </w:r>
    </w:p>
    <w:p w:rsidR="00025C6C" w:rsidRPr="00025C6C" w:rsidRDefault="00025C6C" w:rsidP="00854316">
      <w:pPr>
        <w:tabs>
          <w:tab w:val="left" w:pos="2410"/>
        </w:tabs>
        <w:ind w:left="2410" w:hanging="1559"/>
        <w:rPr>
          <w:sz w:val="24"/>
          <w:szCs w:val="24"/>
          <w:lang w:val="cs-CZ"/>
        </w:rPr>
      </w:pPr>
      <w:r w:rsidRPr="00025C6C">
        <w:rPr>
          <w:i/>
          <w:iCs/>
          <w:sz w:val="24"/>
          <w:szCs w:val="24"/>
        </w:rPr>
        <w:t>Meget sjælden</w:t>
      </w:r>
      <w:r w:rsidRPr="00025C6C">
        <w:rPr>
          <w:sz w:val="24"/>
          <w:szCs w:val="24"/>
        </w:rPr>
        <w:t>:</w:t>
      </w:r>
      <w:r w:rsidRPr="00025C6C">
        <w:rPr>
          <w:sz w:val="24"/>
          <w:szCs w:val="24"/>
        </w:rPr>
        <w:tab/>
      </w:r>
      <w:r w:rsidR="00854316">
        <w:rPr>
          <w:sz w:val="24"/>
          <w:szCs w:val="24"/>
        </w:rPr>
        <w:t>S</w:t>
      </w:r>
      <w:r w:rsidRPr="00025C6C">
        <w:rPr>
          <w:sz w:val="24"/>
          <w:szCs w:val="24"/>
        </w:rPr>
        <w:t>være smerter i øvre højre del af maven (hos patienter med primær biliær cirrose).</w:t>
      </w:r>
    </w:p>
    <w:p w:rsidR="00025C6C" w:rsidRPr="00025C6C" w:rsidRDefault="00025C6C" w:rsidP="00854316">
      <w:pPr>
        <w:tabs>
          <w:tab w:val="left" w:pos="851"/>
          <w:tab w:val="left" w:pos="2410"/>
        </w:tabs>
        <w:ind w:left="851"/>
        <w:rPr>
          <w:sz w:val="24"/>
          <w:szCs w:val="24"/>
          <w:lang w:val="cs-CZ"/>
        </w:rPr>
      </w:pPr>
    </w:p>
    <w:p w:rsidR="00025C6C" w:rsidRPr="00025C6C" w:rsidRDefault="00025C6C" w:rsidP="00854316">
      <w:pPr>
        <w:tabs>
          <w:tab w:val="left" w:pos="851"/>
          <w:tab w:val="left" w:pos="2410"/>
        </w:tabs>
        <w:ind w:left="851"/>
        <w:rPr>
          <w:iCs/>
          <w:sz w:val="24"/>
          <w:szCs w:val="24"/>
          <w:u w:val="single"/>
          <w:lang w:val="cs-CZ"/>
        </w:rPr>
      </w:pPr>
      <w:r w:rsidRPr="00025C6C">
        <w:rPr>
          <w:sz w:val="24"/>
          <w:szCs w:val="24"/>
          <w:u w:val="single"/>
        </w:rPr>
        <w:t>Lever og galdeveje</w:t>
      </w:r>
    </w:p>
    <w:p w:rsidR="00025C6C" w:rsidRPr="00025C6C" w:rsidRDefault="00025C6C" w:rsidP="00C050F8">
      <w:pPr>
        <w:tabs>
          <w:tab w:val="left" w:pos="2410"/>
        </w:tabs>
        <w:ind w:left="2410" w:hanging="1559"/>
        <w:rPr>
          <w:sz w:val="24"/>
          <w:szCs w:val="24"/>
          <w:lang w:val="cs-CZ"/>
        </w:rPr>
      </w:pPr>
      <w:r w:rsidRPr="00025C6C">
        <w:rPr>
          <w:i/>
          <w:iCs/>
          <w:sz w:val="24"/>
          <w:szCs w:val="24"/>
        </w:rPr>
        <w:t>Meget sjælden</w:t>
      </w:r>
      <w:r w:rsidRPr="00025C6C">
        <w:rPr>
          <w:sz w:val="24"/>
          <w:szCs w:val="24"/>
        </w:rPr>
        <w:t>:</w:t>
      </w:r>
      <w:r w:rsidRPr="00025C6C">
        <w:rPr>
          <w:sz w:val="24"/>
          <w:szCs w:val="24"/>
        </w:rPr>
        <w:tab/>
      </w:r>
      <w:r w:rsidR="00854316">
        <w:rPr>
          <w:sz w:val="24"/>
          <w:szCs w:val="24"/>
        </w:rPr>
        <w:t>F</w:t>
      </w:r>
      <w:r w:rsidRPr="00025C6C">
        <w:rPr>
          <w:sz w:val="24"/>
          <w:szCs w:val="24"/>
        </w:rPr>
        <w:t xml:space="preserve">orkalkning af galdesten, </w:t>
      </w:r>
      <w:proofErr w:type="spellStart"/>
      <w:r w:rsidRPr="00025C6C">
        <w:rPr>
          <w:sz w:val="24"/>
          <w:szCs w:val="24"/>
        </w:rPr>
        <w:t>dekompenseret</w:t>
      </w:r>
      <w:proofErr w:type="spellEnd"/>
      <w:r w:rsidRPr="00025C6C">
        <w:rPr>
          <w:sz w:val="24"/>
          <w:szCs w:val="24"/>
        </w:rPr>
        <w:t xml:space="preserve"> levercirrose (hos patienter med fremskreden primær biliær cirrose), der delvis forsvandt efter </w:t>
      </w:r>
      <w:proofErr w:type="spellStart"/>
      <w:r w:rsidRPr="00025C6C">
        <w:rPr>
          <w:sz w:val="24"/>
          <w:szCs w:val="24"/>
        </w:rPr>
        <w:t>seponering</w:t>
      </w:r>
      <w:proofErr w:type="spellEnd"/>
      <w:r w:rsidRPr="00025C6C">
        <w:rPr>
          <w:sz w:val="24"/>
          <w:szCs w:val="24"/>
        </w:rPr>
        <w:t xml:space="preserve"> af behandlingen.</w:t>
      </w:r>
    </w:p>
    <w:p w:rsidR="00025C6C" w:rsidRPr="00025C6C" w:rsidRDefault="00025C6C" w:rsidP="00854316">
      <w:pPr>
        <w:tabs>
          <w:tab w:val="left" w:pos="851"/>
          <w:tab w:val="left" w:pos="2410"/>
        </w:tabs>
        <w:ind w:left="851"/>
        <w:rPr>
          <w:sz w:val="24"/>
          <w:szCs w:val="24"/>
          <w:lang w:val="cs-CZ"/>
        </w:rPr>
      </w:pPr>
    </w:p>
    <w:p w:rsidR="00025C6C" w:rsidRPr="00025C6C" w:rsidRDefault="00025C6C" w:rsidP="00854316">
      <w:pPr>
        <w:tabs>
          <w:tab w:val="left" w:pos="851"/>
          <w:tab w:val="left" w:pos="2410"/>
        </w:tabs>
        <w:ind w:left="851"/>
        <w:rPr>
          <w:iCs/>
          <w:sz w:val="24"/>
          <w:szCs w:val="24"/>
          <w:u w:val="single"/>
          <w:lang w:val="cs-CZ"/>
        </w:rPr>
      </w:pPr>
      <w:r w:rsidRPr="00025C6C">
        <w:rPr>
          <w:sz w:val="24"/>
          <w:szCs w:val="24"/>
          <w:u w:val="single"/>
        </w:rPr>
        <w:t>Hud og subkutane væv</w:t>
      </w:r>
    </w:p>
    <w:p w:rsidR="00025C6C" w:rsidRPr="00025C6C" w:rsidRDefault="00025C6C" w:rsidP="00854316">
      <w:pPr>
        <w:tabs>
          <w:tab w:val="left" w:pos="851"/>
          <w:tab w:val="left" w:pos="2410"/>
        </w:tabs>
        <w:ind w:left="851"/>
        <w:rPr>
          <w:sz w:val="24"/>
          <w:szCs w:val="24"/>
          <w:lang w:val="cs-CZ"/>
        </w:rPr>
      </w:pPr>
      <w:r w:rsidRPr="00025C6C">
        <w:rPr>
          <w:i/>
          <w:iCs/>
          <w:sz w:val="24"/>
          <w:szCs w:val="24"/>
        </w:rPr>
        <w:t>Meget sjælden</w:t>
      </w:r>
      <w:r w:rsidRPr="00025C6C">
        <w:rPr>
          <w:sz w:val="24"/>
          <w:szCs w:val="24"/>
        </w:rPr>
        <w:t>:</w:t>
      </w:r>
      <w:r w:rsidRPr="00025C6C">
        <w:rPr>
          <w:sz w:val="24"/>
          <w:szCs w:val="24"/>
        </w:rPr>
        <w:tab/>
      </w:r>
      <w:proofErr w:type="spellStart"/>
      <w:r w:rsidR="0072171B">
        <w:rPr>
          <w:sz w:val="24"/>
          <w:szCs w:val="24"/>
        </w:rPr>
        <w:t>U</w:t>
      </w:r>
      <w:r w:rsidRPr="00025C6C">
        <w:rPr>
          <w:sz w:val="24"/>
          <w:szCs w:val="24"/>
        </w:rPr>
        <w:t>rticaria</w:t>
      </w:r>
      <w:proofErr w:type="spellEnd"/>
      <w:r w:rsidRPr="00025C6C">
        <w:rPr>
          <w:sz w:val="24"/>
          <w:szCs w:val="24"/>
        </w:rPr>
        <w:t>.</w:t>
      </w:r>
    </w:p>
    <w:p w:rsidR="00025C6C" w:rsidRPr="00025C6C" w:rsidRDefault="00025C6C" w:rsidP="00025C6C">
      <w:pPr>
        <w:tabs>
          <w:tab w:val="left" w:pos="851"/>
        </w:tabs>
        <w:ind w:left="851"/>
        <w:rPr>
          <w:sz w:val="24"/>
          <w:szCs w:val="24"/>
          <w:u w:val="single"/>
          <w:lang w:val="cs-CZ"/>
        </w:rPr>
      </w:pPr>
    </w:p>
    <w:p w:rsidR="00025C6C" w:rsidRPr="00025C6C" w:rsidRDefault="00025C6C" w:rsidP="00025C6C">
      <w:pPr>
        <w:tabs>
          <w:tab w:val="left" w:pos="851"/>
        </w:tabs>
        <w:ind w:left="851"/>
        <w:rPr>
          <w:sz w:val="24"/>
          <w:szCs w:val="24"/>
          <w:u w:val="single"/>
          <w:lang w:val="cs-CZ"/>
        </w:rPr>
      </w:pPr>
      <w:r w:rsidRPr="00025C6C">
        <w:rPr>
          <w:sz w:val="24"/>
          <w:szCs w:val="24"/>
          <w:u w:val="single"/>
        </w:rPr>
        <w:t>Indberetning af formodede bivirkninger</w:t>
      </w:r>
    </w:p>
    <w:p w:rsidR="00025C6C" w:rsidRDefault="00025C6C" w:rsidP="00025C6C">
      <w:pPr>
        <w:tabs>
          <w:tab w:val="left" w:pos="851"/>
        </w:tabs>
        <w:ind w:left="851"/>
        <w:rPr>
          <w:sz w:val="24"/>
          <w:szCs w:val="24"/>
        </w:rPr>
      </w:pPr>
      <w:r w:rsidRPr="00025C6C">
        <w:rPr>
          <w:sz w:val="24"/>
          <w:szCs w:val="24"/>
        </w:rPr>
        <w:t>Når lægemidlet er godkendt, er indberetning af formodede bivirkninger vigtig. Det muliggør løbende overvågning af benefit/</w:t>
      </w:r>
      <w:proofErr w:type="spellStart"/>
      <w:r w:rsidRPr="00025C6C">
        <w:rPr>
          <w:sz w:val="24"/>
          <w:szCs w:val="24"/>
        </w:rPr>
        <w:t>risk</w:t>
      </w:r>
      <w:proofErr w:type="spellEnd"/>
      <w:r w:rsidRPr="00025C6C">
        <w:rPr>
          <w:sz w:val="24"/>
          <w:szCs w:val="24"/>
        </w:rPr>
        <w:t>-forholdet for lægemidlet. Sundhedspersoner anmodes om at indberette alle formodede bivirkninger via</w:t>
      </w:r>
      <w:r w:rsidR="0072171B">
        <w:rPr>
          <w:sz w:val="24"/>
          <w:szCs w:val="24"/>
        </w:rPr>
        <w:t>:</w:t>
      </w:r>
    </w:p>
    <w:p w:rsidR="0072171B" w:rsidRPr="00025C6C" w:rsidRDefault="0072171B" w:rsidP="00025C6C">
      <w:pPr>
        <w:tabs>
          <w:tab w:val="left" w:pos="851"/>
        </w:tabs>
        <w:ind w:left="851"/>
        <w:rPr>
          <w:sz w:val="24"/>
          <w:szCs w:val="24"/>
        </w:rPr>
      </w:pPr>
    </w:p>
    <w:p w:rsidR="00025C6C" w:rsidRPr="00025C6C" w:rsidRDefault="00025C6C" w:rsidP="00025C6C">
      <w:pPr>
        <w:tabs>
          <w:tab w:val="left" w:pos="851"/>
        </w:tabs>
        <w:ind w:left="851"/>
        <w:rPr>
          <w:sz w:val="24"/>
          <w:szCs w:val="24"/>
        </w:rPr>
      </w:pPr>
      <w:r w:rsidRPr="00025C6C">
        <w:rPr>
          <w:sz w:val="24"/>
          <w:szCs w:val="24"/>
        </w:rPr>
        <w:t>Lægemiddelstyrelsen</w:t>
      </w:r>
    </w:p>
    <w:p w:rsidR="00025C6C" w:rsidRPr="00025C6C" w:rsidRDefault="00025C6C" w:rsidP="00025C6C">
      <w:pPr>
        <w:tabs>
          <w:tab w:val="left" w:pos="851"/>
        </w:tabs>
        <w:ind w:left="851"/>
        <w:rPr>
          <w:sz w:val="24"/>
          <w:szCs w:val="24"/>
        </w:rPr>
      </w:pPr>
      <w:r w:rsidRPr="00025C6C">
        <w:rPr>
          <w:sz w:val="24"/>
          <w:szCs w:val="24"/>
        </w:rPr>
        <w:t>Axel Heides Gade 1</w:t>
      </w:r>
    </w:p>
    <w:p w:rsidR="00025C6C" w:rsidRPr="00025C6C" w:rsidRDefault="00025C6C" w:rsidP="00025C6C">
      <w:pPr>
        <w:tabs>
          <w:tab w:val="left" w:pos="851"/>
        </w:tabs>
        <w:ind w:left="851"/>
        <w:rPr>
          <w:sz w:val="24"/>
          <w:szCs w:val="24"/>
        </w:rPr>
      </w:pPr>
      <w:r w:rsidRPr="00025C6C">
        <w:rPr>
          <w:sz w:val="24"/>
          <w:szCs w:val="24"/>
        </w:rPr>
        <w:t>DK-2300 København S</w:t>
      </w:r>
    </w:p>
    <w:p w:rsidR="00025C6C" w:rsidRPr="00025C6C" w:rsidRDefault="00025C6C" w:rsidP="00025C6C">
      <w:pPr>
        <w:tabs>
          <w:tab w:val="left" w:pos="851"/>
        </w:tabs>
        <w:ind w:left="851"/>
        <w:rPr>
          <w:b/>
          <w:sz w:val="24"/>
          <w:szCs w:val="24"/>
          <w:lang w:val="cs-CZ"/>
        </w:rPr>
      </w:pPr>
      <w:r w:rsidRPr="00025C6C">
        <w:rPr>
          <w:sz w:val="24"/>
          <w:szCs w:val="24"/>
        </w:rPr>
        <w:t xml:space="preserve">Websted: </w:t>
      </w:r>
      <w:hyperlink r:id="rId8" w:history="1">
        <w:r w:rsidRPr="00025C6C">
          <w:rPr>
            <w:rStyle w:val="Hyperlink"/>
            <w:sz w:val="24"/>
            <w:szCs w:val="24"/>
          </w:rPr>
          <w:t>www.meldenbivirkning.dk</w:t>
        </w:r>
      </w:hyperlink>
    </w:p>
    <w:p w:rsidR="00025C6C" w:rsidRPr="00025C6C" w:rsidRDefault="00025C6C" w:rsidP="00025C6C">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2171B" w:rsidRPr="0072171B" w:rsidRDefault="0072171B" w:rsidP="0072171B">
      <w:pPr>
        <w:tabs>
          <w:tab w:val="left" w:pos="851"/>
        </w:tabs>
        <w:ind w:left="851"/>
        <w:rPr>
          <w:sz w:val="24"/>
          <w:szCs w:val="24"/>
          <w:lang w:val="de-DE"/>
        </w:rPr>
      </w:pPr>
      <w:r w:rsidRPr="0072171B">
        <w:rPr>
          <w:sz w:val="24"/>
          <w:szCs w:val="24"/>
        </w:rPr>
        <w:t xml:space="preserve">Diarré kan forekomme i tilfælde af overdosering. Generelt er andre symptomer på overdosering usandsynlige, fordi optagelsen af </w:t>
      </w:r>
      <w:proofErr w:type="spellStart"/>
      <w:r w:rsidRPr="0072171B">
        <w:rPr>
          <w:sz w:val="24"/>
          <w:szCs w:val="24"/>
        </w:rPr>
        <w:t>ursodeoxycholsyre</w:t>
      </w:r>
      <w:proofErr w:type="spellEnd"/>
      <w:r w:rsidRPr="0072171B">
        <w:rPr>
          <w:sz w:val="24"/>
          <w:szCs w:val="24"/>
        </w:rPr>
        <w:t xml:space="preserve"> aftager med stigende dosis, og mere derfor udskilles via fæces.</w:t>
      </w:r>
    </w:p>
    <w:p w:rsidR="0072171B" w:rsidRPr="0072171B" w:rsidRDefault="0072171B" w:rsidP="0072171B">
      <w:pPr>
        <w:tabs>
          <w:tab w:val="left" w:pos="851"/>
        </w:tabs>
        <w:ind w:left="851"/>
        <w:rPr>
          <w:sz w:val="24"/>
          <w:szCs w:val="24"/>
          <w:lang w:val="cs-CZ"/>
        </w:rPr>
      </w:pPr>
      <w:r w:rsidRPr="0072171B">
        <w:rPr>
          <w:sz w:val="24"/>
          <w:szCs w:val="24"/>
        </w:rPr>
        <w:t>Det er ikke nødvendigt med specifikke modforanstaltninger, og følgerne af diarré bør behandles symptomatisk med genoprettelse af væske- og elektrolytbalancen.</w:t>
      </w:r>
    </w:p>
    <w:p w:rsidR="0072171B" w:rsidRPr="0072171B" w:rsidRDefault="0072171B" w:rsidP="0072171B">
      <w:pPr>
        <w:tabs>
          <w:tab w:val="left" w:pos="851"/>
        </w:tabs>
        <w:ind w:left="851"/>
        <w:rPr>
          <w:sz w:val="24"/>
          <w:szCs w:val="24"/>
          <w:lang w:val="cs-CZ"/>
        </w:rPr>
      </w:pPr>
    </w:p>
    <w:p w:rsidR="0072171B" w:rsidRPr="0072171B" w:rsidRDefault="0072171B" w:rsidP="0072171B">
      <w:pPr>
        <w:tabs>
          <w:tab w:val="left" w:pos="851"/>
        </w:tabs>
        <w:ind w:left="851"/>
        <w:rPr>
          <w:sz w:val="24"/>
          <w:szCs w:val="24"/>
          <w:u w:val="single"/>
          <w:lang w:val="cs-CZ"/>
        </w:rPr>
      </w:pPr>
      <w:r w:rsidRPr="0072171B">
        <w:rPr>
          <w:sz w:val="24"/>
          <w:szCs w:val="24"/>
          <w:u w:val="single"/>
        </w:rPr>
        <w:t>Yderligere oplysninger vedrørende særlige populationer</w:t>
      </w:r>
    </w:p>
    <w:p w:rsidR="0072171B" w:rsidRPr="00D53AED" w:rsidRDefault="0072171B" w:rsidP="0072171B">
      <w:pPr>
        <w:tabs>
          <w:tab w:val="left" w:pos="851"/>
        </w:tabs>
        <w:ind w:left="851"/>
        <w:rPr>
          <w:sz w:val="24"/>
          <w:szCs w:val="24"/>
          <w:lang w:val="cs-CZ"/>
        </w:rPr>
      </w:pPr>
      <w:r w:rsidRPr="00D53AED">
        <w:rPr>
          <w:sz w:val="24"/>
          <w:szCs w:val="24"/>
        </w:rPr>
        <w:t xml:space="preserve">Længerevarende behandling med </w:t>
      </w:r>
      <w:proofErr w:type="spellStart"/>
      <w:r w:rsidRPr="00D53AED">
        <w:rPr>
          <w:sz w:val="24"/>
          <w:szCs w:val="24"/>
        </w:rPr>
        <w:t>ursodeoxycholsyre</w:t>
      </w:r>
      <w:proofErr w:type="spellEnd"/>
      <w:r w:rsidRPr="00D53AED">
        <w:rPr>
          <w:sz w:val="24"/>
          <w:szCs w:val="24"/>
        </w:rPr>
        <w:t xml:space="preserve"> i høje doser (28-30 mg/kg/dag) hos patienter med primær biliær cirrose (</w:t>
      </w:r>
      <w:proofErr w:type="spellStart"/>
      <w:r w:rsidRPr="00D53AED">
        <w:rPr>
          <w:sz w:val="24"/>
          <w:szCs w:val="24"/>
        </w:rPr>
        <w:t>off</w:t>
      </w:r>
      <w:proofErr w:type="spellEnd"/>
      <w:r w:rsidRPr="00D53AED">
        <w:rPr>
          <w:sz w:val="24"/>
          <w:szCs w:val="24"/>
        </w:rPr>
        <w:t xml:space="preserve"> label) var forbundet med højere forekomst af alvorlige bivirkninger.</w:t>
      </w:r>
    </w:p>
    <w:p w:rsidR="009260DE" w:rsidRPr="00D53AED" w:rsidRDefault="009260DE" w:rsidP="009260DE">
      <w:pPr>
        <w:tabs>
          <w:tab w:val="left" w:pos="851"/>
        </w:tabs>
        <w:ind w:left="851"/>
        <w:rPr>
          <w:sz w:val="24"/>
          <w:szCs w:val="24"/>
          <w:lang w:val="cs-CZ"/>
        </w:rPr>
      </w:pPr>
    </w:p>
    <w:p w:rsidR="009260DE" w:rsidRPr="00D53AED" w:rsidRDefault="009260DE" w:rsidP="009260DE">
      <w:pPr>
        <w:tabs>
          <w:tab w:val="left" w:pos="851"/>
        </w:tabs>
        <w:ind w:left="851" w:hanging="851"/>
        <w:rPr>
          <w:b/>
          <w:sz w:val="24"/>
          <w:szCs w:val="24"/>
        </w:rPr>
      </w:pPr>
      <w:r w:rsidRPr="00D53AED">
        <w:rPr>
          <w:b/>
          <w:sz w:val="24"/>
          <w:szCs w:val="24"/>
        </w:rPr>
        <w:t>4.10</w:t>
      </w:r>
      <w:r w:rsidRPr="00D53AED">
        <w:rPr>
          <w:b/>
          <w:sz w:val="24"/>
          <w:szCs w:val="24"/>
        </w:rPr>
        <w:tab/>
        <w:t>Udlevering</w:t>
      </w:r>
    </w:p>
    <w:p w:rsidR="009260DE" w:rsidRDefault="00ED32E2" w:rsidP="009260DE">
      <w:pPr>
        <w:tabs>
          <w:tab w:val="left" w:pos="851"/>
        </w:tabs>
        <w:ind w:left="851"/>
        <w:rPr>
          <w:sz w:val="24"/>
          <w:szCs w:val="24"/>
        </w:rPr>
      </w:pPr>
      <w:r>
        <w:rPr>
          <w:sz w:val="24"/>
          <w:szCs w:val="24"/>
        </w:rPr>
        <w:t>B</w:t>
      </w:r>
    </w:p>
    <w:p w:rsidR="00ED32E2" w:rsidRPr="00D53AED" w:rsidRDefault="00ED32E2" w:rsidP="009260DE">
      <w:pPr>
        <w:tabs>
          <w:tab w:val="left" w:pos="851"/>
        </w:tabs>
        <w:ind w:left="851"/>
        <w:rPr>
          <w:sz w:val="24"/>
          <w:szCs w:val="24"/>
        </w:rPr>
      </w:pPr>
    </w:p>
    <w:p w:rsidR="00265BE0" w:rsidRPr="00D53AED" w:rsidRDefault="00265BE0" w:rsidP="009260DE">
      <w:pPr>
        <w:tabs>
          <w:tab w:val="left" w:pos="851"/>
        </w:tabs>
        <w:ind w:left="851"/>
        <w:rPr>
          <w:sz w:val="24"/>
          <w:szCs w:val="24"/>
        </w:rPr>
      </w:pPr>
    </w:p>
    <w:p w:rsidR="009260DE" w:rsidRPr="00D53AED" w:rsidRDefault="009260DE" w:rsidP="009260DE">
      <w:pPr>
        <w:tabs>
          <w:tab w:val="left" w:pos="851"/>
        </w:tabs>
        <w:ind w:left="851" w:hanging="851"/>
        <w:rPr>
          <w:b/>
          <w:sz w:val="24"/>
          <w:szCs w:val="24"/>
        </w:rPr>
      </w:pPr>
      <w:r w:rsidRPr="00D53AED">
        <w:rPr>
          <w:b/>
          <w:sz w:val="24"/>
          <w:szCs w:val="24"/>
        </w:rPr>
        <w:t>5.</w:t>
      </w:r>
      <w:r w:rsidRPr="00D53AED">
        <w:rPr>
          <w:b/>
          <w:sz w:val="24"/>
          <w:szCs w:val="24"/>
        </w:rPr>
        <w:tab/>
        <w:t>FARMAKOLOGISKE EGENSKABER</w:t>
      </w:r>
    </w:p>
    <w:p w:rsidR="009260DE" w:rsidRPr="00D53AED" w:rsidRDefault="009260DE" w:rsidP="009260DE">
      <w:pPr>
        <w:tabs>
          <w:tab w:val="left" w:pos="851"/>
        </w:tabs>
        <w:ind w:left="851"/>
        <w:rPr>
          <w:sz w:val="24"/>
          <w:szCs w:val="24"/>
        </w:rPr>
      </w:pPr>
    </w:p>
    <w:p w:rsidR="009260DE" w:rsidRPr="00D53AED" w:rsidRDefault="009260DE" w:rsidP="009260DE">
      <w:pPr>
        <w:tabs>
          <w:tab w:val="left" w:pos="851"/>
        </w:tabs>
        <w:ind w:left="851" w:hanging="851"/>
        <w:rPr>
          <w:b/>
          <w:sz w:val="24"/>
          <w:szCs w:val="24"/>
        </w:rPr>
      </w:pPr>
      <w:r w:rsidRPr="00D53AED">
        <w:rPr>
          <w:b/>
          <w:sz w:val="24"/>
          <w:szCs w:val="24"/>
        </w:rPr>
        <w:t>5.0</w:t>
      </w:r>
      <w:r w:rsidRPr="00D53AED">
        <w:rPr>
          <w:b/>
          <w:sz w:val="24"/>
          <w:szCs w:val="24"/>
        </w:rPr>
        <w:tab/>
        <w:t>Terapeutisk klassifikation</w:t>
      </w:r>
    </w:p>
    <w:p w:rsidR="00ED32E2" w:rsidRPr="00D53AED" w:rsidRDefault="00ED32E2" w:rsidP="00ED32E2">
      <w:pPr>
        <w:tabs>
          <w:tab w:val="left" w:pos="851"/>
        </w:tabs>
        <w:ind w:left="851"/>
        <w:rPr>
          <w:sz w:val="24"/>
          <w:szCs w:val="24"/>
        </w:rPr>
      </w:pPr>
      <w:r w:rsidRPr="00D53AED">
        <w:rPr>
          <w:sz w:val="24"/>
          <w:szCs w:val="24"/>
        </w:rPr>
        <w:t>ATC-kode: A 05 AA 02. Galdesyrer og derivater.</w:t>
      </w:r>
    </w:p>
    <w:p w:rsidR="009260DE" w:rsidRPr="00D53AED" w:rsidRDefault="009260DE" w:rsidP="009260DE">
      <w:pPr>
        <w:tabs>
          <w:tab w:val="left" w:pos="851"/>
        </w:tabs>
        <w:ind w:left="851"/>
        <w:rPr>
          <w:sz w:val="24"/>
          <w:szCs w:val="24"/>
        </w:rPr>
      </w:pPr>
    </w:p>
    <w:p w:rsidR="009260DE" w:rsidRPr="00D53AED" w:rsidRDefault="009260DE" w:rsidP="009260DE">
      <w:pPr>
        <w:tabs>
          <w:tab w:val="num" w:pos="851"/>
        </w:tabs>
        <w:ind w:left="851" w:hanging="851"/>
        <w:rPr>
          <w:b/>
          <w:sz w:val="24"/>
          <w:szCs w:val="24"/>
        </w:rPr>
      </w:pPr>
      <w:r w:rsidRPr="00D53AED">
        <w:rPr>
          <w:b/>
          <w:sz w:val="24"/>
          <w:szCs w:val="24"/>
        </w:rPr>
        <w:t>5.1</w:t>
      </w:r>
      <w:r w:rsidRPr="00D53AED">
        <w:rPr>
          <w:b/>
          <w:sz w:val="24"/>
          <w:szCs w:val="24"/>
        </w:rPr>
        <w:tab/>
      </w:r>
      <w:proofErr w:type="spellStart"/>
      <w:r w:rsidRPr="00D53AED">
        <w:rPr>
          <w:b/>
          <w:sz w:val="24"/>
          <w:szCs w:val="24"/>
        </w:rPr>
        <w:t>Farmakodynamiske</w:t>
      </w:r>
      <w:proofErr w:type="spellEnd"/>
      <w:r w:rsidRPr="00D53AED">
        <w:rPr>
          <w:b/>
          <w:sz w:val="24"/>
          <w:szCs w:val="24"/>
        </w:rPr>
        <w:t xml:space="preserve"> egenskaber</w:t>
      </w:r>
    </w:p>
    <w:p w:rsidR="00A421E5" w:rsidRPr="00D53AED" w:rsidRDefault="00A421E5" w:rsidP="00A421E5">
      <w:pPr>
        <w:ind w:left="851"/>
        <w:rPr>
          <w:sz w:val="24"/>
          <w:szCs w:val="24"/>
          <w:lang w:eastAsia="cs-CZ"/>
        </w:rPr>
      </w:pPr>
      <w:proofErr w:type="spellStart"/>
      <w:r w:rsidRPr="00D53AED">
        <w:rPr>
          <w:sz w:val="24"/>
          <w:szCs w:val="24"/>
        </w:rPr>
        <w:t>Ursodeoxycholsyre</w:t>
      </w:r>
      <w:proofErr w:type="spellEnd"/>
      <w:r w:rsidRPr="00D53AED">
        <w:rPr>
          <w:sz w:val="24"/>
          <w:szCs w:val="24"/>
        </w:rPr>
        <w:t xml:space="preserve"> findes i små mængder i menneskers galde.</w:t>
      </w:r>
    </w:p>
    <w:p w:rsidR="00A421E5" w:rsidRPr="00D53AED" w:rsidRDefault="00A421E5" w:rsidP="00A421E5">
      <w:pPr>
        <w:ind w:left="851"/>
        <w:rPr>
          <w:sz w:val="24"/>
          <w:szCs w:val="24"/>
        </w:rPr>
      </w:pPr>
      <w:r w:rsidRPr="00D53AED">
        <w:rPr>
          <w:sz w:val="24"/>
          <w:szCs w:val="24"/>
        </w:rPr>
        <w:t xml:space="preserve">Ved oral administration inducerer det et fald i kolesterolmætningen i galdeblæren ved at blokere kolesteroloptagelsen i tarmene og et fald i kolesteroludskillelsen til galden. En </w:t>
      </w:r>
      <w:r w:rsidRPr="00D53AED">
        <w:rPr>
          <w:sz w:val="24"/>
          <w:szCs w:val="24"/>
        </w:rPr>
        <w:lastRenderedPageBreak/>
        <w:t>gradvis nedbrydning af kolesterolgaldesten opnås formodentlig gennem dispersion af kolesterol og dannelsen af flydende krystaller.</w:t>
      </w:r>
    </w:p>
    <w:p w:rsidR="00A421E5" w:rsidRPr="00D53AED" w:rsidRDefault="00A421E5" w:rsidP="00A421E5">
      <w:pPr>
        <w:ind w:left="851"/>
        <w:rPr>
          <w:sz w:val="24"/>
          <w:szCs w:val="24"/>
        </w:rPr>
      </w:pPr>
      <w:r w:rsidRPr="00D53AED">
        <w:rPr>
          <w:sz w:val="24"/>
          <w:szCs w:val="24"/>
        </w:rPr>
        <w:t xml:space="preserve">Effekten af </w:t>
      </w:r>
      <w:proofErr w:type="spellStart"/>
      <w:r w:rsidRPr="00D53AED">
        <w:rPr>
          <w:sz w:val="24"/>
          <w:szCs w:val="24"/>
        </w:rPr>
        <w:t>ursodeoxycholsyre</w:t>
      </w:r>
      <w:proofErr w:type="spellEnd"/>
      <w:r w:rsidRPr="00D53AED">
        <w:rPr>
          <w:sz w:val="24"/>
          <w:szCs w:val="24"/>
        </w:rPr>
        <w:t xml:space="preserve"> i leverrelaterede og </w:t>
      </w:r>
      <w:proofErr w:type="spellStart"/>
      <w:r w:rsidRPr="00D53AED">
        <w:rPr>
          <w:sz w:val="24"/>
          <w:szCs w:val="24"/>
        </w:rPr>
        <w:t>kolestatiske</w:t>
      </w:r>
      <w:proofErr w:type="spellEnd"/>
      <w:r w:rsidRPr="00D53AED">
        <w:rPr>
          <w:sz w:val="24"/>
          <w:szCs w:val="24"/>
        </w:rPr>
        <w:t xml:space="preserve"> sygdomme er, i henhold til den aktuelle viden, baseret på den relative udveksling af </w:t>
      </w:r>
      <w:proofErr w:type="spellStart"/>
      <w:r w:rsidRPr="00D53AED">
        <w:rPr>
          <w:sz w:val="24"/>
          <w:szCs w:val="24"/>
        </w:rPr>
        <w:t>lipofile</w:t>
      </w:r>
      <w:proofErr w:type="spellEnd"/>
      <w:r w:rsidRPr="00D53AED">
        <w:rPr>
          <w:sz w:val="24"/>
          <w:szCs w:val="24"/>
        </w:rPr>
        <w:t xml:space="preserve">, detergentlignende og toksiske galdesyrer mod hydrofil, cellebeskyttende og ikke-toksisk </w:t>
      </w:r>
      <w:proofErr w:type="spellStart"/>
      <w:r w:rsidRPr="00D53AED">
        <w:rPr>
          <w:sz w:val="24"/>
          <w:szCs w:val="24"/>
        </w:rPr>
        <w:t>ursodeoxycholsyre</w:t>
      </w:r>
      <w:proofErr w:type="spellEnd"/>
      <w:r w:rsidRPr="00D53AED">
        <w:rPr>
          <w:sz w:val="24"/>
          <w:szCs w:val="24"/>
        </w:rPr>
        <w:t xml:space="preserve"> og en forbedring af levercellernes udskillelses- og immunregulerende processer.</w:t>
      </w:r>
    </w:p>
    <w:p w:rsidR="00A421E5" w:rsidRPr="00D53AED" w:rsidRDefault="00A421E5" w:rsidP="00A421E5">
      <w:pPr>
        <w:ind w:left="851"/>
        <w:rPr>
          <w:sz w:val="24"/>
          <w:szCs w:val="24"/>
        </w:rPr>
      </w:pPr>
    </w:p>
    <w:p w:rsidR="00A421E5" w:rsidRPr="00D53AED" w:rsidRDefault="00A421E5" w:rsidP="00A421E5">
      <w:pPr>
        <w:keepNext/>
        <w:ind w:left="851"/>
        <w:rPr>
          <w:sz w:val="24"/>
          <w:szCs w:val="24"/>
          <w:u w:val="single"/>
        </w:rPr>
      </w:pPr>
      <w:r w:rsidRPr="00D53AED">
        <w:rPr>
          <w:sz w:val="24"/>
          <w:szCs w:val="24"/>
          <w:u w:val="single"/>
        </w:rPr>
        <w:t>Pædiatrisk population</w:t>
      </w:r>
    </w:p>
    <w:p w:rsidR="00A421E5" w:rsidRDefault="00A421E5" w:rsidP="00A421E5">
      <w:pPr>
        <w:keepNext/>
        <w:ind w:left="851"/>
        <w:rPr>
          <w:sz w:val="24"/>
          <w:szCs w:val="24"/>
          <w:u w:val="single"/>
        </w:rPr>
      </w:pPr>
    </w:p>
    <w:p w:rsidR="00A421E5" w:rsidRPr="00D53AED" w:rsidRDefault="00A421E5" w:rsidP="00A421E5">
      <w:pPr>
        <w:keepNext/>
        <w:ind w:left="851"/>
        <w:rPr>
          <w:i/>
          <w:sz w:val="24"/>
          <w:szCs w:val="24"/>
        </w:rPr>
      </w:pPr>
      <w:r w:rsidRPr="00D53AED">
        <w:rPr>
          <w:i/>
          <w:sz w:val="24"/>
          <w:szCs w:val="24"/>
        </w:rPr>
        <w:t>Cystisk fibrose</w:t>
      </w:r>
    </w:p>
    <w:p w:rsidR="00A421E5" w:rsidRPr="00D53AED" w:rsidRDefault="00A421E5" w:rsidP="00A421E5">
      <w:pPr>
        <w:ind w:left="851"/>
        <w:rPr>
          <w:sz w:val="24"/>
          <w:szCs w:val="24"/>
        </w:rPr>
      </w:pPr>
      <w:r w:rsidRPr="00D53AED">
        <w:rPr>
          <w:sz w:val="24"/>
          <w:szCs w:val="24"/>
        </w:rPr>
        <w:t xml:space="preserve">Der er i kliniske rapporter beskrevet erfaring med behandling med </w:t>
      </w:r>
      <w:proofErr w:type="spellStart"/>
      <w:r w:rsidRPr="00D53AED">
        <w:rPr>
          <w:sz w:val="24"/>
          <w:szCs w:val="24"/>
        </w:rPr>
        <w:t>ursodeoxycholsyre</w:t>
      </w:r>
      <w:proofErr w:type="spellEnd"/>
      <w:r w:rsidRPr="00D53AED">
        <w:rPr>
          <w:sz w:val="24"/>
          <w:szCs w:val="24"/>
        </w:rPr>
        <w:t xml:space="preserve"> i op til 10 år og længere hos pædiatriske patienter med cystisk fibrose i relation til lever- og galdevejssygdomme (CFAHD). Der er evidens for, at behandling med </w:t>
      </w:r>
      <w:proofErr w:type="spellStart"/>
      <w:r w:rsidRPr="00D53AED">
        <w:rPr>
          <w:sz w:val="24"/>
          <w:szCs w:val="24"/>
        </w:rPr>
        <w:t>ursodeoxycholsyre</w:t>
      </w:r>
      <w:proofErr w:type="spellEnd"/>
      <w:r w:rsidRPr="00D53AED">
        <w:rPr>
          <w:sz w:val="24"/>
          <w:szCs w:val="24"/>
        </w:rPr>
        <w:t xml:space="preserve"> kan nedsætte </w:t>
      </w:r>
      <w:proofErr w:type="spellStart"/>
      <w:r w:rsidRPr="00D53AED">
        <w:rPr>
          <w:sz w:val="24"/>
          <w:szCs w:val="24"/>
        </w:rPr>
        <w:t>galdevejsproliferation</w:t>
      </w:r>
      <w:proofErr w:type="spellEnd"/>
      <w:r w:rsidRPr="00D53AED">
        <w:rPr>
          <w:sz w:val="24"/>
          <w:szCs w:val="24"/>
        </w:rPr>
        <w:t xml:space="preserve">, standse progression af histologisk skade og endda reversere lever-galdeændringer, hvis den gives på et tidligt stadie af CFAHD. Behandling med </w:t>
      </w:r>
      <w:proofErr w:type="spellStart"/>
      <w:r w:rsidRPr="00D53AED">
        <w:rPr>
          <w:sz w:val="24"/>
          <w:szCs w:val="24"/>
        </w:rPr>
        <w:t>ursodeoxycholsyre</w:t>
      </w:r>
      <w:proofErr w:type="spellEnd"/>
      <w:r w:rsidRPr="00D53AED">
        <w:rPr>
          <w:sz w:val="24"/>
          <w:szCs w:val="24"/>
        </w:rPr>
        <w:t xml:space="preserve"> bør initieres, så snart diagnosen CFAHD stilles, for at optimere behandlingens effekt.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421E5" w:rsidRPr="00A421E5" w:rsidRDefault="00A421E5" w:rsidP="00A421E5">
      <w:pPr>
        <w:tabs>
          <w:tab w:val="left" w:pos="851"/>
        </w:tabs>
        <w:ind w:left="851"/>
        <w:rPr>
          <w:sz w:val="24"/>
          <w:szCs w:val="24"/>
          <w:lang w:val="cs-CZ"/>
        </w:rPr>
      </w:pPr>
    </w:p>
    <w:p w:rsidR="00A421E5" w:rsidRPr="00A421E5" w:rsidRDefault="00A421E5" w:rsidP="00A421E5">
      <w:pPr>
        <w:tabs>
          <w:tab w:val="left" w:pos="851"/>
        </w:tabs>
        <w:ind w:left="851"/>
        <w:rPr>
          <w:sz w:val="24"/>
          <w:szCs w:val="24"/>
          <w:u w:val="single"/>
          <w:lang w:val="de-DE"/>
        </w:rPr>
      </w:pPr>
      <w:r w:rsidRPr="00A421E5">
        <w:rPr>
          <w:sz w:val="24"/>
          <w:szCs w:val="24"/>
          <w:u w:val="single"/>
        </w:rPr>
        <w:t>Absorption</w:t>
      </w:r>
    </w:p>
    <w:p w:rsidR="00A421E5" w:rsidRPr="00A421E5" w:rsidRDefault="00A421E5" w:rsidP="00A421E5">
      <w:pPr>
        <w:tabs>
          <w:tab w:val="left" w:pos="851"/>
        </w:tabs>
        <w:ind w:left="851"/>
        <w:rPr>
          <w:sz w:val="24"/>
          <w:szCs w:val="24"/>
          <w:lang w:val="de-DE"/>
        </w:rPr>
      </w:pPr>
      <w:r w:rsidRPr="00A421E5">
        <w:rPr>
          <w:sz w:val="24"/>
          <w:szCs w:val="24"/>
        </w:rPr>
        <w:t xml:space="preserve">Oralt administreret </w:t>
      </w:r>
      <w:proofErr w:type="spellStart"/>
      <w:r w:rsidRPr="00A421E5">
        <w:rPr>
          <w:sz w:val="24"/>
          <w:szCs w:val="24"/>
        </w:rPr>
        <w:t>ursodeoxycholsyre</w:t>
      </w:r>
      <w:proofErr w:type="spellEnd"/>
      <w:r w:rsidRPr="00A421E5">
        <w:rPr>
          <w:sz w:val="24"/>
          <w:szCs w:val="24"/>
        </w:rPr>
        <w:t xml:space="preserve"> resorberes hurtigt via passiv transport i jejunum og den øvre del af </w:t>
      </w:r>
      <w:proofErr w:type="spellStart"/>
      <w:r w:rsidRPr="00A421E5">
        <w:rPr>
          <w:sz w:val="24"/>
          <w:szCs w:val="24"/>
        </w:rPr>
        <w:t>ileum</w:t>
      </w:r>
      <w:proofErr w:type="spellEnd"/>
      <w:r w:rsidRPr="00A421E5">
        <w:rPr>
          <w:sz w:val="24"/>
          <w:szCs w:val="24"/>
        </w:rPr>
        <w:t xml:space="preserve"> og via aktiv transport i den sidste del af </w:t>
      </w:r>
      <w:proofErr w:type="spellStart"/>
      <w:r w:rsidRPr="00A421E5">
        <w:rPr>
          <w:sz w:val="24"/>
          <w:szCs w:val="24"/>
        </w:rPr>
        <w:t>ileum</w:t>
      </w:r>
      <w:proofErr w:type="spellEnd"/>
      <w:r w:rsidRPr="00A421E5">
        <w:rPr>
          <w:sz w:val="24"/>
          <w:szCs w:val="24"/>
        </w:rPr>
        <w:t>. Resorptionsraten er generelt 60-80</w:t>
      </w:r>
      <w:r w:rsidR="005F4DA8">
        <w:rPr>
          <w:sz w:val="24"/>
          <w:szCs w:val="24"/>
        </w:rPr>
        <w:t xml:space="preserve"> %</w:t>
      </w:r>
      <w:r w:rsidRPr="00A421E5">
        <w:rPr>
          <w:sz w:val="24"/>
          <w:szCs w:val="24"/>
        </w:rPr>
        <w:t>.</w:t>
      </w:r>
    </w:p>
    <w:p w:rsidR="00A421E5" w:rsidRPr="00A421E5" w:rsidRDefault="00A421E5" w:rsidP="00A421E5">
      <w:pPr>
        <w:tabs>
          <w:tab w:val="left" w:pos="851"/>
        </w:tabs>
        <w:ind w:left="851"/>
        <w:rPr>
          <w:sz w:val="24"/>
          <w:szCs w:val="24"/>
          <w:lang w:val="de-DE"/>
        </w:rPr>
      </w:pPr>
    </w:p>
    <w:p w:rsidR="00A421E5" w:rsidRPr="00A421E5" w:rsidRDefault="00A421E5" w:rsidP="00A421E5">
      <w:pPr>
        <w:tabs>
          <w:tab w:val="left" w:pos="851"/>
        </w:tabs>
        <w:ind w:left="851"/>
        <w:rPr>
          <w:sz w:val="24"/>
          <w:szCs w:val="24"/>
          <w:u w:val="single"/>
          <w:lang w:val="de-DE"/>
        </w:rPr>
      </w:pPr>
      <w:r w:rsidRPr="00A421E5">
        <w:rPr>
          <w:sz w:val="24"/>
          <w:szCs w:val="24"/>
          <w:u w:val="single"/>
        </w:rPr>
        <w:t>Biotransformation og elimination</w:t>
      </w:r>
    </w:p>
    <w:p w:rsidR="00A421E5" w:rsidRPr="00A421E5" w:rsidRDefault="00A421E5" w:rsidP="00A421E5">
      <w:pPr>
        <w:tabs>
          <w:tab w:val="left" w:pos="851"/>
        </w:tabs>
        <w:ind w:left="851"/>
        <w:rPr>
          <w:sz w:val="24"/>
          <w:szCs w:val="24"/>
          <w:lang w:val="de-DE"/>
        </w:rPr>
      </w:pPr>
      <w:r w:rsidRPr="00A421E5">
        <w:rPr>
          <w:sz w:val="24"/>
          <w:szCs w:val="24"/>
        </w:rPr>
        <w:t xml:space="preserve">Efter resorptionen konjugerer galdesyren næsten helt med aminosyrerne </w:t>
      </w:r>
      <w:proofErr w:type="spellStart"/>
      <w:r w:rsidRPr="00A421E5">
        <w:rPr>
          <w:sz w:val="24"/>
          <w:szCs w:val="24"/>
        </w:rPr>
        <w:t>glycin</w:t>
      </w:r>
      <w:proofErr w:type="spellEnd"/>
      <w:r w:rsidRPr="00A421E5">
        <w:rPr>
          <w:sz w:val="24"/>
          <w:szCs w:val="24"/>
        </w:rPr>
        <w:t xml:space="preserve"> og </w:t>
      </w:r>
      <w:proofErr w:type="spellStart"/>
      <w:r w:rsidRPr="00A421E5">
        <w:rPr>
          <w:sz w:val="24"/>
          <w:szCs w:val="24"/>
        </w:rPr>
        <w:t>taurin</w:t>
      </w:r>
      <w:proofErr w:type="spellEnd"/>
      <w:r w:rsidRPr="00A421E5">
        <w:rPr>
          <w:sz w:val="24"/>
          <w:szCs w:val="24"/>
        </w:rPr>
        <w:t xml:space="preserve"> i leveren og udskilles derefter med galden. First-</w:t>
      </w:r>
      <w:proofErr w:type="spellStart"/>
      <w:r w:rsidRPr="00A421E5">
        <w:rPr>
          <w:sz w:val="24"/>
          <w:szCs w:val="24"/>
        </w:rPr>
        <w:t>pass</w:t>
      </w:r>
      <w:proofErr w:type="spellEnd"/>
      <w:r w:rsidRPr="00A421E5">
        <w:rPr>
          <w:sz w:val="24"/>
          <w:szCs w:val="24"/>
        </w:rPr>
        <w:t>-metabolisme i leveren udgør op til 60</w:t>
      </w:r>
      <w:r w:rsidR="005F4DA8">
        <w:rPr>
          <w:sz w:val="24"/>
          <w:szCs w:val="24"/>
        </w:rPr>
        <w:t xml:space="preserve"> %</w:t>
      </w:r>
      <w:r w:rsidRPr="00A421E5">
        <w:rPr>
          <w:sz w:val="24"/>
          <w:szCs w:val="24"/>
        </w:rPr>
        <w:t>.</w:t>
      </w:r>
    </w:p>
    <w:p w:rsidR="00A421E5" w:rsidRPr="00A421E5" w:rsidRDefault="00A421E5" w:rsidP="00A421E5">
      <w:pPr>
        <w:tabs>
          <w:tab w:val="left" w:pos="851"/>
        </w:tabs>
        <w:ind w:left="851"/>
        <w:rPr>
          <w:sz w:val="24"/>
          <w:szCs w:val="24"/>
          <w:lang w:val="cs-CZ"/>
        </w:rPr>
      </w:pPr>
    </w:p>
    <w:p w:rsidR="00A421E5" w:rsidRPr="00A421E5" w:rsidRDefault="00A421E5" w:rsidP="00A421E5">
      <w:pPr>
        <w:tabs>
          <w:tab w:val="left" w:pos="851"/>
        </w:tabs>
        <w:ind w:left="851"/>
        <w:rPr>
          <w:sz w:val="24"/>
          <w:szCs w:val="24"/>
          <w:lang w:val="cs-CZ"/>
        </w:rPr>
      </w:pPr>
      <w:r w:rsidRPr="00A421E5">
        <w:rPr>
          <w:sz w:val="24"/>
          <w:szCs w:val="24"/>
        </w:rPr>
        <w:t xml:space="preserve">I tarmene sker der en delvis bakteriel nedbrydning til 7-keto-lithocholsyre og </w:t>
      </w:r>
      <w:proofErr w:type="spellStart"/>
      <w:r w:rsidRPr="00A421E5">
        <w:rPr>
          <w:sz w:val="24"/>
          <w:szCs w:val="24"/>
        </w:rPr>
        <w:t>lithocolsyre</w:t>
      </w:r>
      <w:proofErr w:type="spellEnd"/>
      <w:r w:rsidRPr="00A421E5">
        <w:rPr>
          <w:sz w:val="24"/>
          <w:szCs w:val="24"/>
        </w:rPr>
        <w:t xml:space="preserve">. </w:t>
      </w:r>
      <w:proofErr w:type="spellStart"/>
      <w:r w:rsidRPr="00A421E5">
        <w:rPr>
          <w:sz w:val="24"/>
          <w:szCs w:val="24"/>
        </w:rPr>
        <w:t>Lithocholsyren</w:t>
      </w:r>
      <w:proofErr w:type="spellEnd"/>
      <w:r w:rsidRPr="00A421E5">
        <w:rPr>
          <w:sz w:val="24"/>
          <w:szCs w:val="24"/>
        </w:rPr>
        <w:t xml:space="preserve"> er levertoksisk og inducerer skader på </w:t>
      </w:r>
      <w:proofErr w:type="spellStart"/>
      <w:r w:rsidRPr="00A421E5">
        <w:rPr>
          <w:sz w:val="24"/>
          <w:szCs w:val="24"/>
        </w:rPr>
        <w:t>leverparenkymet</w:t>
      </w:r>
      <w:proofErr w:type="spellEnd"/>
      <w:r w:rsidRPr="00A421E5">
        <w:rPr>
          <w:sz w:val="24"/>
          <w:szCs w:val="24"/>
        </w:rPr>
        <w:t xml:space="preserve"> hos en række dyrearter. Hos mennesker resorberes den kun i meget lille omfang. Denne fraktion </w:t>
      </w:r>
      <w:proofErr w:type="spellStart"/>
      <w:r w:rsidRPr="00A421E5">
        <w:rPr>
          <w:sz w:val="24"/>
          <w:szCs w:val="24"/>
        </w:rPr>
        <w:t>sulferes</w:t>
      </w:r>
      <w:proofErr w:type="spellEnd"/>
      <w:r w:rsidRPr="00A421E5">
        <w:rPr>
          <w:sz w:val="24"/>
          <w:szCs w:val="24"/>
        </w:rPr>
        <w:t xml:space="preserve"> af leveren og afgiftes derfor, hvorefter der igen sker biliær og efterfølgende fækal udskillelse.</w:t>
      </w:r>
    </w:p>
    <w:p w:rsidR="00A421E5" w:rsidRPr="00A421E5" w:rsidRDefault="00A421E5" w:rsidP="00A421E5">
      <w:pPr>
        <w:tabs>
          <w:tab w:val="left" w:pos="851"/>
        </w:tabs>
        <w:ind w:left="851"/>
        <w:rPr>
          <w:sz w:val="24"/>
          <w:szCs w:val="24"/>
          <w:lang w:val="cs-CZ"/>
        </w:rPr>
      </w:pPr>
      <w:r w:rsidRPr="00A421E5">
        <w:rPr>
          <w:sz w:val="24"/>
          <w:szCs w:val="24"/>
        </w:rPr>
        <w:t xml:space="preserve">Den biologiske halveringstid for </w:t>
      </w:r>
      <w:proofErr w:type="spellStart"/>
      <w:r w:rsidRPr="00A421E5">
        <w:rPr>
          <w:sz w:val="24"/>
          <w:szCs w:val="24"/>
        </w:rPr>
        <w:t>ursodeoxycholsyre</w:t>
      </w:r>
      <w:proofErr w:type="spellEnd"/>
      <w:r w:rsidRPr="00A421E5">
        <w:rPr>
          <w:sz w:val="24"/>
          <w:szCs w:val="24"/>
        </w:rPr>
        <w:t xml:space="preserve"> er 3,5 til 5,8 dage.</w:t>
      </w:r>
    </w:p>
    <w:p w:rsidR="00A421E5" w:rsidRPr="00A421E5" w:rsidRDefault="00A421E5" w:rsidP="00A421E5">
      <w:pPr>
        <w:tabs>
          <w:tab w:val="left" w:pos="851"/>
        </w:tabs>
        <w:ind w:left="851"/>
        <w:rPr>
          <w:sz w:val="24"/>
          <w:szCs w:val="24"/>
          <w:lang w:val="cs-CZ"/>
        </w:rPr>
      </w:pPr>
    </w:p>
    <w:p w:rsidR="00A421E5" w:rsidRPr="00A421E5" w:rsidRDefault="00A421E5" w:rsidP="00A421E5">
      <w:pPr>
        <w:tabs>
          <w:tab w:val="left" w:pos="851"/>
        </w:tabs>
        <w:ind w:left="851"/>
        <w:rPr>
          <w:sz w:val="24"/>
          <w:szCs w:val="24"/>
          <w:lang w:val="de-DE"/>
        </w:rPr>
      </w:pPr>
      <w:r w:rsidRPr="00A421E5">
        <w:rPr>
          <w:sz w:val="24"/>
          <w:szCs w:val="24"/>
        </w:rPr>
        <w:t xml:space="preserve">Afhængigt af den daglige dosis og den underliggende tilstand eller leversygdom ophobes den mere hydrofile </w:t>
      </w:r>
      <w:proofErr w:type="spellStart"/>
      <w:r w:rsidRPr="00A421E5">
        <w:rPr>
          <w:sz w:val="24"/>
          <w:szCs w:val="24"/>
        </w:rPr>
        <w:t>ursodeoxycholsyre</w:t>
      </w:r>
      <w:proofErr w:type="spellEnd"/>
      <w:r w:rsidRPr="00A421E5">
        <w:rPr>
          <w:sz w:val="24"/>
          <w:szCs w:val="24"/>
        </w:rPr>
        <w:t xml:space="preserve"> i galden. Samtidig sker der en relativ reduktion af de andre mere </w:t>
      </w:r>
      <w:proofErr w:type="spellStart"/>
      <w:r w:rsidRPr="00A421E5">
        <w:rPr>
          <w:sz w:val="24"/>
          <w:szCs w:val="24"/>
        </w:rPr>
        <w:t>lipofile</w:t>
      </w:r>
      <w:proofErr w:type="spellEnd"/>
      <w:r w:rsidRPr="00A421E5">
        <w:rPr>
          <w:sz w:val="24"/>
          <w:szCs w:val="24"/>
        </w:rPr>
        <w:t xml:space="preserve"> galdesyrer.</w:t>
      </w:r>
    </w:p>
    <w:p w:rsidR="009260DE" w:rsidRPr="00A421E5"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84552" w:rsidRPr="00A84552" w:rsidRDefault="00A84552" w:rsidP="00A84552">
      <w:pPr>
        <w:tabs>
          <w:tab w:val="left" w:pos="851"/>
        </w:tabs>
        <w:ind w:left="851"/>
        <w:rPr>
          <w:sz w:val="24"/>
          <w:szCs w:val="24"/>
          <w:lang w:val="cs-CZ"/>
        </w:rPr>
      </w:pPr>
    </w:p>
    <w:p w:rsidR="00A84552" w:rsidRPr="00A84552" w:rsidRDefault="00A84552" w:rsidP="00A84552">
      <w:pPr>
        <w:tabs>
          <w:tab w:val="left" w:pos="851"/>
        </w:tabs>
        <w:ind w:left="851"/>
        <w:rPr>
          <w:sz w:val="24"/>
          <w:szCs w:val="24"/>
          <w:u w:val="single"/>
          <w:lang w:val="de-DE"/>
        </w:rPr>
      </w:pPr>
      <w:r w:rsidRPr="00A84552">
        <w:rPr>
          <w:sz w:val="24"/>
          <w:szCs w:val="24"/>
          <w:u w:val="single"/>
        </w:rPr>
        <w:t>Akut toksicitet</w:t>
      </w:r>
    </w:p>
    <w:p w:rsidR="00A84552" w:rsidRPr="00A84552" w:rsidRDefault="00A84552" w:rsidP="00A84552">
      <w:pPr>
        <w:tabs>
          <w:tab w:val="left" w:pos="851"/>
        </w:tabs>
        <w:ind w:left="851"/>
        <w:rPr>
          <w:sz w:val="24"/>
          <w:szCs w:val="24"/>
          <w:lang w:val="de-DE"/>
        </w:rPr>
      </w:pPr>
      <w:r w:rsidRPr="00A84552">
        <w:rPr>
          <w:sz w:val="24"/>
          <w:szCs w:val="24"/>
        </w:rPr>
        <w:t>Der er gennemført dyrestudier vedrørende akut toksicitet, som ikke indikerede nogen toksisk skade.</w:t>
      </w:r>
    </w:p>
    <w:p w:rsidR="00A84552" w:rsidRPr="00A84552" w:rsidRDefault="00A84552" w:rsidP="00A84552">
      <w:pPr>
        <w:tabs>
          <w:tab w:val="left" w:pos="851"/>
        </w:tabs>
        <w:ind w:left="851"/>
        <w:rPr>
          <w:sz w:val="24"/>
          <w:szCs w:val="24"/>
          <w:lang w:val="de-DE"/>
        </w:rPr>
      </w:pPr>
    </w:p>
    <w:p w:rsidR="00A84552" w:rsidRPr="00A84552" w:rsidRDefault="00A84552" w:rsidP="00A84552">
      <w:pPr>
        <w:tabs>
          <w:tab w:val="left" w:pos="851"/>
        </w:tabs>
        <w:ind w:left="851"/>
        <w:rPr>
          <w:sz w:val="24"/>
          <w:szCs w:val="24"/>
          <w:u w:val="single"/>
          <w:lang w:val="de-DE"/>
        </w:rPr>
      </w:pPr>
      <w:r w:rsidRPr="00A84552">
        <w:rPr>
          <w:sz w:val="24"/>
          <w:szCs w:val="24"/>
          <w:u w:val="single"/>
        </w:rPr>
        <w:t>Kronisk toksicitet</w:t>
      </w:r>
    </w:p>
    <w:p w:rsidR="00A84552" w:rsidRPr="00A84552" w:rsidRDefault="00A84552" w:rsidP="00A84552">
      <w:pPr>
        <w:tabs>
          <w:tab w:val="left" w:pos="851"/>
        </w:tabs>
        <w:ind w:left="851"/>
        <w:rPr>
          <w:sz w:val="24"/>
          <w:szCs w:val="24"/>
          <w:lang w:val="cs-CZ"/>
        </w:rPr>
      </w:pPr>
      <w:r w:rsidRPr="00A84552">
        <w:rPr>
          <w:sz w:val="24"/>
          <w:szCs w:val="24"/>
        </w:rPr>
        <w:t xml:space="preserve">Studier vedrørende subkronisk toksicitet hos aber har påvist levertoksiske virkninger i de grupper, der fik høje doser, herunder funktionelle forandringer (f.eks. forandringer af leverenzymer) og morfologiske forandringer som </w:t>
      </w:r>
      <w:proofErr w:type="spellStart"/>
      <w:r w:rsidRPr="00A84552">
        <w:rPr>
          <w:sz w:val="24"/>
          <w:szCs w:val="24"/>
        </w:rPr>
        <w:t>galdegangsproliferation</w:t>
      </w:r>
      <w:proofErr w:type="spellEnd"/>
      <w:r w:rsidRPr="00A84552">
        <w:rPr>
          <w:sz w:val="24"/>
          <w:szCs w:val="24"/>
        </w:rPr>
        <w:t xml:space="preserve">, inflammatoriske </w:t>
      </w:r>
      <w:proofErr w:type="spellStart"/>
      <w:r w:rsidRPr="00A84552">
        <w:rPr>
          <w:sz w:val="24"/>
          <w:szCs w:val="24"/>
        </w:rPr>
        <w:lastRenderedPageBreak/>
        <w:t>foci</w:t>
      </w:r>
      <w:proofErr w:type="spellEnd"/>
      <w:r w:rsidRPr="00A84552">
        <w:rPr>
          <w:sz w:val="24"/>
          <w:szCs w:val="24"/>
        </w:rPr>
        <w:t xml:space="preserve"> i </w:t>
      </w:r>
      <w:proofErr w:type="spellStart"/>
      <w:r w:rsidRPr="00A84552">
        <w:rPr>
          <w:sz w:val="24"/>
          <w:szCs w:val="24"/>
        </w:rPr>
        <w:t>portåren</w:t>
      </w:r>
      <w:proofErr w:type="spellEnd"/>
      <w:r w:rsidRPr="00A84552">
        <w:rPr>
          <w:sz w:val="24"/>
          <w:szCs w:val="24"/>
        </w:rPr>
        <w:t xml:space="preserve"> og levercellenekrose. Disse toksiske virkninger skyldes sandsynligvis </w:t>
      </w:r>
      <w:proofErr w:type="spellStart"/>
      <w:r w:rsidRPr="00A84552">
        <w:rPr>
          <w:sz w:val="24"/>
          <w:szCs w:val="24"/>
        </w:rPr>
        <w:t>lithocholsyre</w:t>
      </w:r>
      <w:proofErr w:type="spellEnd"/>
      <w:r w:rsidRPr="00A84552">
        <w:rPr>
          <w:sz w:val="24"/>
          <w:szCs w:val="24"/>
        </w:rPr>
        <w:t xml:space="preserve">, der er en metabolit af </w:t>
      </w:r>
      <w:proofErr w:type="spellStart"/>
      <w:r w:rsidRPr="00A84552">
        <w:rPr>
          <w:sz w:val="24"/>
          <w:szCs w:val="24"/>
        </w:rPr>
        <w:t>ursodeoxycholsyre</w:t>
      </w:r>
      <w:proofErr w:type="spellEnd"/>
      <w:r w:rsidRPr="00A84552">
        <w:rPr>
          <w:sz w:val="24"/>
          <w:szCs w:val="24"/>
        </w:rPr>
        <w:t>, som ikke afgiftes hos aber, i modsætning til hos mennesker.</w:t>
      </w:r>
    </w:p>
    <w:p w:rsidR="00A84552" w:rsidRPr="00A84552" w:rsidRDefault="00A84552" w:rsidP="00A84552">
      <w:pPr>
        <w:tabs>
          <w:tab w:val="left" w:pos="851"/>
        </w:tabs>
        <w:ind w:left="851"/>
        <w:rPr>
          <w:sz w:val="24"/>
          <w:szCs w:val="24"/>
          <w:lang w:val="cs-CZ"/>
        </w:rPr>
      </w:pPr>
      <w:r w:rsidRPr="00A84552">
        <w:rPr>
          <w:sz w:val="24"/>
          <w:szCs w:val="24"/>
        </w:rPr>
        <w:t>Klinisk erfaring viser, at de beskrevne levertoksiske virkninger tilsyneladende ikke har relevans for mennesker.</w:t>
      </w:r>
    </w:p>
    <w:p w:rsidR="00A84552" w:rsidRPr="00A84552" w:rsidRDefault="00A84552" w:rsidP="00A84552">
      <w:pPr>
        <w:tabs>
          <w:tab w:val="left" w:pos="851"/>
        </w:tabs>
        <w:ind w:left="851"/>
        <w:rPr>
          <w:sz w:val="24"/>
          <w:szCs w:val="24"/>
          <w:lang w:val="cs-CZ"/>
        </w:rPr>
      </w:pPr>
    </w:p>
    <w:p w:rsidR="00A84552" w:rsidRPr="00A84552" w:rsidRDefault="00A84552" w:rsidP="00A84552">
      <w:pPr>
        <w:tabs>
          <w:tab w:val="left" w:pos="851"/>
        </w:tabs>
        <w:ind w:left="851"/>
        <w:rPr>
          <w:sz w:val="24"/>
          <w:szCs w:val="24"/>
          <w:u w:val="single"/>
          <w:lang w:val="de-DE"/>
        </w:rPr>
      </w:pPr>
      <w:proofErr w:type="spellStart"/>
      <w:r w:rsidRPr="00A84552">
        <w:rPr>
          <w:sz w:val="24"/>
          <w:szCs w:val="24"/>
          <w:u w:val="single"/>
        </w:rPr>
        <w:t>Karcinogent</w:t>
      </w:r>
      <w:proofErr w:type="spellEnd"/>
      <w:r w:rsidRPr="00A84552">
        <w:rPr>
          <w:sz w:val="24"/>
          <w:szCs w:val="24"/>
          <w:u w:val="single"/>
        </w:rPr>
        <w:t xml:space="preserve"> og mutagent potentiale</w:t>
      </w:r>
    </w:p>
    <w:p w:rsidR="00A84552" w:rsidRPr="00A84552" w:rsidRDefault="00A84552" w:rsidP="00A84552">
      <w:pPr>
        <w:tabs>
          <w:tab w:val="left" w:pos="851"/>
        </w:tabs>
        <w:ind w:left="851"/>
        <w:rPr>
          <w:sz w:val="24"/>
          <w:szCs w:val="24"/>
          <w:lang w:val="cs-CZ"/>
        </w:rPr>
      </w:pPr>
      <w:r w:rsidRPr="00A84552">
        <w:rPr>
          <w:sz w:val="24"/>
          <w:szCs w:val="24"/>
        </w:rPr>
        <w:t xml:space="preserve">Længerevarende undersøgelser hos mus og rotter gav ingen evidens for et </w:t>
      </w:r>
      <w:proofErr w:type="spellStart"/>
      <w:r w:rsidRPr="00A84552">
        <w:rPr>
          <w:sz w:val="24"/>
          <w:szCs w:val="24"/>
        </w:rPr>
        <w:t>karcinogent</w:t>
      </w:r>
      <w:proofErr w:type="spellEnd"/>
      <w:r w:rsidRPr="00A84552">
        <w:rPr>
          <w:sz w:val="24"/>
          <w:szCs w:val="24"/>
        </w:rPr>
        <w:t xml:space="preserve"> potentiale ved </w:t>
      </w:r>
      <w:proofErr w:type="spellStart"/>
      <w:r w:rsidRPr="00A84552">
        <w:rPr>
          <w:sz w:val="24"/>
          <w:szCs w:val="24"/>
        </w:rPr>
        <w:t>ursodeoxycholsyre</w:t>
      </w:r>
      <w:proofErr w:type="spellEnd"/>
      <w:r w:rsidRPr="00A84552">
        <w:rPr>
          <w:sz w:val="24"/>
          <w:szCs w:val="24"/>
        </w:rPr>
        <w:t>.</w:t>
      </w:r>
    </w:p>
    <w:p w:rsidR="00A84552" w:rsidRPr="00A84552" w:rsidRDefault="00A84552" w:rsidP="00A84552">
      <w:pPr>
        <w:tabs>
          <w:tab w:val="left" w:pos="851"/>
        </w:tabs>
        <w:ind w:left="851"/>
        <w:rPr>
          <w:sz w:val="24"/>
          <w:szCs w:val="24"/>
          <w:lang w:val="de-DE"/>
        </w:rPr>
      </w:pPr>
      <w:r w:rsidRPr="00A84552">
        <w:rPr>
          <w:sz w:val="24"/>
          <w:szCs w:val="24"/>
        </w:rPr>
        <w:t xml:space="preserve">Genetiske </w:t>
      </w:r>
      <w:r w:rsidRPr="00A84552">
        <w:rPr>
          <w:i/>
          <w:iCs/>
          <w:sz w:val="24"/>
          <w:szCs w:val="24"/>
        </w:rPr>
        <w:t>in </w:t>
      </w:r>
      <w:proofErr w:type="spellStart"/>
      <w:r w:rsidRPr="00A84552">
        <w:rPr>
          <w:i/>
          <w:iCs/>
          <w:sz w:val="24"/>
          <w:szCs w:val="24"/>
        </w:rPr>
        <w:t>vitro</w:t>
      </w:r>
      <w:proofErr w:type="spellEnd"/>
      <w:r w:rsidRPr="00A84552">
        <w:rPr>
          <w:sz w:val="24"/>
          <w:szCs w:val="24"/>
        </w:rPr>
        <w:t xml:space="preserve">- og </w:t>
      </w:r>
      <w:r w:rsidRPr="00A84552">
        <w:rPr>
          <w:i/>
          <w:iCs/>
          <w:sz w:val="24"/>
          <w:szCs w:val="24"/>
        </w:rPr>
        <w:t>in </w:t>
      </w:r>
      <w:proofErr w:type="spellStart"/>
      <w:r w:rsidRPr="00A84552">
        <w:rPr>
          <w:i/>
          <w:iCs/>
          <w:sz w:val="24"/>
          <w:szCs w:val="24"/>
        </w:rPr>
        <w:t>vivo</w:t>
      </w:r>
      <w:proofErr w:type="spellEnd"/>
      <w:r w:rsidRPr="00A84552">
        <w:rPr>
          <w:sz w:val="24"/>
          <w:szCs w:val="24"/>
        </w:rPr>
        <w:t xml:space="preserve">-toksicitetsanalyser med </w:t>
      </w:r>
      <w:proofErr w:type="spellStart"/>
      <w:r w:rsidRPr="00A84552">
        <w:rPr>
          <w:sz w:val="24"/>
          <w:szCs w:val="24"/>
        </w:rPr>
        <w:t>ursodeoxycholsyre</w:t>
      </w:r>
      <w:proofErr w:type="spellEnd"/>
      <w:r w:rsidRPr="00A84552">
        <w:rPr>
          <w:sz w:val="24"/>
          <w:szCs w:val="24"/>
        </w:rPr>
        <w:t xml:space="preserve"> var negative.</w:t>
      </w:r>
    </w:p>
    <w:p w:rsidR="00A84552" w:rsidRPr="00A84552" w:rsidRDefault="00A84552" w:rsidP="00A84552">
      <w:pPr>
        <w:tabs>
          <w:tab w:val="left" w:pos="851"/>
        </w:tabs>
        <w:ind w:left="851"/>
        <w:rPr>
          <w:sz w:val="24"/>
          <w:szCs w:val="24"/>
          <w:lang w:val="cs-CZ"/>
        </w:rPr>
      </w:pPr>
    </w:p>
    <w:p w:rsidR="00A84552" w:rsidRPr="00A84552" w:rsidRDefault="00A84552" w:rsidP="00A84552">
      <w:pPr>
        <w:tabs>
          <w:tab w:val="left" w:pos="851"/>
        </w:tabs>
        <w:ind w:left="851"/>
        <w:rPr>
          <w:sz w:val="24"/>
          <w:szCs w:val="24"/>
          <w:u w:val="single"/>
          <w:lang w:val="de-DE"/>
        </w:rPr>
      </w:pPr>
      <w:r w:rsidRPr="00A84552">
        <w:rPr>
          <w:sz w:val="24"/>
          <w:szCs w:val="24"/>
          <w:u w:val="single"/>
        </w:rPr>
        <w:t>Reproduktionstoksicitet</w:t>
      </w:r>
    </w:p>
    <w:p w:rsidR="00A84552" w:rsidRPr="00A84552" w:rsidRDefault="00A84552" w:rsidP="00A84552">
      <w:pPr>
        <w:tabs>
          <w:tab w:val="left" w:pos="851"/>
        </w:tabs>
        <w:ind w:left="851"/>
        <w:rPr>
          <w:sz w:val="24"/>
          <w:szCs w:val="24"/>
          <w:lang w:val="cs-CZ"/>
        </w:rPr>
      </w:pPr>
      <w:r w:rsidRPr="00A84552">
        <w:rPr>
          <w:sz w:val="24"/>
          <w:szCs w:val="24"/>
        </w:rPr>
        <w:t xml:space="preserve">I studier med rotter blev der observeret halemisdannelser efter en dosis på 2.000 mg </w:t>
      </w:r>
      <w:proofErr w:type="spellStart"/>
      <w:r w:rsidRPr="00A84552">
        <w:rPr>
          <w:sz w:val="24"/>
          <w:szCs w:val="24"/>
        </w:rPr>
        <w:t>ursodeoxycholsyre</w:t>
      </w:r>
      <w:proofErr w:type="spellEnd"/>
      <w:r w:rsidRPr="00A84552">
        <w:rPr>
          <w:sz w:val="24"/>
          <w:szCs w:val="24"/>
        </w:rPr>
        <w:t xml:space="preserve"> pr. kg kropsvægt. I studier med kaniner sås der ingen </w:t>
      </w:r>
      <w:proofErr w:type="spellStart"/>
      <w:r w:rsidRPr="00A84552">
        <w:rPr>
          <w:sz w:val="24"/>
          <w:szCs w:val="24"/>
        </w:rPr>
        <w:t>teratogene</w:t>
      </w:r>
      <w:proofErr w:type="spellEnd"/>
      <w:r w:rsidRPr="00A84552">
        <w:rPr>
          <w:sz w:val="24"/>
          <w:szCs w:val="24"/>
        </w:rPr>
        <w:t xml:space="preserve"> virkninger, men der var embryotoksiske virkninger (ved en dosis på 100 mg/kg kropsvægt). </w:t>
      </w:r>
      <w:proofErr w:type="spellStart"/>
      <w:r w:rsidRPr="00A84552">
        <w:rPr>
          <w:sz w:val="24"/>
          <w:szCs w:val="24"/>
        </w:rPr>
        <w:t>Ursodeoxycholsyre</w:t>
      </w:r>
      <w:proofErr w:type="spellEnd"/>
      <w:r w:rsidRPr="00A84552">
        <w:rPr>
          <w:sz w:val="24"/>
          <w:szCs w:val="24"/>
        </w:rPr>
        <w:t xml:space="preserve"> havde ingen indvirkning på fertiliteten hos rotter og påvirkede ikke afkommets peri-/</w:t>
      </w:r>
      <w:proofErr w:type="spellStart"/>
      <w:r w:rsidRPr="00A84552">
        <w:rPr>
          <w:sz w:val="24"/>
          <w:szCs w:val="24"/>
        </w:rPr>
        <w:t>postnatale</w:t>
      </w:r>
      <w:proofErr w:type="spellEnd"/>
      <w:r w:rsidRPr="00A84552">
        <w:rPr>
          <w:sz w:val="24"/>
          <w:szCs w:val="24"/>
        </w:rPr>
        <w:t xml:space="preserve"> udvikling.</w:t>
      </w:r>
    </w:p>
    <w:p w:rsidR="009260DE" w:rsidRPr="00A84552" w:rsidRDefault="009260DE" w:rsidP="009260DE">
      <w:pPr>
        <w:tabs>
          <w:tab w:val="left" w:pos="851"/>
        </w:tabs>
        <w:ind w:left="851"/>
        <w:rPr>
          <w:sz w:val="24"/>
          <w:szCs w:val="24"/>
          <w:lang w:val="cs-CZ"/>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9479B" w:rsidRPr="0059479B" w:rsidRDefault="0059479B" w:rsidP="0059479B">
      <w:pPr>
        <w:tabs>
          <w:tab w:val="left" w:pos="851"/>
        </w:tabs>
        <w:ind w:left="851"/>
        <w:rPr>
          <w:sz w:val="24"/>
          <w:szCs w:val="24"/>
          <w:lang w:val="de-DE"/>
        </w:rPr>
      </w:pPr>
    </w:p>
    <w:p w:rsidR="0059479B" w:rsidRPr="0059479B" w:rsidRDefault="0059479B" w:rsidP="0059479B">
      <w:pPr>
        <w:tabs>
          <w:tab w:val="left" w:pos="851"/>
        </w:tabs>
        <w:ind w:left="851"/>
        <w:rPr>
          <w:sz w:val="24"/>
          <w:szCs w:val="24"/>
          <w:u w:val="single"/>
          <w:lang w:val="de-DE"/>
        </w:rPr>
      </w:pPr>
      <w:r w:rsidRPr="0059479B">
        <w:rPr>
          <w:sz w:val="24"/>
          <w:szCs w:val="24"/>
          <w:u w:val="single"/>
        </w:rPr>
        <w:t>Tabletkerne</w:t>
      </w:r>
    </w:p>
    <w:p w:rsidR="0059479B" w:rsidRPr="0059479B" w:rsidRDefault="0059479B" w:rsidP="0059479B">
      <w:pPr>
        <w:tabs>
          <w:tab w:val="left" w:pos="851"/>
        </w:tabs>
        <w:ind w:left="851"/>
        <w:rPr>
          <w:sz w:val="24"/>
          <w:szCs w:val="24"/>
          <w:lang w:val="de-DE"/>
        </w:rPr>
      </w:pPr>
      <w:r w:rsidRPr="0059479B">
        <w:rPr>
          <w:sz w:val="24"/>
          <w:szCs w:val="24"/>
        </w:rPr>
        <w:t>Majsstivelse</w:t>
      </w:r>
    </w:p>
    <w:p w:rsidR="0059479B" w:rsidRPr="0059479B" w:rsidRDefault="0059479B" w:rsidP="0059479B">
      <w:pPr>
        <w:tabs>
          <w:tab w:val="left" w:pos="851"/>
        </w:tabs>
        <w:ind w:left="851"/>
        <w:rPr>
          <w:sz w:val="24"/>
          <w:szCs w:val="24"/>
          <w:lang w:val="de-DE"/>
        </w:rPr>
      </w:pPr>
      <w:r w:rsidRPr="0059479B">
        <w:rPr>
          <w:sz w:val="24"/>
          <w:szCs w:val="24"/>
        </w:rPr>
        <w:t>Majsstivelse, prægelatineret</w:t>
      </w:r>
    </w:p>
    <w:p w:rsidR="0059479B" w:rsidRPr="0059479B" w:rsidRDefault="0059479B" w:rsidP="0059479B">
      <w:pPr>
        <w:tabs>
          <w:tab w:val="left" w:pos="851"/>
        </w:tabs>
        <w:ind w:left="851"/>
        <w:rPr>
          <w:sz w:val="24"/>
          <w:szCs w:val="24"/>
          <w:lang w:val="de-DE"/>
        </w:rPr>
      </w:pPr>
      <w:proofErr w:type="spellStart"/>
      <w:r w:rsidRPr="0059479B">
        <w:rPr>
          <w:sz w:val="24"/>
          <w:szCs w:val="24"/>
          <w:lang w:val="de-DE"/>
        </w:rPr>
        <w:t>Natriumstivelsesglycolat</w:t>
      </w:r>
      <w:proofErr w:type="spellEnd"/>
      <w:r w:rsidRPr="0059479B">
        <w:rPr>
          <w:sz w:val="24"/>
          <w:szCs w:val="24"/>
          <w:lang w:val="de-DE"/>
        </w:rPr>
        <w:t xml:space="preserve"> A</w:t>
      </w:r>
    </w:p>
    <w:p w:rsidR="0059479B" w:rsidRPr="0059479B" w:rsidRDefault="0059479B" w:rsidP="0059479B">
      <w:pPr>
        <w:tabs>
          <w:tab w:val="left" w:pos="851"/>
        </w:tabs>
        <w:ind w:left="851"/>
        <w:rPr>
          <w:sz w:val="24"/>
          <w:szCs w:val="24"/>
          <w:lang w:val="de-DE"/>
        </w:rPr>
      </w:pPr>
      <w:proofErr w:type="spellStart"/>
      <w:r w:rsidRPr="0059479B">
        <w:rPr>
          <w:sz w:val="24"/>
          <w:szCs w:val="24"/>
          <w:lang w:val="de-DE"/>
        </w:rPr>
        <w:t>Vandfri</w:t>
      </w:r>
      <w:proofErr w:type="spellEnd"/>
      <w:r w:rsidRPr="0059479B">
        <w:rPr>
          <w:sz w:val="24"/>
          <w:szCs w:val="24"/>
          <w:lang w:val="de-DE"/>
        </w:rPr>
        <w:t xml:space="preserve"> kolloid </w:t>
      </w:r>
      <w:proofErr w:type="spellStart"/>
      <w:r w:rsidRPr="0059479B">
        <w:rPr>
          <w:sz w:val="24"/>
          <w:szCs w:val="24"/>
          <w:lang w:val="de-DE"/>
        </w:rPr>
        <w:t>silica</w:t>
      </w:r>
      <w:proofErr w:type="spellEnd"/>
    </w:p>
    <w:p w:rsidR="0059479B" w:rsidRPr="0059479B" w:rsidRDefault="0059479B" w:rsidP="0059479B">
      <w:pPr>
        <w:tabs>
          <w:tab w:val="left" w:pos="851"/>
        </w:tabs>
        <w:ind w:left="851"/>
        <w:rPr>
          <w:sz w:val="24"/>
          <w:szCs w:val="24"/>
          <w:lang w:val="de-DE"/>
        </w:rPr>
      </w:pPr>
      <w:r w:rsidRPr="0059479B">
        <w:rPr>
          <w:sz w:val="24"/>
          <w:szCs w:val="24"/>
          <w:lang w:val="de-DE"/>
        </w:rPr>
        <w:t>Magnesiumstearat</w:t>
      </w:r>
    </w:p>
    <w:p w:rsidR="0059479B" w:rsidRPr="0059479B" w:rsidRDefault="0059479B" w:rsidP="0059479B">
      <w:pPr>
        <w:tabs>
          <w:tab w:val="left" w:pos="851"/>
        </w:tabs>
        <w:ind w:left="851"/>
        <w:rPr>
          <w:sz w:val="24"/>
          <w:szCs w:val="24"/>
          <w:lang w:val="cs-CZ"/>
        </w:rPr>
      </w:pPr>
    </w:p>
    <w:p w:rsidR="0059479B" w:rsidRPr="0059479B" w:rsidRDefault="0059479B" w:rsidP="0059479B">
      <w:pPr>
        <w:tabs>
          <w:tab w:val="left" w:pos="851"/>
        </w:tabs>
        <w:ind w:left="851"/>
        <w:rPr>
          <w:sz w:val="24"/>
          <w:szCs w:val="24"/>
          <w:u w:val="single"/>
          <w:lang w:val="de-DE"/>
        </w:rPr>
      </w:pPr>
      <w:proofErr w:type="spellStart"/>
      <w:r w:rsidRPr="0059479B">
        <w:rPr>
          <w:sz w:val="24"/>
          <w:szCs w:val="24"/>
          <w:u w:val="single"/>
          <w:lang w:val="de-DE"/>
        </w:rPr>
        <w:t>Filmovertræk</w:t>
      </w:r>
      <w:proofErr w:type="spellEnd"/>
    </w:p>
    <w:p w:rsidR="0059479B" w:rsidRPr="0059479B" w:rsidRDefault="0059479B" w:rsidP="0059479B">
      <w:pPr>
        <w:tabs>
          <w:tab w:val="left" w:pos="851"/>
        </w:tabs>
        <w:ind w:left="851"/>
        <w:rPr>
          <w:sz w:val="24"/>
          <w:szCs w:val="24"/>
          <w:lang w:val="de-DE"/>
        </w:rPr>
      </w:pPr>
      <w:proofErr w:type="spellStart"/>
      <w:r w:rsidRPr="0059479B">
        <w:rPr>
          <w:sz w:val="24"/>
          <w:szCs w:val="24"/>
          <w:lang w:val="de-DE"/>
        </w:rPr>
        <w:t>Opadry</w:t>
      </w:r>
      <w:proofErr w:type="spellEnd"/>
      <w:r w:rsidRPr="0059479B">
        <w:rPr>
          <w:sz w:val="24"/>
          <w:szCs w:val="24"/>
          <w:lang w:val="de-DE"/>
        </w:rPr>
        <w:t xml:space="preserve"> </w:t>
      </w:r>
      <w:proofErr w:type="spellStart"/>
      <w:r w:rsidRPr="0059479B">
        <w:rPr>
          <w:sz w:val="24"/>
          <w:szCs w:val="24"/>
          <w:lang w:val="de-DE"/>
        </w:rPr>
        <w:t>hvid</w:t>
      </w:r>
      <w:proofErr w:type="spellEnd"/>
      <w:r w:rsidRPr="0059479B">
        <w:rPr>
          <w:sz w:val="24"/>
          <w:szCs w:val="24"/>
          <w:lang w:val="de-DE"/>
        </w:rPr>
        <w:t xml:space="preserve"> 03B28796:</w:t>
      </w:r>
    </w:p>
    <w:p w:rsidR="0059479B" w:rsidRPr="0059479B" w:rsidRDefault="0059479B" w:rsidP="0006520D">
      <w:pPr>
        <w:tabs>
          <w:tab w:val="left" w:pos="1134"/>
        </w:tabs>
        <w:ind w:left="851"/>
        <w:rPr>
          <w:sz w:val="24"/>
          <w:szCs w:val="24"/>
          <w:lang w:val="cs-CZ"/>
        </w:rPr>
      </w:pPr>
      <w:r w:rsidRPr="0059479B">
        <w:rPr>
          <w:sz w:val="24"/>
          <w:szCs w:val="24"/>
          <w:lang w:val="de-DE"/>
        </w:rPr>
        <w:t>-</w:t>
      </w:r>
      <w:r w:rsidRPr="0059479B">
        <w:rPr>
          <w:sz w:val="24"/>
          <w:szCs w:val="24"/>
          <w:lang w:val="de-DE"/>
        </w:rPr>
        <w:tab/>
      </w:r>
      <w:proofErr w:type="spellStart"/>
      <w:r w:rsidRPr="0059479B">
        <w:rPr>
          <w:sz w:val="24"/>
          <w:szCs w:val="24"/>
          <w:lang w:val="de-DE"/>
        </w:rPr>
        <w:t>Hypromellose</w:t>
      </w:r>
      <w:proofErr w:type="spellEnd"/>
      <w:r w:rsidRPr="0059479B">
        <w:rPr>
          <w:sz w:val="24"/>
          <w:szCs w:val="24"/>
          <w:lang w:val="de-DE"/>
        </w:rPr>
        <w:t xml:space="preserve"> 6</w:t>
      </w:r>
    </w:p>
    <w:p w:rsidR="0059479B" w:rsidRPr="0059479B" w:rsidRDefault="0059479B" w:rsidP="0006520D">
      <w:pPr>
        <w:tabs>
          <w:tab w:val="left" w:pos="1134"/>
        </w:tabs>
        <w:ind w:left="851"/>
        <w:rPr>
          <w:sz w:val="24"/>
          <w:szCs w:val="24"/>
          <w:lang w:val="cs-CZ"/>
        </w:rPr>
      </w:pPr>
      <w:r w:rsidRPr="0059479B">
        <w:rPr>
          <w:sz w:val="24"/>
          <w:szCs w:val="24"/>
          <w:lang w:val="de-DE"/>
        </w:rPr>
        <w:t>-</w:t>
      </w:r>
      <w:r w:rsidRPr="0059479B">
        <w:rPr>
          <w:sz w:val="24"/>
          <w:szCs w:val="24"/>
          <w:lang w:val="de-DE"/>
        </w:rPr>
        <w:tab/>
        <w:t>Titandioxid (E171)</w:t>
      </w:r>
    </w:p>
    <w:p w:rsidR="0059479B" w:rsidRPr="0059479B" w:rsidRDefault="0059479B" w:rsidP="0006520D">
      <w:pPr>
        <w:tabs>
          <w:tab w:val="left" w:pos="1134"/>
        </w:tabs>
        <w:ind w:left="851"/>
        <w:rPr>
          <w:sz w:val="24"/>
          <w:szCs w:val="24"/>
          <w:lang w:val="cs-CZ"/>
        </w:rPr>
      </w:pPr>
      <w:r w:rsidRPr="0059479B">
        <w:rPr>
          <w:sz w:val="24"/>
          <w:szCs w:val="24"/>
          <w:lang w:val="de-DE"/>
        </w:rPr>
        <w:t>-</w:t>
      </w:r>
      <w:r w:rsidRPr="0059479B">
        <w:rPr>
          <w:sz w:val="24"/>
          <w:szCs w:val="24"/>
          <w:lang w:val="de-DE"/>
        </w:rPr>
        <w:tab/>
      </w:r>
      <w:proofErr w:type="spellStart"/>
      <w:r w:rsidRPr="0059479B">
        <w:rPr>
          <w:sz w:val="24"/>
          <w:szCs w:val="24"/>
          <w:lang w:val="de-DE"/>
        </w:rPr>
        <w:t>Macrogol</w:t>
      </w:r>
      <w:proofErr w:type="spellEnd"/>
      <w:r w:rsidRPr="0059479B">
        <w:rPr>
          <w:sz w:val="24"/>
          <w:szCs w:val="24"/>
          <w:lang w:val="de-DE"/>
        </w:rPr>
        <w:t xml:space="preserve"> 400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90638"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190638">
        <w:rPr>
          <w:sz w:val="24"/>
          <w:szCs w:val="24"/>
        </w:rPr>
        <w:t>5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90638" w:rsidRPr="00190638" w:rsidRDefault="00190638" w:rsidP="00190638">
      <w:pPr>
        <w:tabs>
          <w:tab w:val="left" w:pos="851"/>
        </w:tabs>
        <w:ind w:left="851"/>
        <w:rPr>
          <w:sz w:val="24"/>
          <w:szCs w:val="24"/>
          <w:lang w:val="cs-CZ"/>
        </w:rPr>
      </w:pPr>
      <w:r w:rsidRPr="00190638">
        <w:rPr>
          <w:sz w:val="24"/>
          <w:szCs w:val="24"/>
        </w:rPr>
        <w:t>Dette lægemiddel kræver ingen særlige forholdsregler vedrørende opbevaringen.</w:t>
      </w:r>
    </w:p>
    <w:p w:rsidR="009260DE" w:rsidRPr="00190638"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190638" w:rsidRDefault="00190638" w:rsidP="00190638">
      <w:pPr>
        <w:tabs>
          <w:tab w:val="left" w:pos="851"/>
        </w:tabs>
        <w:ind w:left="851"/>
        <w:rPr>
          <w:sz w:val="24"/>
          <w:szCs w:val="24"/>
        </w:rPr>
      </w:pPr>
      <w:r w:rsidRPr="00190638">
        <w:rPr>
          <w:sz w:val="24"/>
          <w:szCs w:val="24"/>
        </w:rPr>
        <w:t xml:space="preserve">Blisterpakning af PVC/PVDC/aluminium, </w:t>
      </w:r>
      <w:r w:rsidR="005A32CE">
        <w:rPr>
          <w:sz w:val="24"/>
          <w:szCs w:val="24"/>
        </w:rPr>
        <w:t xml:space="preserve">i </w:t>
      </w:r>
      <w:r w:rsidRPr="00190638">
        <w:rPr>
          <w:sz w:val="24"/>
          <w:szCs w:val="24"/>
        </w:rPr>
        <w:t>karton.</w:t>
      </w:r>
    </w:p>
    <w:p w:rsidR="005A32CE" w:rsidRPr="005A32CE" w:rsidRDefault="005A32CE" w:rsidP="00190638">
      <w:pPr>
        <w:tabs>
          <w:tab w:val="left" w:pos="851"/>
        </w:tabs>
        <w:ind w:left="851"/>
        <w:rPr>
          <w:sz w:val="24"/>
          <w:szCs w:val="24"/>
        </w:rPr>
      </w:pPr>
    </w:p>
    <w:p w:rsidR="00190638" w:rsidRPr="00190638" w:rsidRDefault="00190638" w:rsidP="00190638">
      <w:pPr>
        <w:tabs>
          <w:tab w:val="left" w:pos="851"/>
        </w:tabs>
        <w:ind w:left="851"/>
        <w:rPr>
          <w:sz w:val="24"/>
          <w:szCs w:val="24"/>
          <w:lang w:val="cs-CZ"/>
        </w:rPr>
      </w:pPr>
      <w:r w:rsidRPr="00190638">
        <w:rPr>
          <w:sz w:val="24"/>
          <w:szCs w:val="24"/>
        </w:rPr>
        <w:t>Pakningsstørrelse</w:t>
      </w:r>
      <w:r w:rsidR="005A32CE">
        <w:rPr>
          <w:sz w:val="24"/>
          <w:szCs w:val="24"/>
        </w:rPr>
        <w:t>r</w:t>
      </w:r>
      <w:r w:rsidRPr="00190638">
        <w:rPr>
          <w:sz w:val="24"/>
          <w:szCs w:val="24"/>
        </w:rPr>
        <w:t xml:space="preserve">: 20, 40, 50, 60, 80 </w:t>
      </w:r>
      <w:r w:rsidR="005A32CE">
        <w:rPr>
          <w:sz w:val="24"/>
          <w:szCs w:val="24"/>
        </w:rPr>
        <w:t>og</w:t>
      </w:r>
      <w:r w:rsidRPr="00190638">
        <w:rPr>
          <w:sz w:val="24"/>
          <w:szCs w:val="24"/>
        </w:rPr>
        <w:t xml:space="preserve"> 100 tabletter.</w:t>
      </w:r>
    </w:p>
    <w:p w:rsidR="00190638" w:rsidRPr="00190638" w:rsidRDefault="00190638" w:rsidP="00190638">
      <w:pPr>
        <w:tabs>
          <w:tab w:val="left" w:pos="851"/>
        </w:tabs>
        <w:ind w:left="851"/>
        <w:rPr>
          <w:sz w:val="24"/>
          <w:szCs w:val="24"/>
          <w:lang w:val="cs-CZ"/>
        </w:rPr>
      </w:pPr>
      <w:r w:rsidRPr="00190638">
        <w:rPr>
          <w:sz w:val="24"/>
          <w:szCs w:val="24"/>
        </w:rPr>
        <w:t>Ikke alle pakningsstørrelser er nødvendigvis markedsført.</w:t>
      </w:r>
    </w:p>
    <w:p w:rsidR="009260DE" w:rsidRPr="00190638" w:rsidRDefault="009260DE" w:rsidP="009260DE">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Regler for destruktion og anden håndtering</w:t>
      </w:r>
    </w:p>
    <w:p w:rsidR="005A32CE" w:rsidRDefault="005A32CE" w:rsidP="005A32CE">
      <w:pPr>
        <w:tabs>
          <w:tab w:val="left" w:pos="851"/>
        </w:tabs>
        <w:ind w:left="851"/>
        <w:rPr>
          <w:sz w:val="24"/>
          <w:szCs w:val="24"/>
        </w:rPr>
      </w:pPr>
      <w:r w:rsidRPr="005A32CE">
        <w:rPr>
          <w:sz w:val="24"/>
          <w:szCs w:val="24"/>
        </w:rPr>
        <w:t>Ingen særlige forholdsregler.</w:t>
      </w:r>
    </w:p>
    <w:p w:rsidR="005A32CE" w:rsidRPr="005A32CE" w:rsidRDefault="005A32CE" w:rsidP="005A32CE">
      <w:pPr>
        <w:tabs>
          <w:tab w:val="left" w:pos="851"/>
        </w:tabs>
        <w:ind w:left="851"/>
        <w:rPr>
          <w:sz w:val="24"/>
          <w:szCs w:val="24"/>
          <w:lang w:val="cs-CZ"/>
        </w:rPr>
      </w:pPr>
    </w:p>
    <w:p w:rsidR="005A32CE" w:rsidRPr="005A32CE" w:rsidRDefault="005A32CE" w:rsidP="005A32CE">
      <w:pPr>
        <w:tabs>
          <w:tab w:val="left" w:pos="851"/>
        </w:tabs>
        <w:ind w:left="851"/>
        <w:rPr>
          <w:sz w:val="24"/>
          <w:szCs w:val="24"/>
          <w:lang w:val="cs-CZ"/>
        </w:rPr>
      </w:pPr>
      <w:r w:rsidRPr="005A32CE">
        <w:rPr>
          <w:sz w:val="24"/>
          <w:szCs w:val="24"/>
        </w:rPr>
        <w:t>Ikke anvendt lægemiddel samt affald heraf skal bortskaffes i henhold til lokale retningslinjer.</w:t>
      </w:r>
    </w:p>
    <w:p w:rsidR="009260DE" w:rsidRPr="005A32CE" w:rsidRDefault="009260DE" w:rsidP="000730CA">
      <w:pPr>
        <w:tabs>
          <w:tab w:val="left" w:pos="851"/>
        </w:tabs>
        <w:ind w:left="851"/>
        <w:rPr>
          <w:sz w:val="24"/>
          <w:szCs w:val="24"/>
          <w:lang w:val="cs-CZ"/>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2777E" w:rsidRPr="0072777E" w:rsidRDefault="0072777E" w:rsidP="0072777E">
      <w:pPr>
        <w:tabs>
          <w:tab w:val="left" w:pos="851"/>
        </w:tabs>
        <w:ind w:left="851"/>
        <w:rPr>
          <w:sz w:val="24"/>
          <w:szCs w:val="24"/>
          <w:lang w:val="en-US"/>
        </w:rPr>
      </w:pPr>
      <w:r w:rsidRPr="0072777E">
        <w:rPr>
          <w:sz w:val="24"/>
          <w:szCs w:val="24"/>
          <w:lang w:val="en-US"/>
        </w:rPr>
        <w:t xml:space="preserve">PRO.MED.CS Praha </w:t>
      </w:r>
      <w:proofErr w:type="spellStart"/>
      <w:r w:rsidRPr="0072777E">
        <w:rPr>
          <w:sz w:val="24"/>
          <w:szCs w:val="24"/>
          <w:lang w:val="en-US"/>
        </w:rPr>
        <w:t>a.s.</w:t>
      </w:r>
      <w:proofErr w:type="spellEnd"/>
    </w:p>
    <w:p w:rsidR="0072777E" w:rsidRDefault="0072777E" w:rsidP="0072777E">
      <w:pPr>
        <w:tabs>
          <w:tab w:val="left" w:pos="851"/>
        </w:tabs>
        <w:ind w:left="851"/>
        <w:rPr>
          <w:sz w:val="24"/>
          <w:szCs w:val="24"/>
        </w:rPr>
      </w:pPr>
      <w:proofErr w:type="spellStart"/>
      <w:r w:rsidRPr="0072777E">
        <w:rPr>
          <w:sz w:val="24"/>
          <w:szCs w:val="24"/>
        </w:rPr>
        <w:t>Telčská</w:t>
      </w:r>
      <w:proofErr w:type="spellEnd"/>
      <w:r w:rsidRPr="0072777E">
        <w:rPr>
          <w:sz w:val="24"/>
          <w:szCs w:val="24"/>
        </w:rPr>
        <w:t xml:space="preserve"> 377/1, </w:t>
      </w:r>
      <w:proofErr w:type="spellStart"/>
      <w:r w:rsidRPr="0072777E">
        <w:rPr>
          <w:sz w:val="24"/>
          <w:szCs w:val="24"/>
        </w:rPr>
        <w:t>Michle</w:t>
      </w:r>
      <w:proofErr w:type="spellEnd"/>
      <w:r w:rsidRPr="0072777E">
        <w:rPr>
          <w:sz w:val="24"/>
          <w:szCs w:val="24"/>
        </w:rPr>
        <w:t xml:space="preserve">, 140 00 </w:t>
      </w:r>
    </w:p>
    <w:p w:rsidR="0072777E" w:rsidRPr="0072777E" w:rsidRDefault="0072777E" w:rsidP="0072777E">
      <w:pPr>
        <w:tabs>
          <w:tab w:val="left" w:pos="851"/>
        </w:tabs>
        <w:ind w:left="851"/>
        <w:rPr>
          <w:sz w:val="24"/>
          <w:szCs w:val="24"/>
        </w:rPr>
      </w:pPr>
      <w:bookmarkStart w:id="0" w:name="_GoBack"/>
      <w:bookmarkEnd w:id="0"/>
      <w:proofErr w:type="spellStart"/>
      <w:r w:rsidRPr="0072777E">
        <w:rPr>
          <w:sz w:val="24"/>
          <w:szCs w:val="24"/>
        </w:rPr>
        <w:t>Prague</w:t>
      </w:r>
      <w:proofErr w:type="spellEnd"/>
      <w:r w:rsidRPr="0072777E">
        <w:rPr>
          <w:sz w:val="24"/>
          <w:szCs w:val="24"/>
        </w:rPr>
        <w:t xml:space="preserve"> 4</w:t>
      </w:r>
    </w:p>
    <w:p w:rsidR="005A32CE" w:rsidRPr="005A32CE" w:rsidRDefault="0072777E" w:rsidP="0072777E">
      <w:pPr>
        <w:tabs>
          <w:tab w:val="left" w:pos="851"/>
        </w:tabs>
        <w:ind w:left="851"/>
        <w:rPr>
          <w:sz w:val="24"/>
          <w:szCs w:val="24"/>
        </w:rPr>
      </w:pPr>
      <w:r w:rsidRPr="0072777E">
        <w:rPr>
          <w:sz w:val="24"/>
          <w:szCs w:val="24"/>
        </w:rPr>
        <w:t>Tjekkiet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F14D41" w:rsidP="009260DE">
      <w:pPr>
        <w:tabs>
          <w:tab w:val="left" w:pos="851"/>
        </w:tabs>
        <w:ind w:left="851"/>
        <w:rPr>
          <w:sz w:val="24"/>
          <w:szCs w:val="24"/>
        </w:rPr>
      </w:pPr>
      <w:r>
        <w:rPr>
          <w:sz w:val="24"/>
          <w:szCs w:val="24"/>
        </w:rPr>
        <w:t>64636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37F07" w:rsidP="009260DE">
      <w:pPr>
        <w:tabs>
          <w:tab w:val="left" w:pos="851"/>
        </w:tabs>
        <w:ind w:left="851"/>
        <w:rPr>
          <w:sz w:val="24"/>
          <w:szCs w:val="24"/>
        </w:rPr>
      </w:pPr>
      <w:r>
        <w:rPr>
          <w:sz w:val="24"/>
          <w:szCs w:val="24"/>
        </w:rPr>
        <w:t>8.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2777E" w:rsidP="009260DE">
      <w:pPr>
        <w:tabs>
          <w:tab w:val="left" w:pos="851"/>
        </w:tabs>
        <w:ind w:left="851"/>
        <w:rPr>
          <w:sz w:val="24"/>
          <w:szCs w:val="24"/>
        </w:rPr>
      </w:pPr>
      <w:r>
        <w:rPr>
          <w:sz w:val="24"/>
          <w:szCs w:val="24"/>
        </w:rPr>
        <w:t>26. oktober 2022</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02" w:rsidRDefault="00316A02">
      <w:r>
        <w:separator/>
      </w:r>
    </w:p>
  </w:endnote>
  <w:endnote w:type="continuationSeparator" w:id="0">
    <w:p w:rsidR="00316A02" w:rsidRDefault="0031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6C13">
      <w:rPr>
        <w:i/>
        <w:noProof/>
        <w:sz w:val="18"/>
        <w:szCs w:val="18"/>
      </w:rPr>
      <w:t>Proursan, filmovertrukne tabletter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02" w:rsidRDefault="00316A02">
      <w:r>
        <w:separator/>
      </w:r>
    </w:p>
  </w:footnote>
  <w:footnote w:type="continuationSeparator" w:id="0">
    <w:p w:rsidR="00316A02" w:rsidRDefault="0031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6DB"/>
    <w:multiLevelType w:val="hybridMultilevel"/>
    <w:tmpl w:val="062AD2D8"/>
    <w:lvl w:ilvl="0" w:tplc="E3B6729C">
      <w:start w:val="1"/>
      <w:numFmt w:val="bullet"/>
      <w:lvlText w:val="-"/>
      <w:lvlJc w:val="left"/>
      <w:pPr>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02"/>
    <w:rsid w:val="000259B9"/>
    <w:rsid w:val="00025C6C"/>
    <w:rsid w:val="00041491"/>
    <w:rsid w:val="00050D16"/>
    <w:rsid w:val="0006520D"/>
    <w:rsid w:val="000730CA"/>
    <w:rsid w:val="00074F2A"/>
    <w:rsid w:val="000A1CA8"/>
    <w:rsid w:val="000A466B"/>
    <w:rsid w:val="000A704B"/>
    <w:rsid w:val="000B058C"/>
    <w:rsid w:val="000B6CDD"/>
    <w:rsid w:val="000E4EE6"/>
    <w:rsid w:val="001454E2"/>
    <w:rsid w:val="00190638"/>
    <w:rsid w:val="001F2500"/>
    <w:rsid w:val="00206CE8"/>
    <w:rsid w:val="0021526C"/>
    <w:rsid w:val="00265BE0"/>
    <w:rsid w:val="00280506"/>
    <w:rsid w:val="00282F62"/>
    <w:rsid w:val="00283A2B"/>
    <w:rsid w:val="002B30AD"/>
    <w:rsid w:val="002C2C01"/>
    <w:rsid w:val="00316A02"/>
    <w:rsid w:val="003256EB"/>
    <w:rsid w:val="003302CD"/>
    <w:rsid w:val="003631BC"/>
    <w:rsid w:val="00372F98"/>
    <w:rsid w:val="003A29AE"/>
    <w:rsid w:val="003A32D7"/>
    <w:rsid w:val="003B4074"/>
    <w:rsid w:val="003C769A"/>
    <w:rsid w:val="003F1838"/>
    <w:rsid w:val="003F543A"/>
    <w:rsid w:val="00444DF1"/>
    <w:rsid w:val="0045746C"/>
    <w:rsid w:val="0049104B"/>
    <w:rsid w:val="004C41AA"/>
    <w:rsid w:val="004E3B12"/>
    <w:rsid w:val="00532310"/>
    <w:rsid w:val="00537EE8"/>
    <w:rsid w:val="00565F0F"/>
    <w:rsid w:val="0059479B"/>
    <w:rsid w:val="00594A86"/>
    <w:rsid w:val="00596D86"/>
    <w:rsid w:val="005A32CE"/>
    <w:rsid w:val="005F4DA8"/>
    <w:rsid w:val="00634096"/>
    <w:rsid w:val="00637F5A"/>
    <w:rsid w:val="006560B1"/>
    <w:rsid w:val="006756DD"/>
    <w:rsid w:val="00686C13"/>
    <w:rsid w:val="0072171B"/>
    <w:rsid w:val="0072777E"/>
    <w:rsid w:val="00737275"/>
    <w:rsid w:val="00740EEC"/>
    <w:rsid w:val="00742D51"/>
    <w:rsid w:val="0078011A"/>
    <w:rsid w:val="00782AF4"/>
    <w:rsid w:val="00790EE7"/>
    <w:rsid w:val="007B6649"/>
    <w:rsid w:val="0082576E"/>
    <w:rsid w:val="00854316"/>
    <w:rsid w:val="00902297"/>
    <w:rsid w:val="00907F75"/>
    <w:rsid w:val="009260DE"/>
    <w:rsid w:val="0093258A"/>
    <w:rsid w:val="009C7BA3"/>
    <w:rsid w:val="009D1F5A"/>
    <w:rsid w:val="00A10294"/>
    <w:rsid w:val="00A421E5"/>
    <w:rsid w:val="00A5527D"/>
    <w:rsid w:val="00A84552"/>
    <w:rsid w:val="00B003BF"/>
    <w:rsid w:val="00B373D7"/>
    <w:rsid w:val="00C050F8"/>
    <w:rsid w:val="00C36276"/>
    <w:rsid w:val="00C42586"/>
    <w:rsid w:val="00C60CCD"/>
    <w:rsid w:val="00C84483"/>
    <w:rsid w:val="00C95551"/>
    <w:rsid w:val="00CB20D7"/>
    <w:rsid w:val="00D020B0"/>
    <w:rsid w:val="00D11748"/>
    <w:rsid w:val="00D366CF"/>
    <w:rsid w:val="00D53AED"/>
    <w:rsid w:val="00DF49FA"/>
    <w:rsid w:val="00E041C1"/>
    <w:rsid w:val="00E108AA"/>
    <w:rsid w:val="00E3749A"/>
    <w:rsid w:val="00E434B2"/>
    <w:rsid w:val="00E7437F"/>
    <w:rsid w:val="00E865B8"/>
    <w:rsid w:val="00EA5FB9"/>
    <w:rsid w:val="00EC0B9B"/>
    <w:rsid w:val="00ED32E2"/>
    <w:rsid w:val="00ED5E9F"/>
    <w:rsid w:val="00F14D41"/>
    <w:rsid w:val="00F37F07"/>
    <w:rsid w:val="00F66D4F"/>
    <w:rsid w:val="00F77DD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B7FF0"/>
  <w15:chartTrackingRefBased/>
  <w15:docId w15:val="{C13D6285-ACC5-40AD-87E5-6AE5D70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25C6C"/>
    <w:rPr>
      <w:color w:val="0563C1" w:themeColor="hyperlink"/>
      <w:u w:val="single"/>
    </w:rPr>
  </w:style>
  <w:style w:type="character" w:styleId="Ulstomtale">
    <w:name w:val="Unresolved Mention"/>
    <w:basedOn w:val="Standardskrifttypeiafsnit"/>
    <w:uiPriority w:val="99"/>
    <w:semiHidden/>
    <w:unhideWhenUsed/>
    <w:rsid w:val="0002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61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146454">
      <w:bodyDiv w:val="1"/>
      <w:marLeft w:val="0"/>
      <w:marRight w:val="0"/>
      <w:marTop w:val="0"/>
      <w:marBottom w:val="0"/>
      <w:divBdr>
        <w:top w:val="none" w:sz="0" w:space="0" w:color="auto"/>
        <w:left w:val="none" w:sz="0" w:space="0" w:color="auto"/>
        <w:bottom w:val="none" w:sz="0" w:space="0" w:color="auto"/>
        <w:right w:val="none" w:sz="0" w:space="0" w:color="auto"/>
      </w:divBdr>
    </w:div>
    <w:div w:id="271280998">
      <w:bodyDiv w:val="1"/>
      <w:marLeft w:val="0"/>
      <w:marRight w:val="0"/>
      <w:marTop w:val="0"/>
      <w:marBottom w:val="0"/>
      <w:divBdr>
        <w:top w:val="none" w:sz="0" w:space="0" w:color="auto"/>
        <w:left w:val="none" w:sz="0" w:space="0" w:color="auto"/>
        <w:bottom w:val="none" w:sz="0" w:space="0" w:color="auto"/>
        <w:right w:val="none" w:sz="0" w:space="0" w:color="auto"/>
      </w:divBdr>
    </w:div>
    <w:div w:id="273827775">
      <w:bodyDiv w:val="1"/>
      <w:marLeft w:val="0"/>
      <w:marRight w:val="0"/>
      <w:marTop w:val="0"/>
      <w:marBottom w:val="0"/>
      <w:divBdr>
        <w:top w:val="none" w:sz="0" w:space="0" w:color="auto"/>
        <w:left w:val="none" w:sz="0" w:space="0" w:color="auto"/>
        <w:bottom w:val="none" w:sz="0" w:space="0" w:color="auto"/>
        <w:right w:val="none" w:sz="0" w:space="0" w:color="auto"/>
      </w:divBdr>
    </w:div>
    <w:div w:id="384060510">
      <w:bodyDiv w:val="1"/>
      <w:marLeft w:val="0"/>
      <w:marRight w:val="0"/>
      <w:marTop w:val="0"/>
      <w:marBottom w:val="0"/>
      <w:divBdr>
        <w:top w:val="none" w:sz="0" w:space="0" w:color="auto"/>
        <w:left w:val="none" w:sz="0" w:space="0" w:color="auto"/>
        <w:bottom w:val="none" w:sz="0" w:space="0" w:color="auto"/>
        <w:right w:val="none" w:sz="0" w:space="0" w:color="auto"/>
      </w:divBdr>
    </w:div>
    <w:div w:id="629822473">
      <w:bodyDiv w:val="1"/>
      <w:marLeft w:val="0"/>
      <w:marRight w:val="0"/>
      <w:marTop w:val="0"/>
      <w:marBottom w:val="0"/>
      <w:divBdr>
        <w:top w:val="none" w:sz="0" w:space="0" w:color="auto"/>
        <w:left w:val="none" w:sz="0" w:space="0" w:color="auto"/>
        <w:bottom w:val="none" w:sz="0" w:space="0" w:color="auto"/>
        <w:right w:val="none" w:sz="0" w:space="0" w:color="auto"/>
      </w:divBdr>
    </w:div>
    <w:div w:id="658313029">
      <w:bodyDiv w:val="1"/>
      <w:marLeft w:val="0"/>
      <w:marRight w:val="0"/>
      <w:marTop w:val="0"/>
      <w:marBottom w:val="0"/>
      <w:divBdr>
        <w:top w:val="none" w:sz="0" w:space="0" w:color="auto"/>
        <w:left w:val="none" w:sz="0" w:space="0" w:color="auto"/>
        <w:bottom w:val="none" w:sz="0" w:space="0" w:color="auto"/>
        <w:right w:val="none" w:sz="0" w:space="0" w:color="auto"/>
      </w:divBdr>
    </w:div>
    <w:div w:id="792753503">
      <w:bodyDiv w:val="1"/>
      <w:marLeft w:val="0"/>
      <w:marRight w:val="0"/>
      <w:marTop w:val="0"/>
      <w:marBottom w:val="0"/>
      <w:divBdr>
        <w:top w:val="none" w:sz="0" w:space="0" w:color="auto"/>
        <w:left w:val="none" w:sz="0" w:space="0" w:color="auto"/>
        <w:bottom w:val="none" w:sz="0" w:space="0" w:color="auto"/>
        <w:right w:val="none" w:sz="0" w:space="0" w:color="auto"/>
      </w:divBdr>
    </w:div>
    <w:div w:id="833302436">
      <w:bodyDiv w:val="1"/>
      <w:marLeft w:val="0"/>
      <w:marRight w:val="0"/>
      <w:marTop w:val="0"/>
      <w:marBottom w:val="0"/>
      <w:divBdr>
        <w:top w:val="none" w:sz="0" w:space="0" w:color="auto"/>
        <w:left w:val="none" w:sz="0" w:space="0" w:color="auto"/>
        <w:bottom w:val="none" w:sz="0" w:space="0" w:color="auto"/>
        <w:right w:val="none" w:sz="0" w:space="0" w:color="auto"/>
      </w:divBdr>
    </w:div>
    <w:div w:id="890459702">
      <w:bodyDiv w:val="1"/>
      <w:marLeft w:val="0"/>
      <w:marRight w:val="0"/>
      <w:marTop w:val="0"/>
      <w:marBottom w:val="0"/>
      <w:divBdr>
        <w:top w:val="none" w:sz="0" w:space="0" w:color="auto"/>
        <w:left w:val="none" w:sz="0" w:space="0" w:color="auto"/>
        <w:bottom w:val="none" w:sz="0" w:space="0" w:color="auto"/>
        <w:right w:val="none" w:sz="0" w:space="0" w:color="auto"/>
      </w:divBdr>
    </w:div>
    <w:div w:id="890771907">
      <w:bodyDiv w:val="1"/>
      <w:marLeft w:val="0"/>
      <w:marRight w:val="0"/>
      <w:marTop w:val="0"/>
      <w:marBottom w:val="0"/>
      <w:divBdr>
        <w:top w:val="none" w:sz="0" w:space="0" w:color="auto"/>
        <w:left w:val="none" w:sz="0" w:space="0" w:color="auto"/>
        <w:bottom w:val="none" w:sz="0" w:space="0" w:color="auto"/>
        <w:right w:val="none" w:sz="0" w:space="0" w:color="auto"/>
      </w:divBdr>
    </w:div>
    <w:div w:id="945969330">
      <w:bodyDiv w:val="1"/>
      <w:marLeft w:val="0"/>
      <w:marRight w:val="0"/>
      <w:marTop w:val="0"/>
      <w:marBottom w:val="0"/>
      <w:divBdr>
        <w:top w:val="none" w:sz="0" w:space="0" w:color="auto"/>
        <w:left w:val="none" w:sz="0" w:space="0" w:color="auto"/>
        <w:bottom w:val="none" w:sz="0" w:space="0" w:color="auto"/>
        <w:right w:val="none" w:sz="0" w:space="0" w:color="auto"/>
      </w:divBdr>
    </w:div>
    <w:div w:id="955064454">
      <w:bodyDiv w:val="1"/>
      <w:marLeft w:val="0"/>
      <w:marRight w:val="0"/>
      <w:marTop w:val="0"/>
      <w:marBottom w:val="0"/>
      <w:divBdr>
        <w:top w:val="none" w:sz="0" w:space="0" w:color="auto"/>
        <w:left w:val="none" w:sz="0" w:space="0" w:color="auto"/>
        <w:bottom w:val="none" w:sz="0" w:space="0" w:color="auto"/>
        <w:right w:val="none" w:sz="0" w:space="0" w:color="auto"/>
      </w:divBdr>
    </w:div>
    <w:div w:id="964849361">
      <w:bodyDiv w:val="1"/>
      <w:marLeft w:val="0"/>
      <w:marRight w:val="0"/>
      <w:marTop w:val="0"/>
      <w:marBottom w:val="0"/>
      <w:divBdr>
        <w:top w:val="none" w:sz="0" w:space="0" w:color="auto"/>
        <w:left w:val="none" w:sz="0" w:space="0" w:color="auto"/>
        <w:bottom w:val="none" w:sz="0" w:space="0" w:color="auto"/>
        <w:right w:val="none" w:sz="0" w:space="0" w:color="auto"/>
      </w:divBdr>
    </w:div>
    <w:div w:id="971637273">
      <w:bodyDiv w:val="1"/>
      <w:marLeft w:val="0"/>
      <w:marRight w:val="0"/>
      <w:marTop w:val="0"/>
      <w:marBottom w:val="0"/>
      <w:divBdr>
        <w:top w:val="none" w:sz="0" w:space="0" w:color="auto"/>
        <w:left w:val="none" w:sz="0" w:space="0" w:color="auto"/>
        <w:bottom w:val="none" w:sz="0" w:space="0" w:color="auto"/>
        <w:right w:val="none" w:sz="0" w:space="0" w:color="auto"/>
      </w:divBdr>
    </w:div>
    <w:div w:id="1009068320">
      <w:bodyDiv w:val="1"/>
      <w:marLeft w:val="0"/>
      <w:marRight w:val="0"/>
      <w:marTop w:val="0"/>
      <w:marBottom w:val="0"/>
      <w:divBdr>
        <w:top w:val="none" w:sz="0" w:space="0" w:color="auto"/>
        <w:left w:val="none" w:sz="0" w:space="0" w:color="auto"/>
        <w:bottom w:val="none" w:sz="0" w:space="0" w:color="auto"/>
        <w:right w:val="none" w:sz="0" w:space="0" w:color="auto"/>
      </w:divBdr>
    </w:div>
    <w:div w:id="1020083206">
      <w:bodyDiv w:val="1"/>
      <w:marLeft w:val="0"/>
      <w:marRight w:val="0"/>
      <w:marTop w:val="0"/>
      <w:marBottom w:val="0"/>
      <w:divBdr>
        <w:top w:val="none" w:sz="0" w:space="0" w:color="auto"/>
        <w:left w:val="none" w:sz="0" w:space="0" w:color="auto"/>
        <w:bottom w:val="none" w:sz="0" w:space="0" w:color="auto"/>
        <w:right w:val="none" w:sz="0" w:space="0" w:color="auto"/>
      </w:divBdr>
    </w:div>
    <w:div w:id="1079867823">
      <w:bodyDiv w:val="1"/>
      <w:marLeft w:val="0"/>
      <w:marRight w:val="0"/>
      <w:marTop w:val="0"/>
      <w:marBottom w:val="0"/>
      <w:divBdr>
        <w:top w:val="none" w:sz="0" w:space="0" w:color="auto"/>
        <w:left w:val="none" w:sz="0" w:space="0" w:color="auto"/>
        <w:bottom w:val="none" w:sz="0" w:space="0" w:color="auto"/>
        <w:right w:val="none" w:sz="0" w:space="0" w:color="auto"/>
      </w:divBdr>
    </w:div>
    <w:div w:id="1126894402">
      <w:bodyDiv w:val="1"/>
      <w:marLeft w:val="0"/>
      <w:marRight w:val="0"/>
      <w:marTop w:val="0"/>
      <w:marBottom w:val="0"/>
      <w:divBdr>
        <w:top w:val="none" w:sz="0" w:space="0" w:color="auto"/>
        <w:left w:val="none" w:sz="0" w:space="0" w:color="auto"/>
        <w:bottom w:val="none" w:sz="0" w:space="0" w:color="auto"/>
        <w:right w:val="none" w:sz="0" w:space="0" w:color="auto"/>
      </w:divBdr>
    </w:div>
    <w:div w:id="1229075049">
      <w:bodyDiv w:val="1"/>
      <w:marLeft w:val="0"/>
      <w:marRight w:val="0"/>
      <w:marTop w:val="0"/>
      <w:marBottom w:val="0"/>
      <w:divBdr>
        <w:top w:val="none" w:sz="0" w:space="0" w:color="auto"/>
        <w:left w:val="none" w:sz="0" w:space="0" w:color="auto"/>
        <w:bottom w:val="none" w:sz="0" w:space="0" w:color="auto"/>
        <w:right w:val="none" w:sz="0" w:space="0" w:color="auto"/>
      </w:divBdr>
    </w:div>
    <w:div w:id="1308434914">
      <w:bodyDiv w:val="1"/>
      <w:marLeft w:val="0"/>
      <w:marRight w:val="0"/>
      <w:marTop w:val="0"/>
      <w:marBottom w:val="0"/>
      <w:divBdr>
        <w:top w:val="none" w:sz="0" w:space="0" w:color="auto"/>
        <w:left w:val="none" w:sz="0" w:space="0" w:color="auto"/>
        <w:bottom w:val="none" w:sz="0" w:space="0" w:color="auto"/>
        <w:right w:val="none" w:sz="0" w:space="0" w:color="auto"/>
      </w:divBdr>
    </w:div>
    <w:div w:id="1354846082">
      <w:bodyDiv w:val="1"/>
      <w:marLeft w:val="0"/>
      <w:marRight w:val="0"/>
      <w:marTop w:val="0"/>
      <w:marBottom w:val="0"/>
      <w:divBdr>
        <w:top w:val="none" w:sz="0" w:space="0" w:color="auto"/>
        <w:left w:val="none" w:sz="0" w:space="0" w:color="auto"/>
        <w:bottom w:val="none" w:sz="0" w:space="0" w:color="auto"/>
        <w:right w:val="none" w:sz="0" w:space="0" w:color="auto"/>
      </w:divBdr>
    </w:div>
    <w:div w:id="1401519623">
      <w:bodyDiv w:val="1"/>
      <w:marLeft w:val="0"/>
      <w:marRight w:val="0"/>
      <w:marTop w:val="0"/>
      <w:marBottom w:val="0"/>
      <w:divBdr>
        <w:top w:val="none" w:sz="0" w:space="0" w:color="auto"/>
        <w:left w:val="none" w:sz="0" w:space="0" w:color="auto"/>
        <w:bottom w:val="none" w:sz="0" w:space="0" w:color="auto"/>
        <w:right w:val="none" w:sz="0" w:space="0" w:color="auto"/>
      </w:divBdr>
    </w:div>
    <w:div w:id="1431198436">
      <w:bodyDiv w:val="1"/>
      <w:marLeft w:val="0"/>
      <w:marRight w:val="0"/>
      <w:marTop w:val="0"/>
      <w:marBottom w:val="0"/>
      <w:divBdr>
        <w:top w:val="none" w:sz="0" w:space="0" w:color="auto"/>
        <w:left w:val="none" w:sz="0" w:space="0" w:color="auto"/>
        <w:bottom w:val="none" w:sz="0" w:space="0" w:color="auto"/>
        <w:right w:val="none" w:sz="0" w:space="0" w:color="auto"/>
      </w:divBdr>
    </w:div>
    <w:div w:id="1460341607">
      <w:bodyDiv w:val="1"/>
      <w:marLeft w:val="0"/>
      <w:marRight w:val="0"/>
      <w:marTop w:val="0"/>
      <w:marBottom w:val="0"/>
      <w:divBdr>
        <w:top w:val="none" w:sz="0" w:space="0" w:color="auto"/>
        <w:left w:val="none" w:sz="0" w:space="0" w:color="auto"/>
        <w:bottom w:val="none" w:sz="0" w:space="0" w:color="auto"/>
        <w:right w:val="none" w:sz="0" w:space="0" w:color="auto"/>
      </w:divBdr>
    </w:div>
    <w:div w:id="1575385369">
      <w:bodyDiv w:val="1"/>
      <w:marLeft w:val="0"/>
      <w:marRight w:val="0"/>
      <w:marTop w:val="0"/>
      <w:marBottom w:val="0"/>
      <w:divBdr>
        <w:top w:val="none" w:sz="0" w:space="0" w:color="auto"/>
        <w:left w:val="none" w:sz="0" w:space="0" w:color="auto"/>
        <w:bottom w:val="none" w:sz="0" w:space="0" w:color="auto"/>
        <w:right w:val="none" w:sz="0" w:space="0" w:color="auto"/>
      </w:divBdr>
    </w:div>
    <w:div w:id="1616134982">
      <w:bodyDiv w:val="1"/>
      <w:marLeft w:val="0"/>
      <w:marRight w:val="0"/>
      <w:marTop w:val="0"/>
      <w:marBottom w:val="0"/>
      <w:divBdr>
        <w:top w:val="none" w:sz="0" w:space="0" w:color="auto"/>
        <w:left w:val="none" w:sz="0" w:space="0" w:color="auto"/>
        <w:bottom w:val="none" w:sz="0" w:space="0" w:color="auto"/>
        <w:right w:val="none" w:sz="0" w:space="0" w:color="auto"/>
      </w:divBdr>
    </w:div>
    <w:div w:id="1742947243">
      <w:bodyDiv w:val="1"/>
      <w:marLeft w:val="0"/>
      <w:marRight w:val="0"/>
      <w:marTop w:val="0"/>
      <w:marBottom w:val="0"/>
      <w:divBdr>
        <w:top w:val="none" w:sz="0" w:space="0" w:color="auto"/>
        <w:left w:val="none" w:sz="0" w:space="0" w:color="auto"/>
        <w:bottom w:val="none" w:sz="0" w:space="0" w:color="auto"/>
        <w:right w:val="none" w:sz="0" w:space="0" w:color="auto"/>
      </w:divBdr>
    </w:div>
    <w:div w:id="1801727951">
      <w:bodyDiv w:val="1"/>
      <w:marLeft w:val="0"/>
      <w:marRight w:val="0"/>
      <w:marTop w:val="0"/>
      <w:marBottom w:val="0"/>
      <w:divBdr>
        <w:top w:val="none" w:sz="0" w:space="0" w:color="auto"/>
        <w:left w:val="none" w:sz="0" w:space="0" w:color="auto"/>
        <w:bottom w:val="none" w:sz="0" w:space="0" w:color="auto"/>
        <w:right w:val="none" w:sz="0" w:space="0" w:color="auto"/>
      </w:divBdr>
    </w:div>
    <w:div w:id="1830635719">
      <w:bodyDiv w:val="1"/>
      <w:marLeft w:val="0"/>
      <w:marRight w:val="0"/>
      <w:marTop w:val="0"/>
      <w:marBottom w:val="0"/>
      <w:divBdr>
        <w:top w:val="none" w:sz="0" w:space="0" w:color="auto"/>
        <w:left w:val="none" w:sz="0" w:space="0" w:color="auto"/>
        <w:bottom w:val="none" w:sz="0" w:space="0" w:color="auto"/>
        <w:right w:val="none" w:sz="0" w:space="0" w:color="auto"/>
      </w:divBdr>
    </w:div>
    <w:div w:id="1927231018">
      <w:bodyDiv w:val="1"/>
      <w:marLeft w:val="0"/>
      <w:marRight w:val="0"/>
      <w:marTop w:val="0"/>
      <w:marBottom w:val="0"/>
      <w:divBdr>
        <w:top w:val="none" w:sz="0" w:space="0" w:color="auto"/>
        <w:left w:val="none" w:sz="0" w:space="0" w:color="auto"/>
        <w:bottom w:val="none" w:sz="0" w:space="0" w:color="auto"/>
        <w:right w:val="none" w:sz="0" w:space="0" w:color="auto"/>
      </w:divBdr>
    </w:div>
    <w:div w:id="1933123554">
      <w:bodyDiv w:val="1"/>
      <w:marLeft w:val="0"/>
      <w:marRight w:val="0"/>
      <w:marTop w:val="0"/>
      <w:marBottom w:val="0"/>
      <w:divBdr>
        <w:top w:val="none" w:sz="0" w:space="0" w:color="auto"/>
        <w:left w:val="none" w:sz="0" w:space="0" w:color="auto"/>
        <w:bottom w:val="none" w:sz="0" w:space="0" w:color="auto"/>
        <w:right w:val="none" w:sz="0" w:space="0" w:color="auto"/>
      </w:divBdr>
    </w:div>
    <w:div w:id="2028409188">
      <w:bodyDiv w:val="1"/>
      <w:marLeft w:val="0"/>
      <w:marRight w:val="0"/>
      <w:marTop w:val="0"/>
      <w:marBottom w:val="0"/>
      <w:divBdr>
        <w:top w:val="none" w:sz="0" w:space="0" w:color="auto"/>
        <w:left w:val="none" w:sz="0" w:space="0" w:color="auto"/>
        <w:bottom w:val="none" w:sz="0" w:space="0" w:color="auto"/>
        <w:right w:val="none" w:sz="0" w:space="0" w:color="auto"/>
      </w:divBdr>
    </w:div>
    <w:div w:id="2030912903">
      <w:bodyDiv w:val="1"/>
      <w:marLeft w:val="0"/>
      <w:marRight w:val="0"/>
      <w:marTop w:val="0"/>
      <w:marBottom w:val="0"/>
      <w:divBdr>
        <w:top w:val="none" w:sz="0" w:space="0" w:color="auto"/>
        <w:left w:val="none" w:sz="0" w:space="0" w:color="auto"/>
        <w:bottom w:val="none" w:sz="0" w:space="0" w:color="auto"/>
        <w:right w:val="none" w:sz="0" w:space="0" w:color="auto"/>
      </w:divBdr>
    </w:div>
    <w:div w:id="2037458872">
      <w:bodyDiv w:val="1"/>
      <w:marLeft w:val="0"/>
      <w:marRight w:val="0"/>
      <w:marTop w:val="0"/>
      <w:marBottom w:val="0"/>
      <w:divBdr>
        <w:top w:val="none" w:sz="0" w:space="0" w:color="auto"/>
        <w:left w:val="none" w:sz="0" w:space="0" w:color="auto"/>
        <w:bottom w:val="none" w:sz="0" w:space="0" w:color="auto"/>
        <w:right w:val="none" w:sz="0" w:space="0" w:color="auto"/>
      </w:divBdr>
    </w:div>
    <w:div w:id="2090149566">
      <w:bodyDiv w:val="1"/>
      <w:marLeft w:val="0"/>
      <w:marRight w:val="0"/>
      <w:marTop w:val="0"/>
      <w:marBottom w:val="0"/>
      <w:divBdr>
        <w:top w:val="none" w:sz="0" w:space="0" w:color="auto"/>
        <w:left w:val="none" w:sz="0" w:space="0" w:color="auto"/>
        <w:bottom w:val="none" w:sz="0" w:space="0" w:color="auto"/>
        <w:right w:val="none" w:sz="0" w:space="0" w:color="auto"/>
      </w:divBdr>
    </w:div>
    <w:div w:id="21360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9</Pages>
  <Words>2321</Words>
  <Characters>14690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2022102156_x000d_
Skift af MAH fra Kappler Pharma Consult GmbH</dc:description>
  <cp:lastModifiedBy>Marianne Ott Jensen</cp:lastModifiedBy>
  <cp:revision>3</cp:revision>
  <cp:lastPrinted>2012-08-22T08:53:00Z</cp:lastPrinted>
  <dcterms:created xsi:type="dcterms:W3CDTF">2022-10-26T07:13:00Z</dcterms:created>
  <dcterms:modified xsi:type="dcterms:W3CDTF">2022-10-26T07:14:00Z</dcterms:modified>
</cp:coreProperties>
</file>