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78B37"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4D99E0FA" wp14:editId="2358BFD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3C04B458" w14:textId="77777777" w:rsidR="009260DE" w:rsidRPr="00C84483" w:rsidRDefault="009260DE" w:rsidP="009260DE">
      <w:pPr>
        <w:pStyle w:val="Titel"/>
        <w:tabs>
          <w:tab w:val="right" w:pos="9356"/>
        </w:tabs>
        <w:jc w:val="left"/>
        <w:rPr>
          <w:b w:val="0"/>
          <w:szCs w:val="24"/>
          <w:lang w:eastAsia="en-US"/>
        </w:rPr>
      </w:pPr>
    </w:p>
    <w:p w14:paraId="1B875502" w14:textId="6E7C8191"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7559C2">
        <w:rPr>
          <w:szCs w:val="24"/>
        </w:rPr>
        <w:t>17. oktober 2023</w:t>
      </w:r>
    </w:p>
    <w:p w14:paraId="31D4FAAE" w14:textId="77777777" w:rsidR="009260DE" w:rsidRPr="00C84483" w:rsidRDefault="009260DE" w:rsidP="009260DE">
      <w:pPr>
        <w:pStyle w:val="Titel"/>
        <w:tabs>
          <w:tab w:val="left" w:pos="8222"/>
        </w:tabs>
        <w:jc w:val="left"/>
        <w:rPr>
          <w:b w:val="0"/>
          <w:szCs w:val="24"/>
        </w:rPr>
      </w:pPr>
    </w:p>
    <w:p w14:paraId="1F8D6588" w14:textId="77777777" w:rsidR="009260DE" w:rsidRPr="00C84483" w:rsidRDefault="009260DE" w:rsidP="009260DE">
      <w:pPr>
        <w:pStyle w:val="Titel"/>
        <w:jc w:val="left"/>
        <w:rPr>
          <w:b w:val="0"/>
          <w:szCs w:val="24"/>
        </w:rPr>
      </w:pPr>
    </w:p>
    <w:p w14:paraId="0E7CC68F" w14:textId="77777777" w:rsidR="009260DE" w:rsidRPr="00C84483" w:rsidRDefault="009260DE" w:rsidP="009260DE">
      <w:pPr>
        <w:jc w:val="center"/>
        <w:rPr>
          <w:b/>
          <w:sz w:val="24"/>
          <w:szCs w:val="24"/>
        </w:rPr>
      </w:pPr>
      <w:r w:rsidRPr="00C84483">
        <w:rPr>
          <w:b/>
          <w:sz w:val="24"/>
          <w:szCs w:val="24"/>
        </w:rPr>
        <w:t>PRODUKTRESUMÉ</w:t>
      </w:r>
    </w:p>
    <w:p w14:paraId="63DA1F9C" w14:textId="77777777" w:rsidR="009260DE" w:rsidRPr="00C84483" w:rsidRDefault="009260DE" w:rsidP="009260DE">
      <w:pPr>
        <w:jc w:val="center"/>
        <w:rPr>
          <w:b/>
          <w:sz w:val="24"/>
          <w:szCs w:val="24"/>
        </w:rPr>
      </w:pPr>
    </w:p>
    <w:p w14:paraId="41FB7E56" w14:textId="77777777" w:rsidR="009260DE" w:rsidRDefault="009260DE" w:rsidP="009260DE">
      <w:pPr>
        <w:jc w:val="center"/>
        <w:rPr>
          <w:b/>
          <w:sz w:val="24"/>
          <w:szCs w:val="24"/>
        </w:rPr>
      </w:pPr>
      <w:r w:rsidRPr="00C84483">
        <w:rPr>
          <w:b/>
          <w:sz w:val="24"/>
          <w:szCs w:val="24"/>
        </w:rPr>
        <w:t>for</w:t>
      </w:r>
    </w:p>
    <w:p w14:paraId="682A7AD6" w14:textId="77777777" w:rsidR="000B058C" w:rsidRPr="00C84483" w:rsidRDefault="000B058C" w:rsidP="009260DE">
      <w:pPr>
        <w:jc w:val="center"/>
        <w:rPr>
          <w:b/>
          <w:sz w:val="24"/>
          <w:szCs w:val="24"/>
        </w:rPr>
      </w:pPr>
    </w:p>
    <w:p w14:paraId="40B75C87" w14:textId="7F6B2AF1" w:rsidR="009260DE" w:rsidRPr="00C84483" w:rsidRDefault="00106A29" w:rsidP="009260DE">
      <w:pPr>
        <w:jc w:val="center"/>
        <w:rPr>
          <w:b/>
          <w:sz w:val="24"/>
          <w:szCs w:val="24"/>
        </w:rPr>
      </w:pPr>
      <w:bookmarkStart w:id="0" w:name="_Hlk148434365"/>
      <w:r w:rsidRPr="00106A29">
        <w:rPr>
          <w:b/>
          <w:sz w:val="24"/>
          <w:szCs w:val="24"/>
        </w:rPr>
        <w:t>Provistopto</w:t>
      </w:r>
      <w:bookmarkEnd w:id="0"/>
      <w:r w:rsidRPr="00106A29">
        <w:rPr>
          <w:b/>
          <w:sz w:val="24"/>
          <w:szCs w:val="24"/>
        </w:rPr>
        <w:t>, øjendråber, opløsning i enkeltdosisbeholder</w:t>
      </w:r>
    </w:p>
    <w:p w14:paraId="55657963" w14:textId="77777777" w:rsidR="009260DE" w:rsidRPr="00C84483" w:rsidRDefault="009260DE" w:rsidP="009260DE">
      <w:pPr>
        <w:jc w:val="both"/>
        <w:rPr>
          <w:sz w:val="24"/>
          <w:szCs w:val="24"/>
        </w:rPr>
      </w:pPr>
    </w:p>
    <w:p w14:paraId="30EEBCB5" w14:textId="77777777" w:rsidR="009260DE" w:rsidRPr="00C84483" w:rsidRDefault="009260DE" w:rsidP="009260DE">
      <w:pPr>
        <w:jc w:val="both"/>
        <w:rPr>
          <w:sz w:val="24"/>
          <w:szCs w:val="24"/>
        </w:rPr>
      </w:pPr>
    </w:p>
    <w:p w14:paraId="51CA3B41"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564FFBBD" w14:textId="15B56EC0" w:rsidR="009260DE" w:rsidRPr="00C84483" w:rsidRDefault="009755F9" w:rsidP="009260DE">
      <w:pPr>
        <w:tabs>
          <w:tab w:val="left" w:pos="851"/>
        </w:tabs>
        <w:ind w:left="851"/>
        <w:rPr>
          <w:sz w:val="24"/>
          <w:szCs w:val="24"/>
        </w:rPr>
      </w:pPr>
      <w:r>
        <w:rPr>
          <w:sz w:val="24"/>
          <w:szCs w:val="24"/>
        </w:rPr>
        <w:t>32799</w:t>
      </w:r>
    </w:p>
    <w:p w14:paraId="5579544E" w14:textId="77777777" w:rsidR="009260DE" w:rsidRPr="00C84483" w:rsidRDefault="009260DE" w:rsidP="009260DE">
      <w:pPr>
        <w:tabs>
          <w:tab w:val="left" w:pos="851"/>
        </w:tabs>
        <w:ind w:left="851"/>
        <w:rPr>
          <w:sz w:val="24"/>
          <w:szCs w:val="24"/>
        </w:rPr>
      </w:pPr>
    </w:p>
    <w:p w14:paraId="2AA41B97"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74C32EDE" w14:textId="3CE9D31C" w:rsidR="009260DE" w:rsidRPr="009755F9" w:rsidRDefault="009755F9" w:rsidP="009260DE">
      <w:pPr>
        <w:tabs>
          <w:tab w:val="left" w:pos="851"/>
        </w:tabs>
        <w:ind w:left="851"/>
        <w:rPr>
          <w:sz w:val="24"/>
          <w:szCs w:val="24"/>
        </w:rPr>
      </w:pPr>
      <w:r w:rsidRPr="009755F9">
        <w:rPr>
          <w:sz w:val="24"/>
          <w:szCs w:val="24"/>
        </w:rPr>
        <w:t>Provistopto</w:t>
      </w:r>
    </w:p>
    <w:p w14:paraId="7EE9F1A2" w14:textId="77777777" w:rsidR="009260DE" w:rsidRPr="00C84483" w:rsidRDefault="009260DE" w:rsidP="009260DE">
      <w:pPr>
        <w:tabs>
          <w:tab w:val="left" w:pos="851"/>
        </w:tabs>
        <w:ind w:left="851"/>
        <w:rPr>
          <w:sz w:val="24"/>
          <w:szCs w:val="24"/>
        </w:rPr>
      </w:pPr>
    </w:p>
    <w:p w14:paraId="6FE7BEC6"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6427424E" w14:textId="5575870E" w:rsidR="004A5954" w:rsidRPr="004A5954" w:rsidRDefault="004A5954" w:rsidP="004A5954">
      <w:pPr>
        <w:tabs>
          <w:tab w:val="left" w:pos="851"/>
        </w:tabs>
        <w:ind w:left="851"/>
        <w:rPr>
          <w:sz w:val="24"/>
          <w:szCs w:val="24"/>
          <w:lang w:val="fr-FR"/>
        </w:rPr>
      </w:pPr>
      <w:r w:rsidRPr="004A5954">
        <w:rPr>
          <w:sz w:val="24"/>
          <w:szCs w:val="24"/>
          <w:lang w:bidi="da-DK"/>
        </w:rPr>
        <w:t>Hver ml øjendråbeopløsning indeholder 5 mg prednisolon natriumphosphat</w:t>
      </w:r>
      <w:r w:rsidR="00834036">
        <w:rPr>
          <w:sz w:val="24"/>
          <w:szCs w:val="24"/>
          <w:lang w:bidi="da-DK"/>
        </w:rPr>
        <w:t>.</w:t>
      </w:r>
    </w:p>
    <w:p w14:paraId="51279D34" w14:textId="77777777" w:rsidR="004A5954" w:rsidRPr="004A5954" w:rsidRDefault="004A5954" w:rsidP="004A5954">
      <w:pPr>
        <w:tabs>
          <w:tab w:val="left" w:pos="851"/>
        </w:tabs>
        <w:ind w:left="851"/>
        <w:rPr>
          <w:sz w:val="24"/>
          <w:szCs w:val="24"/>
          <w:lang w:val="fr-FR"/>
        </w:rPr>
      </w:pPr>
    </w:p>
    <w:p w14:paraId="77C6A449" w14:textId="5BAF505E" w:rsidR="004A5954" w:rsidRPr="004A5954" w:rsidRDefault="004A5954" w:rsidP="004A5954">
      <w:pPr>
        <w:tabs>
          <w:tab w:val="left" w:pos="851"/>
        </w:tabs>
        <w:ind w:left="851"/>
        <w:rPr>
          <w:sz w:val="24"/>
          <w:szCs w:val="24"/>
        </w:rPr>
      </w:pPr>
      <w:r w:rsidRPr="004A5954">
        <w:rPr>
          <w:sz w:val="24"/>
          <w:szCs w:val="24"/>
          <w:u w:val="single"/>
          <w:lang w:bidi="da-DK"/>
        </w:rPr>
        <w:t>Hjælpestof med kendt effekt</w:t>
      </w:r>
    </w:p>
    <w:p w14:paraId="1A9980E7" w14:textId="12CBA94E" w:rsidR="004A5954" w:rsidRPr="004A5954" w:rsidRDefault="004A5954" w:rsidP="004A5954">
      <w:pPr>
        <w:tabs>
          <w:tab w:val="left" w:pos="851"/>
        </w:tabs>
        <w:ind w:left="851"/>
        <w:rPr>
          <w:sz w:val="24"/>
          <w:szCs w:val="24"/>
        </w:rPr>
      </w:pPr>
      <w:r w:rsidRPr="004A5954">
        <w:rPr>
          <w:sz w:val="24"/>
          <w:szCs w:val="24"/>
          <w:lang w:bidi="da-DK"/>
        </w:rPr>
        <w:t>Dette lægemiddel indeholder 0</w:t>
      </w:r>
      <w:r w:rsidR="00834036">
        <w:rPr>
          <w:sz w:val="24"/>
          <w:szCs w:val="24"/>
          <w:lang w:bidi="da-DK"/>
        </w:rPr>
        <w:t>,</w:t>
      </w:r>
      <w:r w:rsidRPr="004A5954">
        <w:rPr>
          <w:sz w:val="24"/>
          <w:szCs w:val="24"/>
          <w:lang w:bidi="da-DK"/>
        </w:rPr>
        <w:t>07 mg phosphater pr. dråbe.</w:t>
      </w:r>
    </w:p>
    <w:p w14:paraId="0DF2E57A" w14:textId="77777777" w:rsidR="004A5954" w:rsidRPr="004A5954" w:rsidRDefault="004A5954" w:rsidP="004A5954">
      <w:pPr>
        <w:tabs>
          <w:tab w:val="left" w:pos="851"/>
        </w:tabs>
        <w:ind w:left="851"/>
        <w:rPr>
          <w:sz w:val="24"/>
          <w:szCs w:val="24"/>
        </w:rPr>
      </w:pPr>
      <w:r w:rsidRPr="004A5954">
        <w:rPr>
          <w:sz w:val="24"/>
          <w:szCs w:val="24"/>
          <w:lang w:bidi="da-DK"/>
        </w:rPr>
        <w:t xml:space="preserve"> </w:t>
      </w:r>
    </w:p>
    <w:p w14:paraId="3A5A3EB4" w14:textId="77777777" w:rsidR="004A5954" w:rsidRPr="004A5954" w:rsidRDefault="004A5954" w:rsidP="004A5954">
      <w:pPr>
        <w:tabs>
          <w:tab w:val="left" w:pos="851"/>
        </w:tabs>
        <w:ind w:left="851"/>
        <w:rPr>
          <w:sz w:val="24"/>
          <w:szCs w:val="24"/>
        </w:rPr>
      </w:pPr>
      <w:r w:rsidRPr="004A5954">
        <w:rPr>
          <w:sz w:val="24"/>
          <w:szCs w:val="24"/>
          <w:lang w:bidi="da-DK"/>
        </w:rPr>
        <w:t>For en komplet liste over hjælpestoffer, se punkt 6.1.</w:t>
      </w:r>
    </w:p>
    <w:p w14:paraId="00BFC8DE" w14:textId="77777777" w:rsidR="009260DE" w:rsidRPr="00C84483" w:rsidRDefault="009260DE" w:rsidP="009260DE">
      <w:pPr>
        <w:tabs>
          <w:tab w:val="left" w:pos="851"/>
        </w:tabs>
        <w:ind w:left="851"/>
        <w:rPr>
          <w:sz w:val="24"/>
          <w:szCs w:val="24"/>
        </w:rPr>
      </w:pPr>
    </w:p>
    <w:p w14:paraId="5889A00C"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6BFCD6D6" w14:textId="1B587ABC" w:rsidR="004A5954" w:rsidRDefault="004A5954" w:rsidP="004A5954">
      <w:pPr>
        <w:tabs>
          <w:tab w:val="left" w:pos="851"/>
        </w:tabs>
        <w:ind w:left="851"/>
        <w:rPr>
          <w:sz w:val="24"/>
          <w:szCs w:val="24"/>
          <w:lang w:bidi="da-DK"/>
        </w:rPr>
      </w:pPr>
      <w:r w:rsidRPr="004A5954">
        <w:rPr>
          <w:sz w:val="24"/>
          <w:szCs w:val="24"/>
          <w:lang w:bidi="da-DK"/>
        </w:rPr>
        <w:t>Øjendråber, opløsning i enkeltdosisbeholder</w:t>
      </w:r>
    </w:p>
    <w:p w14:paraId="2C694196" w14:textId="77777777" w:rsidR="007C3E33" w:rsidRPr="004A5954" w:rsidRDefault="007C3E33" w:rsidP="004A5954">
      <w:pPr>
        <w:tabs>
          <w:tab w:val="left" w:pos="851"/>
        </w:tabs>
        <w:ind w:left="851"/>
        <w:rPr>
          <w:sz w:val="24"/>
          <w:szCs w:val="24"/>
        </w:rPr>
      </w:pPr>
    </w:p>
    <w:p w14:paraId="5DCAD32A" w14:textId="77777777" w:rsidR="004A5954" w:rsidRPr="004A5954" w:rsidRDefault="004A5954" w:rsidP="004A5954">
      <w:pPr>
        <w:tabs>
          <w:tab w:val="left" w:pos="851"/>
        </w:tabs>
        <w:ind w:left="851"/>
        <w:rPr>
          <w:sz w:val="24"/>
          <w:szCs w:val="24"/>
        </w:rPr>
      </w:pPr>
      <w:r w:rsidRPr="004A5954">
        <w:rPr>
          <w:sz w:val="24"/>
          <w:szCs w:val="24"/>
          <w:lang w:bidi="da-DK"/>
        </w:rPr>
        <w:t>Klar, farveløs opløsning.</w:t>
      </w:r>
    </w:p>
    <w:p w14:paraId="02F6B0CE" w14:textId="77777777" w:rsidR="00FD5AD3" w:rsidRPr="007559C2" w:rsidRDefault="004A5954" w:rsidP="004A5954">
      <w:pPr>
        <w:tabs>
          <w:tab w:val="left" w:pos="851"/>
        </w:tabs>
        <w:ind w:left="851"/>
        <w:rPr>
          <w:sz w:val="24"/>
          <w:szCs w:val="24"/>
          <w:lang w:val="en-US"/>
        </w:rPr>
      </w:pPr>
      <w:r w:rsidRPr="007559C2">
        <w:rPr>
          <w:sz w:val="24"/>
          <w:szCs w:val="24"/>
          <w:lang w:val="en-US"/>
        </w:rPr>
        <w:t>pH: 7,3-8,3</w:t>
      </w:r>
      <w:r w:rsidR="00FD5AD3" w:rsidRPr="007559C2">
        <w:rPr>
          <w:sz w:val="24"/>
          <w:szCs w:val="24"/>
          <w:lang w:val="en-US"/>
        </w:rPr>
        <w:t>.</w:t>
      </w:r>
    </w:p>
    <w:p w14:paraId="4913E32D" w14:textId="3D0963F1" w:rsidR="004A5954" w:rsidRPr="00FD5AD3" w:rsidRDefault="004A5954" w:rsidP="004A5954">
      <w:pPr>
        <w:tabs>
          <w:tab w:val="left" w:pos="851"/>
        </w:tabs>
        <w:ind w:left="851"/>
        <w:rPr>
          <w:sz w:val="24"/>
          <w:szCs w:val="24"/>
          <w:lang w:val="en-US"/>
        </w:rPr>
      </w:pPr>
      <w:r w:rsidRPr="00FD5AD3">
        <w:rPr>
          <w:sz w:val="24"/>
          <w:szCs w:val="24"/>
          <w:lang w:val="en-US"/>
        </w:rPr>
        <w:t>Osmolaritet: 220-300 mOsmol/kg H</w:t>
      </w:r>
      <w:r w:rsidRPr="00FD5AD3">
        <w:rPr>
          <w:sz w:val="24"/>
          <w:szCs w:val="24"/>
          <w:vertAlign w:val="subscript"/>
          <w:lang w:val="en-US"/>
        </w:rPr>
        <w:t>2</w:t>
      </w:r>
      <w:r w:rsidRPr="00FD5AD3">
        <w:rPr>
          <w:sz w:val="24"/>
          <w:szCs w:val="24"/>
          <w:lang w:val="en-US"/>
        </w:rPr>
        <w:t>O (ca.)</w:t>
      </w:r>
      <w:r w:rsidR="00FD5AD3">
        <w:rPr>
          <w:sz w:val="24"/>
          <w:szCs w:val="24"/>
          <w:lang w:val="en-US"/>
        </w:rPr>
        <w:t>.</w:t>
      </w:r>
    </w:p>
    <w:p w14:paraId="1EB48793" w14:textId="77777777" w:rsidR="009260DE" w:rsidRPr="00FD5AD3" w:rsidRDefault="009260DE" w:rsidP="009260DE">
      <w:pPr>
        <w:tabs>
          <w:tab w:val="left" w:pos="851"/>
        </w:tabs>
        <w:ind w:left="851"/>
        <w:rPr>
          <w:sz w:val="24"/>
          <w:szCs w:val="24"/>
          <w:lang w:val="en-US"/>
        </w:rPr>
      </w:pPr>
    </w:p>
    <w:p w14:paraId="0EC1D83D" w14:textId="77777777" w:rsidR="009260DE" w:rsidRPr="00FD5AD3" w:rsidRDefault="009260DE" w:rsidP="009260DE">
      <w:pPr>
        <w:tabs>
          <w:tab w:val="left" w:pos="851"/>
        </w:tabs>
        <w:ind w:left="851"/>
        <w:rPr>
          <w:sz w:val="24"/>
          <w:szCs w:val="24"/>
          <w:lang w:val="en-US"/>
        </w:rPr>
      </w:pPr>
    </w:p>
    <w:p w14:paraId="3D915ABA"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0C525EC0" w14:textId="77777777" w:rsidR="009260DE" w:rsidRPr="00C84483" w:rsidRDefault="009260DE" w:rsidP="009260DE">
      <w:pPr>
        <w:tabs>
          <w:tab w:val="left" w:pos="851"/>
        </w:tabs>
        <w:ind w:left="851"/>
        <w:rPr>
          <w:b/>
          <w:sz w:val="24"/>
          <w:szCs w:val="24"/>
        </w:rPr>
      </w:pPr>
    </w:p>
    <w:p w14:paraId="4F09A2AC"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668C4FBD" w14:textId="77777777" w:rsidR="00604C11" w:rsidRPr="00604C11" w:rsidRDefault="00604C11" w:rsidP="00604C11">
      <w:pPr>
        <w:tabs>
          <w:tab w:val="left" w:pos="851"/>
        </w:tabs>
        <w:ind w:left="851"/>
        <w:rPr>
          <w:sz w:val="24"/>
          <w:szCs w:val="24"/>
        </w:rPr>
      </w:pPr>
      <w:r w:rsidRPr="00604C11">
        <w:rPr>
          <w:sz w:val="24"/>
          <w:szCs w:val="24"/>
          <w:lang w:bidi="da-DK"/>
        </w:rPr>
        <w:t>Til kortvarig, symptomatisk behandling af voksne ved steroidresponsive, ikke-infektiøse inflammatoriske sygdomme i den forreste del af øjet.</w:t>
      </w:r>
    </w:p>
    <w:p w14:paraId="3DDD6A62" w14:textId="77777777" w:rsidR="009260DE" w:rsidRPr="00C84483" w:rsidRDefault="009260DE" w:rsidP="009260DE">
      <w:pPr>
        <w:tabs>
          <w:tab w:val="left" w:pos="851"/>
        </w:tabs>
        <w:ind w:left="851"/>
        <w:rPr>
          <w:sz w:val="24"/>
          <w:szCs w:val="24"/>
        </w:rPr>
      </w:pPr>
    </w:p>
    <w:p w14:paraId="7247110F"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30E30071" w14:textId="77777777" w:rsidR="00604C11" w:rsidRPr="007559C2" w:rsidRDefault="00604C11" w:rsidP="00604C11">
      <w:pPr>
        <w:tabs>
          <w:tab w:val="left" w:pos="851"/>
        </w:tabs>
        <w:ind w:left="851"/>
        <w:rPr>
          <w:sz w:val="24"/>
          <w:szCs w:val="24"/>
        </w:rPr>
      </w:pPr>
    </w:p>
    <w:p w14:paraId="0F94C66C" w14:textId="77777777" w:rsidR="00604C11" w:rsidRPr="00604C11" w:rsidRDefault="00604C11" w:rsidP="00604C11">
      <w:pPr>
        <w:tabs>
          <w:tab w:val="left" w:pos="851"/>
        </w:tabs>
        <w:ind w:left="851"/>
        <w:rPr>
          <w:sz w:val="24"/>
          <w:szCs w:val="24"/>
          <w:u w:val="single"/>
          <w:lang w:bidi="en-US"/>
        </w:rPr>
      </w:pPr>
      <w:r w:rsidRPr="00604C11">
        <w:rPr>
          <w:sz w:val="24"/>
          <w:szCs w:val="24"/>
          <w:u w:val="single"/>
          <w:lang w:bidi="da-DK"/>
        </w:rPr>
        <w:t>Dosering</w:t>
      </w:r>
    </w:p>
    <w:p w14:paraId="598CC8C4" w14:textId="77777777" w:rsidR="00604C11" w:rsidRPr="00604C11" w:rsidRDefault="00604C11" w:rsidP="00604C11">
      <w:pPr>
        <w:tabs>
          <w:tab w:val="left" w:pos="851"/>
        </w:tabs>
        <w:ind w:left="851"/>
        <w:rPr>
          <w:sz w:val="24"/>
          <w:szCs w:val="24"/>
          <w:u w:val="single"/>
        </w:rPr>
      </w:pPr>
    </w:p>
    <w:p w14:paraId="08FEF580" w14:textId="77777777" w:rsidR="00604C11" w:rsidRPr="00604C11" w:rsidRDefault="00604C11" w:rsidP="00604C11">
      <w:pPr>
        <w:tabs>
          <w:tab w:val="left" w:pos="851"/>
        </w:tabs>
        <w:ind w:left="851"/>
        <w:rPr>
          <w:i/>
          <w:sz w:val="24"/>
          <w:szCs w:val="24"/>
          <w:lang w:bidi="en-US"/>
        </w:rPr>
      </w:pPr>
      <w:r w:rsidRPr="00604C11">
        <w:rPr>
          <w:i/>
          <w:sz w:val="24"/>
          <w:szCs w:val="24"/>
          <w:lang w:bidi="da-DK"/>
        </w:rPr>
        <w:t>Voksne</w:t>
      </w:r>
    </w:p>
    <w:p w14:paraId="381CF15D" w14:textId="77777777" w:rsidR="00604C11" w:rsidRPr="00604C11" w:rsidRDefault="00604C11" w:rsidP="00604C11">
      <w:pPr>
        <w:tabs>
          <w:tab w:val="left" w:pos="851"/>
        </w:tabs>
        <w:ind w:left="851"/>
        <w:rPr>
          <w:sz w:val="24"/>
          <w:szCs w:val="24"/>
        </w:rPr>
      </w:pPr>
      <w:r w:rsidRPr="00604C11">
        <w:rPr>
          <w:sz w:val="24"/>
          <w:szCs w:val="24"/>
          <w:lang w:bidi="da-DK"/>
        </w:rPr>
        <w:t xml:space="preserve">Afhængigt af betændelsens sværhedsgrad skal 1-2 dråber inddryppes 3 til 4 gange dagligt i konjunktivalsækken. Om nødvendigt kan doseringsfrekvensen øges til hver 1-2 timer i de </w:t>
      </w:r>
      <w:r w:rsidRPr="00604C11">
        <w:rPr>
          <w:sz w:val="24"/>
          <w:szCs w:val="24"/>
          <w:lang w:bidi="da-DK"/>
        </w:rPr>
        <w:lastRenderedPageBreak/>
        <w:t xml:space="preserve">første 24-48 timer som indledende behandling. Når der konstateres et positivt respons, reduceres dosis langsomt over de følgende dage eller uger. </w:t>
      </w:r>
    </w:p>
    <w:p w14:paraId="496449A9" w14:textId="77777777" w:rsidR="00604C11" w:rsidRPr="00604C11" w:rsidRDefault="00604C11" w:rsidP="00604C11">
      <w:pPr>
        <w:tabs>
          <w:tab w:val="left" w:pos="851"/>
        </w:tabs>
        <w:ind w:left="851"/>
        <w:rPr>
          <w:sz w:val="24"/>
          <w:szCs w:val="24"/>
        </w:rPr>
      </w:pPr>
    </w:p>
    <w:p w14:paraId="276AC02C" w14:textId="77777777" w:rsidR="00604C11" w:rsidRPr="00604C11" w:rsidRDefault="00604C11" w:rsidP="00604C11">
      <w:pPr>
        <w:tabs>
          <w:tab w:val="left" w:pos="851"/>
        </w:tabs>
        <w:ind w:left="851"/>
        <w:rPr>
          <w:sz w:val="24"/>
          <w:szCs w:val="24"/>
        </w:rPr>
      </w:pPr>
      <w:r w:rsidRPr="00604C11">
        <w:rPr>
          <w:sz w:val="24"/>
          <w:szCs w:val="24"/>
          <w:lang w:bidi="da-DK"/>
        </w:rPr>
        <w:t>For at sikre den terapeutiske effekt bør behandlingen ikke afbrydes for tidligt. Behandlingens varighed varierer generelt fra et par dage til flere uger, afhængigt af det behandlingsmæssige resultat. Behandling med kortikosteroider bør generelt ikke overstige en varighed på 4 uger (se punkt 4.4). Ukontrolleret, langvarig anvendelse skal undgås.</w:t>
      </w:r>
    </w:p>
    <w:p w14:paraId="455B216A" w14:textId="77777777" w:rsidR="00604C11" w:rsidRPr="00604C11" w:rsidRDefault="00604C11" w:rsidP="00604C11">
      <w:pPr>
        <w:tabs>
          <w:tab w:val="left" w:pos="851"/>
        </w:tabs>
        <w:ind w:left="851"/>
        <w:rPr>
          <w:sz w:val="24"/>
          <w:szCs w:val="24"/>
        </w:rPr>
      </w:pPr>
      <w:r w:rsidRPr="00604C11">
        <w:rPr>
          <w:sz w:val="24"/>
          <w:szCs w:val="24"/>
          <w:lang w:bidi="da-DK"/>
        </w:rPr>
        <w:t>Hvis der ikke sker nogen forbedring inden for to dage efter behandlingens start, bør indikationen genovervejes.</w:t>
      </w:r>
    </w:p>
    <w:p w14:paraId="541DB9A5" w14:textId="77777777" w:rsidR="00604C11" w:rsidRPr="00604C11" w:rsidRDefault="00604C11" w:rsidP="00604C11">
      <w:pPr>
        <w:tabs>
          <w:tab w:val="left" w:pos="851"/>
        </w:tabs>
        <w:ind w:left="851"/>
        <w:rPr>
          <w:sz w:val="24"/>
          <w:szCs w:val="24"/>
        </w:rPr>
      </w:pPr>
    </w:p>
    <w:p w14:paraId="1367DC7D" w14:textId="77777777" w:rsidR="00604C11" w:rsidRPr="00604C11" w:rsidRDefault="00604C11" w:rsidP="00604C11">
      <w:pPr>
        <w:tabs>
          <w:tab w:val="left" w:pos="851"/>
        </w:tabs>
        <w:ind w:left="851"/>
        <w:rPr>
          <w:i/>
          <w:sz w:val="24"/>
          <w:szCs w:val="24"/>
        </w:rPr>
      </w:pPr>
      <w:r w:rsidRPr="00604C11">
        <w:rPr>
          <w:i/>
          <w:sz w:val="24"/>
          <w:szCs w:val="24"/>
          <w:lang w:bidi="da-DK"/>
        </w:rPr>
        <w:t>Pædiatrisk population</w:t>
      </w:r>
    </w:p>
    <w:p w14:paraId="12827052" w14:textId="41833BF2" w:rsidR="00604C11" w:rsidRPr="00604C11" w:rsidRDefault="00604C11" w:rsidP="00604C11">
      <w:pPr>
        <w:tabs>
          <w:tab w:val="left" w:pos="851"/>
        </w:tabs>
        <w:ind w:left="851"/>
        <w:rPr>
          <w:sz w:val="24"/>
          <w:szCs w:val="24"/>
        </w:rPr>
      </w:pPr>
      <w:r w:rsidRPr="00604C11">
        <w:rPr>
          <w:sz w:val="24"/>
          <w:szCs w:val="24"/>
          <w:lang w:bidi="da-DK"/>
        </w:rPr>
        <w:t>Sikkerhed og virkning hos den pædiatriske population er ikke blevet fastslået. De foreliggende data er beskrevet i punkt 4.4 og 4.8, men der kan ikke gives nogen anbefaling om dosering.</w:t>
      </w:r>
    </w:p>
    <w:p w14:paraId="311BA327" w14:textId="77777777" w:rsidR="00604C11" w:rsidRPr="00604C11" w:rsidRDefault="00604C11" w:rsidP="00604C11">
      <w:pPr>
        <w:tabs>
          <w:tab w:val="left" w:pos="851"/>
        </w:tabs>
        <w:ind w:left="851"/>
        <w:rPr>
          <w:sz w:val="24"/>
          <w:szCs w:val="24"/>
        </w:rPr>
      </w:pPr>
    </w:p>
    <w:p w14:paraId="0C4ECCD6" w14:textId="0002FB48" w:rsidR="00604C11" w:rsidRPr="00604C11" w:rsidRDefault="00604C11" w:rsidP="00604C11">
      <w:pPr>
        <w:tabs>
          <w:tab w:val="left" w:pos="851"/>
        </w:tabs>
        <w:ind w:left="851"/>
        <w:rPr>
          <w:sz w:val="24"/>
          <w:szCs w:val="24"/>
          <w:u w:val="single"/>
        </w:rPr>
      </w:pPr>
      <w:r w:rsidRPr="00604C11">
        <w:rPr>
          <w:sz w:val="24"/>
          <w:szCs w:val="24"/>
          <w:u w:val="single"/>
          <w:lang w:bidi="da-DK"/>
        </w:rPr>
        <w:t>Administrationsm</w:t>
      </w:r>
      <w:r w:rsidR="00FD5AD3">
        <w:rPr>
          <w:sz w:val="24"/>
          <w:szCs w:val="24"/>
          <w:u w:val="single"/>
          <w:lang w:bidi="da-DK"/>
        </w:rPr>
        <w:t>åde</w:t>
      </w:r>
    </w:p>
    <w:p w14:paraId="4614F406" w14:textId="77777777" w:rsidR="00604C11" w:rsidRPr="00604C11" w:rsidRDefault="00604C11" w:rsidP="00604C11">
      <w:pPr>
        <w:tabs>
          <w:tab w:val="left" w:pos="851"/>
        </w:tabs>
        <w:ind w:left="851"/>
        <w:rPr>
          <w:sz w:val="24"/>
          <w:szCs w:val="24"/>
        </w:rPr>
      </w:pPr>
      <w:r w:rsidRPr="00604C11">
        <w:rPr>
          <w:sz w:val="24"/>
          <w:szCs w:val="24"/>
          <w:lang w:bidi="da-DK"/>
        </w:rPr>
        <w:t>Provistopto 5 mg/ml øjendråber, opløsning i enkeltsdosisbeholder er udelukkende til anvendelse i øjnene.</w:t>
      </w:r>
    </w:p>
    <w:p w14:paraId="2CE2728E" w14:textId="77777777" w:rsidR="00604C11" w:rsidRPr="00604C11" w:rsidRDefault="00604C11" w:rsidP="00604C11">
      <w:pPr>
        <w:tabs>
          <w:tab w:val="left" w:pos="851"/>
        </w:tabs>
        <w:ind w:left="851"/>
        <w:rPr>
          <w:sz w:val="24"/>
          <w:szCs w:val="24"/>
        </w:rPr>
      </w:pPr>
    </w:p>
    <w:p w14:paraId="06518C67" w14:textId="77777777" w:rsidR="00604C11" w:rsidRPr="00604C11" w:rsidRDefault="00604C11" w:rsidP="00604C11">
      <w:pPr>
        <w:tabs>
          <w:tab w:val="left" w:pos="851"/>
        </w:tabs>
        <w:ind w:left="851"/>
        <w:rPr>
          <w:sz w:val="24"/>
          <w:szCs w:val="24"/>
        </w:rPr>
      </w:pPr>
      <w:r w:rsidRPr="00604C11">
        <w:rPr>
          <w:sz w:val="24"/>
          <w:szCs w:val="24"/>
          <w:lang w:bidi="da-DK"/>
        </w:rPr>
        <w:t>For at reducere mulig systemisk absorption anbefales det, at tåresækken komprimeres ved den mediale canthus (punktal okklusion) i 1 minut. Dette skal udføres umiddelbart efter inddrypning af hver dråbe. Rens straks overflødig væske fra ansigtet.</w:t>
      </w:r>
    </w:p>
    <w:p w14:paraId="01840498" w14:textId="77777777" w:rsidR="00604C11" w:rsidRPr="00604C11" w:rsidRDefault="00604C11" w:rsidP="00604C11">
      <w:pPr>
        <w:tabs>
          <w:tab w:val="left" w:pos="851"/>
        </w:tabs>
        <w:ind w:left="851"/>
        <w:rPr>
          <w:sz w:val="24"/>
          <w:szCs w:val="24"/>
          <w:lang w:bidi="en-US"/>
        </w:rPr>
      </w:pPr>
      <w:r w:rsidRPr="00604C11">
        <w:rPr>
          <w:sz w:val="24"/>
          <w:szCs w:val="24"/>
          <w:lang w:bidi="da-DK"/>
        </w:rPr>
        <w:t>Hvis der anvendes mere end ét lokalt lægemiddel til øjnene, skal disse indgives med mindst 5 minutters mellemrum. Øjensalver bør administreres til sidst.</w:t>
      </w:r>
    </w:p>
    <w:p w14:paraId="0FFEFB79" w14:textId="77777777" w:rsidR="009260DE" w:rsidRPr="00C84483" w:rsidRDefault="009260DE" w:rsidP="00604C11">
      <w:pPr>
        <w:tabs>
          <w:tab w:val="left" w:pos="851"/>
        </w:tabs>
        <w:rPr>
          <w:sz w:val="24"/>
          <w:szCs w:val="24"/>
        </w:rPr>
      </w:pPr>
    </w:p>
    <w:p w14:paraId="44021BE3"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372ADFE9" w14:textId="77777777" w:rsidR="00604C11" w:rsidRPr="00604C11" w:rsidRDefault="00604C11" w:rsidP="00FD5AD3">
      <w:pPr>
        <w:numPr>
          <w:ilvl w:val="0"/>
          <w:numId w:val="6"/>
        </w:numPr>
        <w:tabs>
          <w:tab w:val="left" w:pos="851"/>
          <w:tab w:val="left" w:pos="1134"/>
        </w:tabs>
        <w:ind w:left="1134" w:hanging="283"/>
        <w:rPr>
          <w:sz w:val="24"/>
          <w:szCs w:val="24"/>
        </w:rPr>
      </w:pPr>
      <w:r w:rsidRPr="00604C11">
        <w:rPr>
          <w:sz w:val="24"/>
          <w:szCs w:val="24"/>
          <w:lang w:bidi="da-DK"/>
        </w:rPr>
        <w:t>Overfølsomhed overfor det aktive stof eller overfor et af hjælpestofferne anført i punkt 6.1.</w:t>
      </w:r>
    </w:p>
    <w:p w14:paraId="02DCBCB3" w14:textId="77777777" w:rsidR="00604C11" w:rsidRPr="00604C11" w:rsidRDefault="00604C11" w:rsidP="00FD5AD3">
      <w:pPr>
        <w:numPr>
          <w:ilvl w:val="0"/>
          <w:numId w:val="6"/>
        </w:numPr>
        <w:tabs>
          <w:tab w:val="left" w:pos="851"/>
          <w:tab w:val="left" w:pos="1134"/>
        </w:tabs>
        <w:ind w:left="1134" w:hanging="283"/>
        <w:rPr>
          <w:sz w:val="24"/>
          <w:szCs w:val="24"/>
        </w:rPr>
      </w:pPr>
      <w:r w:rsidRPr="00604C11">
        <w:rPr>
          <w:sz w:val="24"/>
          <w:szCs w:val="24"/>
          <w:lang w:bidi="da-DK"/>
        </w:rPr>
        <w:t xml:space="preserve">Akutte bakterie-, virus-, svampe-, gær- eller parasitinfektioner uden tilstrækkelig anti-infektiv behandling. </w:t>
      </w:r>
    </w:p>
    <w:p w14:paraId="693FC457" w14:textId="77777777" w:rsidR="00604C11" w:rsidRPr="00604C11" w:rsidRDefault="00604C11" w:rsidP="00FD5AD3">
      <w:pPr>
        <w:numPr>
          <w:ilvl w:val="0"/>
          <w:numId w:val="6"/>
        </w:numPr>
        <w:tabs>
          <w:tab w:val="left" w:pos="851"/>
          <w:tab w:val="left" w:pos="1134"/>
        </w:tabs>
        <w:ind w:left="1134" w:hanging="283"/>
        <w:rPr>
          <w:sz w:val="24"/>
          <w:szCs w:val="24"/>
          <w:lang w:bidi="en-US"/>
        </w:rPr>
      </w:pPr>
      <w:r w:rsidRPr="00604C11">
        <w:rPr>
          <w:sz w:val="24"/>
          <w:szCs w:val="24"/>
          <w:lang w:bidi="da-DK"/>
        </w:rPr>
        <w:t>Ubehandlede, ulcerøse sygdomme.</w:t>
      </w:r>
    </w:p>
    <w:p w14:paraId="4E5C28FB" w14:textId="77777777" w:rsidR="00604C11" w:rsidRPr="00604C11" w:rsidRDefault="00604C11" w:rsidP="00FD5AD3">
      <w:pPr>
        <w:numPr>
          <w:ilvl w:val="0"/>
          <w:numId w:val="6"/>
        </w:numPr>
        <w:tabs>
          <w:tab w:val="left" w:pos="851"/>
          <w:tab w:val="left" w:pos="1134"/>
        </w:tabs>
        <w:ind w:left="1134" w:hanging="283"/>
        <w:rPr>
          <w:sz w:val="24"/>
          <w:szCs w:val="24"/>
        </w:rPr>
      </w:pPr>
      <w:r w:rsidRPr="00604C11">
        <w:rPr>
          <w:sz w:val="24"/>
          <w:szCs w:val="24"/>
          <w:lang w:bidi="da-DK"/>
        </w:rPr>
        <w:t xml:space="preserve">smalvinklet og fremskreden glaukom, som ikke kan kontrolleres tilfredsstillende med lægemidler alene. </w:t>
      </w:r>
    </w:p>
    <w:p w14:paraId="409CFAD4" w14:textId="77777777" w:rsidR="00604C11" w:rsidRPr="00604C11" w:rsidRDefault="00604C11" w:rsidP="00FD5AD3">
      <w:pPr>
        <w:numPr>
          <w:ilvl w:val="0"/>
          <w:numId w:val="6"/>
        </w:numPr>
        <w:tabs>
          <w:tab w:val="left" w:pos="851"/>
          <w:tab w:val="left" w:pos="1134"/>
        </w:tabs>
        <w:ind w:left="1134" w:hanging="283"/>
        <w:rPr>
          <w:sz w:val="24"/>
          <w:szCs w:val="24"/>
        </w:rPr>
      </w:pPr>
      <w:r w:rsidRPr="00604C11">
        <w:rPr>
          <w:sz w:val="24"/>
          <w:szCs w:val="24"/>
          <w:lang w:bidi="da-DK"/>
        </w:rPr>
        <w:t>Akut, overfladisk herpes simplex (dendritisk keratitis).</w:t>
      </w:r>
    </w:p>
    <w:p w14:paraId="069872CF" w14:textId="77777777" w:rsidR="009260DE" w:rsidRPr="00C84483" w:rsidRDefault="009260DE" w:rsidP="009260DE">
      <w:pPr>
        <w:tabs>
          <w:tab w:val="left" w:pos="851"/>
        </w:tabs>
        <w:ind w:left="851"/>
        <w:rPr>
          <w:sz w:val="24"/>
          <w:szCs w:val="24"/>
        </w:rPr>
      </w:pPr>
    </w:p>
    <w:p w14:paraId="2179193C"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445EAD4D" w14:textId="77777777" w:rsidR="00FB4B39" w:rsidRPr="00FB4B39" w:rsidRDefault="00FB4B39" w:rsidP="00FB4B39">
      <w:pPr>
        <w:tabs>
          <w:tab w:val="left" w:pos="851"/>
        </w:tabs>
        <w:ind w:left="851"/>
        <w:rPr>
          <w:bCs/>
          <w:sz w:val="24"/>
          <w:szCs w:val="24"/>
        </w:rPr>
      </w:pPr>
      <w:r w:rsidRPr="00FB4B39">
        <w:rPr>
          <w:sz w:val="24"/>
          <w:szCs w:val="24"/>
          <w:lang w:bidi="da-DK"/>
        </w:rPr>
        <w:t>Der bør aldrig gives topiske steroider til et udiagnosticeret, rødt øje.</w:t>
      </w:r>
    </w:p>
    <w:p w14:paraId="7F2B414E" w14:textId="77777777" w:rsidR="00FB4B39" w:rsidRPr="00FB4B39" w:rsidRDefault="00FB4B39" w:rsidP="00FB4B39">
      <w:pPr>
        <w:tabs>
          <w:tab w:val="left" w:pos="851"/>
        </w:tabs>
        <w:ind w:left="851"/>
        <w:rPr>
          <w:bCs/>
          <w:sz w:val="24"/>
          <w:szCs w:val="24"/>
        </w:rPr>
      </w:pPr>
    </w:p>
    <w:p w14:paraId="3975587A" w14:textId="77777777" w:rsidR="00FB4B39" w:rsidRPr="00FB4B39" w:rsidRDefault="00FB4B39" w:rsidP="00FB4B39">
      <w:pPr>
        <w:tabs>
          <w:tab w:val="left" w:pos="851"/>
        </w:tabs>
        <w:ind w:left="851"/>
        <w:rPr>
          <w:bCs/>
          <w:sz w:val="24"/>
          <w:szCs w:val="24"/>
        </w:rPr>
      </w:pPr>
      <w:r w:rsidRPr="00FB4B39">
        <w:rPr>
          <w:sz w:val="24"/>
          <w:szCs w:val="24"/>
          <w:lang w:bidi="da-DK"/>
        </w:rPr>
        <w:t>Akutte, purulente øjeninfektioner kan blive sløret ved anvendelse af Provistopto eller endog forværres af kortikosteroidet. Da Provistopto ikke indeholder noget antimikrobielt aktivt stof, skal der træffes passende foranstaltninger til bekæmpelse af patogener i tilfælde af en infektion.</w:t>
      </w:r>
    </w:p>
    <w:p w14:paraId="65D025FF" w14:textId="77777777" w:rsidR="00FB4B39" w:rsidRPr="00FB4B39" w:rsidRDefault="00FB4B39" w:rsidP="00FB4B39">
      <w:pPr>
        <w:tabs>
          <w:tab w:val="left" w:pos="851"/>
        </w:tabs>
        <w:ind w:left="851"/>
        <w:rPr>
          <w:bCs/>
          <w:sz w:val="24"/>
          <w:szCs w:val="24"/>
        </w:rPr>
      </w:pPr>
    </w:p>
    <w:p w14:paraId="7D4E9421" w14:textId="77777777" w:rsidR="00FB4B39" w:rsidRPr="00FB4B39" w:rsidRDefault="00FB4B39" w:rsidP="00FB4B39">
      <w:pPr>
        <w:tabs>
          <w:tab w:val="left" w:pos="851"/>
        </w:tabs>
        <w:ind w:left="851"/>
        <w:rPr>
          <w:bCs/>
          <w:sz w:val="24"/>
          <w:szCs w:val="24"/>
        </w:rPr>
      </w:pPr>
      <w:r w:rsidRPr="00FB4B39">
        <w:rPr>
          <w:sz w:val="24"/>
          <w:szCs w:val="24"/>
          <w:lang w:bidi="da-DK"/>
        </w:rPr>
        <w:t>Brugen af kortikosteroider kan føre til forværring eller udbrud af virale øjeninfektioner (herunder herpes simplex). Derfor bør brugen af øjendråber, som indeholder kortison, overvåges nøje hos patienter med en sygehistorie med herpes simplex-infektion (se også punkt 4.3).</w:t>
      </w:r>
    </w:p>
    <w:p w14:paraId="4A95B6CA" w14:textId="77777777" w:rsidR="00FB4B39" w:rsidRPr="00FB4B39" w:rsidRDefault="00FB4B39" w:rsidP="00FB4B39">
      <w:pPr>
        <w:tabs>
          <w:tab w:val="left" w:pos="851"/>
        </w:tabs>
        <w:ind w:left="851"/>
        <w:rPr>
          <w:bCs/>
          <w:sz w:val="24"/>
          <w:szCs w:val="24"/>
        </w:rPr>
      </w:pPr>
    </w:p>
    <w:p w14:paraId="6C924683" w14:textId="77777777" w:rsidR="00FB4B39" w:rsidRPr="00FB4B39" w:rsidRDefault="00FB4B39" w:rsidP="00FB4B39">
      <w:pPr>
        <w:tabs>
          <w:tab w:val="left" w:pos="851"/>
        </w:tabs>
        <w:ind w:left="851"/>
        <w:rPr>
          <w:bCs/>
          <w:sz w:val="24"/>
          <w:szCs w:val="24"/>
        </w:rPr>
      </w:pPr>
      <w:r w:rsidRPr="00FB4B39">
        <w:rPr>
          <w:sz w:val="24"/>
          <w:szCs w:val="24"/>
          <w:lang w:bidi="da-DK"/>
        </w:rPr>
        <w:t>Der er blevet rapporteret om svampeinfektioner i hornhinden samtidig med langvarig steroidanvendelse, og i enhver vedvarende hornhindeulceration, hvor der har været eller er anvendt steroid bør svampeinvasion mistænkes. I sådanne tilfælde bør der udtages prøver.</w:t>
      </w:r>
    </w:p>
    <w:p w14:paraId="42A7F558" w14:textId="77777777" w:rsidR="00FB4B39" w:rsidRPr="00FB4B39" w:rsidRDefault="00FB4B39" w:rsidP="00FB4B39">
      <w:pPr>
        <w:tabs>
          <w:tab w:val="left" w:pos="851"/>
        </w:tabs>
        <w:ind w:left="851"/>
        <w:rPr>
          <w:bCs/>
          <w:sz w:val="24"/>
          <w:szCs w:val="24"/>
        </w:rPr>
      </w:pPr>
    </w:p>
    <w:p w14:paraId="407BFE38" w14:textId="77777777" w:rsidR="00FB4B39" w:rsidRPr="00FB4B39" w:rsidRDefault="00FB4B39" w:rsidP="00FB4B39">
      <w:pPr>
        <w:tabs>
          <w:tab w:val="left" w:pos="851"/>
        </w:tabs>
        <w:ind w:left="851"/>
        <w:rPr>
          <w:bCs/>
          <w:sz w:val="24"/>
          <w:szCs w:val="24"/>
        </w:rPr>
      </w:pPr>
      <w:r w:rsidRPr="00FB4B39">
        <w:rPr>
          <w:sz w:val="24"/>
          <w:szCs w:val="24"/>
          <w:lang w:bidi="da-DK"/>
        </w:rPr>
        <w:t>Efter længere tids anvendelse kan der ske en stigning i det intraokulære tryk, især hos disponerede patienter (f.eks. patienter med diabetes mellitus, glaukom eller familiehistorie med glaukom), med mulig udvikling eller forværring af glaukom med skade på synsnerven samt synsfeltdefekter. Det anbefales derfor at foretage regelmæssig kontrol af det intraokulære tryk. Især når lægemidlet anvendes i 10 dage eller mere, bør det intraokulære tryk og hornhinden overvåges regelmæssigt. Dette er navnlig vigtigt hos pædiatriske patienter, der modtager prednisolonholdige produkter, da risikoen for steroidinduceret okulær hypertension kan være større hos børn under 6 år og kan forekomme tidligere end steroidrespons hos voksne.</w:t>
      </w:r>
    </w:p>
    <w:p w14:paraId="6FD48E98" w14:textId="77777777" w:rsidR="00FB4B39" w:rsidRPr="00FB4B39" w:rsidRDefault="00FB4B39" w:rsidP="00FB4B39">
      <w:pPr>
        <w:tabs>
          <w:tab w:val="left" w:pos="851"/>
        </w:tabs>
        <w:ind w:left="851"/>
        <w:rPr>
          <w:bCs/>
          <w:sz w:val="24"/>
          <w:szCs w:val="24"/>
        </w:rPr>
      </w:pPr>
    </w:p>
    <w:p w14:paraId="486F5EC5" w14:textId="77777777" w:rsidR="00FB4B39" w:rsidRPr="00FB4B39" w:rsidRDefault="00FB4B39" w:rsidP="00FB4B39">
      <w:pPr>
        <w:tabs>
          <w:tab w:val="left" w:pos="851"/>
        </w:tabs>
        <w:ind w:left="851"/>
        <w:rPr>
          <w:bCs/>
          <w:sz w:val="24"/>
          <w:szCs w:val="24"/>
        </w:rPr>
      </w:pPr>
      <w:r w:rsidRPr="00FB4B39">
        <w:rPr>
          <w:sz w:val="24"/>
          <w:szCs w:val="24"/>
          <w:lang w:bidi="da-DK"/>
        </w:rPr>
        <w:t>Der er rapporteret om posteriort subkapsulær kataraktdannelse efter langvarig brug af topiske oftalmiske kortikosteroider.</w:t>
      </w:r>
    </w:p>
    <w:p w14:paraId="739387A7" w14:textId="77777777" w:rsidR="00FB4B39" w:rsidRPr="00FB4B39" w:rsidRDefault="00FB4B39" w:rsidP="00FB4B39">
      <w:pPr>
        <w:tabs>
          <w:tab w:val="left" w:pos="851"/>
        </w:tabs>
        <w:ind w:left="851"/>
        <w:rPr>
          <w:bCs/>
          <w:sz w:val="24"/>
          <w:szCs w:val="24"/>
        </w:rPr>
      </w:pPr>
    </w:p>
    <w:p w14:paraId="7DC7F492" w14:textId="77777777" w:rsidR="00FB4B39" w:rsidRPr="00FB4B39" w:rsidRDefault="00FB4B39" w:rsidP="00FB4B39">
      <w:pPr>
        <w:tabs>
          <w:tab w:val="left" w:pos="851"/>
        </w:tabs>
        <w:ind w:left="851"/>
        <w:rPr>
          <w:bCs/>
          <w:sz w:val="24"/>
          <w:szCs w:val="24"/>
        </w:rPr>
      </w:pPr>
      <w:r w:rsidRPr="00FB4B39">
        <w:rPr>
          <w:sz w:val="24"/>
          <w:szCs w:val="24"/>
          <w:lang w:bidi="da-DK"/>
        </w:rPr>
        <w:t>Øjendråber, der indeholder kortikosteroider, kan forsinke lokal/okulær sårheling, især efter længere tids anvendelse og ved højere koncentrationer. Brug af steroider efter operation af grå stær kan forsinke helingen og øge forekomsten af blæredannelse.</w:t>
      </w:r>
    </w:p>
    <w:p w14:paraId="7AFE7C3F" w14:textId="77777777" w:rsidR="00FB4B39" w:rsidRPr="00FB4B39" w:rsidRDefault="00FB4B39" w:rsidP="00FB4B39">
      <w:pPr>
        <w:tabs>
          <w:tab w:val="left" w:pos="851"/>
        </w:tabs>
        <w:ind w:left="851"/>
        <w:rPr>
          <w:bCs/>
          <w:sz w:val="24"/>
          <w:szCs w:val="24"/>
        </w:rPr>
      </w:pPr>
    </w:p>
    <w:p w14:paraId="0FF17CCB" w14:textId="77777777" w:rsidR="00FB4B39" w:rsidRPr="00FB4B39" w:rsidRDefault="00FB4B39" w:rsidP="00FB4B39">
      <w:pPr>
        <w:tabs>
          <w:tab w:val="left" w:pos="851"/>
        </w:tabs>
        <w:ind w:left="851"/>
        <w:rPr>
          <w:bCs/>
          <w:sz w:val="24"/>
          <w:szCs w:val="24"/>
        </w:rPr>
      </w:pPr>
      <w:r w:rsidRPr="00FB4B39">
        <w:rPr>
          <w:sz w:val="24"/>
          <w:szCs w:val="24"/>
          <w:lang w:bidi="da-DK"/>
        </w:rPr>
        <w:t>Langvarig anvendelse af topiske kortikosteroider er kendt for at forårsage tyndere hornhinden eller sclera med risiko for perforation.</w:t>
      </w:r>
    </w:p>
    <w:p w14:paraId="3E4D2D9F" w14:textId="77777777" w:rsidR="00FB4B39" w:rsidRPr="00FB4B39" w:rsidRDefault="00FB4B39" w:rsidP="00FB4B39">
      <w:pPr>
        <w:tabs>
          <w:tab w:val="left" w:pos="851"/>
        </w:tabs>
        <w:ind w:left="851"/>
        <w:rPr>
          <w:bCs/>
          <w:sz w:val="24"/>
          <w:szCs w:val="24"/>
        </w:rPr>
      </w:pPr>
    </w:p>
    <w:p w14:paraId="31DBF73E" w14:textId="77777777" w:rsidR="00FB4B39" w:rsidRPr="00FB4B39" w:rsidRDefault="00FB4B39" w:rsidP="00FB4B39">
      <w:pPr>
        <w:tabs>
          <w:tab w:val="left" w:pos="851"/>
        </w:tabs>
        <w:ind w:left="851"/>
        <w:rPr>
          <w:bCs/>
          <w:sz w:val="24"/>
          <w:szCs w:val="24"/>
        </w:rPr>
      </w:pPr>
      <w:r w:rsidRPr="00FB4B39">
        <w:rPr>
          <w:sz w:val="24"/>
          <w:szCs w:val="24"/>
          <w:lang w:bidi="da-DK"/>
        </w:rPr>
        <w:t xml:space="preserve">Patienter med sår på hornhinden bør generelt ikke få Provistopto, undtagen hvis inflammation er hovedårsagen til forsinket heling, og når den relevante ætiologiske behandling allerede er blevet ordineret. Sådanne patienter bør overvåges omhyggeligt og regelmæssigt af en øjenlæge. </w:t>
      </w:r>
    </w:p>
    <w:p w14:paraId="5EA8CE21" w14:textId="77777777" w:rsidR="00FB4B39" w:rsidRPr="00FB4B39" w:rsidRDefault="00FB4B39" w:rsidP="00FB4B39">
      <w:pPr>
        <w:tabs>
          <w:tab w:val="left" w:pos="851"/>
        </w:tabs>
        <w:ind w:left="851"/>
        <w:rPr>
          <w:bCs/>
          <w:sz w:val="24"/>
          <w:szCs w:val="24"/>
        </w:rPr>
      </w:pPr>
    </w:p>
    <w:p w14:paraId="0CF8A235" w14:textId="3678AC78" w:rsidR="00FB4B39" w:rsidRPr="00FB4B39" w:rsidRDefault="00FB4B39" w:rsidP="00FB4B39">
      <w:pPr>
        <w:tabs>
          <w:tab w:val="left" w:pos="851"/>
        </w:tabs>
        <w:ind w:left="851"/>
        <w:rPr>
          <w:bCs/>
          <w:sz w:val="24"/>
          <w:szCs w:val="24"/>
        </w:rPr>
      </w:pPr>
      <w:r w:rsidRPr="00FB4B39">
        <w:rPr>
          <w:sz w:val="24"/>
          <w:szCs w:val="24"/>
          <w:lang w:bidi="da-DK"/>
        </w:rPr>
        <w:t xml:space="preserve">Efter intensiv brug af topiske steroider kan der opstå utilsigtede, systemiske virkninger. </w:t>
      </w:r>
      <w:bookmarkStart w:id="1" w:name="_Hlk144126713"/>
      <w:r w:rsidRPr="00FB4B39">
        <w:rPr>
          <w:sz w:val="24"/>
          <w:szCs w:val="24"/>
          <w:lang w:bidi="da-DK"/>
        </w:rPr>
        <w:t>Punkt</w:t>
      </w:r>
      <w:r w:rsidR="00056F81">
        <w:rPr>
          <w:sz w:val="24"/>
          <w:szCs w:val="24"/>
          <w:lang w:bidi="da-DK"/>
        </w:rPr>
        <w:t>al</w:t>
      </w:r>
      <w:r w:rsidRPr="00FB4B39">
        <w:rPr>
          <w:sz w:val="24"/>
          <w:szCs w:val="24"/>
          <w:lang w:bidi="da-DK"/>
        </w:rPr>
        <w:t xml:space="preserve"> okklusion anbefales </w:t>
      </w:r>
      <w:bookmarkEnd w:id="1"/>
      <w:r w:rsidRPr="00FB4B39">
        <w:rPr>
          <w:sz w:val="24"/>
          <w:szCs w:val="24"/>
          <w:lang w:bidi="da-DK"/>
        </w:rPr>
        <w:t xml:space="preserve">(se </w:t>
      </w:r>
      <w:r w:rsidR="00D41BA9">
        <w:rPr>
          <w:sz w:val="24"/>
          <w:szCs w:val="24"/>
          <w:lang w:bidi="da-DK"/>
        </w:rPr>
        <w:t>pkt.</w:t>
      </w:r>
      <w:r w:rsidRPr="00FB4B39">
        <w:rPr>
          <w:sz w:val="24"/>
          <w:szCs w:val="24"/>
          <w:lang w:bidi="da-DK"/>
        </w:rPr>
        <w:t xml:space="preserve"> 4.2).</w:t>
      </w:r>
    </w:p>
    <w:p w14:paraId="3973730B" w14:textId="77777777" w:rsidR="00FB4B39" w:rsidRPr="00FB4B39" w:rsidRDefault="00FB4B39" w:rsidP="00FB4B39">
      <w:pPr>
        <w:tabs>
          <w:tab w:val="left" w:pos="851"/>
        </w:tabs>
        <w:ind w:left="851"/>
        <w:rPr>
          <w:bCs/>
          <w:sz w:val="24"/>
          <w:szCs w:val="24"/>
        </w:rPr>
      </w:pPr>
    </w:p>
    <w:p w14:paraId="1D1131C8" w14:textId="77777777" w:rsidR="00FB4B39" w:rsidRPr="00FB4B39" w:rsidRDefault="00FB4B39" w:rsidP="00FB4B39">
      <w:pPr>
        <w:tabs>
          <w:tab w:val="left" w:pos="851"/>
        </w:tabs>
        <w:ind w:left="851"/>
        <w:rPr>
          <w:bCs/>
          <w:sz w:val="24"/>
          <w:szCs w:val="24"/>
        </w:rPr>
      </w:pPr>
      <w:r w:rsidRPr="00FB4B39">
        <w:rPr>
          <w:sz w:val="24"/>
          <w:szCs w:val="24"/>
          <w:lang w:bidi="da-DK"/>
        </w:rPr>
        <w:t>Ved langvarig brug af topiske steroider i høje doser bør man overveje muligheden for binyrebarkhormonsuppresion, især hos børn. Langvarig anvendelse (over en måned) bør undgås.</w:t>
      </w:r>
    </w:p>
    <w:p w14:paraId="37AF95C1" w14:textId="77777777" w:rsidR="00FB4B39" w:rsidRPr="00FB4B39" w:rsidRDefault="00FB4B39" w:rsidP="00FB4B39">
      <w:pPr>
        <w:tabs>
          <w:tab w:val="left" w:pos="851"/>
        </w:tabs>
        <w:ind w:left="851"/>
        <w:rPr>
          <w:bCs/>
          <w:sz w:val="24"/>
          <w:szCs w:val="24"/>
        </w:rPr>
      </w:pPr>
    </w:p>
    <w:p w14:paraId="6610ED9E" w14:textId="77777777" w:rsidR="00FB4B39" w:rsidRPr="00FB4B39" w:rsidRDefault="00FB4B39" w:rsidP="00FB4B39">
      <w:pPr>
        <w:tabs>
          <w:tab w:val="left" w:pos="851"/>
        </w:tabs>
        <w:ind w:left="851"/>
        <w:rPr>
          <w:bCs/>
          <w:sz w:val="24"/>
          <w:szCs w:val="24"/>
        </w:rPr>
      </w:pPr>
      <w:r w:rsidRPr="00FB4B39">
        <w:rPr>
          <w:sz w:val="24"/>
          <w:szCs w:val="24"/>
          <w:u w:val="single"/>
          <w:lang w:bidi="da-DK"/>
        </w:rPr>
        <w:t>Visuel forstyrrelse</w:t>
      </w:r>
    </w:p>
    <w:p w14:paraId="3278C4CE" w14:textId="77777777" w:rsidR="00FB4B39" w:rsidRPr="00FB4B39" w:rsidRDefault="00FB4B39" w:rsidP="00FB4B39">
      <w:pPr>
        <w:tabs>
          <w:tab w:val="left" w:pos="851"/>
        </w:tabs>
        <w:ind w:left="851"/>
        <w:rPr>
          <w:bCs/>
          <w:sz w:val="24"/>
          <w:szCs w:val="24"/>
        </w:rPr>
      </w:pPr>
      <w:r w:rsidRPr="00FB4B39">
        <w:rPr>
          <w:sz w:val="24"/>
          <w:szCs w:val="24"/>
          <w:lang w:bidi="da-DK"/>
        </w:rPr>
        <w:t>Der kan rapporteres om synsforstyrrelser ved brug af systemisk og topisk kortikosteroid. Hvis en patient får symptomer såsom sløret syn eller andre synsforstyrrelser, bør det overvejes at henvise patienten til en øjenlæge med henblik på vurdering af mulige årsager, som kunne omfatte katarakt, glaukom eller sjældne sygdomme som central serøs chorioretinopati (CSCR), der har været indrapporteret efter brug af systemiske og topiske kortikosteroider.</w:t>
      </w:r>
    </w:p>
    <w:p w14:paraId="5E22D6B8" w14:textId="77777777" w:rsidR="00FB4B39" w:rsidRPr="00FB4B39" w:rsidRDefault="00FB4B39" w:rsidP="00FB4B39">
      <w:pPr>
        <w:tabs>
          <w:tab w:val="left" w:pos="851"/>
        </w:tabs>
        <w:ind w:left="851"/>
        <w:rPr>
          <w:bCs/>
          <w:sz w:val="24"/>
          <w:szCs w:val="24"/>
        </w:rPr>
      </w:pPr>
    </w:p>
    <w:p w14:paraId="79944069" w14:textId="77777777" w:rsidR="00FB4B39" w:rsidRPr="00FB4B39" w:rsidRDefault="00FB4B39" w:rsidP="00FB4B39">
      <w:pPr>
        <w:tabs>
          <w:tab w:val="left" w:pos="851"/>
        </w:tabs>
        <w:ind w:left="851"/>
        <w:rPr>
          <w:bCs/>
          <w:sz w:val="24"/>
          <w:szCs w:val="24"/>
        </w:rPr>
      </w:pPr>
      <w:r w:rsidRPr="00FB4B39">
        <w:rPr>
          <w:sz w:val="24"/>
          <w:szCs w:val="24"/>
          <w:u w:val="single"/>
          <w:lang w:bidi="da-DK"/>
        </w:rPr>
        <w:t>Kontaktlinser</w:t>
      </w:r>
    </w:p>
    <w:p w14:paraId="4777E7BE" w14:textId="77777777" w:rsidR="00FB4B39" w:rsidRPr="00FB4B39" w:rsidRDefault="00FB4B39" w:rsidP="00FB4B39">
      <w:pPr>
        <w:tabs>
          <w:tab w:val="left" w:pos="851"/>
        </w:tabs>
        <w:ind w:left="851"/>
        <w:rPr>
          <w:bCs/>
          <w:sz w:val="24"/>
          <w:szCs w:val="24"/>
        </w:rPr>
      </w:pPr>
      <w:r w:rsidRPr="00FB4B39">
        <w:rPr>
          <w:sz w:val="24"/>
          <w:szCs w:val="24"/>
          <w:lang w:bidi="da-DK"/>
        </w:rPr>
        <w:t>Der bør ikke bæres kontaktlinser under behandlingen.</w:t>
      </w:r>
    </w:p>
    <w:p w14:paraId="5E023791" w14:textId="77777777" w:rsidR="00FB4B39" w:rsidRPr="00FB4B39" w:rsidRDefault="00FB4B39" w:rsidP="00FB4B39">
      <w:pPr>
        <w:tabs>
          <w:tab w:val="left" w:pos="851"/>
        </w:tabs>
        <w:ind w:left="851"/>
        <w:rPr>
          <w:bCs/>
          <w:sz w:val="24"/>
          <w:szCs w:val="24"/>
        </w:rPr>
      </w:pPr>
    </w:p>
    <w:p w14:paraId="161AA3D3" w14:textId="77777777" w:rsidR="00FB4B39" w:rsidRPr="00FB4B39" w:rsidRDefault="00FB4B39" w:rsidP="00FB4B39">
      <w:pPr>
        <w:tabs>
          <w:tab w:val="left" w:pos="851"/>
        </w:tabs>
        <w:ind w:left="851"/>
        <w:rPr>
          <w:b/>
          <w:sz w:val="24"/>
          <w:szCs w:val="24"/>
        </w:rPr>
      </w:pPr>
      <w:r w:rsidRPr="00FB4B39">
        <w:rPr>
          <w:b/>
          <w:sz w:val="24"/>
          <w:szCs w:val="24"/>
          <w:lang w:bidi="da-DK"/>
        </w:rPr>
        <w:t xml:space="preserve">Provistopto indeholder phosphater </w:t>
      </w:r>
    </w:p>
    <w:p w14:paraId="170B8995" w14:textId="77777777" w:rsidR="00FB4B39" w:rsidRPr="00FB4B39" w:rsidRDefault="00FB4B39" w:rsidP="00FB4B39">
      <w:pPr>
        <w:tabs>
          <w:tab w:val="left" w:pos="851"/>
        </w:tabs>
        <w:ind w:left="851"/>
        <w:rPr>
          <w:sz w:val="24"/>
          <w:szCs w:val="24"/>
        </w:rPr>
      </w:pPr>
      <w:r w:rsidRPr="00FB4B39">
        <w:rPr>
          <w:sz w:val="24"/>
          <w:szCs w:val="24"/>
          <w:lang w:bidi="da-DK"/>
        </w:rPr>
        <w:t>Dette lægemiddel indeholder 0,07 mg phosphater i hver dråbe, hvilket svarer til 1,8 mg/ml. Der er rapporteret om hornhindeforkalkning, der krævede hornhindetransplantation med henblik på synsrehabilitering, hos patienter der blev behandlet med oftalmiske præparater indeholdende phosphater som f.eks. Provistopto. Ved første tegn på hornhindeforkalkning skal lægemidlet trækkes tilbage, og patienten bør overgå til et phosphatfrit præparat.</w:t>
      </w:r>
    </w:p>
    <w:p w14:paraId="30A9C7E3" w14:textId="77777777" w:rsidR="00FB4B39" w:rsidRPr="00FB4B39" w:rsidRDefault="00FB4B39" w:rsidP="00FB4B39">
      <w:pPr>
        <w:tabs>
          <w:tab w:val="left" w:pos="851"/>
        </w:tabs>
        <w:ind w:left="851"/>
        <w:rPr>
          <w:sz w:val="24"/>
          <w:szCs w:val="24"/>
        </w:rPr>
      </w:pPr>
    </w:p>
    <w:p w14:paraId="05F5617C" w14:textId="77777777" w:rsidR="009260DE" w:rsidRPr="00C84483" w:rsidRDefault="009260DE" w:rsidP="009260DE">
      <w:pPr>
        <w:tabs>
          <w:tab w:val="left" w:pos="851"/>
        </w:tabs>
        <w:ind w:left="851"/>
        <w:rPr>
          <w:sz w:val="24"/>
          <w:szCs w:val="24"/>
        </w:rPr>
      </w:pPr>
    </w:p>
    <w:p w14:paraId="31A9976F"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12289982" w14:textId="77777777" w:rsidR="00A65DE8" w:rsidRPr="00A65DE8" w:rsidRDefault="00A65DE8" w:rsidP="00A65DE8">
      <w:pPr>
        <w:tabs>
          <w:tab w:val="left" w:pos="851"/>
        </w:tabs>
        <w:ind w:left="851"/>
        <w:rPr>
          <w:sz w:val="24"/>
          <w:szCs w:val="24"/>
        </w:rPr>
      </w:pPr>
      <w:r w:rsidRPr="00A65DE8">
        <w:rPr>
          <w:sz w:val="24"/>
          <w:szCs w:val="24"/>
          <w:lang w:bidi="da-DK"/>
        </w:rPr>
        <w:t>Der er ikke blevet rapporteret om interaktioner. En yderligere stigning i det intraokulære tryk kan ikke udelukkes, hvis øjendråber, der indeholder kortison, administreres sammen med stoffer som atropin eller andre antikolinergiske midler, der også kan øge det intraokulære tryk hos disponerede patienter.</w:t>
      </w:r>
    </w:p>
    <w:p w14:paraId="3A95BB63" w14:textId="77777777" w:rsidR="00A65DE8" w:rsidRPr="00A65DE8" w:rsidRDefault="00A65DE8" w:rsidP="00A65DE8">
      <w:pPr>
        <w:tabs>
          <w:tab w:val="left" w:pos="851"/>
        </w:tabs>
        <w:ind w:left="851"/>
        <w:rPr>
          <w:sz w:val="24"/>
          <w:szCs w:val="24"/>
        </w:rPr>
      </w:pPr>
    </w:p>
    <w:p w14:paraId="1D42906C" w14:textId="77777777" w:rsidR="00A65DE8" w:rsidRPr="00A65DE8" w:rsidRDefault="00A65DE8" w:rsidP="00A65DE8">
      <w:pPr>
        <w:tabs>
          <w:tab w:val="left" w:pos="851"/>
        </w:tabs>
        <w:ind w:left="851"/>
        <w:rPr>
          <w:sz w:val="24"/>
          <w:szCs w:val="24"/>
        </w:rPr>
      </w:pPr>
      <w:r w:rsidRPr="00A65DE8">
        <w:rPr>
          <w:sz w:val="24"/>
          <w:szCs w:val="24"/>
          <w:lang w:bidi="da-DK"/>
        </w:rPr>
        <w:t>Hvis der anvendes mere end ét lokalt lægemiddel til øjnene, skal disse indgives med mindst 5 minutters mellemrum. Øjensalver bør administreres til sidst.</w:t>
      </w:r>
    </w:p>
    <w:p w14:paraId="2C392CF4" w14:textId="77777777" w:rsidR="009260DE" w:rsidRPr="00C84483" w:rsidRDefault="009260DE" w:rsidP="009260DE">
      <w:pPr>
        <w:tabs>
          <w:tab w:val="left" w:pos="851"/>
        </w:tabs>
        <w:ind w:left="851"/>
        <w:rPr>
          <w:sz w:val="24"/>
          <w:szCs w:val="24"/>
        </w:rPr>
      </w:pPr>
    </w:p>
    <w:p w14:paraId="287E67AE"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748BD531" w14:textId="77777777" w:rsidR="005C15A4" w:rsidRDefault="005C15A4" w:rsidP="005C15A4">
      <w:pPr>
        <w:tabs>
          <w:tab w:val="left" w:pos="851"/>
        </w:tabs>
        <w:ind w:left="851"/>
        <w:rPr>
          <w:sz w:val="24"/>
          <w:szCs w:val="24"/>
          <w:u w:val="single"/>
          <w:lang w:bidi="da-DK"/>
        </w:rPr>
      </w:pPr>
    </w:p>
    <w:p w14:paraId="0402F735" w14:textId="141E96CC" w:rsidR="005C15A4" w:rsidRPr="005C15A4" w:rsidRDefault="005C15A4" w:rsidP="005C15A4">
      <w:pPr>
        <w:tabs>
          <w:tab w:val="left" w:pos="851"/>
        </w:tabs>
        <w:ind w:left="851"/>
        <w:rPr>
          <w:iCs/>
          <w:sz w:val="24"/>
          <w:szCs w:val="24"/>
          <w:u w:val="single"/>
        </w:rPr>
      </w:pPr>
      <w:r w:rsidRPr="005C15A4">
        <w:rPr>
          <w:sz w:val="24"/>
          <w:szCs w:val="24"/>
          <w:u w:val="single"/>
          <w:lang w:bidi="da-DK"/>
        </w:rPr>
        <w:t>Graviditet</w:t>
      </w:r>
    </w:p>
    <w:p w14:paraId="00D250F9" w14:textId="77777777" w:rsidR="005C15A4" w:rsidRPr="005C15A4" w:rsidRDefault="005C15A4" w:rsidP="005C15A4">
      <w:pPr>
        <w:tabs>
          <w:tab w:val="left" w:pos="851"/>
        </w:tabs>
        <w:ind w:left="851"/>
        <w:rPr>
          <w:iCs/>
          <w:sz w:val="24"/>
          <w:szCs w:val="24"/>
        </w:rPr>
      </w:pPr>
      <w:r w:rsidRPr="005C15A4">
        <w:rPr>
          <w:sz w:val="24"/>
          <w:szCs w:val="24"/>
          <w:lang w:bidi="da-DK"/>
        </w:rPr>
        <w:t xml:space="preserve">Der er utilstrækkelig dokumentation for sikkerheden ved okulær brug af prednisolon under graviditet hos kvinder. Systemisk indgift af kortikosteroider til drægtige dyr kan forårsage abnormiteter i fosterudviklingen, herunder ganespalte og intrauterin væksthæmning. Da den systemiske eksponering for prednisolon efter okulær administration er meget lav, forventes der ingen virkninger under graviditet. </w:t>
      </w:r>
    </w:p>
    <w:p w14:paraId="1F791416" w14:textId="77777777" w:rsidR="005C15A4" w:rsidRPr="005C15A4" w:rsidRDefault="005C15A4" w:rsidP="005C15A4">
      <w:pPr>
        <w:tabs>
          <w:tab w:val="left" w:pos="851"/>
        </w:tabs>
        <w:ind w:left="851"/>
        <w:rPr>
          <w:iCs/>
          <w:sz w:val="24"/>
          <w:szCs w:val="24"/>
        </w:rPr>
      </w:pPr>
    </w:p>
    <w:p w14:paraId="0304493E" w14:textId="77777777" w:rsidR="005C15A4" w:rsidRPr="005C15A4" w:rsidRDefault="005C15A4" w:rsidP="005C15A4">
      <w:pPr>
        <w:tabs>
          <w:tab w:val="left" w:pos="851"/>
        </w:tabs>
        <w:ind w:left="851"/>
        <w:rPr>
          <w:iCs/>
          <w:sz w:val="24"/>
          <w:szCs w:val="24"/>
        </w:rPr>
      </w:pPr>
      <w:r w:rsidRPr="005C15A4">
        <w:rPr>
          <w:sz w:val="24"/>
          <w:szCs w:val="24"/>
          <w:lang w:bidi="da-DK"/>
        </w:rPr>
        <w:t xml:space="preserve">Provistopto kan anvendes under graviditet, hvis det er klinisk nødvendigt.  </w:t>
      </w:r>
    </w:p>
    <w:p w14:paraId="567A85CF" w14:textId="77777777" w:rsidR="005C15A4" w:rsidRPr="005C15A4" w:rsidRDefault="005C15A4" w:rsidP="005C15A4">
      <w:pPr>
        <w:tabs>
          <w:tab w:val="left" w:pos="851"/>
        </w:tabs>
        <w:ind w:left="851"/>
        <w:rPr>
          <w:iCs/>
          <w:sz w:val="24"/>
          <w:szCs w:val="24"/>
          <w:u w:val="single"/>
        </w:rPr>
      </w:pPr>
    </w:p>
    <w:p w14:paraId="356C33D3" w14:textId="77777777" w:rsidR="005C15A4" w:rsidRPr="005C15A4" w:rsidRDefault="005C15A4" w:rsidP="005C15A4">
      <w:pPr>
        <w:tabs>
          <w:tab w:val="left" w:pos="851"/>
        </w:tabs>
        <w:ind w:left="851"/>
        <w:rPr>
          <w:iCs/>
          <w:sz w:val="24"/>
          <w:szCs w:val="24"/>
          <w:u w:val="single"/>
        </w:rPr>
      </w:pPr>
      <w:r w:rsidRPr="005C15A4">
        <w:rPr>
          <w:sz w:val="24"/>
          <w:szCs w:val="24"/>
          <w:u w:val="single"/>
          <w:lang w:bidi="da-DK"/>
        </w:rPr>
        <w:t>Amning</w:t>
      </w:r>
    </w:p>
    <w:p w14:paraId="130D01BE" w14:textId="77777777" w:rsidR="005C15A4" w:rsidRPr="005C15A4" w:rsidRDefault="005C15A4" w:rsidP="005C15A4">
      <w:pPr>
        <w:tabs>
          <w:tab w:val="left" w:pos="851"/>
        </w:tabs>
        <w:ind w:left="851"/>
        <w:rPr>
          <w:iCs/>
          <w:sz w:val="24"/>
          <w:szCs w:val="24"/>
        </w:rPr>
      </w:pPr>
      <w:r w:rsidRPr="005C15A4">
        <w:rPr>
          <w:sz w:val="24"/>
          <w:szCs w:val="24"/>
          <w:lang w:bidi="da-DK"/>
        </w:rPr>
        <w:t>Kortikosteroider udskilles i modermælk, men ved okulær indgift af Provistopto i terapeutiske doser forventes ingen virkninger på nyfødte/spædbørn, der ammes.</w:t>
      </w:r>
    </w:p>
    <w:p w14:paraId="75089290" w14:textId="77777777" w:rsidR="005C15A4" w:rsidRPr="005C15A4" w:rsidRDefault="005C15A4" w:rsidP="005C15A4">
      <w:pPr>
        <w:tabs>
          <w:tab w:val="left" w:pos="851"/>
        </w:tabs>
        <w:ind w:left="851"/>
        <w:rPr>
          <w:iCs/>
          <w:sz w:val="24"/>
          <w:szCs w:val="24"/>
        </w:rPr>
      </w:pPr>
    </w:p>
    <w:p w14:paraId="64EB9586" w14:textId="77777777" w:rsidR="005C15A4" w:rsidRPr="005C15A4" w:rsidRDefault="005C15A4" w:rsidP="005C15A4">
      <w:pPr>
        <w:tabs>
          <w:tab w:val="left" w:pos="851"/>
        </w:tabs>
        <w:ind w:left="851"/>
        <w:rPr>
          <w:iCs/>
          <w:sz w:val="24"/>
          <w:szCs w:val="24"/>
        </w:rPr>
      </w:pPr>
      <w:r w:rsidRPr="005C15A4">
        <w:rPr>
          <w:sz w:val="24"/>
          <w:szCs w:val="24"/>
          <w:lang w:bidi="da-DK"/>
        </w:rPr>
        <w:t>Provistopto kan anvendes under amning, hvis det er klinisk nødvendigt.</w:t>
      </w:r>
    </w:p>
    <w:p w14:paraId="3CD40F38" w14:textId="77777777" w:rsidR="005C15A4" w:rsidRPr="005C15A4" w:rsidRDefault="005C15A4" w:rsidP="005C15A4">
      <w:pPr>
        <w:tabs>
          <w:tab w:val="left" w:pos="851"/>
        </w:tabs>
        <w:ind w:left="851"/>
        <w:rPr>
          <w:iCs/>
          <w:sz w:val="24"/>
          <w:szCs w:val="24"/>
        </w:rPr>
      </w:pPr>
    </w:p>
    <w:p w14:paraId="2E58B382" w14:textId="77777777" w:rsidR="005C15A4" w:rsidRPr="005C15A4" w:rsidRDefault="005C15A4" w:rsidP="005C15A4">
      <w:pPr>
        <w:tabs>
          <w:tab w:val="left" w:pos="851"/>
        </w:tabs>
        <w:ind w:left="851"/>
        <w:rPr>
          <w:iCs/>
          <w:sz w:val="24"/>
          <w:szCs w:val="24"/>
          <w:u w:val="single"/>
        </w:rPr>
      </w:pPr>
      <w:r w:rsidRPr="005C15A4">
        <w:rPr>
          <w:sz w:val="24"/>
          <w:szCs w:val="24"/>
          <w:u w:val="single"/>
          <w:lang w:bidi="da-DK"/>
        </w:rPr>
        <w:t>Fertilitet</w:t>
      </w:r>
    </w:p>
    <w:p w14:paraId="1BEB45BD" w14:textId="77777777" w:rsidR="005C15A4" w:rsidRPr="005C15A4" w:rsidRDefault="005C15A4" w:rsidP="005C15A4">
      <w:pPr>
        <w:tabs>
          <w:tab w:val="left" w:pos="851"/>
        </w:tabs>
        <w:ind w:left="851"/>
        <w:rPr>
          <w:iCs/>
          <w:sz w:val="24"/>
          <w:szCs w:val="24"/>
        </w:rPr>
      </w:pPr>
      <w:r w:rsidRPr="005C15A4">
        <w:rPr>
          <w:sz w:val="24"/>
          <w:szCs w:val="24"/>
          <w:lang w:bidi="da-DK"/>
        </w:rPr>
        <w:t>Der foreligger ingen data om potentielle virkninger af Provistopto på fertiliteten. Dyreforsøg har vist, at høj systemisk eksponering for kortikosteroider forringer fertiliteten.</w:t>
      </w:r>
    </w:p>
    <w:p w14:paraId="2BDF3063" w14:textId="77777777" w:rsidR="005C15A4" w:rsidRPr="005C15A4" w:rsidRDefault="005C15A4" w:rsidP="005C15A4">
      <w:pPr>
        <w:tabs>
          <w:tab w:val="left" w:pos="851"/>
        </w:tabs>
        <w:ind w:left="851"/>
        <w:rPr>
          <w:iCs/>
          <w:sz w:val="24"/>
          <w:szCs w:val="24"/>
        </w:rPr>
      </w:pPr>
    </w:p>
    <w:p w14:paraId="50DB573F"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09AEEC06" w14:textId="40C2E470" w:rsidR="009260DE" w:rsidRPr="005C15A4" w:rsidRDefault="008F6912" w:rsidP="005C15A4">
      <w:pPr>
        <w:tabs>
          <w:tab w:val="left" w:pos="851"/>
        </w:tabs>
        <w:ind w:left="851"/>
        <w:rPr>
          <w:sz w:val="24"/>
          <w:szCs w:val="24"/>
        </w:rPr>
      </w:pPr>
      <w:r>
        <w:rPr>
          <w:sz w:val="24"/>
          <w:szCs w:val="24"/>
        </w:rPr>
        <w:t>Ikke mærkning.</w:t>
      </w:r>
    </w:p>
    <w:p w14:paraId="7ACC25BD" w14:textId="40B320CF" w:rsidR="005C15A4" w:rsidRDefault="005C15A4" w:rsidP="005C15A4">
      <w:pPr>
        <w:tabs>
          <w:tab w:val="left" w:pos="851"/>
        </w:tabs>
        <w:ind w:left="851"/>
        <w:rPr>
          <w:sz w:val="24"/>
          <w:szCs w:val="24"/>
          <w:lang w:bidi="da-DK"/>
        </w:rPr>
      </w:pPr>
      <w:r w:rsidRPr="005C15A4">
        <w:rPr>
          <w:sz w:val="24"/>
          <w:szCs w:val="24"/>
          <w:lang w:bidi="da-DK"/>
        </w:rPr>
        <w:t>Provistopto har ingen eller ubetydelig indflydelse på evnen til at føre motorkøretøjer og betjene maskiner. Men patienter, der midlertidigt oplever sløret syn, bør ikke køre bil eller betjene maskiner, før deres syn er klart igen.</w:t>
      </w:r>
    </w:p>
    <w:p w14:paraId="32FE7154" w14:textId="77777777" w:rsidR="005C15A4" w:rsidRPr="005C15A4" w:rsidRDefault="005C15A4" w:rsidP="005C15A4">
      <w:pPr>
        <w:tabs>
          <w:tab w:val="left" w:pos="851"/>
        </w:tabs>
        <w:ind w:left="851" w:hanging="851"/>
        <w:rPr>
          <w:sz w:val="24"/>
          <w:szCs w:val="24"/>
        </w:rPr>
      </w:pPr>
    </w:p>
    <w:p w14:paraId="46A1FCBA" w14:textId="04D0C3DE" w:rsidR="009260DE" w:rsidRPr="00C84483" w:rsidRDefault="005C15A4" w:rsidP="005C15A4">
      <w:pPr>
        <w:tabs>
          <w:tab w:val="left" w:pos="851"/>
        </w:tabs>
        <w:ind w:left="851" w:hanging="851"/>
        <w:rPr>
          <w:b/>
          <w:sz w:val="24"/>
          <w:szCs w:val="24"/>
        </w:rPr>
      </w:pPr>
      <w:r w:rsidRPr="005C15A4">
        <w:rPr>
          <w:b/>
          <w:sz w:val="24"/>
          <w:szCs w:val="24"/>
        </w:rPr>
        <w:t xml:space="preserve"> </w:t>
      </w:r>
      <w:r w:rsidR="009260DE" w:rsidRPr="00C84483">
        <w:rPr>
          <w:b/>
          <w:sz w:val="24"/>
          <w:szCs w:val="24"/>
        </w:rPr>
        <w:t>4.8</w:t>
      </w:r>
      <w:r w:rsidR="009260DE" w:rsidRPr="00C84483">
        <w:rPr>
          <w:b/>
          <w:sz w:val="24"/>
          <w:szCs w:val="24"/>
        </w:rPr>
        <w:tab/>
        <w:t>Bivirkninger</w:t>
      </w:r>
    </w:p>
    <w:p w14:paraId="3853EEA2" w14:textId="77777777" w:rsidR="005C15A4" w:rsidRPr="005C15A4" w:rsidRDefault="005C15A4" w:rsidP="005C15A4">
      <w:pPr>
        <w:pStyle w:val="Listeafsnit"/>
        <w:spacing w:after="0" w:line="240" w:lineRule="auto"/>
        <w:ind w:left="851" w:right="-454"/>
        <w:jc w:val="both"/>
        <w:rPr>
          <w:rFonts w:ascii="Times New Roman" w:eastAsia="Times New Roman" w:hAnsi="Times New Roman" w:cs="Times New Roman"/>
          <w:sz w:val="24"/>
          <w:szCs w:val="24"/>
          <w:lang w:eastAsia="el-GR"/>
        </w:rPr>
      </w:pPr>
      <w:r w:rsidRPr="005C15A4">
        <w:rPr>
          <w:rFonts w:ascii="Times New Roman" w:eastAsia="Times New Roman" w:hAnsi="Times New Roman" w:cs="Times New Roman"/>
          <w:sz w:val="24"/>
          <w:szCs w:val="24"/>
          <w:lang w:bidi="da-DK"/>
        </w:rPr>
        <w:t>Bivirkninger er anført nedenfor, sorteret efter MedDRA-organklasse og hyppighed.</w:t>
      </w:r>
    </w:p>
    <w:p w14:paraId="06F698B8" w14:textId="77777777" w:rsidR="005C15A4" w:rsidRPr="005C15A4" w:rsidRDefault="005C15A4" w:rsidP="005C15A4">
      <w:pPr>
        <w:pStyle w:val="Listeafsnit"/>
        <w:spacing w:after="0" w:line="240" w:lineRule="auto"/>
        <w:ind w:left="851" w:right="-454"/>
        <w:jc w:val="both"/>
        <w:rPr>
          <w:rFonts w:ascii="Times New Roman" w:eastAsia="Times New Roman" w:hAnsi="Times New Roman" w:cs="Times New Roman"/>
          <w:sz w:val="24"/>
          <w:szCs w:val="24"/>
          <w:lang w:eastAsia="el-GR"/>
        </w:rPr>
      </w:pPr>
      <w:r w:rsidRPr="005C15A4">
        <w:rPr>
          <w:rFonts w:ascii="Times New Roman" w:eastAsia="Times New Roman" w:hAnsi="Times New Roman" w:cs="Times New Roman"/>
          <w:sz w:val="24"/>
          <w:szCs w:val="24"/>
          <w:lang w:bidi="da-DK"/>
        </w:rPr>
        <w:t>Hyppighed defineres som følger:</w:t>
      </w:r>
    </w:p>
    <w:p w14:paraId="3D4D727B" w14:textId="77777777" w:rsidR="005C15A4" w:rsidRPr="005C15A4" w:rsidRDefault="005C15A4" w:rsidP="005C15A4">
      <w:pPr>
        <w:pStyle w:val="Listeafsnit"/>
        <w:spacing w:after="0" w:line="240" w:lineRule="auto"/>
        <w:ind w:left="851" w:right="-454"/>
        <w:jc w:val="both"/>
        <w:rPr>
          <w:rFonts w:ascii="Times New Roman" w:eastAsia="Times New Roman" w:hAnsi="Times New Roman" w:cs="Times New Roman"/>
          <w:sz w:val="24"/>
          <w:szCs w:val="24"/>
          <w:lang w:eastAsia="el-GR"/>
        </w:rPr>
      </w:pPr>
    </w:p>
    <w:p w14:paraId="5F2DB5E5" w14:textId="77777777" w:rsidR="005C15A4" w:rsidRPr="005C15A4" w:rsidRDefault="005C15A4" w:rsidP="005C15A4">
      <w:pPr>
        <w:pStyle w:val="Listeafsnit"/>
        <w:spacing w:after="0" w:line="240" w:lineRule="auto"/>
        <w:ind w:left="851" w:right="-454"/>
        <w:jc w:val="both"/>
        <w:rPr>
          <w:rFonts w:ascii="Times New Roman" w:eastAsia="Times New Roman" w:hAnsi="Times New Roman" w:cs="Times New Roman"/>
          <w:sz w:val="24"/>
          <w:szCs w:val="24"/>
          <w:lang w:eastAsia="el-GR"/>
        </w:rPr>
      </w:pPr>
      <w:r w:rsidRPr="005C15A4">
        <w:rPr>
          <w:rFonts w:ascii="Times New Roman" w:eastAsia="Times New Roman" w:hAnsi="Times New Roman" w:cs="Times New Roman"/>
          <w:sz w:val="24"/>
          <w:szCs w:val="24"/>
          <w:lang w:bidi="da-DK"/>
        </w:rPr>
        <w:t>Ikke kendt (kan ikke vurderes ud fra foreliggende data).</w:t>
      </w:r>
    </w:p>
    <w:p w14:paraId="77A7EA87" w14:textId="77777777" w:rsidR="005C15A4" w:rsidRPr="005C15A4" w:rsidRDefault="005C15A4" w:rsidP="005C15A4">
      <w:pPr>
        <w:ind w:left="851" w:right="454"/>
        <w:jc w:val="both"/>
        <w:rPr>
          <w:sz w:val="24"/>
          <w:szCs w:val="24"/>
          <w:lang w:eastAsia="el-GR"/>
        </w:rPr>
      </w:pPr>
    </w:p>
    <w:tbl>
      <w:tblPr>
        <w:tblStyle w:val="Tabel-Gitter"/>
        <w:tblW w:w="7215" w:type="dxa"/>
        <w:tblInd w:w="846" w:type="dxa"/>
        <w:tblLayout w:type="fixed"/>
        <w:tblLook w:val="04A0" w:firstRow="1" w:lastRow="0" w:firstColumn="1" w:lastColumn="0" w:noHBand="0" w:noVBand="1"/>
      </w:tblPr>
      <w:tblGrid>
        <w:gridCol w:w="2784"/>
        <w:gridCol w:w="4431"/>
      </w:tblGrid>
      <w:tr w:rsidR="005C15A4" w14:paraId="05829385" w14:textId="77777777" w:rsidTr="001F3707">
        <w:trPr>
          <w:trHeight w:val="461"/>
        </w:trPr>
        <w:tc>
          <w:tcPr>
            <w:tcW w:w="2784" w:type="dxa"/>
            <w:tcBorders>
              <w:top w:val="single" w:sz="4" w:space="0" w:color="auto"/>
              <w:left w:val="single" w:sz="4" w:space="0" w:color="auto"/>
              <w:bottom w:val="single" w:sz="4" w:space="0" w:color="auto"/>
              <w:right w:val="single" w:sz="4" w:space="0" w:color="auto"/>
            </w:tcBorders>
            <w:hideMark/>
          </w:tcPr>
          <w:p w14:paraId="7FDD4329" w14:textId="77777777" w:rsidR="005C15A4" w:rsidRDefault="005C15A4">
            <w:pPr>
              <w:pStyle w:val="Listeafsnit"/>
              <w:spacing w:after="0" w:line="240" w:lineRule="auto"/>
              <w:ind w:left="0"/>
              <w:jc w:val="both"/>
              <w:rPr>
                <w:rFonts w:ascii="Times New Roman" w:eastAsia="Times New Roman" w:hAnsi="Times New Roman" w:cs="Times New Roman"/>
                <w:b/>
                <w:lang w:val="en-GB" w:eastAsia="el-GR"/>
              </w:rPr>
            </w:pPr>
            <w:r>
              <w:rPr>
                <w:rFonts w:ascii="Times New Roman" w:eastAsia="Times New Roman" w:hAnsi="Times New Roman" w:cs="Times New Roman"/>
                <w:b/>
                <w:lang w:bidi="da-DK"/>
              </w:rPr>
              <w:t>Organklasse</w:t>
            </w:r>
          </w:p>
        </w:tc>
        <w:tc>
          <w:tcPr>
            <w:tcW w:w="4431" w:type="dxa"/>
            <w:tcBorders>
              <w:top w:val="single" w:sz="4" w:space="0" w:color="auto"/>
              <w:left w:val="single" w:sz="4" w:space="0" w:color="auto"/>
              <w:bottom w:val="single" w:sz="4" w:space="0" w:color="auto"/>
              <w:right w:val="single" w:sz="4" w:space="0" w:color="auto"/>
            </w:tcBorders>
            <w:hideMark/>
          </w:tcPr>
          <w:p w14:paraId="6666817D" w14:textId="77777777" w:rsidR="005C15A4" w:rsidRDefault="005C15A4" w:rsidP="001F3707">
            <w:pPr>
              <w:pStyle w:val="Listeafsnit"/>
              <w:spacing w:after="0" w:line="240" w:lineRule="auto"/>
              <w:ind w:left="0"/>
              <w:rPr>
                <w:rFonts w:ascii="Times New Roman" w:eastAsia="Times New Roman" w:hAnsi="Times New Roman" w:cs="Times New Roman"/>
                <w:b/>
                <w:lang w:val="en-US" w:eastAsia="el-GR"/>
              </w:rPr>
            </w:pPr>
            <w:r>
              <w:rPr>
                <w:rFonts w:ascii="Times New Roman" w:eastAsia="Times New Roman" w:hAnsi="Times New Roman" w:cs="Times New Roman"/>
                <w:b/>
                <w:lang w:bidi="da-DK"/>
              </w:rPr>
              <w:t>Ikke kendt</w:t>
            </w:r>
          </w:p>
        </w:tc>
      </w:tr>
      <w:tr w:rsidR="005C15A4" w14:paraId="3E1690F4" w14:textId="77777777" w:rsidTr="001F3707">
        <w:trPr>
          <w:trHeight w:val="789"/>
        </w:trPr>
        <w:tc>
          <w:tcPr>
            <w:tcW w:w="2784" w:type="dxa"/>
            <w:tcBorders>
              <w:top w:val="single" w:sz="4" w:space="0" w:color="auto"/>
              <w:left w:val="single" w:sz="4" w:space="0" w:color="auto"/>
              <w:bottom w:val="single" w:sz="4" w:space="0" w:color="auto"/>
              <w:right w:val="single" w:sz="4" w:space="0" w:color="auto"/>
            </w:tcBorders>
            <w:hideMark/>
          </w:tcPr>
          <w:p w14:paraId="7D62197F" w14:textId="77777777" w:rsidR="005C15A4" w:rsidRDefault="005C15A4">
            <w:pPr>
              <w:pStyle w:val="Listeafsnit"/>
              <w:spacing w:after="0" w:line="240" w:lineRule="auto"/>
              <w:ind w:left="0"/>
              <w:jc w:val="both"/>
              <w:rPr>
                <w:rFonts w:ascii="Times New Roman" w:eastAsia="Times New Roman" w:hAnsi="Times New Roman" w:cs="Times New Roman"/>
                <w:lang w:val="en-GB" w:eastAsia="el-GR"/>
              </w:rPr>
            </w:pPr>
            <w:r>
              <w:rPr>
                <w:rFonts w:ascii="Times New Roman" w:eastAsia="Times New Roman" w:hAnsi="Times New Roman" w:cs="Times New Roman"/>
                <w:b/>
                <w:lang w:bidi="da-DK"/>
              </w:rPr>
              <w:t>Lidelser i immunsystemet</w:t>
            </w:r>
          </w:p>
        </w:tc>
        <w:tc>
          <w:tcPr>
            <w:tcW w:w="4431" w:type="dxa"/>
            <w:tcBorders>
              <w:top w:val="single" w:sz="4" w:space="0" w:color="auto"/>
              <w:left w:val="single" w:sz="4" w:space="0" w:color="auto"/>
              <w:bottom w:val="single" w:sz="4" w:space="0" w:color="auto"/>
              <w:right w:val="single" w:sz="4" w:space="0" w:color="auto"/>
            </w:tcBorders>
            <w:hideMark/>
          </w:tcPr>
          <w:p w14:paraId="37792894" w14:textId="77777777" w:rsidR="005C15A4" w:rsidRDefault="005C15A4" w:rsidP="001F3707">
            <w:pPr>
              <w:pStyle w:val="Listeafsnit"/>
              <w:spacing w:after="0" w:line="240" w:lineRule="auto"/>
              <w:ind w:left="-92"/>
              <w:rPr>
                <w:lang w:val="en-GB" w:eastAsia="el-GR"/>
              </w:rPr>
            </w:pPr>
            <w:r>
              <w:rPr>
                <w:rFonts w:ascii="Times New Roman" w:eastAsia="Times New Roman" w:hAnsi="Times New Roman" w:cs="Times New Roman"/>
                <w:lang w:bidi="da-DK"/>
              </w:rPr>
              <w:t>Overfølsomhed, urticaria</w:t>
            </w:r>
          </w:p>
        </w:tc>
      </w:tr>
      <w:tr w:rsidR="005C15A4" w14:paraId="08EDC549" w14:textId="77777777" w:rsidTr="001F3707">
        <w:trPr>
          <w:trHeight w:val="789"/>
        </w:trPr>
        <w:tc>
          <w:tcPr>
            <w:tcW w:w="2784" w:type="dxa"/>
            <w:tcBorders>
              <w:top w:val="single" w:sz="4" w:space="0" w:color="auto"/>
              <w:left w:val="single" w:sz="4" w:space="0" w:color="auto"/>
              <w:bottom w:val="single" w:sz="4" w:space="0" w:color="auto"/>
              <w:right w:val="single" w:sz="4" w:space="0" w:color="auto"/>
            </w:tcBorders>
            <w:hideMark/>
          </w:tcPr>
          <w:p w14:paraId="02C3BCA8" w14:textId="77777777" w:rsidR="005C15A4" w:rsidRDefault="005C15A4">
            <w:pPr>
              <w:pStyle w:val="Listeafsnit"/>
              <w:spacing w:after="0" w:line="240" w:lineRule="auto"/>
              <w:ind w:left="0"/>
              <w:jc w:val="both"/>
              <w:rPr>
                <w:rFonts w:ascii="Times New Roman" w:eastAsia="Times New Roman" w:hAnsi="Times New Roman" w:cs="Times New Roman"/>
                <w:b/>
                <w:lang w:val="en-GB" w:eastAsia="el-GR"/>
              </w:rPr>
            </w:pPr>
            <w:r>
              <w:rPr>
                <w:rFonts w:ascii="Times New Roman" w:eastAsia="Times New Roman" w:hAnsi="Times New Roman" w:cs="Times New Roman"/>
                <w:b/>
                <w:lang w:bidi="da-DK"/>
              </w:rPr>
              <w:t>Lidelser i nervesystemet</w:t>
            </w:r>
          </w:p>
        </w:tc>
        <w:tc>
          <w:tcPr>
            <w:tcW w:w="4431" w:type="dxa"/>
            <w:tcBorders>
              <w:top w:val="single" w:sz="4" w:space="0" w:color="auto"/>
              <w:left w:val="single" w:sz="4" w:space="0" w:color="auto"/>
              <w:bottom w:val="single" w:sz="4" w:space="0" w:color="auto"/>
              <w:right w:val="single" w:sz="4" w:space="0" w:color="auto"/>
            </w:tcBorders>
            <w:hideMark/>
          </w:tcPr>
          <w:p w14:paraId="2A292E9B" w14:textId="77777777" w:rsidR="005C15A4" w:rsidRDefault="005C15A4" w:rsidP="001F3707">
            <w:pPr>
              <w:pStyle w:val="Listeafsnit"/>
              <w:spacing w:after="0" w:line="240" w:lineRule="auto"/>
              <w:ind w:left="-92"/>
              <w:rPr>
                <w:rFonts w:ascii="Times New Roman" w:eastAsia="Times New Roman" w:hAnsi="Times New Roman" w:cs="Times New Roman"/>
                <w:lang w:val="en-GB" w:eastAsia="el-GR"/>
              </w:rPr>
            </w:pPr>
            <w:r>
              <w:rPr>
                <w:rFonts w:ascii="Times New Roman" w:eastAsia="Times New Roman" w:hAnsi="Times New Roman" w:cs="Times New Roman"/>
                <w:lang w:bidi="da-DK"/>
              </w:rPr>
              <w:t>Hovedpine, pseudotumor cerebri</w:t>
            </w:r>
          </w:p>
        </w:tc>
      </w:tr>
      <w:tr w:rsidR="005C15A4" w14:paraId="5EB90B4A" w14:textId="77777777" w:rsidTr="001F3707">
        <w:trPr>
          <w:trHeight w:val="985"/>
        </w:trPr>
        <w:tc>
          <w:tcPr>
            <w:tcW w:w="2784" w:type="dxa"/>
            <w:tcBorders>
              <w:top w:val="single" w:sz="4" w:space="0" w:color="auto"/>
              <w:left w:val="single" w:sz="4" w:space="0" w:color="auto"/>
              <w:bottom w:val="single" w:sz="4" w:space="0" w:color="auto"/>
              <w:right w:val="single" w:sz="4" w:space="0" w:color="auto"/>
            </w:tcBorders>
            <w:hideMark/>
          </w:tcPr>
          <w:p w14:paraId="24B624E3" w14:textId="77777777" w:rsidR="005C15A4" w:rsidRDefault="005C15A4">
            <w:pPr>
              <w:pStyle w:val="Listeafsnit"/>
              <w:spacing w:after="0" w:line="240" w:lineRule="auto"/>
              <w:ind w:left="0"/>
              <w:jc w:val="both"/>
              <w:rPr>
                <w:rFonts w:ascii="Times New Roman" w:eastAsia="Times New Roman" w:hAnsi="Times New Roman" w:cs="Times New Roman"/>
                <w:b/>
                <w:lang w:val="en-GB" w:eastAsia="el-GR"/>
              </w:rPr>
            </w:pPr>
            <w:r>
              <w:rPr>
                <w:rFonts w:ascii="Times New Roman" w:eastAsia="Times New Roman" w:hAnsi="Times New Roman" w:cs="Times New Roman"/>
                <w:b/>
                <w:lang w:bidi="da-DK"/>
              </w:rPr>
              <w:lastRenderedPageBreak/>
              <w:t>Lidelser i øjne</w:t>
            </w:r>
          </w:p>
        </w:tc>
        <w:tc>
          <w:tcPr>
            <w:tcW w:w="4431" w:type="dxa"/>
            <w:tcBorders>
              <w:top w:val="single" w:sz="4" w:space="0" w:color="auto"/>
              <w:left w:val="single" w:sz="4" w:space="0" w:color="auto"/>
              <w:bottom w:val="single" w:sz="4" w:space="0" w:color="auto"/>
              <w:right w:val="single" w:sz="4" w:space="0" w:color="auto"/>
            </w:tcBorders>
            <w:hideMark/>
          </w:tcPr>
          <w:p w14:paraId="16227D99" w14:textId="459391A1" w:rsidR="005C15A4" w:rsidRDefault="005C15A4" w:rsidP="001F3707">
            <w:pPr>
              <w:rPr>
                <w:rFonts w:ascii="Times New Roman" w:eastAsia="Times New Roman" w:hAnsi="Times New Roman" w:cs="Times New Roman"/>
                <w:lang w:eastAsia="el-GR"/>
              </w:rPr>
            </w:pPr>
            <w:r>
              <w:rPr>
                <w:rFonts w:ascii="Times New Roman" w:eastAsia="Times New Roman" w:hAnsi="Times New Roman" w:cs="Times New Roman"/>
                <w:lang w:bidi="da-DK"/>
              </w:rPr>
              <w:t>Øjeninfektion* (herunder bakterie-, svampe- og virusinfektion), mydriasis, øget intraokulært</w:t>
            </w:r>
            <w:r w:rsidR="001F3707">
              <w:rPr>
                <w:rFonts w:ascii="Times New Roman" w:eastAsia="Times New Roman" w:hAnsi="Times New Roman" w:cs="Times New Roman"/>
                <w:lang w:bidi="da-DK"/>
              </w:rPr>
              <w:t xml:space="preserve"> </w:t>
            </w:r>
            <w:r>
              <w:rPr>
                <w:rFonts w:ascii="Times New Roman" w:eastAsia="Times New Roman" w:hAnsi="Times New Roman" w:cs="Times New Roman"/>
                <w:lang w:bidi="da-DK"/>
              </w:rPr>
              <w:t>tryk* ved langvarig behandling,</w:t>
            </w:r>
          </w:p>
          <w:p w14:paraId="44392123" w14:textId="5F9C884F" w:rsidR="005C15A4" w:rsidRDefault="005C15A4" w:rsidP="001F3707">
            <w:pPr>
              <w:rPr>
                <w:rFonts w:ascii="Times New Roman" w:eastAsia="Times New Roman" w:hAnsi="Times New Roman" w:cs="Times New Roman"/>
                <w:lang w:eastAsia="el-GR"/>
              </w:rPr>
            </w:pPr>
            <w:r>
              <w:rPr>
                <w:rFonts w:ascii="Times New Roman" w:eastAsia="Times New Roman" w:hAnsi="Times New Roman" w:cs="Times New Roman"/>
                <w:lang w:bidi="da-DK"/>
              </w:rPr>
              <w:t xml:space="preserve">prikkende eller brændende fornemmelse, svie, øjenirritation og følelsen af at have fået noget i øjet, sløret syn, gennemtrængende øjenskade (skleral eller </w:t>
            </w:r>
            <w:r w:rsidR="001F3707">
              <w:rPr>
                <w:rFonts w:ascii="Times New Roman" w:eastAsia="Times New Roman" w:hAnsi="Times New Roman" w:cs="Times New Roman"/>
                <w:lang w:bidi="da-DK"/>
              </w:rPr>
              <w:t>h</w:t>
            </w:r>
            <w:r>
              <w:rPr>
                <w:rFonts w:ascii="Times New Roman" w:eastAsia="Times New Roman" w:hAnsi="Times New Roman" w:cs="Times New Roman"/>
                <w:lang w:bidi="da-DK"/>
              </w:rPr>
              <w:t>ornhinde</w:t>
            </w:r>
            <w:r w:rsidR="00142F5B">
              <w:rPr>
                <w:rFonts w:ascii="Times New Roman" w:eastAsia="Times New Roman" w:hAnsi="Times New Roman" w:cs="Times New Roman"/>
                <w:lang w:bidi="da-DK"/>
              </w:rPr>
              <w:softHyphen/>
            </w:r>
            <w:r>
              <w:rPr>
                <w:rFonts w:ascii="Times New Roman" w:eastAsia="Times New Roman" w:hAnsi="Times New Roman" w:cs="Times New Roman"/>
                <w:lang w:bidi="da-DK"/>
              </w:rPr>
              <w:t>perforation), grå stær* (også subkapsulær) ved langvarig behandling, papillødem, sløring af hornhindeinfektioner*, pupiludvidelse, petekkier på den palpebrale conjunctiva, skleromalaci</w:t>
            </w:r>
          </w:p>
        </w:tc>
      </w:tr>
      <w:tr w:rsidR="005C15A4" w14:paraId="70D4AB98" w14:textId="77777777" w:rsidTr="001F3707">
        <w:trPr>
          <w:trHeight w:val="985"/>
        </w:trPr>
        <w:tc>
          <w:tcPr>
            <w:tcW w:w="2784" w:type="dxa"/>
            <w:tcBorders>
              <w:top w:val="single" w:sz="4" w:space="0" w:color="auto"/>
              <w:left w:val="single" w:sz="4" w:space="0" w:color="auto"/>
              <w:bottom w:val="single" w:sz="4" w:space="0" w:color="auto"/>
              <w:right w:val="single" w:sz="4" w:space="0" w:color="auto"/>
            </w:tcBorders>
            <w:hideMark/>
          </w:tcPr>
          <w:p w14:paraId="7BF2EBF9" w14:textId="77777777" w:rsidR="005C15A4" w:rsidRDefault="005C15A4">
            <w:pPr>
              <w:pStyle w:val="Listeafsnit"/>
              <w:spacing w:after="0" w:line="240" w:lineRule="auto"/>
              <w:ind w:left="0"/>
              <w:jc w:val="both"/>
              <w:rPr>
                <w:rFonts w:ascii="Times New Roman" w:eastAsia="Times New Roman" w:hAnsi="Times New Roman" w:cs="Times New Roman"/>
                <w:b/>
                <w:lang w:val="en-GB" w:eastAsia="el-GR"/>
              </w:rPr>
            </w:pPr>
            <w:r>
              <w:rPr>
                <w:rFonts w:ascii="Times New Roman" w:eastAsia="Times New Roman" w:hAnsi="Times New Roman" w:cs="Times New Roman"/>
                <w:b/>
                <w:lang w:bidi="da-DK"/>
              </w:rPr>
              <w:t>Gastrointestinale lidelser</w:t>
            </w:r>
          </w:p>
        </w:tc>
        <w:tc>
          <w:tcPr>
            <w:tcW w:w="4431" w:type="dxa"/>
            <w:tcBorders>
              <w:top w:val="single" w:sz="4" w:space="0" w:color="auto"/>
              <w:left w:val="single" w:sz="4" w:space="0" w:color="auto"/>
              <w:bottom w:val="single" w:sz="4" w:space="0" w:color="auto"/>
              <w:right w:val="single" w:sz="4" w:space="0" w:color="auto"/>
            </w:tcBorders>
            <w:hideMark/>
          </w:tcPr>
          <w:p w14:paraId="3153A459" w14:textId="77777777" w:rsidR="005C15A4" w:rsidRDefault="005C15A4" w:rsidP="001F3707">
            <w:pPr>
              <w:pStyle w:val="Listeafsnit"/>
              <w:spacing w:after="0" w:line="240" w:lineRule="auto"/>
              <w:ind w:left="44" w:hanging="44"/>
              <w:rPr>
                <w:rFonts w:ascii="Times New Roman" w:eastAsia="Times New Roman" w:hAnsi="Times New Roman" w:cs="Times New Roman"/>
                <w:lang w:val="en-GB" w:eastAsia="el-GR"/>
              </w:rPr>
            </w:pPr>
            <w:r>
              <w:rPr>
                <w:rFonts w:ascii="Times New Roman" w:eastAsia="Times New Roman" w:hAnsi="Times New Roman" w:cs="Times New Roman"/>
                <w:lang w:bidi="da-DK"/>
              </w:rPr>
              <w:t>Dysgeusia</w:t>
            </w:r>
          </w:p>
        </w:tc>
      </w:tr>
      <w:tr w:rsidR="005C15A4" w14:paraId="4A1A6DB1" w14:textId="77777777" w:rsidTr="001F3707">
        <w:trPr>
          <w:trHeight w:val="985"/>
        </w:trPr>
        <w:tc>
          <w:tcPr>
            <w:tcW w:w="2784" w:type="dxa"/>
            <w:tcBorders>
              <w:top w:val="single" w:sz="4" w:space="0" w:color="auto"/>
              <w:left w:val="single" w:sz="4" w:space="0" w:color="auto"/>
              <w:bottom w:val="single" w:sz="4" w:space="0" w:color="auto"/>
              <w:right w:val="single" w:sz="4" w:space="0" w:color="auto"/>
            </w:tcBorders>
            <w:hideMark/>
          </w:tcPr>
          <w:p w14:paraId="29C7C814" w14:textId="77777777" w:rsidR="005C15A4" w:rsidRDefault="005C15A4">
            <w:pPr>
              <w:pStyle w:val="Listeafsnit"/>
              <w:spacing w:after="0" w:line="240" w:lineRule="auto"/>
              <w:ind w:left="0"/>
              <w:jc w:val="both"/>
              <w:rPr>
                <w:rFonts w:ascii="Times New Roman" w:eastAsia="Times New Roman" w:hAnsi="Times New Roman" w:cs="Times New Roman"/>
                <w:b/>
                <w:lang w:val="en-GB" w:eastAsia="el-GR"/>
              </w:rPr>
            </w:pPr>
            <w:r>
              <w:rPr>
                <w:rFonts w:ascii="Times New Roman" w:eastAsia="Times New Roman" w:hAnsi="Times New Roman" w:cs="Times New Roman"/>
                <w:b/>
                <w:lang w:bidi="da-DK"/>
              </w:rPr>
              <w:t>Dermatologiske lidelser</w:t>
            </w:r>
          </w:p>
        </w:tc>
        <w:tc>
          <w:tcPr>
            <w:tcW w:w="4431" w:type="dxa"/>
            <w:tcBorders>
              <w:top w:val="single" w:sz="4" w:space="0" w:color="auto"/>
              <w:left w:val="single" w:sz="4" w:space="0" w:color="auto"/>
              <w:bottom w:val="single" w:sz="4" w:space="0" w:color="auto"/>
              <w:right w:val="single" w:sz="4" w:space="0" w:color="auto"/>
            </w:tcBorders>
            <w:hideMark/>
          </w:tcPr>
          <w:p w14:paraId="7053636E" w14:textId="77777777" w:rsidR="005C15A4" w:rsidRDefault="005C15A4" w:rsidP="001F3707">
            <w:pPr>
              <w:pStyle w:val="Listeafsnit"/>
              <w:spacing w:after="0" w:line="240" w:lineRule="auto"/>
              <w:ind w:left="44" w:hanging="44"/>
              <w:rPr>
                <w:lang w:val="en-GB" w:eastAsia="el-GR"/>
              </w:rPr>
            </w:pPr>
            <w:r>
              <w:rPr>
                <w:rFonts w:ascii="Times New Roman" w:eastAsia="Times New Roman" w:hAnsi="Times New Roman" w:cs="Times New Roman"/>
                <w:lang w:bidi="da-DK"/>
              </w:rPr>
              <w:t>Pruritus, exanthema</w:t>
            </w:r>
          </w:p>
        </w:tc>
      </w:tr>
    </w:tbl>
    <w:p w14:paraId="72EF0D84" w14:textId="77777777" w:rsidR="005C15A4" w:rsidRDefault="005C15A4" w:rsidP="005C15A4">
      <w:pPr>
        <w:ind w:left="567" w:right="454"/>
        <w:jc w:val="both"/>
        <w:rPr>
          <w:sz w:val="22"/>
          <w:szCs w:val="22"/>
          <w:lang w:val="en-US" w:eastAsia="el-GR"/>
        </w:rPr>
      </w:pPr>
    </w:p>
    <w:p w14:paraId="57E68892" w14:textId="77777777" w:rsidR="005C15A4" w:rsidRDefault="005C15A4" w:rsidP="00142F5B">
      <w:pPr>
        <w:ind w:left="851"/>
        <w:jc w:val="both"/>
        <w:rPr>
          <w:rFonts w:asciiTheme="minorHAnsi" w:eastAsiaTheme="minorHAnsi" w:hAnsiTheme="minorHAnsi" w:cstheme="minorBidi"/>
          <w:lang w:eastAsia="el-GR"/>
        </w:rPr>
      </w:pPr>
      <w:r>
        <w:rPr>
          <w:lang w:bidi="da-DK"/>
        </w:rPr>
        <w:t>*Se punkt 4.4 for yderligere oplysninger.</w:t>
      </w:r>
    </w:p>
    <w:p w14:paraId="7DFAFB9A" w14:textId="77777777" w:rsidR="00BD34D8" w:rsidRPr="00BD34D8" w:rsidRDefault="00BD34D8" w:rsidP="00BD34D8">
      <w:pPr>
        <w:pStyle w:val="Listeafsnit"/>
        <w:spacing w:after="0" w:line="240" w:lineRule="auto"/>
        <w:ind w:left="851" w:right="454"/>
        <w:rPr>
          <w:rFonts w:ascii="Times New Roman" w:eastAsia="Times New Roman" w:hAnsi="Times New Roman" w:cs="Times New Roman"/>
          <w:sz w:val="24"/>
          <w:szCs w:val="24"/>
          <w:lang w:bidi="da-DK"/>
        </w:rPr>
      </w:pPr>
    </w:p>
    <w:p w14:paraId="4212408D" w14:textId="0CAA57E7" w:rsidR="005C15A4" w:rsidRPr="00BD34D8" w:rsidRDefault="005C15A4" w:rsidP="00BD34D8">
      <w:pPr>
        <w:pStyle w:val="Listeafsnit"/>
        <w:spacing w:after="0" w:line="240" w:lineRule="auto"/>
        <w:ind w:left="851" w:right="454"/>
        <w:rPr>
          <w:rFonts w:ascii="Times New Roman" w:eastAsia="Times New Roman" w:hAnsi="Times New Roman" w:cs="Times New Roman"/>
          <w:sz w:val="24"/>
          <w:szCs w:val="24"/>
          <w:lang w:eastAsia="el-GR"/>
        </w:rPr>
      </w:pPr>
      <w:r w:rsidRPr="00BD34D8">
        <w:rPr>
          <w:rFonts w:ascii="Times New Roman" w:eastAsia="Times New Roman" w:hAnsi="Times New Roman" w:cs="Times New Roman"/>
          <w:sz w:val="24"/>
          <w:szCs w:val="24"/>
          <w:lang w:bidi="da-DK"/>
        </w:rPr>
        <w:t>Der er meget sjældent rapporteret tilfælde af hornhindeforkalkning i forbindelse med brug af phosphatholdige øjendråber hos visse patienter med stærkt beskadiget hornhinde.</w:t>
      </w:r>
    </w:p>
    <w:p w14:paraId="51433032" w14:textId="77777777" w:rsidR="005C15A4" w:rsidRPr="00BD34D8" w:rsidRDefault="005C15A4" w:rsidP="00BD34D8">
      <w:pPr>
        <w:ind w:left="851" w:right="454"/>
        <w:rPr>
          <w:sz w:val="24"/>
          <w:szCs w:val="24"/>
          <w:lang w:eastAsia="el-GR"/>
        </w:rPr>
      </w:pPr>
    </w:p>
    <w:p w14:paraId="199CD93D" w14:textId="46A6C1E9" w:rsidR="005C15A4" w:rsidRPr="005C15A4" w:rsidRDefault="005C15A4" w:rsidP="00BD34D8">
      <w:pPr>
        <w:ind w:left="851" w:right="454"/>
        <w:rPr>
          <w:sz w:val="24"/>
          <w:szCs w:val="24"/>
          <w:lang w:val="fr-FR" w:eastAsia="el-GR"/>
        </w:rPr>
      </w:pPr>
      <w:r w:rsidRPr="005C15A4">
        <w:rPr>
          <w:b/>
          <w:sz w:val="24"/>
          <w:szCs w:val="24"/>
          <w:lang w:bidi="da-DK"/>
        </w:rPr>
        <w:t>Følgende bivirkninger er blevet rapporteret for lægemidler fra samme gruppe (kortikosteroider), når de anvendes til behandling af øjensygdomme</w:t>
      </w:r>
    </w:p>
    <w:p w14:paraId="02987584" w14:textId="77777777" w:rsidR="005C15A4" w:rsidRPr="005C15A4" w:rsidRDefault="005C15A4" w:rsidP="00BD34D8">
      <w:pPr>
        <w:pStyle w:val="Listeafsnit"/>
        <w:spacing w:after="0" w:line="240" w:lineRule="auto"/>
        <w:ind w:left="851" w:right="454"/>
        <w:rPr>
          <w:rFonts w:ascii="Times New Roman" w:eastAsia="Times New Roman" w:hAnsi="Times New Roman" w:cs="Times New Roman"/>
          <w:sz w:val="24"/>
          <w:szCs w:val="24"/>
          <w:lang w:val="fr-FR" w:eastAsia="el-GR"/>
        </w:rPr>
      </w:pPr>
      <w:r w:rsidRPr="005C15A4">
        <w:rPr>
          <w:rFonts w:ascii="Times New Roman" w:eastAsia="Times New Roman" w:hAnsi="Times New Roman" w:cs="Times New Roman"/>
          <w:sz w:val="24"/>
          <w:szCs w:val="24"/>
          <w:lang w:bidi="da-DK"/>
        </w:rPr>
        <w:t>Akut ekstern uveitis (iritis), keratitis, konjunktivitis, vanskeligheder med akkommodation, ptose.</w:t>
      </w:r>
    </w:p>
    <w:p w14:paraId="2DE0FA42" w14:textId="77777777" w:rsidR="005C15A4" w:rsidRPr="005C15A4" w:rsidRDefault="005C15A4" w:rsidP="00BD34D8">
      <w:pPr>
        <w:pStyle w:val="Listeafsnit"/>
        <w:spacing w:after="0" w:line="240" w:lineRule="auto"/>
        <w:ind w:left="851" w:right="454"/>
        <w:rPr>
          <w:rFonts w:ascii="Times New Roman" w:eastAsia="Times New Roman" w:hAnsi="Times New Roman" w:cs="Times New Roman"/>
          <w:sz w:val="24"/>
          <w:szCs w:val="24"/>
          <w:lang w:val="fr-FR" w:eastAsia="el-GR"/>
        </w:rPr>
      </w:pPr>
    </w:p>
    <w:p w14:paraId="2AED7D63" w14:textId="77777777" w:rsidR="005C15A4" w:rsidRPr="005C15A4" w:rsidRDefault="005C15A4" w:rsidP="00BD34D8">
      <w:pPr>
        <w:pStyle w:val="Listeafsnit"/>
        <w:spacing w:after="0" w:line="240" w:lineRule="auto"/>
        <w:ind w:left="851" w:right="454"/>
        <w:rPr>
          <w:rFonts w:ascii="Times New Roman" w:eastAsia="Times New Roman" w:hAnsi="Times New Roman" w:cs="Times New Roman"/>
          <w:sz w:val="24"/>
          <w:szCs w:val="24"/>
          <w:u w:val="single"/>
          <w:lang w:eastAsia="el-GR"/>
        </w:rPr>
      </w:pPr>
      <w:r w:rsidRPr="005C15A4">
        <w:rPr>
          <w:rFonts w:ascii="Times New Roman" w:eastAsia="Times New Roman" w:hAnsi="Times New Roman" w:cs="Times New Roman"/>
          <w:sz w:val="24"/>
          <w:szCs w:val="24"/>
          <w:u w:val="single"/>
          <w:lang w:bidi="da-DK"/>
        </w:rPr>
        <w:t>Pædiatrisk population</w:t>
      </w:r>
    </w:p>
    <w:p w14:paraId="73F00D69" w14:textId="77777777" w:rsidR="005C15A4" w:rsidRPr="005C15A4" w:rsidRDefault="005C15A4" w:rsidP="00BD34D8">
      <w:pPr>
        <w:pStyle w:val="Listeafsnit"/>
        <w:spacing w:after="0" w:line="240" w:lineRule="auto"/>
        <w:ind w:left="851" w:right="454"/>
        <w:rPr>
          <w:rFonts w:ascii="Times New Roman" w:eastAsia="Times New Roman" w:hAnsi="Times New Roman" w:cs="Times New Roman"/>
          <w:sz w:val="24"/>
          <w:szCs w:val="24"/>
          <w:lang w:eastAsia="el-GR"/>
        </w:rPr>
      </w:pPr>
      <w:r w:rsidRPr="005C15A4">
        <w:rPr>
          <w:rFonts w:ascii="Times New Roman" w:eastAsia="Times New Roman" w:hAnsi="Times New Roman" w:cs="Times New Roman"/>
          <w:sz w:val="24"/>
          <w:szCs w:val="24"/>
          <w:lang w:bidi="da-DK"/>
        </w:rPr>
        <w:t>Især hos børn kan der forekomme binyresuppression efter langvarig okulær indgift af kortikosteroider.</w:t>
      </w:r>
    </w:p>
    <w:p w14:paraId="5B3F7C2A" w14:textId="77777777" w:rsidR="005C15A4" w:rsidRPr="005C15A4" w:rsidRDefault="005C15A4" w:rsidP="00BD34D8">
      <w:pPr>
        <w:pStyle w:val="Listeafsnit"/>
        <w:spacing w:after="0" w:line="240" w:lineRule="auto"/>
        <w:ind w:left="851" w:right="454"/>
        <w:rPr>
          <w:rFonts w:ascii="Times New Roman" w:eastAsia="Times New Roman" w:hAnsi="Times New Roman" w:cs="Times New Roman"/>
          <w:sz w:val="24"/>
          <w:szCs w:val="24"/>
          <w:lang w:eastAsia="el-GR"/>
        </w:rPr>
      </w:pPr>
    </w:p>
    <w:p w14:paraId="2D8B3D63" w14:textId="77777777" w:rsidR="005C15A4" w:rsidRPr="005C15A4" w:rsidRDefault="005C15A4" w:rsidP="00BD34D8">
      <w:pPr>
        <w:pStyle w:val="Listeafsnit"/>
        <w:spacing w:after="0" w:line="240" w:lineRule="auto"/>
        <w:ind w:left="851" w:right="454"/>
        <w:rPr>
          <w:rFonts w:ascii="Times New Roman" w:eastAsia="Times New Roman" w:hAnsi="Times New Roman" w:cs="Times New Roman"/>
          <w:sz w:val="24"/>
          <w:szCs w:val="24"/>
          <w:u w:val="single"/>
          <w:lang w:eastAsia="el-GR"/>
        </w:rPr>
      </w:pPr>
      <w:r w:rsidRPr="005C15A4">
        <w:rPr>
          <w:rFonts w:ascii="Times New Roman" w:eastAsia="Times New Roman" w:hAnsi="Times New Roman" w:cs="Times New Roman"/>
          <w:sz w:val="24"/>
          <w:szCs w:val="24"/>
          <w:u w:val="single"/>
          <w:lang w:bidi="da-DK"/>
        </w:rPr>
        <w:t>Indberetning af formodede bivirkninger</w:t>
      </w:r>
    </w:p>
    <w:p w14:paraId="51BEC88B" w14:textId="37C15191" w:rsidR="005C15A4" w:rsidRDefault="005C15A4" w:rsidP="00BD34D8">
      <w:pPr>
        <w:ind w:left="851" w:right="454"/>
        <w:rPr>
          <w:sz w:val="24"/>
          <w:szCs w:val="24"/>
          <w:lang w:bidi="da-DK"/>
        </w:rPr>
      </w:pPr>
      <w:r w:rsidRPr="005C15A4">
        <w:rPr>
          <w:sz w:val="24"/>
          <w:szCs w:val="24"/>
          <w:lang w:bidi="da-DK"/>
        </w:rPr>
        <w:t>Når lægemidlet er godkendt, er indberetning af formodede bivirkninger vigtig. Det muliggør løbende overvågning af benefit/risk-forholdet for lægemidlet. Sundhedspersoner anmodes om at indberette alle formodede bivirkninger via:</w:t>
      </w:r>
    </w:p>
    <w:p w14:paraId="0E630783" w14:textId="77777777" w:rsidR="00142F5B" w:rsidRPr="005C15A4" w:rsidRDefault="00142F5B" w:rsidP="00BD34D8">
      <w:pPr>
        <w:ind w:left="851" w:right="454"/>
        <w:rPr>
          <w:sz w:val="24"/>
          <w:szCs w:val="24"/>
          <w:lang w:bidi="da-DK"/>
        </w:rPr>
      </w:pPr>
    </w:p>
    <w:p w14:paraId="1F206493" w14:textId="77777777" w:rsidR="005C15A4" w:rsidRPr="005C15A4" w:rsidRDefault="005C15A4" w:rsidP="00BD34D8">
      <w:pPr>
        <w:ind w:left="851" w:right="454"/>
        <w:rPr>
          <w:sz w:val="24"/>
          <w:szCs w:val="24"/>
          <w:lang w:bidi="da-DK"/>
        </w:rPr>
      </w:pPr>
      <w:r w:rsidRPr="005C15A4">
        <w:rPr>
          <w:sz w:val="24"/>
          <w:szCs w:val="24"/>
          <w:lang w:bidi="da-DK"/>
        </w:rPr>
        <w:t>Lægemiddelstyrelsen</w:t>
      </w:r>
    </w:p>
    <w:p w14:paraId="38BF1A58" w14:textId="77777777" w:rsidR="005C15A4" w:rsidRPr="005C15A4" w:rsidRDefault="005C15A4" w:rsidP="00BD34D8">
      <w:pPr>
        <w:ind w:left="851" w:right="454"/>
        <w:rPr>
          <w:sz w:val="24"/>
          <w:szCs w:val="24"/>
          <w:lang w:bidi="da-DK"/>
        </w:rPr>
      </w:pPr>
      <w:r w:rsidRPr="005C15A4">
        <w:rPr>
          <w:sz w:val="24"/>
          <w:szCs w:val="24"/>
          <w:lang w:bidi="da-DK"/>
        </w:rPr>
        <w:t>Axel Heides Gade 1</w:t>
      </w:r>
    </w:p>
    <w:p w14:paraId="16626BA0" w14:textId="77777777" w:rsidR="005C15A4" w:rsidRPr="005C15A4" w:rsidRDefault="005C15A4" w:rsidP="00BD34D8">
      <w:pPr>
        <w:ind w:left="851" w:right="454"/>
        <w:rPr>
          <w:sz w:val="24"/>
          <w:szCs w:val="24"/>
          <w:lang w:bidi="da-DK"/>
        </w:rPr>
      </w:pPr>
      <w:r w:rsidRPr="005C15A4">
        <w:rPr>
          <w:sz w:val="24"/>
          <w:szCs w:val="24"/>
          <w:lang w:bidi="da-DK"/>
        </w:rPr>
        <w:t>DK-2300 København S</w:t>
      </w:r>
    </w:p>
    <w:p w14:paraId="58C7A1CE" w14:textId="652C48C4" w:rsidR="005C15A4" w:rsidRPr="007559C2" w:rsidRDefault="005C15A4" w:rsidP="00BD34D8">
      <w:pPr>
        <w:ind w:left="851" w:right="454"/>
        <w:rPr>
          <w:sz w:val="24"/>
          <w:szCs w:val="24"/>
          <w:lang w:bidi="da-DK"/>
        </w:rPr>
      </w:pPr>
      <w:r w:rsidRPr="007559C2">
        <w:rPr>
          <w:sz w:val="24"/>
          <w:szCs w:val="24"/>
          <w:lang w:bidi="da-DK"/>
        </w:rPr>
        <w:t>Websted: www.meldenbivirkning.dk</w:t>
      </w:r>
    </w:p>
    <w:p w14:paraId="17925C8C" w14:textId="77777777" w:rsidR="009260DE" w:rsidRPr="007559C2" w:rsidRDefault="009260DE" w:rsidP="00BD34D8">
      <w:pPr>
        <w:tabs>
          <w:tab w:val="left" w:pos="851"/>
        </w:tabs>
        <w:ind w:left="851"/>
        <w:rPr>
          <w:sz w:val="24"/>
          <w:szCs w:val="24"/>
        </w:rPr>
      </w:pPr>
    </w:p>
    <w:p w14:paraId="64F52E57" w14:textId="77777777" w:rsidR="009260DE" w:rsidRPr="007559C2" w:rsidRDefault="009260DE" w:rsidP="009260DE">
      <w:pPr>
        <w:tabs>
          <w:tab w:val="left" w:pos="851"/>
        </w:tabs>
        <w:ind w:left="851" w:hanging="851"/>
        <w:rPr>
          <w:b/>
          <w:sz w:val="24"/>
          <w:szCs w:val="24"/>
        </w:rPr>
      </w:pPr>
      <w:r w:rsidRPr="007559C2">
        <w:rPr>
          <w:b/>
          <w:sz w:val="24"/>
          <w:szCs w:val="24"/>
        </w:rPr>
        <w:t>4.9</w:t>
      </w:r>
      <w:r w:rsidRPr="007559C2">
        <w:rPr>
          <w:b/>
          <w:sz w:val="24"/>
          <w:szCs w:val="24"/>
        </w:rPr>
        <w:tab/>
        <w:t>Overdosering</w:t>
      </w:r>
    </w:p>
    <w:p w14:paraId="735C822E" w14:textId="77777777" w:rsidR="00E641C7" w:rsidRPr="00E641C7" w:rsidRDefault="00E641C7" w:rsidP="00E641C7">
      <w:pPr>
        <w:tabs>
          <w:tab w:val="left" w:pos="851"/>
        </w:tabs>
        <w:ind w:left="851"/>
        <w:rPr>
          <w:sz w:val="24"/>
          <w:szCs w:val="24"/>
        </w:rPr>
      </w:pPr>
      <w:r w:rsidRPr="00E641C7">
        <w:rPr>
          <w:sz w:val="24"/>
          <w:szCs w:val="24"/>
          <w:lang w:bidi="da-DK"/>
        </w:rPr>
        <w:t xml:space="preserve">Det er usandsynligt, at akut overdosering vil forekomme af den oftalmiske vej. Om nødvendigt skylles øjet grundigt med rent vand. </w:t>
      </w:r>
    </w:p>
    <w:p w14:paraId="3EFB1386" w14:textId="77777777" w:rsidR="00E641C7" w:rsidRPr="00E641C7" w:rsidRDefault="00E641C7" w:rsidP="00E641C7">
      <w:pPr>
        <w:tabs>
          <w:tab w:val="left" w:pos="851"/>
        </w:tabs>
        <w:ind w:left="851"/>
        <w:rPr>
          <w:sz w:val="24"/>
          <w:szCs w:val="24"/>
        </w:rPr>
      </w:pPr>
    </w:p>
    <w:p w14:paraId="4128DC6A" w14:textId="77777777" w:rsidR="00E641C7" w:rsidRPr="00E641C7" w:rsidRDefault="00E641C7" w:rsidP="00E641C7">
      <w:pPr>
        <w:tabs>
          <w:tab w:val="left" w:pos="851"/>
        </w:tabs>
        <w:ind w:left="851"/>
        <w:rPr>
          <w:sz w:val="24"/>
          <w:szCs w:val="24"/>
        </w:rPr>
      </w:pPr>
      <w:r w:rsidRPr="00E641C7">
        <w:rPr>
          <w:sz w:val="24"/>
          <w:szCs w:val="24"/>
          <w:lang w:bidi="da-DK"/>
        </w:rPr>
        <w:t>Den begrænsede mængde prednisolon og hjælpestoffer pr. enkeltdosisbeholder gør, at der ikke forventes skadelige virkninger i tilfælde af oral indtagelse.</w:t>
      </w:r>
    </w:p>
    <w:p w14:paraId="579C9517" w14:textId="77777777" w:rsidR="00E641C7" w:rsidRPr="00E641C7" w:rsidRDefault="00E641C7" w:rsidP="00E641C7">
      <w:pPr>
        <w:tabs>
          <w:tab w:val="left" w:pos="851"/>
        </w:tabs>
        <w:ind w:left="851"/>
        <w:rPr>
          <w:sz w:val="24"/>
          <w:szCs w:val="24"/>
        </w:rPr>
      </w:pPr>
    </w:p>
    <w:p w14:paraId="66522934" w14:textId="77777777" w:rsidR="009260DE" w:rsidRPr="00C84483" w:rsidRDefault="009260DE" w:rsidP="009260DE">
      <w:pPr>
        <w:tabs>
          <w:tab w:val="left" w:pos="851"/>
        </w:tabs>
        <w:ind w:left="851"/>
        <w:rPr>
          <w:sz w:val="24"/>
          <w:szCs w:val="24"/>
        </w:rPr>
      </w:pPr>
    </w:p>
    <w:p w14:paraId="7903956A"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1988086F" w14:textId="45CCBE15" w:rsidR="009260DE" w:rsidRPr="00C84483" w:rsidRDefault="00B25B89" w:rsidP="009260DE">
      <w:pPr>
        <w:tabs>
          <w:tab w:val="left" w:pos="851"/>
        </w:tabs>
        <w:ind w:left="851"/>
        <w:rPr>
          <w:sz w:val="24"/>
          <w:szCs w:val="24"/>
        </w:rPr>
      </w:pPr>
      <w:r>
        <w:rPr>
          <w:sz w:val="24"/>
          <w:szCs w:val="24"/>
        </w:rPr>
        <w:t>B</w:t>
      </w:r>
    </w:p>
    <w:p w14:paraId="12B846CB" w14:textId="77777777" w:rsidR="009260DE" w:rsidRPr="00C84483" w:rsidRDefault="009260DE" w:rsidP="009260DE">
      <w:pPr>
        <w:tabs>
          <w:tab w:val="left" w:pos="851"/>
        </w:tabs>
        <w:ind w:left="851"/>
        <w:rPr>
          <w:sz w:val="24"/>
          <w:szCs w:val="24"/>
        </w:rPr>
      </w:pPr>
    </w:p>
    <w:p w14:paraId="4280A3A0" w14:textId="77777777" w:rsidR="009260DE" w:rsidRPr="00C84483" w:rsidRDefault="009260DE" w:rsidP="009260DE">
      <w:pPr>
        <w:tabs>
          <w:tab w:val="left" w:pos="851"/>
        </w:tabs>
        <w:ind w:left="851"/>
        <w:rPr>
          <w:sz w:val="24"/>
          <w:szCs w:val="24"/>
        </w:rPr>
      </w:pPr>
    </w:p>
    <w:p w14:paraId="5C120EB6"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3BCB30F0" w14:textId="77777777" w:rsidR="009260DE" w:rsidRPr="00C84483" w:rsidRDefault="009260DE" w:rsidP="009260DE">
      <w:pPr>
        <w:tabs>
          <w:tab w:val="left" w:pos="851"/>
        </w:tabs>
        <w:ind w:left="851"/>
        <w:rPr>
          <w:sz w:val="24"/>
          <w:szCs w:val="24"/>
        </w:rPr>
      </w:pPr>
    </w:p>
    <w:p w14:paraId="7D213256"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3C5FD306" w14:textId="7810E241" w:rsidR="00E641C7" w:rsidRPr="00E641C7" w:rsidRDefault="00E641C7" w:rsidP="00E641C7">
      <w:pPr>
        <w:tabs>
          <w:tab w:val="left" w:pos="851"/>
        </w:tabs>
        <w:ind w:left="851"/>
        <w:rPr>
          <w:sz w:val="24"/>
          <w:szCs w:val="24"/>
        </w:rPr>
      </w:pPr>
      <w:r w:rsidRPr="00E641C7">
        <w:rPr>
          <w:sz w:val="24"/>
          <w:szCs w:val="24"/>
          <w:lang w:bidi="da-DK"/>
        </w:rPr>
        <w:t>Farmakoterapeutisk kategori: Oftalmologiske midler, anti-inflammatoriske midler, ATC-kode: S01BA04</w:t>
      </w:r>
      <w:r w:rsidR="009F4828">
        <w:rPr>
          <w:sz w:val="24"/>
          <w:szCs w:val="24"/>
          <w:lang w:bidi="da-DK"/>
        </w:rPr>
        <w:t>.</w:t>
      </w:r>
    </w:p>
    <w:p w14:paraId="432F6662" w14:textId="77777777" w:rsidR="00E641C7" w:rsidRPr="00E641C7" w:rsidRDefault="00E641C7" w:rsidP="00E641C7">
      <w:pPr>
        <w:tabs>
          <w:tab w:val="left" w:pos="851"/>
        </w:tabs>
        <w:ind w:left="851"/>
        <w:rPr>
          <w:sz w:val="24"/>
          <w:szCs w:val="24"/>
        </w:rPr>
      </w:pPr>
    </w:p>
    <w:p w14:paraId="0C778DA1" w14:textId="77777777" w:rsidR="00E641C7" w:rsidRPr="00E641C7" w:rsidRDefault="00E641C7" w:rsidP="00E641C7">
      <w:pPr>
        <w:tabs>
          <w:tab w:val="left" w:pos="851"/>
        </w:tabs>
        <w:ind w:left="851"/>
        <w:rPr>
          <w:sz w:val="24"/>
          <w:szCs w:val="24"/>
        </w:rPr>
      </w:pPr>
      <w:r w:rsidRPr="00E641C7">
        <w:rPr>
          <w:sz w:val="24"/>
          <w:szCs w:val="24"/>
          <w:lang w:bidi="da-DK"/>
        </w:rPr>
        <w:t>Glukokortikosteroider har en uspecifik antiinflammatorisk og vasokonstriktiv virkning. Disse midler undertrykker den inflammatoriske reaktion og symptomerne på forskellige tilstande, dog uden at behandle den underliggende årsag. Virkningsmekanismen er ikke fuldt ud forstået, men kan omfatte: reduktion af kapillærpermeabilitet, lysosomal membranstabilisering, hvorved cellen ødelægges i mindre grad som følge af inflammation, hæmning af phospholipase A2, hvilket fører til reduceret produktion af inflammatoriske mediatorer fra arachidonsyre og reduceret granulomdannelse.</w:t>
      </w:r>
    </w:p>
    <w:p w14:paraId="5B42B3F3" w14:textId="77777777" w:rsidR="009260DE" w:rsidRPr="00C84483" w:rsidRDefault="009260DE" w:rsidP="009260DE">
      <w:pPr>
        <w:tabs>
          <w:tab w:val="left" w:pos="851"/>
        </w:tabs>
        <w:ind w:left="851"/>
        <w:rPr>
          <w:sz w:val="24"/>
          <w:szCs w:val="24"/>
        </w:rPr>
      </w:pPr>
    </w:p>
    <w:p w14:paraId="28FE50D0"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10EFDBDD" w14:textId="77777777" w:rsidR="00E641C7" w:rsidRPr="00E641C7" w:rsidRDefault="00E641C7" w:rsidP="00E641C7">
      <w:pPr>
        <w:tabs>
          <w:tab w:val="left" w:pos="851"/>
        </w:tabs>
        <w:ind w:left="851"/>
        <w:rPr>
          <w:sz w:val="24"/>
          <w:szCs w:val="24"/>
        </w:rPr>
      </w:pPr>
      <w:r w:rsidRPr="00E641C7">
        <w:rPr>
          <w:sz w:val="24"/>
          <w:szCs w:val="24"/>
          <w:lang w:bidi="da-DK"/>
        </w:rPr>
        <w:t xml:space="preserve">Generelt er biotilgængeligheden af topisk behandling med okulær medicin klassificeret som ekstremt lav og rapporteres i litteraturen at være i størrelsesordenen 5-10 %. </w:t>
      </w:r>
    </w:p>
    <w:p w14:paraId="5CD25D3D" w14:textId="77777777" w:rsidR="00E641C7" w:rsidRPr="00E641C7" w:rsidRDefault="00E641C7" w:rsidP="00E641C7">
      <w:pPr>
        <w:tabs>
          <w:tab w:val="left" w:pos="851"/>
        </w:tabs>
        <w:ind w:left="851"/>
        <w:rPr>
          <w:sz w:val="24"/>
          <w:szCs w:val="24"/>
        </w:rPr>
      </w:pPr>
    </w:p>
    <w:p w14:paraId="0D4FD098" w14:textId="77777777" w:rsidR="00E641C7" w:rsidRPr="00E641C7" w:rsidRDefault="00E641C7" w:rsidP="00E641C7">
      <w:pPr>
        <w:tabs>
          <w:tab w:val="left" w:pos="851"/>
        </w:tabs>
        <w:ind w:left="851"/>
        <w:rPr>
          <w:sz w:val="24"/>
          <w:szCs w:val="24"/>
        </w:rPr>
      </w:pPr>
      <w:r w:rsidRPr="00E641C7">
        <w:rPr>
          <w:sz w:val="24"/>
          <w:szCs w:val="24"/>
          <w:lang w:bidi="da-DK"/>
        </w:rPr>
        <w:t>Påviselige niveauer af prednisolon i human kammervand kan måles 15 minutter efter inddrypning af en dråbe på 0,5 % lægemiddel. De højeste koncentrationer opstod mellem 90 og 240 minutter, og steroidet kunne ikke påvises i prøver, der blev taget 10 timer eller derover efter topisk administration.</w:t>
      </w:r>
    </w:p>
    <w:p w14:paraId="213C1D1F" w14:textId="77777777" w:rsidR="009260DE" w:rsidRPr="00C84483" w:rsidRDefault="009260DE" w:rsidP="009260DE">
      <w:pPr>
        <w:tabs>
          <w:tab w:val="left" w:pos="851"/>
        </w:tabs>
        <w:ind w:left="851"/>
        <w:rPr>
          <w:sz w:val="24"/>
          <w:szCs w:val="24"/>
        </w:rPr>
      </w:pPr>
    </w:p>
    <w:p w14:paraId="1A35F299"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241FBB61" w14:textId="79DD277D" w:rsidR="00E641C7" w:rsidRPr="00E641C7" w:rsidRDefault="00E641C7" w:rsidP="00E641C7">
      <w:pPr>
        <w:tabs>
          <w:tab w:val="left" w:pos="851"/>
        </w:tabs>
        <w:ind w:left="851"/>
        <w:rPr>
          <w:sz w:val="24"/>
          <w:szCs w:val="24"/>
        </w:rPr>
      </w:pPr>
      <w:r w:rsidRPr="00E641C7">
        <w:rPr>
          <w:sz w:val="24"/>
          <w:szCs w:val="24"/>
          <w:lang w:bidi="da-DK"/>
        </w:rPr>
        <w:t xml:space="preserve">Brugen af prednisolon i oftalmologi er velfunderet. </w:t>
      </w:r>
      <w:r w:rsidR="0090512A">
        <w:rPr>
          <w:sz w:val="24"/>
          <w:szCs w:val="24"/>
          <w:lang w:bidi="da-DK"/>
        </w:rPr>
        <w:t>D</w:t>
      </w:r>
      <w:r w:rsidRPr="00E641C7">
        <w:rPr>
          <w:sz w:val="24"/>
          <w:szCs w:val="24"/>
          <w:lang w:bidi="da-DK"/>
        </w:rPr>
        <w:t>et specifikt indrapporterede toksikologisk</w:t>
      </w:r>
      <w:r w:rsidR="0090512A">
        <w:rPr>
          <w:sz w:val="24"/>
          <w:szCs w:val="24"/>
          <w:lang w:bidi="da-DK"/>
        </w:rPr>
        <w:t>e</w:t>
      </w:r>
      <w:r w:rsidRPr="00E641C7">
        <w:rPr>
          <w:sz w:val="24"/>
          <w:szCs w:val="24"/>
          <w:lang w:bidi="da-DK"/>
        </w:rPr>
        <w:t xml:space="preserve"> arbejde er begrænset, men den brede kliniske erfaring bekræfter dets egnethed som et topisk oftalmisk middel.</w:t>
      </w:r>
    </w:p>
    <w:p w14:paraId="3AB164AB" w14:textId="77777777" w:rsidR="009260DE" w:rsidRPr="00C84483" w:rsidRDefault="009260DE" w:rsidP="009260DE">
      <w:pPr>
        <w:tabs>
          <w:tab w:val="left" w:pos="851"/>
        </w:tabs>
        <w:ind w:left="851"/>
        <w:rPr>
          <w:sz w:val="24"/>
          <w:szCs w:val="24"/>
        </w:rPr>
      </w:pPr>
    </w:p>
    <w:p w14:paraId="426FC9EA" w14:textId="77777777" w:rsidR="009260DE" w:rsidRPr="00C84483" w:rsidRDefault="009260DE" w:rsidP="009260DE">
      <w:pPr>
        <w:tabs>
          <w:tab w:val="left" w:pos="851"/>
        </w:tabs>
        <w:ind w:left="851"/>
        <w:rPr>
          <w:sz w:val="24"/>
          <w:szCs w:val="24"/>
        </w:rPr>
      </w:pPr>
    </w:p>
    <w:p w14:paraId="55A1EF06"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405B8AED" w14:textId="77777777" w:rsidR="009260DE" w:rsidRPr="00BA09F1" w:rsidRDefault="009260DE" w:rsidP="009260DE">
      <w:pPr>
        <w:tabs>
          <w:tab w:val="left" w:pos="851"/>
        </w:tabs>
        <w:ind w:left="851"/>
        <w:rPr>
          <w:sz w:val="24"/>
          <w:szCs w:val="24"/>
        </w:rPr>
      </w:pPr>
    </w:p>
    <w:p w14:paraId="12ED8675"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27EB217F" w14:textId="77777777" w:rsidR="00E641C7" w:rsidRPr="00E641C7" w:rsidRDefault="00E641C7" w:rsidP="00E641C7">
      <w:pPr>
        <w:tabs>
          <w:tab w:val="left" w:pos="851"/>
        </w:tabs>
        <w:ind w:left="851"/>
        <w:rPr>
          <w:sz w:val="24"/>
          <w:szCs w:val="24"/>
        </w:rPr>
      </w:pPr>
      <w:r w:rsidRPr="00E641C7">
        <w:rPr>
          <w:sz w:val="24"/>
          <w:szCs w:val="24"/>
          <w:lang w:bidi="da-DK"/>
        </w:rPr>
        <w:t>Dinatriumedetat (E386)</w:t>
      </w:r>
    </w:p>
    <w:p w14:paraId="0270D90F" w14:textId="77777777" w:rsidR="00E641C7" w:rsidRPr="00E641C7" w:rsidRDefault="00E641C7" w:rsidP="00E641C7">
      <w:pPr>
        <w:tabs>
          <w:tab w:val="left" w:pos="851"/>
        </w:tabs>
        <w:ind w:left="851"/>
        <w:rPr>
          <w:sz w:val="24"/>
          <w:szCs w:val="24"/>
        </w:rPr>
      </w:pPr>
      <w:r w:rsidRPr="00E641C7">
        <w:rPr>
          <w:sz w:val="24"/>
          <w:szCs w:val="24"/>
          <w:lang w:bidi="da-DK"/>
        </w:rPr>
        <w:t>Natriumchlorid</w:t>
      </w:r>
    </w:p>
    <w:p w14:paraId="3E43D8B6" w14:textId="77777777" w:rsidR="00E641C7" w:rsidRPr="00E641C7" w:rsidRDefault="00E641C7" w:rsidP="00E641C7">
      <w:pPr>
        <w:tabs>
          <w:tab w:val="left" w:pos="851"/>
        </w:tabs>
        <w:ind w:left="851"/>
        <w:rPr>
          <w:sz w:val="24"/>
          <w:szCs w:val="24"/>
        </w:rPr>
      </w:pPr>
      <w:r w:rsidRPr="00E641C7">
        <w:rPr>
          <w:sz w:val="24"/>
          <w:szCs w:val="24"/>
        </w:rPr>
        <w:t>N</w:t>
      </w:r>
      <w:r w:rsidRPr="00E641C7">
        <w:rPr>
          <w:sz w:val="24"/>
          <w:szCs w:val="24"/>
          <w:lang w:bidi="da-DK"/>
        </w:rPr>
        <w:t>atriumdihydrogenphosphatdihydrat (E339)</w:t>
      </w:r>
    </w:p>
    <w:p w14:paraId="4BDD83CD" w14:textId="77777777" w:rsidR="00E641C7" w:rsidRPr="00E641C7" w:rsidRDefault="00E641C7" w:rsidP="00E641C7">
      <w:pPr>
        <w:tabs>
          <w:tab w:val="left" w:pos="851"/>
        </w:tabs>
        <w:ind w:left="851"/>
        <w:rPr>
          <w:sz w:val="24"/>
          <w:szCs w:val="24"/>
        </w:rPr>
      </w:pPr>
      <w:r w:rsidRPr="00E641C7">
        <w:rPr>
          <w:sz w:val="24"/>
          <w:szCs w:val="24"/>
          <w:lang w:bidi="da-DK"/>
        </w:rPr>
        <w:t xml:space="preserve">Natriumhydroxid (E524)/hydrochlorsyre (E507) (til pH-justering) </w:t>
      </w:r>
    </w:p>
    <w:p w14:paraId="0C163D79" w14:textId="1F8A1E01" w:rsidR="00E641C7" w:rsidRPr="00E641C7" w:rsidRDefault="00E641C7" w:rsidP="00E641C7">
      <w:pPr>
        <w:tabs>
          <w:tab w:val="left" w:pos="851"/>
        </w:tabs>
        <w:ind w:left="851"/>
        <w:rPr>
          <w:sz w:val="24"/>
          <w:szCs w:val="24"/>
        </w:rPr>
      </w:pPr>
      <w:r w:rsidRPr="00E641C7">
        <w:rPr>
          <w:sz w:val="24"/>
          <w:szCs w:val="24"/>
          <w:lang w:bidi="da-DK"/>
        </w:rPr>
        <w:t>Vand til injektiosvæske</w:t>
      </w:r>
      <w:r w:rsidR="00201B57">
        <w:rPr>
          <w:sz w:val="24"/>
          <w:szCs w:val="24"/>
          <w:lang w:bidi="da-DK"/>
        </w:rPr>
        <w:t>r</w:t>
      </w:r>
    </w:p>
    <w:p w14:paraId="27C02CCD" w14:textId="77777777" w:rsidR="009260DE" w:rsidRPr="00C84483" w:rsidRDefault="009260DE" w:rsidP="009260DE">
      <w:pPr>
        <w:tabs>
          <w:tab w:val="left" w:pos="851"/>
        </w:tabs>
        <w:ind w:left="851"/>
        <w:rPr>
          <w:sz w:val="24"/>
          <w:szCs w:val="24"/>
        </w:rPr>
      </w:pPr>
    </w:p>
    <w:p w14:paraId="12837CEE"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764EC4E2" w14:textId="77777777" w:rsidR="00E641C7" w:rsidRPr="00E641C7" w:rsidRDefault="00E641C7" w:rsidP="00E641C7">
      <w:pPr>
        <w:tabs>
          <w:tab w:val="left" w:pos="851"/>
        </w:tabs>
        <w:ind w:left="851"/>
        <w:rPr>
          <w:b/>
          <w:sz w:val="24"/>
          <w:szCs w:val="24"/>
        </w:rPr>
      </w:pPr>
      <w:r w:rsidRPr="00E641C7">
        <w:rPr>
          <w:sz w:val="24"/>
          <w:szCs w:val="24"/>
          <w:lang w:bidi="da-DK"/>
        </w:rPr>
        <w:t>Ikke relevant.</w:t>
      </w:r>
    </w:p>
    <w:p w14:paraId="4D10630D" w14:textId="77777777" w:rsidR="009260DE" w:rsidRPr="00C84483" w:rsidRDefault="009260DE" w:rsidP="009260DE">
      <w:pPr>
        <w:tabs>
          <w:tab w:val="left" w:pos="851"/>
        </w:tabs>
        <w:ind w:left="851"/>
        <w:rPr>
          <w:sz w:val="24"/>
          <w:szCs w:val="24"/>
        </w:rPr>
      </w:pPr>
    </w:p>
    <w:p w14:paraId="08B4D420"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1042D69D" w14:textId="77777777" w:rsidR="00D42DE5" w:rsidRPr="00D42DE5" w:rsidRDefault="00D42DE5" w:rsidP="00D42DE5">
      <w:pPr>
        <w:tabs>
          <w:tab w:val="left" w:pos="851"/>
        </w:tabs>
        <w:ind w:left="851"/>
        <w:rPr>
          <w:sz w:val="24"/>
          <w:szCs w:val="24"/>
        </w:rPr>
      </w:pPr>
      <w:r w:rsidRPr="00D42DE5">
        <w:rPr>
          <w:sz w:val="24"/>
          <w:szCs w:val="24"/>
          <w:lang w:bidi="da-DK"/>
        </w:rPr>
        <w:t>3 år.</w:t>
      </w:r>
    </w:p>
    <w:p w14:paraId="6F300206" w14:textId="77777777" w:rsidR="00D42DE5" w:rsidRPr="00D42DE5" w:rsidRDefault="00D42DE5" w:rsidP="00D42DE5">
      <w:pPr>
        <w:tabs>
          <w:tab w:val="left" w:pos="851"/>
        </w:tabs>
        <w:ind w:left="851"/>
        <w:rPr>
          <w:sz w:val="24"/>
          <w:szCs w:val="24"/>
        </w:rPr>
      </w:pPr>
    </w:p>
    <w:p w14:paraId="1E087A4F" w14:textId="77777777" w:rsidR="00201B57" w:rsidRPr="00201B57" w:rsidRDefault="00D42DE5" w:rsidP="00D42DE5">
      <w:pPr>
        <w:tabs>
          <w:tab w:val="left" w:pos="851"/>
        </w:tabs>
        <w:ind w:left="851"/>
        <w:rPr>
          <w:sz w:val="24"/>
          <w:szCs w:val="24"/>
          <w:u w:val="single"/>
          <w:lang w:bidi="da-DK"/>
        </w:rPr>
      </w:pPr>
      <w:r w:rsidRPr="00201B57">
        <w:rPr>
          <w:sz w:val="24"/>
          <w:szCs w:val="24"/>
          <w:u w:val="single"/>
          <w:lang w:bidi="da-DK"/>
        </w:rPr>
        <w:t>Efter første åbning af posen</w:t>
      </w:r>
    </w:p>
    <w:p w14:paraId="1FCA9AD7" w14:textId="4BCA6742" w:rsidR="00D42DE5" w:rsidRPr="00D42DE5" w:rsidRDefault="00D42DE5" w:rsidP="00D42DE5">
      <w:pPr>
        <w:tabs>
          <w:tab w:val="left" w:pos="851"/>
        </w:tabs>
        <w:ind w:left="851"/>
        <w:rPr>
          <w:sz w:val="24"/>
          <w:szCs w:val="24"/>
        </w:rPr>
      </w:pPr>
      <w:r w:rsidRPr="00D42DE5">
        <w:rPr>
          <w:sz w:val="24"/>
          <w:szCs w:val="24"/>
          <w:lang w:bidi="da-DK"/>
        </w:rPr>
        <w:t>Enkeltdosisbeholderne skal holdes i posen og anvendes inden for 30 dage.</w:t>
      </w:r>
    </w:p>
    <w:p w14:paraId="3AA2EAEB" w14:textId="77777777" w:rsidR="00D42DE5" w:rsidRPr="00D42DE5" w:rsidRDefault="00D42DE5" w:rsidP="00D42DE5">
      <w:pPr>
        <w:tabs>
          <w:tab w:val="left" w:pos="851"/>
        </w:tabs>
        <w:ind w:left="851"/>
        <w:rPr>
          <w:sz w:val="24"/>
          <w:szCs w:val="24"/>
        </w:rPr>
      </w:pPr>
    </w:p>
    <w:p w14:paraId="49DD59CA" w14:textId="77777777" w:rsidR="00201B57" w:rsidRPr="00201B57" w:rsidRDefault="00D42DE5" w:rsidP="00D42DE5">
      <w:pPr>
        <w:tabs>
          <w:tab w:val="left" w:pos="851"/>
        </w:tabs>
        <w:ind w:left="851"/>
        <w:rPr>
          <w:sz w:val="24"/>
          <w:szCs w:val="24"/>
          <w:u w:val="single"/>
          <w:lang w:bidi="da-DK"/>
        </w:rPr>
      </w:pPr>
      <w:r w:rsidRPr="00201B57">
        <w:rPr>
          <w:sz w:val="24"/>
          <w:szCs w:val="24"/>
          <w:u w:val="single"/>
          <w:lang w:bidi="da-DK"/>
        </w:rPr>
        <w:t>Efter åbning af enkeltdosisbeholderen</w:t>
      </w:r>
    </w:p>
    <w:p w14:paraId="171B17C9" w14:textId="3F15FED0" w:rsidR="00D42DE5" w:rsidRPr="00D42DE5" w:rsidRDefault="00D42DE5" w:rsidP="00D42DE5">
      <w:pPr>
        <w:tabs>
          <w:tab w:val="left" w:pos="851"/>
        </w:tabs>
        <w:ind w:left="851"/>
        <w:rPr>
          <w:sz w:val="24"/>
          <w:szCs w:val="24"/>
        </w:rPr>
      </w:pPr>
      <w:r w:rsidRPr="00D42DE5">
        <w:rPr>
          <w:sz w:val="24"/>
          <w:szCs w:val="24"/>
          <w:lang w:bidi="da-DK"/>
        </w:rPr>
        <w:t>Bruges straks, og smid enkeltdosisbeholderen væk efter brug.</w:t>
      </w:r>
    </w:p>
    <w:p w14:paraId="0B5CD2C7" w14:textId="77777777" w:rsidR="009260DE" w:rsidRPr="00C84483" w:rsidRDefault="009260DE" w:rsidP="009260DE">
      <w:pPr>
        <w:tabs>
          <w:tab w:val="left" w:pos="851"/>
        </w:tabs>
        <w:ind w:left="851"/>
        <w:rPr>
          <w:sz w:val="24"/>
          <w:szCs w:val="24"/>
        </w:rPr>
      </w:pPr>
    </w:p>
    <w:p w14:paraId="030ECA3A"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4F6FC948" w14:textId="77777777" w:rsidR="00D42DE5" w:rsidRPr="00D42DE5" w:rsidRDefault="00D42DE5" w:rsidP="00D42DE5">
      <w:pPr>
        <w:tabs>
          <w:tab w:val="left" w:pos="851"/>
        </w:tabs>
        <w:ind w:left="851"/>
        <w:rPr>
          <w:sz w:val="24"/>
          <w:szCs w:val="24"/>
        </w:rPr>
      </w:pPr>
      <w:r w:rsidRPr="00D42DE5">
        <w:rPr>
          <w:sz w:val="24"/>
          <w:szCs w:val="24"/>
          <w:lang w:bidi="da-DK"/>
        </w:rPr>
        <w:t>Dette lægemiddel kræver ingen særlige temperatur- eller opbevaringsforhold.</w:t>
      </w:r>
    </w:p>
    <w:p w14:paraId="0E89A421" w14:textId="77777777" w:rsidR="00D42DE5" w:rsidRPr="00D42DE5" w:rsidRDefault="00D42DE5" w:rsidP="00D42DE5">
      <w:pPr>
        <w:tabs>
          <w:tab w:val="left" w:pos="851"/>
        </w:tabs>
        <w:ind w:left="851"/>
        <w:rPr>
          <w:sz w:val="24"/>
          <w:szCs w:val="24"/>
        </w:rPr>
      </w:pPr>
      <w:r w:rsidRPr="00D42DE5">
        <w:rPr>
          <w:sz w:val="24"/>
          <w:szCs w:val="24"/>
          <w:lang w:bidi="da-DK"/>
        </w:rPr>
        <w:t>Opbevar beholderen i posen for at beskytte mod lys.</w:t>
      </w:r>
    </w:p>
    <w:p w14:paraId="287A83A5" w14:textId="77777777" w:rsidR="009260DE" w:rsidRPr="00C84483" w:rsidRDefault="009260DE" w:rsidP="009260DE">
      <w:pPr>
        <w:tabs>
          <w:tab w:val="left" w:pos="851"/>
        </w:tabs>
        <w:ind w:left="851"/>
        <w:rPr>
          <w:sz w:val="24"/>
          <w:szCs w:val="24"/>
        </w:rPr>
      </w:pPr>
    </w:p>
    <w:p w14:paraId="7F191A71"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556E5FBB" w14:textId="3E7E6B8A" w:rsidR="00D42DE5" w:rsidRDefault="00D42DE5" w:rsidP="00D42DE5">
      <w:pPr>
        <w:tabs>
          <w:tab w:val="left" w:pos="851"/>
        </w:tabs>
        <w:ind w:left="851"/>
        <w:rPr>
          <w:sz w:val="24"/>
          <w:szCs w:val="24"/>
          <w:lang w:bidi="da-DK"/>
        </w:rPr>
      </w:pPr>
      <w:r w:rsidRPr="00D42DE5">
        <w:rPr>
          <w:sz w:val="24"/>
          <w:szCs w:val="24"/>
          <w:lang w:bidi="da-DK"/>
        </w:rPr>
        <w:t>Enkeltdosisbeholder (LDPE) fyldt med en opløsning på 0,5 ml. Beholderne præsenteres i polyethylen/aluminium/papirposer med 5 eller 10 enkeltbeholdere.</w:t>
      </w:r>
    </w:p>
    <w:p w14:paraId="12F06B3F" w14:textId="77777777" w:rsidR="008C0744" w:rsidRPr="00D42DE5" w:rsidRDefault="008C0744" w:rsidP="00D42DE5">
      <w:pPr>
        <w:tabs>
          <w:tab w:val="left" w:pos="851"/>
        </w:tabs>
        <w:ind w:left="851"/>
        <w:rPr>
          <w:sz w:val="24"/>
          <w:szCs w:val="24"/>
        </w:rPr>
      </w:pPr>
    </w:p>
    <w:p w14:paraId="065B6493" w14:textId="2A483968" w:rsidR="00D42DE5" w:rsidRPr="00D42DE5" w:rsidRDefault="00D42DE5" w:rsidP="00D42DE5">
      <w:pPr>
        <w:tabs>
          <w:tab w:val="left" w:pos="851"/>
        </w:tabs>
        <w:ind w:left="851"/>
        <w:rPr>
          <w:sz w:val="24"/>
          <w:szCs w:val="24"/>
        </w:rPr>
      </w:pPr>
      <w:r w:rsidRPr="00D42DE5">
        <w:rPr>
          <w:sz w:val="24"/>
          <w:szCs w:val="24"/>
          <w:lang w:bidi="da-DK"/>
        </w:rPr>
        <w:t>Pak</w:t>
      </w:r>
      <w:r w:rsidR="008C0744">
        <w:rPr>
          <w:sz w:val="24"/>
          <w:szCs w:val="24"/>
          <w:lang w:bidi="da-DK"/>
        </w:rPr>
        <w:t xml:space="preserve">ningsstørrelser: </w:t>
      </w:r>
      <w:r w:rsidRPr="00D42DE5">
        <w:rPr>
          <w:sz w:val="24"/>
          <w:szCs w:val="24"/>
          <w:lang w:bidi="da-DK"/>
        </w:rPr>
        <w:t xml:space="preserve">10, 20, 30, 50 </w:t>
      </w:r>
      <w:r w:rsidR="008C0744">
        <w:rPr>
          <w:sz w:val="24"/>
          <w:szCs w:val="24"/>
          <w:lang w:bidi="da-DK"/>
        </w:rPr>
        <w:t>og</w:t>
      </w:r>
      <w:r w:rsidRPr="00D42DE5">
        <w:rPr>
          <w:sz w:val="24"/>
          <w:szCs w:val="24"/>
          <w:lang w:bidi="da-DK"/>
        </w:rPr>
        <w:t xml:space="preserve"> 100 enkeltdosisbeholdere.</w:t>
      </w:r>
    </w:p>
    <w:p w14:paraId="31D535B6" w14:textId="77777777" w:rsidR="00D42DE5" w:rsidRPr="00D42DE5" w:rsidRDefault="00D42DE5" w:rsidP="00D42DE5">
      <w:pPr>
        <w:tabs>
          <w:tab w:val="left" w:pos="851"/>
        </w:tabs>
        <w:ind w:left="851"/>
        <w:rPr>
          <w:sz w:val="24"/>
          <w:szCs w:val="24"/>
        </w:rPr>
      </w:pPr>
      <w:r w:rsidRPr="00D42DE5">
        <w:rPr>
          <w:sz w:val="24"/>
          <w:szCs w:val="24"/>
          <w:lang w:bidi="da-DK"/>
        </w:rPr>
        <w:t>Ikke alle pakningsstørrelser markedsføres nødvendigvis.</w:t>
      </w:r>
    </w:p>
    <w:p w14:paraId="206E9FBE" w14:textId="77777777" w:rsidR="009260DE" w:rsidRPr="00C84483" w:rsidRDefault="009260DE" w:rsidP="009260DE">
      <w:pPr>
        <w:tabs>
          <w:tab w:val="left" w:pos="851"/>
        </w:tabs>
        <w:ind w:left="851"/>
        <w:rPr>
          <w:sz w:val="24"/>
          <w:szCs w:val="24"/>
        </w:rPr>
      </w:pPr>
    </w:p>
    <w:p w14:paraId="4EF3054E"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2B25989F" w14:textId="77777777" w:rsidR="00D42DE5" w:rsidRPr="00D42DE5" w:rsidRDefault="00D42DE5" w:rsidP="00D42DE5">
      <w:pPr>
        <w:tabs>
          <w:tab w:val="left" w:pos="851"/>
        </w:tabs>
        <w:ind w:left="851"/>
        <w:rPr>
          <w:sz w:val="24"/>
          <w:szCs w:val="24"/>
        </w:rPr>
      </w:pPr>
      <w:r w:rsidRPr="00D42DE5">
        <w:rPr>
          <w:sz w:val="24"/>
          <w:szCs w:val="24"/>
          <w:lang w:bidi="da-DK"/>
        </w:rPr>
        <w:t>Ubrugt lægemiddel eller affaldsmateriale skal bortskaffes i overensstemmelse med de lokale krav.</w:t>
      </w:r>
    </w:p>
    <w:p w14:paraId="39A7B2BE" w14:textId="77777777" w:rsidR="009260DE" w:rsidRPr="00C84483" w:rsidRDefault="009260DE" w:rsidP="000730CA">
      <w:pPr>
        <w:tabs>
          <w:tab w:val="left" w:pos="851"/>
        </w:tabs>
        <w:ind w:left="851"/>
        <w:rPr>
          <w:sz w:val="24"/>
          <w:szCs w:val="24"/>
        </w:rPr>
      </w:pPr>
    </w:p>
    <w:p w14:paraId="71810241"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7506B10A" w14:textId="77777777" w:rsidR="00D42DE5" w:rsidRPr="0056764D" w:rsidRDefault="00D42DE5" w:rsidP="00D42DE5">
      <w:pPr>
        <w:tabs>
          <w:tab w:val="left" w:pos="851"/>
        </w:tabs>
        <w:ind w:left="851"/>
        <w:rPr>
          <w:sz w:val="24"/>
          <w:szCs w:val="24"/>
        </w:rPr>
      </w:pPr>
      <w:r w:rsidRPr="0056764D">
        <w:rPr>
          <w:sz w:val="24"/>
          <w:szCs w:val="24"/>
        </w:rPr>
        <w:t xml:space="preserve">Uni-Pharma Kleon Tsetis Pharmaceutical Laboratories S.A. </w:t>
      </w:r>
    </w:p>
    <w:p w14:paraId="1CC2BBE7" w14:textId="77777777" w:rsidR="00D42DE5" w:rsidRPr="00D42DE5" w:rsidRDefault="00D42DE5" w:rsidP="00D42DE5">
      <w:pPr>
        <w:tabs>
          <w:tab w:val="left" w:pos="851"/>
        </w:tabs>
        <w:ind w:left="851"/>
        <w:rPr>
          <w:sz w:val="24"/>
          <w:szCs w:val="24"/>
          <w:lang w:val="en-GB"/>
        </w:rPr>
      </w:pPr>
      <w:r w:rsidRPr="00D42DE5">
        <w:rPr>
          <w:sz w:val="24"/>
          <w:szCs w:val="24"/>
          <w:lang w:val="en-US"/>
        </w:rPr>
        <w:t>14</w:t>
      </w:r>
      <w:r w:rsidRPr="00D42DE5">
        <w:rPr>
          <w:sz w:val="24"/>
          <w:szCs w:val="24"/>
          <w:vertAlign w:val="superscript"/>
          <w:lang w:val="en-US"/>
        </w:rPr>
        <w:t>th</w:t>
      </w:r>
      <w:r w:rsidRPr="00D42DE5">
        <w:rPr>
          <w:sz w:val="24"/>
          <w:szCs w:val="24"/>
          <w:lang w:val="en-US"/>
        </w:rPr>
        <w:t xml:space="preserve"> km National Road 1</w:t>
      </w:r>
    </w:p>
    <w:p w14:paraId="75AF5CB7" w14:textId="0F545142" w:rsidR="00D42DE5" w:rsidRPr="00D42DE5" w:rsidRDefault="00D42DE5" w:rsidP="00D42DE5">
      <w:pPr>
        <w:tabs>
          <w:tab w:val="left" w:pos="851"/>
        </w:tabs>
        <w:ind w:left="851"/>
        <w:rPr>
          <w:sz w:val="24"/>
          <w:szCs w:val="24"/>
          <w:lang w:val="en-GB"/>
        </w:rPr>
      </w:pPr>
      <w:r w:rsidRPr="00D42DE5">
        <w:rPr>
          <w:sz w:val="24"/>
          <w:szCs w:val="24"/>
          <w:lang w:val="en-US"/>
        </w:rPr>
        <w:t xml:space="preserve">145 64 Kifisia </w:t>
      </w:r>
    </w:p>
    <w:p w14:paraId="6384C37A" w14:textId="6F50CA13" w:rsidR="00D42DE5" w:rsidRPr="00D42DE5" w:rsidRDefault="00D42DE5" w:rsidP="00D42DE5">
      <w:pPr>
        <w:tabs>
          <w:tab w:val="left" w:pos="851"/>
        </w:tabs>
        <w:ind w:left="851"/>
        <w:rPr>
          <w:sz w:val="24"/>
          <w:szCs w:val="24"/>
          <w:lang w:val="en-US"/>
        </w:rPr>
      </w:pPr>
      <w:r w:rsidRPr="007559C2">
        <w:rPr>
          <w:sz w:val="24"/>
          <w:szCs w:val="24"/>
          <w:lang w:val="en-US" w:bidi="da-DK"/>
        </w:rPr>
        <w:t>G</w:t>
      </w:r>
      <w:r w:rsidR="0056764D" w:rsidRPr="007559C2">
        <w:rPr>
          <w:sz w:val="24"/>
          <w:szCs w:val="24"/>
          <w:lang w:val="en-US" w:bidi="da-DK"/>
        </w:rPr>
        <w:t>rækenland</w:t>
      </w:r>
    </w:p>
    <w:p w14:paraId="78503529" w14:textId="77777777" w:rsidR="00641C65" w:rsidRPr="007559C2" w:rsidRDefault="00641C65" w:rsidP="009260DE">
      <w:pPr>
        <w:tabs>
          <w:tab w:val="left" w:pos="851"/>
        </w:tabs>
        <w:ind w:left="851"/>
        <w:rPr>
          <w:sz w:val="24"/>
          <w:szCs w:val="24"/>
          <w:lang w:val="en-US"/>
        </w:rPr>
      </w:pPr>
    </w:p>
    <w:p w14:paraId="381453E4"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7EE31E2D" w14:textId="3A0197E5" w:rsidR="009260DE" w:rsidRPr="00C84483" w:rsidRDefault="00AA59A6" w:rsidP="009260DE">
      <w:pPr>
        <w:tabs>
          <w:tab w:val="left" w:pos="851"/>
        </w:tabs>
        <w:ind w:left="851"/>
        <w:rPr>
          <w:sz w:val="24"/>
          <w:szCs w:val="24"/>
        </w:rPr>
      </w:pPr>
      <w:r>
        <w:rPr>
          <w:sz w:val="24"/>
          <w:szCs w:val="24"/>
        </w:rPr>
        <w:t>67135</w:t>
      </w:r>
    </w:p>
    <w:p w14:paraId="6A09A812" w14:textId="77777777" w:rsidR="009260DE" w:rsidRPr="00C84483" w:rsidRDefault="009260DE" w:rsidP="009260DE">
      <w:pPr>
        <w:tabs>
          <w:tab w:val="left" w:pos="851"/>
        </w:tabs>
        <w:ind w:left="851"/>
        <w:jc w:val="both"/>
        <w:rPr>
          <w:sz w:val="24"/>
          <w:szCs w:val="24"/>
        </w:rPr>
      </w:pPr>
    </w:p>
    <w:p w14:paraId="0F81A0F8"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7B09092E" w14:textId="5589F66E" w:rsidR="009260DE" w:rsidRPr="00C84483" w:rsidRDefault="007559C2" w:rsidP="009260DE">
      <w:pPr>
        <w:tabs>
          <w:tab w:val="left" w:pos="851"/>
        </w:tabs>
        <w:ind w:left="851"/>
        <w:rPr>
          <w:sz w:val="24"/>
          <w:szCs w:val="24"/>
        </w:rPr>
      </w:pPr>
      <w:r>
        <w:rPr>
          <w:sz w:val="24"/>
          <w:szCs w:val="24"/>
        </w:rPr>
        <w:t>17. oktober 2023</w:t>
      </w:r>
      <w:bookmarkStart w:id="2" w:name="_GoBack"/>
      <w:bookmarkEnd w:id="2"/>
    </w:p>
    <w:p w14:paraId="24B227AB" w14:textId="77777777" w:rsidR="009260DE" w:rsidRPr="00C84483" w:rsidRDefault="009260DE" w:rsidP="009260DE">
      <w:pPr>
        <w:tabs>
          <w:tab w:val="left" w:pos="851"/>
        </w:tabs>
        <w:ind w:left="851"/>
        <w:rPr>
          <w:sz w:val="24"/>
          <w:szCs w:val="24"/>
        </w:rPr>
      </w:pPr>
    </w:p>
    <w:p w14:paraId="61A88BA2"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1A01AEC1" w14:textId="597D8163" w:rsidR="009260DE" w:rsidRPr="00C84483" w:rsidRDefault="00AA59A6"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E3880" w14:textId="77777777" w:rsidR="003636E3" w:rsidRDefault="003636E3">
      <w:r>
        <w:separator/>
      </w:r>
    </w:p>
  </w:endnote>
  <w:endnote w:type="continuationSeparator" w:id="0">
    <w:p w14:paraId="11FEBB48" w14:textId="77777777" w:rsidR="003636E3" w:rsidRDefault="00363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A154D" w14:textId="77777777" w:rsidR="000259B9" w:rsidRDefault="000259B9">
    <w:pPr>
      <w:pStyle w:val="Sidefod"/>
      <w:pBdr>
        <w:bottom w:val="single" w:sz="6" w:space="1" w:color="auto"/>
      </w:pBdr>
    </w:pPr>
  </w:p>
  <w:p w14:paraId="404FF6BA" w14:textId="77777777" w:rsidR="000259B9" w:rsidRDefault="000259B9" w:rsidP="00C42586">
    <w:pPr>
      <w:pStyle w:val="Sidefod"/>
      <w:tabs>
        <w:tab w:val="clear" w:pos="4819"/>
        <w:tab w:val="left" w:pos="8505"/>
      </w:tabs>
      <w:rPr>
        <w:i/>
        <w:sz w:val="18"/>
        <w:szCs w:val="18"/>
      </w:rPr>
    </w:pPr>
  </w:p>
  <w:p w14:paraId="56B9098C" w14:textId="43964B22"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641C7">
      <w:rPr>
        <w:i/>
        <w:noProof/>
        <w:sz w:val="18"/>
        <w:szCs w:val="18"/>
      </w:rPr>
      <w:t>Provistopto, øjendråber, opløsning i enkeltdosisbeholder 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45013" w14:textId="77777777" w:rsidR="003636E3" w:rsidRDefault="003636E3">
      <w:r>
        <w:separator/>
      </w:r>
    </w:p>
  </w:footnote>
  <w:footnote w:type="continuationSeparator" w:id="0">
    <w:p w14:paraId="65904536" w14:textId="77777777" w:rsidR="003636E3" w:rsidRDefault="00363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D4296"/>
    <w:multiLevelType w:val="hybridMultilevel"/>
    <w:tmpl w:val="5BEAABAC"/>
    <w:lvl w:ilvl="0" w:tplc="04080001">
      <w:start w:val="1"/>
      <w:numFmt w:val="bullet"/>
      <w:lvlText w:val=""/>
      <w:lvlJc w:val="left"/>
      <w:pPr>
        <w:ind w:left="928" w:hanging="360"/>
      </w:pPr>
      <w:rPr>
        <w:rFonts w:ascii="Symbol" w:hAnsi="Symbol" w:hint="default"/>
      </w:rPr>
    </w:lvl>
    <w:lvl w:ilvl="1" w:tplc="04080003">
      <w:start w:val="1"/>
      <w:numFmt w:val="bullet"/>
      <w:lvlText w:val="o"/>
      <w:lvlJc w:val="left"/>
      <w:pPr>
        <w:ind w:left="1648" w:hanging="360"/>
      </w:pPr>
      <w:rPr>
        <w:rFonts w:ascii="Courier New" w:hAnsi="Courier New" w:cs="Courier New" w:hint="default"/>
      </w:rPr>
    </w:lvl>
    <w:lvl w:ilvl="2" w:tplc="04080005">
      <w:start w:val="1"/>
      <w:numFmt w:val="bullet"/>
      <w:lvlText w:val=""/>
      <w:lvlJc w:val="left"/>
      <w:pPr>
        <w:ind w:left="2368" w:hanging="360"/>
      </w:pPr>
      <w:rPr>
        <w:rFonts w:ascii="Wingdings" w:hAnsi="Wingdings" w:hint="default"/>
      </w:rPr>
    </w:lvl>
    <w:lvl w:ilvl="3" w:tplc="04080001">
      <w:start w:val="1"/>
      <w:numFmt w:val="bullet"/>
      <w:lvlText w:val=""/>
      <w:lvlJc w:val="left"/>
      <w:pPr>
        <w:ind w:left="3088" w:hanging="360"/>
      </w:pPr>
      <w:rPr>
        <w:rFonts w:ascii="Symbol" w:hAnsi="Symbol" w:hint="default"/>
      </w:rPr>
    </w:lvl>
    <w:lvl w:ilvl="4" w:tplc="04080003">
      <w:start w:val="1"/>
      <w:numFmt w:val="bullet"/>
      <w:lvlText w:val="o"/>
      <w:lvlJc w:val="left"/>
      <w:pPr>
        <w:ind w:left="3808" w:hanging="360"/>
      </w:pPr>
      <w:rPr>
        <w:rFonts w:ascii="Courier New" w:hAnsi="Courier New" w:cs="Courier New" w:hint="default"/>
      </w:rPr>
    </w:lvl>
    <w:lvl w:ilvl="5" w:tplc="04080005">
      <w:start w:val="1"/>
      <w:numFmt w:val="bullet"/>
      <w:lvlText w:val=""/>
      <w:lvlJc w:val="left"/>
      <w:pPr>
        <w:ind w:left="4528" w:hanging="360"/>
      </w:pPr>
      <w:rPr>
        <w:rFonts w:ascii="Wingdings" w:hAnsi="Wingdings" w:hint="default"/>
      </w:rPr>
    </w:lvl>
    <w:lvl w:ilvl="6" w:tplc="04080001">
      <w:start w:val="1"/>
      <w:numFmt w:val="bullet"/>
      <w:lvlText w:val=""/>
      <w:lvlJc w:val="left"/>
      <w:pPr>
        <w:ind w:left="5248" w:hanging="360"/>
      </w:pPr>
      <w:rPr>
        <w:rFonts w:ascii="Symbol" w:hAnsi="Symbol" w:hint="default"/>
      </w:rPr>
    </w:lvl>
    <w:lvl w:ilvl="7" w:tplc="04080003">
      <w:start w:val="1"/>
      <w:numFmt w:val="bullet"/>
      <w:lvlText w:val="o"/>
      <w:lvlJc w:val="left"/>
      <w:pPr>
        <w:ind w:left="5968" w:hanging="360"/>
      </w:pPr>
      <w:rPr>
        <w:rFonts w:ascii="Courier New" w:hAnsi="Courier New" w:cs="Courier New" w:hint="default"/>
      </w:rPr>
    </w:lvl>
    <w:lvl w:ilvl="8" w:tplc="04080005">
      <w:start w:val="1"/>
      <w:numFmt w:val="bullet"/>
      <w:lvlText w:val=""/>
      <w:lvlJc w:val="left"/>
      <w:pPr>
        <w:ind w:left="6688"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6E3"/>
    <w:rsid w:val="000259B9"/>
    <w:rsid w:val="00041491"/>
    <w:rsid w:val="00050D16"/>
    <w:rsid w:val="00054E64"/>
    <w:rsid w:val="00056F81"/>
    <w:rsid w:val="000730CA"/>
    <w:rsid w:val="00074F2A"/>
    <w:rsid w:val="000A1CA8"/>
    <w:rsid w:val="000A466B"/>
    <w:rsid w:val="000B058C"/>
    <w:rsid w:val="000D68B0"/>
    <w:rsid w:val="000E4EE6"/>
    <w:rsid w:val="00106A29"/>
    <w:rsid w:val="00142F5B"/>
    <w:rsid w:val="001454E2"/>
    <w:rsid w:val="001F3707"/>
    <w:rsid w:val="00201B57"/>
    <w:rsid w:val="00206CE8"/>
    <w:rsid w:val="0021526C"/>
    <w:rsid w:val="00283A2B"/>
    <w:rsid w:val="002B30AD"/>
    <w:rsid w:val="002C1EC0"/>
    <w:rsid w:val="002C2C01"/>
    <w:rsid w:val="003636E3"/>
    <w:rsid w:val="003A29AE"/>
    <w:rsid w:val="003A32D7"/>
    <w:rsid w:val="003B4074"/>
    <w:rsid w:val="003C769A"/>
    <w:rsid w:val="003D3A90"/>
    <w:rsid w:val="003F1838"/>
    <w:rsid w:val="004251C1"/>
    <w:rsid w:val="0045746C"/>
    <w:rsid w:val="0049104B"/>
    <w:rsid w:val="004A5954"/>
    <w:rsid w:val="004C4A78"/>
    <w:rsid w:val="004E3B12"/>
    <w:rsid w:val="00532310"/>
    <w:rsid w:val="00565F0F"/>
    <w:rsid w:val="0056764D"/>
    <w:rsid w:val="00594A86"/>
    <w:rsid w:val="00596D86"/>
    <w:rsid w:val="005C15A4"/>
    <w:rsid w:val="00604C11"/>
    <w:rsid w:val="00637F5A"/>
    <w:rsid w:val="00641C65"/>
    <w:rsid w:val="006560B1"/>
    <w:rsid w:val="006756DD"/>
    <w:rsid w:val="0071241E"/>
    <w:rsid w:val="00737275"/>
    <w:rsid w:val="00740EEC"/>
    <w:rsid w:val="007559C2"/>
    <w:rsid w:val="0078011A"/>
    <w:rsid w:val="00782AF4"/>
    <w:rsid w:val="00790EE7"/>
    <w:rsid w:val="007B6649"/>
    <w:rsid w:val="007C3E33"/>
    <w:rsid w:val="0082576E"/>
    <w:rsid w:val="00834036"/>
    <w:rsid w:val="0089346F"/>
    <w:rsid w:val="008C0744"/>
    <w:rsid w:val="008F6912"/>
    <w:rsid w:val="0090512A"/>
    <w:rsid w:val="00907F75"/>
    <w:rsid w:val="009260DE"/>
    <w:rsid w:val="0093258A"/>
    <w:rsid w:val="009755F9"/>
    <w:rsid w:val="009C7BA3"/>
    <w:rsid w:val="009D1F5A"/>
    <w:rsid w:val="009F4828"/>
    <w:rsid w:val="00A10294"/>
    <w:rsid w:val="00A65DE8"/>
    <w:rsid w:val="00AA59A6"/>
    <w:rsid w:val="00B003BF"/>
    <w:rsid w:val="00B25B89"/>
    <w:rsid w:val="00B373D7"/>
    <w:rsid w:val="00B55271"/>
    <w:rsid w:val="00BD34D8"/>
    <w:rsid w:val="00BD7931"/>
    <w:rsid w:val="00BF6243"/>
    <w:rsid w:val="00C36276"/>
    <w:rsid w:val="00C42586"/>
    <w:rsid w:val="00C45F6B"/>
    <w:rsid w:val="00C6072F"/>
    <w:rsid w:val="00C60CCD"/>
    <w:rsid w:val="00C84483"/>
    <w:rsid w:val="00C95551"/>
    <w:rsid w:val="00CB20D7"/>
    <w:rsid w:val="00CE74CB"/>
    <w:rsid w:val="00D020B0"/>
    <w:rsid w:val="00D11748"/>
    <w:rsid w:val="00D237F6"/>
    <w:rsid w:val="00D34D98"/>
    <w:rsid w:val="00D366CF"/>
    <w:rsid w:val="00D41BA9"/>
    <w:rsid w:val="00D42DE5"/>
    <w:rsid w:val="00D93992"/>
    <w:rsid w:val="00E108AA"/>
    <w:rsid w:val="00E3749A"/>
    <w:rsid w:val="00E641C7"/>
    <w:rsid w:val="00E67086"/>
    <w:rsid w:val="00E7437F"/>
    <w:rsid w:val="00E865B8"/>
    <w:rsid w:val="00EC0B9B"/>
    <w:rsid w:val="00ED5E9F"/>
    <w:rsid w:val="00F66D4F"/>
    <w:rsid w:val="00FB4B39"/>
    <w:rsid w:val="00FB6D01"/>
    <w:rsid w:val="00FD5AD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00729"/>
  <w15:chartTrackingRefBased/>
  <w15:docId w15:val="{C522EBC5-30F1-4238-A7A0-B50713376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5C15A4"/>
    <w:rPr>
      <w:color w:val="0563C1" w:themeColor="hyperlink"/>
      <w:u w:val="single"/>
    </w:rPr>
  </w:style>
  <w:style w:type="paragraph" w:styleId="Listeafsnit">
    <w:name w:val="List Paragraph"/>
    <w:basedOn w:val="Normal"/>
    <w:uiPriority w:val="34"/>
    <w:qFormat/>
    <w:rsid w:val="005C15A4"/>
    <w:pPr>
      <w:spacing w:after="200" w:line="276" w:lineRule="auto"/>
      <w:ind w:left="720"/>
      <w:contextualSpacing/>
    </w:pPr>
    <w:rPr>
      <w:rFonts w:asciiTheme="minorHAnsi" w:eastAsiaTheme="minorHAnsi" w:hAnsiTheme="minorHAnsi" w:cstheme="minorBidi"/>
      <w:sz w:val="22"/>
      <w:szCs w:val="22"/>
    </w:rPr>
  </w:style>
  <w:style w:type="table" w:styleId="Tabel-Gitter">
    <w:name w:val="Table Grid"/>
    <w:basedOn w:val="Tabel-Normal"/>
    <w:uiPriority w:val="59"/>
    <w:rsid w:val="005C15A4"/>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2757">
      <w:bodyDiv w:val="1"/>
      <w:marLeft w:val="0"/>
      <w:marRight w:val="0"/>
      <w:marTop w:val="0"/>
      <w:marBottom w:val="0"/>
      <w:divBdr>
        <w:top w:val="none" w:sz="0" w:space="0" w:color="auto"/>
        <w:left w:val="none" w:sz="0" w:space="0" w:color="auto"/>
        <w:bottom w:val="none" w:sz="0" w:space="0" w:color="auto"/>
        <w:right w:val="none" w:sz="0" w:space="0" w:color="auto"/>
      </w:divBdr>
    </w:div>
    <w:div w:id="36593073">
      <w:bodyDiv w:val="1"/>
      <w:marLeft w:val="0"/>
      <w:marRight w:val="0"/>
      <w:marTop w:val="0"/>
      <w:marBottom w:val="0"/>
      <w:divBdr>
        <w:top w:val="none" w:sz="0" w:space="0" w:color="auto"/>
        <w:left w:val="none" w:sz="0" w:space="0" w:color="auto"/>
        <w:bottom w:val="none" w:sz="0" w:space="0" w:color="auto"/>
        <w:right w:val="none" w:sz="0" w:space="0" w:color="auto"/>
      </w:divBdr>
    </w:div>
    <w:div w:id="47922339">
      <w:bodyDiv w:val="1"/>
      <w:marLeft w:val="0"/>
      <w:marRight w:val="0"/>
      <w:marTop w:val="0"/>
      <w:marBottom w:val="0"/>
      <w:divBdr>
        <w:top w:val="none" w:sz="0" w:space="0" w:color="auto"/>
        <w:left w:val="none" w:sz="0" w:space="0" w:color="auto"/>
        <w:bottom w:val="none" w:sz="0" w:space="0" w:color="auto"/>
        <w:right w:val="none" w:sz="0" w:space="0" w:color="auto"/>
      </w:divBdr>
    </w:div>
    <w:div w:id="130483282">
      <w:bodyDiv w:val="1"/>
      <w:marLeft w:val="0"/>
      <w:marRight w:val="0"/>
      <w:marTop w:val="0"/>
      <w:marBottom w:val="0"/>
      <w:divBdr>
        <w:top w:val="none" w:sz="0" w:space="0" w:color="auto"/>
        <w:left w:val="none" w:sz="0" w:space="0" w:color="auto"/>
        <w:bottom w:val="none" w:sz="0" w:space="0" w:color="auto"/>
        <w:right w:val="none" w:sz="0" w:space="0" w:color="auto"/>
      </w:divBdr>
    </w:div>
    <w:div w:id="155809246">
      <w:bodyDiv w:val="1"/>
      <w:marLeft w:val="0"/>
      <w:marRight w:val="0"/>
      <w:marTop w:val="0"/>
      <w:marBottom w:val="0"/>
      <w:divBdr>
        <w:top w:val="none" w:sz="0" w:space="0" w:color="auto"/>
        <w:left w:val="none" w:sz="0" w:space="0" w:color="auto"/>
        <w:bottom w:val="none" w:sz="0" w:space="0" w:color="auto"/>
        <w:right w:val="none" w:sz="0" w:space="0" w:color="auto"/>
      </w:divBdr>
    </w:div>
    <w:div w:id="16116442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4156731">
      <w:bodyDiv w:val="1"/>
      <w:marLeft w:val="0"/>
      <w:marRight w:val="0"/>
      <w:marTop w:val="0"/>
      <w:marBottom w:val="0"/>
      <w:divBdr>
        <w:top w:val="none" w:sz="0" w:space="0" w:color="auto"/>
        <w:left w:val="none" w:sz="0" w:space="0" w:color="auto"/>
        <w:bottom w:val="none" w:sz="0" w:space="0" w:color="auto"/>
        <w:right w:val="none" w:sz="0" w:space="0" w:color="auto"/>
      </w:divBdr>
    </w:div>
    <w:div w:id="210043297">
      <w:bodyDiv w:val="1"/>
      <w:marLeft w:val="0"/>
      <w:marRight w:val="0"/>
      <w:marTop w:val="0"/>
      <w:marBottom w:val="0"/>
      <w:divBdr>
        <w:top w:val="none" w:sz="0" w:space="0" w:color="auto"/>
        <w:left w:val="none" w:sz="0" w:space="0" w:color="auto"/>
        <w:bottom w:val="none" w:sz="0" w:space="0" w:color="auto"/>
        <w:right w:val="none" w:sz="0" w:space="0" w:color="auto"/>
      </w:divBdr>
    </w:div>
    <w:div w:id="259874499">
      <w:bodyDiv w:val="1"/>
      <w:marLeft w:val="0"/>
      <w:marRight w:val="0"/>
      <w:marTop w:val="0"/>
      <w:marBottom w:val="0"/>
      <w:divBdr>
        <w:top w:val="none" w:sz="0" w:space="0" w:color="auto"/>
        <w:left w:val="none" w:sz="0" w:space="0" w:color="auto"/>
        <w:bottom w:val="none" w:sz="0" w:space="0" w:color="auto"/>
        <w:right w:val="none" w:sz="0" w:space="0" w:color="auto"/>
      </w:divBdr>
    </w:div>
    <w:div w:id="291984332">
      <w:bodyDiv w:val="1"/>
      <w:marLeft w:val="0"/>
      <w:marRight w:val="0"/>
      <w:marTop w:val="0"/>
      <w:marBottom w:val="0"/>
      <w:divBdr>
        <w:top w:val="none" w:sz="0" w:space="0" w:color="auto"/>
        <w:left w:val="none" w:sz="0" w:space="0" w:color="auto"/>
        <w:bottom w:val="none" w:sz="0" w:space="0" w:color="auto"/>
        <w:right w:val="none" w:sz="0" w:space="0" w:color="auto"/>
      </w:divBdr>
    </w:div>
    <w:div w:id="300037140">
      <w:bodyDiv w:val="1"/>
      <w:marLeft w:val="0"/>
      <w:marRight w:val="0"/>
      <w:marTop w:val="0"/>
      <w:marBottom w:val="0"/>
      <w:divBdr>
        <w:top w:val="none" w:sz="0" w:space="0" w:color="auto"/>
        <w:left w:val="none" w:sz="0" w:space="0" w:color="auto"/>
        <w:bottom w:val="none" w:sz="0" w:space="0" w:color="auto"/>
        <w:right w:val="none" w:sz="0" w:space="0" w:color="auto"/>
      </w:divBdr>
    </w:div>
    <w:div w:id="337540503">
      <w:bodyDiv w:val="1"/>
      <w:marLeft w:val="0"/>
      <w:marRight w:val="0"/>
      <w:marTop w:val="0"/>
      <w:marBottom w:val="0"/>
      <w:divBdr>
        <w:top w:val="none" w:sz="0" w:space="0" w:color="auto"/>
        <w:left w:val="none" w:sz="0" w:space="0" w:color="auto"/>
        <w:bottom w:val="none" w:sz="0" w:space="0" w:color="auto"/>
        <w:right w:val="none" w:sz="0" w:space="0" w:color="auto"/>
      </w:divBdr>
    </w:div>
    <w:div w:id="377897755">
      <w:bodyDiv w:val="1"/>
      <w:marLeft w:val="0"/>
      <w:marRight w:val="0"/>
      <w:marTop w:val="0"/>
      <w:marBottom w:val="0"/>
      <w:divBdr>
        <w:top w:val="none" w:sz="0" w:space="0" w:color="auto"/>
        <w:left w:val="none" w:sz="0" w:space="0" w:color="auto"/>
        <w:bottom w:val="none" w:sz="0" w:space="0" w:color="auto"/>
        <w:right w:val="none" w:sz="0" w:space="0" w:color="auto"/>
      </w:divBdr>
    </w:div>
    <w:div w:id="577788473">
      <w:bodyDiv w:val="1"/>
      <w:marLeft w:val="0"/>
      <w:marRight w:val="0"/>
      <w:marTop w:val="0"/>
      <w:marBottom w:val="0"/>
      <w:divBdr>
        <w:top w:val="none" w:sz="0" w:space="0" w:color="auto"/>
        <w:left w:val="none" w:sz="0" w:space="0" w:color="auto"/>
        <w:bottom w:val="none" w:sz="0" w:space="0" w:color="auto"/>
        <w:right w:val="none" w:sz="0" w:space="0" w:color="auto"/>
      </w:divBdr>
    </w:div>
    <w:div w:id="657924660">
      <w:bodyDiv w:val="1"/>
      <w:marLeft w:val="0"/>
      <w:marRight w:val="0"/>
      <w:marTop w:val="0"/>
      <w:marBottom w:val="0"/>
      <w:divBdr>
        <w:top w:val="none" w:sz="0" w:space="0" w:color="auto"/>
        <w:left w:val="none" w:sz="0" w:space="0" w:color="auto"/>
        <w:bottom w:val="none" w:sz="0" w:space="0" w:color="auto"/>
        <w:right w:val="none" w:sz="0" w:space="0" w:color="auto"/>
      </w:divBdr>
    </w:div>
    <w:div w:id="827014144">
      <w:bodyDiv w:val="1"/>
      <w:marLeft w:val="0"/>
      <w:marRight w:val="0"/>
      <w:marTop w:val="0"/>
      <w:marBottom w:val="0"/>
      <w:divBdr>
        <w:top w:val="none" w:sz="0" w:space="0" w:color="auto"/>
        <w:left w:val="none" w:sz="0" w:space="0" w:color="auto"/>
        <w:bottom w:val="none" w:sz="0" w:space="0" w:color="auto"/>
        <w:right w:val="none" w:sz="0" w:space="0" w:color="auto"/>
      </w:divBdr>
    </w:div>
    <w:div w:id="840319771">
      <w:bodyDiv w:val="1"/>
      <w:marLeft w:val="0"/>
      <w:marRight w:val="0"/>
      <w:marTop w:val="0"/>
      <w:marBottom w:val="0"/>
      <w:divBdr>
        <w:top w:val="none" w:sz="0" w:space="0" w:color="auto"/>
        <w:left w:val="none" w:sz="0" w:space="0" w:color="auto"/>
        <w:bottom w:val="none" w:sz="0" w:space="0" w:color="auto"/>
        <w:right w:val="none" w:sz="0" w:space="0" w:color="auto"/>
      </w:divBdr>
    </w:div>
    <w:div w:id="842624271">
      <w:bodyDiv w:val="1"/>
      <w:marLeft w:val="0"/>
      <w:marRight w:val="0"/>
      <w:marTop w:val="0"/>
      <w:marBottom w:val="0"/>
      <w:divBdr>
        <w:top w:val="none" w:sz="0" w:space="0" w:color="auto"/>
        <w:left w:val="none" w:sz="0" w:space="0" w:color="auto"/>
        <w:bottom w:val="none" w:sz="0" w:space="0" w:color="auto"/>
        <w:right w:val="none" w:sz="0" w:space="0" w:color="auto"/>
      </w:divBdr>
    </w:div>
    <w:div w:id="906111874">
      <w:bodyDiv w:val="1"/>
      <w:marLeft w:val="0"/>
      <w:marRight w:val="0"/>
      <w:marTop w:val="0"/>
      <w:marBottom w:val="0"/>
      <w:divBdr>
        <w:top w:val="none" w:sz="0" w:space="0" w:color="auto"/>
        <w:left w:val="none" w:sz="0" w:space="0" w:color="auto"/>
        <w:bottom w:val="none" w:sz="0" w:space="0" w:color="auto"/>
        <w:right w:val="none" w:sz="0" w:space="0" w:color="auto"/>
      </w:divBdr>
    </w:div>
    <w:div w:id="934090683">
      <w:bodyDiv w:val="1"/>
      <w:marLeft w:val="0"/>
      <w:marRight w:val="0"/>
      <w:marTop w:val="0"/>
      <w:marBottom w:val="0"/>
      <w:divBdr>
        <w:top w:val="none" w:sz="0" w:space="0" w:color="auto"/>
        <w:left w:val="none" w:sz="0" w:space="0" w:color="auto"/>
        <w:bottom w:val="none" w:sz="0" w:space="0" w:color="auto"/>
        <w:right w:val="none" w:sz="0" w:space="0" w:color="auto"/>
      </w:divBdr>
    </w:div>
    <w:div w:id="935210844">
      <w:bodyDiv w:val="1"/>
      <w:marLeft w:val="0"/>
      <w:marRight w:val="0"/>
      <w:marTop w:val="0"/>
      <w:marBottom w:val="0"/>
      <w:divBdr>
        <w:top w:val="none" w:sz="0" w:space="0" w:color="auto"/>
        <w:left w:val="none" w:sz="0" w:space="0" w:color="auto"/>
        <w:bottom w:val="none" w:sz="0" w:space="0" w:color="auto"/>
        <w:right w:val="none" w:sz="0" w:space="0" w:color="auto"/>
      </w:divBdr>
    </w:div>
    <w:div w:id="944464607">
      <w:bodyDiv w:val="1"/>
      <w:marLeft w:val="0"/>
      <w:marRight w:val="0"/>
      <w:marTop w:val="0"/>
      <w:marBottom w:val="0"/>
      <w:divBdr>
        <w:top w:val="none" w:sz="0" w:space="0" w:color="auto"/>
        <w:left w:val="none" w:sz="0" w:space="0" w:color="auto"/>
        <w:bottom w:val="none" w:sz="0" w:space="0" w:color="auto"/>
        <w:right w:val="none" w:sz="0" w:space="0" w:color="auto"/>
      </w:divBdr>
    </w:div>
    <w:div w:id="977606766">
      <w:bodyDiv w:val="1"/>
      <w:marLeft w:val="0"/>
      <w:marRight w:val="0"/>
      <w:marTop w:val="0"/>
      <w:marBottom w:val="0"/>
      <w:divBdr>
        <w:top w:val="none" w:sz="0" w:space="0" w:color="auto"/>
        <w:left w:val="none" w:sz="0" w:space="0" w:color="auto"/>
        <w:bottom w:val="none" w:sz="0" w:space="0" w:color="auto"/>
        <w:right w:val="none" w:sz="0" w:space="0" w:color="auto"/>
      </w:divBdr>
    </w:div>
    <w:div w:id="1160731997">
      <w:bodyDiv w:val="1"/>
      <w:marLeft w:val="0"/>
      <w:marRight w:val="0"/>
      <w:marTop w:val="0"/>
      <w:marBottom w:val="0"/>
      <w:divBdr>
        <w:top w:val="none" w:sz="0" w:space="0" w:color="auto"/>
        <w:left w:val="none" w:sz="0" w:space="0" w:color="auto"/>
        <w:bottom w:val="none" w:sz="0" w:space="0" w:color="auto"/>
        <w:right w:val="none" w:sz="0" w:space="0" w:color="auto"/>
      </w:divBdr>
    </w:div>
    <w:div w:id="1181310776">
      <w:bodyDiv w:val="1"/>
      <w:marLeft w:val="0"/>
      <w:marRight w:val="0"/>
      <w:marTop w:val="0"/>
      <w:marBottom w:val="0"/>
      <w:divBdr>
        <w:top w:val="none" w:sz="0" w:space="0" w:color="auto"/>
        <w:left w:val="none" w:sz="0" w:space="0" w:color="auto"/>
        <w:bottom w:val="none" w:sz="0" w:space="0" w:color="auto"/>
        <w:right w:val="none" w:sz="0" w:space="0" w:color="auto"/>
      </w:divBdr>
    </w:div>
    <w:div w:id="1233547271">
      <w:bodyDiv w:val="1"/>
      <w:marLeft w:val="0"/>
      <w:marRight w:val="0"/>
      <w:marTop w:val="0"/>
      <w:marBottom w:val="0"/>
      <w:divBdr>
        <w:top w:val="none" w:sz="0" w:space="0" w:color="auto"/>
        <w:left w:val="none" w:sz="0" w:space="0" w:color="auto"/>
        <w:bottom w:val="none" w:sz="0" w:space="0" w:color="auto"/>
        <w:right w:val="none" w:sz="0" w:space="0" w:color="auto"/>
      </w:divBdr>
    </w:div>
    <w:div w:id="1285697526">
      <w:bodyDiv w:val="1"/>
      <w:marLeft w:val="0"/>
      <w:marRight w:val="0"/>
      <w:marTop w:val="0"/>
      <w:marBottom w:val="0"/>
      <w:divBdr>
        <w:top w:val="none" w:sz="0" w:space="0" w:color="auto"/>
        <w:left w:val="none" w:sz="0" w:space="0" w:color="auto"/>
        <w:bottom w:val="none" w:sz="0" w:space="0" w:color="auto"/>
        <w:right w:val="none" w:sz="0" w:space="0" w:color="auto"/>
      </w:divBdr>
    </w:div>
    <w:div w:id="1299411128">
      <w:bodyDiv w:val="1"/>
      <w:marLeft w:val="0"/>
      <w:marRight w:val="0"/>
      <w:marTop w:val="0"/>
      <w:marBottom w:val="0"/>
      <w:divBdr>
        <w:top w:val="none" w:sz="0" w:space="0" w:color="auto"/>
        <w:left w:val="none" w:sz="0" w:space="0" w:color="auto"/>
        <w:bottom w:val="none" w:sz="0" w:space="0" w:color="auto"/>
        <w:right w:val="none" w:sz="0" w:space="0" w:color="auto"/>
      </w:divBdr>
    </w:div>
    <w:div w:id="1306470753">
      <w:bodyDiv w:val="1"/>
      <w:marLeft w:val="0"/>
      <w:marRight w:val="0"/>
      <w:marTop w:val="0"/>
      <w:marBottom w:val="0"/>
      <w:divBdr>
        <w:top w:val="none" w:sz="0" w:space="0" w:color="auto"/>
        <w:left w:val="none" w:sz="0" w:space="0" w:color="auto"/>
        <w:bottom w:val="none" w:sz="0" w:space="0" w:color="auto"/>
        <w:right w:val="none" w:sz="0" w:space="0" w:color="auto"/>
      </w:divBdr>
    </w:div>
    <w:div w:id="1315914485">
      <w:bodyDiv w:val="1"/>
      <w:marLeft w:val="0"/>
      <w:marRight w:val="0"/>
      <w:marTop w:val="0"/>
      <w:marBottom w:val="0"/>
      <w:divBdr>
        <w:top w:val="none" w:sz="0" w:space="0" w:color="auto"/>
        <w:left w:val="none" w:sz="0" w:space="0" w:color="auto"/>
        <w:bottom w:val="none" w:sz="0" w:space="0" w:color="auto"/>
        <w:right w:val="none" w:sz="0" w:space="0" w:color="auto"/>
      </w:divBdr>
    </w:div>
    <w:div w:id="1362244071">
      <w:bodyDiv w:val="1"/>
      <w:marLeft w:val="0"/>
      <w:marRight w:val="0"/>
      <w:marTop w:val="0"/>
      <w:marBottom w:val="0"/>
      <w:divBdr>
        <w:top w:val="none" w:sz="0" w:space="0" w:color="auto"/>
        <w:left w:val="none" w:sz="0" w:space="0" w:color="auto"/>
        <w:bottom w:val="none" w:sz="0" w:space="0" w:color="auto"/>
        <w:right w:val="none" w:sz="0" w:space="0" w:color="auto"/>
      </w:divBdr>
    </w:div>
    <w:div w:id="1434326792">
      <w:bodyDiv w:val="1"/>
      <w:marLeft w:val="0"/>
      <w:marRight w:val="0"/>
      <w:marTop w:val="0"/>
      <w:marBottom w:val="0"/>
      <w:divBdr>
        <w:top w:val="none" w:sz="0" w:space="0" w:color="auto"/>
        <w:left w:val="none" w:sz="0" w:space="0" w:color="auto"/>
        <w:bottom w:val="none" w:sz="0" w:space="0" w:color="auto"/>
        <w:right w:val="none" w:sz="0" w:space="0" w:color="auto"/>
      </w:divBdr>
    </w:div>
    <w:div w:id="1466434754">
      <w:bodyDiv w:val="1"/>
      <w:marLeft w:val="0"/>
      <w:marRight w:val="0"/>
      <w:marTop w:val="0"/>
      <w:marBottom w:val="0"/>
      <w:divBdr>
        <w:top w:val="none" w:sz="0" w:space="0" w:color="auto"/>
        <w:left w:val="none" w:sz="0" w:space="0" w:color="auto"/>
        <w:bottom w:val="none" w:sz="0" w:space="0" w:color="auto"/>
        <w:right w:val="none" w:sz="0" w:space="0" w:color="auto"/>
      </w:divBdr>
    </w:div>
    <w:div w:id="1552422599">
      <w:bodyDiv w:val="1"/>
      <w:marLeft w:val="0"/>
      <w:marRight w:val="0"/>
      <w:marTop w:val="0"/>
      <w:marBottom w:val="0"/>
      <w:divBdr>
        <w:top w:val="none" w:sz="0" w:space="0" w:color="auto"/>
        <w:left w:val="none" w:sz="0" w:space="0" w:color="auto"/>
        <w:bottom w:val="none" w:sz="0" w:space="0" w:color="auto"/>
        <w:right w:val="none" w:sz="0" w:space="0" w:color="auto"/>
      </w:divBdr>
    </w:div>
    <w:div w:id="1592351273">
      <w:bodyDiv w:val="1"/>
      <w:marLeft w:val="0"/>
      <w:marRight w:val="0"/>
      <w:marTop w:val="0"/>
      <w:marBottom w:val="0"/>
      <w:divBdr>
        <w:top w:val="none" w:sz="0" w:space="0" w:color="auto"/>
        <w:left w:val="none" w:sz="0" w:space="0" w:color="auto"/>
        <w:bottom w:val="none" w:sz="0" w:space="0" w:color="auto"/>
        <w:right w:val="none" w:sz="0" w:space="0" w:color="auto"/>
      </w:divBdr>
    </w:div>
    <w:div w:id="1665476598">
      <w:bodyDiv w:val="1"/>
      <w:marLeft w:val="0"/>
      <w:marRight w:val="0"/>
      <w:marTop w:val="0"/>
      <w:marBottom w:val="0"/>
      <w:divBdr>
        <w:top w:val="none" w:sz="0" w:space="0" w:color="auto"/>
        <w:left w:val="none" w:sz="0" w:space="0" w:color="auto"/>
        <w:bottom w:val="none" w:sz="0" w:space="0" w:color="auto"/>
        <w:right w:val="none" w:sz="0" w:space="0" w:color="auto"/>
      </w:divBdr>
    </w:div>
    <w:div w:id="1715961021">
      <w:bodyDiv w:val="1"/>
      <w:marLeft w:val="0"/>
      <w:marRight w:val="0"/>
      <w:marTop w:val="0"/>
      <w:marBottom w:val="0"/>
      <w:divBdr>
        <w:top w:val="none" w:sz="0" w:space="0" w:color="auto"/>
        <w:left w:val="none" w:sz="0" w:space="0" w:color="auto"/>
        <w:bottom w:val="none" w:sz="0" w:space="0" w:color="auto"/>
        <w:right w:val="none" w:sz="0" w:space="0" w:color="auto"/>
      </w:divBdr>
    </w:div>
    <w:div w:id="1718627637">
      <w:bodyDiv w:val="1"/>
      <w:marLeft w:val="0"/>
      <w:marRight w:val="0"/>
      <w:marTop w:val="0"/>
      <w:marBottom w:val="0"/>
      <w:divBdr>
        <w:top w:val="none" w:sz="0" w:space="0" w:color="auto"/>
        <w:left w:val="none" w:sz="0" w:space="0" w:color="auto"/>
        <w:bottom w:val="none" w:sz="0" w:space="0" w:color="auto"/>
        <w:right w:val="none" w:sz="0" w:space="0" w:color="auto"/>
      </w:divBdr>
    </w:div>
    <w:div w:id="1742096465">
      <w:bodyDiv w:val="1"/>
      <w:marLeft w:val="0"/>
      <w:marRight w:val="0"/>
      <w:marTop w:val="0"/>
      <w:marBottom w:val="0"/>
      <w:divBdr>
        <w:top w:val="none" w:sz="0" w:space="0" w:color="auto"/>
        <w:left w:val="none" w:sz="0" w:space="0" w:color="auto"/>
        <w:bottom w:val="none" w:sz="0" w:space="0" w:color="auto"/>
        <w:right w:val="none" w:sz="0" w:space="0" w:color="auto"/>
      </w:divBdr>
    </w:div>
    <w:div w:id="1742947908">
      <w:bodyDiv w:val="1"/>
      <w:marLeft w:val="0"/>
      <w:marRight w:val="0"/>
      <w:marTop w:val="0"/>
      <w:marBottom w:val="0"/>
      <w:divBdr>
        <w:top w:val="none" w:sz="0" w:space="0" w:color="auto"/>
        <w:left w:val="none" w:sz="0" w:space="0" w:color="auto"/>
        <w:bottom w:val="none" w:sz="0" w:space="0" w:color="auto"/>
        <w:right w:val="none" w:sz="0" w:space="0" w:color="auto"/>
      </w:divBdr>
    </w:div>
    <w:div w:id="180318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105</TotalTime>
  <Pages>7</Pages>
  <Words>1715</Words>
  <Characters>11711</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2021120838 mt</dc:description>
  <cp:lastModifiedBy>Hanne Thy Iversen</cp:lastModifiedBy>
  <cp:revision>10</cp:revision>
  <cp:lastPrinted>2012-08-22T08:53:00Z</cp:lastPrinted>
  <dcterms:created xsi:type="dcterms:W3CDTF">2023-10-17T09:23:00Z</dcterms:created>
  <dcterms:modified xsi:type="dcterms:W3CDTF">2023-10-17T12:54:00Z</dcterms:modified>
</cp:coreProperties>
</file>