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4AEF" w14:textId="784F7C7F" w:rsidR="009260DE" w:rsidRPr="00C84483" w:rsidRDefault="0021526C" w:rsidP="00695AC0">
      <w:pPr>
        <w:rPr>
          <w:b/>
          <w:szCs w:val="24"/>
        </w:rPr>
      </w:pPr>
      <w:r w:rsidRPr="009260DE">
        <w:rPr>
          <w:noProof/>
          <w:sz w:val="24"/>
          <w:szCs w:val="24"/>
          <w:lang w:eastAsia="da-DK"/>
        </w:rPr>
        <w:drawing>
          <wp:anchor distT="0" distB="0" distL="114300" distR="114300" simplePos="0" relativeHeight="251658240" behindDoc="0" locked="0" layoutInCell="1" allowOverlap="1" wp14:anchorId="25C6A3BE" wp14:editId="50847E8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6C8363D3" w14:textId="79E35BF8"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577019">
        <w:rPr>
          <w:szCs w:val="24"/>
        </w:rPr>
        <w:t>26. maj 2026</w:t>
      </w:r>
    </w:p>
    <w:p w14:paraId="07998DEB" w14:textId="77777777" w:rsidR="009260DE" w:rsidRPr="00C84483" w:rsidRDefault="009260DE" w:rsidP="009260DE">
      <w:pPr>
        <w:pStyle w:val="Titel"/>
        <w:tabs>
          <w:tab w:val="left" w:pos="8222"/>
        </w:tabs>
        <w:jc w:val="left"/>
        <w:rPr>
          <w:b w:val="0"/>
          <w:szCs w:val="24"/>
        </w:rPr>
      </w:pPr>
    </w:p>
    <w:p w14:paraId="28E61204" w14:textId="77777777" w:rsidR="009260DE" w:rsidRPr="00C84483" w:rsidRDefault="009260DE" w:rsidP="009260DE">
      <w:pPr>
        <w:pStyle w:val="Titel"/>
        <w:jc w:val="left"/>
        <w:rPr>
          <w:b w:val="0"/>
          <w:szCs w:val="24"/>
        </w:rPr>
      </w:pPr>
    </w:p>
    <w:p w14:paraId="1D4DEC49" w14:textId="77777777" w:rsidR="009260DE" w:rsidRPr="00C84483" w:rsidRDefault="009260DE" w:rsidP="009260DE">
      <w:pPr>
        <w:pStyle w:val="Titel"/>
        <w:jc w:val="left"/>
        <w:rPr>
          <w:b w:val="0"/>
          <w:szCs w:val="24"/>
        </w:rPr>
      </w:pPr>
    </w:p>
    <w:p w14:paraId="516E7546" w14:textId="77777777" w:rsidR="009260DE" w:rsidRPr="00C84483" w:rsidRDefault="009260DE" w:rsidP="009260DE">
      <w:pPr>
        <w:jc w:val="center"/>
        <w:rPr>
          <w:b/>
          <w:sz w:val="24"/>
          <w:szCs w:val="24"/>
        </w:rPr>
      </w:pPr>
      <w:r w:rsidRPr="00C84483">
        <w:rPr>
          <w:b/>
          <w:sz w:val="24"/>
          <w:szCs w:val="24"/>
        </w:rPr>
        <w:t>PRODUKTRESUMÉ</w:t>
      </w:r>
    </w:p>
    <w:p w14:paraId="1595E695" w14:textId="77777777" w:rsidR="009260DE" w:rsidRPr="00C84483" w:rsidRDefault="009260DE" w:rsidP="009260DE">
      <w:pPr>
        <w:jc w:val="center"/>
        <w:rPr>
          <w:b/>
          <w:sz w:val="24"/>
          <w:szCs w:val="24"/>
        </w:rPr>
      </w:pPr>
    </w:p>
    <w:p w14:paraId="32BBA80A" w14:textId="77777777" w:rsidR="009260DE" w:rsidRDefault="009260DE" w:rsidP="009260DE">
      <w:pPr>
        <w:jc w:val="center"/>
        <w:rPr>
          <w:b/>
          <w:sz w:val="24"/>
          <w:szCs w:val="24"/>
        </w:rPr>
      </w:pPr>
      <w:r w:rsidRPr="00C84483">
        <w:rPr>
          <w:b/>
          <w:sz w:val="24"/>
          <w:szCs w:val="24"/>
        </w:rPr>
        <w:t>for</w:t>
      </w:r>
    </w:p>
    <w:p w14:paraId="642A4D2A" w14:textId="77777777" w:rsidR="000B058C" w:rsidRPr="00C84483" w:rsidRDefault="000B058C" w:rsidP="009260DE">
      <w:pPr>
        <w:jc w:val="center"/>
        <w:rPr>
          <w:b/>
          <w:sz w:val="24"/>
          <w:szCs w:val="24"/>
        </w:rPr>
      </w:pPr>
    </w:p>
    <w:p w14:paraId="45DF33AD" w14:textId="65884ED9" w:rsidR="009260DE" w:rsidRPr="00C84483" w:rsidRDefault="00D27A53" w:rsidP="009260DE">
      <w:pPr>
        <w:jc w:val="center"/>
        <w:rPr>
          <w:b/>
          <w:sz w:val="24"/>
          <w:szCs w:val="24"/>
        </w:rPr>
      </w:pPr>
      <w:proofErr w:type="spellStart"/>
      <w:r>
        <w:rPr>
          <w:b/>
          <w:sz w:val="24"/>
          <w:szCs w:val="24"/>
        </w:rPr>
        <w:t>Pylera</w:t>
      </w:r>
      <w:proofErr w:type="spellEnd"/>
      <w:r>
        <w:rPr>
          <w:b/>
          <w:sz w:val="24"/>
          <w:szCs w:val="24"/>
        </w:rPr>
        <w:t>, hårde kapsler</w:t>
      </w:r>
    </w:p>
    <w:p w14:paraId="1ECE5183" w14:textId="77777777" w:rsidR="009260DE" w:rsidRPr="00C84483" w:rsidRDefault="009260DE" w:rsidP="009260DE">
      <w:pPr>
        <w:jc w:val="both"/>
        <w:rPr>
          <w:sz w:val="24"/>
          <w:szCs w:val="24"/>
        </w:rPr>
      </w:pPr>
    </w:p>
    <w:p w14:paraId="6C19C403" w14:textId="77777777" w:rsidR="009260DE" w:rsidRPr="00A27D30" w:rsidRDefault="009260DE" w:rsidP="009260DE">
      <w:pPr>
        <w:jc w:val="both"/>
        <w:rPr>
          <w:sz w:val="24"/>
          <w:szCs w:val="24"/>
        </w:rPr>
      </w:pPr>
    </w:p>
    <w:p w14:paraId="3381947C" w14:textId="77777777" w:rsidR="009260DE" w:rsidRPr="00A27D30" w:rsidRDefault="009260DE" w:rsidP="009260DE">
      <w:pPr>
        <w:tabs>
          <w:tab w:val="left" w:pos="851"/>
        </w:tabs>
        <w:ind w:left="851" w:hanging="851"/>
        <w:rPr>
          <w:b/>
          <w:sz w:val="24"/>
          <w:szCs w:val="24"/>
        </w:rPr>
      </w:pPr>
      <w:r w:rsidRPr="00A27D30">
        <w:rPr>
          <w:b/>
          <w:sz w:val="24"/>
          <w:szCs w:val="24"/>
        </w:rPr>
        <w:t>0.</w:t>
      </w:r>
      <w:r w:rsidRPr="00A27D30">
        <w:rPr>
          <w:b/>
          <w:sz w:val="24"/>
          <w:szCs w:val="24"/>
        </w:rPr>
        <w:tab/>
        <w:t>D.SP.NR.</w:t>
      </w:r>
    </w:p>
    <w:p w14:paraId="0D2A3A62" w14:textId="31A39C69" w:rsidR="009260DE" w:rsidRPr="00A27D30" w:rsidRDefault="00D27A53" w:rsidP="009260DE">
      <w:pPr>
        <w:tabs>
          <w:tab w:val="left" w:pos="851"/>
        </w:tabs>
        <w:ind w:left="851"/>
        <w:rPr>
          <w:sz w:val="24"/>
          <w:szCs w:val="24"/>
        </w:rPr>
      </w:pPr>
      <w:r w:rsidRPr="00A27D30">
        <w:rPr>
          <w:sz w:val="24"/>
          <w:szCs w:val="24"/>
        </w:rPr>
        <w:t>34800</w:t>
      </w:r>
    </w:p>
    <w:p w14:paraId="280E7335" w14:textId="77777777" w:rsidR="009260DE" w:rsidRPr="00A27D30" w:rsidRDefault="009260DE" w:rsidP="009260DE">
      <w:pPr>
        <w:tabs>
          <w:tab w:val="left" w:pos="851"/>
        </w:tabs>
        <w:ind w:left="851"/>
        <w:rPr>
          <w:sz w:val="24"/>
          <w:szCs w:val="24"/>
        </w:rPr>
      </w:pPr>
    </w:p>
    <w:p w14:paraId="4D66752C" w14:textId="77777777" w:rsidR="009260DE" w:rsidRPr="00A27D30" w:rsidRDefault="009260DE" w:rsidP="009260DE">
      <w:pPr>
        <w:tabs>
          <w:tab w:val="left" w:pos="851"/>
        </w:tabs>
        <w:ind w:left="851" w:hanging="851"/>
        <w:rPr>
          <w:b/>
          <w:sz w:val="24"/>
          <w:szCs w:val="24"/>
        </w:rPr>
      </w:pPr>
      <w:r w:rsidRPr="00A27D30">
        <w:rPr>
          <w:b/>
          <w:sz w:val="24"/>
          <w:szCs w:val="24"/>
        </w:rPr>
        <w:t>1.</w:t>
      </w:r>
      <w:r w:rsidRPr="00A27D30">
        <w:rPr>
          <w:b/>
          <w:sz w:val="24"/>
          <w:szCs w:val="24"/>
        </w:rPr>
        <w:tab/>
        <w:t>LÆGEMIDLETS NAVN</w:t>
      </w:r>
    </w:p>
    <w:p w14:paraId="6EA9E64F" w14:textId="58223D4C" w:rsidR="009260DE" w:rsidRPr="00A27D30" w:rsidRDefault="00D27A53" w:rsidP="009260DE">
      <w:pPr>
        <w:tabs>
          <w:tab w:val="left" w:pos="851"/>
        </w:tabs>
        <w:ind w:left="851"/>
        <w:rPr>
          <w:sz w:val="24"/>
          <w:szCs w:val="24"/>
        </w:rPr>
      </w:pPr>
      <w:proofErr w:type="spellStart"/>
      <w:r w:rsidRPr="00A27D30">
        <w:rPr>
          <w:sz w:val="24"/>
          <w:szCs w:val="24"/>
        </w:rPr>
        <w:t>Pylera</w:t>
      </w:r>
      <w:proofErr w:type="spellEnd"/>
    </w:p>
    <w:p w14:paraId="06F54FED" w14:textId="77777777" w:rsidR="009260DE" w:rsidRPr="00A27D30" w:rsidRDefault="009260DE" w:rsidP="009260DE">
      <w:pPr>
        <w:tabs>
          <w:tab w:val="left" w:pos="851"/>
        </w:tabs>
        <w:ind w:left="851"/>
        <w:rPr>
          <w:sz w:val="24"/>
          <w:szCs w:val="24"/>
        </w:rPr>
      </w:pPr>
    </w:p>
    <w:p w14:paraId="0C07E7E1" w14:textId="77777777" w:rsidR="009260DE" w:rsidRPr="00A27D30" w:rsidRDefault="009260DE" w:rsidP="009260DE">
      <w:pPr>
        <w:tabs>
          <w:tab w:val="left" w:pos="851"/>
        </w:tabs>
        <w:ind w:left="851" w:hanging="851"/>
        <w:rPr>
          <w:b/>
          <w:sz w:val="24"/>
          <w:szCs w:val="24"/>
        </w:rPr>
      </w:pPr>
      <w:r w:rsidRPr="00A27D30">
        <w:rPr>
          <w:b/>
          <w:sz w:val="24"/>
          <w:szCs w:val="24"/>
        </w:rPr>
        <w:t>2.</w:t>
      </w:r>
      <w:r w:rsidRPr="00A27D30">
        <w:rPr>
          <w:b/>
          <w:sz w:val="24"/>
          <w:szCs w:val="24"/>
        </w:rPr>
        <w:tab/>
        <w:t>KVALITATIV OG KVANTITATIV SAMMENSÆTNING</w:t>
      </w:r>
    </w:p>
    <w:p w14:paraId="77A9B1AE" w14:textId="77777777" w:rsidR="00D27A53" w:rsidRPr="00D27A53" w:rsidRDefault="00D27A53" w:rsidP="00695AC0">
      <w:pPr>
        <w:ind w:left="851"/>
        <w:rPr>
          <w:sz w:val="24"/>
          <w:szCs w:val="24"/>
        </w:rPr>
      </w:pPr>
      <w:r w:rsidRPr="00D27A53">
        <w:rPr>
          <w:sz w:val="24"/>
          <w:szCs w:val="24"/>
          <w:lang w:bidi="da-DK"/>
        </w:rPr>
        <w:t xml:space="preserve">Hver kapsel indeholder 140 mg </w:t>
      </w:r>
      <w:bookmarkStart w:id="0" w:name="_Hlk230676776"/>
      <w:proofErr w:type="spellStart"/>
      <w:r w:rsidRPr="00D27A53">
        <w:rPr>
          <w:sz w:val="24"/>
          <w:szCs w:val="24"/>
          <w:lang w:bidi="da-DK"/>
        </w:rPr>
        <w:t>bismuthsubcitratkalium</w:t>
      </w:r>
      <w:bookmarkEnd w:id="0"/>
      <w:proofErr w:type="spellEnd"/>
      <w:r w:rsidRPr="00D27A53">
        <w:rPr>
          <w:sz w:val="24"/>
          <w:szCs w:val="24"/>
          <w:lang w:bidi="da-DK"/>
        </w:rPr>
        <w:t xml:space="preserve"> (svarende til 40 mg </w:t>
      </w:r>
      <w:proofErr w:type="spellStart"/>
      <w:r w:rsidRPr="00D27A53">
        <w:rPr>
          <w:sz w:val="24"/>
          <w:szCs w:val="24"/>
          <w:lang w:bidi="da-DK"/>
        </w:rPr>
        <w:t>bismuthoxid</w:t>
      </w:r>
      <w:proofErr w:type="spellEnd"/>
      <w:r w:rsidRPr="00D27A53">
        <w:rPr>
          <w:sz w:val="24"/>
          <w:szCs w:val="24"/>
          <w:lang w:bidi="da-DK"/>
        </w:rPr>
        <w:t xml:space="preserve">), 125 mg </w:t>
      </w:r>
      <w:bookmarkStart w:id="1" w:name="_Hlk230676789"/>
      <w:proofErr w:type="spellStart"/>
      <w:r w:rsidRPr="00D27A53">
        <w:rPr>
          <w:sz w:val="24"/>
          <w:szCs w:val="24"/>
          <w:lang w:bidi="da-DK"/>
        </w:rPr>
        <w:t>metronidazol</w:t>
      </w:r>
      <w:bookmarkEnd w:id="1"/>
      <w:proofErr w:type="spellEnd"/>
      <w:r w:rsidRPr="00D27A53">
        <w:rPr>
          <w:sz w:val="24"/>
          <w:szCs w:val="24"/>
          <w:lang w:bidi="da-DK"/>
        </w:rPr>
        <w:t xml:space="preserve"> og 125 mg </w:t>
      </w:r>
      <w:bookmarkStart w:id="2" w:name="_Hlk230676799"/>
      <w:proofErr w:type="spellStart"/>
      <w:r w:rsidRPr="00D27A53">
        <w:rPr>
          <w:sz w:val="24"/>
          <w:szCs w:val="24"/>
          <w:lang w:bidi="da-DK"/>
        </w:rPr>
        <w:t>tetracyclinhydrochlorid</w:t>
      </w:r>
      <w:bookmarkEnd w:id="2"/>
      <w:proofErr w:type="spellEnd"/>
      <w:r w:rsidRPr="00D27A53">
        <w:rPr>
          <w:sz w:val="24"/>
          <w:szCs w:val="24"/>
          <w:lang w:bidi="da-DK"/>
        </w:rPr>
        <w:t>.</w:t>
      </w:r>
    </w:p>
    <w:p w14:paraId="44125E2A" w14:textId="77777777" w:rsidR="00D27A53" w:rsidRPr="00D27A53" w:rsidRDefault="00D27A53" w:rsidP="00695AC0">
      <w:pPr>
        <w:ind w:left="851"/>
        <w:rPr>
          <w:sz w:val="24"/>
          <w:szCs w:val="24"/>
        </w:rPr>
      </w:pPr>
    </w:p>
    <w:p w14:paraId="0FB35823" w14:textId="77777777" w:rsidR="00D27A53" w:rsidRPr="00D27A53" w:rsidRDefault="00D27A53" w:rsidP="00695AC0">
      <w:pPr>
        <w:ind w:left="851"/>
        <w:rPr>
          <w:sz w:val="24"/>
          <w:szCs w:val="24"/>
        </w:rPr>
      </w:pPr>
      <w:r w:rsidRPr="00D27A53">
        <w:rPr>
          <w:sz w:val="24"/>
          <w:szCs w:val="24"/>
          <w:lang w:bidi="da-DK"/>
        </w:rPr>
        <w:t xml:space="preserve">Hjælpestoffer som behandleren skal være bekendt med: Hver kapsel indeholder 61 mg </w:t>
      </w:r>
      <w:proofErr w:type="spellStart"/>
      <w:r w:rsidRPr="00D27A53">
        <w:rPr>
          <w:sz w:val="24"/>
          <w:szCs w:val="24"/>
          <w:lang w:bidi="da-DK"/>
        </w:rPr>
        <w:t>lactosemonohydrat</w:t>
      </w:r>
      <w:proofErr w:type="spellEnd"/>
      <w:r w:rsidRPr="00D27A53">
        <w:rPr>
          <w:sz w:val="24"/>
          <w:szCs w:val="24"/>
          <w:lang w:bidi="da-DK"/>
        </w:rPr>
        <w:t xml:space="preserve"> og 32 mg kalium.</w:t>
      </w:r>
    </w:p>
    <w:p w14:paraId="7CD7F5FC" w14:textId="77777777" w:rsidR="00A27D30" w:rsidRDefault="00A27D30" w:rsidP="00695AC0">
      <w:pPr>
        <w:ind w:left="851"/>
        <w:rPr>
          <w:sz w:val="24"/>
          <w:szCs w:val="24"/>
          <w:lang w:bidi="da-DK"/>
        </w:rPr>
      </w:pPr>
    </w:p>
    <w:p w14:paraId="6E48F940" w14:textId="5CA1C0F3" w:rsidR="00D27A53" w:rsidRPr="00D27A53" w:rsidRDefault="00D27A53" w:rsidP="00695AC0">
      <w:pPr>
        <w:ind w:left="851"/>
        <w:rPr>
          <w:sz w:val="24"/>
          <w:szCs w:val="24"/>
        </w:rPr>
      </w:pPr>
      <w:r w:rsidRPr="00D27A53">
        <w:rPr>
          <w:sz w:val="24"/>
          <w:szCs w:val="24"/>
          <w:lang w:bidi="da-DK"/>
        </w:rPr>
        <w:t xml:space="preserve">Alle hjælpestoffer er anført under </w:t>
      </w:r>
      <w:r w:rsidR="0076324F">
        <w:rPr>
          <w:sz w:val="24"/>
          <w:szCs w:val="24"/>
          <w:lang w:bidi="da-DK"/>
        </w:rPr>
        <w:t>pkt.</w:t>
      </w:r>
      <w:r w:rsidRPr="00D27A53">
        <w:rPr>
          <w:sz w:val="24"/>
          <w:szCs w:val="24"/>
          <w:lang w:bidi="da-DK"/>
        </w:rPr>
        <w:t xml:space="preserve"> 6.1.</w:t>
      </w:r>
    </w:p>
    <w:p w14:paraId="01005D3B" w14:textId="77777777" w:rsidR="009260DE" w:rsidRPr="00A27D30" w:rsidRDefault="009260DE" w:rsidP="00695AC0">
      <w:pPr>
        <w:ind w:left="851"/>
        <w:rPr>
          <w:sz w:val="24"/>
          <w:szCs w:val="24"/>
        </w:rPr>
      </w:pPr>
    </w:p>
    <w:p w14:paraId="0605612D" w14:textId="77777777" w:rsidR="009260DE" w:rsidRPr="00A27D30" w:rsidRDefault="009260DE" w:rsidP="009260DE">
      <w:pPr>
        <w:tabs>
          <w:tab w:val="left" w:pos="851"/>
        </w:tabs>
        <w:ind w:left="851" w:hanging="851"/>
        <w:rPr>
          <w:b/>
          <w:sz w:val="24"/>
          <w:szCs w:val="24"/>
        </w:rPr>
      </w:pPr>
      <w:r w:rsidRPr="00A27D30">
        <w:rPr>
          <w:b/>
          <w:sz w:val="24"/>
          <w:szCs w:val="24"/>
        </w:rPr>
        <w:t>3.</w:t>
      </w:r>
      <w:r w:rsidRPr="00A27D30">
        <w:rPr>
          <w:b/>
          <w:sz w:val="24"/>
          <w:szCs w:val="24"/>
        </w:rPr>
        <w:tab/>
        <w:t>LÆGEMIDDELFORM</w:t>
      </w:r>
    </w:p>
    <w:p w14:paraId="1713EF02" w14:textId="7CC7C925" w:rsidR="00D27A53" w:rsidRPr="00D27A53" w:rsidRDefault="00A27D30" w:rsidP="00695AC0">
      <w:pPr>
        <w:ind w:left="851"/>
        <w:rPr>
          <w:sz w:val="24"/>
          <w:szCs w:val="24"/>
        </w:rPr>
      </w:pPr>
      <w:r>
        <w:rPr>
          <w:sz w:val="24"/>
          <w:szCs w:val="24"/>
          <w:lang w:bidi="da-DK"/>
        </w:rPr>
        <w:t>Hårde k</w:t>
      </w:r>
      <w:r w:rsidR="00D27A53" w:rsidRPr="00D27A53">
        <w:rPr>
          <w:sz w:val="24"/>
          <w:szCs w:val="24"/>
          <w:lang w:bidi="da-DK"/>
        </w:rPr>
        <w:t>aps</w:t>
      </w:r>
      <w:r>
        <w:rPr>
          <w:sz w:val="24"/>
          <w:szCs w:val="24"/>
          <w:lang w:bidi="da-DK"/>
        </w:rPr>
        <w:t>ler</w:t>
      </w:r>
    </w:p>
    <w:p w14:paraId="72C4CC28" w14:textId="77777777" w:rsidR="00D27A53" w:rsidRPr="00D27A53" w:rsidRDefault="00D27A53" w:rsidP="00695AC0">
      <w:pPr>
        <w:ind w:left="851"/>
        <w:rPr>
          <w:sz w:val="24"/>
          <w:szCs w:val="24"/>
        </w:rPr>
      </w:pPr>
    </w:p>
    <w:p w14:paraId="02D90FB9" w14:textId="77777777" w:rsidR="00D27A53" w:rsidRPr="00D27A53" w:rsidRDefault="00D27A53" w:rsidP="00695AC0">
      <w:pPr>
        <w:ind w:left="851"/>
        <w:rPr>
          <w:sz w:val="24"/>
          <w:szCs w:val="24"/>
        </w:rPr>
      </w:pPr>
      <w:r w:rsidRPr="00D27A53">
        <w:rPr>
          <w:sz w:val="24"/>
          <w:szCs w:val="24"/>
          <w:lang w:bidi="da-DK"/>
        </w:rPr>
        <w:t>Aflang, hvid, uigennemsigtig kapsel med 'BMT' trykt på hætten med rødt blæk. Den indeholder et hvidt pulver og en mindre, hvid, uigennemsigtig kapselmed et gult pulver.</w:t>
      </w:r>
    </w:p>
    <w:p w14:paraId="657CB5F5" w14:textId="77777777" w:rsidR="009260DE" w:rsidRPr="00A27D30" w:rsidRDefault="009260DE" w:rsidP="009260DE">
      <w:pPr>
        <w:tabs>
          <w:tab w:val="left" w:pos="851"/>
        </w:tabs>
        <w:ind w:left="851"/>
        <w:rPr>
          <w:sz w:val="24"/>
          <w:szCs w:val="24"/>
        </w:rPr>
      </w:pPr>
    </w:p>
    <w:p w14:paraId="7C5D6933" w14:textId="77777777" w:rsidR="009260DE" w:rsidRPr="00A27D30" w:rsidRDefault="009260DE" w:rsidP="009260DE">
      <w:pPr>
        <w:tabs>
          <w:tab w:val="left" w:pos="851"/>
        </w:tabs>
        <w:ind w:left="851"/>
        <w:rPr>
          <w:sz w:val="24"/>
          <w:szCs w:val="24"/>
        </w:rPr>
      </w:pPr>
    </w:p>
    <w:p w14:paraId="2699BCD8" w14:textId="77777777" w:rsidR="009260DE" w:rsidRPr="00A27D30" w:rsidRDefault="009260DE" w:rsidP="009260DE">
      <w:pPr>
        <w:tabs>
          <w:tab w:val="left" w:pos="851"/>
        </w:tabs>
        <w:ind w:left="851" w:hanging="851"/>
        <w:rPr>
          <w:b/>
          <w:sz w:val="24"/>
          <w:szCs w:val="24"/>
        </w:rPr>
      </w:pPr>
      <w:r w:rsidRPr="00A27D30">
        <w:rPr>
          <w:b/>
          <w:sz w:val="24"/>
          <w:szCs w:val="24"/>
        </w:rPr>
        <w:t>4.</w:t>
      </w:r>
      <w:r w:rsidRPr="00A27D30">
        <w:rPr>
          <w:b/>
          <w:sz w:val="24"/>
          <w:szCs w:val="24"/>
        </w:rPr>
        <w:tab/>
        <w:t>KLINISKE OPLYSNINGER</w:t>
      </w:r>
    </w:p>
    <w:p w14:paraId="72EE72EC" w14:textId="77777777" w:rsidR="009260DE" w:rsidRPr="00A27D30" w:rsidRDefault="009260DE" w:rsidP="009260DE">
      <w:pPr>
        <w:tabs>
          <w:tab w:val="left" w:pos="851"/>
        </w:tabs>
        <w:ind w:left="851"/>
        <w:rPr>
          <w:b/>
          <w:sz w:val="24"/>
          <w:szCs w:val="24"/>
        </w:rPr>
      </w:pPr>
    </w:p>
    <w:p w14:paraId="40BBBA60" w14:textId="77777777" w:rsidR="009260DE" w:rsidRPr="00A27D30" w:rsidRDefault="009260DE" w:rsidP="009260DE">
      <w:pPr>
        <w:tabs>
          <w:tab w:val="left" w:pos="851"/>
        </w:tabs>
        <w:ind w:left="851" w:hanging="851"/>
        <w:rPr>
          <w:b/>
          <w:sz w:val="24"/>
          <w:szCs w:val="24"/>
          <w:u w:val="single"/>
        </w:rPr>
      </w:pPr>
      <w:r w:rsidRPr="00A27D30">
        <w:rPr>
          <w:b/>
          <w:sz w:val="24"/>
          <w:szCs w:val="24"/>
        </w:rPr>
        <w:t>4.1</w:t>
      </w:r>
      <w:r w:rsidRPr="00A27D30">
        <w:rPr>
          <w:b/>
          <w:sz w:val="24"/>
          <w:szCs w:val="24"/>
        </w:rPr>
        <w:tab/>
        <w:t>Terapeutiske indikationer</w:t>
      </w:r>
    </w:p>
    <w:p w14:paraId="7BE11659" w14:textId="77777777" w:rsidR="00D27A53" w:rsidRPr="00D27A53" w:rsidRDefault="00D27A53" w:rsidP="00695AC0">
      <w:pPr>
        <w:ind w:left="851"/>
        <w:rPr>
          <w:sz w:val="24"/>
          <w:szCs w:val="24"/>
        </w:rPr>
      </w:pPr>
      <w:r w:rsidRPr="00D27A53">
        <w:rPr>
          <w:sz w:val="24"/>
          <w:szCs w:val="24"/>
          <w:lang w:bidi="da-DK"/>
        </w:rPr>
        <w:t xml:space="preserve">I kombination med </w:t>
      </w:r>
      <w:proofErr w:type="spellStart"/>
      <w:r w:rsidRPr="00D27A53">
        <w:rPr>
          <w:sz w:val="24"/>
          <w:szCs w:val="24"/>
          <w:lang w:bidi="da-DK"/>
        </w:rPr>
        <w:t>omeprazol</w:t>
      </w:r>
      <w:proofErr w:type="spellEnd"/>
      <w:r w:rsidRPr="00D27A53">
        <w:rPr>
          <w:sz w:val="24"/>
          <w:szCs w:val="24"/>
          <w:lang w:bidi="da-DK"/>
        </w:rPr>
        <w:t xml:space="preserve"> er </w:t>
      </w:r>
      <w:proofErr w:type="spellStart"/>
      <w:r w:rsidRPr="00D27A53">
        <w:rPr>
          <w:sz w:val="24"/>
          <w:szCs w:val="24"/>
          <w:lang w:bidi="da-DK"/>
        </w:rPr>
        <w:t>Pylera</w:t>
      </w:r>
      <w:proofErr w:type="spellEnd"/>
      <w:r w:rsidRPr="00D27A53">
        <w:rPr>
          <w:sz w:val="24"/>
          <w:szCs w:val="24"/>
          <w:lang w:bidi="da-DK"/>
        </w:rPr>
        <w:t xml:space="preserve"> indiceret til bekæmpelse af </w:t>
      </w:r>
      <w:proofErr w:type="spellStart"/>
      <w:r w:rsidRPr="00D27A53">
        <w:rPr>
          <w:i/>
          <w:sz w:val="24"/>
          <w:szCs w:val="24"/>
          <w:lang w:bidi="da-DK"/>
        </w:rPr>
        <w:t>Helicobacter</w:t>
      </w:r>
      <w:proofErr w:type="spellEnd"/>
      <w:r w:rsidRPr="00D27A53">
        <w:rPr>
          <w:i/>
          <w:sz w:val="24"/>
          <w:szCs w:val="24"/>
          <w:lang w:bidi="da-DK"/>
        </w:rPr>
        <w:t xml:space="preserve"> </w:t>
      </w:r>
      <w:proofErr w:type="spellStart"/>
      <w:r w:rsidRPr="00D27A53">
        <w:rPr>
          <w:i/>
          <w:sz w:val="24"/>
          <w:szCs w:val="24"/>
          <w:lang w:bidi="da-DK"/>
        </w:rPr>
        <w:t>pylori</w:t>
      </w:r>
      <w:proofErr w:type="spellEnd"/>
      <w:r w:rsidRPr="00D27A53">
        <w:rPr>
          <w:i/>
          <w:sz w:val="24"/>
          <w:szCs w:val="24"/>
          <w:lang w:bidi="da-DK"/>
        </w:rPr>
        <w:t xml:space="preserve"> </w:t>
      </w:r>
      <w:r w:rsidRPr="00D27A53">
        <w:rPr>
          <w:sz w:val="24"/>
          <w:szCs w:val="24"/>
          <w:lang w:bidi="da-DK"/>
        </w:rPr>
        <w:t xml:space="preserve">og forebyggelse af tilbagefald af mavesår hos patienter med aktive eller tidligere </w:t>
      </w:r>
      <w:r w:rsidRPr="00D27A53">
        <w:rPr>
          <w:i/>
          <w:sz w:val="24"/>
          <w:szCs w:val="24"/>
          <w:lang w:bidi="da-DK"/>
        </w:rPr>
        <w:t xml:space="preserve">H. </w:t>
      </w:r>
      <w:proofErr w:type="spellStart"/>
      <w:r w:rsidRPr="00D27A53">
        <w:rPr>
          <w:i/>
          <w:sz w:val="24"/>
          <w:szCs w:val="24"/>
          <w:lang w:bidi="da-DK"/>
        </w:rPr>
        <w:t>pylori</w:t>
      </w:r>
      <w:proofErr w:type="spellEnd"/>
      <w:r w:rsidRPr="00D27A53">
        <w:rPr>
          <w:i/>
          <w:sz w:val="24"/>
          <w:szCs w:val="24"/>
          <w:lang w:bidi="da-DK"/>
        </w:rPr>
        <w:t xml:space="preserve">-associerede </w:t>
      </w:r>
      <w:r w:rsidRPr="00D27A53">
        <w:rPr>
          <w:sz w:val="24"/>
          <w:szCs w:val="24"/>
          <w:lang w:bidi="da-DK"/>
        </w:rPr>
        <w:t>mavesår.</w:t>
      </w:r>
    </w:p>
    <w:p w14:paraId="302D99D8" w14:textId="77777777" w:rsidR="009260DE" w:rsidRPr="00A27D30" w:rsidRDefault="009260DE" w:rsidP="009260DE">
      <w:pPr>
        <w:tabs>
          <w:tab w:val="left" w:pos="851"/>
        </w:tabs>
        <w:ind w:left="851"/>
        <w:rPr>
          <w:sz w:val="24"/>
          <w:szCs w:val="24"/>
        </w:rPr>
      </w:pPr>
    </w:p>
    <w:p w14:paraId="6073C284" w14:textId="77777777" w:rsidR="009260DE" w:rsidRPr="00A27D30" w:rsidRDefault="009260DE" w:rsidP="009260DE">
      <w:pPr>
        <w:tabs>
          <w:tab w:val="left" w:pos="851"/>
        </w:tabs>
        <w:ind w:left="851" w:hanging="851"/>
        <w:rPr>
          <w:b/>
          <w:sz w:val="24"/>
          <w:szCs w:val="24"/>
        </w:rPr>
      </w:pPr>
      <w:r w:rsidRPr="00A27D30">
        <w:rPr>
          <w:b/>
          <w:sz w:val="24"/>
          <w:szCs w:val="24"/>
        </w:rPr>
        <w:t>4.2</w:t>
      </w:r>
      <w:r w:rsidRPr="00A27D30">
        <w:rPr>
          <w:b/>
          <w:sz w:val="24"/>
          <w:szCs w:val="24"/>
        </w:rPr>
        <w:tab/>
        <w:t xml:space="preserve">Dosering og </w:t>
      </w:r>
      <w:r w:rsidR="002C1EC0" w:rsidRPr="00A27D30">
        <w:rPr>
          <w:b/>
          <w:sz w:val="24"/>
          <w:szCs w:val="24"/>
        </w:rPr>
        <w:t>administration</w:t>
      </w:r>
    </w:p>
    <w:p w14:paraId="1FDFE609" w14:textId="77777777" w:rsidR="00A27D30" w:rsidRDefault="00A27D30" w:rsidP="00695AC0">
      <w:pPr>
        <w:ind w:left="851"/>
        <w:rPr>
          <w:sz w:val="24"/>
          <w:szCs w:val="24"/>
          <w:u w:val="single"/>
          <w:lang w:bidi="da-DK"/>
        </w:rPr>
      </w:pPr>
    </w:p>
    <w:p w14:paraId="77851D30" w14:textId="177C8AA7" w:rsidR="00D27A53" w:rsidRPr="00D27A53" w:rsidRDefault="00D27A53" w:rsidP="00695AC0">
      <w:pPr>
        <w:ind w:left="851"/>
        <w:rPr>
          <w:sz w:val="24"/>
          <w:szCs w:val="24"/>
          <w:u w:val="single"/>
        </w:rPr>
      </w:pPr>
      <w:r w:rsidRPr="00D27A53">
        <w:rPr>
          <w:sz w:val="24"/>
          <w:szCs w:val="24"/>
          <w:u w:val="single"/>
          <w:lang w:bidi="da-DK"/>
        </w:rPr>
        <w:t>Dosering</w:t>
      </w:r>
    </w:p>
    <w:p w14:paraId="48BDB2C6" w14:textId="77777777" w:rsidR="00D27A53" w:rsidRPr="00D27A53" w:rsidRDefault="00D27A53" w:rsidP="00695AC0">
      <w:pPr>
        <w:ind w:left="851"/>
        <w:rPr>
          <w:sz w:val="24"/>
          <w:szCs w:val="24"/>
        </w:rPr>
      </w:pPr>
    </w:p>
    <w:p w14:paraId="308024FB" w14:textId="77777777" w:rsidR="00D27A53" w:rsidRPr="00D27A53" w:rsidRDefault="00D27A53" w:rsidP="00695AC0">
      <w:pPr>
        <w:ind w:left="851"/>
        <w:rPr>
          <w:sz w:val="24"/>
          <w:szCs w:val="24"/>
        </w:rPr>
      </w:pPr>
      <w:r w:rsidRPr="00D27A53">
        <w:rPr>
          <w:sz w:val="24"/>
          <w:szCs w:val="24"/>
          <w:lang w:bidi="da-DK"/>
        </w:rPr>
        <w:t xml:space="preserve">Hver dosis </w:t>
      </w:r>
      <w:proofErr w:type="spellStart"/>
      <w:r w:rsidRPr="00D27A53">
        <w:rPr>
          <w:sz w:val="24"/>
          <w:szCs w:val="24"/>
          <w:lang w:bidi="da-DK"/>
        </w:rPr>
        <w:t>Pylera</w:t>
      </w:r>
      <w:proofErr w:type="spellEnd"/>
      <w:r w:rsidRPr="00D27A53">
        <w:rPr>
          <w:sz w:val="24"/>
          <w:szCs w:val="24"/>
          <w:lang w:bidi="da-DK"/>
        </w:rPr>
        <w:t xml:space="preserve"> indeholder 3 identiske hårde kapsler. Hver dosis skal tages 4 gange om dagen, 3 kapsler efter morgenmaden, 3 kapsler efter frokost, 3 kapsler efter aftensmaden </w:t>
      </w:r>
      <w:r w:rsidRPr="00D27A53">
        <w:rPr>
          <w:sz w:val="24"/>
          <w:szCs w:val="24"/>
          <w:lang w:bidi="da-DK"/>
        </w:rPr>
        <w:lastRenderedPageBreak/>
        <w:t xml:space="preserve">og 3 kapsler ved sengetid (helst efter et mellemmåltid), i alt 12 kapsler om dagen over en periode på 10 dage. En </w:t>
      </w:r>
      <w:proofErr w:type="spellStart"/>
      <w:r w:rsidRPr="00D27A53">
        <w:rPr>
          <w:sz w:val="24"/>
          <w:szCs w:val="24"/>
          <w:lang w:bidi="da-DK"/>
        </w:rPr>
        <w:t>omeprazol</w:t>
      </w:r>
      <w:proofErr w:type="spellEnd"/>
      <w:r w:rsidRPr="00D27A53">
        <w:rPr>
          <w:sz w:val="24"/>
          <w:szCs w:val="24"/>
          <w:lang w:bidi="da-DK"/>
        </w:rPr>
        <w:t xml:space="preserve"> 20 mg kapsel/tablet skal tages to gange dagligt på samme tid som morgen- og </w:t>
      </w:r>
      <w:proofErr w:type="spellStart"/>
      <w:r w:rsidRPr="00D27A53">
        <w:rPr>
          <w:sz w:val="24"/>
          <w:szCs w:val="24"/>
          <w:lang w:bidi="da-DK"/>
        </w:rPr>
        <w:t>aftenmåltiderne</w:t>
      </w:r>
      <w:proofErr w:type="spellEnd"/>
      <w:r w:rsidRPr="00D27A53">
        <w:rPr>
          <w:sz w:val="24"/>
          <w:szCs w:val="24"/>
          <w:lang w:bidi="da-DK"/>
        </w:rPr>
        <w:t xml:space="preserve"> med </w:t>
      </w:r>
      <w:proofErr w:type="spellStart"/>
      <w:r w:rsidRPr="00D27A53">
        <w:rPr>
          <w:sz w:val="24"/>
          <w:szCs w:val="24"/>
          <w:lang w:bidi="da-DK"/>
        </w:rPr>
        <w:t>Pylera</w:t>
      </w:r>
      <w:proofErr w:type="spellEnd"/>
      <w:r w:rsidRPr="00D27A53">
        <w:rPr>
          <w:sz w:val="24"/>
          <w:szCs w:val="24"/>
          <w:lang w:bidi="da-DK"/>
        </w:rPr>
        <w:t xml:space="preserve"> i de 10 dage, behandlingen varer.</w:t>
      </w:r>
    </w:p>
    <w:p w14:paraId="3F177CDD" w14:textId="77777777" w:rsidR="00D27A53" w:rsidRPr="00D27A53" w:rsidRDefault="00D27A53" w:rsidP="00695AC0">
      <w:pPr>
        <w:ind w:left="851"/>
        <w:rPr>
          <w:sz w:val="24"/>
          <w:szCs w:val="24"/>
        </w:rPr>
      </w:pPr>
    </w:p>
    <w:p w14:paraId="031DEF4C" w14:textId="71553298" w:rsidR="00D27A53" w:rsidRPr="00D27A53" w:rsidRDefault="00D27A53" w:rsidP="00695AC0">
      <w:pPr>
        <w:ind w:left="851"/>
        <w:rPr>
          <w:sz w:val="24"/>
          <w:szCs w:val="24"/>
        </w:rPr>
      </w:pPr>
      <w:r w:rsidRPr="00D27A53">
        <w:rPr>
          <w:sz w:val="24"/>
          <w:szCs w:val="24"/>
          <w:lang w:bidi="da-DK"/>
        </w:rPr>
        <w:t>Tabel 1</w:t>
      </w:r>
      <w:r w:rsidR="00A27D30">
        <w:rPr>
          <w:sz w:val="24"/>
          <w:szCs w:val="24"/>
          <w:lang w:bidi="da-DK"/>
        </w:rPr>
        <w:t xml:space="preserve">. </w:t>
      </w:r>
      <w:r w:rsidRPr="00D27A53">
        <w:rPr>
          <w:sz w:val="24"/>
          <w:szCs w:val="24"/>
          <w:lang w:bidi="da-DK"/>
        </w:rPr>
        <w:t xml:space="preserve">Daglig doseringsplan for </w:t>
      </w:r>
      <w:proofErr w:type="spellStart"/>
      <w:r w:rsidRPr="00D27A53">
        <w:rPr>
          <w:sz w:val="24"/>
          <w:szCs w:val="24"/>
          <w:lang w:bidi="da-DK"/>
        </w:rPr>
        <w:t>Pylera</w:t>
      </w:r>
      <w:proofErr w:type="spellEnd"/>
    </w:p>
    <w:p w14:paraId="2E71F540" w14:textId="77777777" w:rsidR="00D27A53" w:rsidRPr="00D27A53" w:rsidRDefault="00D27A53" w:rsidP="00695AC0">
      <w:pPr>
        <w:ind w:left="851"/>
        <w:rPr>
          <w:sz w:val="24"/>
          <w:szCs w:val="24"/>
        </w:rPr>
      </w:pPr>
    </w:p>
    <w:tbl>
      <w:tblPr>
        <w:tblW w:w="4541"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4"/>
        <w:gridCol w:w="2669"/>
        <w:gridCol w:w="3241"/>
      </w:tblGrid>
      <w:tr w:rsidR="00D27A53" w:rsidRPr="00D27A53" w14:paraId="58519B12" w14:textId="77777777" w:rsidTr="00A27D30">
        <w:trPr>
          <w:trHeight w:val="549"/>
        </w:trPr>
        <w:tc>
          <w:tcPr>
            <w:tcW w:w="1621" w:type="pct"/>
            <w:tcBorders>
              <w:top w:val="single" w:sz="4" w:space="0" w:color="000000"/>
              <w:left w:val="single" w:sz="4" w:space="0" w:color="000000"/>
              <w:bottom w:val="single" w:sz="4" w:space="0" w:color="000000"/>
              <w:right w:val="single" w:sz="4" w:space="0" w:color="000000"/>
            </w:tcBorders>
            <w:hideMark/>
          </w:tcPr>
          <w:p w14:paraId="64DA6C65" w14:textId="77777777" w:rsidR="00D27A53" w:rsidRPr="00D27A53" w:rsidRDefault="00D27A53" w:rsidP="00695AC0">
            <w:pPr>
              <w:ind w:left="136"/>
              <w:rPr>
                <w:b/>
                <w:sz w:val="24"/>
                <w:szCs w:val="24"/>
              </w:rPr>
            </w:pPr>
            <w:r w:rsidRPr="00D27A53">
              <w:rPr>
                <w:b/>
                <w:sz w:val="24"/>
                <w:szCs w:val="24"/>
                <w:lang w:bidi="da-DK"/>
              </w:rPr>
              <w:t>Tidspunkt for dosis</w:t>
            </w:r>
          </w:p>
        </w:tc>
        <w:tc>
          <w:tcPr>
            <w:tcW w:w="1526" w:type="pct"/>
            <w:tcBorders>
              <w:top w:val="single" w:sz="4" w:space="0" w:color="000000"/>
              <w:left w:val="single" w:sz="4" w:space="0" w:color="000000"/>
              <w:bottom w:val="single" w:sz="4" w:space="0" w:color="000000"/>
              <w:right w:val="single" w:sz="4" w:space="0" w:color="000000"/>
            </w:tcBorders>
            <w:hideMark/>
          </w:tcPr>
          <w:p w14:paraId="2A7D4EDC" w14:textId="77777777" w:rsidR="00D27A53" w:rsidRPr="00D27A53" w:rsidRDefault="00D27A53" w:rsidP="00A27D30">
            <w:pPr>
              <w:ind w:left="136"/>
              <w:jc w:val="center"/>
              <w:rPr>
                <w:b/>
                <w:sz w:val="24"/>
                <w:szCs w:val="24"/>
              </w:rPr>
            </w:pPr>
            <w:r w:rsidRPr="00D27A53">
              <w:rPr>
                <w:b/>
                <w:sz w:val="24"/>
                <w:szCs w:val="24"/>
                <w:lang w:bidi="da-DK"/>
              </w:rPr>
              <w:t xml:space="preserve">Antal kapsler af </w:t>
            </w:r>
            <w:proofErr w:type="spellStart"/>
            <w:r w:rsidRPr="00D27A53">
              <w:rPr>
                <w:b/>
                <w:sz w:val="24"/>
                <w:szCs w:val="24"/>
                <w:lang w:bidi="da-DK"/>
              </w:rPr>
              <w:t>Pylera</w:t>
            </w:r>
            <w:proofErr w:type="spellEnd"/>
          </w:p>
        </w:tc>
        <w:tc>
          <w:tcPr>
            <w:tcW w:w="1853" w:type="pct"/>
            <w:tcBorders>
              <w:top w:val="single" w:sz="4" w:space="0" w:color="000000"/>
              <w:left w:val="single" w:sz="4" w:space="0" w:color="000000"/>
              <w:bottom w:val="single" w:sz="4" w:space="0" w:color="000000"/>
              <w:right w:val="single" w:sz="4" w:space="0" w:color="000000"/>
            </w:tcBorders>
            <w:hideMark/>
          </w:tcPr>
          <w:p w14:paraId="2447248A" w14:textId="77777777" w:rsidR="00D27A53" w:rsidRPr="00D27A53" w:rsidRDefault="00D27A53" w:rsidP="00A27D30">
            <w:pPr>
              <w:ind w:left="136"/>
              <w:jc w:val="center"/>
              <w:rPr>
                <w:b/>
                <w:sz w:val="24"/>
                <w:szCs w:val="24"/>
              </w:rPr>
            </w:pPr>
            <w:r w:rsidRPr="00D27A53">
              <w:rPr>
                <w:b/>
                <w:sz w:val="24"/>
                <w:szCs w:val="24"/>
                <w:lang w:bidi="da-DK"/>
              </w:rPr>
              <w:t xml:space="preserve">Antal kapsler/tabletter af </w:t>
            </w:r>
            <w:proofErr w:type="spellStart"/>
            <w:r w:rsidRPr="00D27A53">
              <w:rPr>
                <w:b/>
                <w:sz w:val="24"/>
                <w:szCs w:val="24"/>
                <w:lang w:bidi="da-DK"/>
              </w:rPr>
              <w:t>omeprazol</w:t>
            </w:r>
            <w:proofErr w:type="spellEnd"/>
          </w:p>
        </w:tc>
      </w:tr>
      <w:tr w:rsidR="00D27A53" w:rsidRPr="00D27A53" w14:paraId="14CBBB8F" w14:textId="77777777" w:rsidTr="00A27D30">
        <w:trPr>
          <w:trHeight w:val="270"/>
        </w:trPr>
        <w:tc>
          <w:tcPr>
            <w:tcW w:w="1621" w:type="pct"/>
            <w:tcBorders>
              <w:top w:val="single" w:sz="4" w:space="0" w:color="000000"/>
              <w:left w:val="single" w:sz="4" w:space="0" w:color="000000"/>
              <w:bottom w:val="single" w:sz="4" w:space="0" w:color="000000"/>
              <w:right w:val="single" w:sz="4" w:space="0" w:color="000000"/>
            </w:tcBorders>
            <w:hideMark/>
          </w:tcPr>
          <w:p w14:paraId="4DB6F2AE" w14:textId="77777777" w:rsidR="00D27A53" w:rsidRPr="00D27A53" w:rsidRDefault="00D27A53" w:rsidP="00695AC0">
            <w:pPr>
              <w:ind w:left="136"/>
              <w:rPr>
                <w:sz w:val="24"/>
                <w:szCs w:val="24"/>
              </w:rPr>
            </w:pPr>
            <w:r w:rsidRPr="00D27A53">
              <w:rPr>
                <w:sz w:val="24"/>
                <w:szCs w:val="24"/>
                <w:lang w:bidi="da-DK"/>
              </w:rPr>
              <w:t>Efter morgenmaden</w:t>
            </w:r>
          </w:p>
        </w:tc>
        <w:tc>
          <w:tcPr>
            <w:tcW w:w="1526" w:type="pct"/>
            <w:tcBorders>
              <w:top w:val="single" w:sz="4" w:space="0" w:color="000000"/>
              <w:left w:val="single" w:sz="4" w:space="0" w:color="000000"/>
              <w:bottom w:val="single" w:sz="4" w:space="0" w:color="000000"/>
              <w:right w:val="single" w:sz="4" w:space="0" w:color="000000"/>
            </w:tcBorders>
            <w:hideMark/>
          </w:tcPr>
          <w:p w14:paraId="7E88E1B0" w14:textId="77777777" w:rsidR="00D27A53" w:rsidRPr="00D27A53" w:rsidRDefault="00D27A53" w:rsidP="00A27D30">
            <w:pPr>
              <w:ind w:left="136"/>
              <w:jc w:val="center"/>
              <w:rPr>
                <w:sz w:val="24"/>
                <w:szCs w:val="24"/>
              </w:rPr>
            </w:pPr>
            <w:r w:rsidRPr="00D27A53">
              <w:rPr>
                <w:sz w:val="24"/>
                <w:szCs w:val="24"/>
                <w:lang w:bidi="da-DK"/>
              </w:rPr>
              <w:t>3</w:t>
            </w:r>
          </w:p>
        </w:tc>
        <w:tc>
          <w:tcPr>
            <w:tcW w:w="1853" w:type="pct"/>
            <w:tcBorders>
              <w:top w:val="single" w:sz="4" w:space="0" w:color="000000"/>
              <w:left w:val="single" w:sz="4" w:space="0" w:color="000000"/>
              <w:bottom w:val="single" w:sz="4" w:space="0" w:color="000000"/>
              <w:right w:val="single" w:sz="4" w:space="0" w:color="000000"/>
            </w:tcBorders>
            <w:hideMark/>
          </w:tcPr>
          <w:p w14:paraId="64470D07" w14:textId="77777777" w:rsidR="00D27A53" w:rsidRPr="00D27A53" w:rsidRDefault="00D27A53" w:rsidP="00A27D30">
            <w:pPr>
              <w:ind w:left="136"/>
              <w:jc w:val="center"/>
              <w:rPr>
                <w:sz w:val="24"/>
                <w:szCs w:val="24"/>
              </w:rPr>
            </w:pPr>
            <w:r w:rsidRPr="00D27A53">
              <w:rPr>
                <w:sz w:val="24"/>
                <w:szCs w:val="24"/>
                <w:lang w:bidi="da-DK"/>
              </w:rPr>
              <w:t>1</w:t>
            </w:r>
          </w:p>
        </w:tc>
      </w:tr>
      <w:tr w:rsidR="00D27A53" w:rsidRPr="00D27A53" w14:paraId="112E2E74" w14:textId="77777777" w:rsidTr="00A27D30">
        <w:trPr>
          <w:trHeight w:val="273"/>
        </w:trPr>
        <w:tc>
          <w:tcPr>
            <w:tcW w:w="1621" w:type="pct"/>
            <w:tcBorders>
              <w:top w:val="single" w:sz="4" w:space="0" w:color="000000"/>
              <w:left w:val="single" w:sz="4" w:space="0" w:color="000000"/>
              <w:bottom w:val="single" w:sz="4" w:space="0" w:color="000000"/>
              <w:right w:val="single" w:sz="4" w:space="0" w:color="000000"/>
            </w:tcBorders>
            <w:hideMark/>
          </w:tcPr>
          <w:p w14:paraId="66E713A5" w14:textId="77777777" w:rsidR="00D27A53" w:rsidRPr="00D27A53" w:rsidRDefault="00D27A53" w:rsidP="00695AC0">
            <w:pPr>
              <w:ind w:left="136"/>
              <w:rPr>
                <w:sz w:val="24"/>
                <w:szCs w:val="24"/>
              </w:rPr>
            </w:pPr>
            <w:r w:rsidRPr="00D27A53">
              <w:rPr>
                <w:sz w:val="24"/>
                <w:szCs w:val="24"/>
                <w:lang w:bidi="da-DK"/>
              </w:rPr>
              <w:t>Efter frokost</w:t>
            </w:r>
          </w:p>
        </w:tc>
        <w:tc>
          <w:tcPr>
            <w:tcW w:w="1526" w:type="pct"/>
            <w:tcBorders>
              <w:top w:val="single" w:sz="4" w:space="0" w:color="000000"/>
              <w:left w:val="single" w:sz="4" w:space="0" w:color="000000"/>
              <w:bottom w:val="single" w:sz="4" w:space="0" w:color="000000"/>
              <w:right w:val="single" w:sz="4" w:space="0" w:color="000000"/>
            </w:tcBorders>
            <w:hideMark/>
          </w:tcPr>
          <w:p w14:paraId="49E991B5" w14:textId="77777777" w:rsidR="00D27A53" w:rsidRPr="00D27A53" w:rsidRDefault="00D27A53" w:rsidP="00A27D30">
            <w:pPr>
              <w:ind w:left="136"/>
              <w:jc w:val="center"/>
              <w:rPr>
                <w:sz w:val="24"/>
                <w:szCs w:val="24"/>
              </w:rPr>
            </w:pPr>
            <w:r w:rsidRPr="00D27A53">
              <w:rPr>
                <w:sz w:val="24"/>
                <w:szCs w:val="24"/>
                <w:lang w:bidi="da-DK"/>
              </w:rPr>
              <w:t>3</w:t>
            </w:r>
          </w:p>
        </w:tc>
        <w:tc>
          <w:tcPr>
            <w:tcW w:w="1853" w:type="pct"/>
            <w:tcBorders>
              <w:top w:val="single" w:sz="4" w:space="0" w:color="000000"/>
              <w:left w:val="single" w:sz="4" w:space="0" w:color="000000"/>
              <w:bottom w:val="single" w:sz="4" w:space="0" w:color="000000"/>
              <w:right w:val="single" w:sz="4" w:space="0" w:color="000000"/>
            </w:tcBorders>
            <w:hideMark/>
          </w:tcPr>
          <w:p w14:paraId="2087B4C2" w14:textId="77777777" w:rsidR="00D27A53" w:rsidRPr="00D27A53" w:rsidRDefault="00D27A53" w:rsidP="00A27D30">
            <w:pPr>
              <w:ind w:left="136"/>
              <w:jc w:val="center"/>
              <w:rPr>
                <w:sz w:val="24"/>
                <w:szCs w:val="24"/>
              </w:rPr>
            </w:pPr>
            <w:r w:rsidRPr="00D27A53">
              <w:rPr>
                <w:sz w:val="24"/>
                <w:szCs w:val="24"/>
                <w:lang w:bidi="da-DK"/>
              </w:rPr>
              <w:t>0</w:t>
            </w:r>
          </w:p>
        </w:tc>
      </w:tr>
      <w:tr w:rsidR="00D27A53" w:rsidRPr="00D27A53" w14:paraId="6018350A" w14:textId="77777777" w:rsidTr="00A27D30">
        <w:trPr>
          <w:trHeight w:val="277"/>
        </w:trPr>
        <w:tc>
          <w:tcPr>
            <w:tcW w:w="1621" w:type="pct"/>
            <w:tcBorders>
              <w:top w:val="single" w:sz="4" w:space="0" w:color="000000"/>
              <w:left w:val="single" w:sz="4" w:space="0" w:color="000000"/>
              <w:bottom w:val="single" w:sz="4" w:space="0" w:color="000000"/>
              <w:right w:val="single" w:sz="4" w:space="0" w:color="000000"/>
            </w:tcBorders>
            <w:hideMark/>
          </w:tcPr>
          <w:p w14:paraId="33B8BF8E" w14:textId="77777777" w:rsidR="00D27A53" w:rsidRPr="00D27A53" w:rsidRDefault="00D27A53" w:rsidP="00695AC0">
            <w:pPr>
              <w:ind w:left="136"/>
              <w:rPr>
                <w:sz w:val="24"/>
                <w:szCs w:val="24"/>
              </w:rPr>
            </w:pPr>
            <w:r w:rsidRPr="00D27A53">
              <w:rPr>
                <w:sz w:val="24"/>
                <w:szCs w:val="24"/>
                <w:lang w:bidi="da-DK"/>
              </w:rPr>
              <w:t>Efter aftensmaden</w:t>
            </w:r>
          </w:p>
        </w:tc>
        <w:tc>
          <w:tcPr>
            <w:tcW w:w="1526" w:type="pct"/>
            <w:tcBorders>
              <w:top w:val="single" w:sz="4" w:space="0" w:color="000000"/>
              <w:left w:val="single" w:sz="4" w:space="0" w:color="000000"/>
              <w:bottom w:val="single" w:sz="4" w:space="0" w:color="000000"/>
              <w:right w:val="single" w:sz="4" w:space="0" w:color="000000"/>
            </w:tcBorders>
            <w:hideMark/>
          </w:tcPr>
          <w:p w14:paraId="519972E4" w14:textId="77777777" w:rsidR="00D27A53" w:rsidRPr="00D27A53" w:rsidRDefault="00D27A53" w:rsidP="00A27D30">
            <w:pPr>
              <w:ind w:left="136"/>
              <w:jc w:val="center"/>
              <w:rPr>
                <w:sz w:val="24"/>
                <w:szCs w:val="24"/>
              </w:rPr>
            </w:pPr>
            <w:r w:rsidRPr="00D27A53">
              <w:rPr>
                <w:sz w:val="24"/>
                <w:szCs w:val="24"/>
                <w:lang w:bidi="da-DK"/>
              </w:rPr>
              <w:t>3</w:t>
            </w:r>
          </w:p>
        </w:tc>
        <w:tc>
          <w:tcPr>
            <w:tcW w:w="1853" w:type="pct"/>
            <w:tcBorders>
              <w:top w:val="single" w:sz="4" w:space="0" w:color="000000"/>
              <w:left w:val="single" w:sz="4" w:space="0" w:color="000000"/>
              <w:bottom w:val="single" w:sz="4" w:space="0" w:color="000000"/>
              <w:right w:val="single" w:sz="4" w:space="0" w:color="000000"/>
            </w:tcBorders>
            <w:hideMark/>
          </w:tcPr>
          <w:p w14:paraId="06D97989" w14:textId="77777777" w:rsidR="00D27A53" w:rsidRPr="00D27A53" w:rsidRDefault="00D27A53" w:rsidP="00A27D30">
            <w:pPr>
              <w:ind w:left="136"/>
              <w:jc w:val="center"/>
              <w:rPr>
                <w:sz w:val="24"/>
                <w:szCs w:val="24"/>
              </w:rPr>
            </w:pPr>
            <w:r w:rsidRPr="00D27A53">
              <w:rPr>
                <w:sz w:val="24"/>
                <w:szCs w:val="24"/>
                <w:lang w:bidi="da-DK"/>
              </w:rPr>
              <w:t>1</w:t>
            </w:r>
          </w:p>
        </w:tc>
      </w:tr>
      <w:tr w:rsidR="00D27A53" w:rsidRPr="00D27A53" w14:paraId="0712E2C0" w14:textId="77777777" w:rsidTr="00A27D30">
        <w:trPr>
          <w:trHeight w:val="285"/>
        </w:trPr>
        <w:tc>
          <w:tcPr>
            <w:tcW w:w="1621" w:type="pct"/>
            <w:tcBorders>
              <w:top w:val="single" w:sz="4" w:space="0" w:color="000000"/>
              <w:left w:val="single" w:sz="4" w:space="0" w:color="000000"/>
              <w:bottom w:val="single" w:sz="4" w:space="0" w:color="000000"/>
              <w:right w:val="single" w:sz="4" w:space="0" w:color="000000"/>
            </w:tcBorders>
            <w:hideMark/>
          </w:tcPr>
          <w:p w14:paraId="1BB7AA49" w14:textId="77777777" w:rsidR="00D27A53" w:rsidRPr="00D27A53" w:rsidRDefault="00D27A53" w:rsidP="00695AC0">
            <w:pPr>
              <w:ind w:left="136"/>
              <w:rPr>
                <w:sz w:val="24"/>
                <w:szCs w:val="24"/>
              </w:rPr>
            </w:pPr>
            <w:r w:rsidRPr="00D27A53">
              <w:rPr>
                <w:sz w:val="24"/>
                <w:szCs w:val="24"/>
                <w:lang w:bidi="da-DK"/>
              </w:rPr>
              <w:t>Ved sengetid (helst efter et mellemmåltid)</w:t>
            </w:r>
          </w:p>
        </w:tc>
        <w:tc>
          <w:tcPr>
            <w:tcW w:w="1526" w:type="pct"/>
            <w:tcBorders>
              <w:top w:val="single" w:sz="4" w:space="0" w:color="000000"/>
              <w:left w:val="single" w:sz="4" w:space="0" w:color="000000"/>
              <w:bottom w:val="single" w:sz="4" w:space="0" w:color="000000"/>
              <w:right w:val="single" w:sz="4" w:space="0" w:color="000000"/>
            </w:tcBorders>
            <w:hideMark/>
          </w:tcPr>
          <w:p w14:paraId="700C6A57" w14:textId="77777777" w:rsidR="00D27A53" w:rsidRPr="00D27A53" w:rsidRDefault="00D27A53" w:rsidP="00A27D30">
            <w:pPr>
              <w:ind w:left="136"/>
              <w:jc w:val="center"/>
              <w:rPr>
                <w:sz w:val="24"/>
                <w:szCs w:val="24"/>
              </w:rPr>
            </w:pPr>
            <w:r w:rsidRPr="00D27A53">
              <w:rPr>
                <w:sz w:val="24"/>
                <w:szCs w:val="24"/>
                <w:lang w:bidi="da-DK"/>
              </w:rPr>
              <w:t>3</w:t>
            </w:r>
          </w:p>
        </w:tc>
        <w:tc>
          <w:tcPr>
            <w:tcW w:w="1853" w:type="pct"/>
            <w:tcBorders>
              <w:top w:val="single" w:sz="4" w:space="0" w:color="000000"/>
              <w:left w:val="single" w:sz="4" w:space="0" w:color="000000"/>
              <w:bottom w:val="single" w:sz="4" w:space="0" w:color="000000"/>
              <w:right w:val="single" w:sz="4" w:space="0" w:color="000000"/>
            </w:tcBorders>
            <w:hideMark/>
          </w:tcPr>
          <w:p w14:paraId="275871CF" w14:textId="77777777" w:rsidR="00D27A53" w:rsidRPr="00D27A53" w:rsidRDefault="00D27A53" w:rsidP="00A27D30">
            <w:pPr>
              <w:ind w:left="136"/>
              <w:jc w:val="center"/>
              <w:rPr>
                <w:sz w:val="24"/>
                <w:szCs w:val="24"/>
              </w:rPr>
            </w:pPr>
            <w:r w:rsidRPr="00D27A53">
              <w:rPr>
                <w:sz w:val="24"/>
                <w:szCs w:val="24"/>
                <w:lang w:bidi="da-DK"/>
              </w:rPr>
              <w:t>0</w:t>
            </w:r>
          </w:p>
        </w:tc>
      </w:tr>
    </w:tbl>
    <w:p w14:paraId="1B9AA40C" w14:textId="77777777" w:rsidR="00A27D30" w:rsidRDefault="00A27D30" w:rsidP="00695AC0">
      <w:pPr>
        <w:ind w:left="851"/>
        <w:rPr>
          <w:sz w:val="24"/>
          <w:szCs w:val="24"/>
          <w:lang w:bidi="da-DK"/>
        </w:rPr>
      </w:pPr>
    </w:p>
    <w:p w14:paraId="7A919D56" w14:textId="02C6B1AB" w:rsidR="00D27A53" w:rsidRPr="00D27A53" w:rsidRDefault="00D27A53" w:rsidP="00695AC0">
      <w:pPr>
        <w:ind w:left="851"/>
        <w:rPr>
          <w:sz w:val="24"/>
          <w:szCs w:val="24"/>
        </w:rPr>
      </w:pPr>
      <w:r w:rsidRPr="00D27A53">
        <w:rPr>
          <w:sz w:val="24"/>
          <w:szCs w:val="24"/>
          <w:lang w:bidi="da-DK"/>
        </w:rPr>
        <w:t>Glemte doser kan indhentes ved at forlænge den normale doseringsplan ud over 10 dage, indtil hele lægemidlet er indtaget. Patienter bør ikke tage to doser på én gang. Hvis der mangler mere end 4 på hinanden følgende doser (1 dag), skal den ordinerende læge kontaktes.</w:t>
      </w:r>
    </w:p>
    <w:p w14:paraId="4A9BB7FA" w14:textId="77777777" w:rsidR="00A27D30" w:rsidRDefault="00A27D30" w:rsidP="00695AC0">
      <w:pPr>
        <w:ind w:left="851"/>
        <w:rPr>
          <w:i/>
          <w:sz w:val="24"/>
          <w:szCs w:val="24"/>
          <w:lang w:bidi="da-DK"/>
        </w:rPr>
      </w:pPr>
    </w:p>
    <w:p w14:paraId="2D3ACEBB" w14:textId="1694194F" w:rsidR="00D27A53" w:rsidRPr="00D27A53" w:rsidRDefault="00D27A53" w:rsidP="00695AC0">
      <w:pPr>
        <w:ind w:left="851"/>
        <w:rPr>
          <w:i/>
          <w:sz w:val="24"/>
          <w:szCs w:val="24"/>
        </w:rPr>
      </w:pPr>
      <w:r w:rsidRPr="00D27A53">
        <w:rPr>
          <w:i/>
          <w:sz w:val="24"/>
          <w:szCs w:val="24"/>
          <w:lang w:bidi="da-DK"/>
        </w:rPr>
        <w:t>Patienter med nedsat lever- eller nyrefunktion</w:t>
      </w:r>
    </w:p>
    <w:p w14:paraId="24C1D3C2" w14:textId="34EDE09E" w:rsidR="00D27A53" w:rsidRPr="00D27A53" w:rsidRDefault="00D27A53" w:rsidP="00695AC0">
      <w:pPr>
        <w:ind w:left="851"/>
        <w:rPr>
          <w:sz w:val="24"/>
          <w:szCs w:val="24"/>
        </w:rPr>
      </w:pPr>
      <w:proofErr w:type="spellStart"/>
      <w:r w:rsidRPr="00D27A53">
        <w:rPr>
          <w:sz w:val="24"/>
          <w:szCs w:val="24"/>
          <w:lang w:bidi="da-DK"/>
        </w:rPr>
        <w:t>Pylera</w:t>
      </w:r>
      <w:proofErr w:type="spellEnd"/>
      <w:r w:rsidRPr="00D27A53">
        <w:rPr>
          <w:sz w:val="24"/>
          <w:szCs w:val="24"/>
          <w:lang w:bidi="da-DK"/>
        </w:rPr>
        <w:t xml:space="preserve"> er kontraindiceret hos patienter med nedsat nyre- eller leverfunktion (se </w:t>
      </w:r>
      <w:r w:rsidR="0076324F">
        <w:rPr>
          <w:sz w:val="24"/>
          <w:szCs w:val="24"/>
          <w:lang w:bidi="da-DK"/>
        </w:rPr>
        <w:t>pkt.</w:t>
      </w:r>
      <w:r w:rsidRPr="00D27A53">
        <w:rPr>
          <w:sz w:val="24"/>
          <w:szCs w:val="24"/>
          <w:lang w:bidi="da-DK"/>
        </w:rPr>
        <w:t xml:space="preserve"> 4.3 og 4.4). Sikkerheden og effekten af </w:t>
      </w:r>
      <w:proofErr w:type="spellStart"/>
      <w:r w:rsidRPr="00D27A53">
        <w:rPr>
          <w:sz w:val="24"/>
          <w:szCs w:val="24"/>
          <w:lang w:bidi="da-DK"/>
        </w:rPr>
        <w:t>Pylera</w:t>
      </w:r>
      <w:proofErr w:type="spellEnd"/>
      <w:r w:rsidRPr="00D27A53">
        <w:rPr>
          <w:sz w:val="24"/>
          <w:szCs w:val="24"/>
          <w:lang w:bidi="da-DK"/>
        </w:rPr>
        <w:t xml:space="preserve"> hos patienter med nedsat lever- eller nyrefunktion er ikke blevet vurderet.</w:t>
      </w:r>
    </w:p>
    <w:p w14:paraId="3AE57246" w14:textId="77777777" w:rsidR="00D27A53" w:rsidRPr="00D27A53" w:rsidRDefault="00D27A53" w:rsidP="00695AC0">
      <w:pPr>
        <w:ind w:left="851"/>
        <w:rPr>
          <w:sz w:val="24"/>
          <w:szCs w:val="24"/>
        </w:rPr>
      </w:pPr>
    </w:p>
    <w:p w14:paraId="0F5DB522" w14:textId="77777777" w:rsidR="00D27A53" w:rsidRPr="00D27A53" w:rsidRDefault="00D27A53" w:rsidP="00695AC0">
      <w:pPr>
        <w:ind w:left="851"/>
        <w:rPr>
          <w:i/>
          <w:sz w:val="24"/>
          <w:szCs w:val="24"/>
        </w:rPr>
      </w:pPr>
      <w:r w:rsidRPr="00D27A53">
        <w:rPr>
          <w:i/>
          <w:sz w:val="24"/>
          <w:szCs w:val="24"/>
          <w:lang w:bidi="da-DK"/>
        </w:rPr>
        <w:t>Ældre</w:t>
      </w:r>
    </w:p>
    <w:p w14:paraId="18FA9AB1" w14:textId="77777777" w:rsidR="00D27A53" w:rsidRPr="00D27A53" w:rsidRDefault="00D27A53" w:rsidP="00695AC0">
      <w:pPr>
        <w:ind w:left="851"/>
        <w:rPr>
          <w:sz w:val="24"/>
          <w:szCs w:val="24"/>
        </w:rPr>
      </w:pPr>
      <w:r w:rsidRPr="00D27A53">
        <w:rPr>
          <w:sz w:val="24"/>
          <w:szCs w:val="24"/>
          <w:lang w:bidi="da-DK"/>
        </w:rPr>
        <w:t xml:space="preserve">Erfaringerne med ældre mennesker er begrænsede. Generelt bør den større forekomst af nedsat lever-, nyre- eller hjertefunktion samt tilstedeværelsen af samtidige sygdomme og flere samtidige medicinske behandlinger hos ældre tages i betragtning, når </w:t>
      </w:r>
      <w:proofErr w:type="spellStart"/>
      <w:r w:rsidRPr="00D27A53">
        <w:rPr>
          <w:sz w:val="24"/>
          <w:szCs w:val="24"/>
          <w:lang w:bidi="da-DK"/>
        </w:rPr>
        <w:t>Pylera</w:t>
      </w:r>
      <w:proofErr w:type="spellEnd"/>
      <w:r w:rsidRPr="00D27A53">
        <w:rPr>
          <w:sz w:val="24"/>
          <w:szCs w:val="24"/>
          <w:lang w:bidi="da-DK"/>
        </w:rPr>
        <w:t xml:space="preserve"> ordineres til denne patientgruppe.</w:t>
      </w:r>
    </w:p>
    <w:p w14:paraId="7221DFD8" w14:textId="77777777" w:rsidR="00A27D30" w:rsidRDefault="00A27D30" w:rsidP="00695AC0">
      <w:pPr>
        <w:ind w:left="851"/>
        <w:rPr>
          <w:i/>
          <w:sz w:val="24"/>
          <w:szCs w:val="24"/>
        </w:rPr>
      </w:pPr>
    </w:p>
    <w:p w14:paraId="610D3AC3" w14:textId="6C82D492" w:rsidR="00D27A53" w:rsidRPr="00D27A53" w:rsidRDefault="00D27A53" w:rsidP="00695AC0">
      <w:pPr>
        <w:ind w:left="851"/>
        <w:rPr>
          <w:i/>
          <w:sz w:val="24"/>
          <w:szCs w:val="24"/>
        </w:rPr>
      </w:pPr>
      <w:r w:rsidRPr="00D27A53">
        <w:rPr>
          <w:i/>
          <w:sz w:val="24"/>
          <w:szCs w:val="24"/>
        </w:rPr>
        <w:t>Pædiatrisk population</w:t>
      </w:r>
    </w:p>
    <w:p w14:paraId="75F99140" w14:textId="3141D88E" w:rsidR="00D27A53" w:rsidRPr="00D27A53" w:rsidRDefault="00D27A53" w:rsidP="00695AC0">
      <w:pPr>
        <w:ind w:left="851"/>
        <w:rPr>
          <w:sz w:val="24"/>
          <w:szCs w:val="24"/>
        </w:rPr>
      </w:pPr>
      <w:proofErr w:type="spellStart"/>
      <w:r w:rsidRPr="00D27A53">
        <w:rPr>
          <w:sz w:val="24"/>
          <w:szCs w:val="24"/>
          <w:lang w:bidi="da-DK"/>
        </w:rPr>
        <w:t>Pylera</w:t>
      </w:r>
      <w:proofErr w:type="spellEnd"/>
      <w:r w:rsidRPr="00D27A53">
        <w:rPr>
          <w:sz w:val="24"/>
          <w:szCs w:val="24"/>
          <w:lang w:bidi="da-DK"/>
        </w:rPr>
        <w:t xml:space="preserve"> er kontraindiceret til børn under 12 år (se </w:t>
      </w:r>
      <w:r w:rsidR="0076324F">
        <w:rPr>
          <w:sz w:val="24"/>
          <w:szCs w:val="24"/>
          <w:lang w:bidi="da-DK"/>
        </w:rPr>
        <w:t>pkt.</w:t>
      </w:r>
      <w:r w:rsidRPr="00D27A53">
        <w:rPr>
          <w:sz w:val="24"/>
          <w:szCs w:val="24"/>
          <w:lang w:bidi="da-DK"/>
        </w:rPr>
        <w:t xml:space="preserve"> 4.3) og anbefales ikke til børn i alderen 12 til 18 år.</w:t>
      </w:r>
    </w:p>
    <w:p w14:paraId="3427685F" w14:textId="77777777" w:rsidR="00A27D30" w:rsidRDefault="00A27D30" w:rsidP="00695AC0">
      <w:pPr>
        <w:ind w:left="851"/>
        <w:rPr>
          <w:sz w:val="24"/>
          <w:szCs w:val="24"/>
          <w:u w:val="single"/>
          <w:lang w:bidi="da-DK"/>
        </w:rPr>
      </w:pPr>
    </w:p>
    <w:p w14:paraId="0246370B" w14:textId="18955696" w:rsidR="00D27A53" w:rsidRPr="00D27A53" w:rsidRDefault="00D27A53" w:rsidP="00695AC0">
      <w:pPr>
        <w:ind w:left="851"/>
        <w:rPr>
          <w:sz w:val="24"/>
          <w:szCs w:val="24"/>
          <w:u w:val="single"/>
        </w:rPr>
      </w:pPr>
      <w:r w:rsidRPr="00D27A53">
        <w:rPr>
          <w:sz w:val="24"/>
          <w:szCs w:val="24"/>
          <w:u w:val="single"/>
          <w:lang w:bidi="da-DK"/>
        </w:rPr>
        <w:t>Administration</w:t>
      </w:r>
    </w:p>
    <w:p w14:paraId="3AD9E587" w14:textId="793A74C4" w:rsidR="00D27A53" w:rsidRPr="00D27A53" w:rsidRDefault="00D27A53" w:rsidP="00695AC0">
      <w:pPr>
        <w:ind w:left="851"/>
        <w:rPr>
          <w:sz w:val="24"/>
          <w:szCs w:val="24"/>
        </w:rPr>
      </w:pPr>
      <w:r w:rsidRPr="00D27A53">
        <w:rPr>
          <w:sz w:val="24"/>
          <w:szCs w:val="24"/>
          <w:lang w:bidi="da-DK"/>
        </w:rPr>
        <w:t xml:space="preserve">Til oral brug. Kapslerne må ikke åbnes, men skal sluges hele. </w:t>
      </w:r>
      <w:proofErr w:type="spellStart"/>
      <w:r w:rsidRPr="00D27A53">
        <w:rPr>
          <w:sz w:val="24"/>
          <w:szCs w:val="24"/>
          <w:lang w:bidi="da-DK"/>
        </w:rPr>
        <w:t>Pylera</w:t>
      </w:r>
      <w:proofErr w:type="spellEnd"/>
      <w:r w:rsidRPr="00D27A53">
        <w:rPr>
          <w:sz w:val="24"/>
          <w:szCs w:val="24"/>
          <w:lang w:bidi="da-DK"/>
        </w:rPr>
        <w:t xml:space="preserve"> og </w:t>
      </w:r>
      <w:proofErr w:type="spellStart"/>
      <w:r w:rsidRPr="00D27A53">
        <w:rPr>
          <w:sz w:val="24"/>
          <w:szCs w:val="24"/>
          <w:lang w:bidi="da-DK"/>
        </w:rPr>
        <w:t>omeprazol</w:t>
      </w:r>
      <w:proofErr w:type="spellEnd"/>
      <w:r w:rsidRPr="00D27A53">
        <w:rPr>
          <w:sz w:val="24"/>
          <w:szCs w:val="24"/>
          <w:lang w:bidi="da-DK"/>
        </w:rPr>
        <w:t xml:space="preserve"> skal tages opretsiddende efter et måltid og med et helt glas vand (250 ml), især ved sengetid, for at reducere risikoen for sårdannelse i spiserøret på grund af </w:t>
      </w:r>
      <w:proofErr w:type="spellStart"/>
      <w:r w:rsidRPr="00D27A53">
        <w:rPr>
          <w:sz w:val="24"/>
          <w:szCs w:val="24"/>
          <w:lang w:bidi="da-DK"/>
        </w:rPr>
        <w:t>tetracyclinhydrochlorid</w:t>
      </w:r>
      <w:proofErr w:type="spellEnd"/>
      <w:r w:rsidRPr="00D27A53">
        <w:rPr>
          <w:sz w:val="24"/>
          <w:szCs w:val="24"/>
          <w:lang w:bidi="da-DK"/>
        </w:rPr>
        <w:t xml:space="preserve"> (se </w:t>
      </w:r>
      <w:r w:rsidR="0076324F">
        <w:rPr>
          <w:sz w:val="24"/>
          <w:szCs w:val="24"/>
          <w:lang w:bidi="da-DK"/>
        </w:rPr>
        <w:t>pkt.</w:t>
      </w:r>
      <w:r w:rsidRPr="00D27A53">
        <w:rPr>
          <w:sz w:val="24"/>
          <w:szCs w:val="24"/>
          <w:lang w:bidi="da-DK"/>
        </w:rPr>
        <w:t xml:space="preserve"> 4.8).</w:t>
      </w:r>
    </w:p>
    <w:p w14:paraId="54473493" w14:textId="77777777" w:rsidR="00D27A53" w:rsidRPr="00D27A53" w:rsidRDefault="00D27A53" w:rsidP="00695AC0">
      <w:pPr>
        <w:ind w:left="851"/>
        <w:rPr>
          <w:sz w:val="24"/>
          <w:szCs w:val="24"/>
        </w:rPr>
      </w:pPr>
      <w:r w:rsidRPr="00D27A53">
        <w:rPr>
          <w:sz w:val="24"/>
          <w:szCs w:val="24"/>
          <w:lang w:bidi="da-DK"/>
        </w:rPr>
        <w:t xml:space="preserve">Patienter bør ikke lægge sig ned umiddelbart efter indtagelse af </w:t>
      </w:r>
      <w:proofErr w:type="spellStart"/>
      <w:r w:rsidRPr="00D27A53">
        <w:rPr>
          <w:sz w:val="24"/>
          <w:szCs w:val="24"/>
          <w:lang w:bidi="da-DK"/>
        </w:rPr>
        <w:t>Pylera</w:t>
      </w:r>
      <w:proofErr w:type="spellEnd"/>
      <w:r w:rsidRPr="00D27A53">
        <w:rPr>
          <w:sz w:val="24"/>
          <w:szCs w:val="24"/>
          <w:lang w:bidi="da-DK"/>
        </w:rPr>
        <w:t xml:space="preserve"> og </w:t>
      </w:r>
      <w:proofErr w:type="spellStart"/>
      <w:r w:rsidRPr="00D27A53">
        <w:rPr>
          <w:sz w:val="24"/>
          <w:szCs w:val="24"/>
          <w:lang w:bidi="da-DK"/>
        </w:rPr>
        <w:t>omeprazol</w:t>
      </w:r>
      <w:proofErr w:type="spellEnd"/>
      <w:r w:rsidRPr="00D27A53">
        <w:rPr>
          <w:sz w:val="24"/>
          <w:szCs w:val="24"/>
          <w:lang w:bidi="da-DK"/>
        </w:rPr>
        <w:t>.</w:t>
      </w:r>
    </w:p>
    <w:p w14:paraId="40A982A5" w14:textId="77777777" w:rsidR="009260DE" w:rsidRPr="00A27D30" w:rsidRDefault="009260DE" w:rsidP="009260DE">
      <w:pPr>
        <w:tabs>
          <w:tab w:val="left" w:pos="851"/>
        </w:tabs>
        <w:ind w:left="851"/>
        <w:rPr>
          <w:sz w:val="24"/>
          <w:szCs w:val="24"/>
        </w:rPr>
      </w:pPr>
    </w:p>
    <w:p w14:paraId="4205D8F2" w14:textId="77777777" w:rsidR="009260DE" w:rsidRPr="00A27D30" w:rsidRDefault="009260DE" w:rsidP="009260DE">
      <w:pPr>
        <w:tabs>
          <w:tab w:val="left" w:pos="851"/>
        </w:tabs>
        <w:ind w:left="851" w:hanging="851"/>
        <w:rPr>
          <w:b/>
          <w:sz w:val="24"/>
          <w:szCs w:val="24"/>
        </w:rPr>
      </w:pPr>
      <w:r w:rsidRPr="00A27D30">
        <w:rPr>
          <w:b/>
          <w:sz w:val="24"/>
          <w:szCs w:val="24"/>
        </w:rPr>
        <w:t>4.3</w:t>
      </w:r>
      <w:r w:rsidRPr="00A27D30">
        <w:rPr>
          <w:b/>
          <w:sz w:val="24"/>
          <w:szCs w:val="24"/>
        </w:rPr>
        <w:tab/>
        <w:t>Kontraindikationer</w:t>
      </w:r>
    </w:p>
    <w:p w14:paraId="7B769B5D" w14:textId="77777777" w:rsidR="00D27A53" w:rsidRPr="00D27A53" w:rsidRDefault="00D27A53" w:rsidP="00695AC0">
      <w:pPr>
        <w:numPr>
          <w:ilvl w:val="2"/>
          <w:numId w:val="6"/>
        </w:numPr>
        <w:ind w:left="1276" w:hanging="425"/>
        <w:rPr>
          <w:sz w:val="24"/>
          <w:szCs w:val="24"/>
        </w:rPr>
      </w:pPr>
      <w:r w:rsidRPr="00D27A53">
        <w:rPr>
          <w:sz w:val="24"/>
          <w:szCs w:val="24"/>
          <w:lang w:bidi="da-DK"/>
        </w:rPr>
        <w:t>Graviditet og amning</w:t>
      </w:r>
    </w:p>
    <w:p w14:paraId="103345E2" w14:textId="77777777" w:rsidR="00D27A53" w:rsidRPr="00D27A53" w:rsidRDefault="00D27A53" w:rsidP="00695AC0">
      <w:pPr>
        <w:numPr>
          <w:ilvl w:val="2"/>
          <w:numId w:val="6"/>
        </w:numPr>
        <w:ind w:left="1276" w:hanging="425"/>
        <w:rPr>
          <w:sz w:val="24"/>
          <w:szCs w:val="24"/>
        </w:rPr>
      </w:pPr>
      <w:r w:rsidRPr="00D27A53">
        <w:rPr>
          <w:sz w:val="24"/>
          <w:szCs w:val="24"/>
          <w:lang w:bidi="da-DK"/>
        </w:rPr>
        <w:t>Børn (op til 12 år)</w:t>
      </w:r>
    </w:p>
    <w:p w14:paraId="1A0CB5C3" w14:textId="77777777" w:rsidR="00D27A53" w:rsidRPr="00D27A53" w:rsidRDefault="00D27A53" w:rsidP="00695AC0">
      <w:pPr>
        <w:numPr>
          <w:ilvl w:val="2"/>
          <w:numId w:val="6"/>
        </w:numPr>
        <w:ind w:left="1276" w:hanging="425"/>
        <w:rPr>
          <w:sz w:val="24"/>
          <w:szCs w:val="24"/>
        </w:rPr>
      </w:pPr>
      <w:r w:rsidRPr="00D27A53">
        <w:rPr>
          <w:sz w:val="24"/>
          <w:szCs w:val="24"/>
          <w:lang w:bidi="da-DK"/>
        </w:rPr>
        <w:t>Nedsat nyre- eller leverfunktion</w:t>
      </w:r>
    </w:p>
    <w:p w14:paraId="74A5B854" w14:textId="24BF8E91" w:rsidR="00D27A53" w:rsidRPr="00D27A53" w:rsidRDefault="00D27A53" w:rsidP="00695AC0">
      <w:pPr>
        <w:numPr>
          <w:ilvl w:val="2"/>
          <w:numId w:val="6"/>
        </w:numPr>
        <w:ind w:left="1276" w:hanging="425"/>
        <w:rPr>
          <w:sz w:val="24"/>
          <w:szCs w:val="24"/>
        </w:rPr>
      </w:pPr>
      <w:r w:rsidRPr="00D27A53">
        <w:rPr>
          <w:sz w:val="24"/>
          <w:szCs w:val="24"/>
          <w:lang w:bidi="da-DK"/>
        </w:rPr>
        <w:t xml:space="preserve">Overfølsomhed over for de aktive stoffer, andre </w:t>
      </w:r>
      <w:proofErr w:type="spellStart"/>
      <w:r w:rsidRPr="00D27A53">
        <w:rPr>
          <w:sz w:val="24"/>
          <w:szCs w:val="24"/>
          <w:lang w:bidi="da-DK"/>
        </w:rPr>
        <w:t>nitroimidazolderivater</w:t>
      </w:r>
      <w:proofErr w:type="spellEnd"/>
      <w:r w:rsidRPr="00D27A53">
        <w:rPr>
          <w:sz w:val="24"/>
          <w:szCs w:val="24"/>
          <w:lang w:bidi="da-DK"/>
        </w:rPr>
        <w:t xml:space="preserve"> eller over for et eller flere af de hjælpestoffer, der er anført i </w:t>
      </w:r>
      <w:r w:rsidR="0076324F">
        <w:rPr>
          <w:sz w:val="24"/>
          <w:szCs w:val="24"/>
          <w:lang w:bidi="da-DK"/>
        </w:rPr>
        <w:t>pkt.</w:t>
      </w:r>
      <w:r w:rsidRPr="00D27A53">
        <w:rPr>
          <w:sz w:val="24"/>
          <w:szCs w:val="24"/>
          <w:lang w:bidi="da-DK"/>
        </w:rPr>
        <w:t xml:space="preserve"> 6.1.</w:t>
      </w:r>
    </w:p>
    <w:p w14:paraId="149D5B17" w14:textId="4DF69D61" w:rsidR="00D27A53" w:rsidRPr="00D27A53" w:rsidRDefault="00D27A53" w:rsidP="00695AC0">
      <w:pPr>
        <w:numPr>
          <w:ilvl w:val="2"/>
          <w:numId w:val="6"/>
        </w:numPr>
        <w:ind w:left="1276" w:hanging="425"/>
        <w:rPr>
          <w:sz w:val="24"/>
          <w:szCs w:val="24"/>
        </w:rPr>
      </w:pPr>
      <w:r w:rsidRPr="00D27A53">
        <w:rPr>
          <w:sz w:val="24"/>
          <w:szCs w:val="24"/>
          <w:lang w:bidi="da-DK"/>
        </w:rPr>
        <w:t xml:space="preserve">Patienter med </w:t>
      </w:r>
      <w:proofErr w:type="spellStart"/>
      <w:r w:rsidRPr="00D27A53">
        <w:rPr>
          <w:sz w:val="24"/>
          <w:szCs w:val="24"/>
          <w:lang w:bidi="da-DK"/>
        </w:rPr>
        <w:t>Cockayne</w:t>
      </w:r>
      <w:proofErr w:type="spellEnd"/>
      <w:r w:rsidRPr="00D27A53">
        <w:rPr>
          <w:sz w:val="24"/>
          <w:szCs w:val="24"/>
          <w:lang w:bidi="da-DK"/>
        </w:rPr>
        <w:t xml:space="preserve">-syndrom (se </w:t>
      </w:r>
      <w:r w:rsidR="0076324F">
        <w:rPr>
          <w:sz w:val="24"/>
          <w:szCs w:val="24"/>
          <w:lang w:bidi="da-DK"/>
        </w:rPr>
        <w:t>pkt.</w:t>
      </w:r>
      <w:r w:rsidRPr="00D27A53">
        <w:rPr>
          <w:sz w:val="24"/>
          <w:szCs w:val="24"/>
          <w:lang w:bidi="da-DK"/>
        </w:rPr>
        <w:t xml:space="preserve"> 4.8)</w:t>
      </w:r>
    </w:p>
    <w:p w14:paraId="1483689E" w14:textId="483E42AB" w:rsidR="0076324F" w:rsidRDefault="0076324F">
      <w:pPr>
        <w:rPr>
          <w:sz w:val="24"/>
          <w:szCs w:val="24"/>
        </w:rPr>
      </w:pPr>
      <w:r>
        <w:rPr>
          <w:sz w:val="24"/>
          <w:szCs w:val="24"/>
        </w:rPr>
        <w:br w:type="page"/>
      </w:r>
    </w:p>
    <w:p w14:paraId="17907802" w14:textId="77777777" w:rsidR="009260DE" w:rsidRPr="00A27D30" w:rsidRDefault="009260DE" w:rsidP="009260DE">
      <w:pPr>
        <w:tabs>
          <w:tab w:val="left" w:pos="851"/>
        </w:tabs>
        <w:ind w:left="851"/>
        <w:rPr>
          <w:sz w:val="24"/>
          <w:szCs w:val="24"/>
        </w:rPr>
      </w:pPr>
    </w:p>
    <w:p w14:paraId="10512EDF" w14:textId="77777777" w:rsidR="009260DE" w:rsidRPr="00A27D30" w:rsidRDefault="009260DE" w:rsidP="009260DE">
      <w:pPr>
        <w:tabs>
          <w:tab w:val="left" w:pos="851"/>
        </w:tabs>
        <w:ind w:left="851" w:hanging="851"/>
        <w:rPr>
          <w:b/>
          <w:sz w:val="24"/>
          <w:szCs w:val="24"/>
        </w:rPr>
      </w:pPr>
      <w:r w:rsidRPr="00A27D30">
        <w:rPr>
          <w:b/>
          <w:sz w:val="24"/>
          <w:szCs w:val="24"/>
        </w:rPr>
        <w:t>4.4</w:t>
      </w:r>
      <w:r w:rsidRPr="00A27D30">
        <w:rPr>
          <w:b/>
          <w:sz w:val="24"/>
          <w:szCs w:val="24"/>
        </w:rPr>
        <w:tab/>
        <w:t>Særlige advarsler og forsigtighedsregler vedrørende brugen</w:t>
      </w:r>
    </w:p>
    <w:p w14:paraId="388C62A3" w14:textId="70646B41" w:rsidR="00D27A53" w:rsidRPr="00D27A53" w:rsidRDefault="00D27A53" w:rsidP="00695AC0">
      <w:pPr>
        <w:ind w:left="851"/>
        <w:rPr>
          <w:sz w:val="24"/>
          <w:szCs w:val="24"/>
        </w:rPr>
      </w:pPr>
      <w:r w:rsidRPr="00D27A53">
        <w:rPr>
          <w:sz w:val="24"/>
          <w:szCs w:val="24"/>
          <w:lang w:bidi="da-DK"/>
        </w:rPr>
        <w:t xml:space="preserve">Der har været sjældne rapporter om encefalopati i forbindelse med for høje doser af forskellige </w:t>
      </w:r>
      <w:proofErr w:type="spellStart"/>
      <w:r w:rsidRPr="00D27A53">
        <w:rPr>
          <w:sz w:val="24"/>
          <w:szCs w:val="24"/>
          <w:lang w:bidi="da-DK"/>
        </w:rPr>
        <w:t>bismuth-holdige</w:t>
      </w:r>
      <w:proofErr w:type="spellEnd"/>
      <w:r w:rsidRPr="00D27A53">
        <w:rPr>
          <w:sz w:val="24"/>
          <w:szCs w:val="24"/>
          <w:lang w:bidi="da-DK"/>
        </w:rPr>
        <w:t xml:space="preserve"> produkter ved længerevarende behandling, som er reversible ved ophør af behandlingen. Der er også rapporteret meget sjældne tilfælde af encefalopati med </w:t>
      </w:r>
      <w:proofErr w:type="spellStart"/>
      <w:r w:rsidRPr="00D27A53">
        <w:rPr>
          <w:sz w:val="24"/>
          <w:szCs w:val="24"/>
          <w:lang w:bidi="da-DK"/>
        </w:rPr>
        <w:t>metronidazol</w:t>
      </w:r>
      <w:proofErr w:type="spellEnd"/>
      <w:r w:rsidRPr="00D27A53">
        <w:rPr>
          <w:sz w:val="24"/>
          <w:szCs w:val="24"/>
          <w:lang w:bidi="da-DK"/>
        </w:rPr>
        <w:t xml:space="preserve"> (se </w:t>
      </w:r>
      <w:r w:rsidR="0076324F">
        <w:rPr>
          <w:sz w:val="24"/>
          <w:szCs w:val="24"/>
          <w:lang w:bidi="da-DK"/>
        </w:rPr>
        <w:t>pkt.</w:t>
      </w:r>
      <w:r w:rsidRPr="00D27A53">
        <w:rPr>
          <w:sz w:val="24"/>
          <w:szCs w:val="24"/>
          <w:lang w:bidi="da-DK"/>
        </w:rPr>
        <w:t xml:space="preserve"> 4.8.c). Efter markedsføring er der rapporteret tilfælde af encefalopati i forbindelse med brug af </w:t>
      </w:r>
      <w:proofErr w:type="spellStart"/>
      <w:r w:rsidRPr="00D27A53">
        <w:rPr>
          <w:sz w:val="24"/>
          <w:szCs w:val="24"/>
          <w:lang w:bidi="da-DK"/>
        </w:rPr>
        <w:t>Pylera</w:t>
      </w:r>
      <w:proofErr w:type="spellEnd"/>
      <w:r w:rsidRPr="00D27A53">
        <w:rPr>
          <w:sz w:val="24"/>
          <w:szCs w:val="24"/>
          <w:lang w:bidi="da-DK"/>
        </w:rPr>
        <w:t>.</w:t>
      </w:r>
    </w:p>
    <w:p w14:paraId="365CB3AF" w14:textId="77777777" w:rsidR="00A27D30" w:rsidRDefault="00A27D30" w:rsidP="00695AC0">
      <w:pPr>
        <w:ind w:left="851"/>
        <w:rPr>
          <w:sz w:val="24"/>
          <w:szCs w:val="24"/>
          <w:lang w:bidi="da-DK"/>
        </w:rPr>
      </w:pPr>
    </w:p>
    <w:p w14:paraId="7CB0C6D3" w14:textId="06FB0AC8" w:rsidR="00D27A53" w:rsidRPr="00D27A53" w:rsidRDefault="00D27A53" w:rsidP="00695AC0">
      <w:pPr>
        <w:ind w:left="851"/>
        <w:rPr>
          <w:sz w:val="24"/>
          <w:szCs w:val="24"/>
        </w:rPr>
      </w:pPr>
      <w:r w:rsidRPr="00D27A53">
        <w:rPr>
          <w:sz w:val="24"/>
          <w:szCs w:val="24"/>
          <w:lang w:bidi="da-DK"/>
        </w:rPr>
        <w:t xml:space="preserve">Perifer </w:t>
      </w:r>
      <w:proofErr w:type="spellStart"/>
      <w:r w:rsidRPr="00D27A53">
        <w:rPr>
          <w:sz w:val="24"/>
          <w:szCs w:val="24"/>
          <w:lang w:bidi="da-DK"/>
        </w:rPr>
        <w:t>neuropati</w:t>
      </w:r>
      <w:proofErr w:type="spellEnd"/>
      <w:r w:rsidRPr="00D27A53">
        <w:rPr>
          <w:sz w:val="24"/>
          <w:szCs w:val="24"/>
          <w:lang w:bidi="da-DK"/>
        </w:rPr>
        <w:t xml:space="preserve"> er blevet rapporteret hos patienter, der har fået </w:t>
      </w:r>
      <w:proofErr w:type="spellStart"/>
      <w:r w:rsidRPr="00D27A53">
        <w:rPr>
          <w:sz w:val="24"/>
          <w:szCs w:val="24"/>
          <w:lang w:bidi="da-DK"/>
        </w:rPr>
        <w:t>metronidazol</w:t>
      </w:r>
      <w:proofErr w:type="spellEnd"/>
      <w:r w:rsidRPr="00D27A53">
        <w:rPr>
          <w:sz w:val="24"/>
          <w:szCs w:val="24"/>
          <w:lang w:bidi="da-DK"/>
        </w:rPr>
        <w:t xml:space="preserve">, sædvanligvis i lange perioder. Der er også rapporteret om tilfælde af perifer </w:t>
      </w:r>
      <w:proofErr w:type="spellStart"/>
      <w:r w:rsidRPr="00D27A53">
        <w:rPr>
          <w:sz w:val="24"/>
          <w:szCs w:val="24"/>
          <w:lang w:bidi="da-DK"/>
        </w:rPr>
        <w:t>neuropati</w:t>
      </w:r>
      <w:proofErr w:type="spellEnd"/>
      <w:r w:rsidRPr="00D27A53">
        <w:rPr>
          <w:sz w:val="24"/>
          <w:szCs w:val="24"/>
          <w:lang w:bidi="da-DK"/>
        </w:rPr>
        <w:t xml:space="preserve"> med </w:t>
      </w:r>
      <w:proofErr w:type="spellStart"/>
      <w:r w:rsidRPr="00D27A53">
        <w:rPr>
          <w:sz w:val="24"/>
          <w:szCs w:val="24"/>
          <w:lang w:bidi="da-DK"/>
        </w:rPr>
        <w:t>Pylera</w:t>
      </w:r>
      <w:proofErr w:type="spellEnd"/>
      <w:r w:rsidRPr="00D27A53">
        <w:rPr>
          <w:sz w:val="24"/>
          <w:szCs w:val="24"/>
          <w:lang w:bidi="da-DK"/>
        </w:rPr>
        <w:t xml:space="preserve">. Hvis der opstår unormale neurologiske tegn, skal </w:t>
      </w:r>
      <w:proofErr w:type="spellStart"/>
      <w:r w:rsidRPr="00D27A53">
        <w:rPr>
          <w:sz w:val="24"/>
          <w:szCs w:val="24"/>
          <w:lang w:bidi="da-DK"/>
        </w:rPr>
        <w:t>Pylera</w:t>
      </w:r>
      <w:proofErr w:type="spellEnd"/>
      <w:r w:rsidRPr="00D27A53">
        <w:rPr>
          <w:sz w:val="24"/>
          <w:szCs w:val="24"/>
          <w:lang w:bidi="da-DK"/>
        </w:rPr>
        <w:t xml:space="preserve"> straks seponeres. </w:t>
      </w:r>
      <w:proofErr w:type="spellStart"/>
      <w:r w:rsidRPr="00D27A53">
        <w:rPr>
          <w:sz w:val="24"/>
          <w:szCs w:val="24"/>
          <w:lang w:bidi="da-DK"/>
        </w:rPr>
        <w:t>Pylera</w:t>
      </w:r>
      <w:proofErr w:type="spellEnd"/>
      <w:r w:rsidRPr="00D27A53">
        <w:rPr>
          <w:sz w:val="24"/>
          <w:szCs w:val="24"/>
          <w:lang w:bidi="da-DK"/>
        </w:rPr>
        <w:t xml:space="preserve"> skal administreres med forsigtighed til patienter med sygdomme i centralnervesystemet (se </w:t>
      </w:r>
      <w:r w:rsidR="0076324F">
        <w:rPr>
          <w:sz w:val="24"/>
          <w:szCs w:val="24"/>
          <w:lang w:bidi="da-DK"/>
        </w:rPr>
        <w:t>pkt.</w:t>
      </w:r>
      <w:r w:rsidRPr="00D27A53">
        <w:rPr>
          <w:sz w:val="24"/>
          <w:szCs w:val="24"/>
          <w:lang w:bidi="da-DK"/>
        </w:rPr>
        <w:t xml:space="preserve"> 4.8).</w:t>
      </w:r>
    </w:p>
    <w:p w14:paraId="24C89506" w14:textId="77777777" w:rsidR="00D27A53" w:rsidRPr="00D27A53" w:rsidRDefault="00D27A53" w:rsidP="00695AC0">
      <w:pPr>
        <w:ind w:left="851"/>
        <w:rPr>
          <w:sz w:val="24"/>
          <w:szCs w:val="24"/>
        </w:rPr>
      </w:pPr>
    </w:p>
    <w:p w14:paraId="3E09D122" w14:textId="1574ED17" w:rsidR="00D27A53" w:rsidRPr="00D27A53" w:rsidRDefault="00D27A53" w:rsidP="00695AC0">
      <w:pPr>
        <w:ind w:left="851"/>
        <w:rPr>
          <w:sz w:val="24"/>
          <w:szCs w:val="24"/>
        </w:rPr>
      </w:pPr>
      <w:r w:rsidRPr="00D27A53">
        <w:rPr>
          <w:sz w:val="24"/>
          <w:szCs w:val="24"/>
          <w:lang w:bidi="da-DK"/>
        </w:rPr>
        <w:t xml:space="preserve">Oral </w:t>
      </w:r>
      <w:proofErr w:type="spellStart"/>
      <w:r w:rsidRPr="00D27A53">
        <w:rPr>
          <w:sz w:val="24"/>
          <w:szCs w:val="24"/>
          <w:lang w:bidi="da-DK"/>
        </w:rPr>
        <w:t>candidiasis</w:t>
      </w:r>
      <w:proofErr w:type="spellEnd"/>
      <w:r w:rsidRPr="00D27A53">
        <w:rPr>
          <w:sz w:val="24"/>
          <w:szCs w:val="24"/>
          <w:lang w:bidi="da-DK"/>
        </w:rPr>
        <w:t xml:space="preserve">, </w:t>
      </w:r>
      <w:proofErr w:type="spellStart"/>
      <w:r w:rsidRPr="00D27A53">
        <w:rPr>
          <w:sz w:val="24"/>
          <w:szCs w:val="24"/>
          <w:lang w:bidi="da-DK"/>
        </w:rPr>
        <w:t>vulvovaginitis</w:t>
      </w:r>
      <w:proofErr w:type="spellEnd"/>
      <w:r w:rsidRPr="00D27A53">
        <w:rPr>
          <w:sz w:val="24"/>
          <w:szCs w:val="24"/>
          <w:lang w:bidi="da-DK"/>
        </w:rPr>
        <w:t xml:space="preserve"> og </w:t>
      </w:r>
      <w:proofErr w:type="spellStart"/>
      <w:r w:rsidRPr="00D27A53">
        <w:rPr>
          <w:sz w:val="24"/>
          <w:szCs w:val="24"/>
          <w:lang w:bidi="da-DK"/>
        </w:rPr>
        <w:t>pruritus</w:t>
      </w:r>
      <w:proofErr w:type="spellEnd"/>
      <w:r w:rsidRPr="00D27A53">
        <w:rPr>
          <w:sz w:val="24"/>
          <w:szCs w:val="24"/>
          <w:lang w:bidi="da-DK"/>
        </w:rPr>
        <w:t xml:space="preserve"> </w:t>
      </w:r>
      <w:proofErr w:type="spellStart"/>
      <w:r w:rsidRPr="00D27A53">
        <w:rPr>
          <w:sz w:val="24"/>
          <w:szCs w:val="24"/>
          <w:lang w:bidi="da-DK"/>
        </w:rPr>
        <w:t>ani</w:t>
      </w:r>
      <w:proofErr w:type="spellEnd"/>
      <w:r w:rsidRPr="00D27A53">
        <w:rPr>
          <w:sz w:val="24"/>
          <w:szCs w:val="24"/>
          <w:lang w:bidi="da-DK"/>
        </w:rPr>
        <w:t xml:space="preserve">, hovedsageligt på grund af overvækst med </w:t>
      </w:r>
      <w:proofErr w:type="spellStart"/>
      <w:r w:rsidRPr="00D27A53">
        <w:rPr>
          <w:i/>
          <w:sz w:val="24"/>
          <w:szCs w:val="24"/>
          <w:lang w:bidi="da-DK"/>
        </w:rPr>
        <w:t>Candida</w:t>
      </w:r>
      <w:proofErr w:type="spellEnd"/>
      <w:r w:rsidRPr="00D27A53">
        <w:rPr>
          <w:i/>
          <w:sz w:val="24"/>
          <w:szCs w:val="24"/>
          <w:lang w:bidi="da-DK"/>
        </w:rPr>
        <w:t xml:space="preserve"> </w:t>
      </w:r>
      <w:proofErr w:type="spellStart"/>
      <w:r w:rsidRPr="00D27A53">
        <w:rPr>
          <w:i/>
          <w:sz w:val="24"/>
          <w:szCs w:val="24"/>
          <w:lang w:bidi="da-DK"/>
        </w:rPr>
        <w:t>albicans</w:t>
      </w:r>
      <w:proofErr w:type="spellEnd"/>
      <w:r w:rsidRPr="00D27A53">
        <w:rPr>
          <w:sz w:val="24"/>
          <w:szCs w:val="24"/>
          <w:lang w:bidi="da-DK"/>
        </w:rPr>
        <w:t xml:space="preserve">, kan forekomme under behandling med tetracyklin og kan kræve behandling med et svampemiddel. Der kan forekomme overvækst af resistente coliforme organismer som </w:t>
      </w:r>
      <w:proofErr w:type="spellStart"/>
      <w:r w:rsidRPr="00D27A53">
        <w:rPr>
          <w:i/>
          <w:sz w:val="24"/>
          <w:szCs w:val="24"/>
          <w:lang w:bidi="da-DK"/>
        </w:rPr>
        <w:t>Pseudomonas</w:t>
      </w:r>
      <w:proofErr w:type="spellEnd"/>
      <w:r w:rsidRPr="00D27A53">
        <w:rPr>
          <w:i/>
          <w:sz w:val="24"/>
          <w:szCs w:val="24"/>
          <w:lang w:bidi="da-DK"/>
        </w:rPr>
        <w:t xml:space="preserve"> </w:t>
      </w:r>
      <w:proofErr w:type="spellStart"/>
      <w:proofErr w:type="gramStart"/>
      <w:r w:rsidRPr="00D27A53">
        <w:rPr>
          <w:i/>
          <w:sz w:val="24"/>
          <w:szCs w:val="24"/>
          <w:lang w:bidi="da-DK"/>
        </w:rPr>
        <w:t>spp</w:t>
      </w:r>
      <w:proofErr w:type="spellEnd"/>
      <w:r w:rsidRPr="00D27A53">
        <w:rPr>
          <w:i/>
          <w:sz w:val="24"/>
          <w:szCs w:val="24"/>
          <w:lang w:bidi="da-DK"/>
        </w:rPr>
        <w:t xml:space="preserve"> </w:t>
      </w:r>
      <w:r w:rsidRPr="00D27A53">
        <w:rPr>
          <w:sz w:val="24"/>
          <w:szCs w:val="24"/>
          <w:lang w:bidi="da-DK"/>
        </w:rPr>
        <w:t>.</w:t>
      </w:r>
      <w:proofErr w:type="gramEnd"/>
      <w:r w:rsidRPr="00D27A53">
        <w:rPr>
          <w:sz w:val="24"/>
          <w:szCs w:val="24"/>
          <w:lang w:bidi="da-DK"/>
        </w:rPr>
        <w:t xml:space="preserve"> og </w:t>
      </w:r>
      <w:r w:rsidRPr="00D27A53">
        <w:rPr>
          <w:i/>
          <w:sz w:val="24"/>
          <w:szCs w:val="24"/>
          <w:lang w:bidi="da-DK"/>
        </w:rPr>
        <w:t xml:space="preserve">Proteus </w:t>
      </w:r>
      <w:proofErr w:type="spellStart"/>
      <w:r w:rsidRPr="00D27A53">
        <w:rPr>
          <w:i/>
          <w:sz w:val="24"/>
          <w:szCs w:val="24"/>
          <w:lang w:bidi="da-DK"/>
        </w:rPr>
        <w:t>spp</w:t>
      </w:r>
      <w:proofErr w:type="spellEnd"/>
      <w:r w:rsidRPr="00D27A53">
        <w:rPr>
          <w:i/>
          <w:sz w:val="24"/>
          <w:szCs w:val="24"/>
          <w:lang w:bidi="da-DK"/>
        </w:rPr>
        <w:t>.</w:t>
      </w:r>
      <w:r w:rsidRPr="00D27A53">
        <w:rPr>
          <w:sz w:val="24"/>
          <w:szCs w:val="24"/>
          <w:lang w:bidi="da-DK"/>
        </w:rPr>
        <w:t xml:space="preserve"> som forårsager diarré. Mere alvorlig </w:t>
      </w:r>
      <w:proofErr w:type="spellStart"/>
      <w:r w:rsidRPr="00D27A53">
        <w:rPr>
          <w:sz w:val="24"/>
          <w:szCs w:val="24"/>
          <w:lang w:bidi="da-DK"/>
        </w:rPr>
        <w:t>enterocolitis</w:t>
      </w:r>
      <w:proofErr w:type="spellEnd"/>
      <w:r w:rsidRPr="00D27A53">
        <w:rPr>
          <w:sz w:val="24"/>
          <w:szCs w:val="24"/>
          <w:lang w:bidi="da-DK"/>
        </w:rPr>
        <w:t xml:space="preserve"> på grund af superinfektion med resistente stafylokokker og </w:t>
      </w:r>
      <w:proofErr w:type="spellStart"/>
      <w:r w:rsidRPr="00D27A53">
        <w:rPr>
          <w:sz w:val="24"/>
          <w:szCs w:val="24"/>
          <w:lang w:bidi="da-DK"/>
        </w:rPr>
        <w:t>pseudomembranøs</w:t>
      </w:r>
      <w:proofErr w:type="spellEnd"/>
      <w:r w:rsidRPr="00D27A53">
        <w:rPr>
          <w:sz w:val="24"/>
          <w:szCs w:val="24"/>
          <w:lang w:bidi="da-DK"/>
        </w:rPr>
        <w:t xml:space="preserve"> colitis på grund af </w:t>
      </w:r>
      <w:proofErr w:type="spellStart"/>
      <w:r w:rsidRPr="00D27A53">
        <w:rPr>
          <w:i/>
          <w:sz w:val="24"/>
          <w:szCs w:val="24"/>
          <w:lang w:bidi="da-DK"/>
        </w:rPr>
        <w:t>Clostridium</w:t>
      </w:r>
      <w:proofErr w:type="spellEnd"/>
      <w:r w:rsidRPr="00D27A53">
        <w:rPr>
          <w:i/>
          <w:sz w:val="24"/>
          <w:szCs w:val="24"/>
          <w:lang w:bidi="da-DK"/>
        </w:rPr>
        <w:t xml:space="preserve"> difficile </w:t>
      </w:r>
      <w:r w:rsidRPr="00D27A53">
        <w:rPr>
          <w:sz w:val="24"/>
          <w:szCs w:val="24"/>
          <w:lang w:bidi="da-DK"/>
        </w:rPr>
        <w:t xml:space="preserve">er lejlighedsvis blevet rapporteret ved brug af tetracyklin. Hvis der opstår superinfektion, skal </w:t>
      </w:r>
      <w:proofErr w:type="spellStart"/>
      <w:r w:rsidRPr="00D27A53">
        <w:rPr>
          <w:sz w:val="24"/>
          <w:szCs w:val="24"/>
          <w:lang w:bidi="da-DK"/>
        </w:rPr>
        <w:t>Pylera</w:t>
      </w:r>
      <w:proofErr w:type="spellEnd"/>
      <w:r w:rsidRPr="00D27A53">
        <w:rPr>
          <w:sz w:val="24"/>
          <w:szCs w:val="24"/>
          <w:lang w:bidi="da-DK"/>
        </w:rPr>
        <w:t xml:space="preserve"> seponeres, og der skal iværksættes passende behandling (se </w:t>
      </w:r>
      <w:r w:rsidR="0076324F">
        <w:rPr>
          <w:sz w:val="24"/>
          <w:szCs w:val="24"/>
          <w:lang w:bidi="da-DK"/>
        </w:rPr>
        <w:t>pkt.</w:t>
      </w:r>
      <w:r w:rsidRPr="00D27A53">
        <w:rPr>
          <w:sz w:val="24"/>
          <w:szCs w:val="24"/>
          <w:lang w:bidi="da-DK"/>
        </w:rPr>
        <w:t xml:space="preserve"> 4.8).</w:t>
      </w:r>
    </w:p>
    <w:p w14:paraId="6FD11488" w14:textId="77777777" w:rsidR="00A27D30" w:rsidRDefault="00A27D30" w:rsidP="00695AC0">
      <w:pPr>
        <w:ind w:left="851"/>
        <w:rPr>
          <w:sz w:val="24"/>
          <w:szCs w:val="24"/>
          <w:lang w:bidi="da-DK"/>
        </w:rPr>
      </w:pPr>
    </w:p>
    <w:p w14:paraId="19A8E9E8" w14:textId="1D661219" w:rsidR="00D27A53" w:rsidRPr="00D27A53" w:rsidRDefault="00D27A53" w:rsidP="00695AC0">
      <w:pPr>
        <w:ind w:left="851"/>
        <w:rPr>
          <w:sz w:val="24"/>
          <w:szCs w:val="24"/>
        </w:rPr>
      </w:pPr>
      <w:r w:rsidRPr="00D27A53">
        <w:rPr>
          <w:sz w:val="24"/>
          <w:szCs w:val="24"/>
          <w:lang w:bidi="da-DK"/>
        </w:rPr>
        <w:t xml:space="preserve">Lysfølsomhed manifesteret ved en overdreven solskoldningsreaktion er blevet observeret hos nogle personer, der tager </w:t>
      </w:r>
      <w:proofErr w:type="spellStart"/>
      <w:r w:rsidRPr="00D27A53">
        <w:rPr>
          <w:sz w:val="24"/>
          <w:szCs w:val="24"/>
          <w:lang w:bidi="da-DK"/>
        </w:rPr>
        <w:t>tetracykliner</w:t>
      </w:r>
      <w:proofErr w:type="spellEnd"/>
      <w:r w:rsidRPr="00D27A53">
        <w:rPr>
          <w:sz w:val="24"/>
          <w:szCs w:val="24"/>
          <w:lang w:bidi="da-DK"/>
        </w:rPr>
        <w:t xml:space="preserve">. Patienter, der kan blive udsat for direkte sollys eller ultraviolet lys, bør informeres om, at denne reaktion kan forekomme med tetracyklinlægemidler. Behandlingen skal afbrydes ved de første tegn på </w:t>
      </w:r>
      <w:proofErr w:type="spellStart"/>
      <w:r w:rsidRPr="00D27A53">
        <w:rPr>
          <w:sz w:val="24"/>
          <w:szCs w:val="24"/>
          <w:lang w:bidi="da-DK"/>
        </w:rPr>
        <w:t>erytem</w:t>
      </w:r>
      <w:proofErr w:type="spellEnd"/>
      <w:r w:rsidRPr="00D27A53">
        <w:rPr>
          <w:sz w:val="24"/>
          <w:szCs w:val="24"/>
          <w:lang w:bidi="da-DK"/>
        </w:rPr>
        <w:t xml:space="preserve"> i huden.</w:t>
      </w:r>
    </w:p>
    <w:p w14:paraId="002239FC" w14:textId="5360ADC9" w:rsidR="00D27A53" w:rsidRPr="00D27A53" w:rsidRDefault="00D27A53" w:rsidP="00695AC0">
      <w:pPr>
        <w:ind w:left="851"/>
        <w:rPr>
          <w:sz w:val="24"/>
          <w:szCs w:val="24"/>
        </w:rPr>
      </w:pPr>
      <w:r w:rsidRPr="00D27A53">
        <w:rPr>
          <w:sz w:val="24"/>
          <w:szCs w:val="24"/>
          <w:lang w:bidi="da-DK"/>
        </w:rPr>
        <w:t xml:space="preserve">Det anbefales at indtage tilstrækkelige mængder væske, især i forbindelse med sengedosis af </w:t>
      </w:r>
      <w:proofErr w:type="spellStart"/>
      <w:r w:rsidRPr="00D27A53">
        <w:rPr>
          <w:sz w:val="24"/>
          <w:szCs w:val="24"/>
          <w:lang w:bidi="da-DK"/>
        </w:rPr>
        <w:t>tetracyclinhydrochlorid</w:t>
      </w:r>
      <w:proofErr w:type="spellEnd"/>
      <w:r w:rsidRPr="00D27A53">
        <w:rPr>
          <w:sz w:val="24"/>
          <w:szCs w:val="24"/>
          <w:lang w:bidi="da-DK"/>
        </w:rPr>
        <w:t xml:space="preserve">, for at reducere risikoen for irritation af spiserøret og sårdannelse (se </w:t>
      </w:r>
      <w:r w:rsidR="0076324F">
        <w:rPr>
          <w:sz w:val="24"/>
          <w:szCs w:val="24"/>
          <w:lang w:bidi="da-DK"/>
        </w:rPr>
        <w:t>pkt.</w:t>
      </w:r>
      <w:r w:rsidRPr="00D27A53">
        <w:rPr>
          <w:sz w:val="24"/>
          <w:szCs w:val="24"/>
          <w:lang w:bidi="da-DK"/>
        </w:rPr>
        <w:t xml:space="preserve"> 4.8).</w:t>
      </w:r>
    </w:p>
    <w:p w14:paraId="3C171DB6" w14:textId="77777777" w:rsidR="00D27A53" w:rsidRPr="00D27A53" w:rsidRDefault="00D27A53" w:rsidP="00695AC0">
      <w:pPr>
        <w:ind w:left="851"/>
        <w:rPr>
          <w:sz w:val="24"/>
          <w:szCs w:val="24"/>
        </w:rPr>
      </w:pPr>
    </w:p>
    <w:p w14:paraId="5DDBAC8E" w14:textId="43ADDCEE" w:rsidR="00D27A53" w:rsidRPr="00D27A53" w:rsidRDefault="00D27A53" w:rsidP="00695AC0">
      <w:pPr>
        <w:ind w:left="851"/>
        <w:rPr>
          <w:sz w:val="24"/>
          <w:szCs w:val="24"/>
        </w:rPr>
      </w:pPr>
      <w:proofErr w:type="spellStart"/>
      <w:r w:rsidRPr="00D27A53">
        <w:rPr>
          <w:sz w:val="24"/>
          <w:szCs w:val="24"/>
          <w:lang w:bidi="da-DK"/>
        </w:rPr>
        <w:t>Metronidazol</w:t>
      </w:r>
      <w:proofErr w:type="spellEnd"/>
      <w:r w:rsidRPr="00D27A53">
        <w:rPr>
          <w:sz w:val="24"/>
          <w:szCs w:val="24"/>
          <w:lang w:bidi="da-DK"/>
        </w:rPr>
        <w:t xml:space="preserve"> bør anvendes med forsigtighed til patienter med tegn på eller tidligere </w:t>
      </w:r>
      <w:proofErr w:type="spellStart"/>
      <w:r w:rsidRPr="00D27A53">
        <w:rPr>
          <w:sz w:val="24"/>
          <w:szCs w:val="24"/>
          <w:lang w:bidi="da-DK"/>
        </w:rPr>
        <w:t>bloddyscrasi</w:t>
      </w:r>
      <w:proofErr w:type="spellEnd"/>
      <w:r w:rsidRPr="00D27A53">
        <w:rPr>
          <w:sz w:val="24"/>
          <w:szCs w:val="24"/>
          <w:lang w:bidi="da-DK"/>
        </w:rPr>
        <w:t xml:space="preserve">. En mild </w:t>
      </w:r>
      <w:proofErr w:type="spellStart"/>
      <w:r w:rsidRPr="00D27A53">
        <w:rPr>
          <w:sz w:val="24"/>
          <w:szCs w:val="24"/>
          <w:lang w:bidi="da-DK"/>
        </w:rPr>
        <w:t>leukopeni</w:t>
      </w:r>
      <w:proofErr w:type="spellEnd"/>
      <w:r w:rsidRPr="00D27A53">
        <w:rPr>
          <w:sz w:val="24"/>
          <w:szCs w:val="24"/>
          <w:lang w:bidi="da-DK"/>
        </w:rPr>
        <w:t xml:space="preserve"> er blevet observeret i sjældne tilfælde (se </w:t>
      </w:r>
      <w:r w:rsidR="0076324F">
        <w:rPr>
          <w:sz w:val="24"/>
          <w:szCs w:val="24"/>
          <w:lang w:bidi="da-DK"/>
        </w:rPr>
        <w:t>pkt.</w:t>
      </w:r>
      <w:r w:rsidRPr="00D27A53">
        <w:rPr>
          <w:sz w:val="24"/>
          <w:szCs w:val="24"/>
          <w:lang w:bidi="da-DK"/>
        </w:rPr>
        <w:t xml:space="preserve"> 4.8) ved langvarig brug af </w:t>
      </w:r>
      <w:proofErr w:type="spellStart"/>
      <w:r w:rsidRPr="00D27A53">
        <w:rPr>
          <w:sz w:val="24"/>
          <w:szCs w:val="24"/>
          <w:lang w:bidi="da-DK"/>
        </w:rPr>
        <w:t>metronidazol</w:t>
      </w:r>
      <w:proofErr w:type="spellEnd"/>
      <w:r w:rsidRPr="00D27A53">
        <w:rPr>
          <w:sz w:val="24"/>
          <w:szCs w:val="24"/>
          <w:lang w:bidi="da-DK"/>
        </w:rPr>
        <w:t>.</w:t>
      </w:r>
    </w:p>
    <w:p w14:paraId="7D15C94F" w14:textId="77777777" w:rsidR="00A27D30" w:rsidRDefault="00A27D30" w:rsidP="00695AC0">
      <w:pPr>
        <w:ind w:left="851"/>
        <w:rPr>
          <w:sz w:val="24"/>
          <w:szCs w:val="24"/>
          <w:lang w:bidi="da-DK"/>
        </w:rPr>
      </w:pPr>
    </w:p>
    <w:p w14:paraId="4F7798DB" w14:textId="53B0DAF6" w:rsidR="00D27A53" w:rsidRPr="00D27A53" w:rsidRDefault="00D27A53" w:rsidP="00695AC0">
      <w:pPr>
        <w:ind w:left="851"/>
        <w:rPr>
          <w:sz w:val="24"/>
          <w:szCs w:val="24"/>
        </w:rPr>
      </w:pPr>
      <w:r w:rsidRPr="00D27A53">
        <w:rPr>
          <w:sz w:val="24"/>
          <w:szCs w:val="24"/>
          <w:lang w:bidi="da-DK"/>
        </w:rPr>
        <w:t xml:space="preserve">Det kan være nødvendigt at reducere dosis af orale </w:t>
      </w:r>
      <w:proofErr w:type="spellStart"/>
      <w:r w:rsidRPr="00D27A53">
        <w:rPr>
          <w:sz w:val="24"/>
          <w:szCs w:val="24"/>
          <w:lang w:bidi="da-DK"/>
        </w:rPr>
        <w:t>antikoagulantia</w:t>
      </w:r>
      <w:proofErr w:type="spellEnd"/>
      <w:r w:rsidRPr="00D27A53">
        <w:rPr>
          <w:sz w:val="24"/>
          <w:szCs w:val="24"/>
          <w:lang w:bidi="da-DK"/>
        </w:rPr>
        <w:t xml:space="preserve"> såsom </w:t>
      </w:r>
      <w:proofErr w:type="spellStart"/>
      <w:r w:rsidRPr="00D27A53">
        <w:rPr>
          <w:sz w:val="24"/>
          <w:szCs w:val="24"/>
          <w:lang w:bidi="da-DK"/>
        </w:rPr>
        <w:t>warfarin</w:t>
      </w:r>
      <w:proofErr w:type="spellEnd"/>
      <w:r w:rsidRPr="00D27A53">
        <w:rPr>
          <w:sz w:val="24"/>
          <w:szCs w:val="24"/>
          <w:lang w:bidi="da-DK"/>
        </w:rPr>
        <w:t xml:space="preserve"> under behandlingen med </w:t>
      </w:r>
      <w:proofErr w:type="spellStart"/>
      <w:r w:rsidRPr="00D27A53">
        <w:rPr>
          <w:sz w:val="24"/>
          <w:szCs w:val="24"/>
          <w:lang w:bidi="da-DK"/>
        </w:rPr>
        <w:t>Pylera</w:t>
      </w:r>
      <w:proofErr w:type="spellEnd"/>
      <w:r w:rsidRPr="00D27A53">
        <w:rPr>
          <w:sz w:val="24"/>
          <w:szCs w:val="24"/>
          <w:lang w:bidi="da-DK"/>
        </w:rPr>
        <w:t xml:space="preserve"> (</w:t>
      </w:r>
      <w:proofErr w:type="spellStart"/>
      <w:r w:rsidRPr="00D27A53">
        <w:rPr>
          <w:sz w:val="24"/>
          <w:szCs w:val="24"/>
          <w:lang w:bidi="da-DK"/>
        </w:rPr>
        <w:t>metronidazol</w:t>
      </w:r>
      <w:proofErr w:type="spellEnd"/>
      <w:r w:rsidRPr="00D27A53">
        <w:rPr>
          <w:sz w:val="24"/>
          <w:szCs w:val="24"/>
          <w:lang w:bidi="da-DK"/>
        </w:rPr>
        <w:t xml:space="preserve"> kan forlænge </w:t>
      </w:r>
      <w:proofErr w:type="spellStart"/>
      <w:r w:rsidRPr="00D27A53">
        <w:rPr>
          <w:sz w:val="24"/>
          <w:szCs w:val="24"/>
          <w:lang w:bidi="da-DK"/>
        </w:rPr>
        <w:t>protrombintiden</w:t>
      </w:r>
      <w:proofErr w:type="spellEnd"/>
      <w:r w:rsidRPr="00D27A53">
        <w:rPr>
          <w:sz w:val="24"/>
          <w:szCs w:val="24"/>
          <w:lang w:bidi="da-DK"/>
        </w:rPr>
        <w:t xml:space="preserve">). </w:t>
      </w:r>
      <w:proofErr w:type="spellStart"/>
      <w:r w:rsidRPr="00D27A53">
        <w:rPr>
          <w:sz w:val="24"/>
          <w:szCs w:val="24"/>
          <w:lang w:bidi="da-DK"/>
        </w:rPr>
        <w:t>Prothrombintiden</w:t>
      </w:r>
      <w:proofErr w:type="spellEnd"/>
      <w:r w:rsidRPr="00D27A53">
        <w:rPr>
          <w:sz w:val="24"/>
          <w:szCs w:val="24"/>
          <w:lang w:bidi="da-DK"/>
        </w:rPr>
        <w:t xml:space="preserve"> skal overvåges. Der er ingen interaktion med </w:t>
      </w:r>
      <w:proofErr w:type="spellStart"/>
      <w:r w:rsidRPr="00D27A53">
        <w:rPr>
          <w:sz w:val="24"/>
          <w:szCs w:val="24"/>
          <w:lang w:bidi="da-DK"/>
        </w:rPr>
        <w:t>heparin</w:t>
      </w:r>
      <w:proofErr w:type="spellEnd"/>
      <w:r w:rsidRPr="00D27A53">
        <w:rPr>
          <w:sz w:val="24"/>
          <w:szCs w:val="24"/>
          <w:lang w:bidi="da-DK"/>
        </w:rPr>
        <w:t xml:space="preserve"> (se </w:t>
      </w:r>
      <w:r w:rsidR="0076324F">
        <w:rPr>
          <w:sz w:val="24"/>
          <w:szCs w:val="24"/>
          <w:lang w:bidi="da-DK"/>
        </w:rPr>
        <w:t>pkt.</w:t>
      </w:r>
      <w:r w:rsidRPr="00D27A53">
        <w:rPr>
          <w:sz w:val="24"/>
          <w:szCs w:val="24"/>
          <w:lang w:bidi="da-DK"/>
        </w:rPr>
        <w:t xml:space="preserve"> 4.5). </w:t>
      </w:r>
      <w:proofErr w:type="spellStart"/>
      <w:r w:rsidRPr="00D27A53">
        <w:rPr>
          <w:sz w:val="24"/>
          <w:szCs w:val="24"/>
          <w:lang w:bidi="da-DK"/>
        </w:rPr>
        <w:t>Omeprazol</w:t>
      </w:r>
      <w:proofErr w:type="spellEnd"/>
      <w:r w:rsidRPr="00D27A53">
        <w:rPr>
          <w:sz w:val="24"/>
          <w:szCs w:val="24"/>
          <w:lang w:bidi="da-DK"/>
        </w:rPr>
        <w:t xml:space="preserve"> kan forsinke udskillelsen af </w:t>
      </w:r>
      <w:proofErr w:type="spellStart"/>
      <w:r w:rsidRPr="00D27A53">
        <w:rPr>
          <w:sz w:val="24"/>
          <w:szCs w:val="24"/>
          <w:lang w:bidi="da-DK"/>
        </w:rPr>
        <w:t>warfarin</w:t>
      </w:r>
      <w:proofErr w:type="spellEnd"/>
      <w:r w:rsidRPr="00D27A53">
        <w:rPr>
          <w:sz w:val="24"/>
          <w:szCs w:val="24"/>
          <w:lang w:bidi="da-DK"/>
        </w:rPr>
        <w:t xml:space="preserve">, og en reduktion af </w:t>
      </w:r>
      <w:proofErr w:type="spellStart"/>
      <w:r w:rsidRPr="00D27A53">
        <w:rPr>
          <w:sz w:val="24"/>
          <w:szCs w:val="24"/>
          <w:lang w:bidi="da-DK"/>
        </w:rPr>
        <w:t>warfarindosis</w:t>
      </w:r>
      <w:proofErr w:type="spellEnd"/>
      <w:r w:rsidRPr="00D27A53">
        <w:rPr>
          <w:sz w:val="24"/>
          <w:szCs w:val="24"/>
          <w:lang w:bidi="da-DK"/>
        </w:rPr>
        <w:t xml:space="preserve"> kan være nødvendig.</w:t>
      </w:r>
    </w:p>
    <w:p w14:paraId="668A1274" w14:textId="77777777" w:rsidR="00A27D30" w:rsidRDefault="00A27D30" w:rsidP="00695AC0">
      <w:pPr>
        <w:ind w:left="851"/>
        <w:rPr>
          <w:sz w:val="24"/>
          <w:szCs w:val="24"/>
          <w:lang w:bidi="da-DK"/>
        </w:rPr>
      </w:pPr>
    </w:p>
    <w:p w14:paraId="3A2FD829" w14:textId="47D8E305" w:rsidR="00D27A53" w:rsidRPr="00D27A53" w:rsidRDefault="00D27A53" w:rsidP="00695AC0">
      <w:pPr>
        <w:ind w:left="851"/>
        <w:rPr>
          <w:sz w:val="24"/>
          <w:szCs w:val="24"/>
        </w:rPr>
      </w:pPr>
      <w:r w:rsidRPr="00D27A53">
        <w:rPr>
          <w:sz w:val="24"/>
          <w:szCs w:val="24"/>
          <w:lang w:bidi="da-DK"/>
        </w:rPr>
        <w:t xml:space="preserve">QT-forlængelse er blevet rapporteret, når </w:t>
      </w:r>
      <w:proofErr w:type="spellStart"/>
      <w:r w:rsidRPr="00D27A53">
        <w:rPr>
          <w:sz w:val="24"/>
          <w:szCs w:val="24"/>
          <w:lang w:bidi="da-DK"/>
        </w:rPr>
        <w:t>metronidazol</w:t>
      </w:r>
      <w:proofErr w:type="spellEnd"/>
      <w:r w:rsidRPr="00D27A53">
        <w:rPr>
          <w:sz w:val="24"/>
          <w:szCs w:val="24"/>
          <w:lang w:bidi="da-DK"/>
        </w:rPr>
        <w:t xml:space="preserve"> administreres sammen med andre lægemidler med potentiale for at forlænge QT-intervallet og med potentiale for øgede plasmaniveauer af disse forbindelser på grund af lægemiddelinteraktion (se 4.5).</w:t>
      </w:r>
    </w:p>
    <w:p w14:paraId="58846520" w14:textId="77777777" w:rsidR="00D27A53" w:rsidRPr="00D27A53" w:rsidRDefault="00D27A53" w:rsidP="00695AC0">
      <w:pPr>
        <w:ind w:left="851"/>
        <w:rPr>
          <w:sz w:val="24"/>
          <w:szCs w:val="24"/>
        </w:rPr>
      </w:pPr>
    </w:p>
    <w:p w14:paraId="6A285A5C" w14:textId="4ADC0D1F" w:rsidR="00D27A53" w:rsidRPr="00D27A53" w:rsidRDefault="00D27A53" w:rsidP="00695AC0">
      <w:pPr>
        <w:ind w:left="851"/>
        <w:rPr>
          <w:sz w:val="24"/>
          <w:szCs w:val="24"/>
        </w:rPr>
      </w:pPr>
      <w:r w:rsidRPr="00D27A53">
        <w:rPr>
          <w:sz w:val="24"/>
          <w:szCs w:val="24"/>
          <w:lang w:bidi="da-DK"/>
        </w:rPr>
        <w:t xml:space="preserve">Alkoholiske drikke bør ikke indtages under behandling med </w:t>
      </w:r>
      <w:proofErr w:type="spellStart"/>
      <w:r w:rsidRPr="00D27A53">
        <w:rPr>
          <w:sz w:val="24"/>
          <w:szCs w:val="24"/>
          <w:lang w:bidi="da-DK"/>
        </w:rPr>
        <w:t>Pylera</w:t>
      </w:r>
      <w:proofErr w:type="spellEnd"/>
      <w:r w:rsidRPr="00D27A53">
        <w:rPr>
          <w:sz w:val="24"/>
          <w:szCs w:val="24"/>
          <w:lang w:bidi="da-DK"/>
        </w:rPr>
        <w:t xml:space="preserve"> og i mindst 24 timer efter endt behandling (se </w:t>
      </w:r>
      <w:r w:rsidR="0076324F">
        <w:rPr>
          <w:sz w:val="24"/>
          <w:szCs w:val="24"/>
          <w:lang w:bidi="da-DK"/>
        </w:rPr>
        <w:t>pkt.</w:t>
      </w:r>
      <w:r w:rsidRPr="00D27A53">
        <w:rPr>
          <w:sz w:val="24"/>
          <w:szCs w:val="24"/>
          <w:lang w:bidi="da-DK"/>
        </w:rPr>
        <w:t xml:space="preserve"> 4.5).</w:t>
      </w:r>
    </w:p>
    <w:p w14:paraId="52799628" w14:textId="77777777" w:rsidR="00A27D30" w:rsidRDefault="00A27D30" w:rsidP="00695AC0">
      <w:pPr>
        <w:ind w:left="851"/>
        <w:rPr>
          <w:sz w:val="24"/>
          <w:szCs w:val="24"/>
          <w:lang w:bidi="da-DK"/>
        </w:rPr>
      </w:pPr>
    </w:p>
    <w:p w14:paraId="291F5E2E" w14:textId="7AE9B4FD" w:rsidR="00D27A53" w:rsidRPr="00D27A53" w:rsidRDefault="00D27A53" w:rsidP="00695AC0">
      <w:pPr>
        <w:ind w:left="851"/>
        <w:rPr>
          <w:sz w:val="24"/>
          <w:szCs w:val="24"/>
        </w:rPr>
      </w:pPr>
      <w:r w:rsidRPr="00D27A53">
        <w:rPr>
          <w:sz w:val="24"/>
          <w:szCs w:val="24"/>
          <w:lang w:bidi="da-DK"/>
        </w:rPr>
        <w:t xml:space="preserve">Pseudotumor </w:t>
      </w:r>
      <w:proofErr w:type="spellStart"/>
      <w:r w:rsidRPr="00D27A53">
        <w:rPr>
          <w:sz w:val="24"/>
          <w:szCs w:val="24"/>
          <w:lang w:bidi="da-DK"/>
        </w:rPr>
        <w:t>cerebri</w:t>
      </w:r>
      <w:proofErr w:type="spellEnd"/>
      <w:r w:rsidRPr="00D27A53">
        <w:rPr>
          <w:sz w:val="24"/>
          <w:szCs w:val="24"/>
          <w:lang w:bidi="da-DK"/>
        </w:rPr>
        <w:t xml:space="preserve"> (godartet </w:t>
      </w:r>
      <w:proofErr w:type="spellStart"/>
      <w:r w:rsidRPr="00D27A53">
        <w:rPr>
          <w:sz w:val="24"/>
          <w:szCs w:val="24"/>
          <w:lang w:bidi="da-DK"/>
        </w:rPr>
        <w:t>intrakraniel</w:t>
      </w:r>
      <w:proofErr w:type="spellEnd"/>
      <w:r w:rsidRPr="00D27A53">
        <w:rPr>
          <w:sz w:val="24"/>
          <w:szCs w:val="24"/>
          <w:lang w:bidi="da-DK"/>
        </w:rPr>
        <w:t xml:space="preserve"> hypertension) hos voksne er blevet sat i forbindelse med brug af tetracyklin. De sædvanlige kliniske manifestationer er hovedpine og sløret syn. Selvom denne tilstand og relaterede symptomer normalt forsvinder hurtigt efter ophør med tetracyklinen, er der mulighed for permanente følgevirkninger (se </w:t>
      </w:r>
      <w:r w:rsidR="0076324F">
        <w:rPr>
          <w:sz w:val="24"/>
          <w:szCs w:val="24"/>
          <w:lang w:bidi="da-DK"/>
        </w:rPr>
        <w:t>pkt.</w:t>
      </w:r>
      <w:r w:rsidRPr="00D27A53">
        <w:rPr>
          <w:sz w:val="24"/>
          <w:szCs w:val="24"/>
          <w:lang w:bidi="da-DK"/>
        </w:rPr>
        <w:t xml:space="preserve"> 4.8 og 4.5 for interaktion med </w:t>
      </w:r>
      <w:proofErr w:type="spellStart"/>
      <w:r w:rsidRPr="00D27A53">
        <w:rPr>
          <w:sz w:val="24"/>
          <w:szCs w:val="24"/>
          <w:lang w:bidi="da-DK"/>
        </w:rPr>
        <w:t>retinoider</w:t>
      </w:r>
      <w:proofErr w:type="spellEnd"/>
      <w:r w:rsidRPr="00D27A53">
        <w:rPr>
          <w:sz w:val="24"/>
          <w:szCs w:val="24"/>
          <w:lang w:bidi="da-DK"/>
        </w:rPr>
        <w:t>).</w:t>
      </w:r>
    </w:p>
    <w:p w14:paraId="336CCD9F" w14:textId="77777777" w:rsidR="00D27A53" w:rsidRPr="00D27A53" w:rsidRDefault="00D27A53" w:rsidP="00695AC0">
      <w:pPr>
        <w:ind w:left="851"/>
        <w:rPr>
          <w:sz w:val="24"/>
          <w:szCs w:val="24"/>
        </w:rPr>
      </w:pPr>
    </w:p>
    <w:p w14:paraId="70192E77" w14:textId="6457ED24" w:rsidR="00D27A53" w:rsidRPr="00D27A53" w:rsidRDefault="00D27A53" w:rsidP="00695AC0">
      <w:pPr>
        <w:ind w:left="851"/>
        <w:rPr>
          <w:sz w:val="24"/>
          <w:szCs w:val="24"/>
        </w:rPr>
      </w:pPr>
      <w:proofErr w:type="spellStart"/>
      <w:r w:rsidRPr="00D27A53">
        <w:rPr>
          <w:sz w:val="24"/>
          <w:szCs w:val="24"/>
          <w:lang w:bidi="da-DK"/>
        </w:rPr>
        <w:t>Myasthenisk</w:t>
      </w:r>
      <w:proofErr w:type="spellEnd"/>
      <w:r w:rsidRPr="00D27A53">
        <w:rPr>
          <w:sz w:val="24"/>
          <w:szCs w:val="24"/>
          <w:lang w:bidi="da-DK"/>
        </w:rPr>
        <w:t xml:space="preserve"> syndrom er rapporteret i sjældne tilfælde med tetracyklin. Forsigtighed tilrådes hos patienter med </w:t>
      </w:r>
      <w:proofErr w:type="spellStart"/>
      <w:r w:rsidRPr="00D27A53">
        <w:rPr>
          <w:sz w:val="24"/>
          <w:szCs w:val="24"/>
          <w:lang w:bidi="da-DK"/>
        </w:rPr>
        <w:t>myasthenia</w:t>
      </w:r>
      <w:proofErr w:type="spellEnd"/>
      <w:r w:rsidRPr="00D27A53">
        <w:rPr>
          <w:sz w:val="24"/>
          <w:szCs w:val="24"/>
          <w:lang w:bidi="da-DK"/>
        </w:rPr>
        <w:t xml:space="preserve"> </w:t>
      </w:r>
      <w:proofErr w:type="spellStart"/>
      <w:r w:rsidRPr="00D27A53">
        <w:rPr>
          <w:sz w:val="24"/>
          <w:szCs w:val="24"/>
          <w:lang w:bidi="da-DK"/>
        </w:rPr>
        <w:t>gravis</w:t>
      </w:r>
      <w:proofErr w:type="spellEnd"/>
      <w:r w:rsidRPr="00D27A53">
        <w:rPr>
          <w:sz w:val="24"/>
          <w:szCs w:val="24"/>
          <w:lang w:bidi="da-DK"/>
        </w:rPr>
        <w:t xml:space="preserve">, som kan risikere at få en forværring af tilstanden (se </w:t>
      </w:r>
      <w:r w:rsidR="0076324F">
        <w:rPr>
          <w:sz w:val="24"/>
          <w:szCs w:val="24"/>
          <w:lang w:bidi="da-DK"/>
        </w:rPr>
        <w:t>pkt.</w:t>
      </w:r>
      <w:r w:rsidRPr="00D27A53">
        <w:rPr>
          <w:sz w:val="24"/>
          <w:szCs w:val="24"/>
          <w:lang w:bidi="da-DK"/>
        </w:rPr>
        <w:t xml:space="preserve"> 4.8).</w:t>
      </w:r>
    </w:p>
    <w:p w14:paraId="2BD3B0B6" w14:textId="77777777" w:rsidR="00A27D30" w:rsidRDefault="00A27D30" w:rsidP="00695AC0">
      <w:pPr>
        <w:ind w:left="851"/>
        <w:rPr>
          <w:sz w:val="24"/>
          <w:szCs w:val="24"/>
          <w:lang w:bidi="da-DK"/>
        </w:rPr>
      </w:pPr>
    </w:p>
    <w:p w14:paraId="1118860B" w14:textId="1D8253C0" w:rsidR="00D27A53" w:rsidRPr="00D27A53" w:rsidRDefault="00D27A53" w:rsidP="00695AC0">
      <w:pPr>
        <w:ind w:left="851"/>
        <w:rPr>
          <w:sz w:val="24"/>
          <w:szCs w:val="24"/>
        </w:rPr>
      </w:pPr>
      <w:r w:rsidRPr="00D27A53">
        <w:rPr>
          <w:sz w:val="24"/>
          <w:szCs w:val="24"/>
          <w:lang w:bidi="da-DK"/>
        </w:rPr>
        <w:t xml:space="preserve">Samtidig brug af tetracyklin og </w:t>
      </w:r>
      <w:proofErr w:type="spellStart"/>
      <w:r w:rsidRPr="00D27A53">
        <w:rPr>
          <w:sz w:val="24"/>
          <w:szCs w:val="24"/>
          <w:lang w:bidi="da-DK"/>
        </w:rPr>
        <w:t>methoxyfluran</w:t>
      </w:r>
      <w:proofErr w:type="spellEnd"/>
      <w:r w:rsidRPr="00D27A53">
        <w:rPr>
          <w:sz w:val="24"/>
          <w:szCs w:val="24"/>
          <w:lang w:bidi="da-DK"/>
        </w:rPr>
        <w:t xml:space="preserve"> er blevet rapporteret at resultere i dødelig nyretoksicitet. Derfor bør man undgå at bruge </w:t>
      </w:r>
      <w:proofErr w:type="spellStart"/>
      <w:r w:rsidRPr="00D27A53">
        <w:rPr>
          <w:sz w:val="24"/>
          <w:szCs w:val="24"/>
          <w:lang w:bidi="da-DK"/>
        </w:rPr>
        <w:t>methoxyfluran</w:t>
      </w:r>
      <w:proofErr w:type="spellEnd"/>
      <w:r w:rsidRPr="00D27A53">
        <w:rPr>
          <w:sz w:val="24"/>
          <w:szCs w:val="24"/>
          <w:lang w:bidi="da-DK"/>
        </w:rPr>
        <w:t xml:space="preserve"> til patienter, der tager </w:t>
      </w:r>
      <w:proofErr w:type="spellStart"/>
      <w:r w:rsidRPr="00D27A53">
        <w:rPr>
          <w:sz w:val="24"/>
          <w:szCs w:val="24"/>
          <w:lang w:bidi="da-DK"/>
        </w:rPr>
        <w:t>Pylera</w:t>
      </w:r>
      <w:proofErr w:type="spellEnd"/>
      <w:r w:rsidRPr="00D27A53">
        <w:rPr>
          <w:sz w:val="24"/>
          <w:szCs w:val="24"/>
          <w:lang w:bidi="da-DK"/>
        </w:rPr>
        <w:t>.</w:t>
      </w:r>
    </w:p>
    <w:p w14:paraId="6E112C5B" w14:textId="77777777" w:rsidR="00A27D30" w:rsidRDefault="00A27D30" w:rsidP="00695AC0">
      <w:pPr>
        <w:ind w:left="851"/>
        <w:rPr>
          <w:sz w:val="24"/>
          <w:szCs w:val="24"/>
          <w:lang w:bidi="da-DK"/>
        </w:rPr>
      </w:pPr>
    </w:p>
    <w:p w14:paraId="74DAFC61" w14:textId="732F064A" w:rsidR="00D27A53" w:rsidRPr="00D27A53" w:rsidRDefault="00D27A53" w:rsidP="00695AC0">
      <w:pPr>
        <w:ind w:left="851"/>
        <w:rPr>
          <w:sz w:val="24"/>
          <w:szCs w:val="24"/>
        </w:rPr>
      </w:pPr>
      <w:proofErr w:type="spellStart"/>
      <w:r w:rsidRPr="00D27A53">
        <w:rPr>
          <w:sz w:val="24"/>
          <w:szCs w:val="24"/>
          <w:lang w:bidi="da-DK"/>
        </w:rPr>
        <w:t>Pylera</w:t>
      </w:r>
      <w:proofErr w:type="spellEnd"/>
      <w:r w:rsidRPr="00D27A53">
        <w:rPr>
          <w:sz w:val="24"/>
          <w:szCs w:val="24"/>
          <w:lang w:bidi="da-DK"/>
        </w:rPr>
        <w:t xml:space="preserve"> indeholder ca. 96 mg kalium pr. dosis (hver kapsel indeholder 32 mg kalium). Skal tages i betragtning af patienter med nedsat nyrefunktion eller patienter på en kontrolleret kaliumdiæt.</w:t>
      </w:r>
    </w:p>
    <w:p w14:paraId="101111C6" w14:textId="77777777" w:rsidR="00D27A53" w:rsidRPr="00D27A53" w:rsidRDefault="00D27A53" w:rsidP="00695AC0">
      <w:pPr>
        <w:ind w:left="851"/>
        <w:rPr>
          <w:sz w:val="24"/>
          <w:szCs w:val="24"/>
        </w:rPr>
      </w:pPr>
    </w:p>
    <w:p w14:paraId="79E38835" w14:textId="77777777" w:rsidR="00D27A53" w:rsidRPr="00D27A53" w:rsidRDefault="00D27A53" w:rsidP="00695AC0">
      <w:pPr>
        <w:ind w:left="851"/>
        <w:rPr>
          <w:sz w:val="24"/>
          <w:szCs w:val="24"/>
        </w:rPr>
      </w:pPr>
      <w:proofErr w:type="spellStart"/>
      <w:r w:rsidRPr="00D27A53">
        <w:rPr>
          <w:sz w:val="24"/>
          <w:szCs w:val="24"/>
          <w:lang w:bidi="da-DK"/>
        </w:rPr>
        <w:t>Pylera</w:t>
      </w:r>
      <w:proofErr w:type="spellEnd"/>
      <w:r w:rsidRPr="00D27A53">
        <w:rPr>
          <w:sz w:val="24"/>
          <w:szCs w:val="24"/>
          <w:lang w:bidi="da-DK"/>
        </w:rPr>
        <w:t xml:space="preserve"> indeholder også laktose. Patienter med sjældne arvelige problemer med galaktoseintolerance, Lapp-laktosemangel eller glukose-</w:t>
      </w:r>
      <w:proofErr w:type="spellStart"/>
      <w:r w:rsidRPr="00D27A53">
        <w:rPr>
          <w:sz w:val="24"/>
          <w:szCs w:val="24"/>
          <w:lang w:bidi="da-DK"/>
        </w:rPr>
        <w:t>galaktosemalabsorption</w:t>
      </w:r>
      <w:proofErr w:type="spellEnd"/>
      <w:r w:rsidRPr="00D27A53">
        <w:rPr>
          <w:sz w:val="24"/>
          <w:szCs w:val="24"/>
          <w:lang w:bidi="da-DK"/>
        </w:rPr>
        <w:t xml:space="preserve"> bør ikke tage denne medicin.</w:t>
      </w:r>
    </w:p>
    <w:p w14:paraId="540D692C" w14:textId="77777777" w:rsidR="00A27D30" w:rsidRDefault="00A27D30" w:rsidP="00695AC0">
      <w:pPr>
        <w:ind w:left="851"/>
        <w:rPr>
          <w:sz w:val="24"/>
          <w:szCs w:val="24"/>
          <w:lang w:bidi="da-DK"/>
        </w:rPr>
      </w:pPr>
    </w:p>
    <w:p w14:paraId="28ED4AB2" w14:textId="1C58AF0F" w:rsidR="00D27A53" w:rsidRPr="00D27A53" w:rsidRDefault="00D27A53" w:rsidP="00695AC0">
      <w:pPr>
        <w:ind w:left="851"/>
        <w:rPr>
          <w:sz w:val="24"/>
          <w:szCs w:val="24"/>
        </w:rPr>
      </w:pPr>
      <w:proofErr w:type="spellStart"/>
      <w:r w:rsidRPr="00D27A53">
        <w:rPr>
          <w:sz w:val="24"/>
          <w:szCs w:val="24"/>
          <w:lang w:bidi="da-DK"/>
        </w:rPr>
        <w:t>Bismuth</w:t>
      </w:r>
      <w:proofErr w:type="spellEnd"/>
      <w:r w:rsidRPr="00D27A53">
        <w:rPr>
          <w:sz w:val="24"/>
          <w:szCs w:val="24"/>
          <w:lang w:bidi="da-DK"/>
        </w:rPr>
        <w:t xml:space="preserve"> absorberer røntgenstråler og kan forstyrre røntgendiagnostiske procedurer i mave-tarm</w:t>
      </w:r>
      <w:r w:rsidR="0076324F">
        <w:rPr>
          <w:sz w:val="24"/>
          <w:szCs w:val="24"/>
          <w:lang w:bidi="da-DK"/>
        </w:rPr>
        <w:t>-</w:t>
      </w:r>
      <w:r w:rsidRPr="00D27A53">
        <w:rPr>
          <w:sz w:val="24"/>
          <w:szCs w:val="24"/>
          <w:lang w:bidi="da-DK"/>
        </w:rPr>
        <w:t>kanalen.</w:t>
      </w:r>
    </w:p>
    <w:p w14:paraId="1336A9FD" w14:textId="77777777" w:rsidR="00A27D30" w:rsidRDefault="00A27D30" w:rsidP="00695AC0">
      <w:pPr>
        <w:ind w:left="851"/>
        <w:rPr>
          <w:sz w:val="24"/>
          <w:szCs w:val="24"/>
          <w:lang w:bidi="da-DK"/>
        </w:rPr>
      </w:pPr>
    </w:p>
    <w:p w14:paraId="325768CE" w14:textId="2188ABE1" w:rsidR="00D27A53" w:rsidRPr="00D27A53" w:rsidRDefault="00D27A53" w:rsidP="00695AC0">
      <w:pPr>
        <w:ind w:left="851"/>
        <w:rPr>
          <w:sz w:val="24"/>
          <w:szCs w:val="24"/>
        </w:rPr>
      </w:pPr>
      <w:proofErr w:type="spellStart"/>
      <w:r w:rsidRPr="00D27A53">
        <w:rPr>
          <w:sz w:val="24"/>
          <w:szCs w:val="24"/>
          <w:lang w:bidi="da-DK"/>
        </w:rPr>
        <w:t>Bismuth</w:t>
      </w:r>
      <w:proofErr w:type="spellEnd"/>
      <w:r w:rsidRPr="00D27A53">
        <w:rPr>
          <w:sz w:val="24"/>
          <w:szCs w:val="24"/>
          <w:lang w:bidi="da-DK"/>
        </w:rPr>
        <w:t xml:space="preserve"> kan give en midlertidig og ufarlig mørkfarvning af afføringen. Det forstyrrer dog ikke standardtests for okkult blod.</w:t>
      </w:r>
    </w:p>
    <w:p w14:paraId="5E5C6E04" w14:textId="77777777" w:rsidR="00D27A53" w:rsidRPr="00D27A53" w:rsidRDefault="00D27A53" w:rsidP="00695AC0">
      <w:pPr>
        <w:ind w:left="851"/>
        <w:rPr>
          <w:sz w:val="24"/>
          <w:szCs w:val="24"/>
        </w:rPr>
      </w:pPr>
    </w:p>
    <w:p w14:paraId="1AF57EB9" w14:textId="74729A5A" w:rsidR="00D27A53" w:rsidRDefault="00D27A53" w:rsidP="00695AC0">
      <w:pPr>
        <w:ind w:left="851"/>
        <w:rPr>
          <w:sz w:val="24"/>
          <w:szCs w:val="24"/>
          <w:lang w:bidi="da-DK"/>
        </w:rPr>
      </w:pPr>
      <w:proofErr w:type="spellStart"/>
      <w:r w:rsidRPr="00D27A53">
        <w:rPr>
          <w:sz w:val="24"/>
          <w:szCs w:val="24"/>
          <w:lang w:bidi="da-DK"/>
        </w:rPr>
        <w:t>Metronidazol</w:t>
      </w:r>
      <w:proofErr w:type="spellEnd"/>
      <w:r w:rsidRPr="00D27A53">
        <w:rPr>
          <w:sz w:val="24"/>
          <w:szCs w:val="24"/>
          <w:lang w:bidi="da-DK"/>
        </w:rPr>
        <w:t xml:space="preserve"> kan forstyrre visse typer bestemmelser af serumkemiske værdier, såsom </w:t>
      </w:r>
      <w:proofErr w:type="spellStart"/>
      <w:r w:rsidRPr="00D27A53">
        <w:rPr>
          <w:sz w:val="24"/>
          <w:szCs w:val="24"/>
          <w:lang w:bidi="da-DK"/>
        </w:rPr>
        <w:t>aspartataminotransferase</w:t>
      </w:r>
      <w:proofErr w:type="spellEnd"/>
      <w:r w:rsidRPr="00D27A53">
        <w:rPr>
          <w:sz w:val="24"/>
          <w:szCs w:val="24"/>
          <w:lang w:bidi="da-DK"/>
        </w:rPr>
        <w:t xml:space="preserve"> (AST, SGOT), </w:t>
      </w:r>
      <w:proofErr w:type="spellStart"/>
      <w:r w:rsidRPr="00D27A53">
        <w:rPr>
          <w:sz w:val="24"/>
          <w:szCs w:val="24"/>
          <w:lang w:bidi="da-DK"/>
        </w:rPr>
        <w:t>alaninaminotransferase</w:t>
      </w:r>
      <w:proofErr w:type="spellEnd"/>
      <w:r w:rsidRPr="00D27A53">
        <w:rPr>
          <w:sz w:val="24"/>
          <w:szCs w:val="24"/>
          <w:lang w:bidi="da-DK"/>
        </w:rPr>
        <w:t xml:space="preserve"> (ALT, SGPT), </w:t>
      </w:r>
      <w:proofErr w:type="spellStart"/>
      <w:r w:rsidRPr="00D27A53">
        <w:rPr>
          <w:sz w:val="24"/>
          <w:szCs w:val="24"/>
          <w:lang w:bidi="da-DK"/>
        </w:rPr>
        <w:t>laktatdehydrogenase</w:t>
      </w:r>
      <w:proofErr w:type="spellEnd"/>
      <w:r w:rsidRPr="00D27A53">
        <w:rPr>
          <w:sz w:val="24"/>
          <w:szCs w:val="24"/>
          <w:lang w:bidi="da-DK"/>
        </w:rPr>
        <w:t xml:space="preserve"> (LDH), triglycerider og </w:t>
      </w:r>
      <w:proofErr w:type="spellStart"/>
      <w:r w:rsidRPr="00D27A53">
        <w:rPr>
          <w:sz w:val="24"/>
          <w:szCs w:val="24"/>
          <w:lang w:bidi="da-DK"/>
        </w:rPr>
        <w:t>hexokinase</w:t>
      </w:r>
      <w:proofErr w:type="spellEnd"/>
      <w:r w:rsidRPr="00D27A53">
        <w:rPr>
          <w:sz w:val="24"/>
          <w:szCs w:val="24"/>
          <w:lang w:bidi="da-DK"/>
        </w:rPr>
        <w:t xml:space="preserve">-glukose. Værdier på nul kan forekomme. Alle de analyser, hvor der er rapporteret om interferens, involverer enzymatisk kobling af analysen til oxidation-reduktion af nikotinamid (NAD). Interferens skyldes ligheden mellem </w:t>
      </w:r>
      <w:proofErr w:type="spellStart"/>
      <w:r w:rsidRPr="00D27A53">
        <w:rPr>
          <w:sz w:val="24"/>
          <w:szCs w:val="24"/>
          <w:lang w:bidi="da-DK"/>
        </w:rPr>
        <w:t>absorbanstoppene</w:t>
      </w:r>
      <w:proofErr w:type="spellEnd"/>
      <w:r w:rsidRPr="00D27A53">
        <w:rPr>
          <w:sz w:val="24"/>
          <w:szCs w:val="24"/>
          <w:lang w:bidi="da-DK"/>
        </w:rPr>
        <w:t xml:space="preserve"> for NADH (340 nm) og </w:t>
      </w:r>
      <w:proofErr w:type="spellStart"/>
      <w:r w:rsidRPr="00D27A53">
        <w:rPr>
          <w:sz w:val="24"/>
          <w:szCs w:val="24"/>
          <w:lang w:bidi="da-DK"/>
        </w:rPr>
        <w:t>metronidazol</w:t>
      </w:r>
      <w:proofErr w:type="spellEnd"/>
      <w:r w:rsidRPr="00D27A53">
        <w:rPr>
          <w:sz w:val="24"/>
          <w:szCs w:val="24"/>
          <w:lang w:bidi="da-DK"/>
        </w:rPr>
        <w:t xml:space="preserve"> (322 nm) ved pH</w:t>
      </w:r>
      <w:r w:rsidR="0076324F">
        <w:rPr>
          <w:sz w:val="24"/>
          <w:szCs w:val="24"/>
          <w:lang w:bidi="da-DK"/>
        </w:rPr>
        <w:t> </w:t>
      </w:r>
      <w:r w:rsidRPr="00D27A53">
        <w:rPr>
          <w:sz w:val="24"/>
          <w:szCs w:val="24"/>
          <w:lang w:bidi="da-DK"/>
        </w:rPr>
        <w:t>7.</w:t>
      </w:r>
    </w:p>
    <w:p w14:paraId="463BFB0E" w14:textId="77777777" w:rsidR="00A27D30" w:rsidRPr="00D27A53" w:rsidRDefault="00A27D30" w:rsidP="00695AC0">
      <w:pPr>
        <w:ind w:left="851"/>
        <w:rPr>
          <w:sz w:val="24"/>
          <w:szCs w:val="24"/>
        </w:rPr>
      </w:pPr>
    </w:p>
    <w:p w14:paraId="482B1832" w14:textId="77777777" w:rsidR="009260DE" w:rsidRPr="00A27D30" w:rsidRDefault="009260DE" w:rsidP="009260DE">
      <w:pPr>
        <w:tabs>
          <w:tab w:val="left" w:pos="851"/>
        </w:tabs>
        <w:ind w:left="851" w:hanging="851"/>
        <w:rPr>
          <w:b/>
          <w:sz w:val="24"/>
          <w:szCs w:val="24"/>
        </w:rPr>
      </w:pPr>
      <w:r w:rsidRPr="00A27D30">
        <w:rPr>
          <w:b/>
          <w:sz w:val="24"/>
          <w:szCs w:val="24"/>
        </w:rPr>
        <w:t>4.5</w:t>
      </w:r>
      <w:r w:rsidRPr="00A27D30">
        <w:rPr>
          <w:b/>
          <w:sz w:val="24"/>
          <w:szCs w:val="24"/>
        </w:rPr>
        <w:tab/>
        <w:t>Interaktion med andre lægemidler og andre former for interaktion</w:t>
      </w:r>
    </w:p>
    <w:p w14:paraId="2CC347D6" w14:textId="2D9911F0" w:rsidR="00D27A53" w:rsidRPr="00D27A53" w:rsidRDefault="00D27A53" w:rsidP="00695AC0">
      <w:pPr>
        <w:ind w:left="851"/>
        <w:rPr>
          <w:sz w:val="24"/>
          <w:szCs w:val="24"/>
        </w:rPr>
      </w:pPr>
      <w:r w:rsidRPr="00D27A53">
        <w:rPr>
          <w:sz w:val="24"/>
          <w:szCs w:val="24"/>
          <w:lang w:bidi="da-DK"/>
        </w:rPr>
        <w:t xml:space="preserve">Der er ikke udført formelle interaktionsstudier med </w:t>
      </w:r>
      <w:proofErr w:type="spellStart"/>
      <w:r w:rsidRPr="00D27A53">
        <w:rPr>
          <w:sz w:val="24"/>
          <w:szCs w:val="24"/>
          <w:lang w:bidi="da-DK"/>
        </w:rPr>
        <w:t>Pylera</w:t>
      </w:r>
      <w:proofErr w:type="spellEnd"/>
      <w:r w:rsidRPr="00D27A53">
        <w:rPr>
          <w:sz w:val="24"/>
          <w:szCs w:val="24"/>
          <w:lang w:bidi="da-DK"/>
        </w:rPr>
        <w:t xml:space="preserve">. Derfor beskriver det følgende </w:t>
      </w:r>
      <w:r w:rsidR="0076324F">
        <w:rPr>
          <w:sz w:val="24"/>
          <w:szCs w:val="24"/>
          <w:lang w:bidi="da-DK"/>
        </w:rPr>
        <w:t>pkt.</w:t>
      </w:r>
      <w:r w:rsidRPr="00D27A53">
        <w:rPr>
          <w:sz w:val="24"/>
          <w:szCs w:val="24"/>
          <w:lang w:bidi="da-DK"/>
        </w:rPr>
        <w:t xml:space="preserve"> de interaktioner, der er observeret med de forskellige komponenter i </w:t>
      </w:r>
      <w:proofErr w:type="spellStart"/>
      <w:r w:rsidRPr="00D27A53">
        <w:rPr>
          <w:sz w:val="24"/>
          <w:szCs w:val="24"/>
          <w:lang w:bidi="da-DK"/>
        </w:rPr>
        <w:t>Pylera</w:t>
      </w:r>
      <w:proofErr w:type="spellEnd"/>
      <w:r w:rsidRPr="00D27A53">
        <w:rPr>
          <w:sz w:val="24"/>
          <w:szCs w:val="24"/>
          <w:lang w:bidi="da-DK"/>
        </w:rPr>
        <w:t>, som er rapporteret i deres respektive produktresuméer eller som er rapporteret i litteraturen.</w:t>
      </w:r>
    </w:p>
    <w:p w14:paraId="5AA7A6FF" w14:textId="77777777" w:rsidR="00D27A53" w:rsidRPr="00D27A53" w:rsidRDefault="00D27A53" w:rsidP="00695AC0">
      <w:pPr>
        <w:ind w:left="851"/>
        <w:rPr>
          <w:sz w:val="24"/>
          <w:szCs w:val="24"/>
        </w:rPr>
      </w:pPr>
      <w:r w:rsidRPr="00D27A53">
        <w:rPr>
          <w:sz w:val="24"/>
          <w:szCs w:val="24"/>
          <w:lang w:bidi="da-DK"/>
        </w:rPr>
        <w:t xml:space="preserve">Behovet for anden samtidig medicinering hos patienter, der får </w:t>
      </w:r>
      <w:proofErr w:type="spellStart"/>
      <w:r w:rsidRPr="00D27A53">
        <w:rPr>
          <w:sz w:val="24"/>
          <w:szCs w:val="24"/>
          <w:lang w:bidi="da-DK"/>
        </w:rPr>
        <w:t>Pylera</w:t>
      </w:r>
      <w:proofErr w:type="spellEnd"/>
      <w:r w:rsidRPr="00D27A53">
        <w:rPr>
          <w:sz w:val="24"/>
          <w:szCs w:val="24"/>
          <w:lang w:bidi="da-DK"/>
        </w:rPr>
        <w:t>, bør kontrolleres</w:t>
      </w:r>
    </w:p>
    <w:p w14:paraId="6CBE5EB3" w14:textId="77777777" w:rsidR="00D27A53" w:rsidRPr="00D27A53" w:rsidRDefault="00D27A53" w:rsidP="00695AC0">
      <w:pPr>
        <w:ind w:left="851"/>
        <w:rPr>
          <w:sz w:val="24"/>
          <w:szCs w:val="24"/>
        </w:rPr>
      </w:pPr>
      <w:r w:rsidRPr="00D27A53">
        <w:rPr>
          <w:sz w:val="24"/>
          <w:szCs w:val="24"/>
          <w:lang w:bidi="da-DK"/>
        </w:rPr>
        <w:t>før behandling. Selvom der ikke er fundet nogen specifik interaktion med kombinationen, har patienter med et stort antal samtidige lægemidler generelt en højere risiko for at opleve uønskede virkninger og bør derfor behandles med forsigtighed.</w:t>
      </w:r>
    </w:p>
    <w:p w14:paraId="5E43DF9A" w14:textId="77777777" w:rsidR="00D27A53" w:rsidRPr="00D27A53" w:rsidRDefault="00D27A53" w:rsidP="00695AC0">
      <w:pPr>
        <w:ind w:left="851"/>
        <w:rPr>
          <w:sz w:val="24"/>
          <w:szCs w:val="24"/>
        </w:rPr>
      </w:pPr>
    </w:p>
    <w:p w14:paraId="6CE60A68" w14:textId="77777777" w:rsidR="00D27A53" w:rsidRPr="00D27A53" w:rsidRDefault="00D27A53" w:rsidP="00695AC0">
      <w:pPr>
        <w:ind w:left="851"/>
        <w:rPr>
          <w:sz w:val="24"/>
          <w:szCs w:val="24"/>
          <w:u w:val="single"/>
        </w:rPr>
      </w:pPr>
      <w:r w:rsidRPr="00D27A53">
        <w:rPr>
          <w:sz w:val="24"/>
          <w:szCs w:val="24"/>
          <w:u w:val="single"/>
          <w:lang w:bidi="da-DK"/>
        </w:rPr>
        <w:t xml:space="preserve">Interaktioner med </w:t>
      </w:r>
      <w:proofErr w:type="spellStart"/>
      <w:r w:rsidRPr="00D27A53">
        <w:rPr>
          <w:sz w:val="24"/>
          <w:szCs w:val="24"/>
          <w:u w:val="single"/>
          <w:lang w:bidi="da-DK"/>
        </w:rPr>
        <w:t>bismuth</w:t>
      </w:r>
      <w:proofErr w:type="spellEnd"/>
    </w:p>
    <w:p w14:paraId="502A3476" w14:textId="77777777" w:rsidR="00D27A53" w:rsidRPr="00D27A53" w:rsidRDefault="00D27A53" w:rsidP="00695AC0">
      <w:pPr>
        <w:ind w:left="851"/>
        <w:rPr>
          <w:sz w:val="24"/>
          <w:szCs w:val="24"/>
        </w:rPr>
      </w:pPr>
    </w:p>
    <w:p w14:paraId="7E2B764B" w14:textId="77777777" w:rsidR="00D27A53" w:rsidRPr="00D27A53" w:rsidRDefault="00D27A53" w:rsidP="00695AC0">
      <w:pPr>
        <w:ind w:left="851"/>
        <w:rPr>
          <w:sz w:val="24"/>
          <w:szCs w:val="24"/>
          <w:lang w:bidi="da-DK"/>
        </w:rPr>
      </w:pPr>
      <w:proofErr w:type="spellStart"/>
      <w:r w:rsidRPr="00D27A53">
        <w:rPr>
          <w:sz w:val="24"/>
          <w:szCs w:val="24"/>
          <w:lang w:bidi="da-DK"/>
        </w:rPr>
        <w:t>Ranitidin</w:t>
      </w:r>
      <w:proofErr w:type="spellEnd"/>
      <w:r w:rsidRPr="00D27A53">
        <w:rPr>
          <w:sz w:val="24"/>
          <w:szCs w:val="24"/>
          <w:lang w:bidi="da-DK"/>
        </w:rPr>
        <w:t xml:space="preserve"> øger optagelsen af </w:t>
      </w:r>
      <w:proofErr w:type="spellStart"/>
      <w:r w:rsidRPr="00D27A53">
        <w:rPr>
          <w:sz w:val="24"/>
          <w:szCs w:val="24"/>
          <w:lang w:bidi="da-DK"/>
        </w:rPr>
        <w:t>bismuth</w:t>
      </w:r>
      <w:proofErr w:type="spellEnd"/>
      <w:r w:rsidRPr="00D27A53">
        <w:rPr>
          <w:sz w:val="24"/>
          <w:szCs w:val="24"/>
          <w:lang w:bidi="da-DK"/>
        </w:rPr>
        <w:t xml:space="preserve">. </w:t>
      </w:r>
    </w:p>
    <w:p w14:paraId="64661CDF" w14:textId="77777777" w:rsidR="00D27A53" w:rsidRPr="00D27A53" w:rsidRDefault="00D27A53" w:rsidP="00695AC0">
      <w:pPr>
        <w:ind w:left="851"/>
        <w:rPr>
          <w:sz w:val="24"/>
          <w:szCs w:val="24"/>
        </w:rPr>
      </w:pPr>
      <w:proofErr w:type="spellStart"/>
      <w:r w:rsidRPr="00D27A53">
        <w:rPr>
          <w:sz w:val="24"/>
          <w:szCs w:val="24"/>
          <w:lang w:bidi="da-DK"/>
        </w:rPr>
        <w:t>Omeprazol</w:t>
      </w:r>
      <w:proofErr w:type="spellEnd"/>
      <w:r w:rsidRPr="00D27A53">
        <w:rPr>
          <w:sz w:val="24"/>
          <w:szCs w:val="24"/>
          <w:lang w:bidi="da-DK"/>
        </w:rPr>
        <w:t xml:space="preserve"> øger optagelsen af </w:t>
      </w:r>
      <w:proofErr w:type="spellStart"/>
      <w:r w:rsidRPr="00D27A53">
        <w:rPr>
          <w:sz w:val="24"/>
          <w:szCs w:val="24"/>
          <w:lang w:bidi="da-DK"/>
        </w:rPr>
        <w:t>bismuth</w:t>
      </w:r>
      <w:proofErr w:type="spellEnd"/>
      <w:r w:rsidRPr="00D27A53">
        <w:rPr>
          <w:sz w:val="24"/>
          <w:szCs w:val="24"/>
          <w:lang w:bidi="da-DK"/>
        </w:rPr>
        <w:t>.</w:t>
      </w:r>
    </w:p>
    <w:p w14:paraId="3C6E7A24" w14:textId="77777777" w:rsidR="00D27A53" w:rsidRPr="00D27A53" w:rsidRDefault="00D27A53" w:rsidP="00695AC0">
      <w:pPr>
        <w:ind w:left="851"/>
        <w:rPr>
          <w:sz w:val="24"/>
          <w:szCs w:val="24"/>
        </w:rPr>
      </w:pPr>
      <w:r w:rsidRPr="00D27A53">
        <w:rPr>
          <w:sz w:val="24"/>
          <w:szCs w:val="24"/>
          <w:lang w:bidi="da-DK"/>
        </w:rPr>
        <w:t xml:space="preserve">Derfor anbefales det at tage </w:t>
      </w:r>
      <w:proofErr w:type="spellStart"/>
      <w:r w:rsidRPr="00D27A53">
        <w:rPr>
          <w:sz w:val="24"/>
          <w:szCs w:val="24"/>
          <w:lang w:bidi="da-DK"/>
        </w:rPr>
        <w:t>Pylera</w:t>
      </w:r>
      <w:proofErr w:type="spellEnd"/>
      <w:r w:rsidRPr="00D27A53">
        <w:rPr>
          <w:sz w:val="24"/>
          <w:szCs w:val="24"/>
          <w:lang w:bidi="da-DK"/>
        </w:rPr>
        <w:t xml:space="preserve"> og </w:t>
      </w:r>
      <w:proofErr w:type="spellStart"/>
      <w:r w:rsidRPr="00D27A53">
        <w:rPr>
          <w:sz w:val="24"/>
          <w:szCs w:val="24"/>
          <w:lang w:bidi="da-DK"/>
        </w:rPr>
        <w:t>omeprazol</w:t>
      </w:r>
      <w:proofErr w:type="spellEnd"/>
      <w:r w:rsidRPr="00D27A53">
        <w:rPr>
          <w:sz w:val="24"/>
          <w:szCs w:val="24"/>
          <w:lang w:bidi="da-DK"/>
        </w:rPr>
        <w:t xml:space="preserve"> efter maden for at reducere optagelsen af </w:t>
      </w:r>
      <w:proofErr w:type="spellStart"/>
      <w:r w:rsidRPr="00D27A53">
        <w:rPr>
          <w:sz w:val="24"/>
          <w:szCs w:val="24"/>
          <w:lang w:bidi="da-DK"/>
        </w:rPr>
        <w:t>bismuth</w:t>
      </w:r>
      <w:proofErr w:type="spellEnd"/>
      <w:r w:rsidRPr="00D27A53">
        <w:rPr>
          <w:sz w:val="24"/>
          <w:szCs w:val="24"/>
          <w:lang w:bidi="da-DK"/>
        </w:rPr>
        <w:t>.</w:t>
      </w:r>
    </w:p>
    <w:p w14:paraId="75509CD4" w14:textId="6B986275" w:rsidR="0076324F" w:rsidRDefault="0076324F">
      <w:pPr>
        <w:rPr>
          <w:sz w:val="24"/>
          <w:szCs w:val="24"/>
        </w:rPr>
      </w:pPr>
      <w:r>
        <w:rPr>
          <w:sz w:val="24"/>
          <w:szCs w:val="24"/>
        </w:rPr>
        <w:br w:type="page"/>
      </w:r>
    </w:p>
    <w:p w14:paraId="500614C5" w14:textId="77777777" w:rsidR="00D27A53" w:rsidRPr="00D27A53" w:rsidRDefault="00D27A53" w:rsidP="00695AC0">
      <w:pPr>
        <w:ind w:left="851"/>
        <w:rPr>
          <w:sz w:val="24"/>
          <w:szCs w:val="24"/>
        </w:rPr>
      </w:pPr>
    </w:p>
    <w:p w14:paraId="309D647B" w14:textId="77777777" w:rsidR="00D27A53" w:rsidRPr="00D27A53" w:rsidRDefault="00D27A53" w:rsidP="00695AC0">
      <w:pPr>
        <w:ind w:left="851"/>
        <w:rPr>
          <w:sz w:val="24"/>
          <w:szCs w:val="24"/>
          <w:u w:val="single"/>
        </w:rPr>
      </w:pPr>
      <w:r w:rsidRPr="00D27A53">
        <w:rPr>
          <w:sz w:val="24"/>
          <w:szCs w:val="24"/>
          <w:u w:val="single"/>
          <w:lang w:bidi="da-DK"/>
        </w:rPr>
        <w:t xml:space="preserve">Interaktioner med </w:t>
      </w:r>
      <w:proofErr w:type="spellStart"/>
      <w:r w:rsidRPr="00D27A53">
        <w:rPr>
          <w:sz w:val="24"/>
          <w:szCs w:val="24"/>
          <w:u w:val="single"/>
          <w:lang w:bidi="da-DK"/>
        </w:rPr>
        <w:t>metronidazol</w:t>
      </w:r>
      <w:proofErr w:type="spellEnd"/>
    </w:p>
    <w:p w14:paraId="5964791B" w14:textId="77777777" w:rsidR="00A27D30" w:rsidRDefault="00A27D30" w:rsidP="00695AC0">
      <w:pPr>
        <w:ind w:left="851"/>
        <w:rPr>
          <w:i/>
          <w:sz w:val="24"/>
          <w:szCs w:val="24"/>
          <w:lang w:bidi="da-DK"/>
        </w:rPr>
      </w:pPr>
    </w:p>
    <w:p w14:paraId="21249914" w14:textId="061B1E42" w:rsidR="00D27A53" w:rsidRPr="00D27A53" w:rsidRDefault="00D27A53" w:rsidP="00695AC0">
      <w:pPr>
        <w:ind w:left="851"/>
        <w:rPr>
          <w:i/>
          <w:sz w:val="24"/>
          <w:szCs w:val="24"/>
        </w:rPr>
      </w:pPr>
      <w:r w:rsidRPr="00D27A53">
        <w:rPr>
          <w:i/>
          <w:sz w:val="24"/>
          <w:szCs w:val="24"/>
          <w:lang w:bidi="da-DK"/>
        </w:rPr>
        <w:t>Litium</w:t>
      </w:r>
    </w:p>
    <w:p w14:paraId="1411584E" w14:textId="77777777" w:rsidR="00D27A53" w:rsidRDefault="00D27A53" w:rsidP="00695AC0">
      <w:pPr>
        <w:ind w:left="851"/>
        <w:rPr>
          <w:sz w:val="24"/>
          <w:szCs w:val="24"/>
          <w:lang w:bidi="da-DK"/>
        </w:rPr>
      </w:pPr>
      <w:r w:rsidRPr="00D27A53">
        <w:rPr>
          <w:sz w:val="24"/>
          <w:szCs w:val="24"/>
          <w:lang w:bidi="da-DK"/>
        </w:rPr>
        <w:t xml:space="preserve">Baseret på nogle få tilfælde kan </w:t>
      </w:r>
      <w:proofErr w:type="spellStart"/>
      <w:r w:rsidRPr="00D27A53">
        <w:rPr>
          <w:sz w:val="24"/>
          <w:szCs w:val="24"/>
          <w:lang w:bidi="da-DK"/>
        </w:rPr>
        <w:t>metronidazol</w:t>
      </w:r>
      <w:proofErr w:type="spellEnd"/>
      <w:r w:rsidRPr="00D27A53">
        <w:rPr>
          <w:sz w:val="24"/>
          <w:szCs w:val="24"/>
          <w:lang w:bidi="da-DK"/>
        </w:rPr>
        <w:t xml:space="preserve"> fremskynde tegn på litiumtoksicitet hos patienter, der modtager høje doser af litium. Streng overvågning af </w:t>
      </w:r>
      <w:proofErr w:type="spellStart"/>
      <w:r w:rsidRPr="00D27A53">
        <w:rPr>
          <w:sz w:val="24"/>
          <w:szCs w:val="24"/>
          <w:lang w:bidi="da-DK"/>
        </w:rPr>
        <w:t>lithiumniveauer</w:t>
      </w:r>
      <w:proofErr w:type="spellEnd"/>
      <w:r w:rsidRPr="00D27A53">
        <w:rPr>
          <w:sz w:val="24"/>
          <w:szCs w:val="24"/>
          <w:lang w:bidi="da-DK"/>
        </w:rPr>
        <w:t xml:space="preserve"> anbefales hos disse patienter.</w:t>
      </w:r>
    </w:p>
    <w:p w14:paraId="17F1B34C" w14:textId="77777777" w:rsidR="00A27D30" w:rsidRPr="00D27A53" w:rsidRDefault="00A27D30" w:rsidP="00695AC0">
      <w:pPr>
        <w:ind w:left="851"/>
        <w:rPr>
          <w:sz w:val="24"/>
          <w:szCs w:val="24"/>
        </w:rPr>
      </w:pPr>
    </w:p>
    <w:p w14:paraId="7875591C" w14:textId="77777777" w:rsidR="00D27A53" w:rsidRPr="00D27A53" w:rsidRDefault="00D27A53" w:rsidP="00695AC0">
      <w:pPr>
        <w:ind w:left="851"/>
        <w:rPr>
          <w:i/>
          <w:sz w:val="24"/>
          <w:szCs w:val="24"/>
        </w:rPr>
      </w:pPr>
      <w:proofErr w:type="spellStart"/>
      <w:r w:rsidRPr="00D27A53">
        <w:rPr>
          <w:i/>
          <w:sz w:val="24"/>
          <w:szCs w:val="24"/>
          <w:lang w:bidi="da-DK"/>
        </w:rPr>
        <w:t>Alcohol</w:t>
      </w:r>
      <w:proofErr w:type="spellEnd"/>
      <w:r w:rsidRPr="00D27A53">
        <w:rPr>
          <w:i/>
          <w:sz w:val="24"/>
          <w:szCs w:val="24"/>
          <w:lang w:bidi="da-DK"/>
        </w:rPr>
        <w:t>/</w:t>
      </w:r>
      <w:proofErr w:type="spellStart"/>
      <w:r w:rsidRPr="00D27A53">
        <w:rPr>
          <w:i/>
          <w:sz w:val="24"/>
          <w:szCs w:val="24"/>
          <w:lang w:bidi="da-DK"/>
        </w:rPr>
        <w:t>disulfiram</w:t>
      </w:r>
      <w:proofErr w:type="spellEnd"/>
    </w:p>
    <w:p w14:paraId="48E890E4" w14:textId="77777777" w:rsidR="00D27A53" w:rsidRPr="00D27A53" w:rsidRDefault="00D27A53" w:rsidP="00695AC0">
      <w:pPr>
        <w:ind w:left="851"/>
        <w:rPr>
          <w:sz w:val="24"/>
          <w:szCs w:val="24"/>
        </w:rPr>
      </w:pPr>
      <w:proofErr w:type="spellStart"/>
      <w:r w:rsidRPr="00D27A53">
        <w:rPr>
          <w:sz w:val="24"/>
          <w:szCs w:val="24"/>
          <w:lang w:bidi="da-DK"/>
        </w:rPr>
        <w:t>Metronidazol</w:t>
      </w:r>
      <w:proofErr w:type="spellEnd"/>
      <w:r w:rsidRPr="00D27A53">
        <w:rPr>
          <w:sz w:val="24"/>
          <w:szCs w:val="24"/>
          <w:lang w:bidi="da-DK"/>
        </w:rPr>
        <w:t xml:space="preserve"> har en veldokumenteret </w:t>
      </w:r>
      <w:proofErr w:type="spellStart"/>
      <w:r w:rsidRPr="00D27A53">
        <w:rPr>
          <w:sz w:val="24"/>
          <w:szCs w:val="24"/>
          <w:lang w:bidi="da-DK"/>
        </w:rPr>
        <w:t>disulfiramlignende</w:t>
      </w:r>
      <w:proofErr w:type="spellEnd"/>
      <w:r w:rsidRPr="00D27A53">
        <w:rPr>
          <w:sz w:val="24"/>
          <w:szCs w:val="24"/>
          <w:lang w:bidi="da-DK"/>
        </w:rPr>
        <w:t xml:space="preserve"> reaktion med alkohol (mavekramper, kvalme, opkastning, hovedpine, rødmen). Psykotiske reaktioner er blevet rapporteret hos alkoholiske patienter, der bruger </w:t>
      </w:r>
      <w:proofErr w:type="spellStart"/>
      <w:r w:rsidRPr="00D27A53">
        <w:rPr>
          <w:sz w:val="24"/>
          <w:szCs w:val="24"/>
          <w:lang w:bidi="da-DK"/>
        </w:rPr>
        <w:t>metronidazol</w:t>
      </w:r>
      <w:proofErr w:type="spellEnd"/>
      <w:r w:rsidRPr="00D27A53">
        <w:rPr>
          <w:sz w:val="24"/>
          <w:szCs w:val="24"/>
          <w:lang w:bidi="da-DK"/>
        </w:rPr>
        <w:t xml:space="preserve"> og har brugt </w:t>
      </w:r>
      <w:proofErr w:type="spellStart"/>
      <w:r w:rsidRPr="00D27A53">
        <w:rPr>
          <w:sz w:val="24"/>
          <w:szCs w:val="24"/>
          <w:lang w:bidi="da-DK"/>
        </w:rPr>
        <w:t>disulfiram</w:t>
      </w:r>
      <w:proofErr w:type="spellEnd"/>
      <w:r w:rsidRPr="00D27A53">
        <w:rPr>
          <w:sz w:val="24"/>
          <w:szCs w:val="24"/>
          <w:lang w:bidi="da-DK"/>
        </w:rPr>
        <w:t xml:space="preserve"> inden for de sidste 2 uger.</w:t>
      </w:r>
    </w:p>
    <w:p w14:paraId="51EA7ADE" w14:textId="77777777" w:rsidR="00A27D30" w:rsidRDefault="00A27D30" w:rsidP="00695AC0">
      <w:pPr>
        <w:ind w:left="851"/>
        <w:rPr>
          <w:i/>
          <w:sz w:val="24"/>
          <w:szCs w:val="24"/>
          <w:lang w:bidi="da-DK"/>
        </w:rPr>
      </w:pPr>
    </w:p>
    <w:p w14:paraId="1D0B4F46" w14:textId="2E78232E" w:rsidR="00D27A53" w:rsidRPr="00D27A53" w:rsidRDefault="00D27A53" w:rsidP="00695AC0">
      <w:pPr>
        <w:ind w:left="851"/>
        <w:rPr>
          <w:i/>
          <w:sz w:val="24"/>
          <w:szCs w:val="24"/>
        </w:rPr>
      </w:pPr>
      <w:proofErr w:type="spellStart"/>
      <w:r w:rsidRPr="00D27A53">
        <w:rPr>
          <w:i/>
          <w:sz w:val="24"/>
          <w:szCs w:val="24"/>
          <w:lang w:bidi="da-DK"/>
        </w:rPr>
        <w:t>Antikoagulantia</w:t>
      </w:r>
      <w:proofErr w:type="spellEnd"/>
    </w:p>
    <w:p w14:paraId="55ECFF1A" w14:textId="77777777" w:rsidR="00D27A53" w:rsidRPr="00D27A53" w:rsidRDefault="00D27A53" w:rsidP="00695AC0">
      <w:pPr>
        <w:ind w:left="851"/>
        <w:rPr>
          <w:sz w:val="24"/>
          <w:szCs w:val="24"/>
        </w:rPr>
      </w:pPr>
      <w:r w:rsidRPr="00D27A53">
        <w:rPr>
          <w:sz w:val="24"/>
          <w:szCs w:val="24"/>
          <w:lang w:bidi="da-DK"/>
        </w:rPr>
        <w:t xml:space="preserve">Det er rapporteret, at </w:t>
      </w:r>
      <w:proofErr w:type="spellStart"/>
      <w:r w:rsidRPr="00D27A53">
        <w:rPr>
          <w:sz w:val="24"/>
          <w:szCs w:val="24"/>
          <w:lang w:bidi="da-DK"/>
        </w:rPr>
        <w:t>metronidazol</w:t>
      </w:r>
      <w:proofErr w:type="spellEnd"/>
      <w:r w:rsidRPr="00D27A53">
        <w:rPr>
          <w:sz w:val="24"/>
          <w:szCs w:val="24"/>
          <w:lang w:bidi="da-DK"/>
        </w:rPr>
        <w:t xml:space="preserve"> forstærker den antikoagulerende virkning af </w:t>
      </w:r>
      <w:proofErr w:type="spellStart"/>
      <w:r w:rsidRPr="00D27A53">
        <w:rPr>
          <w:sz w:val="24"/>
          <w:szCs w:val="24"/>
          <w:lang w:bidi="da-DK"/>
        </w:rPr>
        <w:t>warfarin</w:t>
      </w:r>
      <w:proofErr w:type="spellEnd"/>
      <w:r w:rsidRPr="00D27A53">
        <w:rPr>
          <w:sz w:val="24"/>
          <w:szCs w:val="24"/>
          <w:lang w:bidi="da-DK"/>
        </w:rPr>
        <w:t xml:space="preserve"> og andre orale </w:t>
      </w:r>
      <w:proofErr w:type="spellStart"/>
      <w:r w:rsidRPr="00D27A53">
        <w:rPr>
          <w:sz w:val="24"/>
          <w:szCs w:val="24"/>
          <w:lang w:bidi="da-DK"/>
        </w:rPr>
        <w:t>kumarin-antikoagulantia</w:t>
      </w:r>
      <w:proofErr w:type="spellEnd"/>
      <w:r w:rsidRPr="00D27A53">
        <w:rPr>
          <w:sz w:val="24"/>
          <w:szCs w:val="24"/>
          <w:lang w:bidi="da-DK"/>
        </w:rPr>
        <w:t xml:space="preserve">, hvilket resulterer i en forlængelse af </w:t>
      </w:r>
      <w:proofErr w:type="spellStart"/>
      <w:r w:rsidRPr="00D27A53">
        <w:rPr>
          <w:sz w:val="24"/>
          <w:szCs w:val="24"/>
          <w:lang w:bidi="da-DK"/>
        </w:rPr>
        <w:t>protrombintiden</w:t>
      </w:r>
      <w:proofErr w:type="spellEnd"/>
      <w:r w:rsidRPr="00D27A53">
        <w:rPr>
          <w:sz w:val="24"/>
          <w:szCs w:val="24"/>
          <w:lang w:bidi="da-DK"/>
        </w:rPr>
        <w:t xml:space="preserve">. Derfor er overvågning med passende justering af den antikoagulerende dosis berettiget under behandling med </w:t>
      </w:r>
      <w:proofErr w:type="spellStart"/>
      <w:r w:rsidRPr="00D27A53">
        <w:rPr>
          <w:sz w:val="24"/>
          <w:szCs w:val="24"/>
          <w:lang w:bidi="da-DK"/>
        </w:rPr>
        <w:t>Pylera</w:t>
      </w:r>
      <w:proofErr w:type="spellEnd"/>
      <w:r w:rsidRPr="00D27A53">
        <w:rPr>
          <w:sz w:val="24"/>
          <w:szCs w:val="24"/>
          <w:lang w:bidi="da-DK"/>
        </w:rPr>
        <w:t>.</w:t>
      </w:r>
    </w:p>
    <w:p w14:paraId="4A6E4FD1" w14:textId="77777777" w:rsidR="00A27D30" w:rsidRDefault="00A27D30" w:rsidP="00695AC0">
      <w:pPr>
        <w:ind w:left="851"/>
        <w:rPr>
          <w:i/>
          <w:sz w:val="24"/>
          <w:szCs w:val="24"/>
          <w:lang w:bidi="da-DK"/>
        </w:rPr>
      </w:pPr>
    </w:p>
    <w:p w14:paraId="00037E03" w14:textId="2B788AB7" w:rsidR="00D27A53" w:rsidRPr="00D27A53" w:rsidRDefault="00D27A53" w:rsidP="00695AC0">
      <w:pPr>
        <w:ind w:left="851"/>
        <w:rPr>
          <w:i/>
          <w:sz w:val="24"/>
          <w:szCs w:val="24"/>
        </w:rPr>
      </w:pPr>
      <w:proofErr w:type="spellStart"/>
      <w:r w:rsidRPr="00D27A53">
        <w:rPr>
          <w:i/>
          <w:sz w:val="24"/>
          <w:szCs w:val="24"/>
          <w:lang w:bidi="da-DK"/>
        </w:rPr>
        <w:t>Phenytoin</w:t>
      </w:r>
      <w:proofErr w:type="spellEnd"/>
      <w:r w:rsidRPr="00D27A53">
        <w:rPr>
          <w:i/>
          <w:sz w:val="24"/>
          <w:szCs w:val="24"/>
          <w:lang w:bidi="da-DK"/>
        </w:rPr>
        <w:t xml:space="preserve">, </w:t>
      </w:r>
      <w:proofErr w:type="spellStart"/>
      <w:r w:rsidRPr="00D27A53">
        <w:rPr>
          <w:i/>
          <w:sz w:val="24"/>
          <w:szCs w:val="24"/>
          <w:lang w:bidi="da-DK"/>
        </w:rPr>
        <w:t>phenobarbital</w:t>
      </w:r>
      <w:proofErr w:type="spellEnd"/>
    </w:p>
    <w:p w14:paraId="2105EC58" w14:textId="77777777" w:rsidR="00D27A53" w:rsidRPr="00D27A53" w:rsidRDefault="00D27A53" w:rsidP="00695AC0">
      <w:pPr>
        <w:ind w:left="851"/>
        <w:rPr>
          <w:sz w:val="24"/>
          <w:szCs w:val="24"/>
        </w:rPr>
      </w:pPr>
      <w:r w:rsidRPr="00D27A53">
        <w:rPr>
          <w:sz w:val="24"/>
          <w:szCs w:val="24"/>
          <w:lang w:bidi="da-DK"/>
        </w:rPr>
        <w:t xml:space="preserve">Samtidig administration af lægemidler, der inducerer </w:t>
      </w:r>
      <w:proofErr w:type="spellStart"/>
      <w:r w:rsidRPr="00D27A53">
        <w:rPr>
          <w:sz w:val="24"/>
          <w:szCs w:val="24"/>
          <w:lang w:bidi="da-DK"/>
        </w:rPr>
        <w:t>mikrosomale</w:t>
      </w:r>
      <w:proofErr w:type="spellEnd"/>
      <w:r w:rsidRPr="00D27A53">
        <w:rPr>
          <w:sz w:val="24"/>
          <w:szCs w:val="24"/>
          <w:lang w:bidi="da-DK"/>
        </w:rPr>
        <w:t xml:space="preserve"> leverenzymer, såsom </w:t>
      </w:r>
      <w:proofErr w:type="spellStart"/>
      <w:r w:rsidRPr="00D27A53">
        <w:rPr>
          <w:sz w:val="24"/>
          <w:szCs w:val="24"/>
          <w:lang w:bidi="da-DK"/>
        </w:rPr>
        <w:t>phenytoin</w:t>
      </w:r>
      <w:proofErr w:type="spellEnd"/>
      <w:r w:rsidRPr="00D27A53">
        <w:rPr>
          <w:sz w:val="24"/>
          <w:szCs w:val="24"/>
          <w:lang w:bidi="da-DK"/>
        </w:rPr>
        <w:t xml:space="preserve"> eller </w:t>
      </w:r>
      <w:proofErr w:type="spellStart"/>
      <w:r w:rsidRPr="00D27A53">
        <w:rPr>
          <w:sz w:val="24"/>
          <w:szCs w:val="24"/>
          <w:lang w:bidi="da-DK"/>
        </w:rPr>
        <w:t>phenobarbital</w:t>
      </w:r>
      <w:proofErr w:type="spellEnd"/>
      <w:r w:rsidRPr="00D27A53">
        <w:rPr>
          <w:sz w:val="24"/>
          <w:szCs w:val="24"/>
          <w:lang w:bidi="da-DK"/>
        </w:rPr>
        <w:t xml:space="preserve">, kan fremskynde elimineringen af </w:t>
      </w:r>
      <w:proofErr w:type="spellStart"/>
      <w:r w:rsidRPr="00D27A53">
        <w:rPr>
          <w:sz w:val="24"/>
          <w:szCs w:val="24"/>
          <w:lang w:bidi="da-DK"/>
        </w:rPr>
        <w:t>metronidazol</w:t>
      </w:r>
      <w:proofErr w:type="spellEnd"/>
      <w:r w:rsidRPr="00D27A53">
        <w:rPr>
          <w:sz w:val="24"/>
          <w:szCs w:val="24"/>
          <w:lang w:bidi="da-DK"/>
        </w:rPr>
        <w:t xml:space="preserve">, hvilket resulterer i reducerede plasmaniveauer. Nedsat </w:t>
      </w:r>
      <w:proofErr w:type="spellStart"/>
      <w:r w:rsidRPr="00D27A53">
        <w:rPr>
          <w:sz w:val="24"/>
          <w:szCs w:val="24"/>
          <w:lang w:bidi="da-DK"/>
        </w:rPr>
        <w:t>clearance</w:t>
      </w:r>
      <w:proofErr w:type="spellEnd"/>
      <w:r w:rsidRPr="00D27A53">
        <w:rPr>
          <w:sz w:val="24"/>
          <w:szCs w:val="24"/>
          <w:lang w:bidi="da-DK"/>
        </w:rPr>
        <w:t xml:space="preserve"> af </w:t>
      </w:r>
      <w:proofErr w:type="spellStart"/>
      <w:r w:rsidRPr="00D27A53">
        <w:rPr>
          <w:sz w:val="24"/>
          <w:szCs w:val="24"/>
          <w:lang w:bidi="da-DK"/>
        </w:rPr>
        <w:t>phenytoin</w:t>
      </w:r>
      <w:proofErr w:type="spellEnd"/>
      <w:r w:rsidRPr="00D27A53">
        <w:rPr>
          <w:sz w:val="24"/>
          <w:szCs w:val="24"/>
          <w:lang w:bidi="da-DK"/>
        </w:rPr>
        <w:t xml:space="preserve"> er også blevet rapporteret i sådanne situationer. Den kliniske betydning af reduceret systemisk eksponering for </w:t>
      </w:r>
      <w:proofErr w:type="spellStart"/>
      <w:r w:rsidRPr="00D27A53">
        <w:rPr>
          <w:sz w:val="24"/>
          <w:szCs w:val="24"/>
          <w:lang w:bidi="da-DK"/>
        </w:rPr>
        <w:t>metronidazol</w:t>
      </w:r>
      <w:proofErr w:type="spellEnd"/>
      <w:r w:rsidRPr="00D27A53">
        <w:rPr>
          <w:sz w:val="24"/>
          <w:szCs w:val="24"/>
          <w:lang w:bidi="da-DK"/>
        </w:rPr>
        <w:t xml:space="preserve"> er ukendt, da det relative bidrag fra systemisk versus lokal antimikrobiel aktivitet mod </w:t>
      </w:r>
      <w:proofErr w:type="spellStart"/>
      <w:r w:rsidRPr="00D27A53">
        <w:rPr>
          <w:i/>
          <w:sz w:val="24"/>
          <w:szCs w:val="24"/>
          <w:lang w:bidi="da-DK"/>
        </w:rPr>
        <w:t>Helicobacter</w:t>
      </w:r>
      <w:proofErr w:type="spellEnd"/>
      <w:r w:rsidRPr="00D27A53">
        <w:rPr>
          <w:i/>
          <w:sz w:val="24"/>
          <w:szCs w:val="24"/>
          <w:lang w:bidi="da-DK"/>
        </w:rPr>
        <w:t xml:space="preserve"> </w:t>
      </w:r>
      <w:proofErr w:type="spellStart"/>
      <w:r w:rsidRPr="00D27A53">
        <w:rPr>
          <w:i/>
          <w:sz w:val="24"/>
          <w:szCs w:val="24"/>
          <w:lang w:bidi="da-DK"/>
        </w:rPr>
        <w:t>pylori</w:t>
      </w:r>
      <w:proofErr w:type="spellEnd"/>
      <w:r w:rsidRPr="00D27A53">
        <w:rPr>
          <w:i/>
          <w:sz w:val="24"/>
          <w:szCs w:val="24"/>
          <w:lang w:bidi="da-DK"/>
        </w:rPr>
        <w:t xml:space="preserve"> </w:t>
      </w:r>
      <w:r w:rsidRPr="00D27A53">
        <w:rPr>
          <w:sz w:val="24"/>
          <w:szCs w:val="24"/>
          <w:lang w:bidi="da-DK"/>
        </w:rPr>
        <w:t>ikke er blevet fastslået.</w:t>
      </w:r>
    </w:p>
    <w:p w14:paraId="5CC5BD02" w14:textId="77777777" w:rsidR="00A27D30" w:rsidRDefault="00A27D30" w:rsidP="00695AC0">
      <w:pPr>
        <w:ind w:left="851"/>
        <w:rPr>
          <w:i/>
          <w:sz w:val="24"/>
          <w:szCs w:val="24"/>
          <w:lang w:bidi="da-DK"/>
        </w:rPr>
      </w:pPr>
    </w:p>
    <w:p w14:paraId="7B48A8BC" w14:textId="04F8EDC1" w:rsidR="00D27A53" w:rsidRPr="00D27A53" w:rsidRDefault="00D27A53" w:rsidP="00695AC0">
      <w:pPr>
        <w:ind w:left="851"/>
        <w:rPr>
          <w:i/>
          <w:sz w:val="24"/>
          <w:szCs w:val="24"/>
        </w:rPr>
      </w:pPr>
      <w:r w:rsidRPr="00D27A53">
        <w:rPr>
          <w:i/>
          <w:sz w:val="24"/>
          <w:szCs w:val="24"/>
          <w:lang w:bidi="da-DK"/>
        </w:rPr>
        <w:t>5-Fluorouracil</w:t>
      </w:r>
    </w:p>
    <w:p w14:paraId="2D7E27E0" w14:textId="77777777" w:rsidR="00D27A53" w:rsidRPr="00D27A53" w:rsidRDefault="00D27A53" w:rsidP="00695AC0">
      <w:pPr>
        <w:ind w:left="851"/>
        <w:rPr>
          <w:sz w:val="24"/>
          <w:szCs w:val="24"/>
        </w:rPr>
      </w:pPr>
      <w:proofErr w:type="spellStart"/>
      <w:r w:rsidRPr="00D27A53">
        <w:rPr>
          <w:sz w:val="24"/>
          <w:szCs w:val="24"/>
          <w:lang w:bidi="da-DK"/>
        </w:rPr>
        <w:t>Metronidazol</w:t>
      </w:r>
      <w:proofErr w:type="spellEnd"/>
      <w:r w:rsidRPr="00D27A53">
        <w:rPr>
          <w:sz w:val="24"/>
          <w:szCs w:val="24"/>
          <w:lang w:bidi="da-DK"/>
        </w:rPr>
        <w:t xml:space="preserve"> reducerer </w:t>
      </w:r>
      <w:proofErr w:type="spellStart"/>
      <w:r w:rsidRPr="00D27A53">
        <w:rPr>
          <w:sz w:val="24"/>
          <w:szCs w:val="24"/>
          <w:lang w:bidi="da-DK"/>
        </w:rPr>
        <w:t>clearance</w:t>
      </w:r>
      <w:proofErr w:type="spellEnd"/>
      <w:r w:rsidRPr="00D27A53">
        <w:rPr>
          <w:sz w:val="24"/>
          <w:szCs w:val="24"/>
          <w:lang w:bidi="da-DK"/>
        </w:rPr>
        <w:t xml:space="preserve"> af 5-fluorouracil og kan derfor resultere i øget toksicitet af 5-fluorouracil.</w:t>
      </w:r>
    </w:p>
    <w:p w14:paraId="3C3D5DFB" w14:textId="77777777" w:rsidR="00A27D30" w:rsidRDefault="00A27D30" w:rsidP="00695AC0">
      <w:pPr>
        <w:ind w:left="851"/>
        <w:rPr>
          <w:i/>
          <w:sz w:val="24"/>
          <w:szCs w:val="24"/>
          <w:lang w:bidi="da-DK"/>
        </w:rPr>
      </w:pPr>
    </w:p>
    <w:p w14:paraId="5BCC8A13" w14:textId="28F0E2E6" w:rsidR="00D27A53" w:rsidRPr="00D27A53" w:rsidRDefault="00D27A53" w:rsidP="00695AC0">
      <w:pPr>
        <w:ind w:left="851"/>
        <w:rPr>
          <w:i/>
          <w:sz w:val="24"/>
          <w:szCs w:val="24"/>
        </w:rPr>
      </w:pPr>
      <w:proofErr w:type="spellStart"/>
      <w:r w:rsidRPr="00D27A53">
        <w:rPr>
          <w:i/>
          <w:sz w:val="24"/>
          <w:szCs w:val="24"/>
          <w:lang w:bidi="da-DK"/>
        </w:rPr>
        <w:t>Cyclosporin</w:t>
      </w:r>
      <w:proofErr w:type="spellEnd"/>
    </w:p>
    <w:p w14:paraId="50D9E29A" w14:textId="77777777" w:rsidR="00D27A53" w:rsidRPr="00D27A53" w:rsidRDefault="00D27A53" w:rsidP="00695AC0">
      <w:pPr>
        <w:ind w:left="851"/>
        <w:rPr>
          <w:sz w:val="24"/>
          <w:szCs w:val="24"/>
        </w:rPr>
      </w:pPr>
      <w:r w:rsidRPr="00D27A53">
        <w:rPr>
          <w:sz w:val="24"/>
          <w:szCs w:val="24"/>
          <w:lang w:bidi="da-DK"/>
        </w:rPr>
        <w:t xml:space="preserve">Patienter, der modtager </w:t>
      </w:r>
      <w:proofErr w:type="spellStart"/>
      <w:r w:rsidRPr="00D27A53">
        <w:rPr>
          <w:sz w:val="24"/>
          <w:szCs w:val="24"/>
          <w:lang w:bidi="da-DK"/>
        </w:rPr>
        <w:t>cyclosporin</w:t>
      </w:r>
      <w:proofErr w:type="spellEnd"/>
      <w:r w:rsidRPr="00D27A53">
        <w:rPr>
          <w:sz w:val="24"/>
          <w:szCs w:val="24"/>
          <w:lang w:bidi="da-DK"/>
        </w:rPr>
        <w:t xml:space="preserve">, risikerer at få forhøjede </w:t>
      </w:r>
      <w:proofErr w:type="spellStart"/>
      <w:r w:rsidRPr="00D27A53">
        <w:rPr>
          <w:sz w:val="24"/>
          <w:szCs w:val="24"/>
          <w:lang w:bidi="da-DK"/>
        </w:rPr>
        <w:t>cyclosporin</w:t>
      </w:r>
      <w:proofErr w:type="spellEnd"/>
      <w:r w:rsidRPr="00D27A53">
        <w:rPr>
          <w:sz w:val="24"/>
          <w:szCs w:val="24"/>
          <w:lang w:bidi="da-DK"/>
        </w:rPr>
        <w:t xml:space="preserve">-serumniveauer. </w:t>
      </w:r>
      <w:proofErr w:type="spellStart"/>
      <w:r w:rsidRPr="00D27A53">
        <w:rPr>
          <w:sz w:val="24"/>
          <w:szCs w:val="24"/>
          <w:lang w:bidi="da-DK"/>
        </w:rPr>
        <w:t>Serumcyclosporin</w:t>
      </w:r>
      <w:proofErr w:type="spellEnd"/>
      <w:r w:rsidRPr="00D27A53">
        <w:rPr>
          <w:sz w:val="24"/>
          <w:szCs w:val="24"/>
          <w:lang w:bidi="da-DK"/>
        </w:rPr>
        <w:t xml:space="preserve"> og </w:t>
      </w:r>
      <w:proofErr w:type="spellStart"/>
      <w:r w:rsidRPr="00D27A53">
        <w:rPr>
          <w:sz w:val="24"/>
          <w:szCs w:val="24"/>
          <w:lang w:bidi="da-DK"/>
        </w:rPr>
        <w:t>serumkreatinin</w:t>
      </w:r>
      <w:proofErr w:type="spellEnd"/>
      <w:r w:rsidRPr="00D27A53">
        <w:rPr>
          <w:sz w:val="24"/>
          <w:szCs w:val="24"/>
          <w:lang w:bidi="da-DK"/>
        </w:rPr>
        <w:t xml:space="preserve"> skal overvåges nøje, når samtidig administration er nødvendig.</w:t>
      </w:r>
    </w:p>
    <w:p w14:paraId="787665BE" w14:textId="77777777" w:rsidR="00A27D30" w:rsidRDefault="00A27D30" w:rsidP="00695AC0">
      <w:pPr>
        <w:ind w:left="851"/>
        <w:rPr>
          <w:i/>
          <w:sz w:val="24"/>
          <w:szCs w:val="24"/>
          <w:lang w:bidi="da-DK"/>
        </w:rPr>
      </w:pPr>
    </w:p>
    <w:p w14:paraId="51D716C5" w14:textId="194B4A84" w:rsidR="00D27A53" w:rsidRPr="00D27A53" w:rsidRDefault="00D27A53" w:rsidP="00695AC0">
      <w:pPr>
        <w:ind w:left="851"/>
        <w:rPr>
          <w:i/>
          <w:sz w:val="24"/>
          <w:szCs w:val="24"/>
        </w:rPr>
      </w:pPr>
      <w:proofErr w:type="spellStart"/>
      <w:r w:rsidRPr="00D27A53">
        <w:rPr>
          <w:i/>
          <w:sz w:val="24"/>
          <w:szCs w:val="24"/>
          <w:lang w:bidi="da-DK"/>
        </w:rPr>
        <w:t>Busulfan</w:t>
      </w:r>
      <w:proofErr w:type="spellEnd"/>
    </w:p>
    <w:p w14:paraId="439161D4" w14:textId="77777777" w:rsidR="00D27A53" w:rsidRPr="00D27A53" w:rsidRDefault="00D27A53" w:rsidP="00695AC0">
      <w:pPr>
        <w:ind w:left="851"/>
        <w:rPr>
          <w:sz w:val="24"/>
          <w:szCs w:val="24"/>
        </w:rPr>
      </w:pPr>
      <w:r w:rsidRPr="00D27A53">
        <w:rPr>
          <w:sz w:val="24"/>
          <w:szCs w:val="24"/>
          <w:lang w:bidi="da-DK"/>
        </w:rPr>
        <w:t xml:space="preserve">Plasmaniveauet af </w:t>
      </w:r>
      <w:proofErr w:type="spellStart"/>
      <w:r w:rsidRPr="00D27A53">
        <w:rPr>
          <w:sz w:val="24"/>
          <w:szCs w:val="24"/>
          <w:lang w:bidi="da-DK"/>
        </w:rPr>
        <w:t>busulfan</w:t>
      </w:r>
      <w:proofErr w:type="spellEnd"/>
      <w:r w:rsidRPr="00D27A53">
        <w:rPr>
          <w:sz w:val="24"/>
          <w:szCs w:val="24"/>
          <w:lang w:bidi="da-DK"/>
        </w:rPr>
        <w:t xml:space="preserve"> kan øges af </w:t>
      </w:r>
      <w:proofErr w:type="spellStart"/>
      <w:r w:rsidRPr="00D27A53">
        <w:rPr>
          <w:sz w:val="24"/>
          <w:szCs w:val="24"/>
          <w:lang w:bidi="da-DK"/>
        </w:rPr>
        <w:t>metronidazol</w:t>
      </w:r>
      <w:proofErr w:type="spellEnd"/>
      <w:r w:rsidRPr="00D27A53">
        <w:rPr>
          <w:sz w:val="24"/>
          <w:szCs w:val="24"/>
          <w:lang w:bidi="da-DK"/>
        </w:rPr>
        <w:t xml:space="preserve">, hvilket kan føre til alvorlig </w:t>
      </w:r>
      <w:proofErr w:type="spellStart"/>
      <w:r w:rsidRPr="00D27A53">
        <w:rPr>
          <w:sz w:val="24"/>
          <w:szCs w:val="24"/>
          <w:lang w:bidi="da-DK"/>
        </w:rPr>
        <w:t>busulfan</w:t>
      </w:r>
      <w:proofErr w:type="spellEnd"/>
      <w:r w:rsidRPr="00D27A53">
        <w:rPr>
          <w:sz w:val="24"/>
          <w:szCs w:val="24"/>
          <w:lang w:bidi="da-DK"/>
        </w:rPr>
        <w:t>-toksicitet.</w:t>
      </w:r>
    </w:p>
    <w:p w14:paraId="7958082D" w14:textId="77777777" w:rsidR="00A27D30" w:rsidRDefault="00A27D30" w:rsidP="00695AC0">
      <w:pPr>
        <w:ind w:left="851"/>
        <w:rPr>
          <w:i/>
          <w:sz w:val="24"/>
          <w:szCs w:val="24"/>
          <w:lang w:bidi="da-DK"/>
        </w:rPr>
      </w:pPr>
    </w:p>
    <w:p w14:paraId="3B62C8D3" w14:textId="712A2846" w:rsidR="00D27A53" w:rsidRPr="00D27A53" w:rsidRDefault="00D27A53" w:rsidP="00695AC0">
      <w:pPr>
        <w:ind w:left="851"/>
        <w:rPr>
          <w:i/>
          <w:sz w:val="24"/>
          <w:szCs w:val="24"/>
        </w:rPr>
      </w:pPr>
      <w:r w:rsidRPr="00D27A53">
        <w:rPr>
          <w:i/>
          <w:sz w:val="24"/>
          <w:szCs w:val="24"/>
          <w:lang w:bidi="da-DK"/>
        </w:rPr>
        <w:t xml:space="preserve">Samtidig brug af produkter, der forlænger QT-intervallet, og hvis metabolisme kan hæmmes af </w:t>
      </w:r>
      <w:proofErr w:type="spellStart"/>
      <w:r w:rsidRPr="00D27A53">
        <w:rPr>
          <w:i/>
          <w:sz w:val="24"/>
          <w:szCs w:val="24"/>
          <w:lang w:bidi="da-DK"/>
        </w:rPr>
        <w:t>metronidazol</w:t>
      </w:r>
      <w:proofErr w:type="spellEnd"/>
      <w:r w:rsidRPr="00D27A53">
        <w:rPr>
          <w:i/>
          <w:sz w:val="24"/>
          <w:szCs w:val="24"/>
          <w:lang w:bidi="da-DK"/>
        </w:rPr>
        <w:t>:</w:t>
      </w:r>
    </w:p>
    <w:p w14:paraId="57BF1314" w14:textId="77777777" w:rsidR="00D27A53" w:rsidRPr="00D27A53" w:rsidRDefault="00D27A53" w:rsidP="00695AC0">
      <w:pPr>
        <w:ind w:left="851"/>
        <w:rPr>
          <w:sz w:val="24"/>
          <w:szCs w:val="24"/>
        </w:rPr>
      </w:pPr>
      <w:r w:rsidRPr="00D27A53">
        <w:rPr>
          <w:sz w:val="24"/>
          <w:szCs w:val="24"/>
          <w:lang w:bidi="da-DK"/>
        </w:rPr>
        <w:t xml:space="preserve">Kombinationen af </w:t>
      </w:r>
      <w:proofErr w:type="spellStart"/>
      <w:r w:rsidRPr="00D27A53">
        <w:rPr>
          <w:sz w:val="24"/>
          <w:szCs w:val="24"/>
          <w:lang w:bidi="da-DK"/>
        </w:rPr>
        <w:t>metronidazol</w:t>
      </w:r>
      <w:proofErr w:type="spellEnd"/>
      <w:r w:rsidRPr="00D27A53">
        <w:rPr>
          <w:sz w:val="24"/>
          <w:szCs w:val="24"/>
          <w:lang w:bidi="da-DK"/>
        </w:rPr>
        <w:t xml:space="preserve"> med stoffer, der </w:t>
      </w:r>
      <w:proofErr w:type="spellStart"/>
      <w:r w:rsidRPr="00D27A53">
        <w:rPr>
          <w:sz w:val="24"/>
          <w:szCs w:val="24"/>
          <w:lang w:bidi="da-DK"/>
        </w:rPr>
        <w:t>metaboliseres</w:t>
      </w:r>
      <w:proofErr w:type="spellEnd"/>
      <w:r w:rsidRPr="00D27A53">
        <w:rPr>
          <w:sz w:val="24"/>
          <w:szCs w:val="24"/>
          <w:lang w:bidi="da-DK"/>
        </w:rPr>
        <w:t xml:space="preserve"> af CYP3A4 eller CYP2C9 og forlænger QT-intervallet, bør undgås (f.eks. </w:t>
      </w:r>
      <w:proofErr w:type="spellStart"/>
      <w:r w:rsidRPr="00D27A53">
        <w:rPr>
          <w:sz w:val="24"/>
          <w:szCs w:val="24"/>
          <w:lang w:bidi="da-DK"/>
        </w:rPr>
        <w:t>ondansetron</w:t>
      </w:r>
      <w:proofErr w:type="spellEnd"/>
      <w:r w:rsidRPr="00D27A53">
        <w:rPr>
          <w:sz w:val="24"/>
          <w:szCs w:val="24"/>
          <w:lang w:bidi="da-DK"/>
        </w:rPr>
        <w:t xml:space="preserve">, </w:t>
      </w:r>
      <w:proofErr w:type="spellStart"/>
      <w:r w:rsidRPr="00D27A53">
        <w:rPr>
          <w:sz w:val="24"/>
          <w:szCs w:val="24"/>
          <w:lang w:bidi="da-DK"/>
        </w:rPr>
        <w:t>amiodaron</w:t>
      </w:r>
      <w:proofErr w:type="spellEnd"/>
      <w:r w:rsidRPr="00D27A53">
        <w:rPr>
          <w:sz w:val="24"/>
          <w:szCs w:val="24"/>
          <w:lang w:bidi="da-DK"/>
        </w:rPr>
        <w:t xml:space="preserve">, metadon, </w:t>
      </w:r>
      <w:proofErr w:type="spellStart"/>
      <w:r w:rsidRPr="00D27A53">
        <w:rPr>
          <w:sz w:val="24"/>
          <w:szCs w:val="24"/>
          <w:lang w:bidi="da-DK"/>
        </w:rPr>
        <w:t>domperidon</w:t>
      </w:r>
      <w:proofErr w:type="spellEnd"/>
      <w:r w:rsidRPr="00D27A53">
        <w:rPr>
          <w:sz w:val="24"/>
          <w:szCs w:val="24"/>
          <w:lang w:bidi="da-DK"/>
        </w:rPr>
        <w:t>).</w:t>
      </w:r>
    </w:p>
    <w:p w14:paraId="1B54834D" w14:textId="1457A38F" w:rsidR="0076324F" w:rsidRDefault="0076324F">
      <w:pPr>
        <w:rPr>
          <w:sz w:val="24"/>
          <w:szCs w:val="24"/>
          <w:u w:val="single"/>
          <w:lang w:bidi="da-DK"/>
        </w:rPr>
      </w:pPr>
      <w:r>
        <w:rPr>
          <w:sz w:val="24"/>
          <w:szCs w:val="24"/>
          <w:u w:val="single"/>
          <w:lang w:bidi="da-DK"/>
        </w:rPr>
        <w:br w:type="page"/>
      </w:r>
    </w:p>
    <w:p w14:paraId="012A5E33" w14:textId="77777777" w:rsidR="00A27D30" w:rsidRDefault="00A27D30" w:rsidP="00695AC0">
      <w:pPr>
        <w:ind w:left="851"/>
        <w:rPr>
          <w:sz w:val="24"/>
          <w:szCs w:val="24"/>
          <w:u w:val="single"/>
          <w:lang w:bidi="da-DK"/>
        </w:rPr>
      </w:pPr>
    </w:p>
    <w:p w14:paraId="584BCA98" w14:textId="413EA534" w:rsidR="00D27A53" w:rsidRPr="00D27A53" w:rsidRDefault="00D27A53" w:rsidP="00695AC0">
      <w:pPr>
        <w:ind w:left="851"/>
        <w:rPr>
          <w:sz w:val="24"/>
          <w:szCs w:val="24"/>
          <w:u w:val="single"/>
        </w:rPr>
      </w:pPr>
      <w:r w:rsidRPr="00D27A53">
        <w:rPr>
          <w:sz w:val="24"/>
          <w:szCs w:val="24"/>
          <w:u w:val="single"/>
          <w:lang w:bidi="da-DK"/>
        </w:rPr>
        <w:t>Interaktioner med tetracyklin</w:t>
      </w:r>
    </w:p>
    <w:p w14:paraId="6EA80B5F" w14:textId="77777777" w:rsidR="00D27A53" w:rsidRPr="00D27A53" w:rsidRDefault="00D27A53" w:rsidP="00695AC0">
      <w:pPr>
        <w:ind w:left="851"/>
        <w:rPr>
          <w:sz w:val="24"/>
          <w:szCs w:val="24"/>
        </w:rPr>
      </w:pPr>
    </w:p>
    <w:p w14:paraId="3FC939C4" w14:textId="77777777" w:rsidR="00D27A53" w:rsidRPr="00D27A53" w:rsidRDefault="00D27A53" w:rsidP="00695AC0">
      <w:pPr>
        <w:ind w:left="851"/>
        <w:rPr>
          <w:i/>
          <w:sz w:val="24"/>
          <w:szCs w:val="24"/>
        </w:rPr>
      </w:pPr>
      <w:proofErr w:type="spellStart"/>
      <w:r w:rsidRPr="00D27A53">
        <w:rPr>
          <w:i/>
          <w:sz w:val="24"/>
          <w:szCs w:val="24"/>
          <w:lang w:bidi="da-DK"/>
        </w:rPr>
        <w:t>Methoxyflurane</w:t>
      </w:r>
      <w:proofErr w:type="spellEnd"/>
    </w:p>
    <w:p w14:paraId="25B9F097" w14:textId="77777777" w:rsidR="00D27A53" w:rsidRPr="00D27A53" w:rsidRDefault="00D27A53" w:rsidP="00695AC0">
      <w:pPr>
        <w:ind w:left="851"/>
        <w:rPr>
          <w:sz w:val="24"/>
          <w:szCs w:val="24"/>
        </w:rPr>
      </w:pPr>
      <w:r w:rsidRPr="00D27A53">
        <w:rPr>
          <w:sz w:val="24"/>
          <w:szCs w:val="24"/>
          <w:lang w:bidi="da-DK"/>
        </w:rPr>
        <w:t xml:space="preserve">Samtidig brug af tetracyklin og </w:t>
      </w:r>
      <w:proofErr w:type="spellStart"/>
      <w:r w:rsidRPr="00D27A53">
        <w:rPr>
          <w:sz w:val="24"/>
          <w:szCs w:val="24"/>
          <w:lang w:bidi="da-DK"/>
        </w:rPr>
        <w:t>methoxyfluran</w:t>
      </w:r>
      <w:proofErr w:type="spellEnd"/>
      <w:r w:rsidRPr="00D27A53">
        <w:rPr>
          <w:sz w:val="24"/>
          <w:szCs w:val="24"/>
          <w:lang w:bidi="da-DK"/>
        </w:rPr>
        <w:t xml:space="preserve"> er blevet rapporteret at resultere i dødelig nyresygdom.</w:t>
      </w:r>
    </w:p>
    <w:p w14:paraId="23A46A99" w14:textId="77777777" w:rsidR="00A27D30" w:rsidRPr="00577019" w:rsidRDefault="00A27D30" w:rsidP="00695AC0">
      <w:pPr>
        <w:ind w:left="851"/>
        <w:rPr>
          <w:iCs/>
          <w:sz w:val="24"/>
          <w:szCs w:val="24"/>
          <w:lang w:bidi="da-DK"/>
        </w:rPr>
      </w:pPr>
    </w:p>
    <w:p w14:paraId="301DA2CB" w14:textId="143DD86C" w:rsidR="00D27A53" w:rsidRPr="00D27A53" w:rsidRDefault="00D27A53" w:rsidP="00695AC0">
      <w:pPr>
        <w:ind w:left="851"/>
        <w:rPr>
          <w:i/>
          <w:sz w:val="24"/>
          <w:szCs w:val="24"/>
        </w:rPr>
      </w:pPr>
      <w:proofErr w:type="spellStart"/>
      <w:r w:rsidRPr="00D27A53">
        <w:rPr>
          <w:i/>
          <w:sz w:val="24"/>
          <w:szCs w:val="24"/>
          <w:lang w:bidi="da-DK"/>
        </w:rPr>
        <w:t>Antikoagulantia</w:t>
      </w:r>
      <w:proofErr w:type="spellEnd"/>
    </w:p>
    <w:p w14:paraId="7BFB20B5" w14:textId="77777777" w:rsidR="00D27A53" w:rsidRPr="00D27A53" w:rsidRDefault="00D27A53" w:rsidP="00695AC0">
      <w:pPr>
        <w:ind w:left="851"/>
        <w:rPr>
          <w:sz w:val="24"/>
          <w:szCs w:val="24"/>
        </w:rPr>
      </w:pPr>
      <w:r w:rsidRPr="00D27A53">
        <w:rPr>
          <w:sz w:val="24"/>
          <w:szCs w:val="24"/>
          <w:lang w:bidi="da-DK"/>
        </w:rPr>
        <w:t xml:space="preserve">Tetracyklin har vist sig at nedsætte </w:t>
      </w:r>
      <w:proofErr w:type="spellStart"/>
      <w:r w:rsidRPr="00D27A53">
        <w:rPr>
          <w:sz w:val="24"/>
          <w:szCs w:val="24"/>
          <w:lang w:bidi="da-DK"/>
        </w:rPr>
        <w:t>protrombinaktiviteten</w:t>
      </w:r>
      <w:proofErr w:type="spellEnd"/>
      <w:r w:rsidRPr="00D27A53">
        <w:rPr>
          <w:sz w:val="24"/>
          <w:szCs w:val="24"/>
          <w:lang w:bidi="da-DK"/>
        </w:rPr>
        <w:t xml:space="preserve"> i plasma. Derfor er hyppig overvågning af </w:t>
      </w:r>
      <w:proofErr w:type="spellStart"/>
      <w:r w:rsidRPr="00D27A53">
        <w:rPr>
          <w:sz w:val="24"/>
          <w:szCs w:val="24"/>
          <w:lang w:bidi="da-DK"/>
        </w:rPr>
        <w:t>antikoagulationsbehandling</w:t>
      </w:r>
      <w:proofErr w:type="spellEnd"/>
      <w:r w:rsidRPr="00D27A53">
        <w:rPr>
          <w:sz w:val="24"/>
          <w:szCs w:val="24"/>
          <w:lang w:bidi="da-DK"/>
        </w:rPr>
        <w:t xml:space="preserve"> med passende justering af </w:t>
      </w:r>
      <w:proofErr w:type="spellStart"/>
      <w:r w:rsidRPr="00D27A53">
        <w:rPr>
          <w:sz w:val="24"/>
          <w:szCs w:val="24"/>
          <w:lang w:bidi="da-DK"/>
        </w:rPr>
        <w:t>antikoagulationsdosis</w:t>
      </w:r>
      <w:proofErr w:type="spellEnd"/>
      <w:r w:rsidRPr="00D27A53">
        <w:rPr>
          <w:sz w:val="24"/>
          <w:szCs w:val="24"/>
          <w:lang w:bidi="da-DK"/>
        </w:rPr>
        <w:t xml:space="preserve"> berettiget ved opstart af </w:t>
      </w:r>
      <w:proofErr w:type="spellStart"/>
      <w:r w:rsidRPr="00D27A53">
        <w:rPr>
          <w:sz w:val="24"/>
          <w:szCs w:val="24"/>
          <w:lang w:bidi="da-DK"/>
        </w:rPr>
        <w:t>Pylera</w:t>
      </w:r>
      <w:proofErr w:type="spellEnd"/>
      <w:r w:rsidRPr="00D27A53">
        <w:rPr>
          <w:sz w:val="24"/>
          <w:szCs w:val="24"/>
          <w:lang w:bidi="da-DK"/>
        </w:rPr>
        <w:t>.</w:t>
      </w:r>
    </w:p>
    <w:p w14:paraId="48DD4D0A" w14:textId="77777777" w:rsidR="0076324F" w:rsidRDefault="0076324F" w:rsidP="00695AC0">
      <w:pPr>
        <w:ind w:left="851"/>
        <w:rPr>
          <w:i/>
          <w:sz w:val="24"/>
          <w:szCs w:val="24"/>
          <w:lang w:bidi="da-DK"/>
        </w:rPr>
      </w:pPr>
    </w:p>
    <w:p w14:paraId="6C22AD39" w14:textId="516C7550" w:rsidR="00D27A53" w:rsidRPr="00D27A53" w:rsidRDefault="00D27A53" w:rsidP="00695AC0">
      <w:pPr>
        <w:ind w:left="851"/>
        <w:rPr>
          <w:i/>
          <w:sz w:val="24"/>
          <w:szCs w:val="24"/>
        </w:rPr>
      </w:pPr>
      <w:r w:rsidRPr="00D27A53">
        <w:rPr>
          <w:i/>
          <w:sz w:val="24"/>
          <w:szCs w:val="24"/>
          <w:lang w:bidi="da-DK"/>
        </w:rPr>
        <w:t>Penicillin</w:t>
      </w:r>
    </w:p>
    <w:p w14:paraId="095C4C16" w14:textId="77777777" w:rsidR="00D27A53" w:rsidRPr="00D27A53" w:rsidRDefault="00D27A53" w:rsidP="00695AC0">
      <w:pPr>
        <w:ind w:left="851"/>
        <w:rPr>
          <w:sz w:val="24"/>
          <w:szCs w:val="24"/>
        </w:rPr>
      </w:pPr>
      <w:r w:rsidRPr="00D27A53">
        <w:rPr>
          <w:sz w:val="24"/>
          <w:szCs w:val="24"/>
          <w:lang w:bidi="da-DK"/>
        </w:rPr>
        <w:t xml:space="preserve">Da </w:t>
      </w:r>
      <w:proofErr w:type="spellStart"/>
      <w:r w:rsidRPr="00D27A53">
        <w:rPr>
          <w:sz w:val="24"/>
          <w:szCs w:val="24"/>
          <w:lang w:bidi="da-DK"/>
        </w:rPr>
        <w:t>bakteriostatiske</w:t>
      </w:r>
      <w:proofErr w:type="spellEnd"/>
      <w:r w:rsidRPr="00D27A53">
        <w:rPr>
          <w:sz w:val="24"/>
          <w:szCs w:val="24"/>
          <w:lang w:bidi="da-DK"/>
        </w:rPr>
        <w:t xml:space="preserve"> lægemidler, som f.eks. tetracyklin-klassen af antibiotika, kan påvirke den bakteriedræbende virkning af penicillin, er det ikke tilrådeligt at give disse lægemidler samtidig.</w:t>
      </w:r>
    </w:p>
    <w:p w14:paraId="34DF9C85" w14:textId="77777777" w:rsidR="00D27A53" w:rsidRPr="00D27A53" w:rsidRDefault="00D27A53" w:rsidP="00695AC0">
      <w:pPr>
        <w:ind w:left="851"/>
        <w:rPr>
          <w:sz w:val="24"/>
          <w:szCs w:val="24"/>
        </w:rPr>
      </w:pPr>
    </w:p>
    <w:p w14:paraId="01845A76" w14:textId="77777777" w:rsidR="00D27A53" w:rsidRPr="00D27A53" w:rsidRDefault="00D27A53" w:rsidP="00695AC0">
      <w:pPr>
        <w:ind w:left="851"/>
        <w:rPr>
          <w:i/>
          <w:sz w:val="24"/>
          <w:szCs w:val="24"/>
        </w:rPr>
      </w:pPr>
      <w:r w:rsidRPr="00D27A53">
        <w:rPr>
          <w:i/>
          <w:sz w:val="24"/>
          <w:szCs w:val="24"/>
          <w:lang w:bidi="da-DK"/>
        </w:rPr>
        <w:t>Syreneutraliserende midler, jernpræparater og mejeriprodukter</w:t>
      </w:r>
    </w:p>
    <w:p w14:paraId="4D8F0090" w14:textId="77777777" w:rsidR="00D27A53" w:rsidRPr="00D27A53" w:rsidRDefault="00D27A53" w:rsidP="00695AC0">
      <w:pPr>
        <w:ind w:left="851"/>
        <w:rPr>
          <w:sz w:val="24"/>
          <w:szCs w:val="24"/>
        </w:rPr>
      </w:pPr>
      <w:r w:rsidRPr="00D27A53">
        <w:rPr>
          <w:sz w:val="24"/>
          <w:szCs w:val="24"/>
          <w:lang w:bidi="da-DK"/>
        </w:rPr>
        <w:t xml:space="preserve">Absorptionen af tetracyklin forringes af </w:t>
      </w:r>
      <w:proofErr w:type="spellStart"/>
      <w:r w:rsidRPr="00D27A53">
        <w:rPr>
          <w:sz w:val="24"/>
          <w:szCs w:val="24"/>
          <w:lang w:bidi="da-DK"/>
        </w:rPr>
        <w:t>antacida</w:t>
      </w:r>
      <w:proofErr w:type="spellEnd"/>
      <w:r w:rsidRPr="00D27A53">
        <w:rPr>
          <w:sz w:val="24"/>
          <w:szCs w:val="24"/>
          <w:lang w:bidi="da-DK"/>
        </w:rPr>
        <w:t xml:space="preserve">, der indeholder aluminium, calcium eller magnesium, præparater, der indeholder jern, zink eller </w:t>
      </w:r>
      <w:proofErr w:type="spellStart"/>
      <w:r w:rsidRPr="00D27A53">
        <w:rPr>
          <w:sz w:val="24"/>
          <w:szCs w:val="24"/>
          <w:lang w:bidi="da-DK"/>
        </w:rPr>
        <w:t>natriumbicarbonat</w:t>
      </w:r>
      <w:proofErr w:type="spellEnd"/>
      <w:r w:rsidRPr="00D27A53">
        <w:rPr>
          <w:sz w:val="24"/>
          <w:szCs w:val="24"/>
          <w:lang w:bidi="da-DK"/>
        </w:rPr>
        <w:t xml:space="preserve">, eller mejeriprodukter. Den kliniske betydning af reduceret systemisk eksponering for tetracyklin er ukendt, da det relative bidrag fra systemisk versus lokal antimikrobiel aktivitet mod </w:t>
      </w:r>
      <w:proofErr w:type="spellStart"/>
      <w:r w:rsidRPr="00D27A53">
        <w:rPr>
          <w:i/>
          <w:sz w:val="24"/>
          <w:szCs w:val="24"/>
          <w:lang w:bidi="da-DK"/>
        </w:rPr>
        <w:t>Helicobacter</w:t>
      </w:r>
      <w:proofErr w:type="spellEnd"/>
      <w:r w:rsidRPr="00D27A53">
        <w:rPr>
          <w:i/>
          <w:sz w:val="24"/>
          <w:szCs w:val="24"/>
          <w:lang w:bidi="da-DK"/>
        </w:rPr>
        <w:t xml:space="preserve"> </w:t>
      </w:r>
      <w:proofErr w:type="spellStart"/>
      <w:r w:rsidRPr="00D27A53">
        <w:rPr>
          <w:i/>
          <w:sz w:val="24"/>
          <w:szCs w:val="24"/>
          <w:lang w:bidi="da-DK"/>
        </w:rPr>
        <w:t>pylori</w:t>
      </w:r>
      <w:proofErr w:type="spellEnd"/>
      <w:r w:rsidRPr="00D27A53">
        <w:rPr>
          <w:i/>
          <w:sz w:val="24"/>
          <w:szCs w:val="24"/>
          <w:lang w:bidi="da-DK"/>
        </w:rPr>
        <w:t xml:space="preserve"> </w:t>
      </w:r>
      <w:r w:rsidRPr="00D27A53">
        <w:rPr>
          <w:sz w:val="24"/>
          <w:szCs w:val="24"/>
          <w:lang w:bidi="da-DK"/>
        </w:rPr>
        <w:t xml:space="preserve">ikke er blevet fastslået. Derfor bør disse produkter ikke anvendes samtidig med </w:t>
      </w:r>
      <w:proofErr w:type="spellStart"/>
      <w:r w:rsidRPr="00D27A53">
        <w:rPr>
          <w:sz w:val="24"/>
          <w:szCs w:val="24"/>
          <w:lang w:bidi="da-DK"/>
        </w:rPr>
        <w:t>Pylera</w:t>
      </w:r>
      <w:proofErr w:type="spellEnd"/>
      <w:r w:rsidRPr="00D27A53">
        <w:rPr>
          <w:sz w:val="24"/>
          <w:szCs w:val="24"/>
          <w:lang w:bidi="da-DK"/>
        </w:rPr>
        <w:t>.</w:t>
      </w:r>
    </w:p>
    <w:p w14:paraId="021567CA" w14:textId="77777777" w:rsidR="00D27A53" w:rsidRPr="00D27A53" w:rsidRDefault="00D27A53" w:rsidP="00695AC0">
      <w:pPr>
        <w:ind w:left="851"/>
        <w:rPr>
          <w:sz w:val="24"/>
          <w:szCs w:val="24"/>
        </w:rPr>
      </w:pPr>
    </w:p>
    <w:p w14:paraId="0A3B564D" w14:textId="77777777" w:rsidR="00D27A53" w:rsidRPr="00D27A53" w:rsidRDefault="00D27A53" w:rsidP="00695AC0">
      <w:pPr>
        <w:ind w:left="851"/>
        <w:rPr>
          <w:i/>
          <w:sz w:val="24"/>
          <w:szCs w:val="24"/>
        </w:rPr>
      </w:pPr>
      <w:proofErr w:type="spellStart"/>
      <w:r w:rsidRPr="00D27A53">
        <w:rPr>
          <w:i/>
          <w:sz w:val="24"/>
          <w:szCs w:val="24"/>
          <w:lang w:bidi="da-DK"/>
        </w:rPr>
        <w:t>Retinoider</w:t>
      </w:r>
      <w:proofErr w:type="spellEnd"/>
    </w:p>
    <w:p w14:paraId="216A7802" w14:textId="38406794" w:rsidR="00D27A53" w:rsidRPr="00D27A53" w:rsidRDefault="00D27A53" w:rsidP="00695AC0">
      <w:pPr>
        <w:ind w:left="851"/>
        <w:rPr>
          <w:sz w:val="24"/>
          <w:szCs w:val="24"/>
        </w:rPr>
      </w:pPr>
      <w:r w:rsidRPr="00D27A53">
        <w:rPr>
          <w:sz w:val="24"/>
          <w:szCs w:val="24"/>
          <w:lang w:bidi="da-DK"/>
        </w:rPr>
        <w:t xml:space="preserve">En øget forekomst af godartet </w:t>
      </w:r>
      <w:proofErr w:type="spellStart"/>
      <w:r w:rsidRPr="00D27A53">
        <w:rPr>
          <w:sz w:val="24"/>
          <w:szCs w:val="24"/>
          <w:lang w:bidi="da-DK"/>
        </w:rPr>
        <w:t>intrakraniel</w:t>
      </w:r>
      <w:proofErr w:type="spellEnd"/>
      <w:r w:rsidRPr="00D27A53">
        <w:rPr>
          <w:sz w:val="24"/>
          <w:szCs w:val="24"/>
          <w:lang w:bidi="da-DK"/>
        </w:rPr>
        <w:t xml:space="preserve"> hypertension er blevet rapporteret, når </w:t>
      </w:r>
      <w:proofErr w:type="spellStart"/>
      <w:r w:rsidRPr="00D27A53">
        <w:rPr>
          <w:sz w:val="24"/>
          <w:szCs w:val="24"/>
          <w:lang w:bidi="da-DK"/>
        </w:rPr>
        <w:t>retinoider</w:t>
      </w:r>
      <w:proofErr w:type="spellEnd"/>
      <w:r w:rsidRPr="00D27A53">
        <w:rPr>
          <w:sz w:val="24"/>
          <w:szCs w:val="24"/>
          <w:lang w:bidi="da-DK"/>
        </w:rPr>
        <w:t xml:space="preserve"> og </w:t>
      </w:r>
      <w:proofErr w:type="spellStart"/>
      <w:r w:rsidRPr="00D27A53">
        <w:rPr>
          <w:sz w:val="24"/>
          <w:szCs w:val="24"/>
          <w:lang w:bidi="da-DK"/>
        </w:rPr>
        <w:t>tetracykliner</w:t>
      </w:r>
      <w:proofErr w:type="spellEnd"/>
      <w:r w:rsidRPr="00D27A53">
        <w:rPr>
          <w:sz w:val="24"/>
          <w:szCs w:val="24"/>
          <w:lang w:bidi="da-DK"/>
        </w:rPr>
        <w:t xml:space="preserve"> gives sammen; sådan brug bør derfor undgås (se </w:t>
      </w:r>
      <w:r w:rsidR="0076324F">
        <w:rPr>
          <w:sz w:val="24"/>
          <w:szCs w:val="24"/>
          <w:lang w:bidi="da-DK"/>
        </w:rPr>
        <w:t>pkt.</w:t>
      </w:r>
      <w:r w:rsidRPr="00D27A53">
        <w:rPr>
          <w:sz w:val="24"/>
          <w:szCs w:val="24"/>
          <w:lang w:bidi="da-DK"/>
        </w:rPr>
        <w:t xml:space="preserve"> 4.4).</w:t>
      </w:r>
    </w:p>
    <w:p w14:paraId="0C8A9965" w14:textId="77777777" w:rsidR="00D27A53" w:rsidRDefault="00D27A53" w:rsidP="00695AC0">
      <w:pPr>
        <w:ind w:left="851"/>
        <w:rPr>
          <w:sz w:val="24"/>
          <w:szCs w:val="24"/>
          <w:lang w:bidi="da-DK"/>
        </w:rPr>
      </w:pPr>
      <w:r w:rsidRPr="00D27A53">
        <w:rPr>
          <w:sz w:val="24"/>
          <w:szCs w:val="24"/>
          <w:lang w:bidi="da-DK"/>
        </w:rPr>
        <w:t xml:space="preserve">Det bør overvejes at afbryde </w:t>
      </w:r>
      <w:proofErr w:type="spellStart"/>
      <w:r w:rsidRPr="00D27A53">
        <w:rPr>
          <w:sz w:val="24"/>
          <w:szCs w:val="24"/>
          <w:lang w:bidi="da-DK"/>
        </w:rPr>
        <w:t>retinoidbehandling</w:t>
      </w:r>
      <w:proofErr w:type="spellEnd"/>
      <w:r w:rsidRPr="00D27A53">
        <w:rPr>
          <w:sz w:val="24"/>
          <w:szCs w:val="24"/>
          <w:lang w:bidi="da-DK"/>
        </w:rPr>
        <w:t xml:space="preserve"> i den korte tid, </w:t>
      </w:r>
      <w:proofErr w:type="spellStart"/>
      <w:r w:rsidRPr="00D27A53">
        <w:rPr>
          <w:sz w:val="24"/>
          <w:szCs w:val="24"/>
          <w:lang w:bidi="da-DK"/>
        </w:rPr>
        <w:t>Pylera</w:t>
      </w:r>
      <w:proofErr w:type="spellEnd"/>
      <w:r w:rsidRPr="00D27A53">
        <w:rPr>
          <w:sz w:val="24"/>
          <w:szCs w:val="24"/>
          <w:lang w:bidi="da-DK"/>
        </w:rPr>
        <w:t>-behandlingen varer.</w:t>
      </w:r>
    </w:p>
    <w:p w14:paraId="36F1D498" w14:textId="77777777" w:rsidR="00A27D30" w:rsidRPr="00D27A53" w:rsidRDefault="00A27D30" w:rsidP="00695AC0">
      <w:pPr>
        <w:ind w:left="851"/>
        <w:rPr>
          <w:sz w:val="24"/>
          <w:szCs w:val="24"/>
        </w:rPr>
      </w:pPr>
    </w:p>
    <w:p w14:paraId="3C2B7685" w14:textId="77777777" w:rsidR="00D27A53" w:rsidRPr="00D27A53" w:rsidRDefault="00D27A53" w:rsidP="00695AC0">
      <w:pPr>
        <w:ind w:left="851"/>
        <w:rPr>
          <w:i/>
          <w:sz w:val="24"/>
          <w:szCs w:val="24"/>
        </w:rPr>
      </w:pPr>
      <w:proofErr w:type="spellStart"/>
      <w:r w:rsidRPr="00D27A53">
        <w:rPr>
          <w:i/>
          <w:sz w:val="24"/>
          <w:szCs w:val="24"/>
          <w:lang w:bidi="da-DK"/>
        </w:rPr>
        <w:t>Atovaquone</w:t>
      </w:r>
      <w:proofErr w:type="spellEnd"/>
    </w:p>
    <w:p w14:paraId="6A6E9EB3" w14:textId="77777777" w:rsidR="00D27A53" w:rsidRPr="00D27A53" w:rsidRDefault="00D27A53" w:rsidP="00695AC0">
      <w:pPr>
        <w:ind w:left="851"/>
        <w:rPr>
          <w:sz w:val="24"/>
          <w:szCs w:val="24"/>
        </w:rPr>
      </w:pPr>
      <w:r w:rsidRPr="00D27A53">
        <w:rPr>
          <w:sz w:val="24"/>
          <w:szCs w:val="24"/>
          <w:lang w:bidi="da-DK"/>
        </w:rPr>
        <w:t xml:space="preserve">Tetracyklin kan nedsætte plasmakoncentrationen af </w:t>
      </w:r>
      <w:proofErr w:type="spellStart"/>
      <w:r w:rsidRPr="00D27A53">
        <w:rPr>
          <w:sz w:val="24"/>
          <w:szCs w:val="24"/>
          <w:lang w:bidi="da-DK"/>
        </w:rPr>
        <w:t>atovaquon</w:t>
      </w:r>
      <w:proofErr w:type="spellEnd"/>
      <w:r w:rsidRPr="00D27A53">
        <w:rPr>
          <w:sz w:val="24"/>
          <w:szCs w:val="24"/>
          <w:lang w:bidi="da-DK"/>
        </w:rPr>
        <w:t>.</w:t>
      </w:r>
    </w:p>
    <w:p w14:paraId="5AB834E5" w14:textId="77777777" w:rsidR="009260DE" w:rsidRPr="00A27D30" w:rsidRDefault="009260DE" w:rsidP="009260DE">
      <w:pPr>
        <w:tabs>
          <w:tab w:val="left" w:pos="851"/>
        </w:tabs>
        <w:ind w:left="851"/>
        <w:rPr>
          <w:sz w:val="24"/>
          <w:szCs w:val="24"/>
        </w:rPr>
      </w:pPr>
    </w:p>
    <w:p w14:paraId="67D2127A" w14:textId="77777777" w:rsidR="009260DE" w:rsidRPr="00A27D30" w:rsidRDefault="009260DE" w:rsidP="009260DE">
      <w:pPr>
        <w:tabs>
          <w:tab w:val="left" w:pos="851"/>
        </w:tabs>
        <w:ind w:left="851" w:hanging="851"/>
        <w:rPr>
          <w:b/>
          <w:sz w:val="24"/>
          <w:szCs w:val="24"/>
        </w:rPr>
      </w:pPr>
      <w:r w:rsidRPr="00A27D30">
        <w:rPr>
          <w:b/>
          <w:sz w:val="24"/>
          <w:szCs w:val="24"/>
        </w:rPr>
        <w:t>4.6</w:t>
      </w:r>
      <w:r w:rsidRPr="00A27D30">
        <w:rPr>
          <w:b/>
          <w:sz w:val="24"/>
          <w:szCs w:val="24"/>
        </w:rPr>
        <w:tab/>
      </w:r>
      <w:r w:rsidR="0071241E" w:rsidRPr="00A27D30">
        <w:rPr>
          <w:b/>
          <w:sz w:val="24"/>
          <w:szCs w:val="24"/>
        </w:rPr>
        <w:t>Fertilitet, g</w:t>
      </w:r>
      <w:r w:rsidRPr="00A27D30">
        <w:rPr>
          <w:b/>
          <w:sz w:val="24"/>
          <w:szCs w:val="24"/>
        </w:rPr>
        <w:t>raviditet og amning</w:t>
      </w:r>
    </w:p>
    <w:p w14:paraId="18F6D162" w14:textId="77777777" w:rsidR="00A27D30" w:rsidRDefault="00A27D30" w:rsidP="00695AC0">
      <w:pPr>
        <w:ind w:left="851"/>
        <w:rPr>
          <w:sz w:val="24"/>
          <w:szCs w:val="24"/>
          <w:u w:val="single"/>
          <w:lang w:bidi="da-DK"/>
        </w:rPr>
      </w:pPr>
    </w:p>
    <w:p w14:paraId="78FD4ABB" w14:textId="76759C37" w:rsidR="00D27A53" w:rsidRPr="00D27A53" w:rsidRDefault="00D27A53" w:rsidP="00695AC0">
      <w:pPr>
        <w:ind w:left="851"/>
        <w:rPr>
          <w:sz w:val="24"/>
          <w:szCs w:val="24"/>
          <w:u w:val="single"/>
        </w:rPr>
      </w:pPr>
      <w:r w:rsidRPr="00D27A53">
        <w:rPr>
          <w:sz w:val="24"/>
          <w:szCs w:val="24"/>
          <w:u w:val="single"/>
          <w:lang w:bidi="da-DK"/>
        </w:rPr>
        <w:t>Graviditet</w:t>
      </w:r>
    </w:p>
    <w:p w14:paraId="2828CF69" w14:textId="77777777" w:rsidR="00D27A53" w:rsidRPr="00D27A53" w:rsidRDefault="00D27A53" w:rsidP="00695AC0">
      <w:pPr>
        <w:ind w:left="851"/>
        <w:rPr>
          <w:sz w:val="24"/>
          <w:szCs w:val="24"/>
        </w:rPr>
      </w:pPr>
      <w:r w:rsidRPr="00D27A53">
        <w:rPr>
          <w:sz w:val="24"/>
          <w:szCs w:val="24"/>
          <w:lang w:bidi="da-DK"/>
        </w:rPr>
        <w:t xml:space="preserve">Baseret på menneskelig erfaring forårsager </w:t>
      </w:r>
      <w:proofErr w:type="spellStart"/>
      <w:r w:rsidRPr="00D27A53">
        <w:rPr>
          <w:sz w:val="24"/>
          <w:szCs w:val="24"/>
          <w:lang w:bidi="da-DK"/>
        </w:rPr>
        <w:t>tetracyclinhydrochlorid</w:t>
      </w:r>
      <w:proofErr w:type="spellEnd"/>
      <w:r w:rsidRPr="00D27A53">
        <w:rPr>
          <w:sz w:val="24"/>
          <w:szCs w:val="24"/>
          <w:lang w:bidi="da-DK"/>
        </w:rPr>
        <w:t xml:space="preserve"> (en komponent i </w:t>
      </w:r>
      <w:proofErr w:type="spellStart"/>
      <w:r w:rsidRPr="00D27A53">
        <w:rPr>
          <w:sz w:val="24"/>
          <w:szCs w:val="24"/>
          <w:lang w:bidi="da-DK"/>
        </w:rPr>
        <w:t>Pylera</w:t>
      </w:r>
      <w:proofErr w:type="spellEnd"/>
      <w:r w:rsidRPr="00D27A53">
        <w:rPr>
          <w:sz w:val="24"/>
          <w:szCs w:val="24"/>
          <w:lang w:bidi="da-DK"/>
        </w:rPr>
        <w:t>) effekter på tænder og skeletudvikling, når det administreres under graviditet.</w:t>
      </w:r>
    </w:p>
    <w:p w14:paraId="499D34F7" w14:textId="77777777" w:rsidR="00A27D30" w:rsidRDefault="00A27D30" w:rsidP="00695AC0">
      <w:pPr>
        <w:ind w:left="851"/>
        <w:rPr>
          <w:sz w:val="24"/>
          <w:szCs w:val="24"/>
          <w:lang w:bidi="da-DK"/>
        </w:rPr>
      </w:pPr>
    </w:p>
    <w:p w14:paraId="40A9C324" w14:textId="38418477" w:rsidR="00D27A53" w:rsidRPr="00D27A53" w:rsidRDefault="00D27A53" w:rsidP="00695AC0">
      <w:pPr>
        <w:ind w:left="851"/>
        <w:rPr>
          <w:sz w:val="24"/>
          <w:szCs w:val="24"/>
          <w:lang w:bidi="da-DK"/>
        </w:rPr>
      </w:pPr>
      <w:proofErr w:type="spellStart"/>
      <w:r w:rsidRPr="00D27A53">
        <w:rPr>
          <w:sz w:val="24"/>
          <w:szCs w:val="24"/>
          <w:lang w:bidi="da-DK"/>
        </w:rPr>
        <w:t>Pylera</w:t>
      </w:r>
      <w:proofErr w:type="spellEnd"/>
      <w:r w:rsidRPr="00D27A53">
        <w:rPr>
          <w:sz w:val="24"/>
          <w:szCs w:val="24"/>
          <w:lang w:bidi="da-DK"/>
        </w:rPr>
        <w:t xml:space="preserve"> er kontraindiceret under graviditet (se </w:t>
      </w:r>
      <w:r w:rsidR="0076324F">
        <w:rPr>
          <w:sz w:val="24"/>
          <w:szCs w:val="24"/>
          <w:lang w:bidi="da-DK"/>
        </w:rPr>
        <w:t>pkt.</w:t>
      </w:r>
      <w:r w:rsidRPr="00D27A53">
        <w:rPr>
          <w:sz w:val="24"/>
          <w:szCs w:val="24"/>
          <w:lang w:bidi="da-DK"/>
        </w:rPr>
        <w:t xml:space="preserve"> 4.3). </w:t>
      </w:r>
    </w:p>
    <w:p w14:paraId="0D8BF0EF" w14:textId="77777777" w:rsidR="00A27D30" w:rsidRDefault="00A27D30" w:rsidP="00695AC0">
      <w:pPr>
        <w:ind w:left="851"/>
        <w:rPr>
          <w:sz w:val="24"/>
          <w:szCs w:val="24"/>
          <w:lang w:bidi="da-DK"/>
        </w:rPr>
      </w:pPr>
    </w:p>
    <w:p w14:paraId="4BB0074E" w14:textId="2F05D367" w:rsidR="00D27A53" w:rsidRPr="00D27A53" w:rsidRDefault="00D27A53" w:rsidP="00695AC0">
      <w:pPr>
        <w:ind w:left="851"/>
        <w:rPr>
          <w:sz w:val="24"/>
          <w:szCs w:val="24"/>
        </w:rPr>
      </w:pPr>
      <w:r w:rsidRPr="00D27A53">
        <w:rPr>
          <w:sz w:val="24"/>
          <w:szCs w:val="24"/>
          <w:lang w:bidi="da-DK"/>
        </w:rPr>
        <w:t xml:space="preserve">Der er ingen data fra brugen af </w:t>
      </w:r>
      <w:proofErr w:type="spellStart"/>
      <w:r w:rsidRPr="00D27A53">
        <w:rPr>
          <w:sz w:val="24"/>
          <w:szCs w:val="24"/>
          <w:lang w:bidi="da-DK"/>
        </w:rPr>
        <w:t>Pylera</w:t>
      </w:r>
      <w:proofErr w:type="spellEnd"/>
      <w:r w:rsidRPr="00D27A53">
        <w:rPr>
          <w:sz w:val="24"/>
          <w:szCs w:val="24"/>
          <w:lang w:bidi="da-DK"/>
        </w:rPr>
        <w:t xml:space="preserve"> hos gravide kvinder.</w:t>
      </w:r>
    </w:p>
    <w:p w14:paraId="34CCA3B6" w14:textId="77777777" w:rsidR="00A27D30" w:rsidRDefault="00A27D30" w:rsidP="00695AC0">
      <w:pPr>
        <w:ind w:left="851"/>
        <w:rPr>
          <w:sz w:val="24"/>
          <w:szCs w:val="24"/>
          <w:lang w:bidi="da-DK"/>
        </w:rPr>
      </w:pPr>
    </w:p>
    <w:p w14:paraId="3B152343" w14:textId="4CA6C47C" w:rsidR="00D27A53" w:rsidRPr="00D27A53" w:rsidRDefault="00D27A53" w:rsidP="00695AC0">
      <w:pPr>
        <w:ind w:left="851"/>
        <w:rPr>
          <w:sz w:val="24"/>
          <w:szCs w:val="24"/>
        </w:rPr>
      </w:pPr>
      <w:r w:rsidRPr="00D27A53">
        <w:rPr>
          <w:sz w:val="24"/>
          <w:szCs w:val="24"/>
          <w:lang w:bidi="da-DK"/>
        </w:rPr>
        <w:t xml:space="preserve">Der er ingen data fra dyr med hensyn til virkningerne af </w:t>
      </w:r>
      <w:proofErr w:type="spellStart"/>
      <w:r w:rsidRPr="00D27A53">
        <w:rPr>
          <w:sz w:val="24"/>
          <w:szCs w:val="24"/>
          <w:lang w:bidi="da-DK"/>
        </w:rPr>
        <w:t>bismuthsubcitratkalium</w:t>
      </w:r>
      <w:proofErr w:type="spellEnd"/>
      <w:r w:rsidRPr="00D27A53">
        <w:rPr>
          <w:sz w:val="24"/>
          <w:szCs w:val="24"/>
          <w:lang w:bidi="da-DK"/>
        </w:rPr>
        <w:t xml:space="preserve">. Dyreforsøg er utilstrækkelige med hensyn til virkningerne af kolloidalt </w:t>
      </w:r>
      <w:proofErr w:type="spellStart"/>
      <w:r w:rsidRPr="00D27A53">
        <w:rPr>
          <w:sz w:val="24"/>
          <w:szCs w:val="24"/>
          <w:lang w:bidi="da-DK"/>
        </w:rPr>
        <w:t>bismuthsubcitrat</w:t>
      </w:r>
      <w:proofErr w:type="spellEnd"/>
      <w:r w:rsidRPr="00D27A53">
        <w:rPr>
          <w:sz w:val="24"/>
          <w:szCs w:val="24"/>
          <w:lang w:bidi="da-DK"/>
        </w:rPr>
        <w:t xml:space="preserve"> (kolloidalt </w:t>
      </w:r>
      <w:proofErr w:type="spellStart"/>
      <w:r w:rsidRPr="00D27A53">
        <w:rPr>
          <w:sz w:val="24"/>
          <w:szCs w:val="24"/>
          <w:lang w:bidi="da-DK"/>
        </w:rPr>
        <w:t>bismuth</w:t>
      </w:r>
      <w:proofErr w:type="spellEnd"/>
      <w:r w:rsidRPr="00D27A53">
        <w:rPr>
          <w:sz w:val="24"/>
          <w:szCs w:val="24"/>
          <w:lang w:bidi="da-DK"/>
        </w:rPr>
        <w:t xml:space="preserve"> citrat svarer til </w:t>
      </w:r>
      <w:proofErr w:type="spellStart"/>
      <w:r w:rsidRPr="00D27A53">
        <w:rPr>
          <w:sz w:val="24"/>
          <w:szCs w:val="24"/>
          <w:lang w:bidi="da-DK"/>
        </w:rPr>
        <w:t>bismuthsubcitratkalium</w:t>
      </w:r>
      <w:proofErr w:type="spellEnd"/>
      <w:r w:rsidRPr="00D27A53">
        <w:rPr>
          <w:sz w:val="24"/>
          <w:szCs w:val="24"/>
          <w:lang w:bidi="da-DK"/>
        </w:rPr>
        <w:t xml:space="preserve"> med hensyn til fysisk-kemiske, strukturelle, biologiske (</w:t>
      </w:r>
      <w:r w:rsidRPr="00D27A53">
        <w:rPr>
          <w:i/>
          <w:sz w:val="24"/>
          <w:szCs w:val="24"/>
          <w:lang w:bidi="da-DK"/>
        </w:rPr>
        <w:t xml:space="preserve">in </w:t>
      </w:r>
      <w:proofErr w:type="spellStart"/>
      <w:r w:rsidRPr="00D27A53">
        <w:rPr>
          <w:i/>
          <w:sz w:val="24"/>
          <w:szCs w:val="24"/>
          <w:lang w:bidi="da-DK"/>
        </w:rPr>
        <w:t>vitro</w:t>
      </w:r>
      <w:proofErr w:type="spellEnd"/>
      <w:r w:rsidRPr="00D27A53">
        <w:rPr>
          <w:i/>
          <w:sz w:val="24"/>
          <w:szCs w:val="24"/>
          <w:lang w:bidi="da-DK"/>
        </w:rPr>
        <w:t>)</w:t>
      </w:r>
      <w:r w:rsidRPr="00D27A53">
        <w:rPr>
          <w:sz w:val="24"/>
          <w:szCs w:val="24"/>
          <w:lang w:bidi="da-DK"/>
        </w:rPr>
        <w:t xml:space="preserve"> og </w:t>
      </w:r>
      <w:proofErr w:type="spellStart"/>
      <w:r w:rsidRPr="00D27A53">
        <w:rPr>
          <w:sz w:val="24"/>
          <w:szCs w:val="24"/>
          <w:lang w:bidi="da-DK"/>
        </w:rPr>
        <w:t>farmakokinetiske</w:t>
      </w:r>
      <w:proofErr w:type="spellEnd"/>
      <w:r w:rsidRPr="00D27A53">
        <w:rPr>
          <w:sz w:val="24"/>
          <w:szCs w:val="24"/>
          <w:lang w:bidi="da-DK"/>
        </w:rPr>
        <w:t xml:space="preserve"> egenskaber) og </w:t>
      </w:r>
      <w:proofErr w:type="spellStart"/>
      <w:r w:rsidRPr="00D27A53">
        <w:rPr>
          <w:sz w:val="24"/>
          <w:szCs w:val="24"/>
          <w:lang w:bidi="da-DK"/>
        </w:rPr>
        <w:t>metronidazol</w:t>
      </w:r>
      <w:proofErr w:type="spellEnd"/>
      <w:r w:rsidRPr="00D27A53">
        <w:rPr>
          <w:sz w:val="24"/>
          <w:szCs w:val="24"/>
          <w:lang w:bidi="da-DK"/>
        </w:rPr>
        <w:t xml:space="preserve"> på reproduktionstoksicitet.</w:t>
      </w:r>
    </w:p>
    <w:p w14:paraId="34F698B5" w14:textId="6CE148CE" w:rsidR="0076324F" w:rsidRDefault="0076324F">
      <w:pPr>
        <w:rPr>
          <w:sz w:val="24"/>
          <w:szCs w:val="24"/>
        </w:rPr>
      </w:pPr>
      <w:r>
        <w:rPr>
          <w:sz w:val="24"/>
          <w:szCs w:val="24"/>
        </w:rPr>
        <w:br w:type="page"/>
      </w:r>
    </w:p>
    <w:p w14:paraId="19B2EE51" w14:textId="77777777" w:rsidR="00D27A53" w:rsidRPr="00D27A53" w:rsidRDefault="00D27A53" w:rsidP="00695AC0">
      <w:pPr>
        <w:ind w:left="851"/>
        <w:rPr>
          <w:sz w:val="24"/>
          <w:szCs w:val="24"/>
        </w:rPr>
      </w:pPr>
    </w:p>
    <w:p w14:paraId="734D29A6" w14:textId="77777777" w:rsidR="00D27A53" w:rsidRPr="00D27A53" w:rsidRDefault="00D27A53" w:rsidP="00695AC0">
      <w:pPr>
        <w:ind w:left="851"/>
        <w:rPr>
          <w:sz w:val="24"/>
          <w:szCs w:val="24"/>
          <w:u w:val="single"/>
        </w:rPr>
      </w:pPr>
      <w:r w:rsidRPr="00D27A53">
        <w:rPr>
          <w:sz w:val="24"/>
          <w:szCs w:val="24"/>
          <w:u w:val="single"/>
          <w:lang w:bidi="da-DK"/>
        </w:rPr>
        <w:t>Fertilitet</w:t>
      </w:r>
    </w:p>
    <w:p w14:paraId="7243B399" w14:textId="093079EC" w:rsidR="00D27A53" w:rsidRPr="00D27A53" w:rsidRDefault="00D27A53" w:rsidP="00695AC0">
      <w:pPr>
        <w:ind w:left="851"/>
        <w:rPr>
          <w:sz w:val="24"/>
          <w:szCs w:val="24"/>
        </w:rPr>
      </w:pPr>
      <w:r w:rsidRPr="00D27A53">
        <w:rPr>
          <w:sz w:val="24"/>
          <w:szCs w:val="24"/>
          <w:lang w:bidi="da-DK"/>
        </w:rPr>
        <w:t xml:space="preserve">Dyreforsøg med </w:t>
      </w:r>
      <w:proofErr w:type="spellStart"/>
      <w:r w:rsidRPr="00D27A53">
        <w:rPr>
          <w:sz w:val="24"/>
          <w:szCs w:val="24"/>
          <w:lang w:bidi="da-DK"/>
        </w:rPr>
        <w:t>metronidazol</w:t>
      </w:r>
      <w:proofErr w:type="spellEnd"/>
      <w:r w:rsidRPr="00D27A53">
        <w:rPr>
          <w:sz w:val="24"/>
          <w:szCs w:val="24"/>
          <w:lang w:bidi="da-DK"/>
        </w:rPr>
        <w:t xml:space="preserve"> og </w:t>
      </w:r>
      <w:proofErr w:type="spellStart"/>
      <w:r w:rsidRPr="00D27A53">
        <w:rPr>
          <w:sz w:val="24"/>
          <w:szCs w:val="24"/>
          <w:lang w:bidi="da-DK"/>
        </w:rPr>
        <w:t>tetracyklinhydrochlorid</w:t>
      </w:r>
      <w:proofErr w:type="spellEnd"/>
      <w:r w:rsidRPr="00D27A53">
        <w:rPr>
          <w:sz w:val="24"/>
          <w:szCs w:val="24"/>
          <w:lang w:bidi="da-DK"/>
        </w:rPr>
        <w:t xml:space="preserve"> (komponenter i </w:t>
      </w:r>
      <w:proofErr w:type="spellStart"/>
      <w:r w:rsidRPr="00D27A53">
        <w:rPr>
          <w:sz w:val="24"/>
          <w:szCs w:val="24"/>
          <w:lang w:bidi="da-DK"/>
        </w:rPr>
        <w:t>Pylera</w:t>
      </w:r>
      <w:proofErr w:type="spellEnd"/>
      <w:r w:rsidRPr="00D27A53">
        <w:rPr>
          <w:sz w:val="24"/>
          <w:szCs w:val="24"/>
          <w:lang w:bidi="da-DK"/>
        </w:rPr>
        <w:t xml:space="preserve">) har vist tegn på forringelse af mandlig fertilitet. Der er ingen data fra dyr med hensyn til virkningerne af </w:t>
      </w:r>
      <w:proofErr w:type="spellStart"/>
      <w:r w:rsidRPr="00D27A53">
        <w:rPr>
          <w:sz w:val="24"/>
          <w:szCs w:val="24"/>
          <w:lang w:bidi="da-DK"/>
        </w:rPr>
        <w:t>bismuth</w:t>
      </w:r>
      <w:proofErr w:type="spellEnd"/>
      <w:r w:rsidRPr="00D27A53">
        <w:rPr>
          <w:sz w:val="24"/>
          <w:szCs w:val="24"/>
          <w:lang w:bidi="da-DK"/>
        </w:rPr>
        <w:t xml:space="preserve"> kaliumcitrat. Dyreforsøg er utilstrækkelige med hensyn til virkningerne af kolloidalt </w:t>
      </w:r>
      <w:proofErr w:type="spellStart"/>
      <w:r w:rsidRPr="00D27A53">
        <w:rPr>
          <w:sz w:val="24"/>
          <w:szCs w:val="24"/>
          <w:lang w:bidi="da-DK"/>
        </w:rPr>
        <w:t>bismuthsubcitrat</w:t>
      </w:r>
      <w:proofErr w:type="spellEnd"/>
      <w:r w:rsidRPr="00D27A53">
        <w:rPr>
          <w:sz w:val="24"/>
          <w:szCs w:val="24"/>
          <w:lang w:bidi="da-DK"/>
        </w:rPr>
        <w:t xml:space="preserve"> (kolloidalt </w:t>
      </w:r>
      <w:proofErr w:type="spellStart"/>
      <w:r w:rsidRPr="00D27A53">
        <w:rPr>
          <w:sz w:val="24"/>
          <w:szCs w:val="24"/>
          <w:lang w:bidi="da-DK"/>
        </w:rPr>
        <w:t>bismuth</w:t>
      </w:r>
      <w:proofErr w:type="spellEnd"/>
      <w:r w:rsidRPr="00D27A53">
        <w:rPr>
          <w:sz w:val="24"/>
          <w:szCs w:val="24"/>
          <w:lang w:bidi="da-DK"/>
        </w:rPr>
        <w:t xml:space="preserve"> citrat ligner </w:t>
      </w:r>
      <w:proofErr w:type="spellStart"/>
      <w:r w:rsidRPr="00D27A53">
        <w:rPr>
          <w:sz w:val="24"/>
          <w:szCs w:val="24"/>
          <w:lang w:bidi="da-DK"/>
        </w:rPr>
        <w:t>bismuthsubcitratkalium</w:t>
      </w:r>
      <w:proofErr w:type="spellEnd"/>
      <w:r w:rsidRPr="00D27A53">
        <w:rPr>
          <w:sz w:val="24"/>
          <w:szCs w:val="24"/>
          <w:lang w:bidi="da-DK"/>
        </w:rPr>
        <w:t xml:space="preserve"> med hensyn til fysisk-kemiske, strukturelle, biologiske (</w:t>
      </w:r>
      <w:r w:rsidRPr="00D27A53">
        <w:rPr>
          <w:i/>
          <w:sz w:val="24"/>
          <w:szCs w:val="24"/>
          <w:lang w:bidi="da-DK"/>
        </w:rPr>
        <w:t xml:space="preserve">in </w:t>
      </w:r>
      <w:proofErr w:type="spellStart"/>
      <w:r w:rsidRPr="00D27A53">
        <w:rPr>
          <w:i/>
          <w:sz w:val="24"/>
          <w:szCs w:val="24"/>
          <w:lang w:bidi="da-DK"/>
        </w:rPr>
        <w:t>vitro</w:t>
      </w:r>
      <w:proofErr w:type="spellEnd"/>
      <w:r w:rsidRPr="00D27A53">
        <w:rPr>
          <w:i/>
          <w:sz w:val="24"/>
          <w:szCs w:val="24"/>
          <w:lang w:bidi="da-DK"/>
        </w:rPr>
        <w:t>)</w:t>
      </w:r>
      <w:r w:rsidRPr="00D27A53">
        <w:rPr>
          <w:sz w:val="24"/>
          <w:szCs w:val="24"/>
          <w:lang w:bidi="da-DK"/>
        </w:rPr>
        <w:t xml:space="preserve"> og </w:t>
      </w:r>
      <w:proofErr w:type="spellStart"/>
      <w:r w:rsidRPr="00D27A53">
        <w:rPr>
          <w:sz w:val="24"/>
          <w:szCs w:val="24"/>
          <w:lang w:bidi="da-DK"/>
        </w:rPr>
        <w:t>farmakokinetiske</w:t>
      </w:r>
      <w:proofErr w:type="spellEnd"/>
      <w:r w:rsidRPr="00D27A53">
        <w:rPr>
          <w:sz w:val="24"/>
          <w:szCs w:val="24"/>
          <w:lang w:bidi="da-DK"/>
        </w:rPr>
        <w:t xml:space="preserve"> egenskaber) på reproduktionstoksicitet (se </w:t>
      </w:r>
      <w:r w:rsidR="0076324F">
        <w:rPr>
          <w:sz w:val="24"/>
          <w:szCs w:val="24"/>
          <w:lang w:bidi="da-DK"/>
        </w:rPr>
        <w:t>pkt.</w:t>
      </w:r>
      <w:r w:rsidRPr="00D27A53">
        <w:rPr>
          <w:sz w:val="24"/>
          <w:szCs w:val="24"/>
          <w:lang w:bidi="da-DK"/>
        </w:rPr>
        <w:t xml:space="preserve"> 5.3).</w:t>
      </w:r>
    </w:p>
    <w:p w14:paraId="122594E8" w14:textId="77777777" w:rsidR="00A27D30" w:rsidRDefault="00A27D30" w:rsidP="00695AC0">
      <w:pPr>
        <w:ind w:left="851"/>
        <w:rPr>
          <w:sz w:val="24"/>
          <w:szCs w:val="24"/>
          <w:u w:val="single"/>
          <w:lang w:bidi="da-DK"/>
        </w:rPr>
      </w:pPr>
    </w:p>
    <w:p w14:paraId="2A4DDCCF" w14:textId="29B14EB7" w:rsidR="00D27A53" w:rsidRPr="00D27A53" w:rsidRDefault="00D27A53" w:rsidP="00695AC0">
      <w:pPr>
        <w:ind w:left="851"/>
        <w:rPr>
          <w:sz w:val="24"/>
          <w:szCs w:val="24"/>
          <w:u w:val="single"/>
        </w:rPr>
      </w:pPr>
      <w:r w:rsidRPr="00D27A53">
        <w:rPr>
          <w:sz w:val="24"/>
          <w:szCs w:val="24"/>
          <w:u w:val="single"/>
          <w:lang w:bidi="da-DK"/>
        </w:rPr>
        <w:t>Amning</w:t>
      </w:r>
    </w:p>
    <w:p w14:paraId="51B7A68C" w14:textId="77777777" w:rsidR="00D27A53" w:rsidRPr="00D27A53" w:rsidRDefault="00D27A53" w:rsidP="00695AC0">
      <w:pPr>
        <w:ind w:left="851"/>
        <w:rPr>
          <w:sz w:val="24"/>
          <w:szCs w:val="24"/>
        </w:rPr>
      </w:pPr>
      <w:proofErr w:type="spellStart"/>
      <w:r w:rsidRPr="00D27A53">
        <w:rPr>
          <w:sz w:val="24"/>
          <w:szCs w:val="24"/>
          <w:lang w:bidi="da-DK"/>
        </w:rPr>
        <w:t>Metronidazol</w:t>
      </w:r>
      <w:proofErr w:type="spellEnd"/>
      <w:r w:rsidRPr="00D27A53">
        <w:rPr>
          <w:sz w:val="24"/>
          <w:szCs w:val="24"/>
          <w:lang w:bidi="da-DK"/>
        </w:rPr>
        <w:t xml:space="preserve"> udskilles i modermælk i koncentrationer, der svarer til dem, man finder i plasma.</w:t>
      </w:r>
    </w:p>
    <w:p w14:paraId="0D7D3489" w14:textId="64F69CFA" w:rsidR="00D27A53" w:rsidRPr="00D27A53" w:rsidRDefault="00D27A53" w:rsidP="00695AC0">
      <w:pPr>
        <w:ind w:left="851"/>
        <w:rPr>
          <w:sz w:val="24"/>
          <w:szCs w:val="24"/>
          <w:lang w:bidi="da-DK"/>
        </w:rPr>
      </w:pPr>
      <w:r w:rsidRPr="00D27A53">
        <w:rPr>
          <w:sz w:val="24"/>
          <w:szCs w:val="24"/>
          <w:lang w:bidi="da-DK"/>
        </w:rPr>
        <w:t xml:space="preserve">Det vides ikke, om </w:t>
      </w:r>
      <w:proofErr w:type="spellStart"/>
      <w:r w:rsidRPr="00D27A53">
        <w:rPr>
          <w:sz w:val="24"/>
          <w:szCs w:val="24"/>
          <w:lang w:bidi="da-DK"/>
        </w:rPr>
        <w:t>bismuthsubcitratkalium</w:t>
      </w:r>
      <w:proofErr w:type="spellEnd"/>
      <w:r w:rsidRPr="00D27A53">
        <w:rPr>
          <w:sz w:val="24"/>
          <w:szCs w:val="24"/>
          <w:lang w:bidi="da-DK"/>
        </w:rPr>
        <w:t xml:space="preserve"> eller dets metabolitter udskilles i modermælk. </w:t>
      </w:r>
      <w:proofErr w:type="spellStart"/>
      <w:r w:rsidRPr="00D27A53">
        <w:rPr>
          <w:sz w:val="24"/>
          <w:szCs w:val="24"/>
          <w:lang w:bidi="da-DK"/>
        </w:rPr>
        <w:t>Tetracyclinhydrochlorid</w:t>
      </w:r>
      <w:proofErr w:type="spellEnd"/>
      <w:r w:rsidRPr="00D27A53">
        <w:rPr>
          <w:sz w:val="24"/>
          <w:szCs w:val="24"/>
          <w:lang w:bidi="da-DK"/>
        </w:rPr>
        <w:t xml:space="preserve"> udskilles i modermælken, og der er påvist effekter på tænderne i</w:t>
      </w:r>
      <w:r w:rsidRPr="00D27A53">
        <w:rPr>
          <w:sz w:val="24"/>
          <w:szCs w:val="24"/>
        </w:rPr>
        <w:t xml:space="preserve"> </w:t>
      </w:r>
      <w:r w:rsidRPr="00D27A53">
        <w:rPr>
          <w:sz w:val="24"/>
          <w:szCs w:val="24"/>
          <w:lang w:bidi="da-DK"/>
        </w:rPr>
        <w:t xml:space="preserve">ammede nyfødte/spædbørn af kvinder behandlet med </w:t>
      </w:r>
      <w:proofErr w:type="spellStart"/>
      <w:r w:rsidRPr="00D27A53">
        <w:rPr>
          <w:sz w:val="24"/>
          <w:szCs w:val="24"/>
          <w:lang w:bidi="da-DK"/>
        </w:rPr>
        <w:t>tetracyclinhydrochlorid</w:t>
      </w:r>
      <w:proofErr w:type="spellEnd"/>
      <w:r w:rsidRPr="00D27A53">
        <w:rPr>
          <w:sz w:val="24"/>
          <w:szCs w:val="24"/>
          <w:lang w:bidi="da-DK"/>
        </w:rPr>
        <w:t xml:space="preserve">. </w:t>
      </w:r>
      <w:proofErr w:type="spellStart"/>
      <w:r w:rsidRPr="00D27A53">
        <w:rPr>
          <w:sz w:val="24"/>
          <w:szCs w:val="24"/>
          <w:lang w:bidi="da-DK"/>
        </w:rPr>
        <w:t>Pylera</w:t>
      </w:r>
      <w:proofErr w:type="spellEnd"/>
      <w:r w:rsidRPr="00D27A53">
        <w:rPr>
          <w:sz w:val="24"/>
          <w:szCs w:val="24"/>
          <w:lang w:bidi="da-DK"/>
        </w:rPr>
        <w:t xml:space="preserve"> er kontraindiceret under amning (se </w:t>
      </w:r>
      <w:r w:rsidR="0076324F">
        <w:rPr>
          <w:sz w:val="24"/>
          <w:szCs w:val="24"/>
          <w:lang w:bidi="da-DK"/>
        </w:rPr>
        <w:t>pkt.</w:t>
      </w:r>
      <w:r w:rsidRPr="00D27A53">
        <w:rPr>
          <w:sz w:val="24"/>
          <w:szCs w:val="24"/>
          <w:lang w:bidi="da-DK"/>
        </w:rPr>
        <w:t xml:space="preserve"> 4.3).</w:t>
      </w:r>
    </w:p>
    <w:p w14:paraId="1E7A4921" w14:textId="77777777" w:rsidR="009260DE" w:rsidRPr="00A27D30" w:rsidRDefault="009260DE" w:rsidP="00695AC0">
      <w:pPr>
        <w:ind w:left="851"/>
        <w:rPr>
          <w:sz w:val="24"/>
          <w:szCs w:val="24"/>
        </w:rPr>
      </w:pPr>
    </w:p>
    <w:p w14:paraId="54543015" w14:textId="77777777" w:rsidR="009260DE" w:rsidRPr="00A27D30" w:rsidRDefault="009260DE" w:rsidP="009260DE">
      <w:pPr>
        <w:tabs>
          <w:tab w:val="left" w:pos="851"/>
        </w:tabs>
        <w:ind w:left="851" w:hanging="851"/>
        <w:rPr>
          <w:b/>
          <w:sz w:val="24"/>
          <w:szCs w:val="24"/>
        </w:rPr>
      </w:pPr>
      <w:r w:rsidRPr="00A27D30">
        <w:rPr>
          <w:b/>
          <w:sz w:val="24"/>
          <w:szCs w:val="24"/>
        </w:rPr>
        <w:t>4.7</w:t>
      </w:r>
      <w:r w:rsidRPr="00A27D30">
        <w:rPr>
          <w:b/>
          <w:sz w:val="24"/>
          <w:szCs w:val="24"/>
        </w:rPr>
        <w:tab/>
        <w:t xml:space="preserve">Virkning på evnen til at føre motorkøretøj </w:t>
      </w:r>
      <w:r w:rsidR="0071241E" w:rsidRPr="00A27D30">
        <w:rPr>
          <w:b/>
          <w:sz w:val="24"/>
          <w:szCs w:val="24"/>
        </w:rPr>
        <w:t>og</w:t>
      </w:r>
      <w:r w:rsidRPr="00A27D30">
        <w:rPr>
          <w:b/>
          <w:sz w:val="24"/>
          <w:szCs w:val="24"/>
        </w:rPr>
        <w:t xml:space="preserve"> betjene maskiner</w:t>
      </w:r>
    </w:p>
    <w:p w14:paraId="3A4D1404" w14:textId="77777777" w:rsidR="00D27A53" w:rsidRPr="00D27A53" w:rsidRDefault="00D27A53" w:rsidP="00695AC0">
      <w:pPr>
        <w:ind w:left="851"/>
        <w:rPr>
          <w:sz w:val="24"/>
          <w:szCs w:val="24"/>
          <w:lang w:bidi="da-DK"/>
        </w:rPr>
      </w:pPr>
      <w:r w:rsidRPr="00D27A53">
        <w:rPr>
          <w:sz w:val="24"/>
          <w:szCs w:val="24"/>
          <w:lang w:bidi="da-DK"/>
        </w:rPr>
        <w:t>Ikke mærkning.</w:t>
      </w:r>
    </w:p>
    <w:p w14:paraId="3A05AC6E" w14:textId="77777777" w:rsidR="00D27A53" w:rsidRPr="00D27A53" w:rsidRDefault="00D27A53" w:rsidP="00695AC0">
      <w:pPr>
        <w:ind w:left="851"/>
        <w:rPr>
          <w:sz w:val="24"/>
          <w:szCs w:val="24"/>
        </w:rPr>
      </w:pPr>
      <w:r w:rsidRPr="00D27A53">
        <w:rPr>
          <w:sz w:val="24"/>
          <w:szCs w:val="24"/>
          <w:lang w:bidi="da-DK"/>
        </w:rPr>
        <w:t xml:space="preserve">Virkning på evnen til at føre motorkøretøjer og betjene maskiner forventes ikke ud fra de kendte </w:t>
      </w:r>
      <w:proofErr w:type="spellStart"/>
      <w:r w:rsidRPr="00D27A53">
        <w:rPr>
          <w:sz w:val="24"/>
          <w:szCs w:val="24"/>
          <w:lang w:bidi="da-DK"/>
        </w:rPr>
        <w:t>farmakodynamiske</w:t>
      </w:r>
      <w:proofErr w:type="spellEnd"/>
      <w:r w:rsidRPr="00D27A53">
        <w:rPr>
          <w:sz w:val="24"/>
          <w:szCs w:val="24"/>
          <w:lang w:bidi="da-DK"/>
        </w:rPr>
        <w:t xml:space="preserve"> egenskaber af </w:t>
      </w:r>
      <w:proofErr w:type="spellStart"/>
      <w:r w:rsidRPr="00D27A53">
        <w:rPr>
          <w:sz w:val="24"/>
          <w:szCs w:val="24"/>
          <w:lang w:bidi="da-DK"/>
        </w:rPr>
        <w:t>deindholdsstoffer</w:t>
      </w:r>
      <w:proofErr w:type="spellEnd"/>
      <w:r w:rsidRPr="00D27A53">
        <w:rPr>
          <w:sz w:val="24"/>
          <w:szCs w:val="24"/>
          <w:lang w:bidi="da-DK"/>
        </w:rPr>
        <w:t xml:space="preserve">, som </w:t>
      </w:r>
      <w:proofErr w:type="spellStart"/>
      <w:r w:rsidRPr="00D27A53">
        <w:rPr>
          <w:sz w:val="24"/>
          <w:szCs w:val="24"/>
          <w:lang w:bidi="da-DK"/>
        </w:rPr>
        <w:t>Pylera</w:t>
      </w:r>
      <w:proofErr w:type="spellEnd"/>
      <w:r w:rsidRPr="00D27A53">
        <w:rPr>
          <w:sz w:val="24"/>
          <w:szCs w:val="24"/>
          <w:lang w:bidi="da-DK"/>
        </w:rPr>
        <w:t xml:space="preserve"> består af. Der er dog ikke gennemført kliniske studier, der dokumenterer fraværet af sådanne effekter.</w:t>
      </w:r>
    </w:p>
    <w:p w14:paraId="06B4BCAD" w14:textId="77777777" w:rsidR="00D27A53" w:rsidRPr="00D27A53" w:rsidRDefault="00D27A53" w:rsidP="00695AC0">
      <w:pPr>
        <w:ind w:left="851"/>
        <w:rPr>
          <w:sz w:val="24"/>
          <w:szCs w:val="24"/>
        </w:rPr>
      </w:pPr>
    </w:p>
    <w:p w14:paraId="5EB6DB9D" w14:textId="3335C1BC" w:rsidR="00D27A53" w:rsidRPr="00D27A53" w:rsidRDefault="00D27A53" w:rsidP="00695AC0">
      <w:pPr>
        <w:ind w:left="851"/>
        <w:rPr>
          <w:sz w:val="24"/>
          <w:szCs w:val="24"/>
        </w:rPr>
      </w:pPr>
      <w:r w:rsidRPr="00D27A53">
        <w:rPr>
          <w:sz w:val="24"/>
          <w:szCs w:val="24"/>
          <w:lang w:bidi="da-DK"/>
        </w:rPr>
        <w:t xml:space="preserve">Krampeanfald og svimmelhed er blevet rapporteret hos patienter, der er blevet behandlet med </w:t>
      </w:r>
      <w:proofErr w:type="spellStart"/>
      <w:r w:rsidRPr="00D27A53">
        <w:rPr>
          <w:sz w:val="24"/>
          <w:szCs w:val="24"/>
          <w:lang w:bidi="da-DK"/>
        </w:rPr>
        <w:t>metronidazol</w:t>
      </w:r>
      <w:proofErr w:type="spellEnd"/>
      <w:r w:rsidRPr="00D27A53">
        <w:rPr>
          <w:sz w:val="24"/>
          <w:szCs w:val="24"/>
          <w:lang w:bidi="da-DK"/>
        </w:rPr>
        <w:t xml:space="preserve">. Pseudotumor </w:t>
      </w:r>
      <w:proofErr w:type="spellStart"/>
      <w:r w:rsidRPr="00D27A53">
        <w:rPr>
          <w:sz w:val="24"/>
          <w:szCs w:val="24"/>
          <w:lang w:bidi="da-DK"/>
        </w:rPr>
        <w:t>cerebri</w:t>
      </w:r>
      <w:proofErr w:type="spellEnd"/>
      <w:r w:rsidRPr="00D27A53">
        <w:rPr>
          <w:sz w:val="24"/>
          <w:szCs w:val="24"/>
          <w:lang w:bidi="da-DK"/>
        </w:rPr>
        <w:t xml:space="preserve"> (godartet </w:t>
      </w:r>
      <w:proofErr w:type="spellStart"/>
      <w:r w:rsidRPr="00D27A53">
        <w:rPr>
          <w:sz w:val="24"/>
          <w:szCs w:val="24"/>
          <w:lang w:bidi="da-DK"/>
        </w:rPr>
        <w:t>intrakraniel</w:t>
      </w:r>
      <w:proofErr w:type="spellEnd"/>
      <w:r w:rsidRPr="00D27A53">
        <w:rPr>
          <w:sz w:val="24"/>
          <w:szCs w:val="24"/>
          <w:lang w:bidi="da-DK"/>
        </w:rPr>
        <w:t xml:space="preserve"> hypertension) hos voksne er blevet sat i forbindelse med brug af tetracyklin, hvis kliniske manifestationer omfatter forbigående sløret syn (se </w:t>
      </w:r>
      <w:r w:rsidR="0076324F">
        <w:rPr>
          <w:sz w:val="24"/>
          <w:szCs w:val="24"/>
          <w:lang w:bidi="da-DK"/>
        </w:rPr>
        <w:t>pkt.</w:t>
      </w:r>
      <w:r w:rsidRPr="00D27A53">
        <w:rPr>
          <w:sz w:val="24"/>
          <w:szCs w:val="24"/>
          <w:lang w:bidi="da-DK"/>
        </w:rPr>
        <w:t xml:space="preserve"> 4.8). Patienterne skal advares om risikoen for disse bivirkninger og rådes til ikke at køre bil eller betjene maskiner, hvis disse symptomer opstår.</w:t>
      </w:r>
    </w:p>
    <w:p w14:paraId="0167014C" w14:textId="77777777" w:rsidR="009260DE" w:rsidRPr="00A27D30" w:rsidRDefault="009260DE" w:rsidP="009260DE">
      <w:pPr>
        <w:tabs>
          <w:tab w:val="left" w:pos="851"/>
        </w:tabs>
        <w:ind w:left="851"/>
        <w:rPr>
          <w:sz w:val="24"/>
          <w:szCs w:val="24"/>
        </w:rPr>
      </w:pPr>
    </w:p>
    <w:p w14:paraId="67A97548" w14:textId="77777777" w:rsidR="009260DE" w:rsidRPr="00A27D30" w:rsidRDefault="009260DE" w:rsidP="009260DE">
      <w:pPr>
        <w:tabs>
          <w:tab w:val="left" w:pos="851"/>
        </w:tabs>
        <w:ind w:left="851" w:hanging="851"/>
        <w:rPr>
          <w:b/>
          <w:sz w:val="24"/>
          <w:szCs w:val="24"/>
        </w:rPr>
      </w:pPr>
      <w:r w:rsidRPr="00A27D30">
        <w:rPr>
          <w:b/>
          <w:sz w:val="24"/>
          <w:szCs w:val="24"/>
        </w:rPr>
        <w:t>4.8</w:t>
      </w:r>
      <w:r w:rsidRPr="00A27D30">
        <w:rPr>
          <w:b/>
          <w:sz w:val="24"/>
          <w:szCs w:val="24"/>
        </w:rPr>
        <w:tab/>
        <w:t>Bivirkninger</w:t>
      </w:r>
    </w:p>
    <w:p w14:paraId="7B4BD5AD" w14:textId="77777777" w:rsidR="0076324F" w:rsidRDefault="0076324F" w:rsidP="0076324F">
      <w:pPr>
        <w:pStyle w:val="Listeafsnit"/>
        <w:ind w:left="1276"/>
        <w:rPr>
          <w:sz w:val="24"/>
          <w:szCs w:val="24"/>
          <w:u w:val="single"/>
        </w:rPr>
      </w:pPr>
    </w:p>
    <w:p w14:paraId="57A2E269" w14:textId="006D4710" w:rsidR="00D27A53" w:rsidRPr="00A27D30" w:rsidRDefault="00D27A53" w:rsidP="00A27D30">
      <w:pPr>
        <w:pStyle w:val="Listeafsnit"/>
        <w:numPr>
          <w:ilvl w:val="0"/>
          <w:numId w:val="11"/>
        </w:numPr>
        <w:ind w:left="1276" w:hanging="425"/>
        <w:rPr>
          <w:sz w:val="24"/>
          <w:szCs w:val="24"/>
          <w:u w:val="single"/>
        </w:rPr>
      </w:pPr>
      <w:r w:rsidRPr="00A27D30">
        <w:rPr>
          <w:sz w:val="24"/>
          <w:szCs w:val="24"/>
          <w:u w:val="single"/>
          <w:lang w:bidi="da-DK"/>
        </w:rPr>
        <w:t>Non-kliniske sikkerhedsdata</w:t>
      </w:r>
    </w:p>
    <w:p w14:paraId="1ED4B36F" w14:textId="77777777" w:rsidR="00D27A53" w:rsidRPr="00D27A53" w:rsidRDefault="00D27A53" w:rsidP="00695AC0">
      <w:pPr>
        <w:ind w:left="851"/>
        <w:rPr>
          <w:sz w:val="24"/>
          <w:szCs w:val="24"/>
        </w:rPr>
      </w:pPr>
    </w:p>
    <w:p w14:paraId="60F46245" w14:textId="77777777" w:rsidR="00D27A53" w:rsidRPr="00D27A53" w:rsidRDefault="00D27A53" w:rsidP="00695AC0">
      <w:pPr>
        <w:ind w:left="851"/>
        <w:rPr>
          <w:sz w:val="24"/>
          <w:szCs w:val="24"/>
        </w:rPr>
      </w:pPr>
      <w:r w:rsidRPr="00D27A53">
        <w:rPr>
          <w:sz w:val="24"/>
          <w:szCs w:val="24"/>
          <w:lang w:bidi="da-DK"/>
        </w:rPr>
        <w:t xml:space="preserve">De bivirkninger, der blev rapporteret med </w:t>
      </w:r>
      <w:proofErr w:type="spellStart"/>
      <w:r w:rsidRPr="00D27A53">
        <w:rPr>
          <w:sz w:val="24"/>
          <w:szCs w:val="24"/>
          <w:lang w:bidi="da-DK"/>
        </w:rPr>
        <w:t>Pylera</w:t>
      </w:r>
      <w:proofErr w:type="spellEnd"/>
      <w:r w:rsidRPr="00D27A53">
        <w:rPr>
          <w:sz w:val="24"/>
          <w:szCs w:val="24"/>
          <w:lang w:bidi="da-DK"/>
        </w:rPr>
        <w:t xml:space="preserve"> i kombination med </w:t>
      </w:r>
      <w:proofErr w:type="spellStart"/>
      <w:r w:rsidRPr="00D27A53">
        <w:rPr>
          <w:sz w:val="24"/>
          <w:szCs w:val="24"/>
          <w:lang w:bidi="da-DK"/>
        </w:rPr>
        <w:t>omeprazol</w:t>
      </w:r>
      <w:proofErr w:type="spellEnd"/>
      <w:r w:rsidRPr="00D27A53">
        <w:rPr>
          <w:sz w:val="24"/>
          <w:szCs w:val="24"/>
          <w:lang w:bidi="da-DK"/>
        </w:rPr>
        <w:t xml:space="preserve"> under kontrollerede kliniske forsøg, var i overensstemmelse med den kendte sikkerhedsprofil for </w:t>
      </w:r>
      <w:proofErr w:type="spellStart"/>
      <w:r w:rsidRPr="00D27A53">
        <w:rPr>
          <w:sz w:val="24"/>
          <w:szCs w:val="24"/>
          <w:lang w:bidi="da-DK"/>
        </w:rPr>
        <w:t>bismuthsubcitratkalium</w:t>
      </w:r>
      <w:proofErr w:type="spellEnd"/>
      <w:r w:rsidRPr="00D27A53">
        <w:rPr>
          <w:sz w:val="24"/>
          <w:szCs w:val="24"/>
          <w:lang w:bidi="da-DK"/>
        </w:rPr>
        <w:t xml:space="preserve">, </w:t>
      </w:r>
      <w:proofErr w:type="spellStart"/>
      <w:r w:rsidRPr="00D27A53">
        <w:rPr>
          <w:sz w:val="24"/>
          <w:szCs w:val="24"/>
          <w:lang w:bidi="da-DK"/>
        </w:rPr>
        <w:t>metronidazol</w:t>
      </w:r>
      <w:proofErr w:type="spellEnd"/>
      <w:r w:rsidRPr="00D27A53">
        <w:rPr>
          <w:sz w:val="24"/>
          <w:szCs w:val="24"/>
          <w:lang w:bidi="da-DK"/>
        </w:rPr>
        <w:t xml:space="preserve"> og </w:t>
      </w:r>
      <w:proofErr w:type="spellStart"/>
      <w:r w:rsidRPr="00D27A53">
        <w:rPr>
          <w:sz w:val="24"/>
          <w:szCs w:val="24"/>
          <w:lang w:bidi="da-DK"/>
        </w:rPr>
        <w:t>tetracyclinhydrochlorid</w:t>
      </w:r>
      <w:proofErr w:type="spellEnd"/>
      <w:r w:rsidRPr="00D27A53">
        <w:rPr>
          <w:sz w:val="24"/>
          <w:szCs w:val="24"/>
          <w:lang w:bidi="da-DK"/>
        </w:rPr>
        <w:t>, når de blev givet som separate produkter.</w:t>
      </w:r>
    </w:p>
    <w:p w14:paraId="1A6ACCB5" w14:textId="77777777" w:rsidR="00D27A53" w:rsidRPr="00D27A53" w:rsidRDefault="00D27A53" w:rsidP="00695AC0">
      <w:pPr>
        <w:ind w:left="851"/>
        <w:rPr>
          <w:sz w:val="24"/>
          <w:szCs w:val="24"/>
        </w:rPr>
      </w:pPr>
    </w:p>
    <w:p w14:paraId="0E3BF4DA" w14:textId="77777777" w:rsidR="00D27A53" w:rsidRPr="00D27A53" w:rsidRDefault="00D27A53" w:rsidP="00695AC0">
      <w:pPr>
        <w:ind w:left="851"/>
        <w:rPr>
          <w:sz w:val="24"/>
          <w:szCs w:val="24"/>
        </w:rPr>
      </w:pPr>
      <w:r w:rsidRPr="00D27A53">
        <w:rPr>
          <w:sz w:val="24"/>
          <w:szCs w:val="24"/>
          <w:lang w:bidi="da-DK"/>
        </w:rPr>
        <w:t xml:space="preserve">De hyppigst rapporterede bivirkninger (meget almindelige) under behandling med </w:t>
      </w:r>
      <w:proofErr w:type="spellStart"/>
      <w:r w:rsidRPr="00D27A53">
        <w:rPr>
          <w:sz w:val="24"/>
          <w:szCs w:val="24"/>
          <w:lang w:bidi="da-DK"/>
        </w:rPr>
        <w:t>Pylera</w:t>
      </w:r>
      <w:proofErr w:type="spellEnd"/>
      <w:r w:rsidRPr="00D27A53">
        <w:rPr>
          <w:sz w:val="24"/>
          <w:szCs w:val="24"/>
          <w:lang w:bidi="da-DK"/>
        </w:rPr>
        <w:t xml:space="preserve"> er i aftagende rækkefølge: unormal afføring, diarré, kvalme og </w:t>
      </w:r>
      <w:proofErr w:type="spellStart"/>
      <w:r w:rsidRPr="00D27A53">
        <w:rPr>
          <w:sz w:val="24"/>
          <w:szCs w:val="24"/>
          <w:lang w:bidi="da-DK"/>
        </w:rPr>
        <w:t>dysgeusi</w:t>
      </w:r>
      <w:proofErr w:type="spellEnd"/>
      <w:r w:rsidRPr="00D27A53">
        <w:rPr>
          <w:sz w:val="24"/>
          <w:szCs w:val="24"/>
          <w:lang w:bidi="da-DK"/>
        </w:rPr>
        <w:t xml:space="preserve"> (herunder metalsmag).</w:t>
      </w:r>
    </w:p>
    <w:p w14:paraId="013EF337" w14:textId="77777777" w:rsidR="00A27D30" w:rsidRDefault="00A27D30" w:rsidP="00695AC0">
      <w:pPr>
        <w:ind w:left="851"/>
        <w:rPr>
          <w:sz w:val="24"/>
          <w:szCs w:val="24"/>
          <w:lang w:bidi="da-DK"/>
        </w:rPr>
      </w:pPr>
    </w:p>
    <w:p w14:paraId="2D2D1268" w14:textId="232FF10B" w:rsidR="00D27A53" w:rsidRPr="00D27A53" w:rsidRDefault="00D27A53" w:rsidP="00695AC0">
      <w:pPr>
        <w:ind w:left="851"/>
        <w:rPr>
          <w:sz w:val="24"/>
          <w:szCs w:val="24"/>
        </w:rPr>
      </w:pPr>
      <w:r w:rsidRPr="00D27A53">
        <w:rPr>
          <w:sz w:val="24"/>
          <w:szCs w:val="24"/>
          <w:lang w:bidi="da-DK"/>
        </w:rPr>
        <w:t xml:space="preserve">Alvorlige hudbivirkninger som Stevens-Johnsons syndrom og toksisk </w:t>
      </w:r>
      <w:proofErr w:type="spellStart"/>
      <w:r w:rsidRPr="00D27A53">
        <w:rPr>
          <w:sz w:val="24"/>
          <w:szCs w:val="24"/>
          <w:lang w:bidi="da-DK"/>
        </w:rPr>
        <w:t>epidermal</w:t>
      </w:r>
      <w:proofErr w:type="spellEnd"/>
      <w:r w:rsidRPr="00D27A53">
        <w:rPr>
          <w:sz w:val="24"/>
          <w:szCs w:val="24"/>
          <w:lang w:bidi="da-DK"/>
        </w:rPr>
        <w:t xml:space="preserve"> </w:t>
      </w:r>
      <w:proofErr w:type="spellStart"/>
      <w:r w:rsidRPr="00D27A53">
        <w:rPr>
          <w:sz w:val="24"/>
          <w:szCs w:val="24"/>
          <w:lang w:bidi="da-DK"/>
        </w:rPr>
        <w:t>nekrolyse</w:t>
      </w:r>
      <w:proofErr w:type="spellEnd"/>
      <w:r w:rsidRPr="00D27A53">
        <w:rPr>
          <w:sz w:val="24"/>
          <w:szCs w:val="24"/>
          <w:lang w:bidi="da-DK"/>
        </w:rPr>
        <w:t xml:space="preserve"> (</w:t>
      </w:r>
      <w:proofErr w:type="spellStart"/>
      <w:r w:rsidRPr="00D27A53">
        <w:rPr>
          <w:sz w:val="24"/>
          <w:szCs w:val="24"/>
          <w:lang w:bidi="da-DK"/>
        </w:rPr>
        <w:t>Lyells</w:t>
      </w:r>
      <w:proofErr w:type="spellEnd"/>
      <w:r w:rsidRPr="00D27A53">
        <w:rPr>
          <w:sz w:val="24"/>
          <w:szCs w:val="24"/>
          <w:lang w:bidi="da-DK"/>
        </w:rPr>
        <w:t xml:space="preserve"> syndrom; potentielt dødelig) er blevet rapporteret ved brug af </w:t>
      </w:r>
      <w:proofErr w:type="spellStart"/>
      <w:r w:rsidRPr="00D27A53">
        <w:rPr>
          <w:sz w:val="24"/>
          <w:szCs w:val="24"/>
          <w:lang w:bidi="da-DK"/>
        </w:rPr>
        <w:t>Pylera</w:t>
      </w:r>
      <w:proofErr w:type="spellEnd"/>
      <w:r w:rsidRPr="00D27A53">
        <w:rPr>
          <w:sz w:val="24"/>
          <w:szCs w:val="24"/>
          <w:lang w:bidi="da-DK"/>
        </w:rPr>
        <w:t xml:space="preserve"> og de enkelte komponenter, </w:t>
      </w:r>
      <w:proofErr w:type="spellStart"/>
      <w:r w:rsidRPr="00D27A53">
        <w:rPr>
          <w:sz w:val="24"/>
          <w:szCs w:val="24"/>
          <w:lang w:bidi="da-DK"/>
        </w:rPr>
        <w:t>metronidazol</w:t>
      </w:r>
      <w:proofErr w:type="spellEnd"/>
      <w:r w:rsidRPr="00D27A53">
        <w:rPr>
          <w:sz w:val="24"/>
          <w:szCs w:val="24"/>
          <w:lang w:bidi="da-DK"/>
        </w:rPr>
        <w:t xml:space="preserve"> og tetracyklin. Forekomsten af alvorlige </w:t>
      </w:r>
      <w:proofErr w:type="spellStart"/>
      <w:r w:rsidRPr="00D27A53">
        <w:rPr>
          <w:sz w:val="24"/>
          <w:szCs w:val="24"/>
          <w:lang w:bidi="da-DK"/>
        </w:rPr>
        <w:t>kutane</w:t>
      </w:r>
      <w:proofErr w:type="spellEnd"/>
      <w:r w:rsidRPr="00D27A53">
        <w:rPr>
          <w:sz w:val="24"/>
          <w:szCs w:val="24"/>
          <w:lang w:bidi="da-DK"/>
        </w:rPr>
        <w:t xml:space="preserve"> bivirkninger kræver øjeblikkelig </w:t>
      </w:r>
      <w:proofErr w:type="spellStart"/>
      <w:r w:rsidRPr="00D27A53">
        <w:rPr>
          <w:sz w:val="24"/>
          <w:szCs w:val="24"/>
          <w:lang w:bidi="da-DK"/>
        </w:rPr>
        <w:t>seponering</w:t>
      </w:r>
      <w:proofErr w:type="spellEnd"/>
      <w:r w:rsidRPr="00D27A53">
        <w:rPr>
          <w:sz w:val="24"/>
          <w:szCs w:val="24"/>
          <w:lang w:bidi="da-DK"/>
        </w:rPr>
        <w:t xml:space="preserve"> af </w:t>
      </w:r>
      <w:proofErr w:type="spellStart"/>
      <w:r w:rsidRPr="00D27A53">
        <w:rPr>
          <w:sz w:val="24"/>
          <w:szCs w:val="24"/>
          <w:lang w:bidi="da-DK"/>
        </w:rPr>
        <w:t>Pylera</w:t>
      </w:r>
      <w:proofErr w:type="spellEnd"/>
      <w:r w:rsidRPr="00D27A53">
        <w:rPr>
          <w:sz w:val="24"/>
          <w:szCs w:val="24"/>
          <w:lang w:bidi="da-DK"/>
        </w:rPr>
        <w:t>.</w:t>
      </w:r>
    </w:p>
    <w:p w14:paraId="3527F700" w14:textId="77777777" w:rsidR="00D27A53" w:rsidRPr="00D27A53" w:rsidRDefault="00D27A53" w:rsidP="00695AC0">
      <w:pPr>
        <w:ind w:left="851"/>
        <w:rPr>
          <w:sz w:val="24"/>
          <w:szCs w:val="24"/>
        </w:rPr>
      </w:pPr>
    </w:p>
    <w:p w14:paraId="593B7EF5" w14:textId="71ABDD1C" w:rsidR="00D27A53" w:rsidRPr="00D27A53" w:rsidRDefault="00D27A53" w:rsidP="00695AC0">
      <w:pPr>
        <w:ind w:left="851"/>
        <w:rPr>
          <w:sz w:val="24"/>
          <w:szCs w:val="24"/>
        </w:rPr>
      </w:pPr>
      <w:proofErr w:type="spellStart"/>
      <w:r w:rsidRPr="00D27A53">
        <w:rPr>
          <w:sz w:val="24"/>
          <w:szCs w:val="24"/>
          <w:lang w:bidi="da-DK"/>
        </w:rPr>
        <w:t>Pseudomembranøs</w:t>
      </w:r>
      <w:proofErr w:type="spellEnd"/>
      <w:r w:rsidRPr="00D27A53">
        <w:rPr>
          <w:sz w:val="24"/>
          <w:szCs w:val="24"/>
          <w:lang w:bidi="da-DK"/>
        </w:rPr>
        <w:t xml:space="preserve"> colitis </w:t>
      </w:r>
      <w:r w:rsidRPr="00D27A53">
        <w:rPr>
          <w:i/>
          <w:sz w:val="24"/>
          <w:szCs w:val="24"/>
          <w:lang w:bidi="da-DK"/>
        </w:rPr>
        <w:t>(</w:t>
      </w:r>
      <w:proofErr w:type="spellStart"/>
      <w:r w:rsidRPr="00D27A53">
        <w:rPr>
          <w:i/>
          <w:sz w:val="24"/>
          <w:szCs w:val="24"/>
          <w:lang w:bidi="da-DK"/>
        </w:rPr>
        <w:t>Clostridium</w:t>
      </w:r>
      <w:proofErr w:type="spellEnd"/>
      <w:r w:rsidRPr="00D27A53">
        <w:rPr>
          <w:i/>
          <w:sz w:val="24"/>
          <w:szCs w:val="24"/>
          <w:lang w:bidi="da-DK"/>
        </w:rPr>
        <w:t xml:space="preserve"> difficile </w:t>
      </w:r>
      <w:r w:rsidRPr="00D27A53">
        <w:rPr>
          <w:sz w:val="24"/>
          <w:szCs w:val="24"/>
          <w:lang w:bidi="da-DK"/>
        </w:rPr>
        <w:t>colitis</w:t>
      </w:r>
      <w:r w:rsidRPr="00D27A53">
        <w:rPr>
          <w:i/>
          <w:sz w:val="24"/>
          <w:szCs w:val="24"/>
          <w:lang w:bidi="da-DK"/>
        </w:rPr>
        <w:t xml:space="preserve">) </w:t>
      </w:r>
      <w:r w:rsidRPr="00D27A53">
        <w:rPr>
          <w:sz w:val="24"/>
          <w:szCs w:val="24"/>
          <w:lang w:bidi="da-DK"/>
        </w:rPr>
        <w:t xml:space="preserve">og perifer </w:t>
      </w:r>
      <w:proofErr w:type="spellStart"/>
      <w:r w:rsidRPr="00D27A53">
        <w:rPr>
          <w:sz w:val="24"/>
          <w:szCs w:val="24"/>
          <w:lang w:bidi="da-DK"/>
        </w:rPr>
        <w:t>neuropati</w:t>
      </w:r>
      <w:proofErr w:type="spellEnd"/>
      <w:r w:rsidRPr="00D27A53">
        <w:rPr>
          <w:sz w:val="24"/>
          <w:szCs w:val="24"/>
          <w:lang w:bidi="da-DK"/>
        </w:rPr>
        <w:t xml:space="preserve"> er blevet rapporteret ved brug af </w:t>
      </w:r>
      <w:proofErr w:type="spellStart"/>
      <w:r w:rsidRPr="00D27A53">
        <w:rPr>
          <w:sz w:val="24"/>
          <w:szCs w:val="24"/>
          <w:lang w:bidi="da-DK"/>
        </w:rPr>
        <w:t>Pylera</w:t>
      </w:r>
      <w:proofErr w:type="spellEnd"/>
      <w:r w:rsidRPr="00D27A53">
        <w:rPr>
          <w:sz w:val="24"/>
          <w:szCs w:val="24"/>
          <w:lang w:bidi="da-DK"/>
        </w:rPr>
        <w:t xml:space="preserve"> (se </w:t>
      </w:r>
      <w:r w:rsidR="0076324F">
        <w:rPr>
          <w:sz w:val="24"/>
          <w:szCs w:val="24"/>
          <w:lang w:bidi="da-DK"/>
        </w:rPr>
        <w:t>pkt.</w:t>
      </w:r>
      <w:r w:rsidRPr="00D27A53">
        <w:rPr>
          <w:sz w:val="24"/>
          <w:szCs w:val="24"/>
          <w:lang w:bidi="da-DK"/>
        </w:rPr>
        <w:t xml:space="preserve"> 4.4).</w:t>
      </w:r>
    </w:p>
    <w:p w14:paraId="5A82738A" w14:textId="77777777" w:rsidR="00D27A53" w:rsidRPr="00D27A53" w:rsidRDefault="00D27A53" w:rsidP="00695AC0">
      <w:pPr>
        <w:ind w:left="851"/>
        <w:rPr>
          <w:sz w:val="24"/>
          <w:szCs w:val="24"/>
        </w:rPr>
      </w:pPr>
    </w:p>
    <w:p w14:paraId="59975C9C" w14:textId="3F806DE8" w:rsidR="00D27A53" w:rsidRPr="00A27D30" w:rsidRDefault="00D27A53" w:rsidP="00A27D30">
      <w:pPr>
        <w:pStyle w:val="Listeafsnit"/>
        <w:numPr>
          <w:ilvl w:val="0"/>
          <w:numId w:val="11"/>
        </w:numPr>
        <w:ind w:left="1276" w:hanging="425"/>
        <w:rPr>
          <w:sz w:val="24"/>
          <w:szCs w:val="24"/>
          <w:u w:val="single"/>
        </w:rPr>
      </w:pPr>
      <w:r w:rsidRPr="00A27D30">
        <w:rPr>
          <w:sz w:val="24"/>
          <w:szCs w:val="24"/>
          <w:u w:val="single"/>
          <w:lang w:bidi="da-DK"/>
        </w:rPr>
        <w:t>Tabuleret liste over bivirkninger</w:t>
      </w:r>
    </w:p>
    <w:p w14:paraId="4C68284B" w14:textId="77777777" w:rsidR="00A27D30" w:rsidRDefault="00A27D30" w:rsidP="00695AC0">
      <w:pPr>
        <w:ind w:left="851"/>
        <w:rPr>
          <w:sz w:val="24"/>
          <w:szCs w:val="24"/>
          <w:lang w:bidi="da-DK"/>
        </w:rPr>
      </w:pPr>
    </w:p>
    <w:p w14:paraId="1EC8A098" w14:textId="67052BA4" w:rsidR="00D27A53" w:rsidRPr="00D27A53" w:rsidRDefault="00D27A53" w:rsidP="00695AC0">
      <w:pPr>
        <w:ind w:left="851"/>
        <w:rPr>
          <w:sz w:val="24"/>
          <w:szCs w:val="24"/>
        </w:rPr>
      </w:pPr>
      <w:r w:rsidRPr="00D27A53">
        <w:rPr>
          <w:sz w:val="24"/>
          <w:szCs w:val="24"/>
          <w:lang w:bidi="da-DK"/>
        </w:rPr>
        <w:t xml:space="preserve">Bivirkninger præsenteres fra samlede data fra tre kontrollerede kliniske fase III-forsøg (540 patienter eksponeret for </w:t>
      </w:r>
      <w:proofErr w:type="spellStart"/>
      <w:r w:rsidRPr="00D27A53">
        <w:rPr>
          <w:sz w:val="24"/>
          <w:szCs w:val="24"/>
          <w:lang w:bidi="da-DK"/>
        </w:rPr>
        <w:t>Pylera</w:t>
      </w:r>
      <w:proofErr w:type="spellEnd"/>
      <w:r w:rsidRPr="00D27A53">
        <w:rPr>
          <w:sz w:val="24"/>
          <w:szCs w:val="24"/>
          <w:lang w:bidi="da-DK"/>
        </w:rPr>
        <w:t>) og erfaringer efter markedsføring (herunder spontane, lovgivningsmæssige og litterære rapporter).</w:t>
      </w:r>
    </w:p>
    <w:p w14:paraId="3F8FF76D" w14:textId="77777777" w:rsidR="00A27D30" w:rsidRDefault="00A27D30" w:rsidP="00695AC0">
      <w:pPr>
        <w:ind w:left="851"/>
        <w:rPr>
          <w:sz w:val="24"/>
          <w:szCs w:val="24"/>
          <w:lang w:bidi="da-DK"/>
        </w:rPr>
      </w:pPr>
    </w:p>
    <w:p w14:paraId="11C5AB7B" w14:textId="52DE91E6" w:rsidR="00D27A53" w:rsidRPr="00D27A53" w:rsidRDefault="00D27A53" w:rsidP="00695AC0">
      <w:pPr>
        <w:ind w:left="851"/>
        <w:rPr>
          <w:sz w:val="24"/>
          <w:szCs w:val="24"/>
        </w:rPr>
      </w:pPr>
      <w:r w:rsidRPr="00D27A53">
        <w:rPr>
          <w:sz w:val="24"/>
          <w:szCs w:val="24"/>
          <w:lang w:bidi="da-DK"/>
        </w:rPr>
        <w:t>Bivirkninger rangeres efter hyppighed i følgende kategorier: meget almindelig (≥1/10); almindelig (≥1/100 til &lt;1/10); ikke almindelig (≥1/1.000 til &lt;1/100); sjælden (≥1/10.000 til &lt;1/1.000); meget sjælden (&lt;1/10.000); ikke kendt (kan ikke estimeres ud fra de forhåndenværende data). Inden for hver frekvensgruppe præsenteres bivirkningerne i rækkefølge efter faldende alvorlighed.</w:t>
      </w:r>
    </w:p>
    <w:p w14:paraId="6750535D" w14:textId="77777777" w:rsidR="00D27A53" w:rsidRPr="00D27A53" w:rsidRDefault="00D27A53" w:rsidP="00695AC0">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90"/>
        <w:gridCol w:w="47"/>
        <w:gridCol w:w="1614"/>
        <w:gridCol w:w="1837"/>
        <w:gridCol w:w="1756"/>
        <w:gridCol w:w="2184"/>
      </w:tblGrid>
      <w:tr w:rsidR="00D27A53" w:rsidRPr="00D27A53" w14:paraId="1D24955F" w14:textId="77777777" w:rsidTr="00A27D30">
        <w:trPr>
          <w:trHeight w:val="1038"/>
        </w:trPr>
        <w:tc>
          <w:tcPr>
            <w:tcW w:w="1110" w:type="pct"/>
            <w:tcBorders>
              <w:top w:val="single" w:sz="4" w:space="0" w:color="000000"/>
              <w:left w:val="single" w:sz="4" w:space="0" w:color="000000"/>
              <w:bottom w:val="single" w:sz="4" w:space="0" w:color="000000"/>
              <w:right w:val="single" w:sz="4" w:space="0" w:color="000000"/>
            </w:tcBorders>
            <w:hideMark/>
          </w:tcPr>
          <w:p w14:paraId="0F9B1425" w14:textId="77777777" w:rsidR="00D27A53" w:rsidRPr="00D27A53" w:rsidRDefault="00D27A53" w:rsidP="0076324F">
            <w:pPr>
              <w:ind w:left="134" w:right="53"/>
              <w:rPr>
                <w:sz w:val="24"/>
                <w:szCs w:val="24"/>
              </w:rPr>
            </w:pPr>
            <w:r w:rsidRPr="00D27A53">
              <w:rPr>
                <w:b/>
                <w:sz w:val="24"/>
                <w:szCs w:val="24"/>
                <w:lang w:bidi="da-DK"/>
              </w:rPr>
              <w:t xml:space="preserve">System Organklasse </w:t>
            </w:r>
            <w:r w:rsidRPr="00D27A53">
              <w:rPr>
                <w:sz w:val="24"/>
                <w:szCs w:val="24"/>
                <w:lang w:bidi="da-DK"/>
              </w:rPr>
              <w:t>Foretrukken betegnelse</w:t>
            </w:r>
          </w:p>
        </w:tc>
        <w:tc>
          <w:tcPr>
            <w:tcW w:w="895" w:type="pct"/>
            <w:gridSpan w:val="2"/>
            <w:tcBorders>
              <w:top w:val="single" w:sz="4" w:space="0" w:color="000000"/>
              <w:left w:val="single" w:sz="4" w:space="0" w:color="000000"/>
              <w:bottom w:val="single" w:sz="4" w:space="0" w:color="000000"/>
              <w:right w:val="single" w:sz="4" w:space="0" w:color="000000"/>
            </w:tcBorders>
            <w:hideMark/>
          </w:tcPr>
          <w:p w14:paraId="4B607E7F" w14:textId="77777777" w:rsidR="00D27A53" w:rsidRPr="00D27A53" w:rsidRDefault="00D27A53" w:rsidP="0076324F">
            <w:pPr>
              <w:ind w:left="134" w:right="53"/>
              <w:rPr>
                <w:b/>
                <w:sz w:val="24"/>
                <w:szCs w:val="24"/>
              </w:rPr>
            </w:pPr>
            <w:r w:rsidRPr="00D27A53">
              <w:rPr>
                <w:b/>
                <w:sz w:val="24"/>
                <w:szCs w:val="24"/>
                <w:lang w:bidi="da-DK"/>
              </w:rPr>
              <w:t>Meget almindelig</w:t>
            </w:r>
          </w:p>
          <w:p w14:paraId="4FE1AAAC" w14:textId="77777777" w:rsidR="00D27A53" w:rsidRPr="00D27A53" w:rsidRDefault="00D27A53" w:rsidP="0076324F">
            <w:pPr>
              <w:ind w:left="134" w:right="53"/>
              <w:rPr>
                <w:sz w:val="24"/>
                <w:szCs w:val="24"/>
              </w:rPr>
            </w:pPr>
            <w:r w:rsidRPr="00D27A53">
              <w:rPr>
                <w:sz w:val="24"/>
                <w:szCs w:val="24"/>
                <w:lang w:bidi="da-DK"/>
              </w:rPr>
              <w:t>(≥1/10)</w:t>
            </w:r>
          </w:p>
        </w:tc>
        <w:tc>
          <w:tcPr>
            <w:tcW w:w="945" w:type="pct"/>
            <w:tcBorders>
              <w:top w:val="single" w:sz="4" w:space="0" w:color="000000"/>
              <w:left w:val="single" w:sz="4" w:space="0" w:color="000000"/>
              <w:bottom w:val="single" w:sz="4" w:space="0" w:color="000000"/>
              <w:right w:val="single" w:sz="4" w:space="0" w:color="000000"/>
            </w:tcBorders>
            <w:hideMark/>
          </w:tcPr>
          <w:p w14:paraId="1F5D6ED7" w14:textId="77777777" w:rsidR="00D27A53" w:rsidRPr="00D27A53" w:rsidRDefault="00D27A53" w:rsidP="0076324F">
            <w:pPr>
              <w:ind w:left="134" w:right="53"/>
              <w:rPr>
                <w:b/>
                <w:sz w:val="24"/>
                <w:szCs w:val="24"/>
              </w:rPr>
            </w:pPr>
            <w:r w:rsidRPr="00D27A53">
              <w:rPr>
                <w:b/>
                <w:sz w:val="24"/>
                <w:szCs w:val="24"/>
                <w:lang w:bidi="da-DK"/>
              </w:rPr>
              <w:t>Almindelig</w:t>
            </w:r>
          </w:p>
          <w:p w14:paraId="5E71E63A" w14:textId="77777777" w:rsidR="00D27A53" w:rsidRPr="00D27A53" w:rsidRDefault="00D27A53" w:rsidP="0076324F">
            <w:pPr>
              <w:ind w:left="134" w:right="53"/>
              <w:rPr>
                <w:sz w:val="24"/>
                <w:szCs w:val="24"/>
              </w:rPr>
            </w:pPr>
            <w:r w:rsidRPr="00D27A53">
              <w:rPr>
                <w:sz w:val="24"/>
                <w:szCs w:val="24"/>
                <w:lang w:bidi="da-DK"/>
              </w:rPr>
              <w:t>(≥1/100 til &lt;1/10)</w:t>
            </w:r>
          </w:p>
        </w:tc>
        <w:tc>
          <w:tcPr>
            <w:tcW w:w="944" w:type="pct"/>
            <w:tcBorders>
              <w:top w:val="single" w:sz="4" w:space="0" w:color="000000"/>
              <w:left w:val="single" w:sz="4" w:space="0" w:color="000000"/>
              <w:bottom w:val="single" w:sz="4" w:space="0" w:color="000000"/>
              <w:right w:val="single" w:sz="4" w:space="0" w:color="000000"/>
            </w:tcBorders>
            <w:hideMark/>
          </w:tcPr>
          <w:p w14:paraId="529A1AC8" w14:textId="77777777" w:rsidR="00D27A53" w:rsidRPr="00D27A53" w:rsidRDefault="00D27A53" w:rsidP="0076324F">
            <w:pPr>
              <w:ind w:left="134" w:right="53"/>
              <w:rPr>
                <w:b/>
                <w:sz w:val="24"/>
                <w:szCs w:val="24"/>
              </w:rPr>
            </w:pPr>
            <w:r w:rsidRPr="00D27A53">
              <w:rPr>
                <w:b/>
                <w:sz w:val="24"/>
                <w:szCs w:val="24"/>
                <w:lang w:bidi="da-DK"/>
              </w:rPr>
              <w:t>Ikke almindelig</w:t>
            </w:r>
          </w:p>
          <w:p w14:paraId="7D025114" w14:textId="77777777" w:rsidR="00D27A53" w:rsidRPr="00D27A53" w:rsidRDefault="00D27A53" w:rsidP="0076324F">
            <w:pPr>
              <w:ind w:left="134" w:right="53"/>
              <w:rPr>
                <w:sz w:val="24"/>
                <w:szCs w:val="24"/>
              </w:rPr>
            </w:pPr>
            <w:r w:rsidRPr="00D27A53">
              <w:rPr>
                <w:sz w:val="24"/>
                <w:szCs w:val="24"/>
                <w:lang w:bidi="da-DK"/>
              </w:rPr>
              <w:t>(≥1/1.000 til&lt;1/100)</w:t>
            </w:r>
          </w:p>
        </w:tc>
        <w:tc>
          <w:tcPr>
            <w:tcW w:w="1107" w:type="pct"/>
            <w:tcBorders>
              <w:top w:val="single" w:sz="4" w:space="0" w:color="000000"/>
              <w:left w:val="single" w:sz="4" w:space="0" w:color="000000"/>
              <w:bottom w:val="single" w:sz="4" w:space="0" w:color="000000"/>
              <w:right w:val="single" w:sz="4" w:space="0" w:color="000000"/>
            </w:tcBorders>
            <w:hideMark/>
          </w:tcPr>
          <w:p w14:paraId="5CED7815" w14:textId="77777777" w:rsidR="00D27A53" w:rsidRPr="00D27A53" w:rsidRDefault="00D27A53" w:rsidP="0076324F">
            <w:pPr>
              <w:ind w:left="134" w:right="53"/>
              <w:rPr>
                <w:b/>
                <w:sz w:val="24"/>
                <w:szCs w:val="24"/>
              </w:rPr>
            </w:pPr>
            <w:r w:rsidRPr="00D27A53">
              <w:rPr>
                <w:b/>
                <w:sz w:val="24"/>
                <w:szCs w:val="24"/>
                <w:lang w:bidi="da-DK"/>
              </w:rPr>
              <w:t>Ikke kendt</w:t>
            </w:r>
          </w:p>
        </w:tc>
      </w:tr>
      <w:tr w:rsidR="00D27A53" w:rsidRPr="00D27A53" w14:paraId="1A8A4EA4" w14:textId="77777777" w:rsidTr="00A27D30">
        <w:trPr>
          <w:trHeight w:val="1266"/>
        </w:trPr>
        <w:tc>
          <w:tcPr>
            <w:tcW w:w="1110" w:type="pct"/>
            <w:tcBorders>
              <w:top w:val="single" w:sz="4" w:space="0" w:color="000000"/>
              <w:left w:val="single" w:sz="4" w:space="0" w:color="000000"/>
              <w:bottom w:val="single" w:sz="4" w:space="0" w:color="000000"/>
              <w:right w:val="single" w:sz="4" w:space="0" w:color="000000"/>
            </w:tcBorders>
            <w:hideMark/>
          </w:tcPr>
          <w:p w14:paraId="1F832BE4" w14:textId="77777777" w:rsidR="00D27A53" w:rsidRPr="00D27A53" w:rsidRDefault="00D27A53" w:rsidP="0076324F">
            <w:pPr>
              <w:ind w:left="134" w:right="53"/>
              <w:rPr>
                <w:sz w:val="24"/>
                <w:szCs w:val="24"/>
              </w:rPr>
            </w:pPr>
            <w:r w:rsidRPr="00D27A53">
              <w:rPr>
                <w:sz w:val="24"/>
                <w:szCs w:val="24"/>
                <w:lang w:bidi="da-DK"/>
              </w:rPr>
              <w:t>Infektioner og parasitære sygdomme</w:t>
            </w:r>
          </w:p>
        </w:tc>
        <w:tc>
          <w:tcPr>
            <w:tcW w:w="895" w:type="pct"/>
            <w:gridSpan w:val="2"/>
            <w:tcBorders>
              <w:top w:val="single" w:sz="4" w:space="0" w:color="000000"/>
              <w:left w:val="single" w:sz="4" w:space="0" w:color="000000"/>
              <w:bottom w:val="single" w:sz="4" w:space="0" w:color="000000"/>
              <w:right w:val="single" w:sz="4" w:space="0" w:color="000000"/>
            </w:tcBorders>
          </w:tcPr>
          <w:p w14:paraId="06377D28" w14:textId="77777777" w:rsidR="00D27A53" w:rsidRPr="00D27A53" w:rsidRDefault="00D27A53" w:rsidP="0076324F">
            <w:pPr>
              <w:ind w:left="134" w:right="53"/>
              <w:rPr>
                <w:sz w:val="24"/>
                <w:szCs w:val="24"/>
              </w:rPr>
            </w:pPr>
          </w:p>
        </w:tc>
        <w:tc>
          <w:tcPr>
            <w:tcW w:w="945" w:type="pct"/>
            <w:tcBorders>
              <w:top w:val="single" w:sz="4" w:space="0" w:color="000000"/>
              <w:left w:val="single" w:sz="4" w:space="0" w:color="000000"/>
              <w:bottom w:val="single" w:sz="4" w:space="0" w:color="000000"/>
              <w:right w:val="single" w:sz="4" w:space="0" w:color="000000"/>
            </w:tcBorders>
            <w:hideMark/>
          </w:tcPr>
          <w:p w14:paraId="19C92B45" w14:textId="77777777" w:rsidR="00D27A53" w:rsidRPr="00D27A53" w:rsidRDefault="00D27A53" w:rsidP="0076324F">
            <w:pPr>
              <w:ind w:left="134" w:right="53"/>
              <w:rPr>
                <w:sz w:val="24"/>
                <w:szCs w:val="24"/>
              </w:rPr>
            </w:pPr>
            <w:r w:rsidRPr="00D27A53">
              <w:rPr>
                <w:sz w:val="24"/>
                <w:szCs w:val="24"/>
                <w:lang w:bidi="da-DK"/>
              </w:rPr>
              <w:t>Vaginal infektion</w:t>
            </w:r>
          </w:p>
        </w:tc>
        <w:tc>
          <w:tcPr>
            <w:tcW w:w="944" w:type="pct"/>
            <w:tcBorders>
              <w:top w:val="single" w:sz="4" w:space="0" w:color="000000"/>
              <w:left w:val="single" w:sz="4" w:space="0" w:color="000000"/>
              <w:bottom w:val="single" w:sz="4" w:space="0" w:color="000000"/>
              <w:right w:val="single" w:sz="4" w:space="0" w:color="000000"/>
            </w:tcBorders>
            <w:hideMark/>
          </w:tcPr>
          <w:p w14:paraId="558DB155" w14:textId="77777777" w:rsidR="00D27A53" w:rsidRPr="00D27A53" w:rsidRDefault="00D27A53" w:rsidP="0076324F">
            <w:pPr>
              <w:ind w:left="134" w:right="53"/>
              <w:rPr>
                <w:sz w:val="24"/>
                <w:szCs w:val="24"/>
                <w:lang w:val="es-ES"/>
              </w:rPr>
            </w:pPr>
            <w:r w:rsidRPr="00D27A53">
              <w:rPr>
                <w:sz w:val="24"/>
                <w:szCs w:val="24"/>
                <w:lang w:val="es-ES"/>
              </w:rPr>
              <w:t>Candidiasis, oral candidiasis, vaginal candidiasis</w:t>
            </w:r>
          </w:p>
        </w:tc>
        <w:tc>
          <w:tcPr>
            <w:tcW w:w="1107" w:type="pct"/>
            <w:tcBorders>
              <w:top w:val="single" w:sz="4" w:space="0" w:color="000000"/>
              <w:left w:val="single" w:sz="4" w:space="0" w:color="000000"/>
              <w:bottom w:val="single" w:sz="4" w:space="0" w:color="000000"/>
              <w:right w:val="single" w:sz="4" w:space="0" w:color="000000"/>
            </w:tcBorders>
            <w:hideMark/>
          </w:tcPr>
          <w:p w14:paraId="37D8FDB8" w14:textId="77777777" w:rsidR="00D27A53" w:rsidRPr="00D27A53" w:rsidRDefault="00D27A53" w:rsidP="0076324F">
            <w:pPr>
              <w:ind w:left="134" w:right="53"/>
              <w:rPr>
                <w:sz w:val="24"/>
                <w:szCs w:val="24"/>
              </w:rPr>
            </w:pPr>
            <w:proofErr w:type="spellStart"/>
            <w:r w:rsidRPr="00D27A53">
              <w:rPr>
                <w:sz w:val="24"/>
                <w:szCs w:val="24"/>
                <w:lang w:bidi="da-DK"/>
              </w:rPr>
              <w:t>Pseudomembranøs</w:t>
            </w:r>
            <w:proofErr w:type="spellEnd"/>
            <w:r w:rsidRPr="00D27A53">
              <w:rPr>
                <w:sz w:val="24"/>
                <w:szCs w:val="24"/>
                <w:lang w:bidi="da-DK"/>
              </w:rPr>
              <w:t xml:space="preserve"> colitis</w:t>
            </w:r>
          </w:p>
        </w:tc>
      </w:tr>
      <w:tr w:rsidR="00D27A53" w:rsidRPr="00D27A53" w14:paraId="0678B6FE" w14:textId="77777777" w:rsidTr="00A27D30">
        <w:trPr>
          <w:trHeight w:val="758"/>
        </w:trPr>
        <w:tc>
          <w:tcPr>
            <w:tcW w:w="1110" w:type="pct"/>
            <w:tcBorders>
              <w:top w:val="single" w:sz="4" w:space="0" w:color="000000"/>
              <w:left w:val="single" w:sz="4" w:space="0" w:color="000000"/>
              <w:bottom w:val="single" w:sz="4" w:space="0" w:color="000000"/>
              <w:right w:val="single" w:sz="4" w:space="0" w:color="000000"/>
            </w:tcBorders>
            <w:hideMark/>
          </w:tcPr>
          <w:p w14:paraId="286A248E" w14:textId="1113E665" w:rsidR="00D27A53" w:rsidRPr="00D27A53" w:rsidRDefault="00D27A53" w:rsidP="0076324F">
            <w:pPr>
              <w:ind w:left="134" w:right="53"/>
              <w:rPr>
                <w:sz w:val="24"/>
                <w:szCs w:val="24"/>
              </w:rPr>
            </w:pPr>
            <w:r w:rsidRPr="00D27A53">
              <w:rPr>
                <w:sz w:val="24"/>
                <w:szCs w:val="24"/>
                <w:lang w:bidi="da-DK"/>
              </w:rPr>
              <w:t>Immunsystemet</w:t>
            </w:r>
          </w:p>
        </w:tc>
        <w:tc>
          <w:tcPr>
            <w:tcW w:w="895" w:type="pct"/>
            <w:gridSpan w:val="2"/>
            <w:tcBorders>
              <w:top w:val="single" w:sz="4" w:space="0" w:color="000000"/>
              <w:left w:val="single" w:sz="4" w:space="0" w:color="000000"/>
              <w:bottom w:val="single" w:sz="4" w:space="0" w:color="000000"/>
              <w:right w:val="single" w:sz="4" w:space="0" w:color="000000"/>
            </w:tcBorders>
          </w:tcPr>
          <w:p w14:paraId="0B092CF6" w14:textId="77777777" w:rsidR="00D27A53" w:rsidRPr="00D27A53" w:rsidRDefault="00D27A53" w:rsidP="0076324F">
            <w:pPr>
              <w:ind w:left="134" w:right="53"/>
              <w:rPr>
                <w:sz w:val="24"/>
                <w:szCs w:val="24"/>
              </w:rPr>
            </w:pPr>
          </w:p>
        </w:tc>
        <w:tc>
          <w:tcPr>
            <w:tcW w:w="945" w:type="pct"/>
            <w:tcBorders>
              <w:top w:val="single" w:sz="4" w:space="0" w:color="000000"/>
              <w:left w:val="single" w:sz="4" w:space="0" w:color="000000"/>
              <w:bottom w:val="single" w:sz="4" w:space="0" w:color="000000"/>
              <w:right w:val="single" w:sz="4" w:space="0" w:color="000000"/>
            </w:tcBorders>
          </w:tcPr>
          <w:p w14:paraId="7A0E96E1" w14:textId="77777777" w:rsidR="00D27A53" w:rsidRPr="00D27A53" w:rsidRDefault="00D27A53" w:rsidP="0076324F">
            <w:pPr>
              <w:ind w:left="134" w:right="53"/>
              <w:rPr>
                <w:sz w:val="24"/>
                <w:szCs w:val="24"/>
              </w:rPr>
            </w:pPr>
          </w:p>
        </w:tc>
        <w:tc>
          <w:tcPr>
            <w:tcW w:w="944" w:type="pct"/>
            <w:tcBorders>
              <w:top w:val="single" w:sz="4" w:space="0" w:color="000000"/>
              <w:left w:val="single" w:sz="4" w:space="0" w:color="000000"/>
              <w:bottom w:val="single" w:sz="4" w:space="0" w:color="000000"/>
              <w:right w:val="single" w:sz="4" w:space="0" w:color="000000"/>
            </w:tcBorders>
            <w:hideMark/>
          </w:tcPr>
          <w:p w14:paraId="1CBF3AD0" w14:textId="77777777" w:rsidR="00D27A53" w:rsidRPr="00D27A53" w:rsidRDefault="00D27A53" w:rsidP="0076324F">
            <w:pPr>
              <w:ind w:left="134" w:right="53"/>
              <w:rPr>
                <w:sz w:val="24"/>
                <w:szCs w:val="24"/>
              </w:rPr>
            </w:pPr>
            <w:r w:rsidRPr="00D27A53">
              <w:rPr>
                <w:sz w:val="24"/>
                <w:szCs w:val="24"/>
                <w:lang w:bidi="da-DK"/>
              </w:rPr>
              <w:t>Overfølsomhed over for medicin</w:t>
            </w:r>
          </w:p>
        </w:tc>
        <w:tc>
          <w:tcPr>
            <w:tcW w:w="1107" w:type="pct"/>
            <w:tcBorders>
              <w:top w:val="single" w:sz="4" w:space="0" w:color="000000"/>
              <w:left w:val="single" w:sz="4" w:space="0" w:color="000000"/>
              <w:bottom w:val="single" w:sz="4" w:space="0" w:color="000000"/>
              <w:right w:val="single" w:sz="4" w:space="0" w:color="000000"/>
            </w:tcBorders>
          </w:tcPr>
          <w:p w14:paraId="6F4007D0" w14:textId="77777777" w:rsidR="00D27A53" w:rsidRPr="00D27A53" w:rsidRDefault="00D27A53" w:rsidP="0076324F">
            <w:pPr>
              <w:ind w:left="134" w:right="53"/>
              <w:rPr>
                <w:sz w:val="24"/>
                <w:szCs w:val="24"/>
              </w:rPr>
            </w:pPr>
          </w:p>
        </w:tc>
      </w:tr>
      <w:tr w:rsidR="00D27A53" w:rsidRPr="00D27A53" w14:paraId="3F962E90" w14:textId="77777777" w:rsidTr="00A27D30">
        <w:trPr>
          <w:trHeight w:val="758"/>
        </w:trPr>
        <w:tc>
          <w:tcPr>
            <w:tcW w:w="1110" w:type="pct"/>
            <w:tcBorders>
              <w:top w:val="single" w:sz="4" w:space="0" w:color="000000"/>
              <w:left w:val="single" w:sz="4" w:space="0" w:color="000000"/>
              <w:bottom w:val="single" w:sz="4" w:space="0" w:color="000000"/>
              <w:right w:val="single" w:sz="4" w:space="0" w:color="000000"/>
            </w:tcBorders>
            <w:hideMark/>
          </w:tcPr>
          <w:p w14:paraId="049FBE2F" w14:textId="77777777" w:rsidR="00D27A53" w:rsidRPr="00D27A53" w:rsidRDefault="00D27A53" w:rsidP="0076324F">
            <w:pPr>
              <w:ind w:left="134" w:right="53"/>
              <w:rPr>
                <w:sz w:val="24"/>
                <w:szCs w:val="24"/>
              </w:rPr>
            </w:pPr>
            <w:r w:rsidRPr="00D27A53">
              <w:rPr>
                <w:sz w:val="24"/>
                <w:szCs w:val="24"/>
                <w:lang w:bidi="da-DK"/>
              </w:rPr>
              <w:t>Metabolisme</w:t>
            </w:r>
          </w:p>
        </w:tc>
        <w:tc>
          <w:tcPr>
            <w:tcW w:w="895" w:type="pct"/>
            <w:gridSpan w:val="2"/>
            <w:tcBorders>
              <w:top w:val="single" w:sz="4" w:space="0" w:color="000000"/>
              <w:left w:val="single" w:sz="4" w:space="0" w:color="000000"/>
              <w:bottom w:val="single" w:sz="4" w:space="0" w:color="000000"/>
              <w:right w:val="single" w:sz="4" w:space="0" w:color="000000"/>
            </w:tcBorders>
          </w:tcPr>
          <w:p w14:paraId="7F4FB1D0" w14:textId="77777777" w:rsidR="00D27A53" w:rsidRPr="00D27A53" w:rsidRDefault="00D27A53" w:rsidP="0076324F">
            <w:pPr>
              <w:ind w:left="134" w:right="53"/>
              <w:rPr>
                <w:sz w:val="24"/>
                <w:szCs w:val="24"/>
              </w:rPr>
            </w:pPr>
          </w:p>
        </w:tc>
        <w:tc>
          <w:tcPr>
            <w:tcW w:w="945" w:type="pct"/>
            <w:tcBorders>
              <w:top w:val="single" w:sz="4" w:space="0" w:color="000000"/>
              <w:left w:val="single" w:sz="4" w:space="0" w:color="000000"/>
              <w:bottom w:val="single" w:sz="4" w:space="0" w:color="000000"/>
              <w:right w:val="single" w:sz="4" w:space="0" w:color="000000"/>
            </w:tcBorders>
            <w:hideMark/>
          </w:tcPr>
          <w:p w14:paraId="2F65873A" w14:textId="77777777" w:rsidR="00D27A53" w:rsidRPr="00D27A53" w:rsidRDefault="00D27A53" w:rsidP="0076324F">
            <w:pPr>
              <w:ind w:left="134" w:right="53"/>
              <w:rPr>
                <w:sz w:val="24"/>
                <w:szCs w:val="24"/>
              </w:rPr>
            </w:pPr>
            <w:r w:rsidRPr="00D27A53">
              <w:rPr>
                <w:sz w:val="24"/>
                <w:szCs w:val="24"/>
                <w:lang w:bidi="da-DK"/>
              </w:rPr>
              <w:t>Anoreksi, nedsat appetit</w:t>
            </w:r>
          </w:p>
        </w:tc>
        <w:tc>
          <w:tcPr>
            <w:tcW w:w="944" w:type="pct"/>
            <w:tcBorders>
              <w:top w:val="single" w:sz="4" w:space="0" w:color="000000"/>
              <w:left w:val="single" w:sz="4" w:space="0" w:color="000000"/>
              <w:bottom w:val="single" w:sz="4" w:space="0" w:color="000000"/>
              <w:right w:val="single" w:sz="4" w:space="0" w:color="000000"/>
            </w:tcBorders>
          </w:tcPr>
          <w:p w14:paraId="65018FEA" w14:textId="77777777" w:rsidR="00D27A53" w:rsidRPr="00D27A53" w:rsidRDefault="00D27A53" w:rsidP="0076324F">
            <w:pPr>
              <w:ind w:left="134" w:right="53"/>
              <w:rPr>
                <w:sz w:val="24"/>
                <w:szCs w:val="24"/>
              </w:rPr>
            </w:pPr>
          </w:p>
        </w:tc>
        <w:tc>
          <w:tcPr>
            <w:tcW w:w="1107" w:type="pct"/>
            <w:tcBorders>
              <w:top w:val="single" w:sz="4" w:space="0" w:color="000000"/>
              <w:left w:val="single" w:sz="4" w:space="0" w:color="000000"/>
              <w:bottom w:val="single" w:sz="4" w:space="0" w:color="000000"/>
              <w:right w:val="single" w:sz="4" w:space="0" w:color="000000"/>
            </w:tcBorders>
          </w:tcPr>
          <w:p w14:paraId="07FAE7AB" w14:textId="77777777" w:rsidR="00D27A53" w:rsidRPr="00D27A53" w:rsidRDefault="00D27A53" w:rsidP="0076324F">
            <w:pPr>
              <w:ind w:left="134" w:right="53"/>
              <w:rPr>
                <w:sz w:val="24"/>
                <w:szCs w:val="24"/>
              </w:rPr>
            </w:pPr>
          </w:p>
        </w:tc>
      </w:tr>
      <w:tr w:rsidR="00D27A53" w:rsidRPr="00D27A53" w14:paraId="7AE574C2" w14:textId="77777777" w:rsidTr="00A27D30">
        <w:trPr>
          <w:trHeight w:val="758"/>
        </w:trPr>
        <w:tc>
          <w:tcPr>
            <w:tcW w:w="1134" w:type="pct"/>
            <w:gridSpan w:val="2"/>
            <w:tcBorders>
              <w:top w:val="single" w:sz="4" w:space="0" w:color="000000"/>
              <w:left w:val="single" w:sz="4" w:space="0" w:color="000000"/>
              <w:bottom w:val="single" w:sz="4" w:space="0" w:color="000000"/>
              <w:right w:val="single" w:sz="4" w:space="0" w:color="000000"/>
            </w:tcBorders>
            <w:hideMark/>
          </w:tcPr>
          <w:p w14:paraId="5CA1768B" w14:textId="77777777" w:rsidR="00D27A53" w:rsidRPr="00D27A53" w:rsidRDefault="00D27A53" w:rsidP="0076324F">
            <w:pPr>
              <w:ind w:left="134" w:right="53"/>
              <w:rPr>
                <w:sz w:val="24"/>
                <w:szCs w:val="24"/>
              </w:rPr>
            </w:pPr>
            <w:r w:rsidRPr="00D27A53">
              <w:rPr>
                <w:sz w:val="24"/>
                <w:szCs w:val="24"/>
                <w:lang w:bidi="da-DK"/>
              </w:rPr>
              <w:t>Psykiske forstyrrelser</w:t>
            </w:r>
          </w:p>
        </w:tc>
        <w:tc>
          <w:tcPr>
            <w:tcW w:w="871" w:type="pct"/>
            <w:tcBorders>
              <w:top w:val="single" w:sz="4" w:space="0" w:color="000000"/>
              <w:left w:val="single" w:sz="4" w:space="0" w:color="000000"/>
              <w:bottom w:val="single" w:sz="4" w:space="0" w:color="000000"/>
              <w:right w:val="single" w:sz="4" w:space="0" w:color="000000"/>
            </w:tcBorders>
          </w:tcPr>
          <w:p w14:paraId="394DA98F" w14:textId="77777777" w:rsidR="00D27A53" w:rsidRPr="00D27A53" w:rsidRDefault="00D27A53" w:rsidP="0076324F">
            <w:pPr>
              <w:ind w:left="134" w:right="53"/>
              <w:rPr>
                <w:sz w:val="24"/>
                <w:szCs w:val="24"/>
              </w:rPr>
            </w:pPr>
          </w:p>
        </w:tc>
        <w:tc>
          <w:tcPr>
            <w:tcW w:w="945" w:type="pct"/>
            <w:tcBorders>
              <w:top w:val="single" w:sz="4" w:space="0" w:color="000000"/>
              <w:left w:val="single" w:sz="4" w:space="0" w:color="000000"/>
              <w:bottom w:val="single" w:sz="4" w:space="0" w:color="000000"/>
              <w:right w:val="single" w:sz="4" w:space="0" w:color="000000"/>
            </w:tcBorders>
          </w:tcPr>
          <w:p w14:paraId="736E9E79" w14:textId="77777777" w:rsidR="00D27A53" w:rsidRPr="00D27A53" w:rsidRDefault="00D27A53" w:rsidP="0076324F">
            <w:pPr>
              <w:ind w:left="134" w:right="53"/>
              <w:rPr>
                <w:sz w:val="24"/>
                <w:szCs w:val="24"/>
              </w:rPr>
            </w:pPr>
          </w:p>
        </w:tc>
        <w:tc>
          <w:tcPr>
            <w:tcW w:w="944" w:type="pct"/>
            <w:tcBorders>
              <w:top w:val="single" w:sz="4" w:space="0" w:color="000000"/>
              <w:left w:val="single" w:sz="4" w:space="0" w:color="000000"/>
              <w:bottom w:val="single" w:sz="4" w:space="0" w:color="000000"/>
              <w:right w:val="single" w:sz="4" w:space="0" w:color="000000"/>
            </w:tcBorders>
            <w:hideMark/>
          </w:tcPr>
          <w:p w14:paraId="75C28BC1" w14:textId="77777777" w:rsidR="00D27A53" w:rsidRPr="00D27A53" w:rsidRDefault="00D27A53" w:rsidP="0076324F">
            <w:pPr>
              <w:ind w:left="134" w:right="53"/>
              <w:rPr>
                <w:sz w:val="24"/>
                <w:szCs w:val="24"/>
              </w:rPr>
            </w:pPr>
            <w:r w:rsidRPr="00D27A53">
              <w:rPr>
                <w:sz w:val="24"/>
                <w:szCs w:val="24"/>
                <w:lang w:bidi="da-DK"/>
              </w:rPr>
              <w:t>Angst, depression, søvnløshed</w:t>
            </w:r>
          </w:p>
        </w:tc>
        <w:tc>
          <w:tcPr>
            <w:tcW w:w="1107" w:type="pct"/>
            <w:tcBorders>
              <w:top w:val="single" w:sz="4" w:space="0" w:color="000000"/>
              <w:left w:val="single" w:sz="4" w:space="0" w:color="000000"/>
              <w:bottom w:val="single" w:sz="4" w:space="0" w:color="000000"/>
              <w:right w:val="single" w:sz="4" w:space="0" w:color="000000"/>
            </w:tcBorders>
          </w:tcPr>
          <w:p w14:paraId="4378586F" w14:textId="77777777" w:rsidR="00D27A53" w:rsidRPr="00D27A53" w:rsidRDefault="00D27A53" w:rsidP="0076324F">
            <w:pPr>
              <w:ind w:left="134" w:right="53"/>
              <w:rPr>
                <w:sz w:val="24"/>
                <w:szCs w:val="24"/>
              </w:rPr>
            </w:pPr>
          </w:p>
        </w:tc>
      </w:tr>
      <w:tr w:rsidR="00D27A53" w:rsidRPr="00D27A53" w14:paraId="52573052" w14:textId="77777777" w:rsidTr="00A27D30">
        <w:trPr>
          <w:trHeight w:val="1557"/>
        </w:trPr>
        <w:tc>
          <w:tcPr>
            <w:tcW w:w="1134" w:type="pct"/>
            <w:gridSpan w:val="2"/>
            <w:tcBorders>
              <w:top w:val="single" w:sz="4" w:space="0" w:color="000000"/>
              <w:left w:val="single" w:sz="4" w:space="0" w:color="000000"/>
              <w:bottom w:val="single" w:sz="4" w:space="0" w:color="000000"/>
              <w:right w:val="single" w:sz="4" w:space="0" w:color="000000"/>
            </w:tcBorders>
            <w:hideMark/>
          </w:tcPr>
          <w:p w14:paraId="4FBD3FE5" w14:textId="77777777" w:rsidR="00D27A53" w:rsidRPr="00D27A53" w:rsidRDefault="00D27A53" w:rsidP="0076324F">
            <w:pPr>
              <w:ind w:left="134" w:right="53"/>
              <w:rPr>
                <w:sz w:val="24"/>
                <w:szCs w:val="24"/>
              </w:rPr>
            </w:pPr>
            <w:r w:rsidRPr="00D27A53">
              <w:rPr>
                <w:sz w:val="24"/>
                <w:szCs w:val="24"/>
                <w:lang w:bidi="da-DK"/>
              </w:rPr>
              <w:t>Nervesystemet</w:t>
            </w:r>
          </w:p>
        </w:tc>
        <w:tc>
          <w:tcPr>
            <w:tcW w:w="871" w:type="pct"/>
            <w:tcBorders>
              <w:top w:val="single" w:sz="4" w:space="0" w:color="000000"/>
              <w:left w:val="single" w:sz="4" w:space="0" w:color="000000"/>
              <w:bottom w:val="single" w:sz="4" w:space="0" w:color="000000"/>
              <w:right w:val="single" w:sz="4" w:space="0" w:color="000000"/>
            </w:tcBorders>
            <w:hideMark/>
          </w:tcPr>
          <w:p w14:paraId="2A491321" w14:textId="77777777" w:rsidR="00D27A53" w:rsidRPr="00D27A53" w:rsidRDefault="00D27A53" w:rsidP="0076324F">
            <w:pPr>
              <w:ind w:left="134" w:right="53"/>
              <w:rPr>
                <w:sz w:val="24"/>
                <w:szCs w:val="24"/>
              </w:rPr>
            </w:pPr>
            <w:proofErr w:type="spellStart"/>
            <w:r w:rsidRPr="00D27A53">
              <w:rPr>
                <w:sz w:val="24"/>
                <w:szCs w:val="24"/>
                <w:lang w:bidi="da-DK"/>
              </w:rPr>
              <w:t>Dysgeusi</w:t>
            </w:r>
            <w:proofErr w:type="spellEnd"/>
            <w:r w:rsidRPr="00D27A53">
              <w:rPr>
                <w:sz w:val="24"/>
                <w:szCs w:val="24"/>
                <w:lang w:bidi="da-DK"/>
              </w:rPr>
              <w:t xml:space="preserve"> (herunder metalsmag*)</w:t>
            </w:r>
          </w:p>
        </w:tc>
        <w:tc>
          <w:tcPr>
            <w:tcW w:w="945" w:type="pct"/>
            <w:tcBorders>
              <w:top w:val="single" w:sz="4" w:space="0" w:color="000000"/>
              <w:left w:val="single" w:sz="4" w:space="0" w:color="000000"/>
              <w:bottom w:val="single" w:sz="4" w:space="0" w:color="000000"/>
              <w:right w:val="single" w:sz="4" w:space="0" w:color="000000"/>
            </w:tcBorders>
            <w:hideMark/>
          </w:tcPr>
          <w:p w14:paraId="506F91C9" w14:textId="77777777" w:rsidR="00D27A53" w:rsidRPr="00D27A53" w:rsidRDefault="00D27A53" w:rsidP="0076324F">
            <w:pPr>
              <w:ind w:left="134" w:right="53"/>
              <w:rPr>
                <w:sz w:val="24"/>
                <w:szCs w:val="24"/>
              </w:rPr>
            </w:pPr>
            <w:r w:rsidRPr="00D27A53">
              <w:rPr>
                <w:sz w:val="24"/>
                <w:szCs w:val="24"/>
                <w:lang w:bidi="da-DK"/>
              </w:rPr>
              <w:t>Hovedpine, svimmelhed, søvnighed</w:t>
            </w:r>
          </w:p>
        </w:tc>
        <w:tc>
          <w:tcPr>
            <w:tcW w:w="944" w:type="pct"/>
            <w:tcBorders>
              <w:top w:val="single" w:sz="4" w:space="0" w:color="000000"/>
              <w:left w:val="single" w:sz="4" w:space="0" w:color="000000"/>
              <w:bottom w:val="single" w:sz="4" w:space="0" w:color="000000"/>
              <w:right w:val="single" w:sz="4" w:space="0" w:color="000000"/>
            </w:tcBorders>
            <w:hideMark/>
          </w:tcPr>
          <w:p w14:paraId="633899B8" w14:textId="77777777" w:rsidR="00D27A53" w:rsidRPr="00D27A53" w:rsidRDefault="00D27A53" w:rsidP="0076324F">
            <w:pPr>
              <w:ind w:left="134" w:right="53"/>
              <w:rPr>
                <w:sz w:val="24"/>
                <w:szCs w:val="24"/>
              </w:rPr>
            </w:pPr>
            <w:proofErr w:type="spellStart"/>
            <w:r w:rsidRPr="00D27A53">
              <w:rPr>
                <w:sz w:val="24"/>
                <w:szCs w:val="24"/>
                <w:lang w:bidi="da-DK"/>
              </w:rPr>
              <w:t>Hypoæstesi</w:t>
            </w:r>
            <w:proofErr w:type="spellEnd"/>
            <w:r w:rsidRPr="00D27A53">
              <w:rPr>
                <w:sz w:val="24"/>
                <w:szCs w:val="24"/>
                <w:lang w:bidi="da-DK"/>
              </w:rPr>
              <w:t xml:space="preserve">, </w:t>
            </w:r>
            <w:proofErr w:type="spellStart"/>
            <w:r w:rsidRPr="00D27A53">
              <w:rPr>
                <w:sz w:val="24"/>
                <w:szCs w:val="24"/>
                <w:lang w:bidi="da-DK"/>
              </w:rPr>
              <w:t>paræstesi</w:t>
            </w:r>
            <w:proofErr w:type="spellEnd"/>
            <w:r w:rsidRPr="00D27A53">
              <w:rPr>
                <w:sz w:val="24"/>
                <w:szCs w:val="24"/>
                <w:lang w:bidi="da-DK"/>
              </w:rPr>
              <w:t xml:space="preserve">, amnesi, </w:t>
            </w:r>
            <w:proofErr w:type="spellStart"/>
            <w:r w:rsidRPr="00D27A53">
              <w:rPr>
                <w:sz w:val="24"/>
                <w:szCs w:val="24"/>
                <w:lang w:bidi="da-DK"/>
              </w:rPr>
              <w:t>tremor</w:t>
            </w:r>
            <w:proofErr w:type="spellEnd"/>
          </w:p>
        </w:tc>
        <w:tc>
          <w:tcPr>
            <w:tcW w:w="1107" w:type="pct"/>
            <w:tcBorders>
              <w:top w:val="single" w:sz="4" w:space="0" w:color="000000"/>
              <w:left w:val="single" w:sz="4" w:space="0" w:color="000000"/>
              <w:bottom w:val="single" w:sz="4" w:space="0" w:color="000000"/>
              <w:right w:val="single" w:sz="4" w:space="0" w:color="000000"/>
            </w:tcBorders>
            <w:hideMark/>
          </w:tcPr>
          <w:p w14:paraId="0D6E0F8C" w14:textId="77777777" w:rsidR="00D27A53" w:rsidRPr="00D27A53" w:rsidRDefault="00D27A53" w:rsidP="0076324F">
            <w:pPr>
              <w:ind w:left="134" w:right="53"/>
              <w:rPr>
                <w:sz w:val="24"/>
                <w:szCs w:val="24"/>
              </w:rPr>
            </w:pPr>
            <w:r w:rsidRPr="00D27A53">
              <w:rPr>
                <w:sz w:val="24"/>
                <w:szCs w:val="24"/>
                <w:lang w:bidi="da-DK"/>
              </w:rPr>
              <w:t xml:space="preserve">Perifer </w:t>
            </w:r>
            <w:proofErr w:type="spellStart"/>
            <w:r w:rsidRPr="00D27A53">
              <w:rPr>
                <w:sz w:val="24"/>
                <w:szCs w:val="24"/>
                <w:lang w:bidi="da-DK"/>
              </w:rPr>
              <w:t>neuropati</w:t>
            </w:r>
            <w:proofErr w:type="spellEnd"/>
            <w:r w:rsidRPr="00D27A53">
              <w:rPr>
                <w:sz w:val="24"/>
                <w:szCs w:val="24"/>
                <w:lang w:bidi="da-DK"/>
              </w:rPr>
              <w:t xml:space="preserve">, aseptisk meningitis; </w:t>
            </w:r>
            <w:proofErr w:type="spellStart"/>
            <w:r w:rsidRPr="00D27A53">
              <w:rPr>
                <w:sz w:val="24"/>
                <w:szCs w:val="24"/>
                <w:lang w:bidi="da-DK"/>
              </w:rPr>
              <w:t>Cerebellært</w:t>
            </w:r>
            <w:proofErr w:type="spellEnd"/>
            <w:r w:rsidRPr="00D27A53">
              <w:rPr>
                <w:sz w:val="24"/>
                <w:szCs w:val="24"/>
                <w:lang w:bidi="da-DK"/>
              </w:rPr>
              <w:t xml:space="preserve"> syndrom</w:t>
            </w:r>
          </w:p>
        </w:tc>
      </w:tr>
      <w:tr w:rsidR="00D27A53" w:rsidRPr="00D27A53" w14:paraId="069B98D1" w14:textId="77777777" w:rsidTr="00A27D30">
        <w:trPr>
          <w:trHeight w:val="506"/>
        </w:trPr>
        <w:tc>
          <w:tcPr>
            <w:tcW w:w="1134" w:type="pct"/>
            <w:gridSpan w:val="2"/>
            <w:tcBorders>
              <w:top w:val="single" w:sz="4" w:space="0" w:color="000000"/>
              <w:left w:val="single" w:sz="4" w:space="0" w:color="000000"/>
              <w:bottom w:val="single" w:sz="4" w:space="0" w:color="000000"/>
              <w:right w:val="single" w:sz="4" w:space="0" w:color="000000"/>
            </w:tcBorders>
            <w:hideMark/>
          </w:tcPr>
          <w:p w14:paraId="75E5980C" w14:textId="77777777" w:rsidR="00D27A53" w:rsidRPr="00D27A53" w:rsidRDefault="00D27A53" w:rsidP="0076324F">
            <w:pPr>
              <w:ind w:left="134" w:right="53"/>
              <w:rPr>
                <w:sz w:val="24"/>
                <w:szCs w:val="24"/>
              </w:rPr>
            </w:pPr>
            <w:r w:rsidRPr="00D27A53">
              <w:rPr>
                <w:sz w:val="24"/>
                <w:szCs w:val="24"/>
                <w:lang w:bidi="da-DK"/>
              </w:rPr>
              <w:t>Øjne</w:t>
            </w:r>
          </w:p>
        </w:tc>
        <w:tc>
          <w:tcPr>
            <w:tcW w:w="871" w:type="pct"/>
            <w:tcBorders>
              <w:top w:val="single" w:sz="4" w:space="0" w:color="000000"/>
              <w:left w:val="single" w:sz="4" w:space="0" w:color="000000"/>
              <w:bottom w:val="single" w:sz="4" w:space="0" w:color="000000"/>
              <w:right w:val="single" w:sz="4" w:space="0" w:color="000000"/>
            </w:tcBorders>
          </w:tcPr>
          <w:p w14:paraId="0406F189" w14:textId="77777777" w:rsidR="00D27A53" w:rsidRPr="00D27A53" w:rsidRDefault="00D27A53" w:rsidP="0076324F">
            <w:pPr>
              <w:ind w:left="134" w:right="53"/>
              <w:rPr>
                <w:sz w:val="24"/>
                <w:szCs w:val="24"/>
              </w:rPr>
            </w:pPr>
          </w:p>
        </w:tc>
        <w:tc>
          <w:tcPr>
            <w:tcW w:w="945" w:type="pct"/>
            <w:tcBorders>
              <w:top w:val="single" w:sz="4" w:space="0" w:color="000000"/>
              <w:left w:val="single" w:sz="4" w:space="0" w:color="000000"/>
              <w:bottom w:val="single" w:sz="4" w:space="0" w:color="000000"/>
              <w:right w:val="single" w:sz="4" w:space="0" w:color="000000"/>
            </w:tcBorders>
          </w:tcPr>
          <w:p w14:paraId="196CBAE9" w14:textId="77777777" w:rsidR="00D27A53" w:rsidRPr="00D27A53" w:rsidRDefault="00D27A53" w:rsidP="0076324F">
            <w:pPr>
              <w:ind w:left="134" w:right="53"/>
              <w:rPr>
                <w:sz w:val="24"/>
                <w:szCs w:val="24"/>
              </w:rPr>
            </w:pPr>
          </w:p>
        </w:tc>
        <w:tc>
          <w:tcPr>
            <w:tcW w:w="944" w:type="pct"/>
            <w:tcBorders>
              <w:top w:val="single" w:sz="4" w:space="0" w:color="000000"/>
              <w:left w:val="single" w:sz="4" w:space="0" w:color="000000"/>
              <w:bottom w:val="single" w:sz="4" w:space="0" w:color="000000"/>
              <w:right w:val="single" w:sz="4" w:space="0" w:color="000000"/>
            </w:tcBorders>
            <w:hideMark/>
          </w:tcPr>
          <w:p w14:paraId="7B4B4193" w14:textId="77777777" w:rsidR="00D27A53" w:rsidRPr="00D27A53" w:rsidRDefault="00D27A53" w:rsidP="0076324F">
            <w:pPr>
              <w:ind w:left="134" w:right="53"/>
              <w:rPr>
                <w:sz w:val="24"/>
                <w:szCs w:val="24"/>
              </w:rPr>
            </w:pPr>
            <w:r w:rsidRPr="00D27A53">
              <w:rPr>
                <w:sz w:val="24"/>
                <w:szCs w:val="24"/>
                <w:lang w:bidi="da-DK"/>
              </w:rPr>
              <w:t>Sløret syn</w:t>
            </w:r>
          </w:p>
        </w:tc>
        <w:tc>
          <w:tcPr>
            <w:tcW w:w="1107" w:type="pct"/>
            <w:tcBorders>
              <w:top w:val="single" w:sz="4" w:space="0" w:color="000000"/>
              <w:left w:val="single" w:sz="4" w:space="0" w:color="000000"/>
              <w:bottom w:val="single" w:sz="4" w:space="0" w:color="000000"/>
              <w:right w:val="single" w:sz="4" w:space="0" w:color="000000"/>
            </w:tcBorders>
          </w:tcPr>
          <w:p w14:paraId="111FA8CE" w14:textId="77777777" w:rsidR="00D27A53" w:rsidRPr="00D27A53" w:rsidRDefault="00D27A53" w:rsidP="0076324F">
            <w:pPr>
              <w:ind w:left="134" w:right="53"/>
              <w:rPr>
                <w:sz w:val="24"/>
                <w:szCs w:val="24"/>
              </w:rPr>
            </w:pPr>
          </w:p>
        </w:tc>
      </w:tr>
      <w:tr w:rsidR="00D27A53" w:rsidRPr="00D27A53" w14:paraId="0C5716F9" w14:textId="77777777" w:rsidTr="00A27D30">
        <w:trPr>
          <w:trHeight w:val="517"/>
        </w:trPr>
        <w:tc>
          <w:tcPr>
            <w:tcW w:w="1134" w:type="pct"/>
            <w:gridSpan w:val="2"/>
            <w:tcBorders>
              <w:top w:val="single" w:sz="4" w:space="0" w:color="000000"/>
              <w:left w:val="single" w:sz="4" w:space="0" w:color="000000"/>
              <w:bottom w:val="single" w:sz="4" w:space="0" w:color="000000"/>
              <w:right w:val="single" w:sz="4" w:space="0" w:color="000000"/>
            </w:tcBorders>
            <w:hideMark/>
          </w:tcPr>
          <w:p w14:paraId="1A424353" w14:textId="77777777" w:rsidR="00D27A53" w:rsidRPr="00D27A53" w:rsidRDefault="00D27A53" w:rsidP="0076324F">
            <w:pPr>
              <w:ind w:left="134" w:right="53"/>
              <w:rPr>
                <w:sz w:val="24"/>
                <w:szCs w:val="24"/>
              </w:rPr>
            </w:pPr>
            <w:r w:rsidRPr="00D27A53">
              <w:rPr>
                <w:sz w:val="24"/>
                <w:szCs w:val="24"/>
                <w:lang w:bidi="da-DK"/>
              </w:rPr>
              <w:t>Øre og labyrint</w:t>
            </w:r>
          </w:p>
        </w:tc>
        <w:tc>
          <w:tcPr>
            <w:tcW w:w="871" w:type="pct"/>
            <w:tcBorders>
              <w:top w:val="single" w:sz="4" w:space="0" w:color="000000"/>
              <w:left w:val="single" w:sz="4" w:space="0" w:color="000000"/>
              <w:bottom w:val="single" w:sz="4" w:space="0" w:color="000000"/>
              <w:right w:val="single" w:sz="4" w:space="0" w:color="000000"/>
            </w:tcBorders>
          </w:tcPr>
          <w:p w14:paraId="7B1D7FDF" w14:textId="77777777" w:rsidR="00D27A53" w:rsidRPr="00D27A53" w:rsidRDefault="00D27A53" w:rsidP="0076324F">
            <w:pPr>
              <w:ind w:left="134" w:right="53"/>
              <w:rPr>
                <w:sz w:val="24"/>
                <w:szCs w:val="24"/>
              </w:rPr>
            </w:pPr>
          </w:p>
        </w:tc>
        <w:tc>
          <w:tcPr>
            <w:tcW w:w="945" w:type="pct"/>
            <w:tcBorders>
              <w:top w:val="single" w:sz="4" w:space="0" w:color="000000"/>
              <w:left w:val="single" w:sz="4" w:space="0" w:color="000000"/>
              <w:bottom w:val="single" w:sz="4" w:space="0" w:color="000000"/>
              <w:right w:val="single" w:sz="4" w:space="0" w:color="000000"/>
            </w:tcBorders>
          </w:tcPr>
          <w:p w14:paraId="35BF7B1C" w14:textId="77777777" w:rsidR="00D27A53" w:rsidRPr="00D27A53" w:rsidRDefault="00D27A53" w:rsidP="0076324F">
            <w:pPr>
              <w:ind w:left="134" w:right="53"/>
              <w:rPr>
                <w:sz w:val="24"/>
                <w:szCs w:val="24"/>
              </w:rPr>
            </w:pPr>
          </w:p>
        </w:tc>
        <w:tc>
          <w:tcPr>
            <w:tcW w:w="944" w:type="pct"/>
            <w:tcBorders>
              <w:top w:val="single" w:sz="4" w:space="0" w:color="000000"/>
              <w:left w:val="single" w:sz="4" w:space="0" w:color="000000"/>
              <w:bottom w:val="single" w:sz="4" w:space="0" w:color="000000"/>
              <w:right w:val="single" w:sz="4" w:space="0" w:color="000000"/>
            </w:tcBorders>
            <w:hideMark/>
          </w:tcPr>
          <w:p w14:paraId="0DE2A6A2" w14:textId="77777777" w:rsidR="00D27A53" w:rsidRPr="00D27A53" w:rsidRDefault="00D27A53" w:rsidP="0076324F">
            <w:pPr>
              <w:ind w:left="134" w:right="53"/>
              <w:rPr>
                <w:sz w:val="24"/>
                <w:szCs w:val="24"/>
              </w:rPr>
            </w:pPr>
            <w:proofErr w:type="spellStart"/>
            <w:r w:rsidRPr="00D27A53">
              <w:rPr>
                <w:sz w:val="24"/>
                <w:szCs w:val="24"/>
                <w:lang w:bidi="da-DK"/>
              </w:rPr>
              <w:t>Vertigo</w:t>
            </w:r>
            <w:proofErr w:type="spellEnd"/>
          </w:p>
        </w:tc>
        <w:tc>
          <w:tcPr>
            <w:tcW w:w="1107" w:type="pct"/>
            <w:tcBorders>
              <w:top w:val="single" w:sz="4" w:space="0" w:color="000000"/>
              <w:left w:val="single" w:sz="4" w:space="0" w:color="000000"/>
              <w:bottom w:val="single" w:sz="4" w:space="0" w:color="000000"/>
              <w:right w:val="single" w:sz="4" w:space="0" w:color="000000"/>
            </w:tcBorders>
          </w:tcPr>
          <w:p w14:paraId="4B1F56F0" w14:textId="77777777" w:rsidR="00D27A53" w:rsidRPr="00D27A53" w:rsidRDefault="00D27A53" w:rsidP="0076324F">
            <w:pPr>
              <w:ind w:left="134" w:right="53"/>
              <w:rPr>
                <w:sz w:val="24"/>
                <w:szCs w:val="24"/>
              </w:rPr>
            </w:pPr>
          </w:p>
        </w:tc>
      </w:tr>
      <w:tr w:rsidR="00D27A53" w:rsidRPr="00D27A53" w14:paraId="75C3C04C" w14:textId="77777777" w:rsidTr="00A27D30">
        <w:trPr>
          <w:trHeight w:val="2022"/>
        </w:trPr>
        <w:tc>
          <w:tcPr>
            <w:tcW w:w="1134" w:type="pct"/>
            <w:gridSpan w:val="2"/>
            <w:tcBorders>
              <w:top w:val="single" w:sz="4" w:space="0" w:color="000000"/>
              <w:left w:val="single" w:sz="4" w:space="0" w:color="000000"/>
              <w:bottom w:val="single" w:sz="4" w:space="0" w:color="000000"/>
              <w:right w:val="single" w:sz="4" w:space="0" w:color="000000"/>
            </w:tcBorders>
            <w:hideMark/>
          </w:tcPr>
          <w:p w14:paraId="04190383" w14:textId="77777777" w:rsidR="00D27A53" w:rsidRPr="00D27A53" w:rsidRDefault="00D27A53" w:rsidP="0076324F">
            <w:pPr>
              <w:ind w:left="134" w:right="53"/>
              <w:rPr>
                <w:sz w:val="24"/>
                <w:szCs w:val="24"/>
              </w:rPr>
            </w:pPr>
            <w:r w:rsidRPr="00D27A53">
              <w:rPr>
                <w:sz w:val="24"/>
                <w:szCs w:val="24"/>
                <w:lang w:bidi="da-DK"/>
              </w:rPr>
              <w:t>Mave-tarm-kanalen</w:t>
            </w:r>
          </w:p>
        </w:tc>
        <w:tc>
          <w:tcPr>
            <w:tcW w:w="871" w:type="pct"/>
            <w:tcBorders>
              <w:top w:val="single" w:sz="4" w:space="0" w:color="000000"/>
              <w:left w:val="single" w:sz="4" w:space="0" w:color="000000"/>
              <w:bottom w:val="single" w:sz="4" w:space="0" w:color="000000"/>
              <w:right w:val="single" w:sz="4" w:space="0" w:color="000000"/>
            </w:tcBorders>
            <w:hideMark/>
          </w:tcPr>
          <w:p w14:paraId="4EA85CC8" w14:textId="77777777" w:rsidR="00D27A53" w:rsidRPr="00D27A53" w:rsidRDefault="00D27A53" w:rsidP="0076324F">
            <w:pPr>
              <w:ind w:left="134" w:right="53"/>
              <w:rPr>
                <w:sz w:val="24"/>
                <w:szCs w:val="24"/>
              </w:rPr>
            </w:pPr>
            <w:r w:rsidRPr="00D27A53">
              <w:rPr>
                <w:sz w:val="24"/>
                <w:szCs w:val="24"/>
                <w:lang w:bidi="da-DK"/>
              </w:rPr>
              <w:t>Diarré, kvalme, unormal afføring (herunder sort afføring*)</w:t>
            </w:r>
          </w:p>
        </w:tc>
        <w:tc>
          <w:tcPr>
            <w:tcW w:w="945" w:type="pct"/>
            <w:tcBorders>
              <w:top w:val="single" w:sz="4" w:space="0" w:color="000000"/>
              <w:left w:val="single" w:sz="4" w:space="0" w:color="000000"/>
              <w:bottom w:val="single" w:sz="4" w:space="0" w:color="000000"/>
              <w:right w:val="single" w:sz="4" w:space="0" w:color="000000"/>
            </w:tcBorders>
            <w:hideMark/>
          </w:tcPr>
          <w:p w14:paraId="2BFC343B" w14:textId="77777777" w:rsidR="00D27A53" w:rsidRPr="00D27A53" w:rsidRDefault="00D27A53" w:rsidP="0076324F">
            <w:pPr>
              <w:ind w:left="134" w:right="53"/>
              <w:rPr>
                <w:sz w:val="24"/>
                <w:szCs w:val="24"/>
              </w:rPr>
            </w:pPr>
            <w:r w:rsidRPr="00D27A53">
              <w:rPr>
                <w:sz w:val="24"/>
                <w:szCs w:val="24"/>
                <w:lang w:bidi="da-DK"/>
              </w:rPr>
              <w:t>Opkastning, mavesmerter (herunder øvre mavesmerter), dyspepsi, forstoppelse, mundtørhed, luft i maven</w:t>
            </w:r>
          </w:p>
        </w:tc>
        <w:tc>
          <w:tcPr>
            <w:tcW w:w="944" w:type="pct"/>
            <w:tcBorders>
              <w:top w:val="single" w:sz="4" w:space="0" w:color="000000"/>
              <w:left w:val="single" w:sz="4" w:space="0" w:color="000000"/>
              <w:bottom w:val="single" w:sz="4" w:space="0" w:color="000000"/>
              <w:right w:val="single" w:sz="4" w:space="0" w:color="000000"/>
            </w:tcBorders>
            <w:hideMark/>
          </w:tcPr>
          <w:p w14:paraId="056C9188" w14:textId="77777777" w:rsidR="00D27A53" w:rsidRPr="00D27A53" w:rsidRDefault="00D27A53" w:rsidP="0076324F">
            <w:pPr>
              <w:ind w:left="134" w:right="53"/>
              <w:rPr>
                <w:sz w:val="24"/>
                <w:szCs w:val="24"/>
              </w:rPr>
            </w:pPr>
            <w:r w:rsidRPr="00D27A53">
              <w:rPr>
                <w:sz w:val="24"/>
                <w:szCs w:val="24"/>
                <w:lang w:bidi="da-DK"/>
              </w:rPr>
              <w:t xml:space="preserve">Tungeødem, mundsår, </w:t>
            </w:r>
            <w:proofErr w:type="spellStart"/>
            <w:r w:rsidRPr="00D27A53">
              <w:rPr>
                <w:sz w:val="24"/>
                <w:szCs w:val="24"/>
                <w:lang w:bidi="da-DK"/>
              </w:rPr>
              <w:t>stomatitis</w:t>
            </w:r>
            <w:proofErr w:type="spellEnd"/>
            <w:r w:rsidRPr="00D27A53">
              <w:rPr>
                <w:sz w:val="24"/>
                <w:szCs w:val="24"/>
                <w:lang w:bidi="da-DK"/>
              </w:rPr>
              <w:t>, abdominal udspiling, opstød, misfarvning af tungen</w:t>
            </w:r>
          </w:p>
        </w:tc>
        <w:tc>
          <w:tcPr>
            <w:tcW w:w="1107" w:type="pct"/>
            <w:tcBorders>
              <w:top w:val="single" w:sz="4" w:space="0" w:color="000000"/>
              <w:left w:val="single" w:sz="4" w:space="0" w:color="000000"/>
              <w:bottom w:val="single" w:sz="4" w:space="0" w:color="000000"/>
              <w:right w:val="single" w:sz="4" w:space="0" w:color="000000"/>
            </w:tcBorders>
          </w:tcPr>
          <w:p w14:paraId="3117B692" w14:textId="77777777" w:rsidR="00D27A53" w:rsidRPr="00D27A53" w:rsidRDefault="00D27A53" w:rsidP="0076324F">
            <w:pPr>
              <w:ind w:left="134" w:right="53"/>
              <w:rPr>
                <w:sz w:val="24"/>
                <w:szCs w:val="24"/>
              </w:rPr>
            </w:pPr>
          </w:p>
        </w:tc>
      </w:tr>
      <w:tr w:rsidR="00D27A53" w:rsidRPr="00577019" w14:paraId="2306D280" w14:textId="77777777" w:rsidTr="00A27D30">
        <w:trPr>
          <w:trHeight w:val="1773"/>
        </w:trPr>
        <w:tc>
          <w:tcPr>
            <w:tcW w:w="1134" w:type="pct"/>
            <w:gridSpan w:val="2"/>
            <w:tcBorders>
              <w:top w:val="single" w:sz="4" w:space="0" w:color="000000"/>
              <w:left w:val="single" w:sz="4" w:space="0" w:color="000000"/>
              <w:bottom w:val="single" w:sz="4" w:space="0" w:color="000000"/>
              <w:right w:val="single" w:sz="4" w:space="0" w:color="000000"/>
            </w:tcBorders>
            <w:hideMark/>
          </w:tcPr>
          <w:p w14:paraId="71B52BD4" w14:textId="77777777" w:rsidR="00D27A53" w:rsidRPr="00D27A53" w:rsidRDefault="00D27A53" w:rsidP="0076324F">
            <w:pPr>
              <w:ind w:left="134" w:right="53"/>
              <w:rPr>
                <w:sz w:val="24"/>
                <w:szCs w:val="24"/>
              </w:rPr>
            </w:pPr>
            <w:r w:rsidRPr="00D27A53">
              <w:rPr>
                <w:sz w:val="24"/>
                <w:szCs w:val="24"/>
                <w:lang w:bidi="da-DK"/>
              </w:rPr>
              <w:t>Lever og galdeveje</w:t>
            </w:r>
          </w:p>
        </w:tc>
        <w:tc>
          <w:tcPr>
            <w:tcW w:w="871" w:type="pct"/>
            <w:tcBorders>
              <w:top w:val="single" w:sz="4" w:space="0" w:color="000000"/>
              <w:left w:val="single" w:sz="4" w:space="0" w:color="000000"/>
              <w:bottom w:val="single" w:sz="4" w:space="0" w:color="000000"/>
              <w:right w:val="single" w:sz="4" w:space="0" w:color="000000"/>
            </w:tcBorders>
          </w:tcPr>
          <w:p w14:paraId="4E5F468C" w14:textId="77777777" w:rsidR="00D27A53" w:rsidRPr="00D27A53" w:rsidRDefault="00D27A53" w:rsidP="0076324F">
            <w:pPr>
              <w:ind w:left="134" w:right="53"/>
              <w:rPr>
                <w:sz w:val="24"/>
                <w:szCs w:val="24"/>
              </w:rPr>
            </w:pPr>
          </w:p>
        </w:tc>
        <w:tc>
          <w:tcPr>
            <w:tcW w:w="945" w:type="pct"/>
            <w:tcBorders>
              <w:top w:val="single" w:sz="4" w:space="0" w:color="000000"/>
              <w:left w:val="single" w:sz="4" w:space="0" w:color="000000"/>
              <w:bottom w:val="single" w:sz="4" w:space="0" w:color="000000"/>
              <w:right w:val="single" w:sz="4" w:space="0" w:color="000000"/>
            </w:tcBorders>
            <w:hideMark/>
          </w:tcPr>
          <w:p w14:paraId="38223D4E" w14:textId="77777777" w:rsidR="00D27A53" w:rsidRPr="00D27A53" w:rsidRDefault="00D27A53" w:rsidP="0076324F">
            <w:pPr>
              <w:ind w:left="134" w:right="53"/>
              <w:rPr>
                <w:sz w:val="24"/>
                <w:szCs w:val="24"/>
                <w:lang w:val="es-ES"/>
              </w:rPr>
            </w:pPr>
            <w:proofErr w:type="spellStart"/>
            <w:r w:rsidRPr="00D27A53">
              <w:rPr>
                <w:sz w:val="24"/>
                <w:szCs w:val="24"/>
                <w:lang w:val="es-ES"/>
              </w:rPr>
              <w:t>Alanin</w:t>
            </w:r>
            <w:proofErr w:type="spellEnd"/>
            <w:r w:rsidRPr="00D27A53">
              <w:rPr>
                <w:sz w:val="24"/>
                <w:szCs w:val="24"/>
                <w:lang w:val="es-ES"/>
              </w:rPr>
              <w:t xml:space="preserve"> </w:t>
            </w:r>
            <w:proofErr w:type="spellStart"/>
            <w:r w:rsidRPr="00D27A53">
              <w:rPr>
                <w:sz w:val="24"/>
                <w:szCs w:val="24"/>
                <w:lang w:val="es-ES"/>
              </w:rPr>
              <w:t>aminotransferase</w:t>
            </w:r>
            <w:proofErr w:type="spellEnd"/>
            <w:r w:rsidRPr="00D27A53">
              <w:rPr>
                <w:sz w:val="24"/>
                <w:szCs w:val="24"/>
                <w:lang w:val="es-ES"/>
              </w:rPr>
              <w:t xml:space="preserve"> </w:t>
            </w:r>
            <w:proofErr w:type="spellStart"/>
            <w:r w:rsidRPr="00D27A53">
              <w:rPr>
                <w:sz w:val="24"/>
                <w:szCs w:val="24"/>
                <w:lang w:val="es-ES"/>
              </w:rPr>
              <w:t>øget</w:t>
            </w:r>
            <w:proofErr w:type="spellEnd"/>
            <w:r w:rsidRPr="00D27A53">
              <w:rPr>
                <w:sz w:val="24"/>
                <w:szCs w:val="24"/>
                <w:lang w:val="es-ES"/>
              </w:rPr>
              <w:t xml:space="preserve">, </w:t>
            </w:r>
            <w:proofErr w:type="spellStart"/>
            <w:r w:rsidRPr="00D27A53">
              <w:rPr>
                <w:sz w:val="24"/>
                <w:szCs w:val="24"/>
                <w:lang w:val="es-ES"/>
              </w:rPr>
              <w:t>aspartat</w:t>
            </w:r>
            <w:proofErr w:type="spellEnd"/>
            <w:r w:rsidRPr="00D27A53">
              <w:rPr>
                <w:sz w:val="24"/>
                <w:szCs w:val="24"/>
                <w:lang w:val="es-ES"/>
              </w:rPr>
              <w:t xml:space="preserve"> </w:t>
            </w:r>
            <w:proofErr w:type="spellStart"/>
            <w:r w:rsidRPr="00D27A53">
              <w:rPr>
                <w:sz w:val="24"/>
                <w:szCs w:val="24"/>
                <w:lang w:val="es-ES"/>
              </w:rPr>
              <w:t>aminotransferase</w:t>
            </w:r>
            <w:proofErr w:type="spellEnd"/>
            <w:r w:rsidRPr="00D27A53">
              <w:rPr>
                <w:sz w:val="24"/>
                <w:szCs w:val="24"/>
                <w:lang w:val="es-ES"/>
              </w:rPr>
              <w:t xml:space="preserve"> </w:t>
            </w:r>
            <w:proofErr w:type="spellStart"/>
            <w:r w:rsidRPr="00D27A53">
              <w:rPr>
                <w:sz w:val="24"/>
                <w:szCs w:val="24"/>
                <w:lang w:val="es-ES"/>
              </w:rPr>
              <w:t>øget</w:t>
            </w:r>
            <w:proofErr w:type="spellEnd"/>
          </w:p>
        </w:tc>
        <w:tc>
          <w:tcPr>
            <w:tcW w:w="944" w:type="pct"/>
            <w:tcBorders>
              <w:top w:val="single" w:sz="4" w:space="0" w:color="000000"/>
              <w:left w:val="single" w:sz="4" w:space="0" w:color="000000"/>
              <w:bottom w:val="single" w:sz="4" w:space="0" w:color="000000"/>
              <w:right w:val="single" w:sz="4" w:space="0" w:color="000000"/>
            </w:tcBorders>
          </w:tcPr>
          <w:p w14:paraId="1496A803" w14:textId="77777777" w:rsidR="00D27A53" w:rsidRPr="00D27A53" w:rsidRDefault="00D27A53" w:rsidP="0076324F">
            <w:pPr>
              <w:ind w:left="134" w:right="53"/>
              <w:rPr>
                <w:sz w:val="24"/>
                <w:szCs w:val="24"/>
                <w:lang w:val="es-ES"/>
              </w:rPr>
            </w:pPr>
          </w:p>
        </w:tc>
        <w:tc>
          <w:tcPr>
            <w:tcW w:w="1107" w:type="pct"/>
            <w:tcBorders>
              <w:top w:val="single" w:sz="4" w:space="0" w:color="000000"/>
              <w:left w:val="single" w:sz="4" w:space="0" w:color="000000"/>
              <w:bottom w:val="single" w:sz="4" w:space="0" w:color="000000"/>
              <w:right w:val="single" w:sz="4" w:space="0" w:color="000000"/>
            </w:tcBorders>
          </w:tcPr>
          <w:p w14:paraId="72B84A49" w14:textId="77777777" w:rsidR="00D27A53" w:rsidRPr="00D27A53" w:rsidRDefault="00D27A53" w:rsidP="0076324F">
            <w:pPr>
              <w:ind w:left="134" w:right="53"/>
              <w:rPr>
                <w:sz w:val="24"/>
                <w:szCs w:val="24"/>
                <w:lang w:val="es-ES"/>
              </w:rPr>
            </w:pPr>
          </w:p>
        </w:tc>
      </w:tr>
      <w:tr w:rsidR="00D27A53" w:rsidRPr="00D27A53" w14:paraId="1792ABED" w14:textId="77777777" w:rsidTr="00A27D30">
        <w:trPr>
          <w:trHeight w:val="3038"/>
        </w:trPr>
        <w:tc>
          <w:tcPr>
            <w:tcW w:w="1134" w:type="pct"/>
            <w:gridSpan w:val="2"/>
            <w:tcBorders>
              <w:top w:val="single" w:sz="4" w:space="0" w:color="000000"/>
              <w:left w:val="single" w:sz="4" w:space="0" w:color="000000"/>
              <w:bottom w:val="single" w:sz="4" w:space="0" w:color="000000"/>
              <w:right w:val="single" w:sz="4" w:space="0" w:color="000000"/>
            </w:tcBorders>
            <w:hideMark/>
          </w:tcPr>
          <w:p w14:paraId="57C63544" w14:textId="77777777" w:rsidR="00D27A53" w:rsidRPr="00D27A53" w:rsidRDefault="00D27A53" w:rsidP="0076324F">
            <w:pPr>
              <w:ind w:left="134" w:right="53"/>
              <w:rPr>
                <w:sz w:val="24"/>
                <w:szCs w:val="24"/>
              </w:rPr>
            </w:pPr>
            <w:r w:rsidRPr="00D27A53">
              <w:rPr>
                <w:sz w:val="24"/>
                <w:szCs w:val="24"/>
                <w:lang w:bidi="da-DK"/>
              </w:rPr>
              <w:t>Hud og subkutane væv</w:t>
            </w:r>
          </w:p>
        </w:tc>
        <w:tc>
          <w:tcPr>
            <w:tcW w:w="871" w:type="pct"/>
            <w:tcBorders>
              <w:top w:val="single" w:sz="4" w:space="0" w:color="000000"/>
              <w:left w:val="single" w:sz="4" w:space="0" w:color="000000"/>
              <w:bottom w:val="single" w:sz="4" w:space="0" w:color="000000"/>
              <w:right w:val="single" w:sz="4" w:space="0" w:color="000000"/>
            </w:tcBorders>
          </w:tcPr>
          <w:p w14:paraId="69F65774" w14:textId="77777777" w:rsidR="00D27A53" w:rsidRPr="00D27A53" w:rsidRDefault="00D27A53" w:rsidP="0076324F">
            <w:pPr>
              <w:ind w:left="134" w:right="53"/>
              <w:rPr>
                <w:sz w:val="24"/>
                <w:szCs w:val="24"/>
              </w:rPr>
            </w:pPr>
          </w:p>
        </w:tc>
        <w:tc>
          <w:tcPr>
            <w:tcW w:w="945" w:type="pct"/>
            <w:tcBorders>
              <w:top w:val="single" w:sz="4" w:space="0" w:color="000000"/>
              <w:left w:val="single" w:sz="4" w:space="0" w:color="000000"/>
              <w:bottom w:val="single" w:sz="4" w:space="0" w:color="000000"/>
              <w:right w:val="single" w:sz="4" w:space="0" w:color="000000"/>
            </w:tcBorders>
            <w:hideMark/>
          </w:tcPr>
          <w:p w14:paraId="2A85F09B" w14:textId="77777777" w:rsidR="00D27A53" w:rsidRPr="00D27A53" w:rsidRDefault="00D27A53" w:rsidP="0076324F">
            <w:pPr>
              <w:ind w:left="134" w:right="53"/>
              <w:rPr>
                <w:sz w:val="24"/>
                <w:szCs w:val="24"/>
              </w:rPr>
            </w:pPr>
            <w:r w:rsidRPr="00D27A53">
              <w:rPr>
                <w:sz w:val="24"/>
                <w:szCs w:val="24"/>
                <w:lang w:bidi="da-DK"/>
              </w:rPr>
              <w:t xml:space="preserve">Udslæt (herunder </w:t>
            </w:r>
            <w:proofErr w:type="spellStart"/>
            <w:r w:rsidRPr="00D27A53">
              <w:rPr>
                <w:sz w:val="24"/>
                <w:szCs w:val="24"/>
                <w:lang w:bidi="da-DK"/>
              </w:rPr>
              <w:t>makulopapuløst</w:t>
            </w:r>
            <w:proofErr w:type="spellEnd"/>
            <w:r w:rsidRPr="00D27A53">
              <w:rPr>
                <w:sz w:val="24"/>
                <w:szCs w:val="24"/>
                <w:lang w:bidi="da-DK"/>
              </w:rPr>
              <w:t xml:space="preserve"> udslæt, kløende udslæt)</w:t>
            </w:r>
          </w:p>
        </w:tc>
        <w:tc>
          <w:tcPr>
            <w:tcW w:w="944" w:type="pct"/>
            <w:tcBorders>
              <w:top w:val="single" w:sz="4" w:space="0" w:color="000000"/>
              <w:left w:val="single" w:sz="4" w:space="0" w:color="000000"/>
              <w:bottom w:val="single" w:sz="4" w:space="0" w:color="000000"/>
              <w:right w:val="single" w:sz="4" w:space="0" w:color="000000"/>
            </w:tcBorders>
            <w:hideMark/>
          </w:tcPr>
          <w:p w14:paraId="6F6C40A0" w14:textId="77777777" w:rsidR="00D27A53" w:rsidRPr="00D27A53" w:rsidRDefault="00D27A53" w:rsidP="0076324F">
            <w:pPr>
              <w:ind w:left="134" w:right="53"/>
              <w:rPr>
                <w:sz w:val="24"/>
                <w:szCs w:val="24"/>
              </w:rPr>
            </w:pPr>
            <w:r w:rsidRPr="00D27A53">
              <w:rPr>
                <w:sz w:val="24"/>
                <w:szCs w:val="24"/>
                <w:lang w:bidi="da-DK"/>
              </w:rPr>
              <w:t>Urticaria, kløe</w:t>
            </w:r>
          </w:p>
        </w:tc>
        <w:tc>
          <w:tcPr>
            <w:tcW w:w="1107" w:type="pct"/>
            <w:tcBorders>
              <w:top w:val="single" w:sz="4" w:space="0" w:color="000000"/>
              <w:left w:val="single" w:sz="4" w:space="0" w:color="000000"/>
              <w:bottom w:val="single" w:sz="4" w:space="0" w:color="000000"/>
              <w:right w:val="single" w:sz="4" w:space="0" w:color="000000"/>
            </w:tcBorders>
            <w:hideMark/>
          </w:tcPr>
          <w:p w14:paraId="26F81D8F" w14:textId="77777777" w:rsidR="00D27A53" w:rsidRPr="00D27A53" w:rsidRDefault="00D27A53" w:rsidP="0076324F">
            <w:pPr>
              <w:ind w:left="134" w:right="53"/>
              <w:rPr>
                <w:sz w:val="24"/>
                <w:szCs w:val="24"/>
              </w:rPr>
            </w:pPr>
            <w:r w:rsidRPr="00D27A53">
              <w:rPr>
                <w:sz w:val="24"/>
                <w:szCs w:val="24"/>
                <w:lang w:bidi="da-DK"/>
              </w:rPr>
              <w:t xml:space="preserve">Blister, hudafskrabning, Stevens-Johnsons syndrom, toksisk </w:t>
            </w:r>
            <w:proofErr w:type="spellStart"/>
            <w:r w:rsidRPr="00D27A53">
              <w:rPr>
                <w:sz w:val="24"/>
                <w:szCs w:val="24"/>
                <w:lang w:bidi="da-DK"/>
              </w:rPr>
              <w:t>epidermal</w:t>
            </w:r>
            <w:proofErr w:type="spellEnd"/>
            <w:r w:rsidRPr="00D27A53">
              <w:rPr>
                <w:sz w:val="24"/>
                <w:szCs w:val="24"/>
                <w:lang w:bidi="da-DK"/>
              </w:rPr>
              <w:t xml:space="preserve"> </w:t>
            </w:r>
            <w:proofErr w:type="spellStart"/>
            <w:r w:rsidRPr="00D27A53">
              <w:rPr>
                <w:sz w:val="24"/>
                <w:szCs w:val="24"/>
                <w:lang w:bidi="da-DK"/>
              </w:rPr>
              <w:t>nekrolyse</w:t>
            </w:r>
            <w:proofErr w:type="spellEnd"/>
            <w:r w:rsidRPr="00D27A53">
              <w:rPr>
                <w:sz w:val="24"/>
                <w:szCs w:val="24"/>
                <w:lang w:bidi="da-DK"/>
              </w:rPr>
              <w:t xml:space="preserve"> (</w:t>
            </w:r>
            <w:proofErr w:type="spellStart"/>
            <w:r w:rsidRPr="00D27A53">
              <w:rPr>
                <w:sz w:val="24"/>
                <w:szCs w:val="24"/>
                <w:lang w:bidi="da-DK"/>
              </w:rPr>
              <w:t>Lyells</w:t>
            </w:r>
            <w:proofErr w:type="spellEnd"/>
            <w:r w:rsidRPr="00D27A53">
              <w:rPr>
                <w:sz w:val="24"/>
                <w:szCs w:val="24"/>
                <w:lang w:bidi="da-DK"/>
              </w:rPr>
              <w:t xml:space="preserve"> syndrom), DRESS-syndrom (lægemiddelreaktion med </w:t>
            </w:r>
            <w:proofErr w:type="spellStart"/>
            <w:r w:rsidRPr="00D27A53">
              <w:rPr>
                <w:sz w:val="24"/>
                <w:szCs w:val="24"/>
                <w:lang w:bidi="da-DK"/>
              </w:rPr>
              <w:t>eosinofili</w:t>
            </w:r>
            <w:proofErr w:type="spellEnd"/>
            <w:r w:rsidRPr="00D27A53">
              <w:rPr>
                <w:sz w:val="24"/>
                <w:szCs w:val="24"/>
                <w:lang w:bidi="da-DK"/>
              </w:rPr>
              <w:t xml:space="preserve"> og systemiske symptomer)</w:t>
            </w:r>
          </w:p>
        </w:tc>
      </w:tr>
      <w:tr w:rsidR="00D27A53" w:rsidRPr="00D27A53" w14:paraId="2B2A902F" w14:textId="77777777" w:rsidTr="00A27D30">
        <w:trPr>
          <w:trHeight w:val="517"/>
        </w:trPr>
        <w:tc>
          <w:tcPr>
            <w:tcW w:w="1134" w:type="pct"/>
            <w:gridSpan w:val="2"/>
            <w:tcBorders>
              <w:top w:val="single" w:sz="4" w:space="0" w:color="000000"/>
              <w:left w:val="single" w:sz="4" w:space="0" w:color="000000"/>
              <w:bottom w:val="single" w:sz="4" w:space="0" w:color="000000"/>
              <w:right w:val="single" w:sz="4" w:space="0" w:color="000000"/>
            </w:tcBorders>
            <w:hideMark/>
          </w:tcPr>
          <w:p w14:paraId="70DA66AE" w14:textId="77777777" w:rsidR="00D27A53" w:rsidRPr="00D27A53" w:rsidRDefault="00D27A53" w:rsidP="0076324F">
            <w:pPr>
              <w:ind w:left="134" w:right="53"/>
              <w:rPr>
                <w:sz w:val="24"/>
                <w:szCs w:val="24"/>
              </w:rPr>
            </w:pPr>
            <w:r w:rsidRPr="00D27A53">
              <w:rPr>
                <w:sz w:val="24"/>
                <w:szCs w:val="24"/>
                <w:lang w:bidi="da-DK"/>
              </w:rPr>
              <w:t>Sygdomme i nyrer og urinveje</w:t>
            </w:r>
          </w:p>
        </w:tc>
        <w:tc>
          <w:tcPr>
            <w:tcW w:w="871" w:type="pct"/>
            <w:tcBorders>
              <w:top w:val="single" w:sz="4" w:space="0" w:color="000000"/>
              <w:left w:val="single" w:sz="4" w:space="0" w:color="000000"/>
              <w:bottom w:val="single" w:sz="4" w:space="0" w:color="000000"/>
              <w:right w:val="single" w:sz="4" w:space="0" w:color="000000"/>
            </w:tcBorders>
          </w:tcPr>
          <w:p w14:paraId="05A21B46" w14:textId="77777777" w:rsidR="00D27A53" w:rsidRPr="00D27A53" w:rsidRDefault="00D27A53" w:rsidP="0076324F">
            <w:pPr>
              <w:ind w:left="134" w:right="53"/>
              <w:rPr>
                <w:sz w:val="24"/>
                <w:szCs w:val="24"/>
              </w:rPr>
            </w:pPr>
          </w:p>
        </w:tc>
        <w:tc>
          <w:tcPr>
            <w:tcW w:w="945" w:type="pct"/>
            <w:tcBorders>
              <w:top w:val="single" w:sz="4" w:space="0" w:color="000000"/>
              <w:left w:val="single" w:sz="4" w:space="0" w:color="000000"/>
              <w:bottom w:val="single" w:sz="4" w:space="0" w:color="000000"/>
              <w:right w:val="single" w:sz="4" w:space="0" w:color="000000"/>
            </w:tcBorders>
            <w:hideMark/>
          </w:tcPr>
          <w:p w14:paraId="36FCFBDC" w14:textId="77777777" w:rsidR="00D27A53" w:rsidRPr="00D27A53" w:rsidRDefault="00D27A53" w:rsidP="0076324F">
            <w:pPr>
              <w:ind w:left="134" w:right="53"/>
              <w:rPr>
                <w:sz w:val="24"/>
                <w:szCs w:val="24"/>
              </w:rPr>
            </w:pPr>
            <w:proofErr w:type="spellStart"/>
            <w:r w:rsidRPr="00D27A53">
              <w:rPr>
                <w:sz w:val="24"/>
                <w:szCs w:val="24"/>
                <w:lang w:bidi="da-DK"/>
              </w:rPr>
              <w:t>Chromaturia</w:t>
            </w:r>
            <w:proofErr w:type="spellEnd"/>
          </w:p>
        </w:tc>
        <w:tc>
          <w:tcPr>
            <w:tcW w:w="944" w:type="pct"/>
            <w:tcBorders>
              <w:top w:val="single" w:sz="4" w:space="0" w:color="000000"/>
              <w:left w:val="single" w:sz="4" w:space="0" w:color="000000"/>
              <w:bottom w:val="single" w:sz="4" w:space="0" w:color="000000"/>
              <w:right w:val="single" w:sz="4" w:space="0" w:color="000000"/>
            </w:tcBorders>
          </w:tcPr>
          <w:p w14:paraId="2256FFF0" w14:textId="77777777" w:rsidR="00D27A53" w:rsidRPr="00D27A53" w:rsidRDefault="00D27A53" w:rsidP="0076324F">
            <w:pPr>
              <w:ind w:left="134" w:right="53"/>
              <w:rPr>
                <w:sz w:val="24"/>
                <w:szCs w:val="24"/>
              </w:rPr>
            </w:pPr>
          </w:p>
        </w:tc>
        <w:tc>
          <w:tcPr>
            <w:tcW w:w="1107" w:type="pct"/>
            <w:tcBorders>
              <w:top w:val="single" w:sz="4" w:space="0" w:color="000000"/>
              <w:left w:val="single" w:sz="4" w:space="0" w:color="000000"/>
              <w:bottom w:val="single" w:sz="4" w:space="0" w:color="000000"/>
              <w:right w:val="single" w:sz="4" w:space="0" w:color="000000"/>
            </w:tcBorders>
          </w:tcPr>
          <w:p w14:paraId="7EA56BEE" w14:textId="77777777" w:rsidR="00D27A53" w:rsidRPr="00D27A53" w:rsidRDefault="00D27A53" w:rsidP="0076324F">
            <w:pPr>
              <w:ind w:left="134" w:right="53"/>
              <w:rPr>
                <w:sz w:val="24"/>
                <w:szCs w:val="24"/>
              </w:rPr>
            </w:pPr>
          </w:p>
        </w:tc>
      </w:tr>
      <w:tr w:rsidR="00D27A53" w:rsidRPr="00D27A53" w14:paraId="55006D19" w14:textId="77777777" w:rsidTr="00A27D30">
        <w:trPr>
          <w:trHeight w:val="782"/>
        </w:trPr>
        <w:tc>
          <w:tcPr>
            <w:tcW w:w="1134" w:type="pct"/>
            <w:gridSpan w:val="2"/>
            <w:tcBorders>
              <w:top w:val="single" w:sz="4" w:space="0" w:color="000000"/>
              <w:left w:val="single" w:sz="4" w:space="0" w:color="000000"/>
              <w:bottom w:val="single" w:sz="4" w:space="0" w:color="000000"/>
              <w:right w:val="single" w:sz="4" w:space="0" w:color="000000"/>
            </w:tcBorders>
            <w:hideMark/>
          </w:tcPr>
          <w:p w14:paraId="1AEA2555" w14:textId="437A6358" w:rsidR="00D27A53" w:rsidRPr="00D27A53" w:rsidRDefault="00D27A53" w:rsidP="0076324F">
            <w:pPr>
              <w:ind w:left="134" w:right="53"/>
              <w:rPr>
                <w:sz w:val="24"/>
                <w:szCs w:val="24"/>
              </w:rPr>
            </w:pPr>
            <w:r w:rsidRPr="00D27A53">
              <w:rPr>
                <w:sz w:val="24"/>
                <w:szCs w:val="24"/>
                <w:lang w:bidi="da-DK"/>
              </w:rPr>
              <w:t>Almene symptomer på administrationsstedet</w:t>
            </w:r>
          </w:p>
        </w:tc>
        <w:tc>
          <w:tcPr>
            <w:tcW w:w="871" w:type="pct"/>
            <w:tcBorders>
              <w:top w:val="single" w:sz="4" w:space="0" w:color="000000"/>
              <w:left w:val="single" w:sz="4" w:space="0" w:color="000000"/>
              <w:bottom w:val="single" w:sz="4" w:space="0" w:color="000000"/>
              <w:right w:val="single" w:sz="4" w:space="0" w:color="000000"/>
            </w:tcBorders>
          </w:tcPr>
          <w:p w14:paraId="23A6E195" w14:textId="77777777" w:rsidR="00D27A53" w:rsidRPr="00D27A53" w:rsidRDefault="00D27A53" w:rsidP="0076324F">
            <w:pPr>
              <w:ind w:left="134" w:right="53"/>
              <w:rPr>
                <w:sz w:val="24"/>
                <w:szCs w:val="24"/>
              </w:rPr>
            </w:pPr>
          </w:p>
        </w:tc>
        <w:tc>
          <w:tcPr>
            <w:tcW w:w="945" w:type="pct"/>
            <w:tcBorders>
              <w:top w:val="single" w:sz="4" w:space="0" w:color="000000"/>
              <w:left w:val="single" w:sz="4" w:space="0" w:color="000000"/>
              <w:bottom w:val="single" w:sz="4" w:space="0" w:color="000000"/>
              <w:right w:val="single" w:sz="4" w:space="0" w:color="000000"/>
            </w:tcBorders>
            <w:hideMark/>
          </w:tcPr>
          <w:p w14:paraId="5428D157" w14:textId="77777777" w:rsidR="00D27A53" w:rsidRPr="00D27A53" w:rsidRDefault="00D27A53" w:rsidP="0076324F">
            <w:pPr>
              <w:ind w:left="134" w:right="53"/>
              <w:rPr>
                <w:sz w:val="24"/>
                <w:szCs w:val="24"/>
              </w:rPr>
            </w:pPr>
            <w:r w:rsidRPr="00D27A53">
              <w:rPr>
                <w:sz w:val="24"/>
                <w:szCs w:val="24"/>
                <w:lang w:bidi="da-DK"/>
              </w:rPr>
              <w:t>Asteniske tilstande**</w:t>
            </w:r>
          </w:p>
        </w:tc>
        <w:tc>
          <w:tcPr>
            <w:tcW w:w="944" w:type="pct"/>
            <w:tcBorders>
              <w:top w:val="single" w:sz="4" w:space="0" w:color="000000"/>
              <w:left w:val="single" w:sz="4" w:space="0" w:color="000000"/>
              <w:bottom w:val="single" w:sz="4" w:space="0" w:color="000000"/>
              <w:right w:val="single" w:sz="4" w:space="0" w:color="000000"/>
            </w:tcBorders>
            <w:hideMark/>
          </w:tcPr>
          <w:p w14:paraId="3CF3E9FF" w14:textId="77777777" w:rsidR="00D27A53" w:rsidRPr="00D27A53" w:rsidRDefault="00D27A53" w:rsidP="0076324F">
            <w:pPr>
              <w:ind w:left="134" w:right="53"/>
              <w:rPr>
                <w:sz w:val="24"/>
                <w:szCs w:val="24"/>
              </w:rPr>
            </w:pPr>
            <w:r w:rsidRPr="00D27A53">
              <w:rPr>
                <w:sz w:val="24"/>
                <w:szCs w:val="24"/>
                <w:lang w:bidi="da-DK"/>
              </w:rPr>
              <w:t>Smerter i brystet, ubehag i brystet</w:t>
            </w:r>
          </w:p>
        </w:tc>
        <w:tc>
          <w:tcPr>
            <w:tcW w:w="1107" w:type="pct"/>
            <w:tcBorders>
              <w:top w:val="single" w:sz="4" w:space="0" w:color="000000"/>
              <w:left w:val="single" w:sz="4" w:space="0" w:color="000000"/>
              <w:bottom w:val="single" w:sz="4" w:space="0" w:color="000000"/>
              <w:right w:val="single" w:sz="4" w:space="0" w:color="000000"/>
            </w:tcBorders>
          </w:tcPr>
          <w:p w14:paraId="7464AAFC" w14:textId="77777777" w:rsidR="00D27A53" w:rsidRPr="00D27A53" w:rsidRDefault="00D27A53" w:rsidP="0076324F">
            <w:pPr>
              <w:ind w:left="134" w:right="53"/>
              <w:rPr>
                <w:sz w:val="24"/>
                <w:szCs w:val="24"/>
              </w:rPr>
            </w:pPr>
          </w:p>
        </w:tc>
      </w:tr>
    </w:tbl>
    <w:p w14:paraId="0C663320" w14:textId="77777777" w:rsidR="00D27A53" w:rsidRPr="00D27A53" w:rsidRDefault="00D27A53" w:rsidP="00A27D30">
      <w:pPr>
        <w:ind w:left="426" w:hanging="426"/>
        <w:rPr>
          <w:sz w:val="24"/>
          <w:szCs w:val="24"/>
          <w:lang w:bidi="da-DK"/>
        </w:rPr>
      </w:pPr>
      <w:r w:rsidRPr="00D27A53">
        <w:rPr>
          <w:sz w:val="24"/>
          <w:szCs w:val="24"/>
          <w:lang w:bidi="da-DK"/>
        </w:rPr>
        <w:t xml:space="preserve">* Term på laveste niveau (LLT); ** Term på højt niveau (HLT) </w:t>
      </w:r>
    </w:p>
    <w:p w14:paraId="47C3FA56" w14:textId="77777777" w:rsidR="00D27A53" w:rsidRPr="00D27A53" w:rsidRDefault="00D27A53" w:rsidP="00A27D30">
      <w:pPr>
        <w:ind w:left="426" w:hanging="426"/>
        <w:rPr>
          <w:sz w:val="24"/>
          <w:szCs w:val="24"/>
        </w:rPr>
      </w:pPr>
      <w:proofErr w:type="spellStart"/>
      <w:r w:rsidRPr="00D27A53">
        <w:rPr>
          <w:sz w:val="24"/>
          <w:szCs w:val="24"/>
          <w:lang w:bidi="da-DK"/>
        </w:rPr>
        <w:t>MedDRA</w:t>
      </w:r>
      <w:proofErr w:type="spellEnd"/>
      <w:r w:rsidRPr="00D27A53">
        <w:rPr>
          <w:sz w:val="24"/>
          <w:szCs w:val="24"/>
          <w:lang w:bidi="da-DK"/>
        </w:rPr>
        <w:t xml:space="preserve"> Version 11.0</w:t>
      </w:r>
    </w:p>
    <w:p w14:paraId="55759874" w14:textId="77777777" w:rsidR="00D27A53" w:rsidRPr="00D27A53" w:rsidRDefault="00D27A53" w:rsidP="00695AC0">
      <w:pPr>
        <w:ind w:left="851"/>
        <w:rPr>
          <w:sz w:val="24"/>
          <w:szCs w:val="24"/>
        </w:rPr>
      </w:pPr>
    </w:p>
    <w:p w14:paraId="1B667A47" w14:textId="08970BC0" w:rsidR="00D27A53" w:rsidRPr="00A27D30" w:rsidRDefault="00D27A53" w:rsidP="00A27D30">
      <w:pPr>
        <w:pStyle w:val="Listeafsnit"/>
        <w:numPr>
          <w:ilvl w:val="0"/>
          <w:numId w:val="11"/>
        </w:numPr>
        <w:ind w:left="1276" w:hanging="425"/>
        <w:rPr>
          <w:sz w:val="24"/>
          <w:szCs w:val="24"/>
          <w:u w:val="single"/>
        </w:rPr>
      </w:pPr>
      <w:r w:rsidRPr="00A27D30">
        <w:rPr>
          <w:sz w:val="24"/>
          <w:szCs w:val="24"/>
          <w:u w:val="single"/>
          <w:lang w:bidi="da-DK"/>
        </w:rPr>
        <w:t>Beskrivelse af udvalgte bivirkninger</w:t>
      </w:r>
    </w:p>
    <w:p w14:paraId="4441EB9D" w14:textId="77777777" w:rsidR="0076324F" w:rsidRDefault="0076324F" w:rsidP="00695AC0">
      <w:pPr>
        <w:ind w:left="851"/>
        <w:rPr>
          <w:sz w:val="24"/>
          <w:szCs w:val="24"/>
          <w:lang w:bidi="da-DK"/>
        </w:rPr>
      </w:pPr>
    </w:p>
    <w:p w14:paraId="456DAAFE" w14:textId="127F99F4" w:rsidR="00D27A53" w:rsidRPr="00D27A53" w:rsidRDefault="00D27A53" w:rsidP="00695AC0">
      <w:pPr>
        <w:ind w:left="851"/>
        <w:rPr>
          <w:sz w:val="24"/>
          <w:szCs w:val="24"/>
        </w:rPr>
      </w:pPr>
      <w:r w:rsidRPr="00D27A53">
        <w:rPr>
          <w:sz w:val="24"/>
          <w:szCs w:val="24"/>
          <w:lang w:bidi="da-DK"/>
        </w:rPr>
        <w:t xml:space="preserve">Sort afføring og misfarvning af tungen kan forekomme med </w:t>
      </w:r>
      <w:proofErr w:type="spellStart"/>
      <w:r w:rsidRPr="00D27A53">
        <w:rPr>
          <w:sz w:val="24"/>
          <w:szCs w:val="24"/>
          <w:lang w:bidi="da-DK"/>
        </w:rPr>
        <w:t>bismuthforbindelser</w:t>
      </w:r>
      <w:proofErr w:type="spellEnd"/>
      <w:r w:rsidRPr="00D27A53">
        <w:rPr>
          <w:sz w:val="24"/>
          <w:szCs w:val="24"/>
          <w:lang w:bidi="da-DK"/>
        </w:rPr>
        <w:t xml:space="preserve"> på grund af omdannelse til </w:t>
      </w:r>
      <w:proofErr w:type="spellStart"/>
      <w:r w:rsidRPr="00D27A53">
        <w:rPr>
          <w:sz w:val="24"/>
          <w:szCs w:val="24"/>
          <w:lang w:bidi="da-DK"/>
        </w:rPr>
        <w:t>bismuthsulfid</w:t>
      </w:r>
      <w:proofErr w:type="spellEnd"/>
      <w:r w:rsidRPr="00D27A53">
        <w:rPr>
          <w:sz w:val="24"/>
          <w:szCs w:val="24"/>
          <w:lang w:bidi="da-DK"/>
        </w:rPr>
        <w:t xml:space="preserve"> i </w:t>
      </w:r>
      <w:proofErr w:type="spellStart"/>
      <w:r w:rsidRPr="00D27A53">
        <w:rPr>
          <w:sz w:val="24"/>
          <w:szCs w:val="24"/>
          <w:lang w:bidi="da-DK"/>
        </w:rPr>
        <w:t>mave-tarmkanalen</w:t>
      </w:r>
      <w:proofErr w:type="spellEnd"/>
      <w:r w:rsidRPr="00D27A53">
        <w:rPr>
          <w:sz w:val="24"/>
          <w:szCs w:val="24"/>
          <w:lang w:bidi="da-DK"/>
        </w:rPr>
        <w:t xml:space="preserve">; </w:t>
      </w:r>
      <w:proofErr w:type="spellStart"/>
      <w:r w:rsidRPr="00D27A53">
        <w:rPr>
          <w:sz w:val="24"/>
          <w:szCs w:val="24"/>
          <w:lang w:bidi="da-DK"/>
        </w:rPr>
        <w:t>stomatitis</w:t>
      </w:r>
      <w:proofErr w:type="spellEnd"/>
      <w:r w:rsidRPr="00D27A53">
        <w:rPr>
          <w:sz w:val="24"/>
          <w:szCs w:val="24"/>
          <w:lang w:bidi="da-DK"/>
        </w:rPr>
        <w:t xml:space="preserve"> er blevet tilskrevet </w:t>
      </w:r>
      <w:proofErr w:type="spellStart"/>
      <w:r w:rsidRPr="00D27A53">
        <w:rPr>
          <w:sz w:val="24"/>
          <w:szCs w:val="24"/>
          <w:lang w:bidi="da-DK"/>
        </w:rPr>
        <w:t>bismuthsalte</w:t>
      </w:r>
      <w:proofErr w:type="spellEnd"/>
      <w:r w:rsidRPr="00D27A53">
        <w:rPr>
          <w:sz w:val="24"/>
          <w:szCs w:val="24"/>
          <w:lang w:bidi="da-DK"/>
        </w:rPr>
        <w:t xml:space="preserve">, men er også blevet rapporteret ved brug af </w:t>
      </w:r>
      <w:proofErr w:type="spellStart"/>
      <w:r w:rsidRPr="00D27A53">
        <w:rPr>
          <w:sz w:val="24"/>
          <w:szCs w:val="24"/>
          <w:lang w:bidi="da-DK"/>
        </w:rPr>
        <w:t>metronidazol</w:t>
      </w:r>
      <w:proofErr w:type="spellEnd"/>
      <w:r w:rsidRPr="00D27A53">
        <w:rPr>
          <w:sz w:val="24"/>
          <w:szCs w:val="24"/>
          <w:lang w:bidi="da-DK"/>
        </w:rPr>
        <w:t>.</w:t>
      </w:r>
    </w:p>
    <w:p w14:paraId="1B45AAC4" w14:textId="77777777" w:rsidR="00D27A53" w:rsidRPr="00D27A53" w:rsidRDefault="00D27A53" w:rsidP="00695AC0">
      <w:pPr>
        <w:ind w:left="851"/>
        <w:rPr>
          <w:sz w:val="24"/>
          <w:szCs w:val="24"/>
        </w:rPr>
      </w:pPr>
      <w:r w:rsidRPr="00D27A53">
        <w:rPr>
          <w:sz w:val="24"/>
          <w:szCs w:val="24"/>
          <w:lang w:bidi="da-DK"/>
        </w:rPr>
        <w:t xml:space="preserve">Ligesom andre antimikrobielle midler kan tetracyklin føre til udvikling af superinfektioner. </w:t>
      </w:r>
      <w:proofErr w:type="spellStart"/>
      <w:r w:rsidRPr="00D27A53">
        <w:rPr>
          <w:sz w:val="24"/>
          <w:szCs w:val="24"/>
          <w:lang w:bidi="da-DK"/>
        </w:rPr>
        <w:t>Candidiasis</w:t>
      </w:r>
      <w:proofErr w:type="spellEnd"/>
      <w:r w:rsidRPr="00D27A53">
        <w:rPr>
          <w:sz w:val="24"/>
          <w:szCs w:val="24"/>
          <w:lang w:bidi="da-DK"/>
        </w:rPr>
        <w:t xml:space="preserve"> (oral og vaginal) skyldes sandsynligvis tetracyklin.</w:t>
      </w:r>
    </w:p>
    <w:p w14:paraId="5AB4E889" w14:textId="77777777" w:rsidR="00D27A53" w:rsidRPr="00D27A53" w:rsidRDefault="00D27A53" w:rsidP="00695AC0">
      <w:pPr>
        <w:ind w:left="851"/>
        <w:rPr>
          <w:sz w:val="24"/>
          <w:szCs w:val="24"/>
        </w:rPr>
      </w:pPr>
    </w:p>
    <w:p w14:paraId="6949A69C" w14:textId="77777777" w:rsidR="00D27A53" w:rsidRPr="00D27A53" w:rsidRDefault="00D27A53" w:rsidP="00695AC0">
      <w:pPr>
        <w:ind w:left="851"/>
        <w:rPr>
          <w:sz w:val="24"/>
          <w:szCs w:val="24"/>
        </w:rPr>
      </w:pPr>
      <w:r w:rsidRPr="00D27A53">
        <w:rPr>
          <w:sz w:val="24"/>
          <w:szCs w:val="24"/>
          <w:lang w:bidi="da-DK"/>
        </w:rPr>
        <w:t xml:space="preserve">Svimmelhed, </w:t>
      </w:r>
      <w:proofErr w:type="spellStart"/>
      <w:r w:rsidRPr="00D27A53">
        <w:rPr>
          <w:sz w:val="24"/>
          <w:szCs w:val="24"/>
          <w:lang w:bidi="da-DK"/>
        </w:rPr>
        <w:t>dysgeusi</w:t>
      </w:r>
      <w:proofErr w:type="spellEnd"/>
      <w:r w:rsidRPr="00D27A53">
        <w:rPr>
          <w:sz w:val="24"/>
          <w:szCs w:val="24"/>
          <w:lang w:bidi="da-DK"/>
        </w:rPr>
        <w:t xml:space="preserve">, hovedpine og </w:t>
      </w:r>
      <w:proofErr w:type="spellStart"/>
      <w:r w:rsidRPr="00D27A53">
        <w:rPr>
          <w:sz w:val="24"/>
          <w:szCs w:val="24"/>
          <w:lang w:bidi="da-DK"/>
        </w:rPr>
        <w:t>kromaturi</w:t>
      </w:r>
      <w:proofErr w:type="spellEnd"/>
      <w:r w:rsidRPr="00D27A53">
        <w:rPr>
          <w:sz w:val="24"/>
          <w:szCs w:val="24"/>
          <w:lang w:bidi="da-DK"/>
        </w:rPr>
        <w:t xml:space="preserve"> (mørkfarvning af urinen) kan sandsynligvis tilskrives </w:t>
      </w:r>
      <w:proofErr w:type="spellStart"/>
      <w:r w:rsidRPr="00D27A53">
        <w:rPr>
          <w:sz w:val="24"/>
          <w:szCs w:val="24"/>
          <w:lang w:bidi="da-DK"/>
        </w:rPr>
        <w:t>metronidazol</w:t>
      </w:r>
      <w:proofErr w:type="spellEnd"/>
      <w:r w:rsidRPr="00D27A53">
        <w:rPr>
          <w:sz w:val="24"/>
          <w:szCs w:val="24"/>
          <w:lang w:bidi="da-DK"/>
        </w:rPr>
        <w:t>.</w:t>
      </w:r>
    </w:p>
    <w:p w14:paraId="5B02D399" w14:textId="77777777" w:rsidR="00A27D30" w:rsidRDefault="00A27D30" w:rsidP="00695AC0">
      <w:pPr>
        <w:ind w:left="851"/>
        <w:rPr>
          <w:sz w:val="24"/>
          <w:szCs w:val="24"/>
          <w:lang w:bidi="da-DK"/>
        </w:rPr>
      </w:pPr>
    </w:p>
    <w:p w14:paraId="49899C84" w14:textId="1F640439" w:rsidR="00D27A53" w:rsidRPr="00D27A53" w:rsidRDefault="00D27A53" w:rsidP="00695AC0">
      <w:pPr>
        <w:ind w:left="851"/>
        <w:rPr>
          <w:sz w:val="24"/>
          <w:szCs w:val="24"/>
        </w:rPr>
      </w:pPr>
      <w:r w:rsidRPr="00D27A53">
        <w:rPr>
          <w:sz w:val="24"/>
          <w:szCs w:val="24"/>
          <w:lang w:bidi="da-DK"/>
        </w:rPr>
        <w:t xml:space="preserve">Reversible og forbigående forhøjelser af </w:t>
      </w:r>
      <w:proofErr w:type="spellStart"/>
      <w:r w:rsidRPr="00D27A53">
        <w:rPr>
          <w:sz w:val="24"/>
          <w:szCs w:val="24"/>
          <w:lang w:bidi="da-DK"/>
        </w:rPr>
        <w:t>transaminaser</w:t>
      </w:r>
      <w:proofErr w:type="spellEnd"/>
      <w:r w:rsidRPr="00D27A53">
        <w:rPr>
          <w:sz w:val="24"/>
          <w:szCs w:val="24"/>
          <w:lang w:bidi="da-DK"/>
        </w:rPr>
        <w:t xml:space="preserve"> er blevet observeret under kliniske forsøg med </w:t>
      </w:r>
      <w:proofErr w:type="spellStart"/>
      <w:r w:rsidRPr="00D27A53">
        <w:rPr>
          <w:sz w:val="24"/>
          <w:szCs w:val="24"/>
          <w:lang w:bidi="da-DK"/>
        </w:rPr>
        <w:t>Pylera</w:t>
      </w:r>
      <w:proofErr w:type="spellEnd"/>
      <w:r w:rsidRPr="00D27A53">
        <w:rPr>
          <w:sz w:val="24"/>
          <w:szCs w:val="24"/>
          <w:lang w:bidi="da-DK"/>
        </w:rPr>
        <w:t>.</w:t>
      </w:r>
    </w:p>
    <w:p w14:paraId="433CA203" w14:textId="77777777" w:rsidR="00A27D30" w:rsidRDefault="00A27D30" w:rsidP="00695AC0">
      <w:pPr>
        <w:ind w:left="851"/>
        <w:rPr>
          <w:sz w:val="24"/>
          <w:szCs w:val="24"/>
          <w:lang w:bidi="da-DK"/>
        </w:rPr>
      </w:pPr>
    </w:p>
    <w:p w14:paraId="3F4658BB" w14:textId="167C8D12" w:rsidR="00D27A53" w:rsidRPr="00D27A53" w:rsidRDefault="00D27A53" w:rsidP="00695AC0">
      <w:pPr>
        <w:ind w:left="851"/>
        <w:rPr>
          <w:sz w:val="24"/>
          <w:szCs w:val="24"/>
        </w:rPr>
      </w:pPr>
      <w:proofErr w:type="spellStart"/>
      <w:r w:rsidRPr="00D27A53">
        <w:rPr>
          <w:sz w:val="24"/>
          <w:szCs w:val="24"/>
          <w:lang w:bidi="da-DK"/>
        </w:rPr>
        <w:t>Cerebellært</w:t>
      </w:r>
      <w:proofErr w:type="spellEnd"/>
      <w:r w:rsidRPr="00D27A53">
        <w:rPr>
          <w:sz w:val="24"/>
          <w:szCs w:val="24"/>
          <w:lang w:bidi="da-DK"/>
        </w:rPr>
        <w:t xml:space="preserve"> syndrom (f.eks. </w:t>
      </w:r>
      <w:proofErr w:type="spellStart"/>
      <w:r w:rsidRPr="00D27A53">
        <w:rPr>
          <w:sz w:val="24"/>
          <w:szCs w:val="24"/>
          <w:lang w:bidi="da-DK"/>
        </w:rPr>
        <w:t>ataksi</w:t>
      </w:r>
      <w:proofErr w:type="spellEnd"/>
      <w:r w:rsidRPr="00D27A53">
        <w:rPr>
          <w:sz w:val="24"/>
          <w:szCs w:val="24"/>
          <w:lang w:bidi="da-DK"/>
        </w:rPr>
        <w:t xml:space="preserve">, </w:t>
      </w:r>
      <w:proofErr w:type="spellStart"/>
      <w:r w:rsidRPr="00D27A53">
        <w:rPr>
          <w:sz w:val="24"/>
          <w:szCs w:val="24"/>
          <w:lang w:bidi="da-DK"/>
        </w:rPr>
        <w:t>dysartri</w:t>
      </w:r>
      <w:proofErr w:type="spellEnd"/>
      <w:r w:rsidRPr="00D27A53">
        <w:rPr>
          <w:sz w:val="24"/>
          <w:szCs w:val="24"/>
          <w:lang w:bidi="da-DK"/>
        </w:rPr>
        <w:t xml:space="preserve">, gangbesvær, nystagmus og </w:t>
      </w:r>
      <w:proofErr w:type="spellStart"/>
      <w:r w:rsidRPr="00D27A53">
        <w:rPr>
          <w:sz w:val="24"/>
          <w:szCs w:val="24"/>
          <w:lang w:bidi="da-DK"/>
        </w:rPr>
        <w:t>tremor</w:t>
      </w:r>
      <w:proofErr w:type="spellEnd"/>
      <w:r w:rsidRPr="00D27A53">
        <w:rPr>
          <w:sz w:val="24"/>
          <w:szCs w:val="24"/>
          <w:lang w:bidi="da-DK"/>
        </w:rPr>
        <w:t xml:space="preserve">), som kan forsvinde ved </w:t>
      </w:r>
      <w:proofErr w:type="spellStart"/>
      <w:r w:rsidRPr="00D27A53">
        <w:rPr>
          <w:sz w:val="24"/>
          <w:szCs w:val="24"/>
          <w:lang w:bidi="da-DK"/>
        </w:rPr>
        <w:t>seponering</w:t>
      </w:r>
      <w:proofErr w:type="spellEnd"/>
      <w:r w:rsidRPr="00D27A53">
        <w:rPr>
          <w:sz w:val="24"/>
          <w:szCs w:val="24"/>
          <w:lang w:bidi="da-DK"/>
        </w:rPr>
        <w:t xml:space="preserve"> af lægemidlet, er blevet observeret med </w:t>
      </w:r>
      <w:proofErr w:type="spellStart"/>
      <w:r w:rsidRPr="00D27A53">
        <w:rPr>
          <w:sz w:val="24"/>
          <w:szCs w:val="24"/>
          <w:lang w:bidi="da-DK"/>
        </w:rPr>
        <w:t>Pylera</w:t>
      </w:r>
      <w:proofErr w:type="spellEnd"/>
      <w:r w:rsidRPr="00D27A53">
        <w:rPr>
          <w:sz w:val="24"/>
          <w:szCs w:val="24"/>
          <w:lang w:bidi="da-DK"/>
        </w:rPr>
        <w:t>.</w:t>
      </w:r>
    </w:p>
    <w:p w14:paraId="54CFE6A4" w14:textId="77777777" w:rsidR="00A27D30" w:rsidRDefault="00A27D30" w:rsidP="00695AC0">
      <w:pPr>
        <w:ind w:left="851"/>
        <w:rPr>
          <w:sz w:val="24"/>
          <w:szCs w:val="24"/>
          <w:lang w:bidi="da-DK"/>
        </w:rPr>
      </w:pPr>
    </w:p>
    <w:p w14:paraId="08C6E38A" w14:textId="082028F5" w:rsidR="00D27A53" w:rsidRPr="00D27A53" w:rsidRDefault="00D27A53" w:rsidP="00695AC0">
      <w:pPr>
        <w:ind w:left="851"/>
        <w:rPr>
          <w:sz w:val="24"/>
          <w:szCs w:val="24"/>
        </w:rPr>
      </w:pPr>
      <w:r w:rsidRPr="00D27A53">
        <w:rPr>
          <w:sz w:val="24"/>
          <w:szCs w:val="24"/>
          <w:lang w:bidi="da-DK"/>
        </w:rPr>
        <w:t xml:space="preserve">Andre vigtige bivirkninger fra produktinformationen om de enkelte komponenter i </w:t>
      </w:r>
      <w:proofErr w:type="spellStart"/>
      <w:r w:rsidRPr="00D27A53">
        <w:rPr>
          <w:sz w:val="24"/>
          <w:szCs w:val="24"/>
          <w:lang w:bidi="da-DK"/>
        </w:rPr>
        <w:t>Pylera</w:t>
      </w:r>
      <w:proofErr w:type="spellEnd"/>
    </w:p>
    <w:p w14:paraId="346E63B9" w14:textId="77777777" w:rsidR="00A27D30" w:rsidRDefault="00A27D30" w:rsidP="00695AC0">
      <w:pPr>
        <w:ind w:left="851"/>
        <w:rPr>
          <w:i/>
          <w:sz w:val="24"/>
          <w:szCs w:val="24"/>
          <w:lang w:bidi="da-DK"/>
        </w:rPr>
      </w:pPr>
    </w:p>
    <w:p w14:paraId="5113E44C" w14:textId="46CFFECA" w:rsidR="00D27A53" w:rsidRPr="00D27A53" w:rsidRDefault="00D27A53" w:rsidP="00695AC0">
      <w:pPr>
        <w:ind w:left="851"/>
        <w:rPr>
          <w:i/>
          <w:sz w:val="24"/>
          <w:szCs w:val="24"/>
        </w:rPr>
      </w:pPr>
      <w:r w:rsidRPr="00D27A53">
        <w:rPr>
          <w:i/>
          <w:sz w:val="24"/>
          <w:szCs w:val="24"/>
          <w:lang w:bidi="da-DK"/>
        </w:rPr>
        <w:t xml:space="preserve">Bivirkninger, der er rapporteret at forekomme med </w:t>
      </w:r>
      <w:proofErr w:type="spellStart"/>
      <w:r w:rsidRPr="00D27A53">
        <w:rPr>
          <w:i/>
          <w:sz w:val="24"/>
          <w:szCs w:val="24"/>
          <w:lang w:bidi="da-DK"/>
        </w:rPr>
        <w:t>bismuth</w:t>
      </w:r>
      <w:proofErr w:type="spellEnd"/>
      <w:r w:rsidRPr="00D27A53">
        <w:rPr>
          <w:i/>
          <w:sz w:val="24"/>
          <w:szCs w:val="24"/>
          <w:lang w:bidi="da-DK"/>
        </w:rPr>
        <w:t>-forbindelser</w:t>
      </w:r>
    </w:p>
    <w:p w14:paraId="032A162C" w14:textId="77777777" w:rsidR="00D27A53" w:rsidRPr="00D27A53" w:rsidRDefault="00D27A53" w:rsidP="00A27D30">
      <w:pPr>
        <w:numPr>
          <w:ilvl w:val="0"/>
          <w:numId w:val="8"/>
        </w:numPr>
        <w:ind w:left="1276"/>
        <w:rPr>
          <w:sz w:val="24"/>
          <w:szCs w:val="24"/>
        </w:rPr>
      </w:pPr>
      <w:r w:rsidRPr="00D27A53">
        <w:rPr>
          <w:sz w:val="24"/>
          <w:szCs w:val="24"/>
          <w:lang w:bidi="da-DK"/>
        </w:rPr>
        <w:t>Encefalopati var forbundet med brug af høje doser af forskellige bismutsalte over en længere periode.</w:t>
      </w:r>
    </w:p>
    <w:p w14:paraId="0AA639FF" w14:textId="77777777" w:rsidR="00A27D30" w:rsidRDefault="00A27D30" w:rsidP="00695AC0">
      <w:pPr>
        <w:ind w:left="851"/>
        <w:rPr>
          <w:i/>
          <w:sz w:val="24"/>
          <w:szCs w:val="24"/>
          <w:lang w:bidi="da-DK"/>
        </w:rPr>
      </w:pPr>
    </w:p>
    <w:p w14:paraId="00A1524E" w14:textId="354A9E43" w:rsidR="00D27A53" w:rsidRPr="00D27A53" w:rsidRDefault="00D27A53" w:rsidP="00695AC0">
      <w:pPr>
        <w:ind w:left="851"/>
        <w:rPr>
          <w:i/>
          <w:sz w:val="24"/>
          <w:szCs w:val="24"/>
        </w:rPr>
      </w:pPr>
      <w:r w:rsidRPr="00D27A53">
        <w:rPr>
          <w:i/>
          <w:sz w:val="24"/>
          <w:szCs w:val="24"/>
          <w:lang w:bidi="da-DK"/>
        </w:rPr>
        <w:t xml:space="preserve">Bivirkninger rapporteret til at forekomme med </w:t>
      </w:r>
      <w:proofErr w:type="spellStart"/>
      <w:r w:rsidRPr="00D27A53">
        <w:rPr>
          <w:i/>
          <w:sz w:val="24"/>
          <w:szCs w:val="24"/>
          <w:lang w:bidi="da-DK"/>
        </w:rPr>
        <w:t>metronidazol</w:t>
      </w:r>
      <w:proofErr w:type="spellEnd"/>
    </w:p>
    <w:p w14:paraId="47DF3648" w14:textId="77777777" w:rsidR="00D27A53" w:rsidRPr="00D27A53" w:rsidRDefault="00D27A53" w:rsidP="00A27D30">
      <w:pPr>
        <w:numPr>
          <w:ilvl w:val="0"/>
          <w:numId w:val="8"/>
        </w:numPr>
        <w:ind w:left="1276"/>
        <w:rPr>
          <w:sz w:val="24"/>
          <w:szCs w:val="24"/>
        </w:rPr>
      </w:pPr>
      <w:r w:rsidRPr="00D27A53">
        <w:rPr>
          <w:sz w:val="24"/>
          <w:szCs w:val="24"/>
          <w:lang w:bidi="da-DK"/>
        </w:rPr>
        <w:t xml:space="preserve">Reversibel </w:t>
      </w:r>
      <w:proofErr w:type="spellStart"/>
      <w:r w:rsidRPr="00D27A53">
        <w:rPr>
          <w:sz w:val="24"/>
          <w:szCs w:val="24"/>
          <w:lang w:bidi="da-DK"/>
        </w:rPr>
        <w:t>leuco-neutropeni</w:t>
      </w:r>
      <w:proofErr w:type="spellEnd"/>
      <w:r w:rsidRPr="00D27A53">
        <w:rPr>
          <w:sz w:val="24"/>
          <w:szCs w:val="24"/>
          <w:lang w:bidi="da-DK"/>
        </w:rPr>
        <w:t xml:space="preserve"> i tilfælde af langvarig behandling; sjældent reversibel </w:t>
      </w:r>
      <w:proofErr w:type="spellStart"/>
      <w:r w:rsidRPr="00D27A53">
        <w:rPr>
          <w:sz w:val="24"/>
          <w:szCs w:val="24"/>
          <w:lang w:bidi="da-DK"/>
        </w:rPr>
        <w:t>trombocytopeni</w:t>
      </w:r>
      <w:proofErr w:type="spellEnd"/>
      <w:r w:rsidRPr="00D27A53">
        <w:rPr>
          <w:sz w:val="24"/>
          <w:szCs w:val="24"/>
          <w:lang w:bidi="da-DK"/>
        </w:rPr>
        <w:t>.</w:t>
      </w:r>
    </w:p>
    <w:p w14:paraId="59323E9E" w14:textId="77777777" w:rsidR="00D27A53" w:rsidRPr="00D27A53" w:rsidRDefault="00D27A53" w:rsidP="00A27D30">
      <w:pPr>
        <w:numPr>
          <w:ilvl w:val="0"/>
          <w:numId w:val="8"/>
        </w:numPr>
        <w:ind w:left="1276"/>
        <w:rPr>
          <w:sz w:val="24"/>
          <w:szCs w:val="24"/>
        </w:rPr>
      </w:pPr>
      <w:r w:rsidRPr="00D27A53">
        <w:rPr>
          <w:sz w:val="24"/>
          <w:szCs w:val="24"/>
          <w:lang w:bidi="da-DK"/>
        </w:rPr>
        <w:t xml:space="preserve">Krampeanfald har været forbundet med </w:t>
      </w:r>
      <w:proofErr w:type="spellStart"/>
      <w:r w:rsidRPr="00D27A53">
        <w:rPr>
          <w:sz w:val="24"/>
          <w:szCs w:val="24"/>
          <w:lang w:bidi="da-DK"/>
        </w:rPr>
        <w:t>metronidazolbehandling</w:t>
      </w:r>
      <w:proofErr w:type="spellEnd"/>
      <w:r w:rsidRPr="00D27A53">
        <w:rPr>
          <w:sz w:val="24"/>
          <w:szCs w:val="24"/>
          <w:lang w:bidi="da-DK"/>
        </w:rPr>
        <w:t xml:space="preserve"> (normalt i høje doser eller hos patienter med nedsat nyrefunktion).</w:t>
      </w:r>
    </w:p>
    <w:p w14:paraId="779911A8" w14:textId="77777777" w:rsidR="00D27A53" w:rsidRPr="00D27A53" w:rsidRDefault="00D27A53" w:rsidP="00A27D30">
      <w:pPr>
        <w:numPr>
          <w:ilvl w:val="0"/>
          <w:numId w:val="8"/>
        </w:numPr>
        <w:ind w:left="1276"/>
        <w:rPr>
          <w:sz w:val="24"/>
          <w:szCs w:val="24"/>
        </w:rPr>
      </w:pPr>
      <w:r w:rsidRPr="00D27A53">
        <w:rPr>
          <w:sz w:val="24"/>
          <w:szCs w:val="24"/>
          <w:lang w:bidi="da-DK"/>
        </w:rPr>
        <w:t xml:space="preserve">Perifer </w:t>
      </w:r>
      <w:proofErr w:type="spellStart"/>
      <w:r w:rsidRPr="00D27A53">
        <w:rPr>
          <w:sz w:val="24"/>
          <w:szCs w:val="24"/>
          <w:lang w:bidi="da-DK"/>
        </w:rPr>
        <w:t>neuropati</w:t>
      </w:r>
      <w:proofErr w:type="spellEnd"/>
      <w:r w:rsidRPr="00D27A53">
        <w:rPr>
          <w:sz w:val="24"/>
          <w:szCs w:val="24"/>
          <w:lang w:bidi="da-DK"/>
        </w:rPr>
        <w:t xml:space="preserve"> er blevet rapporteret hos patienter, der har fået </w:t>
      </w:r>
      <w:proofErr w:type="spellStart"/>
      <w:r w:rsidRPr="00D27A53">
        <w:rPr>
          <w:sz w:val="24"/>
          <w:szCs w:val="24"/>
          <w:lang w:bidi="da-DK"/>
        </w:rPr>
        <w:t>metronidazol</w:t>
      </w:r>
      <w:proofErr w:type="spellEnd"/>
      <w:r w:rsidRPr="00D27A53">
        <w:rPr>
          <w:sz w:val="24"/>
          <w:szCs w:val="24"/>
          <w:lang w:bidi="da-DK"/>
        </w:rPr>
        <w:t xml:space="preserve">, normalt i lange perioder. Hvis man stopper med </w:t>
      </w:r>
      <w:proofErr w:type="spellStart"/>
      <w:r w:rsidRPr="00D27A53">
        <w:rPr>
          <w:sz w:val="24"/>
          <w:szCs w:val="24"/>
          <w:lang w:bidi="da-DK"/>
        </w:rPr>
        <w:t>metronidazol</w:t>
      </w:r>
      <w:proofErr w:type="spellEnd"/>
      <w:r w:rsidRPr="00D27A53">
        <w:rPr>
          <w:sz w:val="24"/>
          <w:szCs w:val="24"/>
          <w:lang w:bidi="da-DK"/>
        </w:rPr>
        <w:t xml:space="preserve"> eller sænker dosis, forsvinder eller forbedres </w:t>
      </w:r>
      <w:proofErr w:type="spellStart"/>
      <w:r w:rsidRPr="00D27A53">
        <w:rPr>
          <w:sz w:val="24"/>
          <w:szCs w:val="24"/>
          <w:lang w:bidi="da-DK"/>
        </w:rPr>
        <w:t>neuropatien</w:t>
      </w:r>
      <w:proofErr w:type="spellEnd"/>
      <w:r w:rsidRPr="00D27A53">
        <w:rPr>
          <w:sz w:val="24"/>
          <w:szCs w:val="24"/>
          <w:lang w:bidi="da-DK"/>
        </w:rPr>
        <w:t xml:space="preserve"> som regel helt, men hos nogle patienter kan den vare ved på trods af disse foranstaltninger.</w:t>
      </w:r>
    </w:p>
    <w:p w14:paraId="46474734" w14:textId="77777777" w:rsidR="00D27A53" w:rsidRPr="00D27A53" w:rsidRDefault="00D27A53" w:rsidP="00A27D30">
      <w:pPr>
        <w:numPr>
          <w:ilvl w:val="0"/>
          <w:numId w:val="8"/>
        </w:numPr>
        <w:ind w:left="1276"/>
        <w:rPr>
          <w:sz w:val="24"/>
          <w:szCs w:val="24"/>
        </w:rPr>
      </w:pPr>
      <w:r w:rsidRPr="00D27A53">
        <w:rPr>
          <w:sz w:val="24"/>
          <w:szCs w:val="24"/>
          <w:lang w:bidi="da-DK"/>
        </w:rPr>
        <w:t xml:space="preserve">Anafylaksi, </w:t>
      </w:r>
      <w:proofErr w:type="spellStart"/>
      <w:r w:rsidRPr="00D27A53">
        <w:rPr>
          <w:sz w:val="24"/>
          <w:szCs w:val="24"/>
          <w:lang w:bidi="da-DK"/>
        </w:rPr>
        <w:t>dysuri</w:t>
      </w:r>
      <w:proofErr w:type="spellEnd"/>
      <w:r w:rsidRPr="00D27A53">
        <w:rPr>
          <w:sz w:val="24"/>
          <w:szCs w:val="24"/>
          <w:lang w:bidi="da-DK"/>
        </w:rPr>
        <w:t xml:space="preserve">, cystitis, inkontinens, </w:t>
      </w:r>
      <w:proofErr w:type="spellStart"/>
      <w:r w:rsidRPr="00D27A53">
        <w:rPr>
          <w:sz w:val="24"/>
          <w:szCs w:val="24"/>
          <w:lang w:bidi="da-DK"/>
        </w:rPr>
        <w:t>pancreatitis</w:t>
      </w:r>
      <w:proofErr w:type="spellEnd"/>
      <w:r w:rsidRPr="00D27A53">
        <w:rPr>
          <w:sz w:val="24"/>
          <w:szCs w:val="24"/>
          <w:lang w:bidi="da-DK"/>
        </w:rPr>
        <w:t xml:space="preserve"> og </w:t>
      </w:r>
      <w:proofErr w:type="spellStart"/>
      <w:r w:rsidRPr="00D27A53">
        <w:rPr>
          <w:sz w:val="24"/>
          <w:szCs w:val="24"/>
          <w:lang w:bidi="da-DK"/>
        </w:rPr>
        <w:t>pseudomembranøs</w:t>
      </w:r>
      <w:proofErr w:type="spellEnd"/>
      <w:r w:rsidRPr="00D27A53">
        <w:rPr>
          <w:sz w:val="24"/>
          <w:szCs w:val="24"/>
          <w:lang w:bidi="da-DK"/>
        </w:rPr>
        <w:t xml:space="preserve"> </w:t>
      </w:r>
      <w:proofErr w:type="spellStart"/>
      <w:r w:rsidRPr="00D27A53">
        <w:rPr>
          <w:sz w:val="24"/>
          <w:szCs w:val="24"/>
          <w:lang w:bidi="da-DK"/>
        </w:rPr>
        <w:t>enterocolitis</w:t>
      </w:r>
      <w:proofErr w:type="spellEnd"/>
      <w:r w:rsidRPr="00D27A53">
        <w:rPr>
          <w:sz w:val="24"/>
          <w:szCs w:val="24"/>
          <w:lang w:bidi="da-DK"/>
        </w:rPr>
        <w:t>.</w:t>
      </w:r>
    </w:p>
    <w:p w14:paraId="37836265" w14:textId="77777777" w:rsidR="00D27A53" w:rsidRPr="00D27A53" w:rsidRDefault="00D27A53" w:rsidP="00A27D30">
      <w:pPr>
        <w:numPr>
          <w:ilvl w:val="0"/>
          <w:numId w:val="8"/>
        </w:numPr>
        <w:ind w:left="1276"/>
        <w:rPr>
          <w:sz w:val="24"/>
          <w:szCs w:val="24"/>
        </w:rPr>
      </w:pPr>
      <w:r w:rsidRPr="00D27A53">
        <w:rPr>
          <w:sz w:val="24"/>
          <w:szCs w:val="24"/>
          <w:lang w:bidi="da-DK"/>
        </w:rPr>
        <w:t xml:space="preserve">Meget sjældne tilfælde af encefalopati, </w:t>
      </w:r>
      <w:proofErr w:type="spellStart"/>
      <w:r w:rsidRPr="00D27A53">
        <w:rPr>
          <w:sz w:val="24"/>
          <w:szCs w:val="24"/>
          <w:lang w:bidi="da-DK"/>
        </w:rPr>
        <w:t>kolestatisk</w:t>
      </w:r>
      <w:proofErr w:type="spellEnd"/>
      <w:r w:rsidRPr="00D27A53">
        <w:rPr>
          <w:sz w:val="24"/>
          <w:szCs w:val="24"/>
          <w:lang w:bidi="da-DK"/>
        </w:rPr>
        <w:t xml:space="preserve"> hepatitis og gulsot er blevet rapporteret med </w:t>
      </w:r>
      <w:proofErr w:type="spellStart"/>
      <w:r w:rsidRPr="00D27A53">
        <w:rPr>
          <w:sz w:val="24"/>
          <w:szCs w:val="24"/>
          <w:lang w:bidi="da-DK"/>
        </w:rPr>
        <w:t>metronidazol</w:t>
      </w:r>
      <w:proofErr w:type="spellEnd"/>
      <w:r w:rsidRPr="00D27A53">
        <w:rPr>
          <w:sz w:val="24"/>
          <w:szCs w:val="24"/>
          <w:lang w:bidi="da-DK"/>
        </w:rPr>
        <w:t>.</w:t>
      </w:r>
    </w:p>
    <w:p w14:paraId="466281A0" w14:textId="0313A14C" w:rsidR="00D27A53" w:rsidRPr="00D27A53" w:rsidRDefault="00D27A53" w:rsidP="00A27D30">
      <w:pPr>
        <w:numPr>
          <w:ilvl w:val="0"/>
          <w:numId w:val="8"/>
        </w:numPr>
        <w:ind w:left="1276"/>
        <w:rPr>
          <w:sz w:val="24"/>
          <w:szCs w:val="24"/>
        </w:rPr>
      </w:pPr>
      <w:r w:rsidRPr="00D27A53">
        <w:rPr>
          <w:sz w:val="24"/>
          <w:szCs w:val="24"/>
          <w:lang w:bidi="da-DK"/>
        </w:rPr>
        <w:t xml:space="preserve">Tilfælde af alvorlig irreversibel </w:t>
      </w:r>
      <w:proofErr w:type="spellStart"/>
      <w:r w:rsidRPr="00D27A53">
        <w:rPr>
          <w:sz w:val="24"/>
          <w:szCs w:val="24"/>
          <w:lang w:bidi="da-DK"/>
        </w:rPr>
        <w:t>hepatotoksicitet</w:t>
      </w:r>
      <w:proofErr w:type="spellEnd"/>
      <w:r w:rsidRPr="00D27A53">
        <w:rPr>
          <w:sz w:val="24"/>
          <w:szCs w:val="24"/>
          <w:lang w:bidi="da-DK"/>
        </w:rPr>
        <w:t xml:space="preserve">/akut leversvigt, herunder tilfælde med dødelig udgang med meget hurtig debut efter påbegyndelse af systemisk brug af </w:t>
      </w:r>
      <w:proofErr w:type="spellStart"/>
      <w:r w:rsidRPr="00D27A53">
        <w:rPr>
          <w:sz w:val="24"/>
          <w:szCs w:val="24"/>
          <w:lang w:bidi="da-DK"/>
        </w:rPr>
        <w:t>metronidazol</w:t>
      </w:r>
      <w:proofErr w:type="spellEnd"/>
      <w:r w:rsidRPr="00D27A53">
        <w:rPr>
          <w:sz w:val="24"/>
          <w:szCs w:val="24"/>
          <w:lang w:bidi="da-DK"/>
        </w:rPr>
        <w:t xml:space="preserve">, er blevet rapporteret hos patienter med </w:t>
      </w:r>
      <w:proofErr w:type="spellStart"/>
      <w:r w:rsidRPr="00D27A53">
        <w:rPr>
          <w:sz w:val="24"/>
          <w:szCs w:val="24"/>
          <w:lang w:bidi="da-DK"/>
        </w:rPr>
        <w:t>Cockayne</w:t>
      </w:r>
      <w:proofErr w:type="spellEnd"/>
      <w:r w:rsidRPr="00D27A53">
        <w:rPr>
          <w:sz w:val="24"/>
          <w:szCs w:val="24"/>
          <w:lang w:bidi="da-DK"/>
        </w:rPr>
        <w:t xml:space="preserve">-syndrom (se </w:t>
      </w:r>
      <w:r w:rsidR="0076324F">
        <w:rPr>
          <w:sz w:val="24"/>
          <w:szCs w:val="24"/>
          <w:lang w:bidi="da-DK"/>
        </w:rPr>
        <w:t>pkt.</w:t>
      </w:r>
      <w:r w:rsidRPr="00D27A53">
        <w:rPr>
          <w:sz w:val="24"/>
          <w:szCs w:val="24"/>
          <w:lang w:bidi="da-DK"/>
        </w:rPr>
        <w:t xml:space="preserve"> 4.3).</w:t>
      </w:r>
    </w:p>
    <w:p w14:paraId="4C13B529" w14:textId="77777777" w:rsidR="00D27A53" w:rsidRPr="00D27A53" w:rsidRDefault="00D27A53" w:rsidP="00695AC0">
      <w:pPr>
        <w:ind w:left="851"/>
        <w:rPr>
          <w:sz w:val="24"/>
          <w:szCs w:val="24"/>
        </w:rPr>
      </w:pPr>
    </w:p>
    <w:p w14:paraId="2B19BE29" w14:textId="77777777" w:rsidR="00D27A53" w:rsidRPr="00D27A53" w:rsidRDefault="00D27A53" w:rsidP="00695AC0">
      <w:pPr>
        <w:ind w:left="851"/>
        <w:rPr>
          <w:i/>
          <w:sz w:val="24"/>
          <w:szCs w:val="24"/>
        </w:rPr>
      </w:pPr>
      <w:r w:rsidRPr="00D27A53">
        <w:rPr>
          <w:i/>
          <w:sz w:val="24"/>
          <w:szCs w:val="24"/>
          <w:lang w:bidi="da-DK"/>
        </w:rPr>
        <w:t xml:space="preserve">Bivirkninger, der er rapporteret at forekomme med </w:t>
      </w:r>
      <w:proofErr w:type="spellStart"/>
      <w:r w:rsidRPr="00D27A53">
        <w:rPr>
          <w:i/>
          <w:sz w:val="24"/>
          <w:szCs w:val="24"/>
          <w:lang w:bidi="da-DK"/>
        </w:rPr>
        <w:t>tetracyklinhydrochlorid</w:t>
      </w:r>
      <w:proofErr w:type="spellEnd"/>
    </w:p>
    <w:p w14:paraId="15A103B0" w14:textId="77777777" w:rsidR="00D27A53" w:rsidRPr="00D27A53" w:rsidRDefault="00D27A53" w:rsidP="00A27D30">
      <w:pPr>
        <w:numPr>
          <w:ilvl w:val="0"/>
          <w:numId w:val="8"/>
        </w:numPr>
        <w:ind w:left="1276"/>
        <w:rPr>
          <w:sz w:val="24"/>
          <w:szCs w:val="24"/>
        </w:rPr>
      </w:pPr>
      <w:proofErr w:type="spellStart"/>
      <w:r w:rsidRPr="00D27A53">
        <w:rPr>
          <w:sz w:val="24"/>
          <w:szCs w:val="24"/>
          <w:lang w:bidi="da-DK"/>
        </w:rPr>
        <w:t>Pseudomembranøs</w:t>
      </w:r>
      <w:proofErr w:type="spellEnd"/>
      <w:r w:rsidRPr="00D27A53">
        <w:rPr>
          <w:sz w:val="24"/>
          <w:szCs w:val="24"/>
          <w:lang w:bidi="da-DK"/>
        </w:rPr>
        <w:t xml:space="preserve"> colitis forårsaget af overvækst af </w:t>
      </w:r>
      <w:proofErr w:type="spellStart"/>
      <w:r w:rsidRPr="00D27A53">
        <w:rPr>
          <w:i/>
          <w:sz w:val="24"/>
          <w:szCs w:val="24"/>
          <w:lang w:bidi="da-DK"/>
        </w:rPr>
        <w:t>Clostridium</w:t>
      </w:r>
      <w:proofErr w:type="spellEnd"/>
      <w:r w:rsidRPr="00D27A53">
        <w:rPr>
          <w:i/>
          <w:sz w:val="24"/>
          <w:szCs w:val="24"/>
          <w:lang w:bidi="da-DK"/>
        </w:rPr>
        <w:t xml:space="preserve"> difficile </w:t>
      </w:r>
      <w:r w:rsidRPr="00D27A53">
        <w:rPr>
          <w:sz w:val="24"/>
          <w:szCs w:val="24"/>
          <w:lang w:bidi="da-DK"/>
        </w:rPr>
        <w:t>er en potentiel komplikation ved brug af tetracyklin; andre superinfektioner kan forekomme, som med andre antibiotika.</w:t>
      </w:r>
    </w:p>
    <w:p w14:paraId="5D1733C7" w14:textId="77777777" w:rsidR="00D27A53" w:rsidRPr="00D27A53" w:rsidRDefault="00D27A53" w:rsidP="00A27D30">
      <w:pPr>
        <w:numPr>
          <w:ilvl w:val="0"/>
          <w:numId w:val="8"/>
        </w:numPr>
        <w:ind w:left="1276"/>
        <w:rPr>
          <w:sz w:val="24"/>
          <w:szCs w:val="24"/>
        </w:rPr>
      </w:pPr>
      <w:r w:rsidRPr="00D27A53">
        <w:rPr>
          <w:sz w:val="24"/>
          <w:szCs w:val="24"/>
          <w:lang w:bidi="da-DK"/>
        </w:rPr>
        <w:t>I nogle tilfælde blev der rapporteret om leversvigt hos patienter, der fik store doser tetracyklin, og hos patienter med nedsat nyrefunktion.</w:t>
      </w:r>
    </w:p>
    <w:p w14:paraId="5E2A4603" w14:textId="77777777" w:rsidR="00D27A53" w:rsidRPr="00D27A53" w:rsidRDefault="00D27A53" w:rsidP="00A27D30">
      <w:pPr>
        <w:numPr>
          <w:ilvl w:val="0"/>
          <w:numId w:val="8"/>
        </w:numPr>
        <w:ind w:left="1276"/>
        <w:rPr>
          <w:sz w:val="24"/>
          <w:szCs w:val="24"/>
        </w:rPr>
      </w:pPr>
      <w:r w:rsidRPr="00D27A53">
        <w:rPr>
          <w:sz w:val="24"/>
          <w:szCs w:val="24"/>
          <w:lang w:bidi="da-DK"/>
        </w:rPr>
        <w:t xml:space="preserve">Nedsat nyrefunktion er blevet rapporteret med tetracyklin, især forværring af dysfunktion hos personer med allerede eksisterende nedsat nyrefunktion. Disse virkninger er relateret til dosis. Akut nyresvigt og </w:t>
      </w:r>
      <w:proofErr w:type="spellStart"/>
      <w:r w:rsidRPr="00D27A53">
        <w:rPr>
          <w:sz w:val="24"/>
          <w:szCs w:val="24"/>
          <w:lang w:bidi="da-DK"/>
        </w:rPr>
        <w:t>interstitiel</w:t>
      </w:r>
      <w:proofErr w:type="spellEnd"/>
      <w:r w:rsidRPr="00D27A53">
        <w:rPr>
          <w:sz w:val="24"/>
          <w:szCs w:val="24"/>
          <w:lang w:bidi="da-DK"/>
        </w:rPr>
        <w:t xml:space="preserve"> </w:t>
      </w:r>
      <w:proofErr w:type="spellStart"/>
      <w:r w:rsidRPr="00D27A53">
        <w:rPr>
          <w:sz w:val="24"/>
          <w:szCs w:val="24"/>
          <w:lang w:bidi="da-DK"/>
        </w:rPr>
        <w:t>nefritis</w:t>
      </w:r>
      <w:proofErr w:type="spellEnd"/>
      <w:r w:rsidRPr="00D27A53">
        <w:rPr>
          <w:sz w:val="24"/>
          <w:szCs w:val="24"/>
          <w:lang w:bidi="da-DK"/>
        </w:rPr>
        <w:t xml:space="preserve"> er forekommet i sjældne tilfælde.</w:t>
      </w:r>
    </w:p>
    <w:p w14:paraId="16CCD070" w14:textId="77777777" w:rsidR="00D27A53" w:rsidRPr="00D27A53" w:rsidRDefault="00D27A53" w:rsidP="00A27D30">
      <w:pPr>
        <w:numPr>
          <w:ilvl w:val="0"/>
          <w:numId w:val="8"/>
        </w:numPr>
        <w:ind w:left="1276"/>
        <w:rPr>
          <w:sz w:val="24"/>
          <w:szCs w:val="24"/>
        </w:rPr>
      </w:pPr>
      <w:r w:rsidRPr="00D27A53">
        <w:rPr>
          <w:sz w:val="24"/>
          <w:szCs w:val="24"/>
          <w:lang w:bidi="da-DK"/>
        </w:rPr>
        <w:t xml:space="preserve">Permanent misfarvning af tænderne kan forekomme under tandudviklingen. Der er også rapporteret om </w:t>
      </w:r>
      <w:proofErr w:type="spellStart"/>
      <w:r w:rsidRPr="00D27A53">
        <w:rPr>
          <w:sz w:val="24"/>
          <w:szCs w:val="24"/>
          <w:lang w:bidi="da-DK"/>
        </w:rPr>
        <w:t>emaljehypoplasi</w:t>
      </w:r>
      <w:proofErr w:type="spellEnd"/>
      <w:r w:rsidRPr="00D27A53">
        <w:rPr>
          <w:sz w:val="24"/>
          <w:szCs w:val="24"/>
          <w:lang w:bidi="da-DK"/>
        </w:rPr>
        <w:t>.</w:t>
      </w:r>
    </w:p>
    <w:p w14:paraId="4A650904" w14:textId="77777777" w:rsidR="00D27A53" w:rsidRPr="00D27A53" w:rsidRDefault="00D27A53" w:rsidP="00A27D30">
      <w:pPr>
        <w:numPr>
          <w:ilvl w:val="0"/>
          <w:numId w:val="8"/>
        </w:numPr>
        <w:ind w:left="1276"/>
        <w:rPr>
          <w:sz w:val="24"/>
          <w:szCs w:val="24"/>
        </w:rPr>
      </w:pPr>
      <w:r w:rsidRPr="00D27A53">
        <w:rPr>
          <w:sz w:val="24"/>
          <w:szCs w:val="24"/>
          <w:lang w:bidi="da-DK"/>
        </w:rPr>
        <w:t>Der er rapporteret om sår i spiserøret med tetracyklin, især efter indtagelse af kapsler eller tabletter med utilstrækkeligt vand ved sengetid.</w:t>
      </w:r>
    </w:p>
    <w:p w14:paraId="2117BE5D" w14:textId="77777777" w:rsidR="00D27A53" w:rsidRPr="00D27A53" w:rsidRDefault="00D27A53" w:rsidP="00A27D30">
      <w:pPr>
        <w:numPr>
          <w:ilvl w:val="0"/>
          <w:numId w:val="8"/>
        </w:numPr>
        <w:ind w:left="1276"/>
        <w:rPr>
          <w:sz w:val="24"/>
          <w:szCs w:val="24"/>
        </w:rPr>
      </w:pPr>
      <w:r w:rsidRPr="00D27A53">
        <w:rPr>
          <w:sz w:val="24"/>
          <w:szCs w:val="24"/>
          <w:lang w:bidi="da-DK"/>
        </w:rPr>
        <w:t xml:space="preserve">Selvom det er sjældent, er der rapporteret om </w:t>
      </w:r>
      <w:proofErr w:type="spellStart"/>
      <w:r w:rsidRPr="00D27A53">
        <w:rPr>
          <w:sz w:val="24"/>
          <w:szCs w:val="24"/>
          <w:lang w:bidi="da-DK"/>
        </w:rPr>
        <w:t>hæmolytisk</w:t>
      </w:r>
      <w:proofErr w:type="spellEnd"/>
      <w:r w:rsidRPr="00D27A53">
        <w:rPr>
          <w:sz w:val="24"/>
          <w:szCs w:val="24"/>
          <w:lang w:bidi="da-DK"/>
        </w:rPr>
        <w:t xml:space="preserve"> anæmi, </w:t>
      </w:r>
      <w:proofErr w:type="spellStart"/>
      <w:r w:rsidRPr="00D27A53">
        <w:rPr>
          <w:sz w:val="24"/>
          <w:szCs w:val="24"/>
          <w:lang w:bidi="da-DK"/>
        </w:rPr>
        <w:t>trombocytopeni</w:t>
      </w:r>
      <w:proofErr w:type="spellEnd"/>
      <w:r w:rsidRPr="00D27A53">
        <w:rPr>
          <w:sz w:val="24"/>
          <w:szCs w:val="24"/>
          <w:lang w:bidi="da-DK"/>
        </w:rPr>
        <w:t xml:space="preserve">, </w:t>
      </w:r>
      <w:proofErr w:type="spellStart"/>
      <w:r w:rsidRPr="00D27A53">
        <w:rPr>
          <w:sz w:val="24"/>
          <w:szCs w:val="24"/>
          <w:lang w:bidi="da-DK"/>
        </w:rPr>
        <w:t>trombocytopenisk</w:t>
      </w:r>
      <w:proofErr w:type="spellEnd"/>
      <w:r w:rsidRPr="00D27A53">
        <w:rPr>
          <w:sz w:val="24"/>
          <w:szCs w:val="24"/>
          <w:lang w:bidi="da-DK"/>
        </w:rPr>
        <w:t xml:space="preserve"> </w:t>
      </w:r>
      <w:proofErr w:type="spellStart"/>
      <w:r w:rsidRPr="00D27A53">
        <w:rPr>
          <w:sz w:val="24"/>
          <w:szCs w:val="24"/>
          <w:lang w:bidi="da-DK"/>
        </w:rPr>
        <w:t>purpura</w:t>
      </w:r>
      <w:proofErr w:type="spellEnd"/>
      <w:r w:rsidRPr="00D27A53">
        <w:rPr>
          <w:sz w:val="24"/>
          <w:szCs w:val="24"/>
          <w:lang w:bidi="da-DK"/>
        </w:rPr>
        <w:t xml:space="preserve">, </w:t>
      </w:r>
      <w:proofErr w:type="spellStart"/>
      <w:r w:rsidRPr="00D27A53">
        <w:rPr>
          <w:sz w:val="24"/>
          <w:szCs w:val="24"/>
          <w:lang w:bidi="da-DK"/>
        </w:rPr>
        <w:t>neutropeni</w:t>
      </w:r>
      <w:proofErr w:type="spellEnd"/>
      <w:r w:rsidRPr="00D27A53">
        <w:rPr>
          <w:sz w:val="24"/>
          <w:szCs w:val="24"/>
          <w:lang w:bidi="da-DK"/>
        </w:rPr>
        <w:t xml:space="preserve"> og </w:t>
      </w:r>
      <w:proofErr w:type="spellStart"/>
      <w:r w:rsidRPr="00D27A53">
        <w:rPr>
          <w:sz w:val="24"/>
          <w:szCs w:val="24"/>
          <w:lang w:bidi="da-DK"/>
        </w:rPr>
        <w:t>eosinofili</w:t>
      </w:r>
      <w:proofErr w:type="spellEnd"/>
      <w:r w:rsidRPr="00D27A53">
        <w:rPr>
          <w:sz w:val="24"/>
          <w:szCs w:val="24"/>
          <w:lang w:bidi="da-DK"/>
        </w:rPr>
        <w:t xml:space="preserve"> ved brug af tetracyklin.</w:t>
      </w:r>
    </w:p>
    <w:p w14:paraId="26EEBC72" w14:textId="77777777" w:rsidR="00D27A53" w:rsidRPr="00D27A53" w:rsidRDefault="00D27A53" w:rsidP="00A27D30">
      <w:pPr>
        <w:numPr>
          <w:ilvl w:val="0"/>
          <w:numId w:val="8"/>
        </w:numPr>
        <w:ind w:left="1276"/>
        <w:rPr>
          <w:sz w:val="24"/>
          <w:szCs w:val="24"/>
        </w:rPr>
      </w:pPr>
      <w:r w:rsidRPr="00D27A53">
        <w:rPr>
          <w:sz w:val="24"/>
          <w:szCs w:val="24"/>
          <w:lang w:bidi="da-DK"/>
        </w:rPr>
        <w:t xml:space="preserve">Pseudotumor </w:t>
      </w:r>
      <w:proofErr w:type="spellStart"/>
      <w:r w:rsidRPr="00D27A53">
        <w:rPr>
          <w:sz w:val="24"/>
          <w:szCs w:val="24"/>
          <w:lang w:bidi="da-DK"/>
        </w:rPr>
        <w:t>cerebri</w:t>
      </w:r>
      <w:proofErr w:type="spellEnd"/>
      <w:r w:rsidRPr="00D27A53">
        <w:rPr>
          <w:sz w:val="24"/>
          <w:szCs w:val="24"/>
          <w:lang w:bidi="da-DK"/>
        </w:rPr>
        <w:t xml:space="preserve"> (godartet </w:t>
      </w:r>
      <w:proofErr w:type="spellStart"/>
      <w:r w:rsidRPr="00D27A53">
        <w:rPr>
          <w:sz w:val="24"/>
          <w:szCs w:val="24"/>
          <w:lang w:bidi="da-DK"/>
        </w:rPr>
        <w:t>intrakraniel</w:t>
      </w:r>
      <w:proofErr w:type="spellEnd"/>
      <w:r w:rsidRPr="00D27A53">
        <w:rPr>
          <w:sz w:val="24"/>
          <w:szCs w:val="24"/>
          <w:lang w:bidi="da-DK"/>
        </w:rPr>
        <w:t xml:space="preserve"> hypertension) er blevet rapporteret hos voksne, der har fået tetracyklin; udbulede fontaneller er blevet rapporteret hos spædbørn, der er blevet behandlet med tetracyklin.</w:t>
      </w:r>
    </w:p>
    <w:p w14:paraId="2FC01FE8" w14:textId="77777777" w:rsidR="00D27A53" w:rsidRPr="00D27A53" w:rsidRDefault="00D27A53" w:rsidP="00A27D30">
      <w:pPr>
        <w:numPr>
          <w:ilvl w:val="0"/>
          <w:numId w:val="8"/>
        </w:numPr>
        <w:ind w:left="1276"/>
        <w:rPr>
          <w:sz w:val="24"/>
          <w:szCs w:val="24"/>
        </w:rPr>
      </w:pPr>
      <w:r w:rsidRPr="00D27A53">
        <w:rPr>
          <w:sz w:val="24"/>
          <w:szCs w:val="24"/>
          <w:lang w:bidi="da-DK"/>
        </w:rPr>
        <w:t>Lejlighedsvis er der rapporteret om øget muskelsvaghed (</w:t>
      </w:r>
      <w:proofErr w:type="spellStart"/>
      <w:r w:rsidRPr="00D27A53">
        <w:rPr>
          <w:sz w:val="24"/>
          <w:szCs w:val="24"/>
          <w:lang w:bidi="da-DK"/>
        </w:rPr>
        <w:t>myasthenisk</w:t>
      </w:r>
      <w:proofErr w:type="spellEnd"/>
      <w:r w:rsidRPr="00D27A53">
        <w:rPr>
          <w:sz w:val="24"/>
          <w:szCs w:val="24"/>
          <w:lang w:bidi="da-DK"/>
        </w:rPr>
        <w:t xml:space="preserve"> syndrom) med tetracyklin hos patienter med </w:t>
      </w:r>
      <w:proofErr w:type="spellStart"/>
      <w:r w:rsidRPr="00D27A53">
        <w:rPr>
          <w:sz w:val="24"/>
          <w:szCs w:val="24"/>
          <w:lang w:bidi="da-DK"/>
        </w:rPr>
        <w:t>myasthenia</w:t>
      </w:r>
      <w:proofErr w:type="spellEnd"/>
      <w:r w:rsidRPr="00D27A53">
        <w:rPr>
          <w:sz w:val="24"/>
          <w:szCs w:val="24"/>
          <w:lang w:bidi="da-DK"/>
        </w:rPr>
        <w:t xml:space="preserve"> </w:t>
      </w:r>
      <w:proofErr w:type="spellStart"/>
      <w:r w:rsidRPr="00D27A53">
        <w:rPr>
          <w:sz w:val="24"/>
          <w:szCs w:val="24"/>
          <w:lang w:bidi="da-DK"/>
        </w:rPr>
        <w:t>gravis</w:t>
      </w:r>
      <w:proofErr w:type="spellEnd"/>
      <w:r w:rsidRPr="00D27A53">
        <w:rPr>
          <w:sz w:val="24"/>
          <w:szCs w:val="24"/>
          <w:lang w:bidi="da-DK"/>
        </w:rPr>
        <w:t>.</w:t>
      </w:r>
    </w:p>
    <w:p w14:paraId="7894CD7C" w14:textId="77777777" w:rsidR="00D27A53" w:rsidRPr="00D27A53" w:rsidRDefault="00D27A53" w:rsidP="00A27D30">
      <w:pPr>
        <w:numPr>
          <w:ilvl w:val="0"/>
          <w:numId w:val="8"/>
        </w:numPr>
        <w:ind w:left="1276"/>
        <w:rPr>
          <w:sz w:val="24"/>
          <w:szCs w:val="24"/>
        </w:rPr>
      </w:pPr>
      <w:r w:rsidRPr="00D27A53">
        <w:rPr>
          <w:sz w:val="24"/>
          <w:szCs w:val="24"/>
          <w:lang w:bidi="da-DK"/>
        </w:rPr>
        <w:t xml:space="preserve">Lysfølsomhed, som er blevet rapporteret med de fleste tetracyklin-antibiotika, forekommer meget sjældent med tetracyklin; det ser ud til at være fototoksisk snarere end fotoallergisk i naturen. </w:t>
      </w:r>
      <w:proofErr w:type="spellStart"/>
      <w:r w:rsidRPr="00D27A53">
        <w:rPr>
          <w:sz w:val="24"/>
          <w:szCs w:val="24"/>
          <w:lang w:bidi="da-DK"/>
        </w:rPr>
        <w:t>Paræstesi</w:t>
      </w:r>
      <w:proofErr w:type="spellEnd"/>
      <w:r w:rsidRPr="00D27A53">
        <w:rPr>
          <w:sz w:val="24"/>
          <w:szCs w:val="24"/>
          <w:lang w:bidi="da-DK"/>
        </w:rPr>
        <w:t xml:space="preserve"> kan være et tidligt tegn på forestående fototoksicitet.</w:t>
      </w:r>
    </w:p>
    <w:p w14:paraId="7F9C15D0" w14:textId="77777777" w:rsidR="00D27A53" w:rsidRPr="00D27A53" w:rsidRDefault="00D27A53" w:rsidP="00A27D30">
      <w:pPr>
        <w:numPr>
          <w:ilvl w:val="0"/>
          <w:numId w:val="8"/>
        </w:numPr>
        <w:ind w:left="1276"/>
        <w:rPr>
          <w:sz w:val="24"/>
          <w:szCs w:val="24"/>
        </w:rPr>
      </w:pPr>
      <w:proofErr w:type="spellStart"/>
      <w:r w:rsidRPr="00D27A53">
        <w:rPr>
          <w:sz w:val="24"/>
          <w:szCs w:val="24"/>
          <w:lang w:bidi="da-DK"/>
        </w:rPr>
        <w:t>Faryngitis</w:t>
      </w:r>
      <w:proofErr w:type="spellEnd"/>
      <w:r w:rsidRPr="00D27A53">
        <w:rPr>
          <w:sz w:val="24"/>
          <w:szCs w:val="24"/>
          <w:lang w:bidi="da-DK"/>
        </w:rPr>
        <w:t xml:space="preserve">, anafylaksi, </w:t>
      </w:r>
      <w:proofErr w:type="spellStart"/>
      <w:r w:rsidRPr="00D27A53">
        <w:rPr>
          <w:sz w:val="24"/>
          <w:szCs w:val="24"/>
          <w:lang w:bidi="da-DK"/>
        </w:rPr>
        <w:t>eksfoliativ</w:t>
      </w:r>
      <w:proofErr w:type="spellEnd"/>
      <w:r w:rsidRPr="00D27A53">
        <w:rPr>
          <w:sz w:val="24"/>
          <w:szCs w:val="24"/>
          <w:lang w:bidi="da-DK"/>
        </w:rPr>
        <w:t xml:space="preserve"> </w:t>
      </w:r>
      <w:proofErr w:type="spellStart"/>
      <w:r w:rsidRPr="00D27A53">
        <w:rPr>
          <w:sz w:val="24"/>
          <w:szCs w:val="24"/>
          <w:lang w:bidi="da-DK"/>
        </w:rPr>
        <w:t>dermatitis</w:t>
      </w:r>
      <w:proofErr w:type="spellEnd"/>
      <w:r w:rsidRPr="00D27A53">
        <w:rPr>
          <w:sz w:val="24"/>
          <w:szCs w:val="24"/>
          <w:lang w:bidi="da-DK"/>
        </w:rPr>
        <w:t xml:space="preserve"> og </w:t>
      </w:r>
      <w:proofErr w:type="spellStart"/>
      <w:r w:rsidRPr="00D27A53">
        <w:rPr>
          <w:sz w:val="24"/>
          <w:szCs w:val="24"/>
          <w:lang w:bidi="da-DK"/>
        </w:rPr>
        <w:t>pancreatitis</w:t>
      </w:r>
      <w:proofErr w:type="spellEnd"/>
      <w:r w:rsidRPr="00D27A53">
        <w:rPr>
          <w:sz w:val="24"/>
          <w:szCs w:val="24"/>
          <w:lang w:bidi="da-DK"/>
        </w:rPr>
        <w:t>.</w:t>
      </w:r>
    </w:p>
    <w:p w14:paraId="21FDD1DD" w14:textId="77777777" w:rsidR="00D27A53" w:rsidRPr="00D27A53" w:rsidRDefault="00D27A53" w:rsidP="00695AC0">
      <w:pPr>
        <w:ind w:left="851"/>
        <w:rPr>
          <w:sz w:val="24"/>
          <w:szCs w:val="24"/>
        </w:rPr>
      </w:pPr>
    </w:p>
    <w:p w14:paraId="2168C428" w14:textId="6CF82EF2" w:rsidR="00D27A53" w:rsidRPr="00A27D30" w:rsidRDefault="00D27A53" w:rsidP="00A27D30">
      <w:pPr>
        <w:pStyle w:val="Listeafsnit"/>
        <w:numPr>
          <w:ilvl w:val="0"/>
          <w:numId w:val="11"/>
        </w:numPr>
        <w:ind w:left="1276" w:hanging="425"/>
        <w:rPr>
          <w:sz w:val="24"/>
          <w:szCs w:val="24"/>
          <w:u w:val="single"/>
        </w:rPr>
      </w:pPr>
      <w:r w:rsidRPr="00A27D30">
        <w:rPr>
          <w:sz w:val="24"/>
          <w:szCs w:val="24"/>
          <w:u w:val="single"/>
        </w:rPr>
        <w:t>Pædiatrisk population</w:t>
      </w:r>
    </w:p>
    <w:p w14:paraId="4B3A0733" w14:textId="77777777" w:rsidR="00D27A53" w:rsidRPr="00D27A53" w:rsidRDefault="00D27A53" w:rsidP="00695AC0">
      <w:pPr>
        <w:ind w:left="851"/>
        <w:rPr>
          <w:sz w:val="24"/>
          <w:szCs w:val="24"/>
        </w:rPr>
      </w:pPr>
    </w:p>
    <w:p w14:paraId="0C33131C" w14:textId="77777777" w:rsidR="00D27A53" w:rsidRPr="00D27A53" w:rsidRDefault="00D27A53" w:rsidP="00695AC0">
      <w:pPr>
        <w:ind w:left="851"/>
        <w:rPr>
          <w:sz w:val="24"/>
          <w:szCs w:val="24"/>
        </w:rPr>
      </w:pPr>
      <w:proofErr w:type="spellStart"/>
      <w:r w:rsidRPr="00D27A53">
        <w:rPr>
          <w:sz w:val="24"/>
          <w:szCs w:val="24"/>
          <w:lang w:bidi="da-DK"/>
        </w:rPr>
        <w:t>Pylera</w:t>
      </w:r>
      <w:proofErr w:type="spellEnd"/>
      <w:r w:rsidRPr="00D27A53">
        <w:rPr>
          <w:sz w:val="24"/>
          <w:szCs w:val="24"/>
          <w:lang w:bidi="da-DK"/>
        </w:rPr>
        <w:t xml:space="preserve"> er kontraindiceret til patienter under 12 år og bør ikke anvendes til børn i alderen 12 til 18 år.</w:t>
      </w:r>
    </w:p>
    <w:p w14:paraId="1E70DC03" w14:textId="77777777" w:rsidR="00D27A53" w:rsidRPr="00D27A53" w:rsidRDefault="00D27A53" w:rsidP="00695AC0">
      <w:pPr>
        <w:ind w:left="851"/>
        <w:rPr>
          <w:sz w:val="24"/>
          <w:szCs w:val="24"/>
        </w:rPr>
      </w:pPr>
    </w:p>
    <w:p w14:paraId="6AB51376" w14:textId="7775446B" w:rsidR="00D27A53" w:rsidRPr="00A27D30" w:rsidRDefault="00D27A53" w:rsidP="00A27D30">
      <w:pPr>
        <w:pStyle w:val="Listeafsnit"/>
        <w:numPr>
          <w:ilvl w:val="0"/>
          <w:numId w:val="11"/>
        </w:numPr>
        <w:ind w:left="1276" w:hanging="425"/>
        <w:rPr>
          <w:sz w:val="24"/>
          <w:szCs w:val="24"/>
          <w:u w:val="single"/>
        </w:rPr>
      </w:pPr>
      <w:r w:rsidRPr="00A27D30">
        <w:rPr>
          <w:sz w:val="24"/>
          <w:szCs w:val="24"/>
          <w:u w:val="single"/>
          <w:lang w:bidi="da-DK"/>
        </w:rPr>
        <w:t>Andre særlige befolkningsgrupper</w:t>
      </w:r>
    </w:p>
    <w:p w14:paraId="3FB894CC" w14:textId="77777777" w:rsidR="00D27A53" w:rsidRPr="00D27A53" w:rsidRDefault="00D27A53" w:rsidP="00695AC0">
      <w:pPr>
        <w:ind w:left="851"/>
        <w:rPr>
          <w:sz w:val="24"/>
          <w:szCs w:val="24"/>
        </w:rPr>
      </w:pPr>
    </w:p>
    <w:p w14:paraId="27312469" w14:textId="77777777" w:rsidR="00D27A53" w:rsidRPr="00D27A53" w:rsidRDefault="00D27A53" w:rsidP="00695AC0">
      <w:pPr>
        <w:ind w:left="851"/>
        <w:rPr>
          <w:i/>
          <w:sz w:val="24"/>
          <w:szCs w:val="24"/>
        </w:rPr>
      </w:pPr>
      <w:r w:rsidRPr="00D27A53">
        <w:rPr>
          <w:i/>
          <w:sz w:val="24"/>
          <w:szCs w:val="24"/>
          <w:lang w:bidi="da-DK"/>
        </w:rPr>
        <w:t>Ældre</w:t>
      </w:r>
    </w:p>
    <w:p w14:paraId="234EA2DE" w14:textId="77777777" w:rsidR="00D27A53" w:rsidRPr="00D27A53" w:rsidRDefault="00D27A53" w:rsidP="00695AC0">
      <w:pPr>
        <w:ind w:left="851"/>
        <w:rPr>
          <w:sz w:val="24"/>
          <w:szCs w:val="24"/>
        </w:rPr>
      </w:pPr>
      <w:r w:rsidRPr="00D27A53">
        <w:rPr>
          <w:sz w:val="24"/>
          <w:szCs w:val="24"/>
          <w:lang w:bidi="da-DK"/>
        </w:rPr>
        <w:t>Erfaringerne med ældre mennesker er begrænsede. Der er ikke identificeret nogen specifikke sikkerhedsproblemer.</w:t>
      </w:r>
    </w:p>
    <w:p w14:paraId="1ACAE682" w14:textId="77777777" w:rsidR="00D27A53" w:rsidRPr="00D27A53" w:rsidRDefault="00D27A53" w:rsidP="00695AC0">
      <w:pPr>
        <w:ind w:left="851"/>
        <w:rPr>
          <w:sz w:val="24"/>
          <w:szCs w:val="24"/>
        </w:rPr>
      </w:pPr>
    </w:p>
    <w:p w14:paraId="74F9C41E" w14:textId="77777777" w:rsidR="00D27A53" w:rsidRPr="00D27A53" w:rsidRDefault="00D27A53" w:rsidP="00695AC0">
      <w:pPr>
        <w:ind w:left="851"/>
        <w:rPr>
          <w:i/>
          <w:sz w:val="24"/>
          <w:szCs w:val="24"/>
        </w:rPr>
      </w:pPr>
      <w:r w:rsidRPr="00D27A53">
        <w:rPr>
          <w:i/>
          <w:sz w:val="24"/>
          <w:szCs w:val="24"/>
          <w:lang w:bidi="da-DK"/>
        </w:rPr>
        <w:t>Nedsat leverfunktion</w:t>
      </w:r>
    </w:p>
    <w:p w14:paraId="2CE5AA43" w14:textId="0EDCB205" w:rsidR="00D27A53" w:rsidRPr="00D27A53" w:rsidRDefault="00D27A53" w:rsidP="00695AC0">
      <w:pPr>
        <w:ind w:left="851"/>
        <w:rPr>
          <w:sz w:val="24"/>
          <w:szCs w:val="24"/>
        </w:rPr>
      </w:pPr>
      <w:r w:rsidRPr="00D27A53">
        <w:rPr>
          <w:sz w:val="24"/>
          <w:szCs w:val="24"/>
          <w:lang w:bidi="da-DK"/>
        </w:rPr>
        <w:t xml:space="preserve">I kliniske forsøg med </w:t>
      </w:r>
      <w:proofErr w:type="spellStart"/>
      <w:r w:rsidRPr="00D27A53">
        <w:rPr>
          <w:sz w:val="24"/>
          <w:szCs w:val="24"/>
          <w:lang w:bidi="da-DK"/>
        </w:rPr>
        <w:t>Pylera</w:t>
      </w:r>
      <w:proofErr w:type="spellEnd"/>
      <w:r w:rsidRPr="00D27A53">
        <w:rPr>
          <w:sz w:val="24"/>
          <w:szCs w:val="24"/>
          <w:lang w:bidi="da-DK"/>
        </w:rPr>
        <w:t xml:space="preserve"> er der observeret forbigående milde til moderate stigninger i leverenzymerne. </w:t>
      </w:r>
      <w:proofErr w:type="spellStart"/>
      <w:r w:rsidRPr="00D27A53">
        <w:rPr>
          <w:sz w:val="24"/>
          <w:szCs w:val="24"/>
          <w:lang w:bidi="da-DK"/>
        </w:rPr>
        <w:t>Pylera</w:t>
      </w:r>
      <w:proofErr w:type="spellEnd"/>
      <w:r w:rsidRPr="00D27A53">
        <w:rPr>
          <w:sz w:val="24"/>
          <w:szCs w:val="24"/>
          <w:lang w:bidi="da-DK"/>
        </w:rPr>
        <w:t xml:space="preserve"> er kontraindiceret hos patienter med nedsat leverfunktion (se </w:t>
      </w:r>
      <w:r w:rsidR="0076324F">
        <w:rPr>
          <w:sz w:val="24"/>
          <w:szCs w:val="24"/>
          <w:lang w:bidi="da-DK"/>
        </w:rPr>
        <w:t>pkt.</w:t>
      </w:r>
      <w:r w:rsidRPr="00D27A53">
        <w:rPr>
          <w:sz w:val="24"/>
          <w:szCs w:val="24"/>
          <w:lang w:bidi="da-DK"/>
        </w:rPr>
        <w:t xml:space="preserve"> 4.3).</w:t>
      </w:r>
    </w:p>
    <w:p w14:paraId="765CE521" w14:textId="77777777" w:rsidR="0076324F" w:rsidRDefault="0076324F" w:rsidP="00695AC0">
      <w:pPr>
        <w:ind w:left="851"/>
        <w:rPr>
          <w:i/>
          <w:sz w:val="24"/>
          <w:szCs w:val="24"/>
          <w:lang w:bidi="da-DK"/>
        </w:rPr>
      </w:pPr>
    </w:p>
    <w:p w14:paraId="01C18D75" w14:textId="2FF8C9A7" w:rsidR="00D27A53" w:rsidRPr="00D27A53" w:rsidRDefault="00D27A53" w:rsidP="00695AC0">
      <w:pPr>
        <w:ind w:left="851"/>
        <w:rPr>
          <w:i/>
          <w:sz w:val="24"/>
          <w:szCs w:val="24"/>
        </w:rPr>
      </w:pPr>
      <w:r w:rsidRPr="00D27A53">
        <w:rPr>
          <w:i/>
          <w:sz w:val="24"/>
          <w:szCs w:val="24"/>
          <w:lang w:bidi="da-DK"/>
        </w:rPr>
        <w:t>Nedsat nyrefunktion</w:t>
      </w:r>
    </w:p>
    <w:p w14:paraId="795C6F0F" w14:textId="5A22B0DC" w:rsidR="00D27A53" w:rsidRPr="00D27A53" w:rsidRDefault="00D27A53" w:rsidP="00695AC0">
      <w:pPr>
        <w:ind w:left="851"/>
        <w:rPr>
          <w:sz w:val="24"/>
          <w:szCs w:val="24"/>
        </w:rPr>
      </w:pPr>
      <w:proofErr w:type="spellStart"/>
      <w:r w:rsidRPr="00D27A53">
        <w:rPr>
          <w:sz w:val="24"/>
          <w:szCs w:val="24"/>
          <w:lang w:bidi="da-DK"/>
        </w:rPr>
        <w:t>Pylera</w:t>
      </w:r>
      <w:proofErr w:type="spellEnd"/>
      <w:r w:rsidRPr="00D27A53">
        <w:rPr>
          <w:sz w:val="24"/>
          <w:szCs w:val="24"/>
          <w:lang w:bidi="da-DK"/>
        </w:rPr>
        <w:t xml:space="preserve"> er kontraindiceret hos patienter med nedsat nyrefunktion (se </w:t>
      </w:r>
      <w:r w:rsidR="0076324F">
        <w:rPr>
          <w:sz w:val="24"/>
          <w:szCs w:val="24"/>
          <w:lang w:bidi="da-DK"/>
        </w:rPr>
        <w:t>pkt.</w:t>
      </w:r>
      <w:r w:rsidRPr="00D27A53">
        <w:rPr>
          <w:sz w:val="24"/>
          <w:szCs w:val="24"/>
          <w:lang w:bidi="da-DK"/>
        </w:rPr>
        <w:t xml:space="preserve"> 4.3). Ingen nyresvigt er blevet tilskrevet </w:t>
      </w:r>
      <w:proofErr w:type="spellStart"/>
      <w:r w:rsidRPr="00D27A53">
        <w:rPr>
          <w:sz w:val="24"/>
          <w:szCs w:val="24"/>
          <w:lang w:bidi="da-DK"/>
        </w:rPr>
        <w:t>Pylera</w:t>
      </w:r>
      <w:proofErr w:type="spellEnd"/>
      <w:r w:rsidRPr="00D27A53">
        <w:rPr>
          <w:sz w:val="24"/>
          <w:szCs w:val="24"/>
          <w:lang w:bidi="da-DK"/>
        </w:rPr>
        <w:t xml:space="preserve"> i kliniske forsøg.</w:t>
      </w:r>
    </w:p>
    <w:p w14:paraId="6A1D7D13" w14:textId="77777777" w:rsidR="00D27A53" w:rsidRPr="00D27A53" w:rsidRDefault="00D27A53" w:rsidP="00695AC0">
      <w:pPr>
        <w:ind w:left="851"/>
        <w:rPr>
          <w:sz w:val="24"/>
          <w:szCs w:val="24"/>
        </w:rPr>
      </w:pPr>
    </w:p>
    <w:p w14:paraId="7E6B46BB" w14:textId="77777777" w:rsidR="0076324F" w:rsidRPr="0076324F" w:rsidRDefault="0076324F" w:rsidP="0076324F">
      <w:pPr>
        <w:tabs>
          <w:tab w:val="left" w:pos="851"/>
        </w:tabs>
        <w:ind w:left="851"/>
        <w:rPr>
          <w:sz w:val="24"/>
          <w:szCs w:val="24"/>
          <w:u w:val="single"/>
          <w:lang w:bidi="da-DK"/>
        </w:rPr>
      </w:pPr>
      <w:r w:rsidRPr="0076324F">
        <w:rPr>
          <w:sz w:val="24"/>
          <w:szCs w:val="24"/>
          <w:u w:val="single"/>
          <w:lang w:bidi="da-DK"/>
        </w:rPr>
        <w:t>Indberetning af formodede bivirkninger</w:t>
      </w:r>
    </w:p>
    <w:p w14:paraId="74855D0E" w14:textId="77777777" w:rsidR="0076324F" w:rsidRPr="0076324F" w:rsidRDefault="0076324F" w:rsidP="0076324F">
      <w:pPr>
        <w:tabs>
          <w:tab w:val="left" w:pos="851"/>
        </w:tabs>
        <w:ind w:left="851"/>
        <w:rPr>
          <w:sz w:val="24"/>
          <w:szCs w:val="24"/>
          <w:lang w:bidi="da-DK"/>
        </w:rPr>
      </w:pPr>
      <w:r w:rsidRPr="0076324F">
        <w:rPr>
          <w:sz w:val="24"/>
          <w:szCs w:val="24"/>
          <w:lang w:bidi="da-DK"/>
        </w:rPr>
        <w:t>Når lægemidlet er godkendt, er indberetning af formodede bivirkninger vigtig. Det muliggør løbende overvågning af benefit/</w:t>
      </w:r>
      <w:proofErr w:type="spellStart"/>
      <w:r w:rsidRPr="0076324F">
        <w:rPr>
          <w:sz w:val="24"/>
          <w:szCs w:val="24"/>
          <w:lang w:bidi="da-DK"/>
        </w:rPr>
        <w:t>risk</w:t>
      </w:r>
      <w:proofErr w:type="spellEnd"/>
      <w:r w:rsidRPr="0076324F">
        <w:rPr>
          <w:sz w:val="24"/>
          <w:szCs w:val="24"/>
          <w:lang w:bidi="da-DK"/>
        </w:rPr>
        <w:t>-forholdet for lægemidlet. Sundhedspersoner anmodes om at indberette alle formodede bivirkninger via:</w:t>
      </w:r>
    </w:p>
    <w:p w14:paraId="3B4FDC4B" w14:textId="77777777" w:rsidR="0076324F" w:rsidRPr="0076324F" w:rsidRDefault="0076324F" w:rsidP="0076324F">
      <w:pPr>
        <w:tabs>
          <w:tab w:val="left" w:pos="851"/>
        </w:tabs>
        <w:ind w:left="851"/>
        <w:rPr>
          <w:sz w:val="24"/>
          <w:szCs w:val="24"/>
          <w:lang w:bidi="da-DK"/>
        </w:rPr>
      </w:pPr>
    </w:p>
    <w:p w14:paraId="01C30CFB" w14:textId="77777777" w:rsidR="0076324F" w:rsidRPr="0076324F" w:rsidRDefault="0076324F" w:rsidP="0076324F">
      <w:pPr>
        <w:tabs>
          <w:tab w:val="left" w:pos="851"/>
        </w:tabs>
        <w:ind w:left="851"/>
        <w:rPr>
          <w:sz w:val="24"/>
          <w:szCs w:val="24"/>
          <w:lang w:bidi="da-DK"/>
        </w:rPr>
      </w:pPr>
      <w:r w:rsidRPr="0076324F">
        <w:rPr>
          <w:sz w:val="24"/>
          <w:szCs w:val="24"/>
          <w:lang w:bidi="da-DK"/>
        </w:rPr>
        <w:t>Lægemiddelstyrelsen</w:t>
      </w:r>
    </w:p>
    <w:p w14:paraId="32D5A398" w14:textId="77777777" w:rsidR="0076324F" w:rsidRPr="0076324F" w:rsidRDefault="0076324F" w:rsidP="0076324F">
      <w:pPr>
        <w:tabs>
          <w:tab w:val="left" w:pos="851"/>
        </w:tabs>
        <w:ind w:left="851"/>
        <w:rPr>
          <w:sz w:val="24"/>
          <w:szCs w:val="24"/>
          <w:lang w:bidi="da-DK"/>
        </w:rPr>
      </w:pPr>
      <w:r w:rsidRPr="0076324F">
        <w:rPr>
          <w:sz w:val="24"/>
          <w:szCs w:val="24"/>
          <w:lang w:bidi="da-DK"/>
        </w:rPr>
        <w:t>Axel Heides Gade 1</w:t>
      </w:r>
    </w:p>
    <w:p w14:paraId="48F1D0B8" w14:textId="77777777" w:rsidR="0076324F" w:rsidRPr="0076324F" w:rsidRDefault="0076324F" w:rsidP="0076324F">
      <w:pPr>
        <w:tabs>
          <w:tab w:val="left" w:pos="851"/>
        </w:tabs>
        <w:ind w:left="851"/>
        <w:rPr>
          <w:sz w:val="24"/>
          <w:szCs w:val="24"/>
          <w:lang w:bidi="da-DK"/>
        </w:rPr>
      </w:pPr>
      <w:r w:rsidRPr="0076324F">
        <w:rPr>
          <w:sz w:val="24"/>
          <w:szCs w:val="24"/>
          <w:lang w:bidi="da-DK"/>
        </w:rPr>
        <w:t>DK-2300 København S</w:t>
      </w:r>
    </w:p>
    <w:p w14:paraId="7FE0ECCB" w14:textId="77777777" w:rsidR="0076324F" w:rsidRPr="0076324F" w:rsidRDefault="0076324F" w:rsidP="0076324F">
      <w:pPr>
        <w:tabs>
          <w:tab w:val="left" w:pos="851"/>
        </w:tabs>
        <w:ind w:left="851"/>
        <w:rPr>
          <w:sz w:val="24"/>
          <w:szCs w:val="24"/>
          <w:lang w:bidi="da-DK"/>
        </w:rPr>
      </w:pPr>
      <w:r w:rsidRPr="0076324F">
        <w:rPr>
          <w:sz w:val="24"/>
          <w:szCs w:val="24"/>
          <w:lang w:bidi="da-DK"/>
        </w:rPr>
        <w:t xml:space="preserve">Websted: </w:t>
      </w:r>
      <w:hyperlink r:id="rId9" w:history="1">
        <w:r w:rsidRPr="0076324F">
          <w:rPr>
            <w:rStyle w:val="Hyperlink"/>
            <w:sz w:val="24"/>
            <w:szCs w:val="24"/>
            <w:u w:val="none"/>
            <w:lang w:bidi="da-DK"/>
          </w:rPr>
          <w:t>www.meldenbivirkning.dk</w:t>
        </w:r>
      </w:hyperlink>
    </w:p>
    <w:p w14:paraId="436599DD" w14:textId="77777777" w:rsidR="009260DE" w:rsidRPr="0076324F" w:rsidRDefault="009260DE" w:rsidP="00A10294">
      <w:pPr>
        <w:tabs>
          <w:tab w:val="left" w:pos="851"/>
        </w:tabs>
        <w:ind w:left="851"/>
        <w:rPr>
          <w:sz w:val="24"/>
          <w:szCs w:val="24"/>
        </w:rPr>
      </w:pPr>
    </w:p>
    <w:p w14:paraId="2BCC7FA3" w14:textId="77777777" w:rsidR="009260DE" w:rsidRPr="00A27D30" w:rsidRDefault="009260DE" w:rsidP="009260DE">
      <w:pPr>
        <w:tabs>
          <w:tab w:val="left" w:pos="851"/>
        </w:tabs>
        <w:ind w:left="851" w:hanging="851"/>
        <w:rPr>
          <w:b/>
          <w:sz w:val="24"/>
          <w:szCs w:val="24"/>
        </w:rPr>
      </w:pPr>
      <w:r w:rsidRPr="00A27D30">
        <w:rPr>
          <w:b/>
          <w:sz w:val="24"/>
          <w:szCs w:val="24"/>
        </w:rPr>
        <w:t>4.9</w:t>
      </w:r>
      <w:r w:rsidRPr="00A27D30">
        <w:rPr>
          <w:b/>
          <w:sz w:val="24"/>
          <w:szCs w:val="24"/>
        </w:rPr>
        <w:tab/>
        <w:t>Overdosering</w:t>
      </w:r>
    </w:p>
    <w:p w14:paraId="235647AA" w14:textId="77777777" w:rsidR="00D27A53" w:rsidRPr="00D27A53" w:rsidRDefault="00D27A53" w:rsidP="00695AC0">
      <w:pPr>
        <w:ind w:left="851"/>
        <w:rPr>
          <w:sz w:val="24"/>
          <w:szCs w:val="24"/>
        </w:rPr>
      </w:pPr>
      <w:r w:rsidRPr="00D27A53">
        <w:rPr>
          <w:sz w:val="24"/>
          <w:szCs w:val="24"/>
          <w:lang w:bidi="da-DK"/>
        </w:rPr>
        <w:t>I tilfælde af overdosering skal patienterne kontakte en læge, et forgiftningscenter eller en skadestue.</w:t>
      </w:r>
    </w:p>
    <w:p w14:paraId="1EFD86AF" w14:textId="77777777" w:rsidR="009260DE" w:rsidRPr="00A27D30" w:rsidRDefault="009260DE" w:rsidP="009260DE">
      <w:pPr>
        <w:tabs>
          <w:tab w:val="left" w:pos="851"/>
        </w:tabs>
        <w:ind w:left="851"/>
        <w:rPr>
          <w:sz w:val="24"/>
          <w:szCs w:val="24"/>
        </w:rPr>
      </w:pPr>
    </w:p>
    <w:p w14:paraId="7F2498B9" w14:textId="77777777" w:rsidR="009260DE" w:rsidRPr="00A27D30" w:rsidRDefault="009260DE" w:rsidP="009260DE">
      <w:pPr>
        <w:tabs>
          <w:tab w:val="left" w:pos="851"/>
        </w:tabs>
        <w:ind w:left="851" w:hanging="851"/>
        <w:rPr>
          <w:b/>
          <w:sz w:val="24"/>
          <w:szCs w:val="24"/>
        </w:rPr>
      </w:pPr>
      <w:r w:rsidRPr="00A27D30">
        <w:rPr>
          <w:b/>
          <w:sz w:val="24"/>
          <w:szCs w:val="24"/>
        </w:rPr>
        <w:t>4.10</w:t>
      </w:r>
      <w:r w:rsidRPr="00A27D30">
        <w:rPr>
          <w:b/>
          <w:sz w:val="24"/>
          <w:szCs w:val="24"/>
        </w:rPr>
        <w:tab/>
        <w:t>Udlevering</w:t>
      </w:r>
    </w:p>
    <w:p w14:paraId="3A03F767" w14:textId="6FD42F19" w:rsidR="009260DE" w:rsidRPr="00A27D30" w:rsidRDefault="00975327" w:rsidP="009260DE">
      <w:pPr>
        <w:tabs>
          <w:tab w:val="left" w:pos="851"/>
        </w:tabs>
        <w:ind w:left="851"/>
        <w:rPr>
          <w:sz w:val="24"/>
          <w:szCs w:val="24"/>
        </w:rPr>
      </w:pPr>
      <w:r>
        <w:rPr>
          <w:sz w:val="24"/>
          <w:szCs w:val="24"/>
        </w:rPr>
        <w:t>B</w:t>
      </w:r>
    </w:p>
    <w:p w14:paraId="4537108C" w14:textId="77777777" w:rsidR="009260DE" w:rsidRPr="00A27D30" w:rsidRDefault="009260DE" w:rsidP="009260DE">
      <w:pPr>
        <w:tabs>
          <w:tab w:val="left" w:pos="851"/>
        </w:tabs>
        <w:ind w:left="851"/>
        <w:rPr>
          <w:sz w:val="24"/>
          <w:szCs w:val="24"/>
        </w:rPr>
      </w:pPr>
    </w:p>
    <w:p w14:paraId="6C829470" w14:textId="77777777" w:rsidR="009260DE" w:rsidRPr="00A27D30" w:rsidRDefault="009260DE" w:rsidP="009260DE">
      <w:pPr>
        <w:tabs>
          <w:tab w:val="left" w:pos="851"/>
        </w:tabs>
        <w:ind w:left="851"/>
        <w:rPr>
          <w:sz w:val="24"/>
          <w:szCs w:val="24"/>
        </w:rPr>
      </w:pPr>
    </w:p>
    <w:p w14:paraId="688574C3" w14:textId="77777777" w:rsidR="009260DE" w:rsidRPr="00A27D30" w:rsidRDefault="009260DE" w:rsidP="009260DE">
      <w:pPr>
        <w:tabs>
          <w:tab w:val="left" w:pos="851"/>
        </w:tabs>
        <w:ind w:left="851" w:hanging="851"/>
        <w:rPr>
          <w:b/>
          <w:sz w:val="24"/>
          <w:szCs w:val="24"/>
        </w:rPr>
      </w:pPr>
      <w:r w:rsidRPr="00A27D30">
        <w:rPr>
          <w:b/>
          <w:sz w:val="24"/>
          <w:szCs w:val="24"/>
        </w:rPr>
        <w:t>5.</w:t>
      </w:r>
      <w:r w:rsidRPr="00A27D30">
        <w:rPr>
          <w:b/>
          <w:sz w:val="24"/>
          <w:szCs w:val="24"/>
        </w:rPr>
        <w:tab/>
        <w:t>FARMAKOLOGISKE EGENSKABER</w:t>
      </w:r>
    </w:p>
    <w:p w14:paraId="62DD4237" w14:textId="77777777" w:rsidR="009260DE" w:rsidRPr="00A27D30" w:rsidRDefault="009260DE" w:rsidP="009260DE">
      <w:pPr>
        <w:tabs>
          <w:tab w:val="left" w:pos="851"/>
        </w:tabs>
        <w:ind w:left="851"/>
        <w:rPr>
          <w:sz w:val="24"/>
          <w:szCs w:val="24"/>
        </w:rPr>
      </w:pPr>
    </w:p>
    <w:p w14:paraId="5D422EF7" w14:textId="77777777" w:rsidR="009260DE" w:rsidRPr="00A27D30" w:rsidRDefault="009260DE" w:rsidP="009260DE">
      <w:pPr>
        <w:tabs>
          <w:tab w:val="num" w:pos="851"/>
        </w:tabs>
        <w:ind w:left="851" w:hanging="851"/>
        <w:rPr>
          <w:b/>
          <w:sz w:val="24"/>
          <w:szCs w:val="24"/>
        </w:rPr>
      </w:pPr>
      <w:r w:rsidRPr="00A27D30">
        <w:rPr>
          <w:b/>
          <w:sz w:val="24"/>
          <w:szCs w:val="24"/>
        </w:rPr>
        <w:t>5.1</w:t>
      </w:r>
      <w:r w:rsidRPr="00A27D30">
        <w:rPr>
          <w:b/>
          <w:sz w:val="24"/>
          <w:szCs w:val="24"/>
        </w:rPr>
        <w:tab/>
      </w:r>
      <w:proofErr w:type="spellStart"/>
      <w:r w:rsidRPr="00A27D30">
        <w:rPr>
          <w:b/>
          <w:sz w:val="24"/>
          <w:szCs w:val="24"/>
        </w:rPr>
        <w:t>Farmakodynamiske</w:t>
      </w:r>
      <w:proofErr w:type="spellEnd"/>
      <w:r w:rsidRPr="00A27D30">
        <w:rPr>
          <w:b/>
          <w:sz w:val="24"/>
          <w:szCs w:val="24"/>
        </w:rPr>
        <w:t xml:space="preserve"> egenskaber</w:t>
      </w:r>
    </w:p>
    <w:p w14:paraId="65E1B7E6" w14:textId="77777777" w:rsidR="00D27A53" w:rsidRDefault="00D27A53" w:rsidP="00695AC0">
      <w:pPr>
        <w:ind w:left="851"/>
        <w:rPr>
          <w:sz w:val="24"/>
          <w:szCs w:val="24"/>
          <w:lang w:bidi="da-DK"/>
        </w:rPr>
      </w:pPr>
      <w:proofErr w:type="spellStart"/>
      <w:r w:rsidRPr="00D27A53">
        <w:rPr>
          <w:sz w:val="24"/>
          <w:szCs w:val="24"/>
          <w:lang w:bidi="da-DK"/>
        </w:rPr>
        <w:t>Farmakoterapeutisk</w:t>
      </w:r>
      <w:proofErr w:type="spellEnd"/>
      <w:r w:rsidRPr="00D27A53">
        <w:rPr>
          <w:sz w:val="24"/>
          <w:szCs w:val="24"/>
          <w:lang w:bidi="da-DK"/>
        </w:rPr>
        <w:t xml:space="preserve"> gruppe: Kombinationer til udryddelse af </w:t>
      </w:r>
      <w:proofErr w:type="spellStart"/>
      <w:r w:rsidRPr="00D27A53">
        <w:rPr>
          <w:i/>
          <w:sz w:val="24"/>
          <w:szCs w:val="24"/>
          <w:lang w:bidi="da-DK"/>
        </w:rPr>
        <w:t>Helicobacter</w:t>
      </w:r>
      <w:proofErr w:type="spellEnd"/>
      <w:r w:rsidRPr="00D27A53">
        <w:rPr>
          <w:i/>
          <w:sz w:val="24"/>
          <w:szCs w:val="24"/>
          <w:lang w:bidi="da-DK"/>
        </w:rPr>
        <w:t xml:space="preserve"> </w:t>
      </w:r>
      <w:proofErr w:type="spellStart"/>
      <w:r w:rsidRPr="00D27A53">
        <w:rPr>
          <w:i/>
          <w:sz w:val="24"/>
          <w:szCs w:val="24"/>
          <w:lang w:bidi="da-DK"/>
        </w:rPr>
        <w:t>pylori</w:t>
      </w:r>
      <w:proofErr w:type="spellEnd"/>
      <w:r w:rsidRPr="00D27A53">
        <w:rPr>
          <w:sz w:val="24"/>
          <w:szCs w:val="24"/>
          <w:lang w:bidi="da-DK"/>
        </w:rPr>
        <w:t>, ATC-kode: A02BD08</w:t>
      </w:r>
    </w:p>
    <w:p w14:paraId="710135C8" w14:textId="77777777" w:rsidR="00975327" w:rsidRPr="00D27A53" w:rsidRDefault="00975327" w:rsidP="00695AC0">
      <w:pPr>
        <w:ind w:left="851"/>
        <w:rPr>
          <w:sz w:val="24"/>
          <w:szCs w:val="24"/>
        </w:rPr>
      </w:pPr>
    </w:p>
    <w:p w14:paraId="1F58DE3B" w14:textId="77777777" w:rsidR="00D27A53" w:rsidRPr="00D27A53" w:rsidRDefault="00D27A53" w:rsidP="00695AC0">
      <w:pPr>
        <w:ind w:left="851"/>
        <w:rPr>
          <w:sz w:val="24"/>
          <w:szCs w:val="24"/>
        </w:rPr>
      </w:pPr>
      <w:proofErr w:type="spellStart"/>
      <w:r w:rsidRPr="00D27A53">
        <w:rPr>
          <w:sz w:val="24"/>
          <w:szCs w:val="24"/>
          <w:lang w:bidi="da-DK"/>
        </w:rPr>
        <w:t>Pylera</w:t>
      </w:r>
      <w:proofErr w:type="spellEnd"/>
      <w:r w:rsidRPr="00D27A53">
        <w:rPr>
          <w:sz w:val="24"/>
          <w:szCs w:val="24"/>
          <w:lang w:bidi="da-DK"/>
        </w:rPr>
        <w:t xml:space="preserve"> er en tredobbelt fast kombinationskapsel, der indeholder </w:t>
      </w:r>
      <w:proofErr w:type="spellStart"/>
      <w:r w:rsidRPr="00D27A53">
        <w:rPr>
          <w:sz w:val="24"/>
          <w:szCs w:val="24"/>
          <w:lang w:bidi="da-DK"/>
        </w:rPr>
        <w:t>bismuthsubcitratkalium</w:t>
      </w:r>
      <w:proofErr w:type="spellEnd"/>
      <w:r w:rsidRPr="00D27A53">
        <w:rPr>
          <w:sz w:val="24"/>
          <w:szCs w:val="24"/>
          <w:lang w:bidi="da-DK"/>
        </w:rPr>
        <w:t xml:space="preserve">, </w:t>
      </w:r>
      <w:proofErr w:type="spellStart"/>
      <w:r w:rsidRPr="00D27A53">
        <w:rPr>
          <w:sz w:val="24"/>
          <w:szCs w:val="24"/>
          <w:lang w:bidi="da-DK"/>
        </w:rPr>
        <w:t>metronidazol</w:t>
      </w:r>
      <w:proofErr w:type="spellEnd"/>
      <w:r w:rsidRPr="00D27A53">
        <w:rPr>
          <w:sz w:val="24"/>
          <w:szCs w:val="24"/>
          <w:lang w:bidi="da-DK"/>
        </w:rPr>
        <w:t xml:space="preserve"> og </w:t>
      </w:r>
      <w:proofErr w:type="spellStart"/>
      <w:r w:rsidRPr="00D27A53">
        <w:rPr>
          <w:sz w:val="24"/>
          <w:szCs w:val="24"/>
          <w:lang w:bidi="da-DK"/>
        </w:rPr>
        <w:t>tetracyclinhydrochlorid</w:t>
      </w:r>
      <w:proofErr w:type="spellEnd"/>
      <w:r w:rsidRPr="00D27A53">
        <w:rPr>
          <w:sz w:val="24"/>
          <w:szCs w:val="24"/>
          <w:lang w:bidi="da-DK"/>
        </w:rPr>
        <w:t xml:space="preserve"> til udryddelse af </w:t>
      </w:r>
      <w:r w:rsidRPr="00D27A53">
        <w:rPr>
          <w:i/>
          <w:sz w:val="24"/>
          <w:szCs w:val="24"/>
          <w:lang w:bidi="da-DK"/>
        </w:rPr>
        <w:t xml:space="preserve">H. </w:t>
      </w:r>
      <w:proofErr w:type="spellStart"/>
      <w:r w:rsidRPr="00D27A53">
        <w:rPr>
          <w:i/>
          <w:sz w:val="24"/>
          <w:szCs w:val="24"/>
          <w:lang w:bidi="da-DK"/>
        </w:rPr>
        <w:t>pylori</w:t>
      </w:r>
      <w:proofErr w:type="spellEnd"/>
      <w:r w:rsidRPr="00D27A53">
        <w:rPr>
          <w:i/>
          <w:sz w:val="24"/>
          <w:szCs w:val="24"/>
          <w:lang w:bidi="da-DK"/>
        </w:rPr>
        <w:t xml:space="preserve"> </w:t>
      </w:r>
      <w:r w:rsidRPr="00D27A53">
        <w:rPr>
          <w:sz w:val="24"/>
          <w:szCs w:val="24"/>
          <w:lang w:bidi="da-DK"/>
        </w:rPr>
        <w:t xml:space="preserve">i kombination med </w:t>
      </w:r>
      <w:proofErr w:type="spellStart"/>
      <w:r w:rsidRPr="00D27A53">
        <w:rPr>
          <w:sz w:val="24"/>
          <w:szCs w:val="24"/>
          <w:lang w:bidi="da-DK"/>
        </w:rPr>
        <w:t>omeprazol</w:t>
      </w:r>
      <w:proofErr w:type="spellEnd"/>
      <w:r w:rsidRPr="00D27A53">
        <w:rPr>
          <w:sz w:val="24"/>
          <w:szCs w:val="24"/>
          <w:lang w:bidi="da-DK"/>
        </w:rPr>
        <w:t xml:space="preserve"> (firedobbelt behandling).</w:t>
      </w:r>
    </w:p>
    <w:p w14:paraId="2F523196" w14:textId="77777777" w:rsidR="00D27A53" w:rsidRPr="00D27A53" w:rsidRDefault="00D27A53" w:rsidP="00695AC0">
      <w:pPr>
        <w:ind w:left="851"/>
        <w:rPr>
          <w:sz w:val="24"/>
          <w:szCs w:val="24"/>
        </w:rPr>
      </w:pPr>
    </w:p>
    <w:p w14:paraId="7F450B26" w14:textId="77777777" w:rsidR="00D27A53" w:rsidRPr="00D27A53" w:rsidRDefault="00D27A53" w:rsidP="00695AC0">
      <w:pPr>
        <w:ind w:left="851"/>
        <w:rPr>
          <w:sz w:val="24"/>
          <w:szCs w:val="24"/>
          <w:u w:val="single"/>
        </w:rPr>
      </w:pPr>
      <w:r w:rsidRPr="00D27A53">
        <w:rPr>
          <w:sz w:val="24"/>
          <w:szCs w:val="24"/>
          <w:u w:val="single"/>
          <w:lang w:bidi="da-DK"/>
        </w:rPr>
        <w:t>Virkningsmekanisme</w:t>
      </w:r>
    </w:p>
    <w:p w14:paraId="02E39529" w14:textId="77777777" w:rsidR="00975327" w:rsidRDefault="00975327" w:rsidP="00695AC0">
      <w:pPr>
        <w:ind w:left="851"/>
        <w:rPr>
          <w:i/>
          <w:sz w:val="24"/>
          <w:szCs w:val="24"/>
          <w:lang w:bidi="da-DK"/>
        </w:rPr>
      </w:pPr>
    </w:p>
    <w:p w14:paraId="16C9B1D6" w14:textId="3E70A7D6" w:rsidR="00D27A53" w:rsidRPr="00D27A53" w:rsidRDefault="00D27A53" w:rsidP="00695AC0">
      <w:pPr>
        <w:ind w:left="851"/>
        <w:rPr>
          <w:i/>
          <w:sz w:val="24"/>
          <w:szCs w:val="24"/>
        </w:rPr>
      </w:pPr>
      <w:proofErr w:type="spellStart"/>
      <w:r w:rsidRPr="00D27A53">
        <w:rPr>
          <w:i/>
          <w:sz w:val="24"/>
          <w:szCs w:val="24"/>
          <w:lang w:bidi="da-DK"/>
        </w:rPr>
        <w:t>Bismuth</w:t>
      </w:r>
      <w:proofErr w:type="spellEnd"/>
    </w:p>
    <w:p w14:paraId="52B80A20" w14:textId="77777777" w:rsidR="00D27A53" w:rsidRPr="00D27A53" w:rsidRDefault="00D27A53" w:rsidP="00695AC0">
      <w:pPr>
        <w:ind w:left="851"/>
        <w:rPr>
          <w:sz w:val="24"/>
          <w:szCs w:val="24"/>
        </w:rPr>
      </w:pPr>
      <w:r w:rsidRPr="00D27A53">
        <w:rPr>
          <w:sz w:val="24"/>
          <w:szCs w:val="24"/>
          <w:lang w:bidi="da-DK"/>
        </w:rPr>
        <w:t xml:space="preserve">Den nøjagtige effekt af </w:t>
      </w:r>
      <w:proofErr w:type="spellStart"/>
      <w:r w:rsidRPr="00D27A53">
        <w:rPr>
          <w:sz w:val="24"/>
          <w:szCs w:val="24"/>
          <w:lang w:bidi="da-DK"/>
        </w:rPr>
        <w:t>bismuth</w:t>
      </w:r>
      <w:proofErr w:type="spellEnd"/>
      <w:r w:rsidRPr="00D27A53">
        <w:rPr>
          <w:sz w:val="24"/>
          <w:szCs w:val="24"/>
          <w:lang w:bidi="da-DK"/>
        </w:rPr>
        <w:t xml:space="preserve"> i behandlingen af </w:t>
      </w:r>
      <w:r w:rsidRPr="00D27A53">
        <w:rPr>
          <w:i/>
          <w:sz w:val="24"/>
          <w:szCs w:val="24"/>
          <w:lang w:bidi="da-DK"/>
        </w:rPr>
        <w:t xml:space="preserve">H. </w:t>
      </w:r>
      <w:proofErr w:type="spellStart"/>
      <w:r w:rsidRPr="00D27A53">
        <w:rPr>
          <w:i/>
          <w:sz w:val="24"/>
          <w:szCs w:val="24"/>
          <w:lang w:bidi="da-DK"/>
        </w:rPr>
        <w:t>pylori</w:t>
      </w:r>
      <w:proofErr w:type="spellEnd"/>
      <w:r w:rsidRPr="00D27A53">
        <w:rPr>
          <w:i/>
          <w:sz w:val="24"/>
          <w:szCs w:val="24"/>
          <w:lang w:bidi="da-DK"/>
        </w:rPr>
        <w:t xml:space="preserve">-infektioner </w:t>
      </w:r>
      <w:r w:rsidRPr="00D27A53">
        <w:rPr>
          <w:sz w:val="24"/>
          <w:szCs w:val="24"/>
          <w:lang w:bidi="da-DK"/>
        </w:rPr>
        <w:t xml:space="preserve">er stadig ukendt. Det ser ud til at være relateret til direkte toksicitet på membranfunktion, hæmning af protein- og cellevægssyntese, hæmning af </w:t>
      </w:r>
      <w:proofErr w:type="spellStart"/>
      <w:r w:rsidRPr="00D27A53">
        <w:rPr>
          <w:sz w:val="24"/>
          <w:szCs w:val="24"/>
          <w:lang w:bidi="da-DK"/>
        </w:rPr>
        <w:t>ureaseenzymaktivitet</w:t>
      </w:r>
      <w:proofErr w:type="spellEnd"/>
      <w:r w:rsidRPr="00D27A53">
        <w:rPr>
          <w:sz w:val="24"/>
          <w:szCs w:val="24"/>
          <w:lang w:bidi="da-DK"/>
        </w:rPr>
        <w:t xml:space="preserve">, forebyggelse af </w:t>
      </w:r>
      <w:proofErr w:type="spellStart"/>
      <w:r w:rsidRPr="00D27A53">
        <w:rPr>
          <w:sz w:val="24"/>
          <w:szCs w:val="24"/>
          <w:lang w:bidi="da-DK"/>
        </w:rPr>
        <w:t>cytoadherence</w:t>
      </w:r>
      <w:proofErr w:type="spellEnd"/>
      <w:r w:rsidRPr="00D27A53">
        <w:rPr>
          <w:sz w:val="24"/>
          <w:szCs w:val="24"/>
          <w:lang w:bidi="da-DK"/>
        </w:rPr>
        <w:t xml:space="preserve">, ATP-syntese og en ikke-specifik </w:t>
      </w:r>
      <w:proofErr w:type="spellStart"/>
      <w:r w:rsidRPr="00D27A53">
        <w:rPr>
          <w:sz w:val="24"/>
          <w:szCs w:val="24"/>
          <w:lang w:bidi="da-DK"/>
        </w:rPr>
        <w:t>kompetitiv</w:t>
      </w:r>
      <w:proofErr w:type="spellEnd"/>
      <w:r w:rsidRPr="00D27A53">
        <w:rPr>
          <w:sz w:val="24"/>
          <w:szCs w:val="24"/>
          <w:lang w:bidi="da-DK"/>
        </w:rPr>
        <w:t xml:space="preserve"> interferens med jerntransport.</w:t>
      </w:r>
    </w:p>
    <w:p w14:paraId="33A2ECF1" w14:textId="77777777" w:rsidR="00975327" w:rsidRDefault="00975327" w:rsidP="00695AC0">
      <w:pPr>
        <w:ind w:left="851"/>
        <w:rPr>
          <w:i/>
          <w:sz w:val="24"/>
          <w:szCs w:val="24"/>
          <w:lang w:bidi="da-DK"/>
        </w:rPr>
      </w:pPr>
    </w:p>
    <w:p w14:paraId="79694DFB" w14:textId="6FDE0641" w:rsidR="00D27A53" w:rsidRPr="00D27A53" w:rsidRDefault="00D27A53" w:rsidP="00695AC0">
      <w:pPr>
        <w:ind w:left="851"/>
        <w:rPr>
          <w:i/>
          <w:sz w:val="24"/>
          <w:szCs w:val="24"/>
        </w:rPr>
      </w:pPr>
      <w:proofErr w:type="spellStart"/>
      <w:r w:rsidRPr="00D27A53">
        <w:rPr>
          <w:i/>
          <w:sz w:val="24"/>
          <w:szCs w:val="24"/>
          <w:lang w:bidi="da-DK"/>
        </w:rPr>
        <w:t>Metronidazol</w:t>
      </w:r>
      <w:proofErr w:type="spellEnd"/>
    </w:p>
    <w:p w14:paraId="57E186A6" w14:textId="77777777" w:rsidR="00D27A53" w:rsidRPr="00D27A53" w:rsidRDefault="00D27A53" w:rsidP="00695AC0">
      <w:pPr>
        <w:ind w:left="851"/>
        <w:rPr>
          <w:sz w:val="24"/>
          <w:szCs w:val="24"/>
        </w:rPr>
      </w:pPr>
      <w:proofErr w:type="spellStart"/>
      <w:r w:rsidRPr="00D27A53">
        <w:rPr>
          <w:sz w:val="24"/>
          <w:szCs w:val="24"/>
          <w:lang w:bidi="da-DK"/>
        </w:rPr>
        <w:t>Metronidazols</w:t>
      </w:r>
      <w:proofErr w:type="spellEnd"/>
      <w:r w:rsidRPr="00D27A53">
        <w:rPr>
          <w:sz w:val="24"/>
          <w:szCs w:val="24"/>
          <w:lang w:bidi="da-DK"/>
        </w:rPr>
        <w:t xml:space="preserve"> antimikrobielle virkningsmekanisme afhænger af </w:t>
      </w:r>
      <w:proofErr w:type="spellStart"/>
      <w:r w:rsidRPr="00D27A53">
        <w:rPr>
          <w:sz w:val="24"/>
          <w:szCs w:val="24"/>
          <w:lang w:bidi="da-DK"/>
        </w:rPr>
        <w:t>nitroreduktases</w:t>
      </w:r>
      <w:proofErr w:type="spellEnd"/>
      <w:r w:rsidRPr="00D27A53">
        <w:rPr>
          <w:sz w:val="24"/>
          <w:szCs w:val="24"/>
          <w:lang w:bidi="da-DK"/>
        </w:rPr>
        <w:t xml:space="preserve"> og andre </w:t>
      </w:r>
      <w:proofErr w:type="spellStart"/>
      <w:r w:rsidRPr="00D27A53">
        <w:rPr>
          <w:sz w:val="24"/>
          <w:szCs w:val="24"/>
          <w:lang w:bidi="da-DK"/>
        </w:rPr>
        <w:t>reduktasers</w:t>
      </w:r>
      <w:proofErr w:type="spellEnd"/>
      <w:r w:rsidRPr="00D27A53">
        <w:rPr>
          <w:sz w:val="24"/>
          <w:szCs w:val="24"/>
          <w:lang w:bidi="da-DK"/>
        </w:rPr>
        <w:t xml:space="preserve"> reduktion af nitrodelen til </w:t>
      </w:r>
      <w:proofErr w:type="spellStart"/>
      <w:r w:rsidRPr="00D27A53">
        <w:rPr>
          <w:sz w:val="24"/>
          <w:szCs w:val="24"/>
          <w:lang w:bidi="da-DK"/>
        </w:rPr>
        <w:t>nitroanionradikaler</w:t>
      </w:r>
      <w:proofErr w:type="spellEnd"/>
      <w:r w:rsidRPr="00D27A53">
        <w:rPr>
          <w:sz w:val="24"/>
          <w:szCs w:val="24"/>
          <w:lang w:bidi="da-DK"/>
        </w:rPr>
        <w:t xml:space="preserve">. Disse radikaler skader bakteriernes DNA, hvilket i sidste ende resulterer i </w:t>
      </w:r>
      <w:proofErr w:type="spellStart"/>
      <w:r w:rsidRPr="00D27A53">
        <w:rPr>
          <w:sz w:val="24"/>
          <w:szCs w:val="24"/>
          <w:lang w:bidi="da-DK"/>
        </w:rPr>
        <w:t>celledød</w:t>
      </w:r>
      <w:proofErr w:type="spellEnd"/>
      <w:r w:rsidRPr="00D27A53">
        <w:rPr>
          <w:sz w:val="24"/>
          <w:szCs w:val="24"/>
          <w:lang w:bidi="da-DK"/>
        </w:rPr>
        <w:t>.</w:t>
      </w:r>
    </w:p>
    <w:p w14:paraId="01F780E0" w14:textId="77777777" w:rsidR="00D27A53" w:rsidRPr="00D27A53" w:rsidRDefault="00D27A53" w:rsidP="00695AC0">
      <w:pPr>
        <w:ind w:left="851"/>
        <w:rPr>
          <w:i/>
          <w:sz w:val="24"/>
          <w:szCs w:val="24"/>
        </w:rPr>
      </w:pPr>
    </w:p>
    <w:p w14:paraId="0F17BA70" w14:textId="77777777" w:rsidR="00D27A53" w:rsidRPr="00D27A53" w:rsidRDefault="00D27A53" w:rsidP="00695AC0">
      <w:pPr>
        <w:ind w:left="851"/>
        <w:rPr>
          <w:i/>
          <w:sz w:val="24"/>
          <w:szCs w:val="24"/>
        </w:rPr>
      </w:pPr>
      <w:r w:rsidRPr="00D27A53">
        <w:rPr>
          <w:i/>
          <w:sz w:val="24"/>
          <w:szCs w:val="24"/>
          <w:lang w:bidi="da-DK"/>
        </w:rPr>
        <w:t>Tetracyklin</w:t>
      </w:r>
    </w:p>
    <w:p w14:paraId="1C5822D9" w14:textId="77777777" w:rsidR="00D27A53" w:rsidRPr="00D27A53" w:rsidRDefault="00D27A53" w:rsidP="00695AC0">
      <w:pPr>
        <w:ind w:left="851"/>
        <w:rPr>
          <w:sz w:val="24"/>
          <w:szCs w:val="24"/>
        </w:rPr>
      </w:pPr>
      <w:r w:rsidRPr="00D27A53">
        <w:rPr>
          <w:sz w:val="24"/>
          <w:szCs w:val="24"/>
          <w:lang w:bidi="da-DK"/>
        </w:rPr>
        <w:t>Tetracyklin binder sig specifikt til 30S-ribosomet og forhindrer tRNA's adgang til mRNA-ribosomkomplekset og forstyrrer dermed proteinsyntesen.</w:t>
      </w:r>
    </w:p>
    <w:p w14:paraId="7C3DA63C" w14:textId="77777777" w:rsidR="00D27A53" w:rsidRPr="00D27A53" w:rsidRDefault="00D27A53" w:rsidP="00695AC0">
      <w:pPr>
        <w:ind w:left="851"/>
        <w:rPr>
          <w:sz w:val="24"/>
          <w:szCs w:val="24"/>
        </w:rPr>
      </w:pPr>
    </w:p>
    <w:p w14:paraId="641F4FF8" w14:textId="77777777" w:rsidR="00D27A53" w:rsidRPr="00D27A53" w:rsidRDefault="00D27A53" w:rsidP="00695AC0">
      <w:pPr>
        <w:ind w:left="851"/>
        <w:rPr>
          <w:sz w:val="24"/>
          <w:szCs w:val="24"/>
          <w:u w:val="single"/>
        </w:rPr>
      </w:pPr>
      <w:r w:rsidRPr="00D27A53">
        <w:rPr>
          <w:sz w:val="24"/>
          <w:szCs w:val="24"/>
          <w:u w:val="single"/>
          <w:lang w:bidi="da-DK"/>
        </w:rPr>
        <w:t xml:space="preserve">Forholdet mellem farmakokinetik og </w:t>
      </w:r>
      <w:proofErr w:type="spellStart"/>
      <w:r w:rsidRPr="00D27A53">
        <w:rPr>
          <w:sz w:val="24"/>
          <w:szCs w:val="24"/>
          <w:u w:val="single"/>
          <w:lang w:bidi="da-DK"/>
        </w:rPr>
        <w:t>farmakodynamik</w:t>
      </w:r>
      <w:proofErr w:type="spellEnd"/>
    </w:p>
    <w:p w14:paraId="204BC6D2" w14:textId="77777777" w:rsidR="00D27A53" w:rsidRPr="00D27A53" w:rsidRDefault="00D27A53" w:rsidP="00695AC0">
      <w:pPr>
        <w:ind w:left="851"/>
        <w:rPr>
          <w:i/>
          <w:sz w:val="24"/>
          <w:szCs w:val="24"/>
        </w:rPr>
      </w:pPr>
      <w:proofErr w:type="spellStart"/>
      <w:r w:rsidRPr="00D27A53">
        <w:rPr>
          <w:i/>
          <w:sz w:val="24"/>
          <w:szCs w:val="24"/>
          <w:lang w:bidi="da-DK"/>
        </w:rPr>
        <w:t>Bismuth</w:t>
      </w:r>
      <w:proofErr w:type="spellEnd"/>
    </w:p>
    <w:p w14:paraId="16172515" w14:textId="77777777" w:rsidR="00D27A53" w:rsidRPr="00D27A53" w:rsidRDefault="00D27A53" w:rsidP="00695AC0">
      <w:pPr>
        <w:ind w:left="851"/>
        <w:rPr>
          <w:sz w:val="24"/>
          <w:szCs w:val="24"/>
        </w:rPr>
      </w:pPr>
      <w:r w:rsidRPr="00D27A53">
        <w:rPr>
          <w:sz w:val="24"/>
          <w:szCs w:val="24"/>
          <w:lang w:bidi="da-DK"/>
        </w:rPr>
        <w:t xml:space="preserve">PK/PD-forholdet for </w:t>
      </w:r>
      <w:proofErr w:type="spellStart"/>
      <w:r w:rsidRPr="00D27A53">
        <w:rPr>
          <w:sz w:val="24"/>
          <w:szCs w:val="24"/>
          <w:lang w:bidi="da-DK"/>
        </w:rPr>
        <w:t>bismuthsubcitrat</w:t>
      </w:r>
      <w:proofErr w:type="spellEnd"/>
      <w:r w:rsidRPr="00D27A53">
        <w:rPr>
          <w:sz w:val="24"/>
          <w:szCs w:val="24"/>
          <w:lang w:bidi="da-DK"/>
        </w:rPr>
        <w:t xml:space="preserve"> er ikke fastlagt.</w:t>
      </w:r>
    </w:p>
    <w:p w14:paraId="10F6525A" w14:textId="77777777" w:rsidR="00D27A53" w:rsidRPr="00D27A53" w:rsidRDefault="00D27A53" w:rsidP="00695AC0">
      <w:pPr>
        <w:ind w:left="851"/>
        <w:rPr>
          <w:sz w:val="24"/>
          <w:szCs w:val="24"/>
        </w:rPr>
      </w:pPr>
    </w:p>
    <w:p w14:paraId="54C1F141" w14:textId="77777777" w:rsidR="00D27A53" w:rsidRPr="00D27A53" w:rsidRDefault="00D27A53" w:rsidP="00695AC0">
      <w:pPr>
        <w:ind w:left="851"/>
        <w:rPr>
          <w:i/>
          <w:sz w:val="24"/>
          <w:szCs w:val="24"/>
        </w:rPr>
      </w:pPr>
      <w:proofErr w:type="spellStart"/>
      <w:r w:rsidRPr="00D27A53">
        <w:rPr>
          <w:i/>
          <w:sz w:val="24"/>
          <w:szCs w:val="24"/>
          <w:lang w:bidi="da-DK"/>
        </w:rPr>
        <w:t>Metronidazol</w:t>
      </w:r>
      <w:proofErr w:type="spellEnd"/>
    </w:p>
    <w:p w14:paraId="2F512B0C" w14:textId="77777777" w:rsidR="00D27A53" w:rsidRPr="00D27A53" w:rsidRDefault="00D27A53" w:rsidP="00695AC0">
      <w:pPr>
        <w:ind w:left="851"/>
        <w:rPr>
          <w:sz w:val="24"/>
          <w:szCs w:val="24"/>
        </w:rPr>
      </w:pPr>
      <w:r w:rsidRPr="00D27A53">
        <w:rPr>
          <w:sz w:val="24"/>
          <w:szCs w:val="24"/>
          <w:lang w:bidi="da-DK"/>
        </w:rPr>
        <w:t xml:space="preserve">Effekten afhænger hovedsageligt af </w:t>
      </w:r>
      <w:proofErr w:type="spellStart"/>
      <w:r w:rsidRPr="00D27A53">
        <w:rPr>
          <w:sz w:val="24"/>
          <w:szCs w:val="24"/>
          <w:vertAlign w:val="subscript"/>
          <w:lang w:bidi="da-DK"/>
        </w:rPr>
        <w:t>Cmax</w:t>
      </w:r>
      <w:proofErr w:type="spellEnd"/>
      <w:r w:rsidRPr="00D27A53">
        <w:rPr>
          <w:sz w:val="24"/>
          <w:szCs w:val="24"/>
          <w:lang w:bidi="da-DK"/>
        </w:rPr>
        <w:t xml:space="preserve"> (maksimal serumkoncentration): MIC (mindste hæmmende koncentration) forholdet mellem </w:t>
      </w:r>
      <w:proofErr w:type="spellStart"/>
      <w:r w:rsidRPr="00D27A53">
        <w:rPr>
          <w:sz w:val="24"/>
          <w:szCs w:val="24"/>
          <w:lang w:bidi="da-DK"/>
        </w:rPr>
        <w:t>patogenet</w:t>
      </w:r>
      <w:proofErr w:type="spellEnd"/>
      <w:r w:rsidRPr="00D27A53">
        <w:rPr>
          <w:sz w:val="24"/>
          <w:szCs w:val="24"/>
          <w:lang w:bidi="da-DK"/>
        </w:rPr>
        <w:t xml:space="preserve"> og AUC (areal under kurven): MIC-forhold af </w:t>
      </w:r>
      <w:proofErr w:type="spellStart"/>
      <w:r w:rsidRPr="00D27A53">
        <w:rPr>
          <w:sz w:val="24"/>
          <w:szCs w:val="24"/>
          <w:lang w:bidi="da-DK"/>
        </w:rPr>
        <w:t>patogenet</w:t>
      </w:r>
      <w:proofErr w:type="spellEnd"/>
      <w:r w:rsidRPr="00D27A53">
        <w:rPr>
          <w:sz w:val="24"/>
          <w:szCs w:val="24"/>
          <w:lang w:bidi="da-DK"/>
        </w:rPr>
        <w:t>, henholdsvis.</w:t>
      </w:r>
    </w:p>
    <w:p w14:paraId="285D8D80" w14:textId="77777777" w:rsidR="00975327" w:rsidRDefault="00975327" w:rsidP="00695AC0">
      <w:pPr>
        <w:ind w:left="851"/>
        <w:rPr>
          <w:i/>
          <w:sz w:val="24"/>
          <w:szCs w:val="24"/>
          <w:lang w:bidi="da-DK"/>
        </w:rPr>
      </w:pPr>
    </w:p>
    <w:p w14:paraId="57ED3C6E" w14:textId="0C68B7BD" w:rsidR="00D27A53" w:rsidRPr="00D27A53" w:rsidRDefault="00D27A53" w:rsidP="00695AC0">
      <w:pPr>
        <w:ind w:left="851"/>
        <w:rPr>
          <w:i/>
          <w:sz w:val="24"/>
          <w:szCs w:val="24"/>
        </w:rPr>
      </w:pPr>
      <w:r w:rsidRPr="00D27A53">
        <w:rPr>
          <w:i/>
          <w:sz w:val="24"/>
          <w:szCs w:val="24"/>
          <w:lang w:bidi="da-DK"/>
        </w:rPr>
        <w:t>Tetracyklin</w:t>
      </w:r>
    </w:p>
    <w:p w14:paraId="2B150851" w14:textId="77777777" w:rsidR="00975327" w:rsidRDefault="00D27A53" w:rsidP="00695AC0">
      <w:pPr>
        <w:ind w:left="851"/>
        <w:rPr>
          <w:sz w:val="24"/>
          <w:szCs w:val="24"/>
          <w:lang w:bidi="da-DK"/>
        </w:rPr>
      </w:pPr>
      <w:r w:rsidRPr="00D27A53">
        <w:rPr>
          <w:sz w:val="24"/>
          <w:szCs w:val="24"/>
          <w:lang w:bidi="da-DK"/>
        </w:rPr>
        <w:t xml:space="preserve">Effektiviteten afhænger hovedsageligt af AUC (arealet under kurven): MIC-forhold for </w:t>
      </w:r>
      <w:proofErr w:type="spellStart"/>
      <w:r w:rsidRPr="00D27A53">
        <w:rPr>
          <w:sz w:val="24"/>
          <w:szCs w:val="24"/>
          <w:lang w:bidi="da-DK"/>
        </w:rPr>
        <w:t>patogenet</w:t>
      </w:r>
      <w:proofErr w:type="spellEnd"/>
      <w:r w:rsidRPr="00D27A53">
        <w:rPr>
          <w:sz w:val="24"/>
          <w:szCs w:val="24"/>
          <w:lang w:bidi="da-DK"/>
        </w:rPr>
        <w:t xml:space="preserve">. </w:t>
      </w:r>
    </w:p>
    <w:p w14:paraId="772AA127" w14:textId="77777777" w:rsidR="00975327" w:rsidRDefault="00975327" w:rsidP="00695AC0">
      <w:pPr>
        <w:ind w:left="851"/>
        <w:rPr>
          <w:sz w:val="24"/>
          <w:szCs w:val="24"/>
          <w:lang w:bidi="da-DK"/>
        </w:rPr>
      </w:pPr>
    </w:p>
    <w:p w14:paraId="43343655" w14:textId="60ECCABD" w:rsidR="00D27A53" w:rsidRPr="00D27A53" w:rsidRDefault="00D27A53" w:rsidP="00695AC0">
      <w:pPr>
        <w:ind w:left="851"/>
        <w:rPr>
          <w:sz w:val="24"/>
          <w:szCs w:val="24"/>
        </w:rPr>
      </w:pPr>
      <w:r w:rsidRPr="00D27A53">
        <w:rPr>
          <w:sz w:val="24"/>
          <w:szCs w:val="24"/>
          <w:u w:val="single"/>
          <w:lang w:bidi="da-DK"/>
        </w:rPr>
        <w:t>Mekanisme(r) for resistens</w:t>
      </w:r>
    </w:p>
    <w:p w14:paraId="656FEE39" w14:textId="77777777" w:rsidR="00975327" w:rsidRDefault="00975327" w:rsidP="00695AC0">
      <w:pPr>
        <w:ind w:left="851"/>
        <w:rPr>
          <w:i/>
          <w:sz w:val="24"/>
          <w:szCs w:val="24"/>
          <w:lang w:bidi="da-DK"/>
        </w:rPr>
      </w:pPr>
    </w:p>
    <w:p w14:paraId="451523B6" w14:textId="397555F8" w:rsidR="00D27A53" w:rsidRPr="00D27A53" w:rsidRDefault="00D27A53" w:rsidP="00695AC0">
      <w:pPr>
        <w:ind w:left="851"/>
        <w:rPr>
          <w:i/>
          <w:sz w:val="24"/>
          <w:szCs w:val="24"/>
        </w:rPr>
      </w:pPr>
      <w:proofErr w:type="spellStart"/>
      <w:r w:rsidRPr="00D27A53">
        <w:rPr>
          <w:i/>
          <w:sz w:val="24"/>
          <w:szCs w:val="24"/>
          <w:lang w:bidi="da-DK"/>
        </w:rPr>
        <w:t>Bismuth</w:t>
      </w:r>
      <w:proofErr w:type="spellEnd"/>
    </w:p>
    <w:p w14:paraId="5707C5DF" w14:textId="77777777" w:rsidR="00D27A53" w:rsidRPr="00D27A53" w:rsidRDefault="00D27A53" w:rsidP="00695AC0">
      <w:pPr>
        <w:ind w:left="851"/>
        <w:rPr>
          <w:sz w:val="24"/>
          <w:szCs w:val="24"/>
        </w:rPr>
      </w:pPr>
      <w:r w:rsidRPr="00D27A53">
        <w:rPr>
          <w:sz w:val="24"/>
          <w:szCs w:val="24"/>
          <w:lang w:bidi="da-DK"/>
        </w:rPr>
        <w:t xml:space="preserve">Resistens over for </w:t>
      </w:r>
      <w:proofErr w:type="spellStart"/>
      <w:r w:rsidRPr="00D27A53">
        <w:rPr>
          <w:sz w:val="24"/>
          <w:szCs w:val="24"/>
          <w:lang w:bidi="da-DK"/>
        </w:rPr>
        <w:t>bismuth</w:t>
      </w:r>
      <w:proofErr w:type="spellEnd"/>
      <w:r w:rsidRPr="00D27A53">
        <w:rPr>
          <w:sz w:val="24"/>
          <w:szCs w:val="24"/>
          <w:lang w:bidi="da-DK"/>
        </w:rPr>
        <w:t xml:space="preserve"> blandt gramnegative bakterier har vist sig at være afhængig af jern og optagelsen af det. Modstanden mod den hæmmende virkning af </w:t>
      </w:r>
      <w:proofErr w:type="spellStart"/>
      <w:r w:rsidRPr="00D27A53">
        <w:rPr>
          <w:sz w:val="24"/>
          <w:szCs w:val="24"/>
          <w:lang w:bidi="da-DK"/>
        </w:rPr>
        <w:t>bismuth</w:t>
      </w:r>
      <w:proofErr w:type="spellEnd"/>
      <w:r w:rsidRPr="00D27A53">
        <w:rPr>
          <w:sz w:val="24"/>
          <w:szCs w:val="24"/>
          <w:lang w:bidi="da-DK"/>
        </w:rPr>
        <w:t xml:space="preserve"> er omvendt relateret til jernkoncentrationen og stærkt afhængig af jerntransportmekanismer.</w:t>
      </w:r>
    </w:p>
    <w:p w14:paraId="7A2009F7" w14:textId="77777777" w:rsidR="00975327" w:rsidRDefault="00975327" w:rsidP="00695AC0">
      <w:pPr>
        <w:ind w:left="851"/>
        <w:rPr>
          <w:i/>
          <w:sz w:val="24"/>
          <w:szCs w:val="24"/>
          <w:lang w:bidi="da-DK"/>
        </w:rPr>
      </w:pPr>
    </w:p>
    <w:p w14:paraId="603EE429" w14:textId="1212E676" w:rsidR="00D27A53" w:rsidRPr="00D27A53" w:rsidRDefault="00D27A53" w:rsidP="00695AC0">
      <w:pPr>
        <w:ind w:left="851"/>
        <w:rPr>
          <w:i/>
          <w:sz w:val="24"/>
          <w:szCs w:val="24"/>
        </w:rPr>
      </w:pPr>
      <w:proofErr w:type="spellStart"/>
      <w:r w:rsidRPr="00D27A53">
        <w:rPr>
          <w:i/>
          <w:sz w:val="24"/>
          <w:szCs w:val="24"/>
          <w:lang w:bidi="da-DK"/>
        </w:rPr>
        <w:t>Metronidazol</w:t>
      </w:r>
      <w:proofErr w:type="spellEnd"/>
    </w:p>
    <w:p w14:paraId="67C3E52A" w14:textId="77777777" w:rsidR="00D27A53" w:rsidRPr="00D27A53" w:rsidRDefault="00D27A53" w:rsidP="00695AC0">
      <w:pPr>
        <w:ind w:left="851"/>
        <w:rPr>
          <w:sz w:val="24"/>
          <w:szCs w:val="24"/>
        </w:rPr>
      </w:pPr>
      <w:r w:rsidRPr="00D27A53">
        <w:rPr>
          <w:sz w:val="24"/>
          <w:szCs w:val="24"/>
          <w:lang w:bidi="da-DK"/>
        </w:rPr>
        <w:t xml:space="preserve">Hos </w:t>
      </w:r>
      <w:proofErr w:type="spellStart"/>
      <w:r w:rsidRPr="00D27A53">
        <w:rPr>
          <w:i/>
          <w:sz w:val="24"/>
          <w:szCs w:val="24"/>
          <w:lang w:bidi="da-DK"/>
        </w:rPr>
        <w:t>Helicobacter</w:t>
      </w:r>
      <w:proofErr w:type="spellEnd"/>
      <w:r w:rsidRPr="00D27A53">
        <w:rPr>
          <w:i/>
          <w:sz w:val="24"/>
          <w:szCs w:val="24"/>
          <w:lang w:bidi="da-DK"/>
        </w:rPr>
        <w:t xml:space="preserve"> </w:t>
      </w:r>
      <w:proofErr w:type="spellStart"/>
      <w:r w:rsidRPr="00D27A53">
        <w:rPr>
          <w:i/>
          <w:sz w:val="24"/>
          <w:szCs w:val="24"/>
          <w:lang w:bidi="da-DK"/>
        </w:rPr>
        <w:t>pylori</w:t>
      </w:r>
      <w:proofErr w:type="spellEnd"/>
      <w:r w:rsidRPr="00D27A53">
        <w:rPr>
          <w:i/>
          <w:sz w:val="24"/>
          <w:szCs w:val="24"/>
          <w:lang w:bidi="da-DK"/>
        </w:rPr>
        <w:t xml:space="preserve"> </w:t>
      </w:r>
      <w:r w:rsidRPr="00D27A53">
        <w:rPr>
          <w:sz w:val="24"/>
          <w:szCs w:val="24"/>
          <w:lang w:bidi="da-DK"/>
        </w:rPr>
        <w:t>er resistens relateret til mutationer i det NADPH-</w:t>
      </w:r>
      <w:proofErr w:type="spellStart"/>
      <w:r w:rsidRPr="00D27A53">
        <w:rPr>
          <w:sz w:val="24"/>
          <w:szCs w:val="24"/>
          <w:lang w:bidi="da-DK"/>
        </w:rPr>
        <w:t>nitroreduktase</w:t>
      </w:r>
      <w:proofErr w:type="spellEnd"/>
      <w:r w:rsidRPr="00D27A53">
        <w:rPr>
          <w:sz w:val="24"/>
          <w:szCs w:val="24"/>
          <w:lang w:bidi="da-DK"/>
        </w:rPr>
        <w:t xml:space="preserve">-kodende gen. Disse mutationer forhindrer </w:t>
      </w:r>
      <w:proofErr w:type="spellStart"/>
      <w:r w:rsidRPr="00D27A53">
        <w:rPr>
          <w:sz w:val="24"/>
          <w:szCs w:val="24"/>
          <w:lang w:bidi="da-DK"/>
        </w:rPr>
        <w:t>nitroreduktasens</w:t>
      </w:r>
      <w:proofErr w:type="spellEnd"/>
      <w:r w:rsidRPr="00D27A53">
        <w:rPr>
          <w:sz w:val="24"/>
          <w:szCs w:val="24"/>
          <w:lang w:bidi="da-DK"/>
        </w:rPr>
        <w:t xml:space="preserve"> reduktion af nitrodelen af </w:t>
      </w:r>
      <w:proofErr w:type="spellStart"/>
      <w:r w:rsidRPr="00D27A53">
        <w:rPr>
          <w:sz w:val="24"/>
          <w:szCs w:val="24"/>
          <w:lang w:bidi="da-DK"/>
        </w:rPr>
        <w:t>metronidazol</w:t>
      </w:r>
      <w:proofErr w:type="spellEnd"/>
      <w:r w:rsidRPr="00D27A53">
        <w:rPr>
          <w:sz w:val="24"/>
          <w:szCs w:val="24"/>
          <w:lang w:bidi="da-DK"/>
        </w:rPr>
        <w:t>.</w:t>
      </w:r>
    </w:p>
    <w:p w14:paraId="2912B093" w14:textId="77777777" w:rsidR="00975327" w:rsidRDefault="00975327" w:rsidP="00695AC0">
      <w:pPr>
        <w:ind w:left="851"/>
        <w:rPr>
          <w:i/>
          <w:sz w:val="24"/>
          <w:szCs w:val="24"/>
          <w:lang w:bidi="da-DK"/>
        </w:rPr>
      </w:pPr>
    </w:p>
    <w:p w14:paraId="613B6827" w14:textId="3A2B4569" w:rsidR="00D27A53" w:rsidRPr="00D27A53" w:rsidRDefault="00D27A53" w:rsidP="00695AC0">
      <w:pPr>
        <w:ind w:left="851"/>
        <w:rPr>
          <w:i/>
          <w:sz w:val="24"/>
          <w:szCs w:val="24"/>
        </w:rPr>
      </w:pPr>
      <w:r w:rsidRPr="00D27A53">
        <w:rPr>
          <w:i/>
          <w:sz w:val="24"/>
          <w:szCs w:val="24"/>
          <w:lang w:bidi="da-DK"/>
        </w:rPr>
        <w:t>Tetracyklin</w:t>
      </w:r>
    </w:p>
    <w:p w14:paraId="3F178F96" w14:textId="77777777" w:rsidR="00D27A53" w:rsidRPr="00D27A53" w:rsidRDefault="00D27A53" w:rsidP="00695AC0">
      <w:pPr>
        <w:ind w:left="851"/>
        <w:rPr>
          <w:sz w:val="24"/>
          <w:szCs w:val="24"/>
        </w:rPr>
      </w:pPr>
      <w:r w:rsidRPr="00D27A53">
        <w:rPr>
          <w:sz w:val="24"/>
          <w:szCs w:val="24"/>
          <w:lang w:bidi="da-DK"/>
        </w:rPr>
        <w:t>De tre vigtigste resistensmekanismer, der er blevet beskrevet, er:</w:t>
      </w:r>
    </w:p>
    <w:p w14:paraId="05EC4B28" w14:textId="77777777" w:rsidR="00D27A53" w:rsidRPr="00D27A53" w:rsidRDefault="00D27A53" w:rsidP="00975327">
      <w:pPr>
        <w:numPr>
          <w:ilvl w:val="0"/>
          <w:numId w:val="9"/>
        </w:numPr>
        <w:ind w:left="1276"/>
        <w:rPr>
          <w:sz w:val="24"/>
          <w:szCs w:val="24"/>
        </w:rPr>
      </w:pPr>
      <w:r w:rsidRPr="00D27A53">
        <w:rPr>
          <w:sz w:val="24"/>
          <w:szCs w:val="24"/>
          <w:lang w:bidi="da-DK"/>
        </w:rPr>
        <w:t>Nedsat ophobning af tetracyklin som følge af enten nedsat tilstrømning af antibiotika eller erhvervelse af en energiafhængig udstrømningsvej,</w:t>
      </w:r>
    </w:p>
    <w:p w14:paraId="550BF2F4" w14:textId="77777777" w:rsidR="00D27A53" w:rsidRPr="00D27A53" w:rsidRDefault="00D27A53" w:rsidP="00975327">
      <w:pPr>
        <w:numPr>
          <w:ilvl w:val="0"/>
          <w:numId w:val="9"/>
        </w:numPr>
        <w:ind w:left="1276"/>
        <w:rPr>
          <w:sz w:val="24"/>
          <w:szCs w:val="24"/>
        </w:rPr>
      </w:pPr>
      <w:r w:rsidRPr="00D27A53">
        <w:rPr>
          <w:sz w:val="24"/>
          <w:szCs w:val="24"/>
          <w:lang w:bidi="da-DK"/>
        </w:rPr>
        <w:t>Nedsat adgang for tetracyklin til ribosomet på grund af tilstedeværelsen af ribosombeskyttelsesproteiner, og</w:t>
      </w:r>
    </w:p>
    <w:p w14:paraId="46746809" w14:textId="77777777" w:rsidR="00D27A53" w:rsidRPr="00D27A53" w:rsidRDefault="00D27A53" w:rsidP="00975327">
      <w:pPr>
        <w:numPr>
          <w:ilvl w:val="0"/>
          <w:numId w:val="9"/>
        </w:numPr>
        <w:ind w:left="1276"/>
        <w:rPr>
          <w:sz w:val="24"/>
          <w:szCs w:val="24"/>
        </w:rPr>
      </w:pPr>
      <w:r w:rsidRPr="00D27A53">
        <w:rPr>
          <w:sz w:val="24"/>
          <w:szCs w:val="24"/>
          <w:lang w:bidi="da-DK"/>
        </w:rPr>
        <w:t xml:space="preserve">Enzymatisk inaktivering af </w:t>
      </w:r>
      <w:proofErr w:type="spellStart"/>
      <w:r w:rsidRPr="00D27A53">
        <w:rPr>
          <w:sz w:val="24"/>
          <w:szCs w:val="24"/>
          <w:lang w:bidi="da-DK"/>
        </w:rPr>
        <w:t>tetracykliner</w:t>
      </w:r>
      <w:proofErr w:type="spellEnd"/>
      <w:r w:rsidRPr="00D27A53">
        <w:rPr>
          <w:sz w:val="24"/>
          <w:szCs w:val="24"/>
          <w:lang w:bidi="da-DK"/>
        </w:rPr>
        <w:t>.</w:t>
      </w:r>
    </w:p>
    <w:p w14:paraId="7AC80299" w14:textId="77777777" w:rsidR="00D27A53" w:rsidRPr="00D27A53" w:rsidRDefault="00D27A53" w:rsidP="00695AC0">
      <w:pPr>
        <w:ind w:left="851"/>
        <w:rPr>
          <w:sz w:val="24"/>
          <w:szCs w:val="24"/>
        </w:rPr>
      </w:pPr>
    </w:p>
    <w:p w14:paraId="6618A5E9" w14:textId="77777777" w:rsidR="00D27A53" w:rsidRPr="00D27A53" w:rsidRDefault="00D27A53" w:rsidP="00695AC0">
      <w:pPr>
        <w:ind w:left="851"/>
        <w:rPr>
          <w:sz w:val="24"/>
          <w:szCs w:val="24"/>
        </w:rPr>
      </w:pPr>
      <w:r w:rsidRPr="00D27A53">
        <w:rPr>
          <w:sz w:val="24"/>
          <w:szCs w:val="24"/>
          <w:lang w:bidi="da-DK"/>
        </w:rPr>
        <w:t xml:space="preserve">Der er fuldstændig krydsresistens mellem </w:t>
      </w:r>
      <w:proofErr w:type="spellStart"/>
      <w:r w:rsidRPr="00D27A53">
        <w:rPr>
          <w:sz w:val="24"/>
          <w:szCs w:val="24"/>
          <w:lang w:bidi="da-DK"/>
        </w:rPr>
        <w:t>metronidazol</w:t>
      </w:r>
      <w:proofErr w:type="spellEnd"/>
      <w:r w:rsidRPr="00D27A53">
        <w:rPr>
          <w:sz w:val="24"/>
          <w:szCs w:val="24"/>
          <w:lang w:bidi="da-DK"/>
        </w:rPr>
        <w:t xml:space="preserve"> og andre </w:t>
      </w:r>
      <w:proofErr w:type="spellStart"/>
      <w:r w:rsidRPr="00D27A53">
        <w:rPr>
          <w:sz w:val="24"/>
          <w:szCs w:val="24"/>
          <w:lang w:bidi="da-DK"/>
        </w:rPr>
        <w:t>imidazoler</w:t>
      </w:r>
      <w:proofErr w:type="spellEnd"/>
      <w:r w:rsidRPr="00D27A53">
        <w:rPr>
          <w:sz w:val="24"/>
          <w:szCs w:val="24"/>
          <w:lang w:bidi="da-DK"/>
        </w:rPr>
        <w:t xml:space="preserve"> og mellem tetracyklin og andre </w:t>
      </w:r>
      <w:proofErr w:type="spellStart"/>
      <w:r w:rsidRPr="00D27A53">
        <w:rPr>
          <w:sz w:val="24"/>
          <w:szCs w:val="24"/>
          <w:lang w:bidi="da-DK"/>
        </w:rPr>
        <w:t>tetracykliner</w:t>
      </w:r>
      <w:proofErr w:type="spellEnd"/>
      <w:r w:rsidRPr="00D27A53">
        <w:rPr>
          <w:sz w:val="24"/>
          <w:szCs w:val="24"/>
          <w:lang w:bidi="da-DK"/>
        </w:rPr>
        <w:t>.</w:t>
      </w:r>
    </w:p>
    <w:p w14:paraId="5AA1BF13" w14:textId="77777777" w:rsidR="00D27A53" w:rsidRPr="00D27A53" w:rsidRDefault="00D27A53" w:rsidP="00695AC0">
      <w:pPr>
        <w:ind w:left="851"/>
        <w:rPr>
          <w:sz w:val="24"/>
          <w:szCs w:val="24"/>
        </w:rPr>
      </w:pPr>
    </w:p>
    <w:p w14:paraId="0A2C172B" w14:textId="77777777" w:rsidR="00D27A53" w:rsidRPr="00D27A53" w:rsidRDefault="00D27A53" w:rsidP="00695AC0">
      <w:pPr>
        <w:ind w:left="851"/>
        <w:rPr>
          <w:sz w:val="24"/>
          <w:szCs w:val="24"/>
          <w:u w:val="single"/>
        </w:rPr>
      </w:pPr>
      <w:proofErr w:type="spellStart"/>
      <w:r w:rsidRPr="00D27A53">
        <w:rPr>
          <w:sz w:val="24"/>
          <w:szCs w:val="24"/>
          <w:u w:val="single"/>
          <w:lang w:bidi="da-DK"/>
        </w:rPr>
        <w:t>Breakpoints</w:t>
      </w:r>
      <w:proofErr w:type="spellEnd"/>
    </w:p>
    <w:p w14:paraId="1D99929C" w14:textId="77777777" w:rsidR="00975327" w:rsidRDefault="00975327" w:rsidP="00695AC0">
      <w:pPr>
        <w:ind w:left="851"/>
        <w:rPr>
          <w:i/>
          <w:sz w:val="24"/>
          <w:szCs w:val="24"/>
          <w:lang w:bidi="da-DK"/>
        </w:rPr>
      </w:pPr>
    </w:p>
    <w:p w14:paraId="5881893D" w14:textId="6A2EB9C4" w:rsidR="00D27A53" w:rsidRPr="00D27A53" w:rsidRDefault="00D27A53" w:rsidP="00695AC0">
      <w:pPr>
        <w:ind w:left="851"/>
        <w:rPr>
          <w:i/>
          <w:sz w:val="24"/>
          <w:szCs w:val="24"/>
        </w:rPr>
      </w:pPr>
      <w:proofErr w:type="spellStart"/>
      <w:r w:rsidRPr="00D27A53">
        <w:rPr>
          <w:i/>
          <w:sz w:val="24"/>
          <w:szCs w:val="24"/>
          <w:lang w:bidi="da-DK"/>
        </w:rPr>
        <w:t>Bismuth</w:t>
      </w:r>
      <w:proofErr w:type="spellEnd"/>
    </w:p>
    <w:p w14:paraId="7C7AC0F9" w14:textId="77777777" w:rsidR="00D27A53" w:rsidRPr="00D27A53" w:rsidRDefault="00D27A53" w:rsidP="00695AC0">
      <w:pPr>
        <w:ind w:left="851"/>
        <w:rPr>
          <w:sz w:val="24"/>
          <w:szCs w:val="24"/>
        </w:rPr>
      </w:pPr>
      <w:r w:rsidRPr="00D27A53">
        <w:rPr>
          <w:sz w:val="24"/>
          <w:szCs w:val="24"/>
          <w:lang w:bidi="da-DK"/>
        </w:rPr>
        <w:t xml:space="preserve">Der er ikke fastsat artsrelaterede </w:t>
      </w:r>
      <w:proofErr w:type="spellStart"/>
      <w:r w:rsidRPr="00D27A53">
        <w:rPr>
          <w:sz w:val="24"/>
          <w:szCs w:val="24"/>
          <w:lang w:bidi="da-DK"/>
        </w:rPr>
        <w:t>breakpoints</w:t>
      </w:r>
      <w:proofErr w:type="spellEnd"/>
      <w:r w:rsidRPr="00D27A53">
        <w:rPr>
          <w:sz w:val="24"/>
          <w:szCs w:val="24"/>
          <w:lang w:bidi="da-DK"/>
        </w:rPr>
        <w:t xml:space="preserve"> for </w:t>
      </w:r>
      <w:proofErr w:type="spellStart"/>
      <w:r w:rsidRPr="00D27A53">
        <w:rPr>
          <w:sz w:val="24"/>
          <w:szCs w:val="24"/>
          <w:lang w:bidi="da-DK"/>
        </w:rPr>
        <w:t>bismuth</w:t>
      </w:r>
      <w:proofErr w:type="spellEnd"/>
      <w:r w:rsidRPr="00D27A53">
        <w:rPr>
          <w:sz w:val="24"/>
          <w:szCs w:val="24"/>
          <w:lang w:bidi="da-DK"/>
        </w:rPr>
        <w:t xml:space="preserve"> og </w:t>
      </w:r>
      <w:r w:rsidRPr="00D27A53">
        <w:rPr>
          <w:i/>
          <w:sz w:val="24"/>
          <w:szCs w:val="24"/>
          <w:lang w:bidi="da-DK"/>
        </w:rPr>
        <w:t xml:space="preserve">H. </w:t>
      </w:r>
      <w:proofErr w:type="spellStart"/>
      <w:r w:rsidRPr="00D27A53">
        <w:rPr>
          <w:i/>
          <w:sz w:val="24"/>
          <w:szCs w:val="24"/>
          <w:lang w:bidi="da-DK"/>
        </w:rPr>
        <w:t>pylori</w:t>
      </w:r>
      <w:proofErr w:type="spellEnd"/>
      <w:r w:rsidRPr="00D27A53">
        <w:rPr>
          <w:i/>
          <w:sz w:val="24"/>
          <w:szCs w:val="24"/>
          <w:lang w:bidi="da-DK"/>
        </w:rPr>
        <w:t xml:space="preserve"> </w:t>
      </w:r>
      <w:r w:rsidRPr="00D27A53">
        <w:rPr>
          <w:sz w:val="24"/>
          <w:szCs w:val="24"/>
          <w:lang w:bidi="da-DK"/>
        </w:rPr>
        <w:t xml:space="preserve">af EUCAST (European </w:t>
      </w:r>
      <w:proofErr w:type="spellStart"/>
      <w:r w:rsidRPr="00D27A53">
        <w:rPr>
          <w:sz w:val="24"/>
          <w:szCs w:val="24"/>
          <w:lang w:bidi="da-DK"/>
        </w:rPr>
        <w:t>Committee</w:t>
      </w:r>
      <w:proofErr w:type="spellEnd"/>
      <w:r w:rsidRPr="00D27A53">
        <w:rPr>
          <w:sz w:val="24"/>
          <w:szCs w:val="24"/>
          <w:lang w:bidi="da-DK"/>
        </w:rPr>
        <w:t xml:space="preserve"> on </w:t>
      </w:r>
      <w:proofErr w:type="spellStart"/>
      <w:r w:rsidRPr="00D27A53">
        <w:rPr>
          <w:sz w:val="24"/>
          <w:szCs w:val="24"/>
          <w:lang w:bidi="da-DK"/>
        </w:rPr>
        <w:t>Antimicrobial</w:t>
      </w:r>
      <w:proofErr w:type="spellEnd"/>
      <w:r w:rsidRPr="00D27A53">
        <w:rPr>
          <w:sz w:val="24"/>
          <w:szCs w:val="24"/>
          <w:lang w:bidi="da-DK"/>
        </w:rPr>
        <w:t xml:space="preserve"> </w:t>
      </w:r>
      <w:proofErr w:type="spellStart"/>
      <w:r w:rsidRPr="00D27A53">
        <w:rPr>
          <w:sz w:val="24"/>
          <w:szCs w:val="24"/>
          <w:lang w:bidi="da-DK"/>
        </w:rPr>
        <w:t>Susceptibility</w:t>
      </w:r>
      <w:proofErr w:type="spellEnd"/>
      <w:r w:rsidRPr="00D27A53">
        <w:rPr>
          <w:sz w:val="24"/>
          <w:szCs w:val="24"/>
          <w:lang w:bidi="da-DK"/>
        </w:rPr>
        <w:t xml:space="preserve"> </w:t>
      </w:r>
      <w:proofErr w:type="spellStart"/>
      <w:r w:rsidRPr="00D27A53">
        <w:rPr>
          <w:sz w:val="24"/>
          <w:szCs w:val="24"/>
          <w:lang w:bidi="da-DK"/>
        </w:rPr>
        <w:t>Testing</w:t>
      </w:r>
      <w:proofErr w:type="spellEnd"/>
      <w:r w:rsidRPr="00D27A53">
        <w:rPr>
          <w:sz w:val="24"/>
          <w:szCs w:val="24"/>
          <w:lang w:bidi="da-DK"/>
        </w:rPr>
        <w:t>).</w:t>
      </w:r>
    </w:p>
    <w:p w14:paraId="60F8ED27" w14:textId="77777777" w:rsidR="00975327" w:rsidRDefault="00975327" w:rsidP="00695AC0">
      <w:pPr>
        <w:ind w:left="851"/>
        <w:rPr>
          <w:i/>
          <w:sz w:val="24"/>
          <w:szCs w:val="24"/>
          <w:lang w:bidi="da-DK"/>
        </w:rPr>
      </w:pPr>
    </w:p>
    <w:p w14:paraId="0C4A0C2B" w14:textId="279A2E8F" w:rsidR="00D27A53" w:rsidRPr="00D27A53" w:rsidRDefault="00D27A53" w:rsidP="00695AC0">
      <w:pPr>
        <w:ind w:left="851"/>
        <w:rPr>
          <w:i/>
          <w:sz w:val="24"/>
          <w:szCs w:val="24"/>
        </w:rPr>
      </w:pPr>
      <w:proofErr w:type="spellStart"/>
      <w:r w:rsidRPr="00D27A53">
        <w:rPr>
          <w:i/>
          <w:sz w:val="24"/>
          <w:szCs w:val="24"/>
          <w:lang w:bidi="da-DK"/>
        </w:rPr>
        <w:t>Metronidazol</w:t>
      </w:r>
      <w:proofErr w:type="spellEnd"/>
    </w:p>
    <w:p w14:paraId="0FC17CE7" w14:textId="77777777" w:rsidR="00D27A53" w:rsidRPr="00D27A53" w:rsidRDefault="00D27A53" w:rsidP="00695AC0">
      <w:pPr>
        <w:ind w:left="851"/>
        <w:rPr>
          <w:sz w:val="24"/>
          <w:szCs w:val="24"/>
        </w:rPr>
      </w:pPr>
      <w:r w:rsidRPr="00D27A53">
        <w:rPr>
          <w:sz w:val="24"/>
          <w:szCs w:val="24"/>
          <w:lang w:bidi="da-DK"/>
        </w:rPr>
        <w:t xml:space="preserve">Test af </w:t>
      </w:r>
      <w:proofErr w:type="spellStart"/>
      <w:r w:rsidRPr="00D27A53">
        <w:rPr>
          <w:sz w:val="24"/>
          <w:szCs w:val="24"/>
          <w:lang w:bidi="da-DK"/>
        </w:rPr>
        <w:t>metronidazol</w:t>
      </w:r>
      <w:proofErr w:type="spellEnd"/>
      <w:r w:rsidRPr="00D27A53">
        <w:rPr>
          <w:sz w:val="24"/>
          <w:szCs w:val="24"/>
          <w:lang w:bidi="da-DK"/>
        </w:rPr>
        <w:t xml:space="preserve"> udføres ved hjælp af den sædvanlige fortyndingsrække. Følgende minimale hæmmende koncentrationer blev bestemt for følsomme og resistente mikroorganismer for </w:t>
      </w:r>
      <w:proofErr w:type="spellStart"/>
      <w:r w:rsidRPr="00D27A53">
        <w:rPr>
          <w:sz w:val="24"/>
          <w:szCs w:val="24"/>
          <w:lang w:bidi="da-DK"/>
        </w:rPr>
        <w:t>metronidazol</w:t>
      </w:r>
      <w:proofErr w:type="spellEnd"/>
      <w:r w:rsidRPr="00D27A53">
        <w:rPr>
          <w:sz w:val="24"/>
          <w:szCs w:val="24"/>
          <w:lang w:bidi="da-DK"/>
        </w:rPr>
        <w:t>:</w:t>
      </w:r>
    </w:p>
    <w:p w14:paraId="0CE17500" w14:textId="77777777" w:rsidR="00D27A53" w:rsidRPr="00D27A53" w:rsidRDefault="00D27A53" w:rsidP="00695AC0">
      <w:pPr>
        <w:ind w:left="851"/>
        <w:rPr>
          <w:sz w:val="24"/>
          <w:szCs w:val="24"/>
        </w:rPr>
      </w:pPr>
    </w:p>
    <w:p w14:paraId="405234A0" w14:textId="77777777" w:rsidR="00D27A53" w:rsidRPr="00D27A53" w:rsidRDefault="00D27A53" w:rsidP="00D27A53">
      <w:pPr>
        <w:tabs>
          <w:tab w:val="left" w:pos="851"/>
        </w:tabs>
        <w:ind w:left="851"/>
        <w:rPr>
          <w:sz w:val="24"/>
          <w:szCs w:val="24"/>
        </w:rPr>
      </w:pPr>
      <w:r w:rsidRPr="00D27A53">
        <w:rPr>
          <w:sz w:val="24"/>
          <w:szCs w:val="24"/>
          <w:lang w:bidi="da-DK"/>
        </w:rPr>
        <w:t xml:space="preserve">EUCAST </w:t>
      </w:r>
      <w:proofErr w:type="spellStart"/>
      <w:r w:rsidRPr="00D27A53">
        <w:rPr>
          <w:sz w:val="24"/>
          <w:szCs w:val="24"/>
          <w:lang w:bidi="da-DK"/>
        </w:rPr>
        <w:t>Breakpoints</w:t>
      </w:r>
      <w:proofErr w:type="spellEnd"/>
      <w:r w:rsidRPr="00D27A53">
        <w:rPr>
          <w:sz w:val="24"/>
          <w:szCs w:val="24"/>
          <w:lang w:bidi="da-DK"/>
        </w:rPr>
        <w:t>:</w:t>
      </w:r>
    </w:p>
    <w:tbl>
      <w:tblPr>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4"/>
        <w:gridCol w:w="2499"/>
        <w:gridCol w:w="2663"/>
      </w:tblGrid>
      <w:tr w:rsidR="00D27A53" w:rsidRPr="00975327" w14:paraId="000FEB31" w14:textId="77777777" w:rsidTr="00D27A53">
        <w:trPr>
          <w:trHeight w:val="261"/>
        </w:trPr>
        <w:tc>
          <w:tcPr>
            <w:tcW w:w="3394" w:type="dxa"/>
            <w:tcBorders>
              <w:top w:val="single" w:sz="4" w:space="0" w:color="000000"/>
              <w:left w:val="single" w:sz="4" w:space="0" w:color="000000"/>
              <w:bottom w:val="single" w:sz="4" w:space="0" w:color="000000"/>
              <w:right w:val="single" w:sz="4" w:space="0" w:color="000000"/>
            </w:tcBorders>
            <w:hideMark/>
          </w:tcPr>
          <w:p w14:paraId="2CB9BDBC" w14:textId="77777777" w:rsidR="00D27A53" w:rsidRPr="00975327" w:rsidRDefault="00D27A53" w:rsidP="00975327">
            <w:pPr>
              <w:rPr>
                <w:b/>
                <w:bCs/>
                <w:sz w:val="24"/>
                <w:szCs w:val="24"/>
              </w:rPr>
            </w:pPr>
            <w:r w:rsidRPr="00975327">
              <w:rPr>
                <w:b/>
                <w:bCs/>
                <w:sz w:val="24"/>
                <w:szCs w:val="24"/>
                <w:lang w:bidi="da-DK"/>
              </w:rPr>
              <w:t>Arter</w:t>
            </w:r>
          </w:p>
        </w:tc>
        <w:tc>
          <w:tcPr>
            <w:tcW w:w="2499" w:type="dxa"/>
            <w:tcBorders>
              <w:top w:val="single" w:sz="4" w:space="0" w:color="000000"/>
              <w:left w:val="single" w:sz="4" w:space="0" w:color="000000"/>
              <w:bottom w:val="single" w:sz="4" w:space="0" w:color="000000"/>
              <w:right w:val="single" w:sz="4" w:space="0" w:color="000000"/>
            </w:tcBorders>
            <w:hideMark/>
          </w:tcPr>
          <w:p w14:paraId="6CB0A671" w14:textId="77777777" w:rsidR="00D27A53" w:rsidRPr="00975327" w:rsidRDefault="00D27A53" w:rsidP="00975327">
            <w:pPr>
              <w:rPr>
                <w:b/>
                <w:bCs/>
                <w:sz w:val="24"/>
                <w:szCs w:val="24"/>
              </w:rPr>
            </w:pPr>
            <w:r w:rsidRPr="00975327">
              <w:rPr>
                <w:b/>
                <w:bCs/>
                <w:sz w:val="24"/>
                <w:szCs w:val="24"/>
                <w:lang w:bidi="da-DK"/>
              </w:rPr>
              <w:t>Følsomhed</w:t>
            </w:r>
          </w:p>
        </w:tc>
        <w:tc>
          <w:tcPr>
            <w:tcW w:w="2663" w:type="dxa"/>
            <w:tcBorders>
              <w:top w:val="single" w:sz="4" w:space="0" w:color="000000"/>
              <w:left w:val="single" w:sz="4" w:space="0" w:color="000000"/>
              <w:bottom w:val="single" w:sz="4" w:space="0" w:color="000000"/>
              <w:right w:val="single" w:sz="4" w:space="0" w:color="000000"/>
            </w:tcBorders>
            <w:hideMark/>
          </w:tcPr>
          <w:p w14:paraId="4FEE3263" w14:textId="77777777" w:rsidR="00D27A53" w:rsidRPr="00975327" w:rsidRDefault="00D27A53" w:rsidP="00975327">
            <w:pPr>
              <w:rPr>
                <w:b/>
                <w:bCs/>
                <w:sz w:val="24"/>
                <w:szCs w:val="24"/>
              </w:rPr>
            </w:pPr>
            <w:r w:rsidRPr="00975327">
              <w:rPr>
                <w:b/>
                <w:bCs/>
                <w:sz w:val="24"/>
                <w:szCs w:val="24"/>
                <w:lang w:bidi="da-DK"/>
              </w:rPr>
              <w:t>Modstandsdygtighed</w:t>
            </w:r>
          </w:p>
        </w:tc>
      </w:tr>
      <w:tr w:rsidR="00D27A53" w:rsidRPr="00975327" w14:paraId="027837D2" w14:textId="77777777" w:rsidTr="00D27A53">
        <w:trPr>
          <w:trHeight w:val="261"/>
        </w:trPr>
        <w:tc>
          <w:tcPr>
            <w:tcW w:w="3394" w:type="dxa"/>
            <w:tcBorders>
              <w:top w:val="single" w:sz="4" w:space="0" w:color="000000"/>
              <w:left w:val="single" w:sz="4" w:space="0" w:color="000000"/>
              <w:bottom w:val="single" w:sz="4" w:space="0" w:color="000000"/>
              <w:right w:val="single" w:sz="4" w:space="0" w:color="000000"/>
            </w:tcBorders>
            <w:hideMark/>
          </w:tcPr>
          <w:p w14:paraId="7DBE6780" w14:textId="77777777" w:rsidR="00D27A53" w:rsidRPr="00975327" w:rsidRDefault="00D27A53" w:rsidP="00975327">
            <w:pPr>
              <w:rPr>
                <w:i/>
                <w:sz w:val="24"/>
                <w:szCs w:val="24"/>
              </w:rPr>
            </w:pPr>
            <w:proofErr w:type="spellStart"/>
            <w:r w:rsidRPr="00975327">
              <w:rPr>
                <w:i/>
                <w:sz w:val="24"/>
                <w:szCs w:val="24"/>
                <w:lang w:bidi="da-DK"/>
              </w:rPr>
              <w:t>Helicobacter</w:t>
            </w:r>
            <w:proofErr w:type="spellEnd"/>
            <w:r w:rsidRPr="00975327">
              <w:rPr>
                <w:i/>
                <w:sz w:val="24"/>
                <w:szCs w:val="24"/>
                <w:lang w:bidi="da-DK"/>
              </w:rPr>
              <w:t xml:space="preserve"> </w:t>
            </w:r>
            <w:proofErr w:type="spellStart"/>
            <w:r w:rsidRPr="00975327">
              <w:rPr>
                <w:i/>
                <w:sz w:val="24"/>
                <w:szCs w:val="24"/>
                <w:lang w:bidi="da-DK"/>
              </w:rPr>
              <w:t>pylori</w:t>
            </w:r>
            <w:proofErr w:type="spellEnd"/>
          </w:p>
        </w:tc>
        <w:tc>
          <w:tcPr>
            <w:tcW w:w="2499" w:type="dxa"/>
            <w:tcBorders>
              <w:top w:val="single" w:sz="4" w:space="0" w:color="000000"/>
              <w:left w:val="single" w:sz="4" w:space="0" w:color="000000"/>
              <w:bottom w:val="single" w:sz="4" w:space="0" w:color="000000"/>
              <w:right w:val="single" w:sz="4" w:space="0" w:color="000000"/>
            </w:tcBorders>
            <w:hideMark/>
          </w:tcPr>
          <w:p w14:paraId="0C959C41" w14:textId="77777777" w:rsidR="00D27A53" w:rsidRPr="00975327" w:rsidRDefault="00D27A53" w:rsidP="00975327">
            <w:pPr>
              <w:rPr>
                <w:sz w:val="24"/>
                <w:szCs w:val="24"/>
              </w:rPr>
            </w:pPr>
            <w:r w:rsidRPr="00975327">
              <w:rPr>
                <w:sz w:val="24"/>
                <w:szCs w:val="24"/>
                <w:lang w:bidi="da-DK"/>
              </w:rPr>
              <w:t>≤ 4,0 mg/l</w:t>
            </w:r>
          </w:p>
        </w:tc>
        <w:tc>
          <w:tcPr>
            <w:tcW w:w="2663" w:type="dxa"/>
            <w:tcBorders>
              <w:top w:val="single" w:sz="4" w:space="0" w:color="000000"/>
              <w:left w:val="single" w:sz="4" w:space="0" w:color="000000"/>
              <w:bottom w:val="single" w:sz="4" w:space="0" w:color="000000"/>
              <w:right w:val="single" w:sz="4" w:space="0" w:color="000000"/>
            </w:tcBorders>
            <w:hideMark/>
          </w:tcPr>
          <w:p w14:paraId="62982960" w14:textId="77777777" w:rsidR="00D27A53" w:rsidRPr="00975327" w:rsidRDefault="00D27A53" w:rsidP="00975327">
            <w:pPr>
              <w:rPr>
                <w:sz w:val="24"/>
                <w:szCs w:val="24"/>
              </w:rPr>
            </w:pPr>
            <w:r w:rsidRPr="00975327">
              <w:rPr>
                <w:sz w:val="24"/>
                <w:szCs w:val="24"/>
                <w:lang w:bidi="da-DK"/>
              </w:rPr>
              <w:t>&gt; 4,0 mg/l</w:t>
            </w:r>
          </w:p>
        </w:tc>
      </w:tr>
    </w:tbl>
    <w:p w14:paraId="59023500" w14:textId="77777777" w:rsidR="00D27A53" w:rsidRPr="00D27A53" w:rsidRDefault="00D27A53" w:rsidP="00695AC0">
      <w:pPr>
        <w:ind w:left="851"/>
        <w:rPr>
          <w:sz w:val="24"/>
          <w:szCs w:val="24"/>
        </w:rPr>
      </w:pPr>
      <w:r w:rsidRPr="00D27A53">
        <w:rPr>
          <w:sz w:val="24"/>
          <w:szCs w:val="24"/>
          <w:lang w:bidi="da-DK"/>
        </w:rPr>
        <w:t>* hovedsageligt baseret på farmakokinetik i serum</w:t>
      </w:r>
    </w:p>
    <w:p w14:paraId="36702251" w14:textId="77777777" w:rsidR="00975327" w:rsidRDefault="00975327" w:rsidP="00695AC0">
      <w:pPr>
        <w:ind w:left="851"/>
        <w:rPr>
          <w:i/>
          <w:sz w:val="24"/>
          <w:szCs w:val="24"/>
          <w:lang w:bidi="da-DK"/>
        </w:rPr>
      </w:pPr>
    </w:p>
    <w:p w14:paraId="44B8264E" w14:textId="432325DB" w:rsidR="00D27A53" w:rsidRPr="00D27A53" w:rsidRDefault="00D27A53" w:rsidP="00695AC0">
      <w:pPr>
        <w:ind w:left="851"/>
        <w:rPr>
          <w:i/>
          <w:sz w:val="24"/>
          <w:szCs w:val="24"/>
        </w:rPr>
      </w:pPr>
      <w:r w:rsidRPr="00D27A53">
        <w:rPr>
          <w:i/>
          <w:sz w:val="24"/>
          <w:szCs w:val="24"/>
          <w:lang w:bidi="da-DK"/>
        </w:rPr>
        <w:t>Tetracyklin</w:t>
      </w:r>
    </w:p>
    <w:p w14:paraId="67A25EFE" w14:textId="77777777" w:rsidR="00D27A53" w:rsidRPr="00D27A53" w:rsidRDefault="00D27A53" w:rsidP="00695AC0">
      <w:pPr>
        <w:ind w:left="851"/>
        <w:rPr>
          <w:sz w:val="24"/>
          <w:szCs w:val="24"/>
        </w:rPr>
      </w:pPr>
      <w:r w:rsidRPr="00D27A53">
        <w:rPr>
          <w:sz w:val="24"/>
          <w:szCs w:val="24"/>
          <w:lang w:bidi="da-DK"/>
        </w:rPr>
        <w:t xml:space="preserve">Artsrelaterede </w:t>
      </w:r>
      <w:proofErr w:type="spellStart"/>
      <w:r w:rsidRPr="00D27A53">
        <w:rPr>
          <w:sz w:val="24"/>
          <w:szCs w:val="24"/>
          <w:lang w:bidi="da-DK"/>
        </w:rPr>
        <w:t>breakpoints</w:t>
      </w:r>
      <w:proofErr w:type="spellEnd"/>
      <w:r w:rsidRPr="00D27A53">
        <w:rPr>
          <w:sz w:val="24"/>
          <w:szCs w:val="24"/>
          <w:lang w:bidi="da-DK"/>
        </w:rPr>
        <w:t xml:space="preserve"> for tetracyklin og </w:t>
      </w:r>
      <w:r w:rsidRPr="00D27A53">
        <w:rPr>
          <w:i/>
          <w:sz w:val="24"/>
          <w:szCs w:val="24"/>
          <w:lang w:bidi="da-DK"/>
        </w:rPr>
        <w:t xml:space="preserve">H. </w:t>
      </w:r>
      <w:proofErr w:type="spellStart"/>
      <w:r w:rsidRPr="00D27A53">
        <w:rPr>
          <w:i/>
          <w:sz w:val="24"/>
          <w:szCs w:val="24"/>
          <w:lang w:bidi="da-DK"/>
        </w:rPr>
        <w:t>pylori</w:t>
      </w:r>
      <w:proofErr w:type="spellEnd"/>
      <w:r w:rsidRPr="00D27A53">
        <w:rPr>
          <w:i/>
          <w:sz w:val="24"/>
          <w:szCs w:val="24"/>
          <w:lang w:bidi="da-DK"/>
        </w:rPr>
        <w:t xml:space="preserve"> </w:t>
      </w:r>
      <w:r w:rsidRPr="00D27A53">
        <w:rPr>
          <w:sz w:val="24"/>
          <w:szCs w:val="24"/>
          <w:lang w:bidi="da-DK"/>
        </w:rPr>
        <w:t xml:space="preserve">er ikke blevet fastsat af EUCAST. Der er dog anvendt et resistensbrudpunkt for tetracyklin og </w:t>
      </w:r>
      <w:r w:rsidRPr="00D27A53">
        <w:rPr>
          <w:i/>
          <w:sz w:val="24"/>
          <w:szCs w:val="24"/>
          <w:lang w:bidi="da-DK"/>
        </w:rPr>
        <w:t xml:space="preserve">H. </w:t>
      </w:r>
      <w:proofErr w:type="spellStart"/>
      <w:r w:rsidRPr="00D27A53">
        <w:rPr>
          <w:i/>
          <w:sz w:val="24"/>
          <w:szCs w:val="24"/>
          <w:lang w:bidi="da-DK"/>
        </w:rPr>
        <w:t>pylori</w:t>
      </w:r>
      <w:proofErr w:type="spellEnd"/>
      <w:r w:rsidRPr="00D27A53">
        <w:rPr>
          <w:i/>
          <w:sz w:val="24"/>
          <w:szCs w:val="24"/>
          <w:lang w:bidi="da-DK"/>
        </w:rPr>
        <w:t xml:space="preserve"> </w:t>
      </w:r>
      <w:r w:rsidRPr="00D27A53">
        <w:rPr>
          <w:sz w:val="24"/>
          <w:szCs w:val="24"/>
          <w:lang w:bidi="da-DK"/>
        </w:rPr>
        <w:t>på 4 mg/l.</w:t>
      </w:r>
    </w:p>
    <w:p w14:paraId="6CFFA541" w14:textId="77777777" w:rsidR="00D27A53" w:rsidRPr="00D27A53" w:rsidRDefault="00D27A53" w:rsidP="00695AC0">
      <w:pPr>
        <w:ind w:left="851"/>
        <w:rPr>
          <w:sz w:val="24"/>
          <w:szCs w:val="24"/>
        </w:rPr>
      </w:pPr>
    </w:p>
    <w:p w14:paraId="26739EEF" w14:textId="77777777" w:rsidR="00D27A53" w:rsidRPr="00D27A53" w:rsidRDefault="00D27A53" w:rsidP="00695AC0">
      <w:pPr>
        <w:ind w:left="851"/>
        <w:rPr>
          <w:sz w:val="24"/>
          <w:szCs w:val="24"/>
          <w:u w:val="single"/>
        </w:rPr>
      </w:pPr>
      <w:r w:rsidRPr="00D27A53">
        <w:rPr>
          <w:sz w:val="24"/>
          <w:szCs w:val="24"/>
          <w:u w:val="single"/>
          <w:lang w:bidi="da-DK"/>
        </w:rPr>
        <w:t>Udbredelse af erhvervet resistens</w:t>
      </w:r>
    </w:p>
    <w:p w14:paraId="3CA4F517" w14:textId="77777777" w:rsidR="00D27A53" w:rsidRPr="00D27A53" w:rsidRDefault="00D27A53" w:rsidP="00695AC0">
      <w:pPr>
        <w:ind w:left="851"/>
        <w:rPr>
          <w:sz w:val="24"/>
          <w:szCs w:val="24"/>
        </w:rPr>
      </w:pPr>
      <w:r w:rsidRPr="00D27A53">
        <w:rPr>
          <w:sz w:val="24"/>
          <w:szCs w:val="24"/>
          <w:lang w:bidi="da-DK"/>
        </w:rPr>
        <w:t xml:space="preserve">Forekomsten af resistens varierer geografisk og med tiden for </w:t>
      </w:r>
      <w:proofErr w:type="spellStart"/>
      <w:r w:rsidRPr="00D27A53">
        <w:rPr>
          <w:i/>
          <w:sz w:val="24"/>
          <w:szCs w:val="24"/>
          <w:lang w:bidi="da-DK"/>
        </w:rPr>
        <w:t>Helicobacter</w:t>
      </w:r>
      <w:proofErr w:type="spellEnd"/>
      <w:r w:rsidRPr="00D27A53">
        <w:rPr>
          <w:i/>
          <w:sz w:val="24"/>
          <w:szCs w:val="24"/>
          <w:lang w:bidi="da-DK"/>
        </w:rPr>
        <w:t xml:space="preserve"> </w:t>
      </w:r>
      <w:proofErr w:type="spellStart"/>
      <w:r w:rsidRPr="00D27A53">
        <w:rPr>
          <w:i/>
          <w:sz w:val="24"/>
          <w:szCs w:val="24"/>
          <w:lang w:bidi="da-DK"/>
        </w:rPr>
        <w:t>pylori</w:t>
      </w:r>
      <w:proofErr w:type="spellEnd"/>
      <w:r w:rsidRPr="00D27A53">
        <w:rPr>
          <w:sz w:val="24"/>
          <w:szCs w:val="24"/>
          <w:lang w:bidi="da-DK"/>
        </w:rPr>
        <w:t xml:space="preserve">. Data om den lokale resistens er derfor ønskværdige, især for at sikre tilstrækkelig behandling af alvorlige infektioner. Hvis den lokale resistenssituation rejser tvivl om effekten af </w:t>
      </w:r>
      <w:proofErr w:type="spellStart"/>
      <w:r w:rsidRPr="00D27A53">
        <w:rPr>
          <w:sz w:val="24"/>
          <w:szCs w:val="24"/>
          <w:lang w:bidi="da-DK"/>
        </w:rPr>
        <w:t>Pylera</w:t>
      </w:r>
      <w:proofErr w:type="spellEnd"/>
      <w:r w:rsidRPr="00D27A53">
        <w:rPr>
          <w:sz w:val="24"/>
          <w:szCs w:val="24"/>
          <w:lang w:bidi="da-DK"/>
        </w:rPr>
        <w:t xml:space="preserve">, bør man søge terapeutisk ekspertrådgivning. Især i tilfælde af alvorlig infektion eller mislykket behandling bør der foretages en mikrobiologisk diagnose med bekræftelse af mikroorganismen og dens følsomhed over for de aktive ingredienser i </w:t>
      </w:r>
      <w:proofErr w:type="spellStart"/>
      <w:r w:rsidRPr="00D27A53">
        <w:rPr>
          <w:sz w:val="24"/>
          <w:szCs w:val="24"/>
          <w:lang w:bidi="da-DK"/>
        </w:rPr>
        <w:t>Pylera</w:t>
      </w:r>
      <w:proofErr w:type="spellEnd"/>
      <w:r w:rsidRPr="00D27A53">
        <w:rPr>
          <w:sz w:val="24"/>
          <w:szCs w:val="24"/>
          <w:lang w:bidi="da-DK"/>
        </w:rPr>
        <w:t>.</w:t>
      </w:r>
    </w:p>
    <w:p w14:paraId="1F5B4B06" w14:textId="77777777" w:rsidR="00D27A53" w:rsidRPr="00D27A53" w:rsidRDefault="00D27A53" w:rsidP="00695AC0">
      <w:pPr>
        <w:ind w:left="851"/>
        <w:rPr>
          <w:sz w:val="24"/>
          <w:szCs w:val="24"/>
        </w:rPr>
      </w:pPr>
      <w:r w:rsidRPr="00D27A53">
        <w:rPr>
          <w:sz w:val="24"/>
          <w:szCs w:val="24"/>
          <w:lang w:bidi="da-DK"/>
        </w:rPr>
        <w:t xml:space="preserve">I øjeblikket anses </w:t>
      </w:r>
      <w:proofErr w:type="spellStart"/>
      <w:r w:rsidRPr="00D27A53">
        <w:rPr>
          <w:i/>
          <w:sz w:val="24"/>
          <w:szCs w:val="24"/>
          <w:lang w:bidi="da-DK"/>
        </w:rPr>
        <w:t>Helicobacter</w:t>
      </w:r>
      <w:proofErr w:type="spellEnd"/>
      <w:r w:rsidRPr="00D27A53">
        <w:rPr>
          <w:i/>
          <w:sz w:val="24"/>
          <w:szCs w:val="24"/>
          <w:lang w:bidi="da-DK"/>
        </w:rPr>
        <w:t xml:space="preserve"> </w:t>
      </w:r>
      <w:proofErr w:type="spellStart"/>
      <w:r w:rsidRPr="00D27A53">
        <w:rPr>
          <w:i/>
          <w:sz w:val="24"/>
          <w:szCs w:val="24"/>
          <w:lang w:bidi="da-DK"/>
        </w:rPr>
        <w:t>pyloris</w:t>
      </w:r>
      <w:proofErr w:type="spellEnd"/>
      <w:r w:rsidRPr="00D27A53">
        <w:rPr>
          <w:i/>
          <w:sz w:val="24"/>
          <w:szCs w:val="24"/>
          <w:lang w:bidi="da-DK"/>
        </w:rPr>
        <w:t xml:space="preserve"> </w:t>
      </w:r>
      <w:r w:rsidRPr="00D27A53">
        <w:rPr>
          <w:sz w:val="24"/>
          <w:szCs w:val="24"/>
          <w:lang w:bidi="da-DK"/>
        </w:rPr>
        <w:t xml:space="preserve">resistens over for tetracyklin for at være mindre end 5 %, mens resistens over for </w:t>
      </w:r>
      <w:proofErr w:type="spellStart"/>
      <w:r w:rsidRPr="00D27A53">
        <w:rPr>
          <w:sz w:val="24"/>
          <w:szCs w:val="24"/>
          <w:lang w:bidi="da-DK"/>
        </w:rPr>
        <w:t>metronidazol</w:t>
      </w:r>
      <w:proofErr w:type="spellEnd"/>
      <w:r w:rsidRPr="00D27A53">
        <w:rPr>
          <w:sz w:val="24"/>
          <w:szCs w:val="24"/>
          <w:lang w:bidi="da-DK"/>
        </w:rPr>
        <w:t xml:space="preserve"> ligger mellem ca. 30 % og 50 %. Kliniske data viser en lille reduktion i udryddelsesraten af </w:t>
      </w:r>
      <w:r w:rsidRPr="00D27A53">
        <w:rPr>
          <w:i/>
          <w:sz w:val="24"/>
          <w:szCs w:val="24"/>
          <w:lang w:bidi="da-DK"/>
        </w:rPr>
        <w:t xml:space="preserve">H. </w:t>
      </w:r>
      <w:proofErr w:type="spellStart"/>
      <w:r w:rsidRPr="00D27A53">
        <w:rPr>
          <w:i/>
          <w:sz w:val="24"/>
          <w:szCs w:val="24"/>
          <w:lang w:bidi="da-DK"/>
        </w:rPr>
        <w:t>pylori</w:t>
      </w:r>
      <w:proofErr w:type="spellEnd"/>
      <w:r w:rsidRPr="00D27A53">
        <w:rPr>
          <w:i/>
          <w:sz w:val="24"/>
          <w:szCs w:val="24"/>
          <w:lang w:bidi="da-DK"/>
        </w:rPr>
        <w:t xml:space="preserve"> </w:t>
      </w:r>
      <w:r w:rsidRPr="00D27A53">
        <w:rPr>
          <w:sz w:val="24"/>
          <w:szCs w:val="24"/>
          <w:lang w:bidi="da-DK"/>
        </w:rPr>
        <w:t xml:space="preserve">efter behandling med </w:t>
      </w:r>
      <w:proofErr w:type="spellStart"/>
      <w:r w:rsidRPr="00D27A53">
        <w:rPr>
          <w:sz w:val="24"/>
          <w:szCs w:val="24"/>
          <w:lang w:bidi="da-DK"/>
        </w:rPr>
        <w:t>Pylera</w:t>
      </w:r>
      <w:proofErr w:type="spellEnd"/>
      <w:r w:rsidRPr="00D27A53">
        <w:rPr>
          <w:sz w:val="24"/>
          <w:szCs w:val="24"/>
          <w:lang w:bidi="da-DK"/>
        </w:rPr>
        <w:t xml:space="preserve"> hos patienter med </w:t>
      </w:r>
      <w:proofErr w:type="spellStart"/>
      <w:r w:rsidRPr="00D27A53">
        <w:rPr>
          <w:sz w:val="24"/>
          <w:szCs w:val="24"/>
          <w:lang w:bidi="da-DK"/>
        </w:rPr>
        <w:t>metronidazolresistente</w:t>
      </w:r>
      <w:proofErr w:type="spellEnd"/>
      <w:r w:rsidRPr="00D27A53">
        <w:rPr>
          <w:sz w:val="24"/>
          <w:szCs w:val="24"/>
          <w:lang w:bidi="da-DK"/>
        </w:rPr>
        <w:t xml:space="preserve"> stammer.</w:t>
      </w:r>
    </w:p>
    <w:p w14:paraId="0C59EC97" w14:textId="77777777" w:rsidR="00D27A53" w:rsidRPr="00D27A53" w:rsidRDefault="00D27A53" w:rsidP="00695AC0">
      <w:pPr>
        <w:ind w:left="851"/>
        <w:rPr>
          <w:sz w:val="24"/>
          <w:szCs w:val="24"/>
        </w:rPr>
      </w:pPr>
    </w:p>
    <w:p w14:paraId="70D6144D" w14:textId="77777777" w:rsidR="00D27A53" w:rsidRPr="00D27A53" w:rsidRDefault="00D27A53" w:rsidP="00695AC0">
      <w:pPr>
        <w:ind w:left="851"/>
        <w:rPr>
          <w:sz w:val="24"/>
          <w:szCs w:val="24"/>
          <w:u w:val="single"/>
        </w:rPr>
      </w:pPr>
      <w:r w:rsidRPr="00D27A53">
        <w:rPr>
          <w:sz w:val="24"/>
          <w:szCs w:val="24"/>
          <w:u w:val="single"/>
          <w:lang w:bidi="da-DK"/>
        </w:rPr>
        <w:t>Klinisk effekt og sikkerhed</w:t>
      </w:r>
    </w:p>
    <w:p w14:paraId="5FD5B7B2" w14:textId="06E15C83" w:rsidR="00D27A53" w:rsidRPr="00D27A53" w:rsidRDefault="00D27A53" w:rsidP="00695AC0">
      <w:pPr>
        <w:ind w:left="851"/>
        <w:rPr>
          <w:sz w:val="24"/>
          <w:szCs w:val="24"/>
        </w:rPr>
      </w:pPr>
      <w:r w:rsidRPr="00D27A53">
        <w:rPr>
          <w:sz w:val="24"/>
          <w:szCs w:val="24"/>
          <w:lang w:bidi="da-DK"/>
        </w:rPr>
        <w:t>Der er gennemført to sammenlignende forsøg, et i Europa (</w:t>
      </w:r>
      <w:proofErr w:type="spellStart"/>
      <w:r w:rsidRPr="00D27A53">
        <w:rPr>
          <w:sz w:val="24"/>
          <w:szCs w:val="24"/>
          <w:lang w:bidi="da-DK"/>
        </w:rPr>
        <w:t>pivotal</w:t>
      </w:r>
      <w:proofErr w:type="spellEnd"/>
      <w:r w:rsidRPr="00D27A53">
        <w:rPr>
          <w:sz w:val="24"/>
          <w:szCs w:val="24"/>
          <w:lang w:bidi="da-DK"/>
        </w:rPr>
        <w:t xml:space="preserve">) og et i USA (understøttende), hvor </w:t>
      </w:r>
      <w:proofErr w:type="spellStart"/>
      <w:r w:rsidRPr="00D27A53">
        <w:rPr>
          <w:sz w:val="24"/>
          <w:szCs w:val="24"/>
          <w:lang w:bidi="da-DK"/>
        </w:rPr>
        <w:t>Pylera</w:t>
      </w:r>
      <w:proofErr w:type="spellEnd"/>
      <w:r w:rsidRPr="00D27A53">
        <w:rPr>
          <w:sz w:val="24"/>
          <w:szCs w:val="24"/>
          <w:lang w:bidi="da-DK"/>
        </w:rPr>
        <w:t xml:space="preserve"> i kombination med </w:t>
      </w:r>
      <w:proofErr w:type="spellStart"/>
      <w:r w:rsidRPr="00D27A53">
        <w:rPr>
          <w:sz w:val="24"/>
          <w:szCs w:val="24"/>
          <w:lang w:bidi="da-DK"/>
        </w:rPr>
        <w:t>omeprazolbehandling</w:t>
      </w:r>
      <w:proofErr w:type="spellEnd"/>
      <w:r w:rsidRPr="00D27A53">
        <w:rPr>
          <w:sz w:val="24"/>
          <w:szCs w:val="24"/>
          <w:lang w:bidi="da-DK"/>
        </w:rPr>
        <w:t xml:space="preserve"> i 10 dage sammenlignes med standardbehandlingen </w:t>
      </w:r>
      <w:proofErr w:type="spellStart"/>
      <w:r w:rsidRPr="00D27A53">
        <w:rPr>
          <w:sz w:val="24"/>
          <w:szCs w:val="24"/>
          <w:lang w:bidi="da-DK"/>
        </w:rPr>
        <w:t>omeprazol</w:t>
      </w:r>
      <w:proofErr w:type="spellEnd"/>
      <w:r w:rsidRPr="00D27A53">
        <w:rPr>
          <w:sz w:val="24"/>
          <w:szCs w:val="24"/>
          <w:lang w:bidi="da-DK"/>
        </w:rPr>
        <w:t xml:space="preserve">, </w:t>
      </w:r>
      <w:proofErr w:type="spellStart"/>
      <w:r w:rsidRPr="00D27A53">
        <w:rPr>
          <w:sz w:val="24"/>
          <w:szCs w:val="24"/>
          <w:lang w:bidi="da-DK"/>
        </w:rPr>
        <w:t>amoxicillin</w:t>
      </w:r>
      <w:proofErr w:type="spellEnd"/>
      <w:r w:rsidRPr="00D27A53">
        <w:rPr>
          <w:sz w:val="24"/>
          <w:szCs w:val="24"/>
          <w:lang w:bidi="da-DK"/>
        </w:rPr>
        <w:t xml:space="preserve"> og </w:t>
      </w:r>
      <w:proofErr w:type="spellStart"/>
      <w:r w:rsidRPr="00D27A53">
        <w:rPr>
          <w:sz w:val="24"/>
          <w:szCs w:val="24"/>
          <w:lang w:bidi="da-DK"/>
        </w:rPr>
        <w:t>clarithromycin</w:t>
      </w:r>
      <w:proofErr w:type="spellEnd"/>
      <w:r w:rsidRPr="00D27A53">
        <w:rPr>
          <w:sz w:val="24"/>
          <w:szCs w:val="24"/>
          <w:lang w:bidi="da-DK"/>
        </w:rPr>
        <w:t xml:space="preserve"> (OAC) i henholdsvis 7 og 10 dage. Begge undersøgelser var randomiserede, parallelle grupper, åbne, aktivt kontrollerede non-</w:t>
      </w:r>
      <w:proofErr w:type="spellStart"/>
      <w:r w:rsidRPr="00D27A53">
        <w:rPr>
          <w:sz w:val="24"/>
          <w:szCs w:val="24"/>
          <w:lang w:bidi="da-DK"/>
        </w:rPr>
        <w:t>inferiority</w:t>
      </w:r>
      <w:proofErr w:type="spellEnd"/>
      <w:r w:rsidRPr="00D27A53">
        <w:rPr>
          <w:sz w:val="24"/>
          <w:szCs w:val="24"/>
          <w:lang w:bidi="da-DK"/>
        </w:rPr>
        <w:t xml:space="preserve">-forsøg og omfattede forsøgspersoner med bekræftet </w:t>
      </w:r>
      <w:r w:rsidRPr="00D27A53">
        <w:rPr>
          <w:i/>
          <w:sz w:val="24"/>
          <w:szCs w:val="24"/>
          <w:lang w:bidi="da-DK"/>
        </w:rPr>
        <w:t xml:space="preserve">H. </w:t>
      </w:r>
      <w:proofErr w:type="spellStart"/>
      <w:r w:rsidRPr="00D27A53">
        <w:rPr>
          <w:i/>
          <w:sz w:val="24"/>
          <w:szCs w:val="24"/>
          <w:lang w:bidi="da-DK"/>
        </w:rPr>
        <w:t>pylori</w:t>
      </w:r>
      <w:proofErr w:type="spellEnd"/>
      <w:r w:rsidRPr="00D27A53">
        <w:rPr>
          <w:i/>
          <w:sz w:val="24"/>
          <w:szCs w:val="24"/>
          <w:lang w:bidi="da-DK"/>
        </w:rPr>
        <w:t>-infektion</w:t>
      </w:r>
      <w:r w:rsidRPr="00D27A53">
        <w:rPr>
          <w:sz w:val="24"/>
          <w:szCs w:val="24"/>
          <w:lang w:bidi="da-DK"/>
        </w:rPr>
        <w:t xml:space="preserve">. Resultaterne er opsummeret i tabellen nedenfor. </w:t>
      </w:r>
      <w:proofErr w:type="spellStart"/>
      <w:r w:rsidRPr="00D27A53">
        <w:rPr>
          <w:sz w:val="24"/>
          <w:szCs w:val="24"/>
          <w:lang w:bidi="da-DK"/>
        </w:rPr>
        <w:t>Acceptansen</w:t>
      </w:r>
      <w:proofErr w:type="spellEnd"/>
      <w:r w:rsidRPr="00D27A53">
        <w:rPr>
          <w:sz w:val="24"/>
          <w:szCs w:val="24"/>
          <w:lang w:bidi="da-DK"/>
        </w:rPr>
        <w:t xml:space="preserve"> var mere end 95 % i begge behandlingsgrupper i begge studier.</w:t>
      </w:r>
    </w:p>
    <w:p w14:paraId="24F50CE5" w14:textId="77777777" w:rsidR="00D27A53" w:rsidRPr="00D27A53" w:rsidRDefault="00D27A53" w:rsidP="00695AC0">
      <w:pPr>
        <w:ind w:left="851"/>
        <w:rPr>
          <w:sz w:val="24"/>
          <w:szCs w:val="24"/>
        </w:rPr>
      </w:pPr>
    </w:p>
    <w:p w14:paraId="67FC6FE0" w14:textId="77777777" w:rsidR="00D27A53" w:rsidRPr="00D27A53" w:rsidRDefault="00D27A53" w:rsidP="00695AC0">
      <w:pPr>
        <w:ind w:left="851"/>
        <w:rPr>
          <w:sz w:val="24"/>
          <w:szCs w:val="24"/>
        </w:rPr>
      </w:pPr>
      <w:r w:rsidRPr="00D27A53">
        <w:rPr>
          <w:sz w:val="24"/>
          <w:szCs w:val="24"/>
          <w:lang w:bidi="da-DK"/>
        </w:rPr>
        <w:t xml:space="preserve">For at evaluere virkningen af antibiotikaresistens blev der taget biopsier til dyrkning, og bakteriestammernes resistens over for </w:t>
      </w:r>
      <w:proofErr w:type="spellStart"/>
      <w:r w:rsidRPr="00D27A53">
        <w:rPr>
          <w:sz w:val="24"/>
          <w:szCs w:val="24"/>
          <w:lang w:bidi="da-DK"/>
        </w:rPr>
        <w:t>clarithromycin</w:t>
      </w:r>
      <w:proofErr w:type="spellEnd"/>
      <w:r w:rsidRPr="00D27A53">
        <w:rPr>
          <w:sz w:val="24"/>
          <w:szCs w:val="24"/>
          <w:lang w:bidi="da-DK"/>
        </w:rPr>
        <w:t xml:space="preserve"> og </w:t>
      </w:r>
      <w:proofErr w:type="spellStart"/>
      <w:r w:rsidRPr="00D27A53">
        <w:rPr>
          <w:sz w:val="24"/>
          <w:szCs w:val="24"/>
          <w:lang w:bidi="da-DK"/>
        </w:rPr>
        <w:t>metronidazol</w:t>
      </w:r>
      <w:proofErr w:type="spellEnd"/>
      <w:r w:rsidRPr="00D27A53">
        <w:rPr>
          <w:sz w:val="24"/>
          <w:szCs w:val="24"/>
          <w:lang w:bidi="da-DK"/>
        </w:rPr>
        <w:t xml:space="preserve"> blev testet. Den mindste hæmmende koncentration (MIC), der definerer følsomhed, var ≤ 8 µg/ml for </w:t>
      </w:r>
      <w:proofErr w:type="spellStart"/>
      <w:r w:rsidRPr="00D27A53">
        <w:rPr>
          <w:sz w:val="24"/>
          <w:szCs w:val="24"/>
          <w:lang w:bidi="da-DK"/>
        </w:rPr>
        <w:t>metronidazol</w:t>
      </w:r>
      <w:proofErr w:type="spellEnd"/>
      <w:r w:rsidRPr="00D27A53">
        <w:rPr>
          <w:sz w:val="24"/>
          <w:szCs w:val="24"/>
          <w:lang w:bidi="da-DK"/>
        </w:rPr>
        <w:t xml:space="preserve"> og &lt; 1 µg/ml for </w:t>
      </w:r>
      <w:proofErr w:type="spellStart"/>
      <w:r w:rsidRPr="00D27A53">
        <w:rPr>
          <w:sz w:val="24"/>
          <w:szCs w:val="24"/>
          <w:lang w:bidi="da-DK"/>
        </w:rPr>
        <w:t>clarithromycin</w:t>
      </w:r>
      <w:proofErr w:type="spellEnd"/>
      <w:r w:rsidRPr="00D27A53">
        <w:rPr>
          <w:sz w:val="24"/>
          <w:szCs w:val="24"/>
          <w:lang w:bidi="da-DK"/>
        </w:rPr>
        <w:t xml:space="preserve">. Resultaterne tyder på, at </w:t>
      </w:r>
      <w:proofErr w:type="spellStart"/>
      <w:r w:rsidRPr="00D27A53">
        <w:rPr>
          <w:sz w:val="24"/>
          <w:szCs w:val="24"/>
          <w:lang w:bidi="da-DK"/>
        </w:rPr>
        <w:t>Pylera</w:t>
      </w:r>
      <w:proofErr w:type="spellEnd"/>
      <w:r w:rsidRPr="00D27A53">
        <w:rPr>
          <w:sz w:val="24"/>
          <w:szCs w:val="24"/>
          <w:lang w:bidi="da-DK"/>
        </w:rPr>
        <w:t xml:space="preserve"> er effektiv uanset bakteriestammens resistens over for </w:t>
      </w:r>
      <w:proofErr w:type="spellStart"/>
      <w:r w:rsidRPr="00D27A53">
        <w:rPr>
          <w:sz w:val="24"/>
          <w:szCs w:val="24"/>
          <w:lang w:bidi="da-DK"/>
        </w:rPr>
        <w:t>metronidazol</w:t>
      </w:r>
      <w:proofErr w:type="spellEnd"/>
      <w:r w:rsidRPr="00D27A53">
        <w:rPr>
          <w:sz w:val="24"/>
          <w:szCs w:val="24"/>
          <w:lang w:bidi="da-DK"/>
        </w:rPr>
        <w:t xml:space="preserve"> eller </w:t>
      </w:r>
      <w:proofErr w:type="spellStart"/>
      <w:r w:rsidRPr="00D27A53">
        <w:rPr>
          <w:sz w:val="24"/>
          <w:szCs w:val="24"/>
          <w:lang w:bidi="da-DK"/>
        </w:rPr>
        <w:t>clarithromycin</w:t>
      </w:r>
      <w:proofErr w:type="spellEnd"/>
      <w:r w:rsidRPr="00D27A53">
        <w:rPr>
          <w:sz w:val="24"/>
          <w:szCs w:val="24"/>
          <w:lang w:bidi="da-DK"/>
        </w:rPr>
        <w:t>.</w:t>
      </w:r>
    </w:p>
    <w:p w14:paraId="5A5CD78A" w14:textId="77777777" w:rsidR="00D27A53" w:rsidRPr="00D27A53" w:rsidRDefault="00D27A53" w:rsidP="00695AC0">
      <w:pPr>
        <w:ind w:left="851"/>
        <w:rPr>
          <w:sz w:val="24"/>
          <w:szCs w:val="24"/>
        </w:rPr>
      </w:pPr>
    </w:p>
    <w:p w14:paraId="36C5A9F1" w14:textId="77777777" w:rsidR="00D27A53" w:rsidRPr="00D27A53" w:rsidRDefault="00D27A53" w:rsidP="00695AC0">
      <w:pPr>
        <w:ind w:left="851"/>
        <w:rPr>
          <w:sz w:val="24"/>
          <w:szCs w:val="24"/>
        </w:rPr>
      </w:pPr>
      <w:r w:rsidRPr="00D27A53">
        <w:rPr>
          <w:sz w:val="24"/>
          <w:szCs w:val="24"/>
          <w:lang w:bidi="da-DK"/>
        </w:rPr>
        <w:t xml:space="preserve">Sårenes indvirkning på behandlingseffekten blev også vurderet i det afgørende europæiske studie. Effekten af </w:t>
      </w:r>
      <w:proofErr w:type="spellStart"/>
      <w:r w:rsidRPr="00D27A53">
        <w:rPr>
          <w:sz w:val="24"/>
          <w:szCs w:val="24"/>
          <w:lang w:bidi="da-DK"/>
        </w:rPr>
        <w:t>Pylera</w:t>
      </w:r>
      <w:proofErr w:type="spellEnd"/>
      <w:r w:rsidRPr="00D27A53">
        <w:rPr>
          <w:sz w:val="24"/>
          <w:szCs w:val="24"/>
          <w:lang w:bidi="da-DK"/>
        </w:rPr>
        <w:t xml:space="preserve"> var den samme hos de patienter, der havde eller havde haft mavesår, som hos dem, der ikke havde.</w:t>
      </w:r>
    </w:p>
    <w:p w14:paraId="5815501A" w14:textId="77777777" w:rsidR="00D27A53" w:rsidRPr="00D27A53" w:rsidRDefault="00D27A53" w:rsidP="00695AC0">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34"/>
        <w:gridCol w:w="952"/>
        <w:gridCol w:w="947"/>
        <w:gridCol w:w="951"/>
        <w:gridCol w:w="951"/>
        <w:gridCol w:w="951"/>
        <w:gridCol w:w="951"/>
        <w:gridCol w:w="951"/>
        <w:gridCol w:w="940"/>
      </w:tblGrid>
      <w:tr w:rsidR="00D27A53" w:rsidRPr="00975327" w14:paraId="01501553" w14:textId="77777777" w:rsidTr="00695AC0">
        <w:trPr>
          <w:trHeight w:val="261"/>
        </w:trPr>
        <w:tc>
          <w:tcPr>
            <w:tcW w:w="5000" w:type="pct"/>
            <w:gridSpan w:val="9"/>
            <w:tcBorders>
              <w:top w:val="single" w:sz="4" w:space="0" w:color="000000"/>
              <w:left w:val="single" w:sz="4" w:space="0" w:color="000000"/>
              <w:bottom w:val="single" w:sz="4" w:space="0" w:color="000000"/>
              <w:right w:val="single" w:sz="4" w:space="0" w:color="000000"/>
            </w:tcBorders>
            <w:hideMark/>
          </w:tcPr>
          <w:p w14:paraId="44AECF36" w14:textId="77777777" w:rsidR="00D27A53" w:rsidRPr="00975327" w:rsidRDefault="00D27A53" w:rsidP="00975327">
            <w:pPr>
              <w:jc w:val="center"/>
              <w:rPr>
                <w:sz w:val="20"/>
              </w:rPr>
            </w:pPr>
            <w:r w:rsidRPr="00975327">
              <w:rPr>
                <w:sz w:val="20"/>
                <w:lang w:bidi="da-DK"/>
              </w:rPr>
              <w:t xml:space="preserve">Elimineringsrater i kontrollerede studier med </w:t>
            </w:r>
            <w:proofErr w:type="spellStart"/>
            <w:r w:rsidRPr="00975327">
              <w:rPr>
                <w:sz w:val="20"/>
                <w:lang w:bidi="da-DK"/>
              </w:rPr>
              <w:t>Pylera</w:t>
            </w:r>
            <w:proofErr w:type="spellEnd"/>
            <w:r w:rsidRPr="00975327">
              <w:rPr>
                <w:sz w:val="20"/>
                <w:lang w:bidi="da-DK"/>
              </w:rPr>
              <w:t>-kapsler (ITT &amp; PP)</w:t>
            </w:r>
          </w:p>
        </w:tc>
      </w:tr>
      <w:tr w:rsidR="00D27A53" w:rsidRPr="00975327" w14:paraId="7960C0A2" w14:textId="77777777" w:rsidTr="00975327">
        <w:trPr>
          <w:trHeight w:val="258"/>
        </w:trPr>
        <w:tc>
          <w:tcPr>
            <w:tcW w:w="1056" w:type="pct"/>
            <w:vMerge w:val="restart"/>
            <w:tcBorders>
              <w:top w:val="single" w:sz="4" w:space="0" w:color="000000"/>
              <w:left w:val="single" w:sz="4" w:space="0" w:color="000000"/>
              <w:bottom w:val="single" w:sz="4" w:space="0" w:color="000000"/>
              <w:right w:val="single" w:sz="4" w:space="0" w:color="000000"/>
            </w:tcBorders>
          </w:tcPr>
          <w:p w14:paraId="784EC84C" w14:textId="77777777" w:rsidR="00D27A53" w:rsidRPr="00975327" w:rsidRDefault="00D27A53" w:rsidP="00695AC0">
            <w:pPr>
              <w:rPr>
                <w:sz w:val="20"/>
              </w:rPr>
            </w:pPr>
          </w:p>
        </w:tc>
        <w:tc>
          <w:tcPr>
            <w:tcW w:w="1973" w:type="pct"/>
            <w:gridSpan w:val="4"/>
            <w:tcBorders>
              <w:top w:val="single" w:sz="4" w:space="0" w:color="000000"/>
              <w:left w:val="single" w:sz="4" w:space="0" w:color="000000"/>
              <w:bottom w:val="single" w:sz="4" w:space="0" w:color="000000"/>
              <w:right w:val="single" w:sz="4" w:space="0" w:color="000000"/>
            </w:tcBorders>
            <w:hideMark/>
          </w:tcPr>
          <w:p w14:paraId="0166FFD4" w14:textId="77777777" w:rsidR="00D27A53" w:rsidRPr="00975327" w:rsidRDefault="00D27A53" w:rsidP="00975327">
            <w:pPr>
              <w:jc w:val="center"/>
              <w:rPr>
                <w:sz w:val="20"/>
              </w:rPr>
            </w:pPr>
            <w:r w:rsidRPr="00975327">
              <w:rPr>
                <w:sz w:val="20"/>
                <w:lang w:bidi="da-DK"/>
              </w:rPr>
              <w:t>ITT/MITT</w:t>
            </w:r>
          </w:p>
        </w:tc>
        <w:tc>
          <w:tcPr>
            <w:tcW w:w="1971" w:type="pct"/>
            <w:gridSpan w:val="4"/>
            <w:tcBorders>
              <w:top w:val="single" w:sz="4" w:space="0" w:color="000000"/>
              <w:left w:val="single" w:sz="4" w:space="0" w:color="000000"/>
              <w:bottom w:val="single" w:sz="4" w:space="0" w:color="000000"/>
              <w:right w:val="single" w:sz="4" w:space="0" w:color="000000"/>
            </w:tcBorders>
            <w:hideMark/>
          </w:tcPr>
          <w:p w14:paraId="67711C8A" w14:textId="77777777" w:rsidR="00D27A53" w:rsidRPr="00975327" w:rsidRDefault="00D27A53" w:rsidP="00975327">
            <w:pPr>
              <w:jc w:val="center"/>
              <w:rPr>
                <w:sz w:val="20"/>
              </w:rPr>
            </w:pPr>
            <w:r w:rsidRPr="00975327">
              <w:rPr>
                <w:sz w:val="20"/>
                <w:lang w:bidi="da-DK"/>
              </w:rPr>
              <w:t>PP</w:t>
            </w:r>
          </w:p>
        </w:tc>
      </w:tr>
      <w:tr w:rsidR="00975327" w:rsidRPr="00975327" w14:paraId="67399621" w14:textId="77777777" w:rsidTr="00975327">
        <w:trPr>
          <w:trHeight w:val="580"/>
        </w:trPr>
        <w:tc>
          <w:tcPr>
            <w:tcW w:w="1056" w:type="pct"/>
            <w:vMerge/>
            <w:tcBorders>
              <w:top w:val="single" w:sz="4" w:space="0" w:color="000000"/>
              <w:left w:val="single" w:sz="4" w:space="0" w:color="000000"/>
              <w:bottom w:val="single" w:sz="4" w:space="0" w:color="000000"/>
              <w:right w:val="single" w:sz="4" w:space="0" w:color="000000"/>
            </w:tcBorders>
            <w:vAlign w:val="center"/>
            <w:hideMark/>
          </w:tcPr>
          <w:p w14:paraId="0FCAFEBD" w14:textId="77777777" w:rsidR="00D27A53" w:rsidRPr="00975327" w:rsidRDefault="00D27A53" w:rsidP="00695AC0">
            <w:pPr>
              <w:rPr>
                <w:sz w:val="20"/>
              </w:rPr>
            </w:pPr>
          </w:p>
        </w:tc>
        <w:tc>
          <w:tcPr>
            <w:tcW w:w="986" w:type="pct"/>
            <w:gridSpan w:val="2"/>
            <w:tcBorders>
              <w:top w:val="single" w:sz="4" w:space="0" w:color="000000"/>
              <w:left w:val="single" w:sz="4" w:space="0" w:color="000000"/>
              <w:bottom w:val="single" w:sz="4" w:space="0" w:color="000000"/>
              <w:right w:val="single" w:sz="4" w:space="0" w:color="000000"/>
            </w:tcBorders>
            <w:hideMark/>
          </w:tcPr>
          <w:p w14:paraId="799B641C" w14:textId="77777777" w:rsidR="00D27A53" w:rsidRPr="00975327" w:rsidRDefault="00D27A53" w:rsidP="00975327">
            <w:pPr>
              <w:jc w:val="center"/>
              <w:rPr>
                <w:sz w:val="20"/>
              </w:rPr>
            </w:pPr>
            <w:proofErr w:type="spellStart"/>
            <w:r w:rsidRPr="00975327">
              <w:rPr>
                <w:sz w:val="20"/>
                <w:lang w:bidi="da-DK"/>
              </w:rPr>
              <w:t>Pivotalstudie</w:t>
            </w:r>
            <w:proofErr w:type="spellEnd"/>
            <w:r w:rsidRPr="00975327">
              <w:rPr>
                <w:sz w:val="20"/>
                <w:lang w:bidi="da-DK"/>
              </w:rPr>
              <w:t xml:space="preserve"> for EU</w:t>
            </w:r>
          </w:p>
        </w:tc>
        <w:tc>
          <w:tcPr>
            <w:tcW w:w="988" w:type="pct"/>
            <w:gridSpan w:val="2"/>
            <w:tcBorders>
              <w:top w:val="single" w:sz="4" w:space="0" w:color="000000"/>
              <w:left w:val="single" w:sz="4" w:space="0" w:color="000000"/>
              <w:bottom w:val="single" w:sz="4" w:space="0" w:color="000000"/>
              <w:right w:val="single" w:sz="4" w:space="0" w:color="000000"/>
            </w:tcBorders>
            <w:hideMark/>
          </w:tcPr>
          <w:p w14:paraId="595C8300" w14:textId="77777777" w:rsidR="00D27A53" w:rsidRPr="00975327" w:rsidRDefault="00D27A53" w:rsidP="00975327">
            <w:pPr>
              <w:jc w:val="center"/>
              <w:rPr>
                <w:sz w:val="20"/>
              </w:rPr>
            </w:pPr>
            <w:r w:rsidRPr="00975327">
              <w:rPr>
                <w:sz w:val="20"/>
                <w:lang w:bidi="da-DK"/>
              </w:rPr>
              <w:t>Understøttende undersøgelse</w:t>
            </w:r>
          </w:p>
        </w:tc>
        <w:tc>
          <w:tcPr>
            <w:tcW w:w="988" w:type="pct"/>
            <w:gridSpan w:val="2"/>
            <w:tcBorders>
              <w:top w:val="single" w:sz="4" w:space="0" w:color="000000"/>
              <w:left w:val="single" w:sz="4" w:space="0" w:color="000000"/>
              <w:bottom w:val="single" w:sz="4" w:space="0" w:color="000000"/>
              <w:right w:val="single" w:sz="4" w:space="0" w:color="000000"/>
            </w:tcBorders>
            <w:hideMark/>
          </w:tcPr>
          <w:p w14:paraId="4D1A8884" w14:textId="77777777" w:rsidR="00D27A53" w:rsidRPr="00975327" w:rsidRDefault="00D27A53" w:rsidP="00975327">
            <w:pPr>
              <w:jc w:val="center"/>
              <w:rPr>
                <w:sz w:val="20"/>
              </w:rPr>
            </w:pPr>
            <w:proofErr w:type="spellStart"/>
            <w:r w:rsidRPr="00975327">
              <w:rPr>
                <w:sz w:val="20"/>
                <w:lang w:bidi="da-DK"/>
              </w:rPr>
              <w:t>Pivotalstudie</w:t>
            </w:r>
            <w:proofErr w:type="spellEnd"/>
            <w:r w:rsidRPr="00975327">
              <w:rPr>
                <w:sz w:val="20"/>
                <w:lang w:bidi="da-DK"/>
              </w:rPr>
              <w:t xml:space="preserve"> for EU</w:t>
            </w:r>
          </w:p>
        </w:tc>
        <w:tc>
          <w:tcPr>
            <w:tcW w:w="983" w:type="pct"/>
            <w:gridSpan w:val="2"/>
            <w:tcBorders>
              <w:top w:val="single" w:sz="4" w:space="0" w:color="000000"/>
              <w:left w:val="single" w:sz="4" w:space="0" w:color="000000"/>
              <w:bottom w:val="single" w:sz="4" w:space="0" w:color="000000"/>
              <w:right w:val="single" w:sz="4" w:space="0" w:color="000000"/>
            </w:tcBorders>
            <w:hideMark/>
          </w:tcPr>
          <w:p w14:paraId="0DF410EA" w14:textId="77777777" w:rsidR="00D27A53" w:rsidRPr="00975327" w:rsidRDefault="00D27A53" w:rsidP="00975327">
            <w:pPr>
              <w:jc w:val="center"/>
              <w:rPr>
                <w:sz w:val="20"/>
              </w:rPr>
            </w:pPr>
            <w:r w:rsidRPr="00975327">
              <w:rPr>
                <w:sz w:val="20"/>
                <w:lang w:bidi="da-DK"/>
              </w:rPr>
              <w:t>Understøttende undersøgelse</w:t>
            </w:r>
          </w:p>
        </w:tc>
      </w:tr>
      <w:tr w:rsidR="00975327" w:rsidRPr="00975327" w14:paraId="073C8BD6" w14:textId="77777777" w:rsidTr="00975327">
        <w:trPr>
          <w:trHeight w:val="811"/>
        </w:trPr>
        <w:tc>
          <w:tcPr>
            <w:tcW w:w="1056" w:type="pct"/>
            <w:tcBorders>
              <w:top w:val="single" w:sz="4" w:space="0" w:color="000000"/>
              <w:left w:val="single" w:sz="4" w:space="0" w:color="000000"/>
              <w:bottom w:val="single" w:sz="4" w:space="0" w:color="000000"/>
              <w:right w:val="single" w:sz="4" w:space="0" w:color="000000"/>
            </w:tcBorders>
            <w:hideMark/>
          </w:tcPr>
          <w:p w14:paraId="274167E0" w14:textId="77777777" w:rsidR="00D27A53" w:rsidRPr="00975327" w:rsidRDefault="00D27A53" w:rsidP="00695AC0">
            <w:pPr>
              <w:rPr>
                <w:sz w:val="20"/>
              </w:rPr>
            </w:pPr>
            <w:r w:rsidRPr="00975327">
              <w:rPr>
                <w:sz w:val="20"/>
                <w:lang w:bidi="da-DK"/>
              </w:rPr>
              <w:t>Behandlinger</w:t>
            </w:r>
          </w:p>
        </w:tc>
        <w:tc>
          <w:tcPr>
            <w:tcW w:w="494" w:type="pct"/>
            <w:tcBorders>
              <w:top w:val="single" w:sz="4" w:space="0" w:color="000000"/>
              <w:left w:val="single" w:sz="4" w:space="0" w:color="000000"/>
              <w:bottom w:val="single" w:sz="4" w:space="0" w:color="000000"/>
              <w:right w:val="single" w:sz="4" w:space="0" w:color="000000"/>
            </w:tcBorders>
            <w:hideMark/>
          </w:tcPr>
          <w:p w14:paraId="133AC7D5" w14:textId="77777777" w:rsidR="00D27A53" w:rsidRPr="00975327" w:rsidRDefault="00D27A53" w:rsidP="00975327">
            <w:pPr>
              <w:jc w:val="center"/>
              <w:rPr>
                <w:sz w:val="20"/>
              </w:rPr>
            </w:pPr>
            <w:proofErr w:type="spellStart"/>
            <w:r w:rsidRPr="00975327">
              <w:rPr>
                <w:sz w:val="20"/>
                <w:lang w:bidi="da-DK"/>
              </w:rPr>
              <w:t>Pylera</w:t>
            </w:r>
            <w:proofErr w:type="spellEnd"/>
            <w:r w:rsidRPr="00975327">
              <w:rPr>
                <w:sz w:val="20"/>
                <w:lang w:bidi="da-DK"/>
              </w:rPr>
              <w:t xml:space="preserve"> + </w:t>
            </w:r>
            <w:proofErr w:type="spellStart"/>
            <w:r w:rsidRPr="00975327">
              <w:rPr>
                <w:sz w:val="20"/>
                <w:lang w:bidi="da-DK"/>
              </w:rPr>
              <w:t>Ome-prazol</w:t>
            </w:r>
            <w:proofErr w:type="spellEnd"/>
          </w:p>
        </w:tc>
        <w:tc>
          <w:tcPr>
            <w:tcW w:w="492" w:type="pct"/>
            <w:tcBorders>
              <w:top w:val="single" w:sz="4" w:space="0" w:color="000000"/>
              <w:left w:val="single" w:sz="4" w:space="0" w:color="000000"/>
              <w:bottom w:val="single" w:sz="4" w:space="0" w:color="000000"/>
              <w:right w:val="single" w:sz="4" w:space="0" w:color="000000"/>
            </w:tcBorders>
            <w:hideMark/>
          </w:tcPr>
          <w:p w14:paraId="5110E67B" w14:textId="77777777" w:rsidR="00D27A53" w:rsidRPr="00975327" w:rsidRDefault="00D27A53" w:rsidP="00975327">
            <w:pPr>
              <w:jc w:val="center"/>
              <w:rPr>
                <w:sz w:val="20"/>
              </w:rPr>
            </w:pPr>
            <w:r w:rsidRPr="00975327">
              <w:rPr>
                <w:sz w:val="20"/>
                <w:lang w:bidi="da-DK"/>
              </w:rPr>
              <w:t>OAC</w:t>
            </w:r>
          </w:p>
        </w:tc>
        <w:tc>
          <w:tcPr>
            <w:tcW w:w="494" w:type="pct"/>
            <w:tcBorders>
              <w:top w:val="single" w:sz="4" w:space="0" w:color="000000"/>
              <w:left w:val="single" w:sz="4" w:space="0" w:color="000000"/>
              <w:bottom w:val="single" w:sz="4" w:space="0" w:color="000000"/>
              <w:right w:val="single" w:sz="4" w:space="0" w:color="000000"/>
            </w:tcBorders>
            <w:hideMark/>
          </w:tcPr>
          <w:p w14:paraId="1066EE0E" w14:textId="77777777" w:rsidR="00D27A53" w:rsidRPr="00975327" w:rsidRDefault="00D27A53" w:rsidP="00975327">
            <w:pPr>
              <w:jc w:val="center"/>
              <w:rPr>
                <w:sz w:val="20"/>
              </w:rPr>
            </w:pPr>
            <w:proofErr w:type="spellStart"/>
            <w:r w:rsidRPr="00975327">
              <w:rPr>
                <w:sz w:val="20"/>
                <w:lang w:bidi="da-DK"/>
              </w:rPr>
              <w:t>Pylera</w:t>
            </w:r>
            <w:proofErr w:type="spellEnd"/>
            <w:r w:rsidRPr="00975327">
              <w:rPr>
                <w:sz w:val="20"/>
                <w:lang w:bidi="da-DK"/>
              </w:rPr>
              <w:t xml:space="preserve"> + </w:t>
            </w:r>
            <w:proofErr w:type="spellStart"/>
            <w:r w:rsidRPr="00975327">
              <w:rPr>
                <w:sz w:val="20"/>
                <w:lang w:bidi="da-DK"/>
              </w:rPr>
              <w:t>Ome-prazol</w:t>
            </w:r>
            <w:proofErr w:type="spellEnd"/>
          </w:p>
        </w:tc>
        <w:tc>
          <w:tcPr>
            <w:tcW w:w="494" w:type="pct"/>
            <w:tcBorders>
              <w:top w:val="single" w:sz="4" w:space="0" w:color="000000"/>
              <w:left w:val="single" w:sz="4" w:space="0" w:color="000000"/>
              <w:bottom w:val="single" w:sz="4" w:space="0" w:color="000000"/>
              <w:right w:val="single" w:sz="4" w:space="0" w:color="000000"/>
            </w:tcBorders>
            <w:hideMark/>
          </w:tcPr>
          <w:p w14:paraId="57C73BBE" w14:textId="77777777" w:rsidR="00D27A53" w:rsidRPr="00975327" w:rsidRDefault="00D27A53" w:rsidP="00975327">
            <w:pPr>
              <w:jc w:val="center"/>
              <w:rPr>
                <w:sz w:val="20"/>
              </w:rPr>
            </w:pPr>
            <w:r w:rsidRPr="00975327">
              <w:rPr>
                <w:sz w:val="20"/>
                <w:lang w:bidi="da-DK"/>
              </w:rPr>
              <w:t>OAC</w:t>
            </w:r>
          </w:p>
        </w:tc>
        <w:tc>
          <w:tcPr>
            <w:tcW w:w="494" w:type="pct"/>
            <w:tcBorders>
              <w:top w:val="single" w:sz="4" w:space="0" w:color="000000"/>
              <w:left w:val="single" w:sz="4" w:space="0" w:color="000000"/>
              <w:bottom w:val="single" w:sz="4" w:space="0" w:color="000000"/>
              <w:right w:val="single" w:sz="4" w:space="0" w:color="000000"/>
            </w:tcBorders>
            <w:hideMark/>
          </w:tcPr>
          <w:p w14:paraId="114BCBC2" w14:textId="77777777" w:rsidR="00D27A53" w:rsidRPr="00975327" w:rsidRDefault="00D27A53" w:rsidP="00975327">
            <w:pPr>
              <w:jc w:val="center"/>
              <w:rPr>
                <w:sz w:val="20"/>
              </w:rPr>
            </w:pPr>
            <w:proofErr w:type="spellStart"/>
            <w:r w:rsidRPr="00975327">
              <w:rPr>
                <w:sz w:val="20"/>
                <w:lang w:bidi="da-DK"/>
              </w:rPr>
              <w:t>Pylera</w:t>
            </w:r>
            <w:proofErr w:type="spellEnd"/>
            <w:r w:rsidRPr="00975327">
              <w:rPr>
                <w:sz w:val="20"/>
                <w:lang w:bidi="da-DK"/>
              </w:rPr>
              <w:t xml:space="preserve"> + </w:t>
            </w:r>
            <w:proofErr w:type="spellStart"/>
            <w:r w:rsidRPr="00975327">
              <w:rPr>
                <w:sz w:val="20"/>
                <w:lang w:bidi="da-DK"/>
              </w:rPr>
              <w:t>Ome-prazol</w:t>
            </w:r>
            <w:proofErr w:type="spellEnd"/>
          </w:p>
        </w:tc>
        <w:tc>
          <w:tcPr>
            <w:tcW w:w="494" w:type="pct"/>
            <w:tcBorders>
              <w:top w:val="single" w:sz="4" w:space="0" w:color="000000"/>
              <w:left w:val="single" w:sz="4" w:space="0" w:color="000000"/>
              <w:bottom w:val="single" w:sz="4" w:space="0" w:color="000000"/>
              <w:right w:val="single" w:sz="4" w:space="0" w:color="000000"/>
            </w:tcBorders>
            <w:hideMark/>
          </w:tcPr>
          <w:p w14:paraId="23D47BE3" w14:textId="77777777" w:rsidR="00D27A53" w:rsidRPr="00975327" w:rsidRDefault="00D27A53" w:rsidP="00975327">
            <w:pPr>
              <w:jc w:val="center"/>
              <w:rPr>
                <w:sz w:val="20"/>
              </w:rPr>
            </w:pPr>
            <w:r w:rsidRPr="00975327">
              <w:rPr>
                <w:sz w:val="20"/>
                <w:lang w:bidi="da-DK"/>
              </w:rPr>
              <w:t>OAC</w:t>
            </w:r>
          </w:p>
        </w:tc>
        <w:tc>
          <w:tcPr>
            <w:tcW w:w="494" w:type="pct"/>
            <w:tcBorders>
              <w:top w:val="single" w:sz="4" w:space="0" w:color="000000"/>
              <w:left w:val="single" w:sz="4" w:space="0" w:color="000000"/>
              <w:bottom w:val="single" w:sz="4" w:space="0" w:color="000000"/>
              <w:right w:val="single" w:sz="4" w:space="0" w:color="000000"/>
            </w:tcBorders>
            <w:hideMark/>
          </w:tcPr>
          <w:p w14:paraId="29A185F6" w14:textId="77777777" w:rsidR="00D27A53" w:rsidRPr="00975327" w:rsidRDefault="00D27A53" w:rsidP="00975327">
            <w:pPr>
              <w:jc w:val="center"/>
              <w:rPr>
                <w:sz w:val="20"/>
              </w:rPr>
            </w:pPr>
            <w:proofErr w:type="spellStart"/>
            <w:r w:rsidRPr="00975327">
              <w:rPr>
                <w:sz w:val="20"/>
                <w:lang w:bidi="da-DK"/>
              </w:rPr>
              <w:t>Pylera</w:t>
            </w:r>
            <w:proofErr w:type="spellEnd"/>
            <w:r w:rsidRPr="00975327">
              <w:rPr>
                <w:sz w:val="20"/>
                <w:lang w:bidi="da-DK"/>
              </w:rPr>
              <w:t xml:space="preserve"> + </w:t>
            </w:r>
            <w:proofErr w:type="spellStart"/>
            <w:r w:rsidRPr="00975327">
              <w:rPr>
                <w:sz w:val="20"/>
                <w:lang w:bidi="da-DK"/>
              </w:rPr>
              <w:t>Ome-prazol</w:t>
            </w:r>
            <w:proofErr w:type="spellEnd"/>
          </w:p>
        </w:tc>
        <w:tc>
          <w:tcPr>
            <w:tcW w:w="489" w:type="pct"/>
            <w:tcBorders>
              <w:top w:val="single" w:sz="4" w:space="0" w:color="000000"/>
              <w:left w:val="single" w:sz="4" w:space="0" w:color="000000"/>
              <w:bottom w:val="single" w:sz="4" w:space="0" w:color="000000"/>
              <w:right w:val="single" w:sz="4" w:space="0" w:color="000000"/>
            </w:tcBorders>
            <w:hideMark/>
          </w:tcPr>
          <w:p w14:paraId="349D07AF" w14:textId="77777777" w:rsidR="00D27A53" w:rsidRPr="00975327" w:rsidRDefault="00D27A53" w:rsidP="00975327">
            <w:pPr>
              <w:jc w:val="center"/>
              <w:rPr>
                <w:sz w:val="20"/>
              </w:rPr>
            </w:pPr>
            <w:r w:rsidRPr="00975327">
              <w:rPr>
                <w:sz w:val="20"/>
                <w:lang w:bidi="da-DK"/>
              </w:rPr>
              <w:t>OAC</w:t>
            </w:r>
          </w:p>
        </w:tc>
      </w:tr>
      <w:tr w:rsidR="00975327" w:rsidRPr="00975327" w14:paraId="47525787" w14:textId="77777777" w:rsidTr="00975327">
        <w:trPr>
          <w:trHeight w:val="350"/>
        </w:trPr>
        <w:tc>
          <w:tcPr>
            <w:tcW w:w="1056" w:type="pct"/>
            <w:tcBorders>
              <w:top w:val="single" w:sz="4" w:space="0" w:color="000000"/>
              <w:left w:val="single" w:sz="4" w:space="0" w:color="000000"/>
              <w:bottom w:val="single" w:sz="4" w:space="0" w:color="000000"/>
              <w:right w:val="single" w:sz="4" w:space="0" w:color="000000"/>
            </w:tcBorders>
            <w:hideMark/>
          </w:tcPr>
          <w:p w14:paraId="38CD3A41" w14:textId="77777777" w:rsidR="00D27A53" w:rsidRPr="00975327" w:rsidRDefault="00D27A53" w:rsidP="00695AC0">
            <w:pPr>
              <w:rPr>
                <w:sz w:val="20"/>
              </w:rPr>
            </w:pPr>
            <w:r w:rsidRPr="00975327">
              <w:rPr>
                <w:sz w:val="20"/>
                <w:lang w:bidi="da-DK"/>
              </w:rPr>
              <w:t>Behandlingens varighed</w:t>
            </w:r>
          </w:p>
        </w:tc>
        <w:tc>
          <w:tcPr>
            <w:tcW w:w="494" w:type="pct"/>
            <w:tcBorders>
              <w:top w:val="single" w:sz="4" w:space="0" w:color="000000"/>
              <w:left w:val="single" w:sz="4" w:space="0" w:color="000000"/>
              <w:bottom w:val="single" w:sz="4" w:space="0" w:color="000000"/>
              <w:right w:val="single" w:sz="4" w:space="0" w:color="000000"/>
            </w:tcBorders>
            <w:hideMark/>
          </w:tcPr>
          <w:p w14:paraId="34409B38" w14:textId="77777777" w:rsidR="00D27A53" w:rsidRPr="00975327" w:rsidRDefault="00D27A53" w:rsidP="00975327">
            <w:pPr>
              <w:jc w:val="center"/>
              <w:rPr>
                <w:sz w:val="20"/>
              </w:rPr>
            </w:pPr>
            <w:r w:rsidRPr="00975327">
              <w:rPr>
                <w:sz w:val="20"/>
                <w:lang w:bidi="da-DK"/>
              </w:rPr>
              <w:t>10 dage</w:t>
            </w:r>
          </w:p>
        </w:tc>
        <w:tc>
          <w:tcPr>
            <w:tcW w:w="492" w:type="pct"/>
            <w:tcBorders>
              <w:top w:val="single" w:sz="4" w:space="0" w:color="000000"/>
              <w:left w:val="single" w:sz="4" w:space="0" w:color="000000"/>
              <w:bottom w:val="single" w:sz="4" w:space="0" w:color="000000"/>
              <w:right w:val="single" w:sz="4" w:space="0" w:color="000000"/>
            </w:tcBorders>
            <w:hideMark/>
          </w:tcPr>
          <w:p w14:paraId="2D8F7163" w14:textId="77777777" w:rsidR="00D27A53" w:rsidRPr="00975327" w:rsidRDefault="00D27A53" w:rsidP="00975327">
            <w:pPr>
              <w:jc w:val="center"/>
              <w:rPr>
                <w:sz w:val="20"/>
              </w:rPr>
            </w:pPr>
            <w:r w:rsidRPr="00975327">
              <w:rPr>
                <w:sz w:val="20"/>
                <w:lang w:bidi="da-DK"/>
              </w:rPr>
              <w:t>7 dage</w:t>
            </w:r>
          </w:p>
        </w:tc>
        <w:tc>
          <w:tcPr>
            <w:tcW w:w="494" w:type="pct"/>
            <w:tcBorders>
              <w:top w:val="single" w:sz="4" w:space="0" w:color="000000"/>
              <w:left w:val="single" w:sz="4" w:space="0" w:color="000000"/>
              <w:bottom w:val="single" w:sz="4" w:space="0" w:color="000000"/>
              <w:right w:val="single" w:sz="4" w:space="0" w:color="000000"/>
            </w:tcBorders>
            <w:hideMark/>
          </w:tcPr>
          <w:p w14:paraId="72FDA5B9" w14:textId="77777777" w:rsidR="00D27A53" w:rsidRPr="00975327" w:rsidRDefault="00D27A53" w:rsidP="00975327">
            <w:pPr>
              <w:jc w:val="center"/>
              <w:rPr>
                <w:sz w:val="20"/>
              </w:rPr>
            </w:pPr>
            <w:r w:rsidRPr="00975327">
              <w:rPr>
                <w:sz w:val="20"/>
                <w:lang w:bidi="da-DK"/>
              </w:rPr>
              <w:t>10 dage</w:t>
            </w:r>
          </w:p>
        </w:tc>
        <w:tc>
          <w:tcPr>
            <w:tcW w:w="494" w:type="pct"/>
            <w:tcBorders>
              <w:top w:val="single" w:sz="4" w:space="0" w:color="000000"/>
              <w:left w:val="single" w:sz="4" w:space="0" w:color="000000"/>
              <w:bottom w:val="single" w:sz="4" w:space="0" w:color="000000"/>
              <w:right w:val="single" w:sz="4" w:space="0" w:color="000000"/>
            </w:tcBorders>
            <w:hideMark/>
          </w:tcPr>
          <w:p w14:paraId="07CBA458" w14:textId="77777777" w:rsidR="00D27A53" w:rsidRPr="00975327" w:rsidRDefault="00D27A53" w:rsidP="00975327">
            <w:pPr>
              <w:jc w:val="center"/>
              <w:rPr>
                <w:sz w:val="20"/>
              </w:rPr>
            </w:pPr>
            <w:r w:rsidRPr="00975327">
              <w:rPr>
                <w:sz w:val="20"/>
                <w:lang w:bidi="da-DK"/>
              </w:rPr>
              <w:t>10 dage</w:t>
            </w:r>
          </w:p>
        </w:tc>
        <w:tc>
          <w:tcPr>
            <w:tcW w:w="494" w:type="pct"/>
            <w:tcBorders>
              <w:top w:val="single" w:sz="4" w:space="0" w:color="000000"/>
              <w:left w:val="single" w:sz="4" w:space="0" w:color="000000"/>
              <w:bottom w:val="single" w:sz="4" w:space="0" w:color="000000"/>
              <w:right w:val="single" w:sz="4" w:space="0" w:color="000000"/>
            </w:tcBorders>
            <w:hideMark/>
          </w:tcPr>
          <w:p w14:paraId="2A6C7A71" w14:textId="77777777" w:rsidR="00D27A53" w:rsidRPr="00975327" w:rsidRDefault="00D27A53" w:rsidP="00975327">
            <w:pPr>
              <w:jc w:val="center"/>
              <w:rPr>
                <w:sz w:val="20"/>
              </w:rPr>
            </w:pPr>
            <w:r w:rsidRPr="00975327">
              <w:rPr>
                <w:sz w:val="20"/>
                <w:lang w:bidi="da-DK"/>
              </w:rPr>
              <w:t>10 dage</w:t>
            </w:r>
          </w:p>
        </w:tc>
        <w:tc>
          <w:tcPr>
            <w:tcW w:w="494" w:type="pct"/>
            <w:tcBorders>
              <w:top w:val="single" w:sz="4" w:space="0" w:color="000000"/>
              <w:left w:val="single" w:sz="4" w:space="0" w:color="000000"/>
              <w:bottom w:val="single" w:sz="4" w:space="0" w:color="000000"/>
              <w:right w:val="single" w:sz="4" w:space="0" w:color="000000"/>
            </w:tcBorders>
            <w:hideMark/>
          </w:tcPr>
          <w:p w14:paraId="1EA21CEA" w14:textId="77777777" w:rsidR="00D27A53" w:rsidRPr="00975327" w:rsidRDefault="00D27A53" w:rsidP="00975327">
            <w:pPr>
              <w:jc w:val="center"/>
              <w:rPr>
                <w:sz w:val="20"/>
              </w:rPr>
            </w:pPr>
            <w:r w:rsidRPr="00975327">
              <w:rPr>
                <w:sz w:val="20"/>
                <w:lang w:bidi="da-DK"/>
              </w:rPr>
              <w:t>7 dage</w:t>
            </w:r>
          </w:p>
        </w:tc>
        <w:tc>
          <w:tcPr>
            <w:tcW w:w="494" w:type="pct"/>
            <w:tcBorders>
              <w:top w:val="single" w:sz="4" w:space="0" w:color="000000"/>
              <w:left w:val="single" w:sz="4" w:space="0" w:color="000000"/>
              <w:bottom w:val="single" w:sz="4" w:space="0" w:color="000000"/>
              <w:right w:val="single" w:sz="4" w:space="0" w:color="000000"/>
            </w:tcBorders>
            <w:hideMark/>
          </w:tcPr>
          <w:p w14:paraId="4C3C0B02" w14:textId="77777777" w:rsidR="00D27A53" w:rsidRPr="00975327" w:rsidRDefault="00D27A53" w:rsidP="00975327">
            <w:pPr>
              <w:jc w:val="center"/>
              <w:rPr>
                <w:sz w:val="20"/>
              </w:rPr>
            </w:pPr>
            <w:r w:rsidRPr="00975327">
              <w:rPr>
                <w:sz w:val="20"/>
                <w:lang w:bidi="da-DK"/>
              </w:rPr>
              <w:t>10 dage</w:t>
            </w:r>
          </w:p>
        </w:tc>
        <w:tc>
          <w:tcPr>
            <w:tcW w:w="489" w:type="pct"/>
            <w:tcBorders>
              <w:top w:val="single" w:sz="4" w:space="0" w:color="000000"/>
              <w:left w:val="single" w:sz="4" w:space="0" w:color="000000"/>
              <w:bottom w:val="single" w:sz="4" w:space="0" w:color="000000"/>
              <w:right w:val="single" w:sz="4" w:space="0" w:color="000000"/>
            </w:tcBorders>
            <w:hideMark/>
          </w:tcPr>
          <w:p w14:paraId="367F28F0" w14:textId="77777777" w:rsidR="00D27A53" w:rsidRPr="00975327" w:rsidRDefault="00D27A53" w:rsidP="00975327">
            <w:pPr>
              <w:jc w:val="center"/>
              <w:rPr>
                <w:sz w:val="20"/>
              </w:rPr>
            </w:pPr>
            <w:r w:rsidRPr="00975327">
              <w:rPr>
                <w:sz w:val="20"/>
                <w:lang w:bidi="da-DK"/>
              </w:rPr>
              <w:t>10 dage</w:t>
            </w:r>
          </w:p>
        </w:tc>
      </w:tr>
      <w:tr w:rsidR="00975327" w:rsidRPr="00975327" w14:paraId="07F2C5DF" w14:textId="77777777" w:rsidTr="00975327">
        <w:trPr>
          <w:trHeight w:val="580"/>
        </w:trPr>
        <w:tc>
          <w:tcPr>
            <w:tcW w:w="1056" w:type="pct"/>
            <w:tcBorders>
              <w:top w:val="single" w:sz="4" w:space="0" w:color="000000"/>
              <w:left w:val="single" w:sz="4" w:space="0" w:color="000000"/>
              <w:bottom w:val="single" w:sz="4" w:space="0" w:color="000000"/>
              <w:right w:val="single" w:sz="4" w:space="0" w:color="000000"/>
            </w:tcBorders>
            <w:hideMark/>
          </w:tcPr>
          <w:p w14:paraId="3CF4B5CD" w14:textId="77777777" w:rsidR="00D27A53" w:rsidRPr="00975327" w:rsidRDefault="00D27A53" w:rsidP="00695AC0">
            <w:pPr>
              <w:rPr>
                <w:sz w:val="20"/>
              </w:rPr>
            </w:pPr>
            <w:r w:rsidRPr="00975327">
              <w:rPr>
                <w:sz w:val="20"/>
                <w:lang w:bidi="da-DK"/>
              </w:rPr>
              <w:t xml:space="preserve">Antal </w:t>
            </w:r>
            <w:proofErr w:type="spellStart"/>
            <w:r w:rsidRPr="00975327">
              <w:rPr>
                <w:sz w:val="20"/>
                <w:lang w:bidi="da-DK"/>
              </w:rPr>
              <w:t>evaluerbare</w:t>
            </w:r>
            <w:proofErr w:type="spellEnd"/>
            <w:r w:rsidRPr="00975327">
              <w:rPr>
                <w:sz w:val="20"/>
                <w:lang w:bidi="da-DK"/>
              </w:rPr>
              <w:t xml:space="preserve"> for ITT/MITT/PP</w:t>
            </w:r>
          </w:p>
        </w:tc>
        <w:tc>
          <w:tcPr>
            <w:tcW w:w="494" w:type="pct"/>
            <w:tcBorders>
              <w:top w:val="single" w:sz="4" w:space="0" w:color="000000"/>
              <w:left w:val="single" w:sz="4" w:space="0" w:color="000000"/>
              <w:bottom w:val="single" w:sz="4" w:space="0" w:color="000000"/>
              <w:right w:val="single" w:sz="4" w:space="0" w:color="000000"/>
            </w:tcBorders>
            <w:hideMark/>
          </w:tcPr>
          <w:p w14:paraId="12EF588F" w14:textId="77777777" w:rsidR="00D27A53" w:rsidRPr="00975327" w:rsidRDefault="00D27A53" w:rsidP="00975327">
            <w:pPr>
              <w:jc w:val="center"/>
              <w:rPr>
                <w:sz w:val="20"/>
              </w:rPr>
            </w:pPr>
            <w:r w:rsidRPr="00975327">
              <w:rPr>
                <w:sz w:val="20"/>
                <w:lang w:bidi="da-DK"/>
              </w:rPr>
              <w:t>218</w:t>
            </w:r>
          </w:p>
        </w:tc>
        <w:tc>
          <w:tcPr>
            <w:tcW w:w="492" w:type="pct"/>
            <w:tcBorders>
              <w:top w:val="single" w:sz="4" w:space="0" w:color="000000"/>
              <w:left w:val="single" w:sz="4" w:space="0" w:color="000000"/>
              <w:bottom w:val="single" w:sz="4" w:space="0" w:color="000000"/>
              <w:right w:val="single" w:sz="4" w:space="0" w:color="000000"/>
            </w:tcBorders>
            <w:hideMark/>
          </w:tcPr>
          <w:p w14:paraId="03252CB0" w14:textId="77777777" w:rsidR="00D27A53" w:rsidRPr="00975327" w:rsidRDefault="00D27A53" w:rsidP="00975327">
            <w:pPr>
              <w:jc w:val="center"/>
              <w:rPr>
                <w:sz w:val="20"/>
              </w:rPr>
            </w:pPr>
            <w:r w:rsidRPr="00975327">
              <w:rPr>
                <w:sz w:val="20"/>
                <w:lang w:bidi="da-DK"/>
              </w:rPr>
              <w:t>222</w:t>
            </w:r>
          </w:p>
        </w:tc>
        <w:tc>
          <w:tcPr>
            <w:tcW w:w="494" w:type="pct"/>
            <w:tcBorders>
              <w:top w:val="single" w:sz="4" w:space="0" w:color="000000"/>
              <w:left w:val="single" w:sz="4" w:space="0" w:color="000000"/>
              <w:bottom w:val="single" w:sz="4" w:space="0" w:color="000000"/>
              <w:right w:val="single" w:sz="4" w:space="0" w:color="000000"/>
            </w:tcBorders>
            <w:hideMark/>
          </w:tcPr>
          <w:p w14:paraId="442FFB08" w14:textId="77777777" w:rsidR="00D27A53" w:rsidRPr="00975327" w:rsidRDefault="00D27A53" w:rsidP="00975327">
            <w:pPr>
              <w:jc w:val="center"/>
              <w:rPr>
                <w:sz w:val="20"/>
              </w:rPr>
            </w:pPr>
            <w:r w:rsidRPr="00975327">
              <w:rPr>
                <w:sz w:val="20"/>
                <w:lang w:bidi="da-DK"/>
              </w:rPr>
              <w:t>138</w:t>
            </w:r>
          </w:p>
        </w:tc>
        <w:tc>
          <w:tcPr>
            <w:tcW w:w="494" w:type="pct"/>
            <w:tcBorders>
              <w:top w:val="single" w:sz="4" w:space="0" w:color="000000"/>
              <w:left w:val="single" w:sz="4" w:space="0" w:color="000000"/>
              <w:bottom w:val="single" w:sz="4" w:space="0" w:color="000000"/>
              <w:right w:val="single" w:sz="4" w:space="0" w:color="000000"/>
            </w:tcBorders>
            <w:hideMark/>
          </w:tcPr>
          <w:p w14:paraId="7FBE4A5B" w14:textId="77777777" w:rsidR="00D27A53" w:rsidRPr="00975327" w:rsidRDefault="00D27A53" w:rsidP="00975327">
            <w:pPr>
              <w:jc w:val="center"/>
              <w:rPr>
                <w:sz w:val="20"/>
              </w:rPr>
            </w:pPr>
            <w:r w:rsidRPr="00975327">
              <w:rPr>
                <w:sz w:val="20"/>
                <w:lang w:bidi="da-DK"/>
              </w:rPr>
              <w:t>137</w:t>
            </w:r>
          </w:p>
        </w:tc>
        <w:tc>
          <w:tcPr>
            <w:tcW w:w="494" w:type="pct"/>
            <w:tcBorders>
              <w:top w:val="single" w:sz="4" w:space="0" w:color="000000"/>
              <w:left w:val="single" w:sz="4" w:space="0" w:color="000000"/>
              <w:bottom w:val="single" w:sz="4" w:space="0" w:color="000000"/>
              <w:right w:val="single" w:sz="4" w:space="0" w:color="000000"/>
            </w:tcBorders>
            <w:hideMark/>
          </w:tcPr>
          <w:p w14:paraId="42377DD8" w14:textId="77777777" w:rsidR="00D27A53" w:rsidRPr="00975327" w:rsidRDefault="00D27A53" w:rsidP="00975327">
            <w:pPr>
              <w:jc w:val="center"/>
              <w:rPr>
                <w:sz w:val="20"/>
              </w:rPr>
            </w:pPr>
            <w:r w:rsidRPr="00975327">
              <w:rPr>
                <w:sz w:val="20"/>
                <w:lang w:bidi="da-DK"/>
              </w:rPr>
              <w:t>178</w:t>
            </w:r>
          </w:p>
        </w:tc>
        <w:tc>
          <w:tcPr>
            <w:tcW w:w="494" w:type="pct"/>
            <w:tcBorders>
              <w:top w:val="single" w:sz="4" w:space="0" w:color="000000"/>
              <w:left w:val="single" w:sz="4" w:space="0" w:color="000000"/>
              <w:bottom w:val="single" w:sz="4" w:space="0" w:color="000000"/>
              <w:right w:val="single" w:sz="4" w:space="0" w:color="000000"/>
            </w:tcBorders>
            <w:hideMark/>
          </w:tcPr>
          <w:p w14:paraId="65E399D0" w14:textId="77777777" w:rsidR="00D27A53" w:rsidRPr="00975327" w:rsidRDefault="00D27A53" w:rsidP="00975327">
            <w:pPr>
              <w:jc w:val="center"/>
              <w:rPr>
                <w:sz w:val="20"/>
              </w:rPr>
            </w:pPr>
            <w:r w:rsidRPr="00975327">
              <w:rPr>
                <w:sz w:val="20"/>
                <w:lang w:bidi="da-DK"/>
              </w:rPr>
              <w:t>161</w:t>
            </w:r>
          </w:p>
        </w:tc>
        <w:tc>
          <w:tcPr>
            <w:tcW w:w="494" w:type="pct"/>
            <w:tcBorders>
              <w:top w:val="single" w:sz="4" w:space="0" w:color="000000"/>
              <w:left w:val="single" w:sz="4" w:space="0" w:color="000000"/>
              <w:bottom w:val="single" w:sz="4" w:space="0" w:color="000000"/>
              <w:right w:val="single" w:sz="4" w:space="0" w:color="000000"/>
            </w:tcBorders>
            <w:hideMark/>
          </w:tcPr>
          <w:p w14:paraId="6790B24D" w14:textId="77777777" w:rsidR="00D27A53" w:rsidRPr="00975327" w:rsidRDefault="00D27A53" w:rsidP="00975327">
            <w:pPr>
              <w:jc w:val="center"/>
              <w:rPr>
                <w:sz w:val="20"/>
              </w:rPr>
            </w:pPr>
            <w:r w:rsidRPr="00975327">
              <w:rPr>
                <w:sz w:val="20"/>
                <w:lang w:bidi="da-DK"/>
              </w:rPr>
              <w:t>120</w:t>
            </w:r>
          </w:p>
        </w:tc>
        <w:tc>
          <w:tcPr>
            <w:tcW w:w="489" w:type="pct"/>
            <w:tcBorders>
              <w:top w:val="single" w:sz="4" w:space="0" w:color="000000"/>
              <w:left w:val="single" w:sz="4" w:space="0" w:color="000000"/>
              <w:bottom w:val="single" w:sz="4" w:space="0" w:color="000000"/>
              <w:right w:val="single" w:sz="4" w:space="0" w:color="000000"/>
            </w:tcBorders>
            <w:hideMark/>
          </w:tcPr>
          <w:p w14:paraId="351529D6" w14:textId="77777777" w:rsidR="00D27A53" w:rsidRPr="00975327" w:rsidRDefault="00D27A53" w:rsidP="00975327">
            <w:pPr>
              <w:jc w:val="center"/>
              <w:rPr>
                <w:sz w:val="20"/>
              </w:rPr>
            </w:pPr>
            <w:r w:rsidRPr="00975327">
              <w:rPr>
                <w:sz w:val="20"/>
                <w:lang w:bidi="da-DK"/>
              </w:rPr>
              <w:t>124</w:t>
            </w:r>
          </w:p>
        </w:tc>
      </w:tr>
      <w:tr w:rsidR="00975327" w:rsidRPr="00975327" w14:paraId="71A6D5CC" w14:textId="77777777" w:rsidTr="00975327">
        <w:trPr>
          <w:trHeight w:val="779"/>
        </w:trPr>
        <w:tc>
          <w:tcPr>
            <w:tcW w:w="1056" w:type="pct"/>
            <w:tcBorders>
              <w:top w:val="single" w:sz="4" w:space="0" w:color="000000"/>
              <w:left w:val="single" w:sz="4" w:space="0" w:color="000000"/>
              <w:bottom w:val="single" w:sz="4" w:space="0" w:color="000000"/>
              <w:right w:val="single" w:sz="4" w:space="0" w:color="000000"/>
            </w:tcBorders>
            <w:hideMark/>
          </w:tcPr>
          <w:p w14:paraId="079DA84C" w14:textId="77777777" w:rsidR="00D27A53" w:rsidRPr="00975327" w:rsidRDefault="00D27A53" w:rsidP="00695AC0">
            <w:pPr>
              <w:rPr>
                <w:sz w:val="20"/>
              </w:rPr>
            </w:pPr>
            <w:r w:rsidRPr="00975327">
              <w:rPr>
                <w:sz w:val="20"/>
                <w:lang w:bidi="da-DK"/>
              </w:rPr>
              <w:t>Elimineret, n (%)</w:t>
            </w:r>
          </w:p>
        </w:tc>
        <w:tc>
          <w:tcPr>
            <w:tcW w:w="494" w:type="pct"/>
            <w:tcBorders>
              <w:top w:val="single" w:sz="4" w:space="0" w:color="000000"/>
              <w:left w:val="single" w:sz="4" w:space="0" w:color="000000"/>
              <w:bottom w:val="single" w:sz="4" w:space="0" w:color="000000"/>
              <w:right w:val="single" w:sz="4" w:space="0" w:color="000000"/>
            </w:tcBorders>
            <w:hideMark/>
          </w:tcPr>
          <w:p w14:paraId="464E2C7F" w14:textId="77777777" w:rsidR="00D27A53" w:rsidRPr="00975327" w:rsidRDefault="00D27A53" w:rsidP="00975327">
            <w:pPr>
              <w:jc w:val="center"/>
              <w:rPr>
                <w:sz w:val="20"/>
              </w:rPr>
            </w:pPr>
            <w:r w:rsidRPr="00975327">
              <w:rPr>
                <w:sz w:val="20"/>
                <w:lang w:bidi="da-DK"/>
              </w:rPr>
              <w:t>174 (79,8%</w:t>
            </w:r>
            <w:r w:rsidRPr="00975327">
              <w:rPr>
                <w:sz w:val="20"/>
                <w:vertAlign w:val="superscript"/>
                <w:lang w:bidi="da-DK"/>
              </w:rPr>
              <w:t>a</w:t>
            </w:r>
          </w:p>
          <w:p w14:paraId="400DE984" w14:textId="77777777" w:rsidR="00D27A53" w:rsidRPr="00975327" w:rsidRDefault="00D27A53" w:rsidP="00975327">
            <w:pPr>
              <w:jc w:val="center"/>
              <w:rPr>
                <w:sz w:val="20"/>
              </w:rPr>
            </w:pPr>
            <w:r w:rsidRPr="00975327">
              <w:rPr>
                <w:sz w:val="20"/>
                <w:lang w:bidi="da-DK"/>
              </w:rPr>
              <w:t>92,6</w:t>
            </w:r>
            <w:r w:rsidRPr="00975327">
              <w:rPr>
                <w:sz w:val="20"/>
                <w:vertAlign w:val="superscript"/>
                <w:lang w:bidi="da-DK"/>
              </w:rPr>
              <w:t>b</w:t>
            </w:r>
            <w:r w:rsidRPr="00975327">
              <w:rPr>
                <w:sz w:val="20"/>
                <w:lang w:bidi="da-DK"/>
              </w:rPr>
              <w:t>)</w:t>
            </w:r>
          </w:p>
        </w:tc>
        <w:tc>
          <w:tcPr>
            <w:tcW w:w="492" w:type="pct"/>
            <w:tcBorders>
              <w:top w:val="single" w:sz="4" w:space="0" w:color="000000"/>
              <w:left w:val="single" w:sz="4" w:space="0" w:color="000000"/>
              <w:bottom w:val="single" w:sz="4" w:space="0" w:color="000000"/>
              <w:right w:val="single" w:sz="4" w:space="0" w:color="000000"/>
            </w:tcBorders>
            <w:hideMark/>
          </w:tcPr>
          <w:p w14:paraId="70C43D93" w14:textId="77777777" w:rsidR="00D27A53" w:rsidRPr="00975327" w:rsidRDefault="00D27A53" w:rsidP="00975327">
            <w:pPr>
              <w:jc w:val="center"/>
              <w:rPr>
                <w:sz w:val="20"/>
              </w:rPr>
            </w:pPr>
            <w:r w:rsidRPr="00975327">
              <w:rPr>
                <w:sz w:val="20"/>
                <w:lang w:bidi="da-DK"/>
              </w:rPr>
              <w:t>123 (55,4%</w:t>
            </w:r>
            <w:r w:rsidRPr="00975327">
              <w:rPr>
                <w:sz w:val="20"/>
                <w:vertAlign w:val="superscript"/>
                <w:lang w:bidi="da-DK"/>
              </w:rPr>
              <w:t>a</w:t>
            </w:r>
          </w:p>
          <w:p w14:paraId="337B1B53" w14:textId="77777777" w:rsidR="00D27A53" w:rsidRPr="00975327" w:rsidRDefault="00D27A53" w:rsidP="00975327">
            <w:pPr>
              <w:jc w:val="center"/>
              <w:rPr>
                <w:sz w:val="20"/>
              </w:rPr>
            </w:pPr>
            <w:r w:rsidRPr="00975327">
              <w:rPr>
                <w:sz w:val="20"/>
                <w:lang w:bidi="da-DK"/>
              </w:rPr>
              <w:t>67,6%</w:t>
            </w:r>
            <w:r w:rsidRPr="00975327">
              <w:rPr>
                <w:sz w:val="20"/>
                <w:vertAlign w:val="superscript"/>
                <w:lang w:bidi="da-DK"/>
              </w:rPr>
              <w:t>b</w:t>
            </w:r>
            <w:r w:rsidRPr="00975327">
              <w:rPr>
                <w:sz w:val="20"/>
                <w:lang w:bidi="da-DK"/>
              </w:rPr>
              <w:t>)</w:t>
            </w:r>
          </w:p>
        </w:tc>
        <w:tc>
          <w:tcPr>
            <w:tcW w:w="494" w:type="pct"/>
            <w:tcBorders>
              <w:top w:val="single" w:sz="4" w:space="0" w:color="000000"/>
              <w:left w:val="single" w:sz="4" w:space="0" w:color="000000"/>
              <w:bottom w:val="single" w:sz="4" w:space="0" w:color="000000"/>
              <w:right w:val="single" w:sz="4" w:space="0" w:color="000000"/>
            </w:tcBorders>
            <w:hideMark/>
          </w:tcPr>
          <w:p w14:paraId="14D420C9" w14:textId="77777777" w:rsidR="00D27A53" w:rsidRPr="00975327" w:rsidRDefault="00D27A53" w:rsidP="00975327">
            <w:pPr>
              <w:jc w:val="center"/>
              <w:rPr>
                <w:sz w:val="20"/>
              </w:rPr>
            </w:pPr>
            <w:r w:rsidRPr="00975327">
              <w:rPr>
                <w:sz w:val="20"/>
                <w:lang w:bidi="da-DK"/>
              </w:rPr>
              <w:t>121</w:t>
            </w:r>
          </w:p>
          <w:p w14:paraId="28FA8C7F" w14:textId="77777777" w:rsidR="00D27A53" w:rsidRPr="00975327" w:rsidRDefault="00D27A53" w:rsidP="00975327">
            <w:pPr>
              <w:jc w:val="center"/>
              <w:rPr>
                <w:sz w:val="20"/>
              </w:rPr>
            </w:pPr>
            <w:r w:rsidRPr="00975327">
              <w:rPr>
                <w:sz w:val="20"/>
                <w:lang w:bidi="da-DK"/>
              </w:rPr>
              <w:t>(87,7%)</w:t>
            </w:r>
          </w:p>
        </w:tc>
        <w:tc>
          <w:tcPr>
            <w:tcW w:w="494" w:type="pct"/>
            <w:tcBorders>
              <w:top w:val="single" w:sz="4" w:space="0" w:color="000000"/>
              <w:left w:val="single" w:sz="4" w:space="0" w:color="000000"/>
              <w:bottom w:val="single" w:sz="4" w:space="0" w:color="000000"/>
              <w:right w:val="single" w:sz="4" w:space="0" w:color="000000"/>
            </w:tcBorders>
            <w:hideMark/>
          </w:tcPr>
          <w:p w14:paraId="2EECB6EF" w14:textId="77777777" w:rsidR="00D27A53" w:rsidRPr="00975327" w:rsidRDefault="00D27A53" w:rsidP="00975327">
            <w:pPr>
              <w:jc w:val="center"/>
              <w:rPr>
                <w:sz w:val="20"/>
              </w:rPr>
            </w:pPr>
            <w:r w:rsidRPr="00975327">
              <w:rPr>
                <w:sz w:val="20"/>
                <w:lang w:bidi="da-DK"/>
              </w:rPr>
              <w:t>114</w:t>
            </w:r>
          </w:p>
          <w:p w14:paraId="4A32BDA6" w14:textId="77777777" w:rsidR="00D27A53" w:rsidRPr="00975327" w:rsidRDefault="00D27A53" w:rsidP="00975327">
            <w:pPr>
              <w:jc w:val="center"/>
              <w:rPr>
                <w:sz w:val="20"/>
              </w:rPr>
            </w:pPr>
            <w:r w:rsidRPr="00975327">
              <w:rPr>
                <w:sz w:val="20"/>
                <w:lang w:bidi="da-DK"/>
              </w:rPr>
              <w:t>(83,2%)</w:t>
            </w:r>
          </w:p>
        </w:tc>
        <w:tc>
          <w:tcPr>
            <w:tcW w:w="494" w:type="pct"/>
            <w:tcBorders>
              <w:top w:val="single" w:sz="4" w:space="0" w:color="000000"/>
              <w:left w:val="single" w:sz="4" w:space="0" w:color="000000"/>
              <w:bottom w:val="single" w:sz="4" w:space="0" w:color="000000"/>
              <w:right w:val="single" w:sz="4" w:space="0" w:color="000000"/>
            </w:tcBorders>
            <w:hideMark/>
          </w:tcPr>
          <w:p w14:paraId="17A26671" w14:textId="77777777" w:rsidR="00D27A53" w:rsidRPr="00975327" w:rsidRDefault="00D27A53" w:rsidP="00975327">
            <w:pPr>
              <w:jc w:val="center"/>
              <w:rPr>
                <w:sz w:val="20"/>
              </w:rPr>
            </w:pPr>
            <w:r w:rsidRPr="00975327">
              <w:rPr>
                <w:sz w:val="20"/>
                <w:lang w:bidi="da-DK"/>
              </w:rPr>
              <w:t>166</w:t>
            </w:r>
          </w:p>
          <w:p w14:paraId="4C40CE6C" w14:textId="77777777" w:rsidR="00D27A53" w:rsidRPr="00975327" w:rsidRDefault="00D27A53" w:rsidP="00975327">
            <w:pPr>
              <w:jc w:val="center"/>
              <w:rPr>
                <w:sz w:val="20"/>
              </w:rPr>
            </w:pPr>
            <w:r w:rsidRPr="00975327">
              <w:rPr>
                <w:sz w:val="20"/>
                <w:lang w:bidi="da-DK"/>
              </w:rPr>
              <w:t>(93,3%)</w:t>
            </w:r>
          </w:p>
        </w:tc>
        <w:tc>
          <w:tcPr>
            <w:tcW w:w="494" w:type="pct"/>
            <w:tcBorders>
              <w:top w:val="single" w:sz="4" w:space="0" w:color="000000"/>
              <w:left w:val="single" w:sz="4" w:space="0" w:color="000000"/>
              <w:bottom w:val="single" w:sz="4" w:space="0" w:color="000000"/>
              <w:right w:val="single" w:sz="4" w:space="0" w:color="000000"/>
            </w:tcBorders>
            <w:hideMark/>
          </w:tcPr>
          <w:p w14:paraId="6D3BE91D" w14:textId="77777777" w:rsidR="00D27A53" w:rsidRPr="00975327" w:rsidRDefault="00D27A53" w:rsidP="00975327">
            <w:pPr>
              <w:jc w:val="center"/>
              <w:rPr>
                <w:sz w:val="20"/>
              </w:rPr>
            </w:pPr>
            <w:r w:rsidRPr="00975327">
              <w:rPr>
                <w:sz w:val="20"/>
                <w:lang w:bidi="da-DK"/>
              </w:rPr>
              <w:t>112</w:t>
            </w:r>
          </w:p>
          <w:p w14:paraId="2E6ADC3F" w14:textId="77777777" w:rsidR="00D27A53" w:rsidRPr="00975327" w:rsidRDefault="00D27A53" w:rsidP="00975327">
            <w:pPr>
              <w:jc w:val="center"/>
              <w:rPr>
                <w:sz w:val="20"/>
              </w:rPr>
            </w:pPr>
            <w:r w:rsidRPr="00975327">
              <w:rPr>
                <w:sz w:val="20"/>
                <w:lang w:bidi="da-DK"/>
              </w:rPr>
              <w:t>(69,6%)</w:t>
            </w:r>
          </w:p>
        </w:tc>
        <w:tc>
          <w:tcPr>
            <w:tcW w:w="494" w:type="pct"/>
            <w:tcBorders>
              <w:top w:val="single" w:sz="4" w:space="0" w:color="000000"/>
              <w:left w:val="single" w:sz="4" w:space="0" w:color="000000"/>
              <w:bottom w:val="single" w:sz="4" w:space="0" w:color="000000"/>
              <w:right w:val="single" w:sz="4" w:space="0" w:color="000000"/>
            </w:tcBorders>
            <w:hideMark/>
          </w:tcPr>
          <w:p w14:paraId="54902724" w14:textId="77777777" w:rsidR="00D27A53" w:rsidRPr="00975327" w:rsidRDefault="00D27A53" w:rsidP="00975327">
            <w:pPr>
              <w:jc w:val="center"/>
              <w:rPr>
                <w:sz w:val="20"/>
              </w:rPr>
            </w:pPr>
            <w:r w:rsidRPr="00975327">
              <w:rPr>
                <w:sz w:val="20"/>
                <w:lang w:bidi="da-DK"/>
              </w:rPr>
              <w:t>111</w:t>
            </w:r>
          </w:p>
          <w:p w14:paraId="393A6A25" w14:textId="77777777" w:rsidR="00D27A53" w:rsidRPr="00975327" w:rsidRDefault="00D27A53" w:rsidP="00975327">
            <w:pPr>
              <w:jc w:val="center"/>
              <w:rPr>
                <w:sz w:val="20"/>
              </w:rPr>
            </w:pPr>
            <w:r w:rsidRPr="00975327">
              <w:rPr>
                <w:sz w:val="20"/>
                <w:lang w:bidi="da-DK"/>
              </w:rPr>
              <w:t>(92,5%)</w:t>
            </w:r>
          </w:p>
        </w:tc>
        <w:tc>
          <w:tcPr>
            <w:tcW w:w="489" w:type="pct"/>
            <w:tcBorders>
              <w:top w:val="single" w:sz="4" w:space="0" w:color="000000"/>
              <w:left w:val="single" w:sz="4" w:space="0" w:color="000000"/>
              <w:bottom w:val="single" w:sz="4" w:space="0" w:color="000000"/>
              <w:right w:val="single" w:sz="4" w:space="0" w:color="000000"/>
            </w:tcBorders>
            <w:hideMark/>
          </w:tcPr>
          <w:p w14:paraId="1106CDA8" w14:textId="77777777" w:rsidR="00D27A53" w:rsidRPr="00975327" w:rsidRDefault="00D27A53" w:rsidP="00975327">
            <w:pPr>
              <w:jc w:val="center"/>
              <w:rPr>
                <w:sz w:val="20"/>
              </w:rPr>
            </w:pPr>
            <w:r w:rsidRPr="00975327">
              <w:rPr>
                <w:sz w:val="20"/>
                <w:lang w:bidi="da-DK"/>
              </w:rPr>
              <w:t>108</w:t>
            </w:r>
          </w:p>
          <w:p w14:paraId="4D0C730F" w14:textId="77777777" w:rsidR="00D27A53" w:rsidRPr="00975327" w:rsidRDefault="00D27A53" w:rsidP="00975327">
            <w:pPr>
              <w:jc w:val="center"/>
              <w:rPr>
                <w:sz w:val="20"/>
              </w:rPr>
            </w:pPr>
            <w:r w:rsidRPr="00975327">
              <w:rPr>
                <w:sz w:val="20"/>
                <w:lang w:bidi="da-DK"/>
              </w:rPr>
              <w:t>(87,1%)</w:t>
            </w:r>
          </w:p>
        </w:tc>
      </w:tr>
      <w:tr w:rsidR="00975327" w:rsidRPr="00975327" w14:paraId="7BF6E8D4" w14:textId="77777777" w:rsidTr="00975327">
        <w:trPr>
          <w:trHeight w:val="808"/>
        </w:trPr>
        <w:tc>
          <w:tcPr>
            <w:tcW w:w="1056" w:type="pct"/>
            <w:tcBorders>
              <w:top w:val="single" w:sz="4" w:space="0" w:color="000000"/>
              <w:left w:val="single" w:sz="4" w:space="0" w:color="000000"/>
              <w:bottom w:val="single" w:sz="4" w:space="0" w:color="000000"/>
              <w:right w:val="single" w:sz="4" w:space="0" w:color="000000"/>
            </w:tcBorders>
            <w:hideMark/>
          </w:tcPr>
          <w:p w14:paraId="2864DAA9" w14:textId="77777777" w:rsidR="00D27A53" w:rsidRPr="00975327" w:rsidRDefault="00D27A53" w:rsidP="00695AC0">
            <w:pPr>
              <w:rPr>
                <w:sz w:val="20"/>
              </w:rPr>
            </w:pPr>
            <w:r w:rsidRPr="00975327">
              <w:rPr>
                <w:sz w:val="20"/>
                <w:lang w:bidi="da-DK"/>
              </w:rPr>
              <w:t>Elimineringsrater hos patienter med mavesår</w:t>
            </w:r>
          </w:p>
        </w:tc>
        <w:tc>
          <w:tcPr>
            <w:tcW w:w="494" w:type="pct"/>
            <w:tcBorders>
              <w:top w:val="single" w:sz="4" w:space="0" w:color="000000"/>
              <w:left w:val="single" w:sz="4" w:space="0" w:color="000000"/>
              <w:bottom w:val="single" w:sz="4" w:space="0" w:color="000000"/>
              <w:right w:val="single" w:sz="4" w:space="0" w:color="000000"/>
            </w:tcBorders>
            <w:hideMark/>
          </w:tcPr>
          <w:p w14:paraId="4025606F" w14:textId="77777777" w:rsidR="00D27A53" w:rsidRPr="00975327" w:rsidRDefault="00D27A53" w:rsidP="00975327">
            <w:pPr>
              <w:jc w:val="center"/>
              <w:rPr>
                <w:sz w:val="20"/>
              </w:rPr>
            </w:pPr>
            <w:r w:rsidRPr="00975327">
              <w:rPr>
                <w:sz w:val="20"/>
                <w:lang w:bidi="da-DK"/>
              </w:rPr>
              <w:t>18/20 (90,0%)</w:t>
            </w:r>
          </w:p>
        </w:tc>
        <w:tc>
          <w:tcPr>
            <w:tcW w:w="492" w:type="pct"/>
            <w:tcBorders>
              <w:top w:val="single" w:sz="4" w:space="0" w:color="000000"/>
              <w:left w:val="single" w:sz="4" w:space="0" w:color="000000"/>
              <w:bottom w:val="single" w:sz="4" w:space="0" w:color="000000"/>
              <w:right w:val="single" w:sz="4" w:space="0" w:color="000000"/>
            </w:tcBorders>
            <w:hideMark/>
          </w:tcPr>
          <w:p w14:paraId="74F15066" w14:textId="77777777" w:rsidR="00D27A53" w:rsidRPr="00975327" w:rsidRDefault="00D27A53" w:rsidP="00975327">
            <w:pPr>
              <w:jc w:val="center"/>
              <w:rPr>
                <w:sz w:val="20"/>
              </w:rPr>
            </w:pPr>
            <w:r w:rsidRPr="00975327">
              <w:rPr>
                <w:sz w:val="20"/>
                <w:lang w:bidi="da-DK"/>
              </w:rPr>
              <w:t>18/29 (62,1%)</w:t>
            </w:r>
          </w:p>
        </w:tc>
        <w:tc>
          <w:tcPr>
            <w:tcW w:w="494" w:type="pct"/>
            <w:tcBorders>
              <w:top w:val="single" w:sz="4" w:space="0" w:color="000000"/>
              <w:left w:val="single" w:sz="4" w:space="0" w:color="000000"/>
              <w:bottom w:val="single" w:sz="4" w:space="0" w:color="000000"/>
              <w:right w:val="single" w:sz="4" w:space="0" w:color="000000"/>
            </w:tcBorders>
            <w:hideMark/>
          </w:tcPr>
          <w:p w14:paraId="68A63D3B" w14:textId="77777777" w:rsidR="00D27A53" w:rsidRPr="00975327" w:rsidRDefault="00D27A53" w:rsidP="00975327">
            <w:pPr>
              <w:jc w:val="center"/>
              <w:rPr>
                <w:sz w:val="20"/>
              </w:rPr>
            </w:pPr>
            <w:r w:rsidRPr="00975327">
              <w:rPr>
                <w:sz w:val="20"/>
                <w:lang w:bidi="da-DK"/>
              </w:rPr>
              <w:t>ND</w:t>
            </w:r>
          </w:p>
        </w:tc>
        <w:tc>
          <w:tcPr>
            <w:tcW w:w="494" w:type="pct"/>
            <w:tcBorders>
              <w:top w:val="single" w:sz="4" w:space="0" w:color="000000"/>
              <w:left w:val="single" w:sz="4" w:space="0" w:color="000000"/>
              <w:bottom w:val="single" w:sz="4" w:space="0" w:color="000000"/>
              <w:right w:val="single" w:sz="4" w:space="0" w:color="000000"/>
            </w:tcBorders>
            <w:hideMark/>
          </w:tcPr>
          <w:p w14:paraId="4C87FB17" w14:textId="77777777" w:rsidR="00D27A53" w:rsidRPr="00975327" w:rsidRDefault="00D27A53" w:rsidP="00975327">
            <w:pPr>
              <w:jc w:val="center"/>
              <w:rPr>
                <w:sz w:val="20"/>
              </w:rPr>
            </w:pPr>
            <w:r w:rsidRPr="00975327">
              <w:rPr>
                <w:sz w:val="20"/>
                <w:lang w:bidi="da-DK"/>
              </w:rPr>
              <w:t>ND</w:t>
            </w:r>
          </w:p>
        </w:tc>
        <w:tc>
          <w:tcPr>
            <w:tcW w:w="494" w:type="pct"/>
            <w:tcBorders>
              <w:top w:val="single" w:sz="4" w:space="0" w:color="000000"/>
              <w:left w:val="single" w:sz="4" w:space="0" w:color="000000"/>
              <w:bottom w:val="single" w:sz="4" w:space="0" w:color="000000"/>
              <w:right w:val="single" w:sz="4" w:space="0" w:color="000000"/>
            </w:tcBorders>
            <w:hideMark/>
          </w:tcPr>
          <w:p w14:paraId="17B88876" w14:textId="77777777" w:rsidR="00D27A53" w:rsidRPr="00975327" w:rsidRDefault="00D27A53" w:rsidP="00975327">
            <w:pPr>
              <w:jc w:val="center"/>
              <w:rPr>
                <w:sz w:val="20"/>
              </w:rPr>
            </w:pPr>
            <w:r w:rsidRPr="00975327">
              <w:rPr>
                <w:sz w:val="20"/>
                <w:lang w:bidi="da-DK"/>
              </w:rPr>
              <w:t>18/19 (94,7%)</w:t>
            </w:r>
          </w:p>
        </w:tc>
        <w:tc>
          <w:tcPr>
            <w:tcW w:w="494" w:type="pct"/>
            <w:tcBorders>
              <w:top w:val="single" w:sz="4" w:space="0" w:color="000000"/>
              <w:left w:val="single" w:sz="4" w:space="0" w:color="000000"/>
              <w:bottom w:val="single" w:sz="4" w:space="0" w:color="000000"/>
              <w:right w:val="single" w:sz="4" w:space="0" w:color="000000"/>
            </w:tcBorders>
            <w:hideMark/>
          </w:tcPr>
          <w:p w14:paraId="1D57C7F3" w14:textId="77777777" w:rsidR="00D27A53" w:rsidRPr="00975327" w:rsidRDefault="00D27A53" w:rsidP="00975327">
            <w:pPr>
              <w:jc w:val="center"/>
              <w:rPr>
                <w:sz w:val="20"/>
              </w:rPr>
            </w:pPr>
            <w:r w:rsidRPr="00975327">
              <w:rPr>
                <w:sz w:val="20"/>
                <w:lang w:bidi="da-DK"/>
              </w:rPr>
              <w:t>15/18 (83,3%)</w:t>
            </w:r>
          </w:p>
        </w:tc>
        <w:tc>
          <w:tcPr>
            <w:tcW w:w="494" w:type="pct"/>
            <w:tcBorders>
              <w:top w:val="single" w:sz="4" w:space="0" w:color="000000"/>
              <w:left w:val="single" w:sz="4" w:space="0" w:color="000000"/>
              <w:bottom w:val="single" w:sz="4" w:space="0" w:color="000000"/>
              <w:right w:val="single" w:sz="4" w:space="0" w:color="000000"/>
            </w:tcBorders>
            <w:hideMark/>
          </w:tcPr>
          <w:p w14:paraId="4B9E67C7" w14:textId="77777777" w:rsidR="00D27A53" w:rsidRPr="00975327" w:rsidRDefault="00D27A53" w:rsidP="00975327">
            <w:pPr>
              <w:jc w:val="center"/>
              <w:rPr>
                <w:sz w:val="20"/>
              </w:rPr>
            </w:pPr>
            <w:r w:rsidRPr="00975327">
              <w:rPr>
                <w:sz w:val="20"/>
                <w:lang w:bidi="da-DK"/>
              </w:rPr>
              <w:t>ND</w:t>
            </w:r>
          </w:p>
        </w:tc>
        <w:tc>
          <w:tcPr>
            <w:tcW w:w="489" w:type="pct"/>
            <w:tcBorders>
              <w:top w:val="single" w:sz="4" w:space="0" w:color="000000"/>
              <w:left w:val="single" w:sz="4" w:space="0" w:color="000000"/>
              <w:bottom w:val="single" w:sz="4" w:space="0" w:color="000000"/>
              <w:right w:val="single" w:sz="4" w:space="0" w:color="000000"/>
            </w:tcBorders>
            <w:hideMark/>
          </w:tcPr>
          <w:p w14:paraId="17002778" w14:textId="77777777" w:rsidR="00D27A53" w:rsidRPr="00975327" w:rsidRDefault="00D27A53" w:rsidP="00975327">
            <w:pPr>
              <w:jc w:val="center"/>
              <w:rPr>
                <w:sz w:val="20"/>
              </w:rPr>
            </w:pPr>
            <w:r w:rsidRPr="00975327">
              <w:rPr>
                <w:sz w:val="20"/>
                <w:lang w:bidi="da-DK"/>
              </w:rPr>
              <w:t>ND</w:t>
            </w:r>
          </w:p>
        </w:tc>
      </w:tr>
      <w:tr w:rsidR="00975327" w:rsidRPr="00975327" w14:paraId="24BE866F" w14:textId="77777777" w:rsidTr="00975327">
        <w:trPr>
          <w:trHeight w:val="580"/>
        </w:trPr>
        <w:tc>
          <w:tcPr>
            <w:tcW w:w="1056" w:type="pct"/>
            <w:tcBorders>
              <w:top w:val="single" w:sz="4" w:space="0" w:color="000000"/>
              <w:left w:val="single" w:sz="4" w:space="0" w:color="000000"/>
              <w:bottom w:val="single" w:sz="4" w:space="0" w:color="000000"/>
              <w:right w:val="single" w:sz="4" w:space="0" w:color="000000"/>
            </w:tcBorders>
            <w:hideMark/>
          </w:tcPr>
          <w:p w14:paraId="4A4EFCBC" w14:textId="77777777" w:rsidR="00D27A53" w:rsidRPr="00975327" w:rsidRDefault="00D27A53" w:rsidP="00695AC0">
            <w:pPr>
              <w:rPr>
                <w:sz w:val="20"/>
              </w:rPr>
            </w:pPr>
            <w:r w:rsidRPr="00975327">
              <w:rPr>
                <w:sz w:val="20"/>
                <w:lang w:bidi="da-DK"/>
              </w:rPr>
              <w:t>Elimineringsrater i non-</w:t>
            </w:r>
            <w:proofErr w:type="spellStart"/>
            <w:r w:rsidRPr="00975327">
              <w:rPr>
                <w:sz w:val="20"/>
                <w:lang w:bidi="da-DK"/>
              </w:rPr>
              <w:t>ulcer</w:t>
            </w:r>
            <w:proofErr w:type="spellEnd"/>
            <w:r w:rsidRPr="00975327">
              <w:rPr>
                <w:sz w:val="20"/>
                <w:lang w:bidi="da-DK"/>
              </w:rPr>
              <w:t xml:space="preserve"> dyspepsi</w:t>
            </w:r>
          </w:p>
        </w:tc>
        <w:tc>
          <w:tcPr>
            <w:tcW w:w="494" w:type="pct"/>
            <w:tcBorders>
              <w:top w:val="single" w:sz="4" w:space="0" w:color="000000"/>
              <w:left w:val="single" w:sz="4" w:space="0" w:color="000000"/>
              <w:bottom w:val="single" w:sz="4" w:space="0" w:color="000000"/>
              <w:right w:val="single" w:sz="4" w:space="0" w:color="000000"/>
            </w:tcBorders>
            <w:hideMark/>
          </w:tcPr>
          <w:p w14:paraId="53428B8B" w14:textId="77777777" w:rsidR="00D27A53" w:rsidRPr="00975327" w:rsidRDefault="00D27A53" w:rsidP="00975327">
            <w:pPr>
              <w:jc w:val="center"/>
              <w:rPr>
                <w:sz w:val="20"/>
              </w:rPr>
            </w:pPr>
            <w:r w:rsidRPr="00975327">
              <w:rPr>
                <w:sz w:val="20"/>
                <w:lang w:bidi="da-DK"/>
              </w:rPr>
              <w:t>155/196 (79,1%)</w:t>
            </w:r>
          </w:p>
        </w:tc>
        <w:tc>
          <w:tcPr>
            <w:tcW w:w="492" w:type="pct"/>
            <w:tcBorders>
              <w:top w:val="single" w:sz="4" w:space="0" w:color="000000"/>
              <w:left w:val="single" w:sz="4" w:space="0" w:color="000000"/>
              <w:bottom w:val="single" w:sz="4" w:space="0" w:color="000000"/>
              <w:right w:val="single" w:sz="4" w:space="0" w:color="000000"/>
            </w:tcBorders>
            <w:hideMark/>
          </w:tcPr>
          <w:p w14:paraId="3AF025C5" w14:textId="77777777" w:rsidR="00D27A53" w:rsidRPr="00975327" w:rsidRDefault="00D27A53" w:rsidP="00975327">
            <w:pPr>
              <w:jc w:val="center"/>
              <w:rPr>
                <w:sz w:val="20"/>
              </w:rPr>
            </w:pPr>
            <w:r w:rsidRPr="00975327">
              <w:rPr>
                <w:sz w:val="20"/>
                <w:lang w:bidi="da-DK"/>
              </w:rPr>
              <w:t>103/189 (54,5%)</w:t>
            </w:r>
          </w:p>
        </w:tc>
        <w:tc>
          <w:tcPr>
            <w:tcW w:w="494" w:type="pct"/>
            <w:tcBorders>
              <w:top w:val="single" w:sz="4" w:space="0" w:color="000000"/>
              <w:left w:val="single" w:sz="4" w:space="0" w:color="000000"/>
              <w:bottom w:val="single" w:sz="4" w:space="0" w:color="000000"/>
              <w:right w:val="single" w:sz="4" w:space="0" w:color="000000"/>
            </w:tcBorders>
            <w:hideMark/>
          </w:tcPr>
          <w:p w14:paraId="29E5BAFA" w14:textId="77777777" w:rsidR="00D27A53" w:rsidRPr="00975327" w:rsidRDefault="00D27A53" w:rsidP="00975327">
            <w:pPr>
              <w:jc w:val="center"/>
              <w:rPr>
                <w:sz w:val="20"/>
              </w:rPr>
            </w:pPr>
            <w:r w:rsidRPr="00975327">
              <w:rPr>
                <w:sz w:val="20"/>
                <w:lang w:bidi="da-DK"/>
              </w:rPr>
              <w:t>ND</w:t>
            </w:r>
          </w:p>
        </w:tc>
        <w:tc>
          <w:tcPr>
            <w:tcW w:w="494" w:type="pct"/>
            <w:tcBorders>
              <w:top w:val="single" w:sz="4" w:space="0" w:color="000000"/>
              <w:left w:val="single" w:sz="4" w:space="0" w:color="000000"/>
              <w:bottom w:val="single" w:sz="4" w:space="0" w:color="000000"/>
              <w:right w:val="single" w:sz="4" w:space="0" w:color="000000"/>
            </w:tcBorders>
            <w:hideMark/>
          </w:tcPr>
          <w:p w14:paraId="6D42DC70" w14:textId="77777777" w:rsidR="00D27A53" w:rsidRPr="00975327" w:rsidRDefault="00D27A53" w:rsidP="00975327">
            <w:pPr>
              <w:jc w:val="center"/>
              <w:rPr>
                <w:sz w:val="20"/>
              </w:rPr>
            </w:pPr>
            <w:r w:rsidRPr="00975327">
              <w:rPr>
                <w:sz w:val="20"/>
                <w:lang w:bidi="da-DK"/>
              </w:rPr>
              <w:t>ND</w:t>
            </w:r>
          </w:p>
        </w:tc>
        <w:tc>
          <w:tcPr>
            <w:tcW w:w="494" w:type="pct"/>
            <w:tcBorders>
              <w:top w:val="single" w:sz="4" w:space="0" w:color="000000"/>
              <w:left w:val="single" w:sz="4" w:space="0" w:color="000000"/>
              <w:bottom w:val="single" w:sz="4" w:space="0" w:color="000000"/>
              <w:right w:val="single" w:sz="4" w:space="0" w:color="000000"/>
            </w:tcBorders>
            <w:hideMark/>
          </w:tcPr>
          <w:p w14:paraId="390FA9CD" w14:textId="77777777" w:rsidR="00D27A53" w:rsidRPr="00975327" w:rsidRDefault="00D27A53" w:rsidP="00975327">
            <w:pPr>
              <w:jc w:val="center"/>
              <w:rPr>
                <w:sz w:val="20"/>
              </w:rPr>
            </w:pPr>
            <w:r w:rsidRPr="00975327">
              <w:rPr>
                <w:sz w:val="20"/>
                <w:lang w:bidi="da-DK"/>
              </w:rPr>
              <w:t>147/158 (93,0%)</w:t>
            </w:r>
          </w:p>
        </w:tc>
        <w:tc>
          <w:tcPr>
            <w:tcW w:w="494" w:type="pct"/>
            <w:tcBorders>
              <w:top w:val="single" w:sz="4" w:space="0" w:color="000000"/>
              <w:left w:val="single" w:sz="4" w:space="0" w:color="000000"/>
              <w:bottom w:val="single" w:sz="4" w:space="0" w:color="000000"/>
              <w:right w:val="single" w:sz="4" w:space="0" w:color="000000"/>
            </w:tcBorders>
            <w:hideMark/>
          </w:tcPr>
          <w:p w14:paraId="28F1F3B8" w14:textId="77777777" w:rsidR="00D27A53" w:rsidRPr="00975327" w:rsidRDefault="00D27A53" w:rsidP="00975327">
            <w:pPr>
              <w:jc w:val="center"/>
              <w:rPr>
                <w:sz w:val="20"/>
              </w:rPr>
            </w:pPr>
            <w:r w:rsidRPr="00975327">
              <w:rPr>
                <w:sz w:val="20"/>
                <w:lang w:bidi="da-DK"/>
              </w:rPr>
              <w:t>95/141 (6,.4%)</w:t>
            </w:r>
          </w:p>
        </w:tc>
        <w:tc>
          <w:tcPr>
            <w:tcW w:w="494" w:type="pct"/>
            <w:tcBorders>
              <w:top w:val="single" w:sz="4" w:space="0" w:color="000000"/>
              <w:left w:val="single" w:sz="4" w:space="0" w:color="000000"/>
              <w:bottom w:val="single" w:sz="4" w:space="0" w:color="000000"/>
              <w:right w:val="single" w:sz="4" w:space="0" w:color="000000"/>
            </w:tcBorders>
            <w:hideMark/>
          </w:tcPr>
          <w:p w14:paraId="651F8FF1" w14:textId="77777777" w:rsidR="00D27A53" w:rsidRPr="00975327" w:rsidRDefault="00D27A53" w:rsidP="00975327">
            <w:pPr>
              <w:jc w:val="center"/>
              <w:rPr>
                <w:sz w:val="20"/>
              </w:rPr>
            </w:pPr>
            <w:r w:rsidRPr="00975327">
              <w:rPr>
                <w:sz w:val="20"/>
                <w:lang w:bidi="da-DK"/>
              </w:rPr>
              <w:t>ND</w:t>
            </w:r>
          </w:p>
        </w:tc>
        <w:tc>
          <w:tcPr>
            <w:tcW w:w="489" w:type="pct"/>
            <w:tcBorders>
              <w:top w:val="single" w:sz="4" w:space="0" w:color="000000"/>
              <w:left w:val="single" w:sz="4" w:space="0" w:color="000000"/>
              <w:bottom w:val="single" w:sz="4" w:space="0" w:color="000000"/>
              <w:right w:val="single" w:sz="4" w:space="0" w:color="000000"/>
            </w:tcBorders>
            <w:hideMark/>
          </w:tcPr>
          <w:p w14:paraId="06E1EFF0" w14:textId="77777777" w:rsidR="00D27A53" w:rsidRPr="00975327" w:rsidRDefault="00D27A53" w:rsidP="00975327">
            <w:pPr>
              <w:jc w:val="center"/>
              <w:rPr>
                <w:sz w:val="20"/>
              </w:rPr>
            </w:pPr>
            <w:r w:rsidRPr="00975327">
              <w:rPr>
                <w:sz w:val="20"/>
                <w:lang w:bidi="da-DK"/>
              </w:rPr>
              <w:t>ND</w:t>
            </w:r>
          </w:p>
        </w:tc>
      </w:tr>
      <w:tr w:rsidR="00D27A53" w:rsidRPr="00975327" w14:paraId="4C301E8F" w14:textId="77777777" w:rsidTr="00695AC0">
        <w:trPr>
          <w:trHeight w:val="261"/>
        </w:trPr>
        <w:tc>
          <w:tcPr>
            <w:tcW w:w="5000" w:type="pct"/>
            <w:gridSpan w:val="9"/>
            <w:tcBorders>
              <w:top w:val="single" w:sz="4" w:space="0" w:color="000000"/>
              <w:left w:val="single" w:sz="4" w:space="0" w:color="000000"/>
              <w:bottom w:val="single" w:sz="4" w:space="0" w:color="000000"/>
              <w:right w:val="single" w:sz="4" w:space="0" w:color="000000"/>
            </w:tcBorders>
            <w:hideMark/>
          </w:tcPr>
          <w:p w14:paraId="3C38054D" w14:textId="77777777" w:rsidR="00D27A53" w:rsidRPr="00975327" w:rsidRDefault="00D27A53" w:rsidP="00695AC0">
            <w:pPr>
              <w:rPr>
                <w:sz w:val="20"/>
              </w:rPr>
            </w:pPr>
            <w:r w:rsidRPr="00975327">
              <w:rPr>
                <w:sz w:val="20"/>
                <w:lang w:bidi="da-DK"/>
              </w:rPr>
              <w:t>Elimineringsrater for:</w:t>
            </w:r>
          </w:p>
        </w:tc>
      </w:tr>
      <w:tr w:rsidR="00975327" w:rsidRPr="00975327" w14:paraId="0044A724" w14:textId="77777777" w:rsidTr="00975327">
        <w:trPr>
          <w:trHeight w:val="578"/>
        </w:trPr>
        <w:tc>
          <w:tcPr>
            <w:tcW w:w="1056" w:type="pct"/>
            <w:tcBorders>
              <w:top w:val="single" w:sz="4" w:space="0" w:color="000000"/>
              <w:left w:val="single" w:sz="4" w:space="0" w:color="000000"/>
              <w:bottom w:val="single" w:sz="4" w:space="0" w:color="000000"/>
              <w:right w:val="single" w:sz="4" w:space="0" w:color="000000"/>
            </w:tcBorders>
            <w:hideMark/>
          </w:tcPr>
          <w:p w14:paraId="6D1127A4" w14:textId="77777777" w:rsidR="00D27A53" w:rsidRPr="00975327" w:rsidRDefault="00D27A53" w:rsidP="00695AC0">
            <w:pPr>
              <w:rPr>
                <w:sz w:val="20"/>
              </w:rPr>
            </w:pPr>
            <w:proofErr w:type="spellStart"/>
            <w:r w:rsidRPr="00975327">
              <w:rPr>
                <w:sz w:val="20"/>
                <w:lang w:bidi="da-DK"/>
              </w:rPr>
              <w:t>Metronidazol</w:t>
            </w:r>
            <w:proofErr w:type="spellEnd"/>
            <w:r w:rsidRPr="00975327">
              <w:rPr>
                <w:sz w:val="20"/>
                <w:lang w:bidi="da-DK"/>
              </w:rPr>
              <w:t>-resistent</w:t>
            </w:r>
          </w:p>
        </w:tc>
        <w:tc>
          <w:tcPr>
            <w:tcW w:w="494" w:type="pct"/>
            <w:tcBorders>
              <w:top w:val="single" w:sz="4" w:space="0" w:color="000000"/>
              <w:left w:val="single" w:sz="4" w:space="0" w:color="000000"/>
              <w:bottom w:val="single" w:sz="4" w:space="0" w:color="000000"/>
              <w:right w:val="single" w:sz="4" w:space="0" w:color="000000"/>
            </w:tcBorders>
            <w:hideMark/>
          </w:tcPr>
          <w:p w14:paraId="462ABAA9" w14:textId="77777777" w:rsidR="00D27A53" w:rsidRPr="00975327" w:rsidRDefault="00D27A53" w:rsidP="00975327">
            <w:pPr>
              <w:jc w:val="center"/>
              <w:rPr>
                <w:sz w:val="20"/>
              </w:rPr>
            </w:pPr>
            <w:r w:rsidRPr="00975327">
              <w:rPr>
                <w:sz w:val="20"/>
                <w:lang w:bidi="da-DK"/>
              </w:rPr>
              <w:t>40/48 (83,3%)</w:t>
            </w:r>
          </w:p>
        </w:tc>
        <w:tc>
          <w:tcPr>
            <w:tcW w:w="492" w:type="pct"/>
            <w:tcBorders>
              <w:top w:val="single" w:sz="4" w:space="0" w:color="000000"/>
              <w:left w:val="single" w:sz="4" w:space="0" w:color="000000"/>
              <w:bottom w:val="single" w:sz="4" w:space="0" w:color="000000"/>
              <w:right w:val="single" w:sz="4" w:space="0" w:color="000000"/>
            </w:tcBorders>
            <w:hideMark/>
          </w:tcPr>
          <w:p w14:paraId="7047B770" w14:textId="77777777" w:rsidR="00D27A53" w:rsidRPr="00975327" w:rsidRDefault="00D27A53" w:rsidP="00975327">
            <w:pPr>
              <w:jc w:val="center"/>
              <w:rPr>
                <w:sz w:val="20"/>
              </w:rPr>
            </w:pPr>
            <w:r w:rsidRPr="00975327">
              <w:rPr>
                <w:sz w:val="20"/>
                <w:lang w:bidi="da-DK"/>
              </w:rPr>
              <w:t>31/54 (57,4%)</w:t>
            </w:r>
          </w:p>
        </w:tc>
        <w:tc>
          <w:tcPr>
            <w:tcW w:w="494" w:type="pct"/>
            <w:tcBorders>
              <w:top w:val="single" w:sz="4" w:space="0" w:color="000000"/>
              <w:left w:val="single" w:sz="4" w:space="0" w:color="000000"/>
              <w:bottom w:val="single" w:sz="4" w:space="0" w:color="000000"/>
              <w:right w:val="single" w:sz="4" w:space="0" w:color="000000"/>
            </w:tcBorders>
            <w:hideMark/>
          </w:tcPr>
          <w:p w14:paraId="0A553FEC" w14:textId="77777777" w:rsidR="00D27A53" w:rsidRPr="00975327" w:rsidRDefault="00D27A53" w:rsidP="00975327">
            <w:pPr>
              <w:jc w:val="center"/>
              <w:rPr>
                <w:sz w:val="20"/>
              </w:rPr>
            </w:pPr>
            <w:r w:rsidRPr="00975327">
              <w:rPr>
                <w:sz w:val="20"/>
                <w:lang w:bidi="da-DK"/>
              </w:rPr>
              <w:t>41/51 (80,4%)</w:t>
            </w:r>
          </w:p>
        </w:tc>
        <w:tc>
          <w:tcPr>
            <w:tcW w:w="494" w:type="pct"/>
            <w:tcBorders>
              <w:top w:val="single" w:sz="4" w:space="0" w:color="000000"/>
              <w:left w:val="single" w:sz="4" w:space="0" w:color="000000"/>
              <w:bottom w:val="single" w:sz="4" w:space="0" w:color="000000"/>
              <w:right w:val="single" w:sz="4" w:space="0" w:color="000000"/>
            </w:tcBorders>
            <w:hideMark/>
          </w:tcPr>
          <w:p w14:paraId="0381FA82" w14:textId="77777777" w:rsidR="00D27A53" w:rsidRPr="00975327" w:rsidRDefault="00D27A53" w:rsidP="00975327">
            <w:pPr>
              <w:jc w:val="center"/>
              <w:rPr>
                <w:sz w:val="20"/>
              </w:rPr>
            </w:pPr>
            <w:r w:rsidRPr="00975327">
              <w:rPr>
                <w:sz w:val="20"/>
                <w:lang w:bidi="da-DK"/>
              </w:rPr>
              <w:t>ND</w:t>
            </w:r>
          </w:p>
        </w:tc>
        <w:tc>
          <w:tcPr>
            <w:tcW w:w="494" w:type="pct"/>
            <w:tcBorders>
              <w:top w:val="single" w:sz="4" w:space="0" w:color="000000"/>
              <w:left w:val="single" w:sz="4" w:space="0" w:color="000000"/>
              <w:bottom w:val="single" w:sz="4" w:space="0" w:color="000000"/>
              <w:right w:val="single" w:sz="4" w:space="0" w:color="000000"/>
            </w:tcBorders>
            <w:hideMark/>
          </w:tcPr>
          <w:p w14:paraId="2C74026D" w14:textId="77777777" w:rsidR="00D27A53" w:rsidRPr="00975327" w:rsidRDefault="00D27A53" w:rsidP="00975327">
            <w:pPr>
              <w:jc w:val="center"/>
              <w:rPr>
                <w:sz w:val="20"/>
              </w:rPr>
            </w:pPr>
            <w:r w:rsidRPr="00975327">
              <w:rPr>
                <w:sz w:val="20"/>
                <w:lang w:bidi="da-DK"/>
              </w:rPr>
              <w:t>38/42 (90,5%)</w:t>
            </w:r>
          </w:p>
        </w:tc>
        <w:tc>
          <w:tcPr>
            <w:tcW w:w="494" w:type="pct"/>
            <w:tcBorders>
              <w:top w:val="single" w:sz="4" w:space="0" w:color="000000"/>
              <w:left w:val="single" w:sz="4" w:space="0" w:color="000000"/>
              <w:bottom w:val="single" w:sz="4" w:space="0" w:color="000000"/>
              <w:right w:val="single" w:sz="4" w:space="0" w:color="000000"/>
            </w:tcBorders>
            <w:hideMark/>
          </w:tcPr>
          <w:p w14:paraId="798DE816" w14:textId="77777777" w:rsidR="00D27A53" w:rsidRPr="00975327" w:rsidRDefault="00D27A53" w:rsidP="00975327">
            <w:pPr>
              <w:jc w:val="center"/>
              <w:rPr>
                <w:sz w:val="20"/>
              </w:rPr>
            </w:pPr>
            <w:r w:rsidRPr="00975327">
              <w:rPr>
                <w:sz w:val="20"/>
                <w:lang w:bidi="da-DK"/>
              </w:rPr>
              <w:t>28/41 (68,3%)</w:t>
            </w:r>
          </w:p>
        </w:tc>
        <w:tc>
          <w:tcPr>
            <w:tcW w:w="494" w:type="pct"/>
            <w:tcBorders>
              <w:top w:val="single" w:sz="4" w:space="0" w:color="000000"/>
              <w:left w:val="single" w:sz="4" w:space="0" w:color="000000"/>
              <w:bottom w:val="single" w:sz="4" w:space="0" w:color="000000"/>
              <w:right w:val="single" w:sz="4" w:space="0" w:color="000000"/>
            </w:tcBorders>
            <w:hideMark/>
          </w:tcPr>
          <w:p w14:paraId="540D81B0" w14:textId="77777777" w:rsidR="00D27A53" w:rsidRPr="00975327" w:rsidRDefault="00D27A53" w:rsidP="00975327">
            <w:pPr>
              <w:jc w:val="center"/>
              <w:rPr>
                <w:sz w:val="20"/>
              </w:rPr>
            </w:pPr>
            <w:r w:rsidRPr="00975327">
              <w:rPr>
                <w:sz w:val="20"/>
                <w:lang w:bidi="da-DK"/>
              </w:rPr>
              <w:t>38/44 (86,4%)</w:t>
            </w:r>
          </w:p>
        </w:tc>
        <w:tc>
          <w:tcPr>
            <w:tcW w:w="489" w:type="pct"/>
            <w:tcBorders>
              <w:top w:val="single" w:sz="4" w:space="0" w:color="000000"/>
              <w:left w:val="single" w:sz="4" w:space="0" w:color="000000"/>
              <w:bottom w:val="single" w:sz="4" w:space="0" w:color="000000"/>
              <w:right w:val="single" w:sz="4" w:space="0" w:color="000000"/>
            </w:tcBorders>
            <w:hideMark/>
          </w:tcPr>
          <w:p w14:paraId="253513C8" w14:textId="77777777" w:rsidR="00D27A53" w:rsidRPr="00975327" w:rsidRDefault="00D27A53" w:rsidP="00975327">
            <w:pPr>
              <w:jc w:val="center"/>
              <w:rPr>
                <w:sz w:val="20"/>
              </w:rPr>
            </w:pPr>
            <w:r w:rsidRPr="00975327">
              <w:rPr>
                <w:sz w:val="20"/>
                <w:lang w:bidi="da-DK"/>
              </w:rPr>
              <w:t>ND</w:t>
            </w:r>
          </w:p>
        </w:tc>
      </w:tr>
      <w:tr w:rsidR="00975327" w:rsidRPr="00975327" w14:paraId="61885ED4" w14:textId="77777777" w:rsidTr="00975327">
        <w:trPr>
          <w:trHeight w:val="577"/>
        </w:trPr>
        <w:tc>
          <w:tcPr>
            <w:tcW w:w="1056" w:type="pct"/>
            <w:tcBorders>
              <w:top w:val="single" w:sz="4" w:space="0" w:color="000000"/>
              <w:left w:val="single" w:sz="4" w:space="0" w:color="000000"/>
              <w:bottom w:val="single" w:sz="4" w:space="0" w:color="000000"/>
              <w:right w:val="single" w:sz="4" w:space="0" w:color="000000"/>
            </w:tcBorders>
            <w:hideMark/>
          </w:tcPr>
          <w:p w14:paraId="64CCCE7E" w14:textId="77777777" w:rsidR="00D27A53" w:rsidRPr="00975327" w:rsidRDefault="00D27A53" w:rsidP="00695AC0">
            <w:pPr>
              <w:rPr>
                <w:sz w:val="20"/>
              </w:rPr>
            </w:pPr>
            <w:proofErr w:type="spellStart"/>
            <w:r w:rsidRPr="00975327">
              <w:rPr>
                <w:sz w:val="20"/>
                <w:lang w:bidi="da-DK"/>
              </w:rPr>
              <w:t>Metronidazol</w:t>
            </w:r>
            <w:proofErr w:type="spellEnd"/>
            <w:r w:rsidRPr="00975327">
              <w:rPr>
                <w:sz w:val="20"/>
                <w:lang w:bidi="da-DK"/>
              </w:rPr>
              <w:t>-følsom</w:t>
            </w:r>
          </w:p>
        </w:tc>
        <w:tc>
          <w:tcPr>
            <w:tcW w:w="494" w:type="pct"/>
            <w:tcBorders>
              <w:top w:val="single" w:sz="4" w:space="0" w:color="000000"/>
              <w:left w:val="single" w:sz="4" w:space="0" w:color="000000"/>
              <w:bottom w:val="single" w:sz="4" w:space="0" w:color="000000"/>
              <w:right w:val="single" w:sz="4" w:space="0" w:color="000000"/>
            </w:tcBorders>
            <w:hideMark/>
          </w:tcPr>
          <w:p w14:paraId="201A9D61" w14:textId="77777777" w:rsidR="00D27A53" w:rsidRPr="00975327" w:rsidRDefault="00D27A53" w:rsidP="00975327">
            <w:pPr>
              <w:jc w:val="center"/>
              <w:rPr>
                <w:sz w:val="20"/>
              </w:rPr>
            </w:pPr>
            <w:r w:rsidRPr="00975327">
              <w:rPr>
                <w:sz w:val="20"/>
                <w:lang w:bidi="da-DK"/>
              </w:rPr>
              <w:t>101/123 (82,1%)</w:t>
            </w:r>
          </w:p>
        </w:tc>
        <w:tc>
          <w:tcPr>
            <w:tcW w:w="492" w:type="pct"/>
            <w:tcBorders>
              <w:top w:val="single" w:sz="4" w:space="0" w:color="000000"/>
              <w:left w:val="single" w:sz="4" w:space="0" w:color="000000"/>
              <w:bottom w:val="single" w:sz="4" w:space="0" w:color="000000"/>
              <w:right w:val="single" w:sz="4" w:space="0" w:color="000000"/>
            </w:tcBorders>
            <w:hideMark/>
          </w:tcPr>
          <w:p w14:paraId="38145FCA" w14:textId="77777777" w:rsidR="00D27A53" w:rsidRPr="00975327" w:rsidRDefault="00D27A53" w:rsidP="00975327">
            <w:pPr>
              <w:jc w:val="center"/>
              <w:rPr>
                <w:sz w:val="20"/>
              </w:rPr>
            </w:pPr>
            <w:r w:rsidRPr="00975327">
              <w:rPr>
                <w:sz w:val="20"/>
                <w:lang w:bidi="da-DK"/>
              </w:rPr>
              <w:t>70/120 (58,3%)</w:t>
            </w:r>
          </w:p>
        </w:tc>
        <w:tc>
          <w:tcPr>
            <w:tcW w:w="494" w:type="pct"/>
            <w:tcBorders>
              <w:top w:val="single" w:sz="4" w:space="0" w:color="000000"/>
              <w:left w:val="single" w:sz="4" w:space="0" w:color="000000"/>
              <w:bottom w:val="single" w:sz="4" w:space="0" w:color="000000"/>
              <w:right w:val="single" w:sz="4" w:space="0" w:color="000000"/>
            </w:tcBorders>
            <w:hideMark/>
          </w:tcPr>
          <w:p w14:paraId="00ABA227" w14:textId="77777777" w:rsidR="00D27A53" w:rsidRPr="00975327" w:rsidRDefault="00D27A53" w:rsidP="00975327">
            <w:pPr>
              <w:jc w:val="center"/>
              <w:rPr>
                <w:sz w:val="20"/>
              </w:rPr>
            </w:pPr>
            <w:r w:rsidRPr="00975327">
              <w:rPr>
                <w:sz w:val="20"/>
                <w:lang w:bidi="da-DK"/>
              </w:rPr>
              <w:t>68/74 (91,9%)</w:t>
            </w:r>
          </w:p>
        </w:tc>
        <w:tc>
          <w:tcPr>
            <w:tcW w:w="494" w:type="pct"/>
            <w:tcBorders>
              <w:top w:val="single" w:sz="4" w:space="0" w:color="000000"/>
              <w:left w:val="single" w:sz="4" w:space="0" w:color="000000"/>
              <w:bottom w:val="single" w:sz="4" w:space="0" w:color="000000"/>
              <w:right w:val="single" w:sz="4" w:space="0" w:color="000000"/>
            </w:tcBorders>
            <w:hideMark/>
          </w:tcPr>
          <w:p w14:paraId="53785682" w14:textId="77777777" w:rsidR="00D27A53" w:rsidRPr="00975327" w:rsidRDefault="00D27A53" w:rsidP="00975327">
            <w:pPr>
              <w:jc w:val="center"/>
              <w:rPr>
                <w:sz w:val="20"/>
              </w:rPr>
            </w:pPr>
            <w:r w:rsidRPr="00975327">
              <w:rPr>
                <w:sz w:val="20"/>
                <w:lang w:bidi="da-DK"/>
              </w:rPr>
              <w:t>ND</w:t>
            </w:r>
          </w:p>
        </w:tc>
        <w:tc>
          <w:tcPr>
            <w:tcW w:w="494" w:type="pct"/>
            <w:tcBorders>
              <w:top w:val="single" w:sz="4" w:space="0" w:color="000000"/>
              <w:left w:val="single" w:sz="4" w:space="0" w:color="000000"/>
              <w:bottom w:val="single" w:sz="4" w:space="0" w:color="000000"/>
              <w:right w:val="single" w:sz="4" w:space="0" w:color="000000"/>
            </w:tcBorders>
            <w:hideMark/>
          </w:tcPr>
          <w:p w14:paraId="4A9B96BD" w14:textId="77777777" w:rsidR="00D27A53" w:rsidRPr="00975327" w:rsidRDefault="00D27A53" w:rsidP="00975327">
            <w:pPr>
              <w:jc w:val="center"/>
              <w:rPr>
                <w:sz w:val="20"/>
              </w:rPr>
            </w:pPr>
            <w:r w:rsidRPr="00975327">
              <w:rPr>
                <w:sz w:val="20"/>
                <w:lang w:bidi="da-DK"/>
              </w:rPr>
              <w:t>98/103 (95,1%)</w:t>
            </w:r>
          </w:p>
        </w:tc>
        <w:tc>
          <w:tcPr>
            <w:tcW w:w="494" w:type="pct"/>
            <w:tcBorders>
              <w:top w:val="single" w:sz="4" w:space="0" w:color="000000"/>
              <w:left w:val="single" w:sz="4" w:space="0" w:color="000000"/>
              <w:bottom w:val="single" w:sz="4" w:space="0" w:color="000000"/>
              <w:right w:val="single" w:sz="4" w:space="0" w:color="000000"/>
            </w:tcBorders>
            <w:hideMark/>
          </w:tcPr>
          <w:p w14:paraId="4DF2A9F9" w14:textId="77777777" w:rsidR="00D27A53" w:rsidRPr="00975327" w:rsidRDefault="00D27A53" w:rsidP="00975327">
            <w:pPr>
              <w:jc w:val="center"/>
              <w:rPr>
                <w:sz w:val="20"/>
              </w:rPr>
            </w:pPr>
            <w:r w:rsidRPr="00975327">
              <w:rPr>
                <w:sz w:val="20"/>
                <w:lang w:bidi="da-DK"/>
              </w:rPr>
              <w:t>64/90 (71,7%)</w:t>
            </w:r>
          </w:p>
        </w:tc>
        <w:tc>
          <w:tcPr>
            <w:tcW w:w="494" w:type="pct"/>
            <w:tcBorders>
              <w:top w:val="single" w:sz="4" w:space="0" w:color="000000"/>
              <w:left w:val="single" w:sz="4" w:space="0" w:color="000000"/>
              <w:bottom w:val="single" w:sz="4" w:space="0" w:color="000000"/>
              <w:right w:val="single" w:sz="4" w:space="0" w:color="000000"/>
            </w:tcBorders>
            <w:hideMark/>
          </w:tcPr>
          <w:p w14:paraId="716FA313" w14:textId="77777777" w:rsidR="00D27A53" w:rsidRPr="00975327" w:rsidRDefault="00D27A53" w:rsidP="00975327">
            <w:pPr>
              <w:jc w:val="center"/>
              <w:rPr>
                <w:sz w:val="20"/>
              </w:rPr>
            </w:pPr>
            <w:r w:rsidRPr="00975327">
              <w:rPr>
                <w:sz w:val="20"/>
                <w:lang w:bidi="da-DK"/>
              </w:rPr>
              <w:t>61/64 (95,3%)</w:t>
            </w:r>
          </w:p>
        </w:tc>
        <w:tc>
          <w:tcPr>
            <w:tcW w:w="489" w:type="pct"/>
            <w:tcBorders>
              <w:top w:val="single" w:sz="4" w:space="0" w:color="000000"/>
              <w:left w:val="single" w:sz="4" w:space="0" w:color="000000"/>
              <w:bottom w:val="single" w:sz="4" w:space="0" w:color="000000"/>
              <w:right w:val="single" w:sz="4" w:space="0" w:color="000000"/>
            </w:tcBorders>
            <w:hideMark/>
          </w:tcPr>
          <w:p w14:paraId="62D00623" w14:textId="77777777" w:rsidR="00D27A53" w:rsidRPr="00975327" w:rsidRDefault="00D27A53" w:rsidP="00975327">
            <w:pPr>
              <w:jc w:val="center"/>
              <w:rPr>
                <w:sz w:val="20"/>
              </w:rPr>
            </w:pPr>
            <w:r w:rsidRPr="00975327">
              <w:rPr>
                <w:sz w:val="20"/>
                <w:lang w:bidi="da-DK"/>
              </w:rPr>
              <w:t>ND</w:t>
            </w:r>
          </w:p>
        </w:tc>
      </w:tr>
      <w:tr w:rsidR="00975327" w:rsidRPr="00975327" w14:paraId="254079CF" w14:textId="77777777" w:rsidTr="00975327">
        <w:trPr>
          <w:trHeight w:val="580"/>
        </w:trPr>
        <w:tc>
          <w:tcPr>
            <w:tcW w:w="1056" w:type="pct"/>
            <w:tcBorders>
              <w:top w:val="single" w:sz="4" w:space="0" w:color="000000"/>
              <w:left w:val="single" w:sz="4" w:space="0" w:color="000000"/>
              <w:bottom w:val="single" w:sz="4" w:space="0" w:color="000000"/>
              <w:right w:val="single" w:sz="4" w:space="0" w:color="000000"/>
            </w:tcBorders>
            <w:hideMark/>
          </w:tcPr>
          <w:p w14:paraId="47AADD5B" w14:textId="77777777" w:rsidR="00D27A53" w:rsidRPr="00975327" w:rsidRDefault="00D27A53" w:rsidP="00695AC0">
            <w:pPr>
              <w:rPr>
                <w:sz w:val="20"/>
              </w:rPr>
            </w:pPr>
            <w:proofErr w:type="spellStart"/>
            <w:r w:rsidRPr="00975327">
              <w:rPr>
                <w:sz w:val="20"/>
                <w:lang w:bidi="da-DK"/>
              </w:rPr>
              <w:t>Clarithromycin</w:t>
            </w:r>
            <w:proofErr w:type="spellEnd"/>
            <w:r w:rsidRPr="00975327">
              <w:rPr>
                <w:sz w:val="20"/>
                <w:lang w:bidi="da-DK"/>
              </w:rPr>
              <w:t>-resistent</w:t>
            </w:r>
          </w:p>
        </w:tc>
        <w:tc>
          <w:tcPr>
            <w:tcW w:w="494" w:type="pct"/>
            <w:tcBorders>
              <w:top w:val="single" w:sz="4" w:space="0" w:color="000000"/>
              <w:left w:val="single" w:sz="4" w:space="0" w:color="000000"/>
              <w:bottom w:val="single" w:sz="4" w:space="0" w:color="000000"/>
              <w:right w:val="single" w:sz="4" w:space="0" w:color="000000"/>
            </w:tcBorders>
            <w:hideMark/>
          </w:tcPr>
          <w:p w14:paraId="00FACCF2" w14:textId="77777777" w:rsidR="00D27A53" w:rsidRPr="00975327" w:rsidRDefault="00D27A53" w:rsidP="00975327">
            <w:pPr>
              <w:jc w:val="center"/>
              <w:rPr>
                <w:sz w:val="20"/>
              </w:rPr>
            </w:pPr>
            <w:r w:rsidRPr="00975327">
              <w:rPr>
                <w:sz w:val="20"/>
                <w:lang w:bidi="da-DK"/>
              </w:rPr>
              <w:t>33/38 (86,8%)</w:t>
            </w:r>
          </w:p>
        </w:tc>
        <w:tc>
          <w:tcPr>
            <w:tcW w:w="492" w:type="pct"/>
            <w:tcBorders>
              <w:top w:val="single" w:sz="4" w:space="0" w:color="000000"/>
              <w:left w:val="single" w:sz="4" w:space="0" w:color="000000"/>
              <w:bottom w:val="single" w:sz="4" w:space="0" w:color="000000"/>
              <w:right w:val="single" w:sz="4" w:space="0" w:color="000000"/>
            </w:tcBorders>
            <w:hideMark/>
          </w:tcPr>
          <w:p w14:paraId="30950E12" w14:textId="77777777" w:rsidR="00D27A53" w:rsidRPr="00975327" w:rsidRDefault="00D27A53" w:rsidP="00975327">
            <w:pPr>
              <w:jc w:val="center"/>
              <w:rPr>
                <w:sz w:val="20"/>
              </w:rPr>
            </w:pPr>
            <w:r w:rsidRPr="00975327">
              <w:rPr>
                <w:sz w:val="20"/>
                <w:lang w:bidi="da-DK"/>
              </w:rPr>
              <w:t>2/29 (6,9%)</w:t>
            </w:r>
          </w:p>
        </w:tc>
        <w:tc>
          <w:tcPr>
            <w:tcW w:w="494" w:type="pct"/>
            <w:tcBorders>
              <w:top w:val="single" w:sz="4" w:space="0" w:color="000000"/>
              <w:left w:val="single" w:sz="4" w:space="0" w:color="000000"/>
              <w:bottom w:val="single" w:sz="4" w:space="0" w:color="000000"/>
              <w:right w:val="single" w:sz="4" w:space="0" w:color="000000"/>
            </w:tcBorders>
            <w:hideMark/>
          </w:tcPr>
          <w:p w14:paraId="61499E2E" w14:textId="77777777" w:rsidR="00D27A53" w:rsidRPr="00975327" w:rsidRDefault="00D27A53" w:rsidP="00975327">
            <w:pPr>
              <w:jc w:val="center"/>
              <w:rPr>
                <w:sz w:val="20"/>
              </w:rPr>
            </w:pPr>
            <w:r w:rsidRPr="00975327">
              <w:rPr>
                <w:sz w:val="20"/>
                <w:lang w:bidi="da-DK"/>
              </w:rPr>
              <w:t>ND</w:t>
            </w:r>
          </w:p>
        </w:tc>
        <w:tc>
          <w:tcPr>
            <w:tcW w:w="494" w:type="pct"/>
            <w:tcBorders>
              <w:top w:val="single" w:sz="4" w:space="0" w:color="000000"/>
              <w:left w:val="single" w:sz="4" w:space="0" w:color="000000"/>
              <w:bottom w:val="single" w:sz="4" w:space="0" w:color="000000"/>
              <w:right w:val="single" w:sz="4" w:space="0" w:color="000000"/>
            </w:tcBorders>
            <w:hideMark/>
          </w:tcPr>
          <w:p w14:paraId="604647A7" w14:textId="77777777" w:rsidR="00D27A53" w:rsidRPr="00975327" w:rsidRDefault="00D27A53" w:rsidP="00975327">
            <w:pPr>
              <w:jc w:val="center"/>
              <w:rPr>
                <w:sz w:val="20"/>
              </w:rPr>
            </w:pPr>
            <w:r w:rsidRPr="00975327">
              <w:rPr>
                <w:sz w:val="20"/>
                <w:lang w:bidi="da-DK"/>
              </w:rPr>
              <w:t>3/14 (21,4%)</w:t>
            </w:r>
          </w:p>
        </w:tc>
        <w:tc>
          <w:tcPr>
            <w:tcW w:w="494" w:type="pct"/>
            <w:tcBorders>
              <w:top w:val="single" w:sz="4" w:space="0" w:color="000000"/>
              <w:left w:val="single" w:sz="4" w:space="0" w:color="000000"/>
              <w:bottom w:val="single" w:sz="4" w:space="0" w:color="000000"/>
              <w:right w:val="single" w:sz="4" w:space="0" w:color="000000"/>
            </w:tcBorders>
            <w:hideMark/>
          </w:tcPr>
          <w:p w14:paraId="0337BA46" w14:textId="77777777" w:rsidR="00D27A53" w:rsidRPr="00975327" w:rsidRDefault="00D27A53" w:rsidP="00975327">
            <w:pPr>
              <w:jc w:val="center"/>
              <w:rPr>
                <w:sz w:val="20"/>
              </w:rPr>
            </w:pPr>
            <w:r w:rsidRPr="00975327">
              <w:rPr>
                <w:sz w:val="20"/>
                <w:lang w:bidi="da-DK"/>
              </w:rPr>
              <w:t>30/33 (90,9%)</w:t>
            </w:r>
          </w:p>
        </w:tc>
        <w:tc>
          <w:tcPr>
            <w:tcW w:w="494" w:type="pct"/>
            <w:tcBorders>
              <w:top w:val="single" w:sz="4" w:space="0" w:color="000000"/>
              <w:left w:val="single" w:sz="4" w:space="0" w:color="000000"/>
              <w:bottom w:val="single" w:sz="4" w:space="0" w:color="000000"/>
              <w:right w:val="single" w:sz="4" w:space="0" w:color="000000"/>
            </w:tcBorders>
            <w:hideMark/>
          </w:tcPr>
          <w:p w14:paraId="0BF1B26D" w14:textId="77777777" w:rsidR="00D27A53" w:rsidRPr="00975327" w:rsidRDefault="00D27A53" w:rsidP="00975327">
            <w:pPr>
              <w:jc w:val="center"/>
              <w:rPr>
                <w:sz w:val="20"/>
              </w:rPr>
            </w:pPr>
            <w:r w:rsidRPr="00975327">
              <w:rPr>
                <w:sz w:val="20"/>
                <w:lang w:bidi="da-DK"/>
              </w:rPr>
              <w:t>2/25 (8,0%)</w:t>
            </w:r>
          </w:p>
        </w:tc>
        <w:tc>
          <w:tcPr>
            <w:tcW w:w="494" w:type="pct"/>
            <w:tcBorders>
              <w:top w:val="single" w:sz="4" w:space="0" w:color="000000"/>
              <w:left w:val="single" w:sz="4" w:space="0" w:color="000000"/>
              <w:bottom w:val="single" w:sz="4" w:space="0" w:color="000000"/>
              <w:right w:val="single" w:sz="4" w:space="0" w:color="000000"/>
            </w:tcBorders>
            <w:hideMark/>
          </w:tcPr>
          <w:p w14:paraId="5256AC68" w14:textId="77777777" w:rsidR="00D27A53" w:rsidRPr="00975327" w:rsidRDefault="00D27A53" w:rsidP="00975327">
            <w:pPr>
              <w:jc w:val="center"/>
              <w:rPr>
                <w:sz w:val="20"/>
              </w:rPr>
            </w:pPr>
            <w:r w:rsidRPr="00975327">
              <w:rPr>
                <w:sz w:val="20"/>
                <w:lang w:bidi="da-DK"/>
              </w:rPr>
              <w:t>ND</w:t>
            </w:r>
          </w:p>
        </w:tc>
        <w:tc>
          <w:tcPr>
            <w:tcW w:w="489" w:type="pct"/>
            <w:tcBorders>
              <w:top w:val="single" w:sz="4" w:space="0" w:color="000000"/>
              <w:left w:val="single" w:sz="4" w:space="0" w:color="000000"/>
              <w:bottom w:val="single" w:sz="4" w:space="0" w:color="000000"/>
              <w:right w:val="single" w:sz="4" w:space="0" w:color="000000"/>
            </w:tcBorders>
            <w:hideMark/>
          </w:tcPr>
          <w:p w14:paraId="6220F413" w14:textId="77777777" w:rsidR="00D27A53" w:rsidRPr="00975327" w:rsidRDefault="00D27A53" w:rsidP="00975327">
            <w:pPr>
              <w:jc w:val="center"/>
              <w:rPr>
                <w:sz w:val="20"/>
              </w:rPr>
            </w:pPr>
            <w:r w:rsidRPr="00975327">
              <w:rPr>
                <w:sz w:val="20"/>
                <w:lang w:bidi="da-DK"/>
              </w:rPr>
              <w:t>3/13 (23,1%)</w:t>
            </w:r>
          </w:p>
        </w:tc>
      </w:tr>
      <w:tr w:rsidR="00975327" w:rsidRPr="00975327" w14:paraId="579A9F3D" w14:textId="77777777" w:rsidTr="00975327">
        <w:trPr>
          <w:trHeight w:val="580"/>
        </w:trPr>
        <w:tc>
          <w:tcPr>
            <w:tcW w:w="1056" w:type="pct"/>
            <w:tcBorders>
              <w:top w:val="single" w:sz="4" w:space="0" w:color="000000"/>
              <w:left w:val="single" w:sz="4" w:space="0" w:color="000000"/>
              <w:bottom w:val="single" w:sz="4" w:space="0" w:color="000000"/>
              <w:right w:val="single" w:sz="4" w:space="0" w:color="000000"/>
            </w:tcBorders>
          </w:tcPr>
          <w:p w14:paraId="0EB94300" w14:textId="128C289B" w:rsidR="00975327" w:rsidRPr="00975327" w:rsidRDefault="00975327" w:rsidP="00975327">
            <w:pPr>
              <w:rPr>
                <w:sz w:val="20"/>
                <w:lang w:bidi="da-DK"/>
              </w:rPr>
            </w:pPr>
            <w:proofErr w:type="spellStart"/>
            <w:r w:rsidRPr="00975327">
              <w:rPr>
                <w:sz w:val="20"/>
                <w:lang w:bidi="da-DK"/>
              </w:rPr>
              <w:t>Clarithromycin</w:t>
            </w:r>
            <w:proofErr w:type="spellEnd"/>
            <w:r w:rsidRPr="00975327">
              <w:rPr>
                <w:sz w:val="20"/>
                <w:lang w:bidi="da-DK"/>
              </w:rPr>
              <w:t>-følsom</w:t>
            </w:r>
          </w:p>
        </w:tc>
        <w:tc>
          <w:tcPr>
            <w:tcW w:w="494" w:type="pct"/>
            <w:tcBorders>
              <w:top w:val="single" w:sz="4" w:space="0" w:color="000000"/>
              <w:left w:val="single" w:sz="4" w:space="0" w:color="000000"/>
              <w:bottom w:val="single" w:sz="4" w:space="0" w:color="000000"/>
              <w:right w:val="single" w:sz="4" w:space="0" w:color="000000"/>
            </w:tcBorders>
          </w:tcPr>
          <w:p w14:paraId="744C217A" w14:textId="472F9A3C" w:rsidR="00975327" w:rsidRPr="00975327" w:rsidRDefault="00975327" w:rsidP="00975327">
            <w:pPr>
              <w:jc w:val="center"/>
              <w:rPr>
                <w:sz w:val="20"/>
                <w:lang w:bidi="da-DK"/>
              </w:rPr>
            </w:pPr>
            <w:r w:rsidRPr="00975327">
              <w:rPr>
                <w:sz w:val="20"/>
                <w:lang w:bidi="da-DK"/>
              </w:rPr>
              <w:t>108/133 (81,2%)</w:t>
            </w:r>
          </w:p>
        </w:tc>
        <w:tc>
          <w:tcPr>
            <w:tcW w:w="492" w:type="pct"/>
            <w:tcBorders>
              <w:top w:val="single" w:sz="4" w:space="0" w:color="000000"/>
              <w:left w:val="single" w:sz="4" w:space="0" w:color="000000"/>
              <w:bottom w:val="single" w:sz="4" w:space="0" w:color="000000"/>
              <w:right w:val="single" w:sz="4" w:space="0" w:color="000000"/>
            </w:tcBorders>
          </w:tcPr>
          <w:p w14:paraId="27AD344A" w14:textId="551C34EF" w:rsidR="00975327" w:rsidRPr="00975327" w:rsidRDefault="00975327" w:rsidP="00975327">
            <w:pPr>
              <w:jc w:val="center"/>
              <w:rPr>
                <w:sz w:val="20"/>
                <w:lang w:bidi="da-DK"/>
              </w:rPr>
            </w:pPr>
            <w:r w:rsidRPr="00975327">
              <w:rPr>
                <w:sz w:val="20"/>
                <w:lang w:bidi="da-DK"/>
              </w:rPr>
              <w:t>99/145 (68,3%)</w:t>
            </w:r>
          </w:p>
        </w:tc>
        <w:tc>
          <w:tcPr>
            <w:tcW w:w="494" w:type="pct"/>
            <w:tcBorders>
              <w:top w:val="single" w:sz="4" w:space="0" w:color="000000"/>
              <w:left w:val="single" w:sz="4" w:space="0" w:color="000000"/>
              <w:bottom w:val="single" w:sz="4" w:space="0" w:color="000000"/>
              <w:right w:val="single" w:sz="4" w:space="0" w:color="000000"/>
            </w:tcBorders>
          </w:tcPr>
          <w:p w14:paraId="3ABBD52C" w14:textId="109D2BE5" w:rsidR="00975327" w:rsidRPr="00975327" w:rsidRDefault="00975327" w:rsidP="00975327">
            <w:pPr>
              <w:jc w:val="center"/>
              <w:rPr>
                <w:sz w:val="20"/>
                <w:lang w:bidi="da-DK"/>
              </w:rPr>
            </w:pPr>
            <w:r w:rsidRPr="00975327">
              <w:rPr>
                <w:sz w:val="20"/>
                <w:lang w:bidi="da-DK"/>
              </w:rPr>
              <w:t>ND</w:t>
            </w:r>
          </w:p>
        </w:tc>
        <w:tc>
          <w:tcPr>
            <w:tcW w:w="494" w:type="pct"/>
            <w:tcBorders>
              <w:top w:val="single" w:sz="4" w:space="0" w:color="000000"/>
              <w:left w:val="single" w:sz="4" w:space="0" w:color="000000"/>
              <w:bottom w:val="single" w:sz="4" w:space="0" w:color="000000"/>
              <w:right w:val="single" w:sz="4" w:space="0" w:color="000000"/>
            </w:tcBorders>
          </w:tcPr>
          <w:p w14:paraId="52EDCE1A" w14:textId="2FF118B3" w:rsidR="00975327" w:rsidRPr="00975327" w:rsidRDefault="00975327" w:rsidP="00975327">
            <w:pPr>
              <w:jc w:val="center"/>
              <w:rPr>
                <w:sz w:val="20"/>
                <w:lang w:bidi="da-DK"/>
              </w:rPr>
            </w:pPr>
            <w:r w:rsidRPr="00975327">
              <w:rPr>
                <w:sz w:val="20"/>
                <w:lang w:bidi="da-DK"/>
              </w:rPr>
              <w:t>93/101 (92,1%)</w:t>
            </w:r>
          </w:p>
        </w:tc>
        <w:tc>
          <w:tcPr>
            <w:tcW w:w="494" w:type="pct"/>
            <w:tcBorders>
              <w:top w:val="single" w:sz="4" w:space="0" w:color="000000"/>
              <w:left w:val="single" w:sz="4" w:space="0" w:color="000000"/>
              <w:bottom w:val="single" w:sz="4" w:space="0" w:color="000000"/>
              <w:right w:val="single" w:sz="4" w:space="0" w:color="000000"/>
            </w:tcBorders>
          </w:tcPr>
          <w:p w14:paraId="0808A27A" w14:textId="08ADA4E9" w:rsidR="00975327" w:rsidRPr="00975327" w:rsidRDefault="00975327" w:rsidP="00975327">
            <w:pPr>
              <w:jc w:val="center"/>
              <w:rPr>
                <w:sz w:val="20"/>
                <w:lang w:bidi="da-DK"/>
              </w:rPr>
            </w:pPr>
            <w:r w:rsidRPr="00975327">
              <w:rPr>
                <w:sz w:val="20"/>
                <w:lang w:bidi="da-DK"/>
              </w:rPr>
              <w:t>106/112 (94,6%)</w:t>
            </w:r>
          </w:p>
        </w:tc>
        <w:tc>
          <w:tcPr>
            <w:tcW w:w="494" w:type="pct"/>
            <w:tcBorders>
              <w:top w:val="single" w:sz="4" w:space="0" w:color="000000"/>
              <w:left w:val="single" w:sz="4" w:space="0" w:color="000000"/>
              <w:bottom w:val="single" w:sz="4" w:space="0" w:color="000000"/>
              <w:right w:val="single" w:sz="4" w:space="0" w:color="000000"/>
            </w:tcBorders>
          </w:tcPr>
          <w:p w14:paraId="4E4DCC6E" w14:textId="0ED77598" w:rsidR="00975327" w:rsidRPr="00975327" w:rsidRDefault="00975327" w:rsidP="00975327">
            <w:pPr>
              <w:jc w:val="center"/>
              <w:rPr>
                <w:sz w:val="20"/>
                <w:lang w:bidi="da-DK"/>
              </w:rPr>
            </w:pPr>
            <w:r w:rsidRPr="00975327">
              <w:rPr>
                <w:sz w:val="20"/>
                <w:lang w:bidi="da-DK"/>
              </w:rPr>
              <w:t>90/106 (84,9%)</w:t>
            </w:r>
          </w:p>
        </w:tc>
        <w:tc>
          <w:tcPr>
            <w:tcW w:w="494" w:type="pct"/>
            <w:tcBorders>
              <w:top w:val="single" w:sz="4" w:space="0" w:color="000000"/>
              <w:left w:val="single" w:sz="4" w:space="0" w:color="000000"/>
              <w:bottom w:val="single" w:sz="4" w:space="0" w:color="000000"/>
              <w:right w:val="single" w:sz="4" w:space="0" w:color="000000"/>
            </w:tcBorders>
          </w:tcPr>
          <w:p w14:paraId="19A874F3" w14:textId="621B069F" w:rsidR="00975327" w:rsidRPr="00975327" w:rsidRDefault="00975327" w:rsidP="00975327">
            <w:pPr>
              <w:jc w:val="center"/>
              <w:rPr>
                <w:sz w:val="20"/>
                <w:lang w:bidi="da-DK"/>
              </w:rPr>
            </w:pPr>
            <w:r w:rsidRPr="00975327">
              <w:rPr>
                <w:sz w:val="20"/>
                <w:lang w:bidi="da-DK"/>
              </w:rPr>
              <w:t>ND</w:t>
            </w:r>
          </w:p>
        </w:tc>
        <w:tc>
          <w:tcPr>
            <w:tcW w:w="489" w:type="pct"/>
            <w:tcBorders>
              <w:top w:val="single" w:sz="4" w:space="0" w:color="000000"/>
              <w:left w:val="single" w:sz="4" w:space="0" w:color="000000"/>
              <w:bottom w:val="single" w:sz="4" w:space="0" w:color="000000"/>
              <w:right w:val="single" w:sz="4" w:space="0" w:color="000000"/>
            </w:tcBorders>
          </w:tcPr>
          <w:p w14:paraId="6E9B51B6" w14:textId="4E926E62" w:rsidR="00975327" w:rsidRPr="00975327" w:rsidRDefault="00975327" w:rsidP="00975327">
            <w:pPr>
              <w:jc w:val="center"/>
              <w:rPr>
                <w:sz w:val="20"/>
                <w:lang w:bidi="da-DK"/>
              </w:rPr>
            </w:pPr>
            <w:r w:rsidRPr="00975327">
              <w:rPr>
                <w:sz w:val="20"/>
                <w:lang w:bidi="da-DK"/>
              </w:rPr>
              <w:t>88/93 (94,6%)</w:t>
            </w:r>
          </w:p>
        </w:tc>
      </w:tr>
      <w:tr w:rsidR="00975327" w:rsidRPr="00975327" w14:paraId="226E40DA" w14:textId="77777777" w:rsidTr="00975327">
        <w:trPr>
          <w:trHeight w:val="580"/>
        </w:trPr>
        <w:tc>
          <w:tcPr>
            <w:tcW w:w="5000" w:type="pct"/>
            <w:gridSpan w:val="9"/>
            <w:tcBorders>
              <w:top w:val="single" w:sz="4" w:space="0" w:color="000000"/>
              <w:left w:val="single" w:sz="4" w:space="0" w:color="000000"/>
              <w:bottom w:val="single" w:sz="4" w:space="0" w:color="000000"/>
              <w:right w:val="single" w:sz="4" w:space="0" w:color="000000"/>
            </w:tcBorders>
          </w:tcPr>
          <w:p w14:paraId="27553DB7" w14:textId="77777777" w:rsidR="00975327" w:rsidRPr="00975327" w:rsidRDefault="00975327" w:rsidP="00975327">
            <w:pPr>
              <w:rPr>
                <w:sz w:val="20"/>
              </w:rPr>
            </w:pPr>
            <w:r w:rsidRPr="00975327">
              <w:rPr>
                <w:sz w:val="20"/>
                <w:lang w:bidi="da-DK"/>
              </w:rPr>
              <w:t>ITT = intention om at behandle. MITT = Modificeret intention om at behandle. ND = Ikke bestemt. PP = Per protokol</w:t>
            </w:r>
          </w:p>
          <w:p w14:paraId="120D1ABF" w14:textId="77777777" w:rsidR="00E4442F" w:rsidRDefault="00975327" w:rsidP="00975327">
            <w:pPr>
              <w:rPr>
                <w:sz w:val="20"/>
                <w:lang w:bidi="da-DK"/>
              </w:rPr>
            </w:pPr>
            <w:r w:rsidRPr="00975327">
              <w:rPr>
                <w:sz w:val="20"/>
                <w:vertAlign w:val="superscript"/>
                <w:lang w:bidi="da-DK"/>
              </w:rPr>
              <w:t xml:space="preserve">a </w:t>
            </w:r>
            <w:r w:rsidRPr="00975327">
              <w:rPr>
                <w:sz w:val="20"/>
                <w:lang w:bidi="da-DK"/>
              </w:rPr>
              <w:t xml:space="preserve">Manglende værdier </w:t>
            </w:r>
            <w:proofErr w:type="spellStart"/>
            <w:r w:rsidRPr="00975327">
              <w:rPr>
                <w:sz w:val="20"/>
                <w:lang w:bidi="da-DK"/>
              </w:rPr>
              <w:t>imputeret</w:t>
            </w:r>
            <w:proofErr w:type="spellEnd"/>
            <w:r w:rsidRPr="00975327">
              <w:rPr>
                <w:sz w:val="20"/>
                <w:lang w:bidi="da-DK"/>
              </w:rPr>
              <w:t xml:space="preserve"> som ikke-udryddelse. </w:t>
            </w:r>
          </w:p>
          <w:p w14:paraId="2E7A3C76" w14:textId="14F83B71" w:rsidR="00975327" w:rsidRPr="00975327" w:rsidRDefault="00975327" w:rsidP="00975327">
            <w:pPr>
              <w:rPr>
                <w:sz w:val="20"/>
                <w:lang w:bidi="da-DK"/>
              </w:rPr>
            </w:pPr>
            <w:r w:rsidRPr="00975327">
              <w:rPr>
                <w:sz w:val="20"/>
                <w:vertAlign w:val="superscript"/>
                <w:lang w:bidi="da-DK"/>
              </w:rPr>
              <w:t xml:space="preserve">b </w:t>
            </w:r>
            <w:r w:rsidRPr="00975327">
              <w:rPr>
                <w:sz w:val="20"/>
                <w:lang w:bidi="da-DK"/>
              </w:rPr>
              <w:t xml:space="preserve">Analyse af </w:t>
            </w:r>
            <w:r w:rsidRPr="00975327">
              <w:rPr>
                <w:sz w:val="20"/>
                <w:vertAlign w:val="superscript"/>
                <w:lang w:bidi="da-DK"/>
              </w:rPr>
              <w:t xml:space="preserve">observerede </w:t>
            </w:r>
            <w:r w:rsidRPr="00975327">
              <w:rPr>
                <w:sz w:val="20"/>
                <w:lang w:bidi="da-DK"/>
              </w:rPr>
              <w:t>tilfælde.</w:t>
            </w:r>
          </w:p>
        </w:tc>
      </w:tr>
    </w:tbl>
    <w:p w14:paraId="77064284" w14:textId="77777777" w:rsidR="00D27A53" w:rsidRPr="00D27A53" w:rsidRDefault="00D27A53" w:rsidP="00D27A53">
      <w:pPr>
        <w:tabs>
          <w:tab w:val="left" w:pos="851"/>
        </w:tabs>
        <w:ind w:left="851"/>
        <w:rPr>
          <w:sz w:val="24"/>
          <w:szCs w:val="24"/>
        </w:rPr>
      </w:pPr>
    </w:p>
    <w:p w14:paraId="4632BE69" w14:textId="7C26034C" w:rsidR="00D27A53" w:rsidRPr="00D27A53" w:rsidRDefault="00D27A53" w:rsidP="00695AC0">
      <w:pPr>
        <w:ind w:left="851"/>
        <w:rPr>
          <w:sz w:val="24"/>
          <w:szCs w:val="24"/>
          <w:lang w:bidi="da-DK"/>
        </w:rPr>
      </w:pPr>
      <w:r w:rsidRPr="00D27A53">
        <w:rPr>
          <w:sz w:val="24"/>
          <w:szCs w:val="24"/>
          <w:lang w:bidi="da-DK"/>
        </w:rPr>
        <w:t xml:space="preserve">Sikkerhedsdata fra disse forsøg er inkluderet i den samlede information i </w:t>
      </w:r>
      <w:r w:rsidR="0076324F">
        <w:rPr>
          <w:sz w:val="24"/>
          <w:szCs w:val="24"/>
          <w:lang w:bidi="da-DK"/>
        </w:rPr>
        <w:t>pkt.</w:t>
      </w:r>
      <w:r w:rsidRPr="00D27A53">
        <w:rPr>
          <w:sz w:val="24"/>
          <w:szCs w:val="24"/>
          <w:lang w:bidi="da-DK"/>
        </w:rPr>
        <w:t xml:space="preserve"> 4.8.</w:t>
      </w:r>
    </w:p>
    <w:p w14:paraId="181EF82F" w14:textId="77777777" w:rsidR="00975327" w:rsidRDefault="00975327" w:rsidP="00695AC0">
      <w:pPr>
        <w:ind w:left="851"/>
        <w:rPr>
          <w:sz w:val="24"/>
          <w:szCs w:val="24"/>
          <w:u w:val="single"/>
        </w:rPr>
      </w:pPr>
    </w:p>
    <w:p w14:paraId="23BF90BF" w14:textId="362DDA5D" w:rsidR="00D27A53" w:rsidRPr="00D27A53" w:rsidRDefault="00D27A53" w:rsidP="00695AC0">
      <w:pPr>
        <w:ind w:left="851"/>
        <w:rPr>
          <w:sz w:val="24"/>
          <w:szCs w:val="24"/>
        </w:rPr>
      </w:pPr>
      <w:r w:rsidRPr="00D27A53">
        <w:rPr>
          <w:sz w:val="24"/>
          <w:szCs w:val="24"/>
          <w:u w:val="single"/>
        </w:rPr>
        <w:t>Pædiatrisk population</w:t>
      </w:r>
    </w:p>
    <w:p w14:paraId="0720B79F" w14:textId="584AD500" w:rsidR="00D27A53" w:rsidRPr="00D27A53" w:rsidRDefault="00D27A53" w:rsidP="00695AC0">
      <w:pPr>
        <w:ind w:left="851"/>
        <w:rPr>
          <w:sz w:val="24"/>
          <w:szCs w:val="24"/>
        </w:rPr>
      </w:pPr>
      <w:r w:rsidRPr="00D27A53">
        <w:rPr>
          <w:sz w:val="24"/>
          <w:szCs w:val="24"/>
          <w:lang w:bidi="da-DK"/>
        </w:rPr>
        <w:t xml:space="preserve">Det Europæiske Lægemiddelagentur har frafaldet forpligtelsen til at gennemføre undersøgelser med </w:t>
      </w:r>
      <w:proofErr w:type="spellStart"/>
      <w:r w:rsidRPr="00D27A53">
        <w:rPr>
          <w:sz w:val="24"/>
          <w:szCs w:val="24"/>
          <w:lang w:bidi="da-DK"/>
        </w:rPr>
        <w:t>Pylera</w:t>
      </w:r>
      <w:proofErr w:type="spellEnd"/>
      <w:r w:rsidRPr="00D27A53">
        <w:rPr>
          <w:sz w:val="24"/>
          <w:szCs w:val="24"/>
          <w:lang w:bidi="da-DK"/>
        </w:rPr>
        <w:t xml:space="preserve"> i alle undergrupper af den pædiatriske befolkningsgruppe med den begrundelse, at det specifikke lægemiddel sandsynligvis ikke er sikkert for denne gruppe (se </w:t>
      </w:r>
      <w:r w:rsidR="0076324F">
        <w:rPr>
          <w:sz w:val="24"/>
          <w:szCs w:val="24"/>
          <w:lang w:bidi="da-DK"/>
        </w:rPr>
        <w:t>pkt.</w:t>
      </w:r>
      <w:r w:rsidRPr="00D27A53">
        <w:rPr>
          <w:sz w:val="24"/>
          <w:szCs w:val="24"/>
          <w:lang w:bidi="da-DK"/>
        </w:rPr>
        <w:t xml:space="preserve"> 4.2 for oplysninger om pædiatrisk brug).</w:t>
      </w:r>
    </w:p>
    <w:p w14:paraId="4C897C39" w14:textId="77777777" w:rsidR="009260DE" w:rsidRPr="00A27D30" w:rsidRDefault="009260DE" w:rsidP="00695AC0">
      <w:pPr>
        <w:ind w:left="851"/>
        <w:rPr>
          <w:sz w:val="24"/>
          <w:szCs w:val="24"/>
        </w:rPr>
      </w:pPr>
    </w:p>
    <w:p w14:paraId="516F8394" w14:textId="77777777" w:rsidR="009260DE" w:rsidRPr="00A27D30" w:rsidRDefault="009260DE" w:rsidP="009260DE">
      <w:pPr>
        <w:tabs>
          <w:tab w:val="left" w:pos="851"/>
        </w:tabs>
        <w:ind w:left="851" w:hanging="851"/>
        <w:rPr>
          <w:b/>
          <w:sz w:val="24"/>
          <w:szCs w:val="24"/>
        </w:rPr>
      </w:pPr>
      <w:r w:rsidRPr="00A27D30">
        <w:rPr>
          <w:b/>
          <w:sz w:val="24"/>
          <w:szCs w:val="24"/>
        </w:rPr>
        <w:t>5.2</w:t>
      </w:r>
      <w:r w:rsidRPr="00A27D30">
        <w:rPr>
          <w:b/>
          <w:sz w:val="24"/>
          <w:szCs w:val="24"/>
        </w:rPr>
        <w:tab/>
      </w:r>
      <w:proofErr w:type="spellStart"/>
      <w:r w:rsidRPr="00A27D30">
        <w:rPr>
          <w:b/>
          <w:sz w:val="24"/>
          <w:szCs w:val="24"/>
        </w:rPr>
        <w:t>Farmakokinetiske</w:t>
      </w:r>
      <w:proofErr w:type="spellEnd"/>
      <w:r w:rsidRPr="00A27D30">
        <w:rPr>
          <w:b/>
          <w:sz w:val="24"/>
          <w:szCs w:val="24"/>
        </w:rPr>
        <w:t xml:space="preserve"> egenskaber</w:t>
      </w:r>
    </w:p>
    <w:p w14:paraId="3518AED4" w14:textId="77777777" w:rsidR="00975327" w:rsidRDefault="00975327" w:rsidP="00695AC0">
      <w:pPr>
        <w:ind w:left="851"/>
        <w:rPr>
          <w:sz w:val="24"/>
          <w:szCs w:val="24"/>
          <w:lang w:bidi="da-DK"/>
        </w:rPr>
      </w:pPr>
    </w:p>
    <w:p w14:paraId="63490DE4" w14:textId="7723D7BF" w:rsidR="00D27A53" w:rsidRPr="00D27A53" w:rsidRDefault="00D27A53" w:rsidP="00695AC0">
      <w:pPr>
        <w:ind w:left="851"/>
        <w:rPr>
          <w:sz w:val="24"/>
          <w:szCs w:val="24"/>
          <w:u w:val="single"/>
        </w:rPr>
      </w:pPr>
      <w:proofErr w:type="spellStart"/>
      <w:r w:rsidRPr="00D27A53">
        <w:rPr>
          <w:sz w:val="24"/>
          <w:szCs w:val="24"/>
          <w:u w:val="single"/>
          <w:lang w:bidi="da-DK"/>
        </w:rPr>
        <w:t>Bismuthsubcitratkalium</w:t>
      </w:r>
      <w:proofErr w:type="spellEnd"/>
      <w:r w:rsidRPr="00D27A53">
        <w:rPr>
          <w:sz w:val="24"/>
          <w:szCs w:val="24"/>
          <w:u w:val="single"/>
          <w:lang w:bidi="da-DK"/>
        </w:rPr>
        <w:t xml:space="preserve"> (</w:t>
      </w:r>
      <w:proofErr w:type="spellStart"/>
      <w:r w:rsidRPr="00D27A53">
        <w:rPr>
          <w:sz w:val="24"/>
          <w:szCs w:val="24"/>
          <w:u w:val="single"/>
          <w:lang w:bidi="da-DK"/>
        </w:rPr>
        <w:t>bismuth</w:t>
      </w:r>
      <w:proofErr w:type="spellEnd"/>
      <w:r w:rsidRPr="00D27A53">
        <w:rPr>
          <w:sz w:val="24"/>
          <w:szCs w:val="24"/>
          <w:u w:val="single"/>
          <w:lang w:bidi="da-DK"/>
        </w:rPr>
        <w:t>)</w:t>
      </w:r>
    </w:p>
    <w:p w14:paraId="04A6CD42" w14:textId="77777777" w:rsidR="00D27A53" w:rsidRPr="00D27A53" w:rsidRDefault="00D27A53" w:rsidP="00695AC0">
      <w:pPr>
        <w:ind w:left="851"/>
        <w:rPr>
          <w:sz w:val="24"/>
          <w:szCs w:val="24"/>
        </w:rPr>
      </w:pPr>
    </w:p>
    <w:p w14:paraId="0E1CFFE6" w14:textId="77777777" w:rsidR="00D27A53" w:rsidRPr="00D27A53" w:rsidRDefault="00D27A53" w:rsidP="00695AC0">
      <w:pPr>
        <w:ind w:left="851"/>
        <w:rPr>
          <w:sz w:val="24"/>
          <w:szCs w:val="24"/>
        </w:rPr>
      </w:pPr>
      <w:proofErr w:type="spellStart"/>
      <w:r w:rsidRPr="00D27A53">
        <w:rPr>
          <w:sz w:val="24"/>
          <w:szCs w:val="24"/>
          <w:lang w:bidi="da-DK"/>
        </w:rPr>
        <w:t>Bismuthsubcitratkalium</w:t>
      </w:r>
      <w:proofErr w:type="spellEnd"/>
      <w:r w:rsidRPr="00D27A53">
        <w:rPr>
          <w:sz w:val="24"/>
          <w:szCs w:val="24"/>
          <w:lang w:bidi="da-DK"/>
        </w:rPr>
        <w:t xml:space="preserve"> har en relativt lang halveringstid i plasma og blod, </w:t>
      </w:r>
      <w:bookmarkStart w:id="3" w:name="_Hlk202281771"/>
      <w:r w:rsidRPr="00D27A53">
        <w:rPr>
          <w:sz w:val="24"/>
          <w:szCs w:val="24"/>
          <w:lang w:bidi="da-DK"/>
        </w:rPr>
        <w:t xml:space="preserve">og derfor ses ophobning efter 4 gentagne doser </w:t>
      </w:r>
      <w:proofErr w:type="spellStart"/>
      <w:r w:rsidRPr="00D27A53">
        <w:rPr>
          <w:sz w:val="24"/>
          <w:szCs w:val="24"/>
          <w:lang w:bidi="da-DK"/>
        </w:rPr>
        <w:t>Pylera</w:t>
      </w:r>
      <w:proofErr w:type="spellEnd"/>
      <w:r w:rsidRPr="00D27A53">
        <w:rPr>
          <w:sz w:val="24"/>
          <w:szCs w:val="24"/>
          <w:lang w:bidi="da-DK"/>
        </w:rPr>
        <w:t xml:space="preserve"> administreret samtidig med </w:t>
      </w:r>
      <w:proofErr w:type="spellStart"/>
      <w:r w:rsidRPr="00D27A53">
        <w:rPr>
          <w:sz w:val="24"/>
          <w:szCs w:val="24"/>
          <w:lang w:bidi="da-DK"/>
        </w:rPr>
        <w:t>omeprazol</w:t>
      </w:r>
      <w:bookmarkEnd w:id="3"/>
      <w:proofErr w:type="spellEnd"/>
      <w:r w:rsidRPr="00D27A53">
        <w:rPr>
          <w:sz w:val="24"/>
          <w:szCs w:val="24"/>
          <w:lang w:bidi="da-DK"/>
        </w:rPr>
        <w:t xml:space="preserve"> 20 mg 2 gange dagligt i 10 dage. Plasma- og blodkoncentrationer af </w:t>
      </w:r>
      <w:proofErr w:type="spellStart"/>
      <w:r w:rsidRPr="00D27A53">
        <w:rPr>
          <w:sz w:val="24"/>
          <w:szCs w:val="24"/>
          <w:lang w:bidi="da-DK"/>
        </w:rPr>
        <w:t>bismuth</w:t>
      </w:r>
      <w:proofErr w:type="spellEnd"/>
      <w:r w:rsidRPr="00D27A53">
        <w:rPr>
          <w:sz w:val="24"/>
          <w:szCs w:val="24"/>
          <w:lang w:bidi="da-DK"/>
        </w:rPr>
        <w:t xml:space="preserve"> i stabil tilstand blev generelt opnået på dag 4. De gennemsnitlige plasma- og blodkoncentrationer af </w:t>
      </w:r>
      <w:proofErr w:type="spellStart"/>
      <w:r w:rsidRPr="00D27A53">
        <w:rPr>
          <w:sz w:val="24"/>
          <w:szCs w:val="24"/>
          <w:lang w:bidi="da-DK"/>
        </w:rPr>
        <w:t>bismuth</w:t>
      </w:r>
      <w:proofErr w:type="spellEnd"/>
      <w:r w:rsidRPr="00D27A53">
        <w:rPr>
          <w:sz w:val="24"/>
          <w:szCs w:val="24"/>
          <w:lang w:bidi="da-DK"/>
        </w:rPr>
        <w:t xml:space="preserve"> ved </w:t>
      </w:r>
      <w:proofErr w:type="spellStart"/>
      <w:r w:rsidRPr="00D27A53">
        <w:rPr>
          <w:sz w:val="24"/>
          <w:szCs w:val="24"/>
          <w:lang w:bidi="da-DK"/>
        </w:rPr>
        <w:t>steady</w:t>
      </w:r>
      <w:proofErr w:type="spellEnd"/>
      <w:r w:rsidRPr="00D27A53">
        <w:rPr>
          <w:sz w:val="24"/>
          <w:szCs w:val="24"/>
          <w:lang w:bidi="da-DK"/>
        </w:rPr>
        <w:t xml:space="preserve"> </w:t>
      </w:r>
      <w:proofErr w:type="spellStart"/>
      <w:r w:rsidRPr="00D27A53">
        <w:rPr>
          <w:sz w:val="24"/>
          <w:szCs w:val="24"/>
          <w:lang w:bidi="da-DK"/>
        </w:rPr>
        <w:t>state</w:t>
      </w:r>
      <w:proofErr w:type="spellEnd"/>
      <w:r w:rsidRPr="00D27A53">
        <w:rPr>
          <w:sz w:val="24"/>
          <w:szCs w:val="24"/>
          <w:lang w:bidi="da-DK"/>
        </w:rPr>
        <w:t xml:space="preserve"> på dag 10 var under 50 </w:t>
      </w:r>
      <w:proofErr w:type="spellStart"/>
      <w:r w:rsidRPr="00D27A53">
        <w:rPr>
          <w:sz w:val="24"/>
          <w:szCs w:val="24"/>
          <w:lang w:bidi="da-DK"/>
        </w:rPr>
        <w:t>μg</w:t>
      </w:r>
      <w:proofErr w:type="spellEnd"/>
      <w:r w:rsidRPr="00D27A53">
        <w:rPr>
          <w:sz w:val="24"/>
          <w:szCs w:val="24"/>
          <w:lang w:bidi="da-DK"/>
        </w:rPr>
        <w:t xml:space="preserve">/l hos alle forsøgspersoner. Plasma- og blodkoncentrationer af </w:t>
      </w:r>
      <w:proofErr w:type="spellStart"/>
      <w:r w:rsidRPr="00D27A53">
        <w:rPr>
          <w:sz w:val="24"/>
          <w:szCs w:val="24"/>
          <w:lang w:bidi="da-DK"/>
        </w:rPr>
        <w:t>bismuth</w:t>
      </w:r>
      <w:proofErr w:type="spellEnd"/>
      <w:r w:rsidRPr="00D27A53">
        <w:rPr>
          <w:sz w:val="24"/>
          <w:szCs w:val="24"/>
          <w:lang w:bidi="da-DK"/>
        </w:rPr>
        <w:t xml:space="preserve"> over 50 </w:t>
      </w:r>
      <w:proofErr w:type="spellStart"/>
      <w:r w:rsidRPr="00D27A53">
        <w:rPr>
          <w:sz w:val="24"/>
          <w:szCs w:val="24"/>
          <w:lang w:bidi="da-DK"/>
        </w:rPr>
        <w:t>μg</w:t>
      </w:r>
      <w:proofErr w:type="spellEnd"/>
      <w:r w:rsidRPr="00D27A53">
        <w:rPr>
          <w:sz w:val="24"/>
          <w:szCs w:val="24"/>
          <w:lang w:bidi="da-DK"/>
        </w:rPr>
        <w:t xml:space="preserve">/l blev dog sporadisk set hos en del forsøgspersoner (12 og 8 ud af 28 forsøgspersoner for henholdsvis plasma- og blodkoncentrationer), som var over 100 </w:t>
      </w:r>
      <w:proofErr w:type="spellStart"/>
      <w:r w:rsidRPr="00D27A53">
        <w:rPr>
          <w:sz w:val="24"/>
          <w:szCs w:val="24"/>
          <w:lang w:bidi="da-DK"/>
        </w:rPr>
        <w:t>μg</w:t>
      </w:r>
      <w:proofErr w:type="spellEnd"/>
      <w:r w:rsidRPr="00D27A53">
        <w:rPr>
          <w:sz w:val="24"/>
          <w:szCs w:val="24"/>
          <w:lang w:bidi="da-DK"/>
        </w:rPr>
        <w:t>/l hos 2 forsøgspersoner (1 forsøgsperson for både blod og plasma og 1 forsøgsperson kun for plasma), selvom de forhøjede niveauer var forbigående og blev observeret i mindre end en time ved hver lejlighed.</w:t>
      </w:r>
    </w:p>
    <w:p w14:paraId="50805757" w14:textId="77777777" w:rsidR="00975327" w:rsidRDefault="00975327" w:rsidP="00695AC0">
      <w:pPr>
        <w:ind w:left="851"/>
        <w:rPr>
          <w:sz w:val="24"/>
          <w:szCs w:val="24"/>
          <w:lang w:bidi="da-DK"/>
        </w:rPr>
      </w:pPr>
    </w:p>
    <w:p w14:paraId="0991C066" w14:textId="0EF7B8FC" w:rsidR="00D27A53" w:rsidRPr="00D27A53" w:rsidRDefault="00D27A53" w:rsidP="00695AC0">
      <w:pPr>
        <w:ind w:left="851"/>
        <w:rPr>
          <w:sz w:val="24"/>
          <w:szCs w:val="24"/>
        </w:rPr>
      </w:pPr>
      <w:r w:rsidRPr="00D27A53">
        <w:rPr>
          <w:sz w:val="24"/>
          <w:szCs w:val="24"/>
          <w:lang w:bidi="da-DK"/>
        </w:rPr>
        <w:t xml:space="preserve">Der var ingen markante forskelle mellem plasma- og blodkoncentrationer af </w:t>
      </w:r>
      <w:proofErr w:type="spellStart"/>
      <w:r w:rsidRPr="00D27A53">
        <w:rPr>
          <w:sz w:val="24"/>
          <w:szCs w:val="24"/>
          <w:lang w:bidi="da-DK"/>
        </w:rPr>
        <w:t>bismuth</w:t>
      </w:r>
      <w:proofErr w:type="spellEnd"/>
      <w:r w:rsidRPr="00D27A53">
        <w:rPr>
          <w:sz w:val="24"/>
          <w:szCs w:val="24"/>
          <w:lang w:bidi="da-DK"/>
        </w:rPr>
        <w:t xml:space="preserve"> ved hver prøvetagning op til dag 10 af doseringen og ved </w:t>
      </w:r>
      <w:proofErr w:type="spellStart"/>
      <w:r w:rsidRPr="00D27A53">
        <w:rPr>
          <w:sz w:val="24"/>
          <w:szCs w:val="24"/>
          <w:lang w:bidi="da-DK"/>
        </w:rPr>
        <w:t>steady</w:t>
      </w:r>
      <w:proofErr w:type="spellEnd"/>
      <w:r w:rsidRPr="00D27A53">
        <w:rPr>
          <w:sz w:val="24"/>
          <w:szCs w:val="24"/>
          <w:lang w:bidi="da-DK"/>
        </w:rPr>
        <w:t xml:space="preserve"> </w:t>
      </w:r>
      <w:proofErr w:type="spellStart"/>
      <w:r w:rsidRPr="00D27A53">
        <w:rPr>
          <w:sz w:val="24"/>
          <w:szCs w:val="24"/>
          <w:lang w:bidi="da-DK"/>
        </w:rPr>
        <w:t>state</w:t>
      </w:r>
      <w:proofErr w:type="spellEnd"/>
      <w:r w:rsidRPr="00D27A53">
        <w:rPr>
          <w:sz w:val="24"/>
          <w:szCs w:val="24"/>
          <w:lang w:bidi="da-DK"/>
        </w:rPr>
        <w:t xml:space="preserve"> på dag 10, hvilket viser fordeling af </w:t>
      </w:r>
      <w:proofErr w:type="spellStart"/>
      <w:r w:rsidRPr="00D27A53">
        <w:rPr>
          <w:sz w:val="24"/>
          <w:szCs w:val="24"/>
          <w:lang w:bidi="da-DK"/>
        </w:rPr>
        <w:t>bismuth</w:t>
      </w:r>
      <w:proofErr w:type="spellEnd"/>
      <w:r w:rsidRPr="00D27A53">
        <w:rPr>
          <w:sz w:val="24"/>
          <w:szCs w:val="24"/>
          <w:lang w:bidi="da-DK"/>
        </w:rPr>
        <w:t xml:space="preserve"> i blodcellerne. Den tilsyneladende terminale halveringstid (T</w:t>
      </w:r>
      <w:r w:rsidRPr="00D27A53">
        <w:rPr>
          <w:sz w:val="24"/>
          <w:szCs w:val="24"/>
          <w:vertAlign w:val="subscript"/>
          <w:lang w:bidi="da-DK"/>
        </w:rPr>
        <w:t>½el</w:t>
      </w:r>
      <w:r w:rsidRPr="00D27A53">
        <w:rPr>
          <w:sz w:val="24"/>
          <w:szCs w:val="24"/>
          <w:lang w:bidi="da-DK"/>
        </w:rPr>
        <w:t xml:space="preserve">) for </w:t>
      </w:r>
      <w:proofErr w:type="spellStart"/>
      <w:r w:rsidRPr="00D27A53">
        <w:rPr>
          <w:sz w:val="24"/>
          <w:szCs w:val="24"/>
          <w:lang w:bidi="da-DK"/>
        </w:rPr>
        <w:t>bismuth</w:t>
      </w:r>
      <w:proofErr w:type="spellEnd"/>
      <w:r w:rsidRPr="00D27A53">
        <w:rPr>
          <w:sz w:val="24"/>
          <w:szCs w:val="24"/>
          <w:lang w:bidi="da-DK"/>
        </w:rPr>
        <w:t xml:space="preserve"> i plasma blev anslået til mellem 21 og 90 timer. På grund af den mulige forbindelse mellem </w:t>
      </w:r>
      <w:proofErr w:type="spellStart"/>
      <w:r w:rsidRPr="00D27A53">
        <w:rPr>
          <w:sz w:val="24"/>
          <w:szCs w:val="24"/>
          <w:lang w:bidi="da-DK"/>
        </w:rPr>
        <w:t>bismuth</w:t>
      </w:r>
      <w:proofErr w:type="spellEnd"/>
      <w:r w:rsidRPr="00D27A53">
        <w:rPr>
          <w:sz w:val="24"/>
          <w:szCs w:val="24"/>
          <w:lang w:bidi="da-DK"/>
        </w:rPr>
        <w:t xml:space="preserve"> og blodceller var T</w:t>
      </w:r>
      <w:r w:rsidRPr="00D27A53">
        <w:rPr>
          <w:sz w:val="24"/>
          <w:szCs w:val="24"/>
          <w:vertAlign w:val="subscript"/>
          <w:lang w:bidi="da-DK"/>
        </w:rPr>
        <w:t>½el</w:t>
      </w:r>
      <w:r w:rsidRPr="00D27A53">
        <w:rPr>
          <w:sz w:val="24"/>
          <w:szCs w:val="24"/>
          <w:lang w:bidi="da-DK"/>
        </w:rPr>
        <w:t xml:space="preserve"> af </w:t>
      </w:r>
      <w:proofErr w:type="spellStart"/>
      <w:r w:rsidRPr="00D27A53">
        <w:rPr>
          <w:sz w:val="24"/>
          <w:szCs w:val="24"/>
          <w:lang w:bidi="da-DK"/>
        </w:rPr>
        <w:t>bismuth</w:t>
      </w:r>
      <w:proofErr w:type="spellEnd"/>
      <w:r w:rsidRPr="00D27A53">
        <w:rPr>
          <w:sz w:val="24"/>
          <w:szCs w:val="24"/>
          <w:lang w:bidi="da-DK"/>
        </w:rPr>
        <w:t xml:space="preserve"> i blod derimod længere (anslået til mellem 192 og 605 timer hos individuelle forsøgspersoner).</w:t>
      </w:r>
    </w:p>
    <w:p w14:paraId="28EBF073" w14:textId="1CC4A746" w:rsidR="0076324F" w:rsidRDefault="0076324F">
      <w:pPr>
        <w:rPr>
          <w:sz w:val="24"/>
          <w:szCs w:val="24"/>
          <w:u w:val="single"/>
          <w:lang w:bidi="da-DK"/>
        </w:rPr>
      </w:pPr>
      <w:r>
        <w:rPr>
          <w:sz w:val="24"/>
          <w:szCs w:val="24"/>
          <w:u w:val="single"/>
          <w:lang w:bidi="da-DK"/>
        </w:rPr>
        <w:br w:type="page"/>
      </w:r>
    </w:p>
    <w:p w14:paraId="3F51DB02" w14:textId="77777777" w:rsidR="00975327" w:rsidRDefault="00975327" w:rsidP="00695AC0">
      <w:pPr>
        <w:ind w:left="851"/>
        <w:rPr>
          <w:sz w:val="24"/>
          <w:szCs w:val="24"/>
          <w:u w:val="single"/>
          <w:lang w:bidi="da-DK"/>
        </w:rPr>
      </w:pPr>
    </w:p>
    <w:p w14:paraId="378EB21E" w14:textId="66A37C7F" w:rsidR="00D27A53" w:rsidRPr="00D27A53" w:rsidRDefault="00D27A53" w:rsidP="00695AC0">
      <w:pPr>
        <w:ind w:left="851"/>
        <w:rPr>
          <w:sz w:val="24"/>
          <w:szCs w:val="24"/>
          <w:u w:val="single"/>
        </w:rPr>
      </w:pPr>
      <w:proofErr w:type="spellStart"/>
      <w:r w:rsidRPr="00D27A53">
        <w:rPr>
          <w:sz w:val="24"/>
          <w:szCs w:val="24"/>
          <w:u w:val="single"/>
          <w:lang w:bidi="da-DK"/>
        </w:rPr>
        <w:t>Metronidazol</w:t>
      </w:r>
      <w:proofErr w:type="spellEnd"/>
    </w:p>
    <w:p w14:paraId="7853F10D" w14:textId="77777777" w:rsidR="00D27A53" w:rsidRPr="00D27A53" w:rsidRDefault="00D27A53" w:rsidP="00695AC0">
      <w:pPr>
        <w:ind w:left="851"/>
        <w:rPr>
          <w:sz w:val="24"/>
          <w:szCs w:val="24"/>
        </w:rPr>
      </w:pPr>
      <w:r w:rsidRPr="00D27A53">
        <w:rPr>
          <w:sz w:val="24"/>
          <w:szCs w:val="24"/>
          <w:lang w:bidi="da-DK"/>
        </w:rPr>
        <w:t xml:space="preserve">Efter oral indtagelse absorberes </w:t>
      </w:r>
      <w:proofErr w:type="spellStart"/>
      <w:r w:rsidRPr="00D27A53">
        <w:rPr>
          <w:sz w:val="24"/>
          <w:szCs w:val="24"/>
          <w:lang w:bidi="da-DK"/>
        </w:rPr>
        <w:t>metronidazol</w:t>
      </w:r>
      <w:proofErr w:type="spellEnd"/>
      <w:r w:rsidRPr="00D27A53">
        <w:rPr>
          <w:sz w:val="24"/>
          <w:szCs w:val="24"/>
          <w:lang w:bidi="da-DK"/>
        </w:rPr>
        <w:t xml:space="preserve"> godt, og den højeste plasmakoncentration forekommer mellem 1 og 2 timer efter indtagelsen. Plasmakoncentrationen af </w:t>
      </w:r>
      <w:proofErr w:type="spellStart"/>
      <w:r w:rsidRPr="00D27A53">
        <w:rPr>
          <w:sz w:val="24"/>
          <w:szCs w:val="24"/>
          <w:lang w:bidi="da-DK"/>
        </w:rPr>
        <w:t>metronidazol</w:t>
      </w:r>
      <w:proofErr w:type="spellEnd"/>
      <w:r w:rsidRPr="00D27A53">
        <w:rPr>
          <w:sz w:val="24"/>
          <w:szCs w:val="24"/>
          <w:lang w:bidi="da-DK"/>
        </w:rPr>
        <w:t xml:space="preserve"> er proportional med den indgivne dosis, hvor oral indgivelse af 500 mg giver en maksimal plasmakoncentration på ca. 12 µg/ml.</w:t>
      </w:r>
    </w:p>
    <w:p w14:paraId="4C5D9E8E" w14:textId="77777777" w:rsidR="00975327" w:rsidRDefault="00975327" w:rsidP="00695AC0">
      <w:pPr>
        <w:ind w:left="851"/>
        <w:rPr>
          <w:sz w:val="24"/>
          <w:szCs w:val="24"/>
          <w:lang w:bidi="da-DK"/>
        </w:rPr>
      </w:pPr>
    </w:p>
    <w:p w14:paraId="47537CDA" w14:textId="6B3F8757" w:rsidR="00D27A53" w:rsidRPr="00D27A53" w:rsidRDefault="00D27A53" w:rsidP="00695AC0">
      <w:pPr>
        <w:ind w:left="851"/>
        <w:rPr>
          <w:sz w:val="24"/>
          <w:szCs w:val="24"/>
        </w:rPr>
      </w:pPr>
      <w:proofErr w:type="spellStart"/>
      <w:r w:rsidRPr="00D27A53">
        <w:rPr>
          <w:sz w:val="24"/>
          <w:szCs w:val="24"/>
          <w:lang w:bidi="da-DK"/>
        </w:rPr>
        <w:t>Metronidazol</w:t>
      </w:r>
      <w:proofErr w:type="spellEnd"/>
      <w:r w:rsidRPr="00D27A53">
        <w:rPr>
          <w:sz w:val="24"/>
          <w:szCs w:val="24"/>
          <w:lang w:bidi="da-DK"/>
        </w:rPr>
        <w:t xml:space="preserve"> forekommer i plasma hovedsageligt som uændret forbindelse og med tilstedeværelse af mindre mængder af 2-hydroxymethylmetabolitten også. Mindre end 20</w:t>
      </w:r>
      <w:r w:rsidR="0076324F">
        <w:rPr>
          <w:sz w:val="24"/>
          <w:szCs w:val="24"/>
          <w:lang w:bidi="da-DK"/>
        </w:rPr>
        <w:t> </w:t>
      </w:r>
      <w:r w:rsidRPr="00D27A53">
        <w:rPr>
          <w:sz w:val="24"/>
          <w:szCs w:val="24"/>
          <w:lang w:bidi="da-DK"/>
        </w:rPr>
        <w:t xml:space="preserve">% af den cirkulerende </w:t>
      </w:r>
      <w:proofErr w:type="spellStart"/>
      <w:r w:rsidRPr="00D27A53">
        <w:rPr>
          <w:sz w:val="24"/>
          <w:szCs w:val="24"/>
          <w:lang w:bidi="da-DK"/>
        </w:rPr>
        <w:t>metronidazol</w:t>
      </w:r>
      <w:proofErr w:type="spellEnd"/>
      <w:r w:rsidRPr="00D27A53">
        <w:rPr>
          <w:sz w:val="24"/>
          <w:szCs w:val="24"/>
          <w:lang w:bidi="da-DK"/>
        </w:rPr>
        <w:t xml:space="preserve"> er bundet til plasmaproteiner. </w:t>
      </w:r>
      <w:proofErr w:type="spellStart"/>
      <w:r w:rsidRPr="00D27A53">
        <w:rPr>
          <w:sz w:val="24"/>
          <w:szCs w:val="24"/>
          <w:lang w:bidi="da-DK"/>
        </w:rPr>
        <w:t>Metronidazol</w:t>
      </w:r>
      <w:proofErr w:type="spellEnd"/>
      <w:r w:rsidRPr="00D27A53">
        <w:rPr>
          <w:sz w:val="24"/>
          <w:szCs w:val="24"/>
          <w:lang w:bidi="da-DK"/>
        </w:rPr>
        <w:t xml:space="preserve"> forekommer også i cerebrospinalvæske, spyt og modermælk i koncentrationer, der svarer til dem, der findes i plasma.</w:t>
      </w:r>
    </w:p>
    <w:p w14:paraId="7CB2B0B7" w14:textId="77777777" w:rsidR="00975327" w:rsidRDefault="00975327" w:rsidP="00695AC0">
      <w:pPr>
        <w:ind w:left="851"/>
        <w:rPr>
          <w:sz w:val="24"/>
          <w:szCs w:val="24"/>
          <w:lang w:bidi="da-DK"/>
        </w:rPr>
      </w:pPr>
    </w:p>
    <w:p w14:paraId="68E99E38" w14:textId="3E988853" w:rsidR="00D27A53" w:rsidRPr="00D27A53" w:rsidRDefault="00D27A53" w:rsidP="00695AC0">
      <w:pPr>
        <w:ind w:left="851"/>
        <w:rPr>
          <w:sz w:val="24"/>
          <w:szCs w:val="24"/>
        </w:rPr>
      </w:pPr>
      <w:r w:rsidRPr="00D27A53">
        <w:rPr>
          <w:sz w:val="24"/>
          <w:szCs w:val="24"/>
          <w:lang w:bidi="da-DK"/>
        </w:rPr>
        <w:t xml:space="preserve">Den gennemsnitlige eliminationshalveringstid for </w:t>
      </w:r>
      <w:proofErr w:type="spellStart"/>
      <w:r w:rsidRPr="00D27A53">
        <w:rPr>
          <w:sz w:val="24"/>
          <w:szCs w:val="24"/>
          <w:lang w:bidi="da-DK"/>
        </w:rPr>
        <w:t>metronidazol</w:t>
      </w:r>
      <w:proofErr w:type="spellEnd"/>
      <w:r w:rsidRPr="00D27A53">
        <w:rPr>
          <w:sz w:val="24"/>
          <w:szCs w:val="24"/>
          <w:lang w:bidi="da-DK"/>
        </w:rPr>
        <w:t xml:space="preserve"> hos normale frivillige er 8 timer. </w:t>
      </w:r>
      <w:proofErr w:type="spellStart"/>
      <w:r w:rsidRPr="00D27A53">
        <w:rPr>
          <w:sz w:val="24"/>
          <w:szCs w:val="24"/>
          <w:lang w:bidi="da-DK"/>
        </w:rPr>
        <w:t>Metronidazol</w:t>
      </w:r>
      <w:proofErr w:type="spellEnd"/>
      <w:r w:rsidRPr="00D27A53">
        <w:rPr>
          <w:sz w:val="24"/>
          <w:szCs w:val="24"/>
          <w:lang w:bidi="da-DK"/>
        </w:rPr>
        <w:t xml:space="preserve"> og dets metabolitter udskilles hovedsageligt via urinen (60-80 % af dosis), mens 6-15 % af dosis udskilles via fæces. De metabolitter, der forekommer i urinen, skyldes primært oxidation af sidekæder [1-(β-</w:t>
      </w:r>
      <w:proofErr w:type="spellStart"/>
      <w:r w:rsidRPr="00D27A53">
        <w:rPr>
          <w:sz w:val="24"/>
          <w:szCs w:val="24"/>
          <w:lang w:bidi="da-DK"/>
        </w:rPr>
        <w:t>hydroxyethyl</w:t>
      </w:r>
      <w:proofErr w:type="spellEnd"/>
      <w:r w:rsidRPr="00D27A53">
        <w:rPr>
          <w:sz w:val="24"/>
          <w:szCs w:val="24"/>
          <w:lang w:bidi="da-DK"/>
        </w:rPr>
        <w:t xml:space="preserve">) 2-hydroxymethyl-5-nitroimidazol og 2-methyl-5-nitroimidazol-1-yl-eddikesyre] og </w:t>
      </w:r>
      <w:proofErr w:type="spellStart"/>
      <w:r w:rsidRPr="00D27A53">
        <w:rPr>
          <w:sz w:val="24"/>
          <w:szCs w:val="24"/>
          <w:lang w:bidi="da-DK"/>
        </w:rPr>
        <w:t>glucuronidkonjugering</w:t>
      </w:r>
      <w:proofErr w:type="spellEnd"/>
      <w:r w:rsidRPr="00D27A53">
        <w:rPr>
          <w:sz w:val="24"/>
          <w:szCs w:val="24"/>
          <w:lang w:bidi="da-DK"/>
        </w:rPr>
        <w:t xml:space="preserve">, hvor uændret </w:t>
      </w:r>
      <w:proofErr w:type="spellStart"/>
      <w:r w:rsidRPr="00D27A53">
        <w:rPr>
          <w:sz w:val="24"/>
          <w:szCs w:val="24"/>
          <w:lang w:bidi="da-DK"/>
        </w:rPr>
        <w:t>metronidazol</w:t>
      </w:r>
      <w:proofErr w:type="spellEnd"/>
      <w:r w:rsidRPr="00D27A53">
        <w:rPr>
          <w:sz w:val="24"/>
          <w:szCs w:val="24"/>
          <w:lang w:bidi="da-DK"/>
        </w:rPr>
        <w:t xml:space="preserve"> udgør ca. 20 % af den samlede mængde. </w:t>
      </w:r>
      <w:proofErr w:type="spellStart"/>
      <w:r w:rsidRPr="00D27A53">
        <w:rPr>
          <w:sz w:val="24"/>
          <w:szCs w:val="24"/>
          <w:lang w:bidi="da-DK"/>
        </w:rPr>
        <w:t>Renal</w:t>
      </w:r>
      <w:proofErr w:type="spellEnd"/>
      <w:r w:rsidRPr="00D27A53">
        <w:rPr>
          <w:sz w:val="24"/>
          <w:szCs w:val="24"/>
          <w:lang w:bidi="da-DK"/>
        </w:rPr>
        <w:t xml:space="preserve"> </w:t>
      </w:r>
      <w:proofErr w:type="spellStart"/>
      <w:r w:rsidRPr="00D27A53">
        <w:rPr>
          <w:sz w:val="24"/>
          <w:szCs w:val="24"/>
          <w:lang w:bidi="da-DK"/>
        </w:rPr>
        <w:t>clearance</w:t>
      </w:r>
      <w:proofErr w:type="spellEnd"/>
      <w:r w:rsidRPr="00D27A53">
        <w:rPr>
          <w:sz w:val="24"/>
          <w:szCs w:val="24"/>
          <w:lang w:bidi="da-DK"/>
        </w:rPr>
        <w:t xml:space="preserve"> af </w:t>
      </w:r>
      <w:proofErr w:type="spellStart"/>
      <w:r w:rsidRPr="00D27A53">
        <w:rPr>
          <w:sz w:val="24"/>
          <w:szCs w:val="24"/>
          <w:lang w:bidi="da-DK"/>
        </w:rPr>
        <w:t>metronidazol</w:t>
      </w:r>
      <w:proofErr w:type="spellEnd"/>
      <w:r w:rsidRPr="00D27A53">
        <w:rPr>
          <w:sz w:val="24"/>
          <w:szCs w:val="24"/>
          <w:lang w:bidi="da-DK"/>
        </w:rPr>
        <w:t xml:space="preserve"> er ca. 10 ml/min/1,73 m</w:t>
      </w:r>
      <w:r w:rsidRPr="00D27A53">
        <w:rPr>
          <w:sz w:val="24"/>
          <w:szCs w:val="24"/>
          <w:vertAlign w:val="superscript"/>
          <w:lang w:bidi="da-DK"/>
        </w:rPr>
        <w:t>3</w:t>
      </w:r>
      <w:r w:rsidRPr="00D27A53">
        <w:rPr>
          <w:sz w:val="24"/>
          <w:szCs w:val="24"/>
          <w:lang w:bidi="da-DK"/>
        </w:rPr>
        <w:t>.</w:t>
      </w:r>
    </w:p>
    <w:p w14:paraId="1B5FCB3D" w14:textId="77777777" w:rsidR="00975327" w:rsidRDefault="00975327" w:rsidP="00695AC0">
      <w:pPr>
        <w:ind w:left="851"/>
        <w:rPr>
          <w:sz w:val="24"/>
          <w:szCs w:val="24"/>
          <w:lang w:bidi="da-DK"/>
        </w:rPr>
      </w:pPr>
    </w:p>
    <w:p w14:paraId="6567C12E" w14:textId="6E325124" w:rsidR="00D27A53" w:rsidRPr="00D27A53" w:rsidRDefault="00D27A53" w:rsidP="00695AC0">
      <w:pPr>
        <w:ind w:left="851"/>
        <w:rPr>
          <w:sz w:val="24"/>
          <w:szCs w:val="24"/>
        </w:rPr>
      </w:pPr>
      <w:r w:rsidRPr="00D27A53">
        <w:rPr>
          <w:sz w:val="24"/>
          <w:szCs w:val="24"/>
          <w:lang w:bidi="da-DK"/>
        </w:rPr>
        <w:t xml:space="preserve">Nedsat nyrefunktion ændrer ikke </w:t>
      </w:r>
      <w:proofErr w:type="spellStart"/>
      <w:r w:rsidRPr="00D27A53">
        <w:rPr>
          <w:sz w:val="24"/>
          <w:szCs w:val="24"/>
          <w:lang w:bidi="da-DK"/>
        </w:rPr>
        <w:t>metronidazols</w:t>
      </w:r>
      <w:proofErr w:type="spellEnd"/>
      <w:r w:rsidRPr="00D27A53">
        <w:rPr>
          <w:sz w:val="24"/>
          <w:szCs w:val="24"/>
          <w:lang w:bidi="da-DK"/>
        </w:rPr>
        <w:t xml:space="preserve"> farmakokinetik i enkeltdosis. Hos patienter med nedsat leverfunktion nedsættes </w:t>
      </w:r>
      <w:proofErr w:type="spellStart"/>
      <w:r w:rsidRPr="00D27A53">
        <w:rPr>
          <w:sz w:val="24"/>
          <w:szCs w:val="24"/>
          <w:lang w:bidi="da-DK"/>
        </w:rPr>
        <w:t>plasmaclearance</w:t>
      </w:r>
      <w:proofErr w:type="spellEnd"/>
      <w:r w:rsidRPr="00D27A53">
        <w:rPr>
          <w:sz w:val="24"/>
          <w:szCs w:val="24"/>
          <w:lang w:bidi="da-DK"/>
        </w:rPr>
        <w:t xml:space="preserve"> af </w:t>
      </w:r>
      <w:proofErr w:type="spellStart"/>
      <w:r w:rsidRPr="00D27A53">
        <w:rPr>
          <w:sz w:val="24"/>
          <w:szCs w:val="24"/>
          <w:lang w:bidi="da-DK"/>
        </w:rPr>
        <w:t>metronidazol</w:t>
      </w:r>
      <w:proofErr w:type="spellEnd"/>
      <w:r w:rsidRPr="00D27A53">
        <w:rPr>
          <w:sz w:val="24"/>
          <w:szCs w:val="24"/>
          <w:lang w:bidi="da-DK"/>
        </w:rPr>
        <w:t>.</w:t>
      </w:r>
    </w:p>
    <w:p w14:paraId="602FCD8D" w14:textId="77777777" w:rsidR="00975327" w:rsidRDefault="00975327" w:rsidP="00695AC0">
      <w:pPr>
        <w:ind w:left="851"/>
        <w:rPr>
          <w:sz w:val="24"/>
          <w:szCs w:val="24"/>
          <w:u w:val="single"/>
          <w:lang w:bidi="da-DK"/>
        </w:rPr>
      </w:pPr>
    </w:p>
    <w:p w14:paraId="586ADEB2" w14:textId="4504B20F" w:rsidR="00D27A53" w:rsidRPr="00D27A53" w:rsidRDefault="00D27A53" w:rsidP="00695AC0">
      <w:pPr>
        <w:ind w:left="851"/>
        <w:rPr>
          <w:sz w:val="24"/>
          <w:szCs w:val="24"/>
          <w:u w:val="single"/>
        </w:rPr>
      </w:pPr>
      <w:proofErr w:type="spellStart"/>
      <w:r w:rsidRPr="00D27A53">
        <w:rPr>
          <w:sz w:val="24"/>
          <w:szCs w:val="24"/>
          <w:u w:val="single"/>
          <w:lang w:bidi="da-DK"/>
        </w:rPr>
        <w:t>Tetracyclinhydroklorid</w:t>
      </w:r>
      <w:proofErr w:type="spellEnd"/>
    </w:p>
    <w:p w14:paraId="16EE3C77" w14:textId="77777777" w:rsidR="00D27A53" w:rsidRPr="00D27A53" w:rsidRDefault="00D27A53" w:rsidP="00695AC0">
      <w:pPr>
        <w:ind w:left="851"/>
        <w:rPr>
          <w:sz w:val="24"/>
          <w:szCs w:val="24"/>
        </w:rPr>
      </w:pPr>
      <w:r w:rsidRPr="00D27A53">
        <w:rPr>
          <w:sz w:val="24"/>
          <w:szCs w:val="24"/>
          <w:lang w:bidi="da-DK"/>
        </w:rPr>
        <w:t>Tetracyklin optages (60-90 %) i mavesækken og den øverste del af tyndtarmen. Tilstedeværelsen af mad, mælk eller kationer kan nedsætte optagelsen betydeligt. I plasma er tetracyklin bundet til plasmaproteiner i varierende grad. Det opkoncentreres af leveren i galden og udskilles i urinen og fæces i høje koncentrationer i biologisk aktiv form.</w:t>
      </w:r>
    </w:p>
    <w:p w14:paraId="4C9266FD" w14:textId="77777777" w:rsidR="00D27A53" w:rsidRPr="00D27A53" w:rsidRDefault="00D27A53" w:rsidP="00695AC0">
      <w:pPr>
        <w:ind w:left="851"/>
        <w:rPr>
          <w:sz w:val="24"/>
          <w:szCs w:val="24"/>
        </w:rPr>
      </w:pPr>
      <w:r w:rsidRPr="00D27A53">
        <w:rPr>
          <w:sz w:val="24"/>
          <w:szCs w:val="24"/>
          <w:lang w:bidi="da-DK"/>
        </w:rPr>
        <w:t xml:space="preserve">Tetracyklin fordeles i de fleste kropsvæv og -væsker. Det fordeles i galden og gennemgår varierende grader af </w:t>
      </w:r>
      <w:proofErr w:type="spellStart"/>
      <w:r w:rsidRPr="00D27A53">
        <w:rPr>
          <w:sz w:val="24"/>
          <w:szCs w:val="24"/>
          <w:lang w:bidi="da-DK"/>
        </w:rPr>
        <w:t>enterohepatisk</w:t>
      </w:r>
      <w:proofErr w:type="spellEnd"/>
      <w:r w:rsidRPr="00D27A53">
        <w:rPr>
          <w:sz w:val="24"/>
          <w:szCs w:val="24"/>
          <w:lang w:bidi="da-DK"/>
        </w:rPr>
        <w:t xml:space="preserve"> recirkulation. Tetracyklin har en tendens til at lokalisere sig i tumorer, nekrotisk eller iskæmisk væv, lever og milt og danne tetracyklin-</w:t>
      </w:r>
      <w:proofErr w:type="spellStart"/>
      <w:r w:rsidRPr="00D27A53">
        <w:rPr>
          <w:sz w:val="24"/>
          <w:szCs w:val="24"/>
          <w:lang w:bidi="da-DK"/>
        </w:rPr>
        <w:t>calciumorthofosfat</w:t>
      </w:r>
      <w:proofErr w:type="spellEnd"/>
      <w:r w:rsidRPr="00D27A53">
        <w:rPr>
          <w:sz w:val="24"/>
          <w:szCs w:val="24"/>
          <w:lang w:bidi="da-DK"/>
        </w:rPr>
        <w:t>-komplekser på steder med ny knogledannelse eller tandudvikling. Tetracyklin krydser let moderkagen og udskilles i store mængder i modermælken.</w:t>
      </w:r>
    </w:p>
    <w:p w14:paraId="2785D5DF" w14:textId="77777777" w:rsidR="00D27A53" w:rsidRPr="00D27A53" w:rsidRDefault="00D27A53" w:rsidP="00695AC0">
      <w:pPr>
        <w:ind w:left="851"/>
        <w:rPr>
          <w:sz w:val="24"/>
          <w:szCs w:val="24"/>
        </w:rPr>
      </w:pPr>
    </w:p>
    <w:p w14:paraId="546A9D4F" w14:textId="77777777" w:rsidR="00D27A53" w:rsidRPr="00D27A53" w:rsidRDefault="00D27A53" w:rsidP="00695AC0">
      <w:pPr>
        <w:ind w:left="851"/>
        <w:rPr>
          <w:sz w:val="24"/>
          <w:szCs w:val="24"/>
          <w:u w:val="single"/>
        </w:rPr>
      </w:pPr>
      <w:proofErr w:type="spellStart"/>
      <w:r w:rsidRPr="00D27A53">
        <w:rPr>
          <w:sz w:val="24"/>
          <w:szCs w:val="24"/>
          <w:u w:val="single"/>
          <w:lang w:bidi="da-DK"/>
        </w:rPr>
        <w:t>Pylera</w:t>
      </w:r>
      <w:proofErr w:type="spellEnd"/>
      <w:r w:rsidRPr="00D27A53">
        <w:rPr>
          <w:sz w:val="24"/>
          <w:szCs w:val="24"/>
          <w:u w:val="single"/>
          <w:lang w:bidi="da-DK"/>
        </w:rPr>
        <w:t xml:space="preserve"> kapsler</w:t>
      </w:r>
    </w:p>
    <w:p w14:paraId="1921BC9D" w14:textId="77777777" w:rsidR="00D27A53" w:rsidRPr="00D27A53" w:rsidRDefault="00D27A53" w:rsidP="00695AC0">
      <w:pPr>
        <w:ind w:left="851"/>
        <w:rPr>
          <w:sz w:val="24"/>
          <w:szCs w:val="24"/>
        </w:rPr>
      </w:pPr>
      <w:r w:rsidRPr="00D27A53">
        <w:rPr>
          <w:sz w:val="24"/>
          <w:szCs w:val="24"/>
          <w:lang w:bidi="da-DK"/>
        </w:rPr>
        <w:t xml:space="preserve">Den kliniske betydning af systemiske, sammenlignet med lokale, koncentrationer af det aktive stof for den antimikrobielle aktivitet af </w:t>
      </w:r>
      <w:proofErr w:type="spellStart"/>
      <w:r w:rsidRPr="00D27A53">
        <w:rPr>
          <w:sz w:val="24"/>
          <w:szCs w:val="24"/>
          <w:lang w:bidi="da-DK"/>
        </w:rPr>
        <w:t>Pylera</w:t>
      </w:r>
      <w:proofErr w:type="spellEnd"/>
      <w:r w:rsidRPr="00D27A53">
        <w:rPr>
          <w:sz w:val="24"/>
          <w:szCs w:val="24"/>
          <w:lang w:bidi="da-DK"/>
        </w:rPr>
        <w:t xml:space="preserve"> mod </w:t>
      </w:r>
      <w:proofErr w:type="spellStart"/>
      <w:r w:rsidRPr="00D27A53">
        <w:rPr>
          <w:i/>
          <w:sz w:val="24"/>
          <w:szCs w:val="24"/>
          <w:lang w:bidi="da-DK"/>
        </w:rPr>
        <w:t>Helicobacter</w:t>
      </w:r>
      <w:proofErr w:type="spellEnd"/>
      <w:r w:rsidRPr="00D27A53">
        <w:rPr>
          <w:i/>
          <w:sz w:val="24"/>
          <w:szCs w:val="24"/>
          <w:lang w:bidi="da-DK"/>
        </w:rPr>
        <w:t xml:space="preserve"> </w:t>
      </w:r>
      <w:proofErr w:type="spellStart"/>
      <w:r w:rsidRPr="00D27A53">
        <w:rPr>
          <w:i/>
          <w:sz w:val="24"/>
          <w:szCs w:val="24"/>
          <w:lang w:bidi="da-DK"/>
        </w:rPr>
        <w:t>pylori</w:t>
      </w:r>
      <w:proofErr w:type="spellEnd"/>
      <w:r w:rsidRPr="00D27A53">
        <w:rPr>
          <w:i/>
          <w:sz w:val="24"/>
          <w:szCs w:val="24"/>
          <w:lang w:bidi="da-DK"/>
        </w:rPr>
        <w:t xml:space="preserve">, </w:t>
      </w:r>
      <w:r w:rsidRPr="00D27A53">
        <w:rPr>
          <w:sz w:val="24"/>
          <w:szCs w:val="24"/>
          <w:lang w:bidi="da-DK"/>
        </w:rPr>
        <w:t xml:space="preserve">er ikke fastslået. En sammenlignende biotilgængelighedsundersøgelse af </w:t>
      </w:r>
      <w:proofErr w:type="spellStart"/>
      <w:r w:rsidRPr="00D27A53">
        <w:rPr>
          <w:sz w:val="24"/>
          <w:szCs w:val="24"/>
          <w:lang w:bidi="da-DK"/>
        </w:rPr>
        <w:t>metronidazol</w:t>
      </w:r>
      <w:proofErr w:type="spellEnd"/>
      <w:r w:rsidRPr="00D27A53">
        <w:rPr>
          <w:sz w:val="24"/>
          <w:szCs w:val="24"/>
          <w:lang w:bidi="da-DK"/>
        </w:rPr>
        <w:t xml:space="preserve"> (375 mg), tetracyklin (375 mg) og </w:t>
      </w:r>
      <w:proofErr w:type="spellStart"/>
      <w:r w:rsidRPr="00D27A53">
        <w:rPr>
          <w:sz w:val="24"/>
          <w:szCs w:val="24"/>
          <w:lang w:bidi="da-DK"/>
        </w:rPr>
        <w:t>bismuthsubcitratkalium</w:t>
      </w:r>
      <w:proofErr w:type="spellEnd"/>
      <w:r w:rsidRPr="00D27A53">
        <w:rPr>
          <w:sz w:val="24"/>
          <w:szCs w:val="24"/>
          <w:lang w:bidi="da-DK"/>
        </w:rPr>
        <w:t xml:space="preserve"> (420 mg, svarende til 120 mg </w:t>
      </w:r>
      <w:proofErr w:type="spellStart"/>
      <w:r w:rsidRPr="00D27A53">
        <w:rPr>
          <w:sz w:val="24"/>
          <w:szCs w:val="24"/>
          <w:lang w:bidi="da-DK"/>
        </w:rPr>
        <w:t>bismuthoxid</w:t>
      </w:r>
      <w:proofErr w:type="spellEnd"/>
      <w:r w:rsidRPr="00D27A53">
        <w:rPr>
          <w:sz w:val="24"/>
          <w:szCs w:val="24"/>
          <w:lang w:bidi="da-DK"/>
        </w:rPr>
        <w:t xml:space="preserve"> (Bi</w:t>
      </w:r>
      <w:r w:rsidRPr="00D27A53">
        <w:rPr>
          <w:sz w:val="24"/>
          <w:szCs w:val="24"/>
          <w:vertAlign w:val="subscript"/>
          <w:lang w:bidi="da-DK"/>
        </w:rPr>
        <w:t>2</w:t>
      </w:r>
      <w:r w:rsidRPr="00D27A53">
        <w:rPr>
          <w:sz w:val="24"/>
          <w:szCs w:val="24"/>
          <w:lang w:bidi="da-DK"/>
        </w:rPr>
        <w:t>O</w:t>
      </w:r>
      <w:r w:rsidRPr="00D27A53">
        <w:rPr>
          <w:sz w:val="24"/>
          <w:szCs w:val="24"/>
          <w:vertAlign w:val="subscript"/>
          <w:lang w:bidi="da-DK"/>
        </w:rPr>
        <w:t>3</w:t>
      </w:r>
      <w:r w:rsidRPr="00D27A53">
        <w:rPr>
          <w:sz w:val="24"/>
          <w:szCs w:val="24"/>
          <w:lang w:bidi="da-DK"/>
        </w:rPr>
        <w:t xml:space="preserve">)) administreret som </w:t>
      </w:r>
      <w:proofErr w:type="spellStart"/>
      <w:r w:rsidRPr="00D27A53">
        <w:rPr>
          <w:sz w:val="24"/>
          <w:szCs w:val="24"/>
          <w:lang w:bidi="da-DK"/>
        </w:rPr>
        <w:t>Pylera</w:t>
      </w:r>
      <w:proofErr w:type="spellEnd"/>
      <w:r w:rsidRPr="00D27A53">
        <w:rPr>
          <w:sz w:val="24"/>
          <w:szCs w:val="24"/>
          <w:lang w:bidi="da-DK"/>
        </w:rPr>
        <w:t xml:space="preserve"> eller som 3 separate kapselformuleringer administreret samtidigt, blev udført i raske mandlige frivillige. De </w:t>
      </w:r>
      <w:proofErr w:type="spellStart"/>
      <w:r w:rsidRPr="00D27A53">
        <w:rPr>
          <w:sz w:val="24"/>
          <w:szCs w:val="24"/>
          <w:lang w:bidi="da-DK"/>
        </w:rPr>
        <w:t>farmakokinetiske</w:t>
      </w:r>
      <w:proofErr w:type="spellEnd"/>
      <w:r w:rsidRPr="00D27A53">
        <w:rPr>
          <w:sz w:val="24"/>
          <w:szCs w:val="24"/>
          <w:lang w:bidi="da-DK"/>
        </w:rPr>
        <w:t xml:space="preserve"> parametre for de enkelte aktive stoffer, når de blev administreret som separate kapselformuleringer eller som </w:t>
      </w:r>
      <w:proofErr w:type="spellStart"/>
      <w:r w:rsidRPr="00D27A53">
        <w:rPr>
          <w:sz w:val="24"/>
          <w:szCs w:val="24"/>
          <w:lang w:bidi="da-DK"/>
        </w:rPr>
        <w:t>Pylera</w:t>
      </w:r>
      <w:proofErr w:type="spellEnd"/>
      <w:r w:rsidRPr="00D27A53">
        <w:rPr>
          <w:sz w:val="24"/>
          <w:szCs w:val="24"/>
          <w:lang w:bidi="da-DK"/>
        </w:rPr>
        <w:t>, var ens.</w:t>
      </w:r>
    </w:p>
    <w:p w14:paraId="48672EFF" w14:textId="77777777" w:rsidR="00975327" w:rsidRDefault="00975327" w:rsidP="00695AC0">
      <w:pPr>
        <w:ind w:left="851"/>
        <w:rPr>
          <w:sz w:val="24"/>
          <w:szCs w:val="24"/>
          <w:lang w:bidi="da-DK"/>
        </w:rPr>
      </w:pPr>
    </w:p>
    <w:p w14:paraId="3E4D8F81" w14:textId="5377C2A1" w:rsidR="00D27A53" w:rsidRPr="00D27A53" w:rsidRDefault="00D27A53" w:rsidP="00695AC0">
      <w:pPr>
        <w:ind w:left="851"/>
        <w:rPr>
          <w:sz w:val="24"/>
          <w:szCs w:val="24"/>
        </w:rPr>
      </w:pPr>
      <w:r w:rsidRPr="00D27A53">
        <w:rPr>
          <w:sz w:val="24"/>
          <w:szCs w:val="24"/>
          <w:lang w:bidi="da-DK"/>
        </w:rPr>
        <w:t xml:space="preserve">De </w:t>
      </w:r>
      <w:proofErr w:type="spellStart"/>
      <w:r w:rsidRPr="00D27A53">
        <w:rPr>
          <w:sz w:val="24"/>
          <w:szCs w:val="24"/>
          <w:lang w:bidi="da-DK"/>
        </w:rPr>
        <w:t>farmakokinetiske</w:t>
      </w:r>
      <w:proofErr w:type="spellEnd"/>
      <w:r w:rsidRPr="00D27A53">
        <w:rPr>
          <w:sz w:val="24"/>
          <w:szCs w:val="24"/>
          <w:lang w:bidi="da-DK"/>
        </w:rPr>
        <w:t xml:space="preserve"> parametre for </w:t>
      </w:r>
      <w:proofErr w:type="spellStart"/>
      <w:r w:rsidRPr="00D27A53">
        <w:rPr>
          <w:sz w:val="24"/>
          <w:szCs w:val="24"/>
          <w:lang w:bidi="da-DK"/>
        </w:rPr>
        <w:t>metronidazol</w:t>
      </w:r>
      <w:proofErr w:type="spellEnd"/>
      <w:r w:rsidRPr="00D27A53">
        <w:rPr>
          <w:sz w:val="24"/>
          <w:szCs w:val="24"/>
          <w:lang w:bidi="da-DK"/>
        </w:rPr>
        <w:t xml:space="preserve">, </w:t>
      </w:r>
      <w:proofErr w:type="spellStart"/>
      <w:r w:rsidRPr="00D27A53">
        <w:rPr>
          <w:sz w:val="24"/>
          <w:szCs w:val="24"/>
          <w:lang w:bidi="da-DK"/>
        </w:rPr>
        <w:t>hydrochlorid</w:t>
      </w:r>
      <w:proofErr w:type="spellEnd"/>
      <w:r w:rsidRPr="00D27A53">
        <w:rPr>
          <w:sz w:val="24"/>
          <w:szCs w:val="24"/>
          <w:lang w:bidi="da-DK"/>
        </w:rPr>
        <w:t xml:space="preserve"> og </w:t>
      </w:r>
      <w:proofErr w:type="spellStart"/>
      <w:r w:rsidRPr="00D27A53">
        <w:rPr>
          <w:sz w:val="24"/>
          <w:szCs w:val="24"/>
          <w:lang w:bidi="da-DK"/>
        </w:rPr>
        <w:t>bismuth</w:t>
      </w:r>
      <w:proofErr w:type="spellEnd"/>
      <w:r w:rsidRPr="00D27A53">
        <w:rPr>
          <w:sz w:val="24"/>
          <w:szCs w:val="24"/>
          <w:lang w:bidi="da-DK"/>
        </w:rPr>
        <w:t xml:space="preserve"> blev også bestemt, når </w:t>
      </w:r>
      <w:proofErr w:type="spellStart"/>
      <w:r w:rsidRPr="00D27A53">
        <w:rPr>
          <w:sz w:val="24"/>
          <w:szCs w:val="24"/>
          <w:lang w:bidi="da-DK"/>
        </w:rPr>
        <w:t>Pylera</w:t>
      </w:r>
      <w:proofErr w:type="spellEnd"/>
      <w:r w:rsidRPr="00D27A53">
        <w:rPr>
          <w:sz w:val="24"/>
          <w:szCs w:val="24"/>
          <w:lang w:bidi="da-DK"/>
        </w:rPr>
        <w:t xml:space="preserve"> blev administreret under fastende og ikke-fastende forhold. Fødevarer reducerede den systemiske absorption af alle tre </w:t>
      </w:r>
      <w:proofErr w:type="spellStart"/>
      <w:r w:rsidRPr="00D27A53">
        <w:rPr>
          <w:sz w:val="24"/>
          <w:szCs w:val="24"/>
          <w:lang w:bidi="da-DK"/>
        </w:rPr>
        <w:t>Pylera</w:t>
      </w:r>
      <w:proofErr w:type="spellEnd"/>
      <w:r w:rsidRPr="00D27A53">
        <w:rPr>
          <w:sz w:val="24"/>
          <w:szCs w:val="24"/>
          <w:lang w:bidi="da-DK"/>
        </w:rPr>
        <w:t xml:space="preserve">-komponenter, hvor AUC-værdierne for </w:t>
      </w:r>
      <w:proofErr w:type="spellStart"/>
      <w:r w:rsidRPr="00D27A53">
        <w:rPr>
          <w:sz w:val="24"/>
          <w:szCs w:val="24"/>
          <w:lang w:bidi="da-DK"/>
        </w:rPr>
        <w:t>metronidazol</w:t>
      </w:r>
      <w:proofErr w:type="spellEnd"/>
      <w:r w:rsidRPr="00D27A53">
        <w:rPr>
          <w:sz w:val="24"/>
          <w:szCs w:val="24"/>
          <w:lang w:bidi="da-DK"/>
        </w:rPr>
        <w:t xml:space="preserve">, </w:t>
      </w:r>
      <w:proofErr w:type="spellStart"/>
      <w:r w:rsidRPr="00D27A53">
        <w:rPr>
          <w:sz w:val="24"/>
          <w:szCs w:val="24"/>
          <w:lang w:bidi="da-DK"/>
        </w:rPr>
        <w:t>tetracyclinhydrochlorid</w:t>
      </w:r>
      <w:proofErr w:type="spellEnd"/>
      <w:r w:rsidRPr="00D27A53">
        <w:rPr>
          <w:sz w:val="24"/>
          <w:szCs w:val="24"/>
          <w:lang w:bidi="da-DK"/>
        </w:rPr>
        <w:t xml:space="preserve"> og </w:t>
      </w:r>
      <w:proofErr w:type="spellStart"/>
      <w:r w:rsidRPr="00D27A53">
        <w:rPr>
          <w:sz w:val="24"/>
          <w:szCs w:val="24"/>
          <w:lang w:bidi="da-DK"/>
        </w:rPr>
        <w:t>bismuth</w:t>
      </w:r>
      <w:proofErr w:type="spellEnd"/>
      <w:r w:rsidRPr="00D27A53">
        <w:rPr>
          <w:sz w:val="24"/>
          <w:szCs w:val="24"/>
          <w:lang w:bidi="da-DK"/>
        </w:rPr>
        <w:t xml:space="preserve"> blev reduceret med henholdsvis 6 %, 34 % og 60 %. Reduktion i absorptionen af alle tre </w:t>
      </w:r>
      <w:proofErr w:type="spellStart"/>
      <w:r w:rsidRPr="00D27A53">
        <w:rPr>
          <w:sz w:val="24"/>
          <w:szCs w:val="24"/>
          <w:lang w:bidi="da-DK"/>
        </w:rPr>
        <w:t>Pylera</w:t>
      </w:r>
      <w:proofErr w:type="spellEnd"/>
      <w:r w:rsidRPr="00D27A53">
        <w:rPr>
          <w:sz w:val="24"/>
          <w:szCs w:val="24"/>
          <w:lang w:bidi="da-DK"/>
        </w:rPr>
        <w:t xml:space="preserve">-komponenter ved tilstedeværelse af mad anses ikke for at være klinisk signifikant. Den øgede gastriske retentionstid er sandsynligvis gavnlig, da den sandsynligvis forlænger </w:t>
      </w:r>
      <w:r w:rsidRPr="00D27A53">
        <w:rPr>
          <w:i/>
          <w:sz w:val="24"/>
          <w:szCs w:val="24"/>
          <w:lang w:bidi="da-DK"/>
        </w:rPr>
        <w:t xml:space="preserve">H. </w:t>
      </w:r>
      <w:proofErr w:type="spellStart"/>
      <w:r w:rsidRPr="00D27A53">
        <w:rPr>
          <w:i/>
          <w:sz w:val="24"/>
          <w:szCs w:val="24"/>
          <w:lang w:bidi="da-DK"/>
        </w:rPr>
        <w:t>Pyloris</w:t>
      </w:r>
      <w:proofErr w:type="spellEnd"/>
      <w:r w:rsidRPr="00D27A53">
        <w:rPr>
          <w:i/>
          <w:sz w:val="24"/>
          <w:szCs w:val="24"/>
          <w:lang w:bidi="da-DK"/>
        </w:rPr>
        <w:t xml:space="preserve"> </w:t>
      </w:r>
      <w:r w:rsidRPr="00D27A53">
        <w:rPr>
          <w:sz w:val="24"/>
          <w:szCs w:val="24"/>
          <w:lang w:bidi="da-DK"/>
        </w:rPr>
        <w:t xml:space="preserve">eksponering for </w:t>
      </w:r>
      <w:proofErr w:type="spellStart"/>
      <w:r w:rsidRPr="00D27A53">
        <w:rPr>
          <w:sz w:val="24"/>
          <w:szCs w:val="24"/>
          <w:lang w:bidi="da-DK"/>
        </w:rPr>
        <w:t>bismuth</w:t>
      </w:r>
      <w:proofErr w:type="spellEnd"/>
      <w:r w:rsidRPr="00D27A53">
        <w:rPr>
          <w:sz w:val="24"/>
          <w:szCs w:val="24"/>
          <w:lang w:bidi="da-DK"/>
        </w:rPr>
        <w:t xml:space="preserve">, </w:t>
      </w:r>
      <w:proofErr w:type="spellStart"/>
      <w:r w:rsidRPr="00D27A53">
        <w:rPr>
          <w:sz w:val="24"/>
          <w:szCs w:val="24"/>
          <w:lang w:bidi="da-DK"/>
        </w:rPr>
        <w:t>metronidazol</w:t>
      </w:r>
      <w:proofErr w:type="spellEnd"/>
      <w:r w:rsidRPr="00D27A53">
        <w:rPr>
          <w:sz w:val="24"/>
          <w:szCs w:val="24"/>
          <w:lang w:bidi="da-DK"/>
        </w:rPr>
        <w:t xml:space="preserve"> og </w:t>
      </w:r>
      <w:proofErr w:type="spellStart"/>
      <w:r w:rsidRPr="00D27A53">
        <w:rPr>
          <w:sz w:val="24"/>
          <w:szCs w:val="24"/>
          <w:lang w:bidi="da-DK"/>
        </w:rPr>
        <w:t>tetracyclinhydrochlorid</w:t>
      </w:r>
      <w:proofErr w:type="spellEnd"/>
      <w:r w:rsidRPr="00D27A53">
        <w:rPr>
          <w:i/>
          <w:sz w:val="24"/>
          <w:szCs w:val="24"/>
          <w:lang w:bidi="da-DK"/>
        </w:rPr>
        <w:t xml:space="preserve">. </w:t>
      </w:r>
      <w:proofErr w:type="spellStart"/>
      <w:r w:rsidRPr="00D27A53">
        <w:rPr>
          <w:sz w:val="24"/>
          <w:szCs w:val="24"/>
          <w:lang w:bidi="da-DK"/>
        </w:rPr>
        <w:t>Pylera</w:t>
      </w:r>
      <w:proofErr w:type="spellEnd"/>
      <w:r w:rsidRPr="00D27A53">
        <w:rPr>
          <w:sz w:val="24"/>
          <w:szCs w:val="24"/>
          <w:lang w:bidi="da-DK"/>
        </w:rPr>
        <w:t xml:space="preserve"> skal gives efter måltider (morgenmad, frokost og aftensmad) og ved sengetid (helst sammen med et mellemmåltid) i kombination med </w:t>
      </w:r>
      <w:proofErr w:type="spellStart"/>
      <w:r w:rsidRPr="00D27A53">
        <w:rPr>
          <w:sz w:val="24"/>
          <w:szCs w:val="24"/>
          <w:lang w:bidi="da-DK"/>
        </w:rPr>
        <w:t>omeprazol</w:t>
      </w:r>
      <w:proofErr w:type="spellEnd"/>
      <w:r w:rsidRPr="00D27A53">
        <w:rPr>
          <w:sz w:val="24"/>
          <w:szCs w:val="24"/>
          <w:lang w:bidi="da-DK"/>
        </w:rPr>
        <w:t xml:space="preserve"> to gange dagligt (morgenmad og aftensmad) (se </w:t>
      </w:r>
      <w:r w:rsidR="0076324F">
        <w:rPr>
          <w:sz w:val="24"/>
          <w:szCs w:val="24"/>
          <w:lang w:bidi="da-DK"/>
        </w:rPr>
        <w:t>pkt.</w:t>
      </w:r>
      <w:r w:rsidRPr="00D27A53">
        <w:rPr>
          <w:sz w:val="24"/>
          <w:szCs w:val="24"/>
          <w:lang w:bidi="da-DK"/>
        </w:rPr>
        <w:t xml:space="preserve"> 4.2).</w:t>
      </w:r>
    </w:p>
    <w:p w14:paraId="6938C5A9" w14:textId="77777777" w:rsidR="00975327" w:rsidRDefault="00975327" w:rsidP="00695AC0">
      <w:pPr>
        <w:ind w:left="851"/>
        <w:rPr>
          <w:sz w:val="24"/>
          <w:szCs w:val="24"/>
          <w:u w:val="single"/>
          <w:lang w:bidi="da-DK"/>
        </w:rPr>
      </w:pPr>
    </w:p>
    <w:p w14:paraId="408711BE" w14:textId="3982C7D3" w:rsidR="00D27A53" w:rsidRPr="00D27A53" w:rsidRDefault="00D27A53" w:rsidP="00695AC0">
      <w:pPr>
        <w:ind w:left="851"/>
        <w:rPr>
          <w:sz w:val="24"/>
          <w:szCs w:val="24"/>
          <w:u w:val="single"/>
        </w:rPr>
      </w:pPr>
      <w:proofErr w:type="spellStart"/>
      <w:r w:rsidRPr="00D27A53">
        <w:rPr>
          <w:sz w:val="24"/>
          <w:szCs w:val="24"/>
          <w:u w:val="single"/>
          <w:lang w:bidi="da-DK"/>
        </w:rPr>
        <w:t>Omeprazol</w:t>
      </w:r>
      <w:proofErr w:type="spellEnd"/>
      <w:r w:rsidRPr="00D27A53">
        <w:rPr>
          <w:sz w:val="24"/>
          <w:szCs w:val="24"/>
          <w:u w:val="single"/>
          <w:lang w:bidi="da-DK"/>
        </w:rPr>
        <w:t>-kapsler</w:t>
      </w:r>
    </w:p>
    <w:p w14:paraId="18C0839D" w14:textId="77777777" w:rsidR="00D27A53" w:rsidRPr="00D27A53" w:rsidRDefault="00D27A53" w:rsidP="00695AC0">
      <w:pPr>
        <w:ind w:left="851"/>
        <w:rPr>
          <w:sz w:val="24"/>
          <w:szCs w:val="24"/>
        </w:rPr>
      </w:pPr>
    </w:p>
    <w:p w14:paraId="2C85CC7E" w14:textId="77777777" w:rsidR="00D27A53" w:rsidRPr="00D27A53" w:rsidRDefault="00D27A53" w:rsidP="00695AC0">
      <w:pPr>
        <w:ind w:left="851"/>
        <w:rPr>
          <w:sz w:val="24"/>
          <w:szCs w:val="24"/>
        </w:rPr>
      </w:pPr>
      <w:r w:rsidRPr="00D27A53">
        <w:rPr>
          <w:sz w:val="24"/>
          <w:szCs w:val="24"/>
          <w:lang w:bidi="da-DK"/>
        </w:rPr>
        <w:t xml:space="preserve">Effekten af </w:t>
      </w:r>
      <w:proofErr w:type="spellStart"/>
      <w:r w:rsidRPr="00D27A53">
        <w:rPr>
          <w:sz w:val="24"/>
          <w:szCs w:val="24"/>
          <w:lang w:bidi="da-DK"/>
        </w:rPr>
        <w:t>omeprazol</w:t>
      </w:r>
      <w:proofErr w:type="spellEnd"/>
      <w:r w:rsidRPr="00D27A53">
        <w:rPr>
          <w:sz w:val="24"/>
          <w:szCs w:val="24"/>
          <w:lang w:bidi="da-DK"/>
        </w:rPr>
        <w:t xml:space="preserve"> på optagelsen af </w:t>
      </w:r>
      <w:proofErr w:type="spellStart"/>
      <w:r w:rsidRPr="00D27A53">
        <w:rPr>
          <w:sz w:val="24"/>
          <w:szCs w:val="24"/>
          <w:lang w:bidi="da-DK"/>
        </w:rPr>
        <w:t>bismuth</w:t>
      </w:r>
      <w:proofErr w:type="spellEnd"/>
      <w:r w:rsidRPr="00D27A53">
        <w:rPr>
          <w:sz w:val="24"/>
          <w:szCs w:val="24"/>
          <w:lang w:bidi="da-DK"/>
        </w:rPr>
        <w:t xml:space="preserve"> blev vurderet hos 34 raske frivillige, der fik </w:t>
      </w:r>
      <w:proofErr w:type="spellStart"/>
      <w:r w:rsidRPr="00D27A53">
        <w:rPr>
          <w:sz w:val="24"/>
          <w:szCs w:val="24"/>
          <w:lang w:bidi="da-DK"/>
        </w:rPr>
        <w:t>Pylera</w:t>
      </w:r>
      <w:proofErr w:type="spellEnd"/>
      <w:r w:rsidRPr="00D27A53">
        <w:rPr>
          <w:sz w:val="24"/>
          <w:szCs w:val="24"/>
          <w:lang w:bidi="da-DK"/>
        </w:rPr>
        <w:t xml:space="preserve"> (4 gange dagligt) med eller uden </w:t>
      </w:r>
      <w:proofErr w:type="spellStart"/>
      <w:r w:rsidRPr="00D27A53">
        <w:rPr>
          <w:sz w:val="24"/>
          <w:szCs w:val="24"/>
          <w:lang w:bidi="da-DK"/>
        </w:rPr>
        <w:t>omeprazol</w:t>
      </w:r>
      <w:proofErr w:type="spellEnd"/>
      <w:r w:rsidRPr="00D27A53">
        <w:rPr>
          <w:sz w:val="24"/>
          <w:szCs w:val="24"/>
          <w:lang w:bidi="da-DK"/>
        </w:rPr>
        <w:t xml:space="preserve"> (20 mg 2 gange dagligt) i 6 dage. I nærvær af </w:t>
      </w:r>
      <w:proofErr w:type="spellStart"/>
      <w:r w:rsidRPr="00D27A53">
        <w:rPr>
          <w:sz w:val="24"/>
          <w:szCs w:val="24"/>
          <w:lang w:bidi="da-DK"/>
        </w:rPr>
        <w:t>omeprazol</w:t>
      </w:r>
      <w:proofErr w:type="spellEnd"/>
      <w:r w:rsidRPr="00D27A53">
        <w:rPr>
          <w:sz w:val="24"/>
          <w:szCs w:val="24"/>
          <w:lang w:bidi="da-DK"/>
        </w:rPr>
        <w:t xml:space="preserve"> blev omfanget af absorptionen af </w:t>
      </w:r>
      <w:proofErr w:type="spellStart"/>
      <w:r w:rsidRPr="00D27A53">
        <w:rPr>
          <w:sz w:val="24"/>
          <w:szCs w:val="24"/>
          <w:lang w:bidi="da-DK"/>
        </w:rPr>
        <w:t>bismuth</w:t>
      </w:r>
      <w:proofErr w:type="spellEnd"/>
      <w:r w:rsidRPr="00D27A53">
        <w:rPr>
          <w:sz w:val="24"/>
          <w:szCs w:val="24"/>
          <w:lang w:bidi="da-DK"/>
        </w:rPr>
        <w:t xml:space="preserve"> fra </w:t>
      </w:r>
      <w:proofErr w:type="spellStart"/>
      <w:r w:rsidRPr="00D27A53">
        <w:rPr>
          <w:sz w:val="24"/>
          <w:szCs w:val="24"/>
          <w:lang w:bidi="da-DK"/>
        </w:rPr>
        <w:t>Pylera</w:t>
      </w:r>
      <w:proofErr w:type="spellEnd"/>
      <w:r w:rsidRPr="00D27A53">
        <w:rPr>
          <w:sz w:val="24"/>
          <w:szCs w:val="24"/>
          <w:lang w:bidi="da-DK"/>
        </w:rPr>
        <w:t xml:space="preserve"> øget betydeligt sammenlignet med, når der ikke blev givet </w:t>
      </w:r>
      <w:proofErr w:type="spellStart"/>
      <w:r w:rsidRPr="00D27A53">
        <w:rPr>
          <w:sz w:val="24"/>
          <w:szCs w:val="24"/>
          <w:lang w:bidi="da-DK"/>
        </w:rPr>
        <w:t>omeprazol</w:t>
      </w:r>
      <w:proofErr w:type="spellEnd"/>
      <w:r w:rsidRPr="00D27A53">
        <w:rPr>
          <w:sz w:val="24"/>
          <w:szCs w:val="24"/>
          <w:lang w:bidi="da-DK"/>
        </w:rPr>
        <w:t xml:space="preserve">. I fravær af </w:t>
      </w:r>
      <w:proofErr w:type="spellStart"/>
      <w:r w:rsidRPr="00D27A53">
        <w:rPr>
          <w:sz w:val="24"/>
          <w:szCs w:val="24"/>
          <w:lang w:bidi="da-DK"/>
        </w:rPr>
        <w:t>omeprazol</w:t>
      </w:r>
      <w:proofErr w:type="spellEnd"/>
      <w:r w:rsidRPr="00D27A53">
        <w:rPr>
          <w:sz w:val="24"/>
          <w:szCs w:val="24"/>
          <w:lang w:bidi="da-DK"/>
        </w:rPr>
        <w:t xml:space="preserve"> er </w:t>
      </w:r>
      <w:proofErr w:type="spellStart"/>
      <w:r w:rsidRPr="00D27A53">
        <w:rPr>
          <w:sz w:val="24"/>
          <w:szCs w:val="24"/>
          <w:lang w:bidi="da-DK"/>
        </w:rPr>
        <w:t>C</w:t>
      </w:r>
      <w:r w:rsidRPr="00D27A53">
        <w:rPr>
          <w:sz w:val="24"/>
          <w:szCs w:val="24"/>
          <w:vertAlign w:val="subscript"/>
          <w:lang w:bidi="da-DK"/>
        </w:rPr>
        <w:t>max</w:t>
      </w:r>
      <w:proofErr w:type="spellEnd"/>
      <w:r w:rsidRPr="00D27A53">
        <w:rPr>
          <w:sz w:val="24"/>
          <w:szCs w:val="24"/>
          <w:vertAlign w:val="subscript"/>
          <w:lang w:bidi="da-DK"/>
        </w:rPr>
        <w:t xml:space="preserve"> </w:t>
      </w:r>
      <w:r w:rsidRPr="00D27A53">
        <w:rPr>
          <w:sz w:val="24"/>
          <w:szCs w:val="24"/>
          <w:lang w:bidi="da-DK"/>
        </w:rPr>
        <w:t xml:space="preserve">og AUC henholdsvis 8,1 (84 % CV) og 48,5 (28 % CV). Ved tilstedeværelse af </w:t>
      </w:r>
      <w:proofErr w:type="spellStart"/>
      <w:r w:rsidRPr="00D27A53">
        <w:rPr>
          <w:sz w:val="24"/>
          <w:szCs w:val="24"/>
          <w:lang w:bidi="da-DK"/>
        </w:rPr>
        <w:t>omeprazol</w:t>
      </w:r>
      <w:proofErr w:type="spellEnd"/>
      <w:r w:rsidRPr="00D27A53">
        <w:rPr>
          <w:sz w:val="24"/>
          <w:szCs w:val="24"/>
          <w:lang w:bidi="da-DK"/>
        </w:rPr>
        <w:t xml:space="preserve"> var </w:t>
      </w:r>
      <w:proofErr w:type="spellStart"/>
      <w:r w:rsidRPr="00D27A53">
        <w:rPr>
          <w:sz w:val="24"/>
          <w:szCs w:val="24"/>
          <w:lang w:bidi="da-DK"/>
        </w:rPr>
        <w:t>C</w:t>
      </w:r>
      <w:r w:rsidRPr="00D27A53">
        <w:rPr>
          <w:sz w:val="24"/>
          <w:szCs w:val="24"/>
          <w:vertAlign w:val="subscript"/>
          <w:lang w:bidi="da-DK"/>
        </w:rPr>
        <w:t>max</w:t>
      </w:r>
      <w:proofErr w:type="spellEnd"/>
      <w:r w:rsidRPr="00D27A53">
        <w:rPr>
          <w:sz w:val="24"/>
          <w:szCs w:val="24"/>
          <w:vertAlign w:val="subscript"/>
          <w:lang w:bidi="da-DK"/>
        </w:rPr>
        <w:t xml:space="preserve"> </w:t>
      </w:r>
      <w:r w:rsidRPr="00D27A53">
        <w:rPr>
          <w:sz w:val="24"/>
          <w:szCs w:val="24"/>
          <w:lang w:bidi="da-DK"/>
        </w:rPr>
        <w:t xml:space="preserve">og AUC henholdsvis 25,5 (69 % CV) og 140,9 (42 % CV). Koncentrationsafhængig </w:t>
      </w:r>
      <w:proofErr w:type="spellStart"/>
      <w:r w:rsidRPr="00D27A53">
        <w:rPr>
          <w:sz w:val="24"/>
          <w:szCs w:val="24"/>
          <w:lang w:bidi="da-DK"/>
        </w:rPr>
        <w:t>neurotoksicitet</w:t>
      </w:r>
      <w:proofErr w:type="spellEnd"/>
      <w:r w:rsidRPr="00D27A53">
        <w:rPr>
          <w:sz w:val="24"/>
          <w:szCs w:val="24"/>
          <w:lang w:bidi="da-DK"/>
        </w:rPr>
        <w:t xml:space="preserve"> er forbundet med langvarig brug af </w:t>
      </w:r>
      <w:proofErr w:type="spellStart"/>
      <w:r w:rsidRPr="00D27A53">
        <w:rPr>
          <w:sz w:val="24"/>
          <w:szCs w:val="24"/>
          <w:lang w:bidi="da-DK"/>
        </w:rPr>
        <w:t>bismuth</w:t>
      </w:r>
      <w:proofErr w:type="spellEnd"/>
      <w:r w:rsidRPr="00D27A53">
        <w:rPr>
          <w:sz w:val="24"/>
          <w:szCs w:val="24"/>
          <w:lang w:bidi="da-DK"/>
        </w:rPr>
        <w:t xml:space="preserve"> og forekommer sandsynligvis ikke ved kortvarig administration eller ved </w:t>
      </w:r>
      <w:proofErr w:type="spellStart"/>
      <w:r w:rsidRPr="00D27A53">
        <w:rPr>
          <w:sz w:val="24"/>
          <w:szCs w:val="24"/>
          <w:lang w:bidi="da-DK"/>
        </w:rPr>
        <w:t>steady</w:t>
      </w:r>
      <w:proofErr w:type="spellEnd"/>
      <w:r w:rsidRPr="00D27A53">
        <w:rPr>
          <w:sz w:val="24"/>
          <w:szCs w:val="24"/>
          <w:lang w:bidi="da-DK"/>
        </w:rPr>
        <w:t xml:space="preserve"> </w:t>
      </w:r>
      <w:proofErr w:type="spellStart"/>
      <w:r w:rsidRPr="00D27A53">
        <w:rPr>
          <w:sz w:val="24"/>
          <w:szCs w:val="24"/>
          <w:lang w:bidi="da-DK"/>
        </w:rPr>
        <w:t>state</w:t>
      </w:r>
      <w:proofErr w:type="spellEnd"/>
      <w:r w:rsidRPr="00D27A53">
        <w:rPr>
          <w:sz w:val="24"/>
          <w:szCs w:val="24"/>
          <w:lang w:bidi="da-DK"/>
        </w:rPr>
        <w:t xml:space="preserve">-blodkoncentrationer under 50 </w:t>
      </w:r>
      <w:proofErr w:type="spellStart"/>
      <w:r w:rsidRPr="00D27A53">
        <w:rPr>
          <w:sz w:val="24"/>
          <w:szCs w:val="24"/>
          <w:lang w:bidi="da-DK"/>
        </w:rPr>
        <w:t>ng</w:t>
      </w:r>
      <w:proofErr w:type="spellEnd"/>
      <w:r w:rsidRPr="00D27A53">
        <w:rPr>
          <w:sz w:val="24"/>
          <w:szCs w:val="24"/>
          <w:lang w:bidi="da-DK"/>
        </w:rPr>
        <w:t xml:space="preserve">/ml. En forsøgsperson opnåede forbigående en maksimal </w:t>
      </w:r>
      <w:proofErr w:type="spellStart"/>
      <w:r w:rsidRPr="00D27A53">
        <w:rPr>
          <w:sz w:val="24"/>
          <w:szCs w:val="24"/>
          <w:lang w:bidi="da-DK"/>
        </w:rPr>
        <w:t>bismuthkoncentration</w:t>
      </w:r>
      <w:proofErr w:type="spellEnd"/>
      <w:r w:rsidRPr="00D27A53">
        <w:rPr>
          <w:sz w:val="24"/>
          <w:szCs w:val="24"/>
          <w:lang w:bidi="da-DK"/>
        </w:rPr>
        <w:t xml:space="preserve"> (</w:t>
      </w:r>
      <w:proofErr w:type="spellStart"/>
      <w:r w:rsidRPr="00D27A53">
        <w:rPr>
          <w:sz w:val="24"/>
          <w:szCs w:val="24"/>
          <w:lang w:bidi="da-DK"/>
        </w:rPr>
        <w:t>C</w:t>
      </w:r>
      <w:r w:rsidRPr="00D27A53">
        <w:rPr>
          <w:sz w:val="24"/>
          <w:szCs w:val="24"/>
          <w:vertAlign w:val="subscript"/>
          <w:lang w:bidi="da-DK"/>
        </w:rPr>
        <w:t>max</w:t>
      </w:r>
      <w:proofErr w:type="spellEnd"/>
      <w:r w:rsidRPr="00D27A53">
        <w:rPr>
          <w:sz w:val="24"/>
          <w:szCs w:val="24"/>
          <w:lang w:bidi="da-DK"/>
        </w:rPr>
        <w:t xml:space="preserve">) på mere end 50 </w:t>
      </w:r>
      <w:proofErr w:type="spellStart"/>
      <w:r w:rsidRPr="00D27A53">
        <w:rPr>
          <w:sz w:val="24"/>
          <w:szCs w:val="24"/>
          <w:lang w:bidi="da-DK"/>
        </w:rPr>
        <w:t>ng</w:t>
      </w:r>
      <w:proofErr w:type="spellEnd"/>
      <w:r w:rsidRPr="00D27A53">
        <w:rPr>
          <w:sz w:val="24"/>
          <w:szCs w:val="24"/>
          <w:lang w:bidi="da-DK"/>
        </w:rPr>
        <w:t xml:space="preserve">/ml (73 </w:t>
      </w:r>
      <w:proofErr w:type="spellStart"/>
      <w:r w:rsidRPr="00D27A53">
        <w:rPr>
          <w:sz w:val="24"/>
          <w:szCs w:val="24"/>
          <w:lang w:bidi="da-DK"/>
        </w:rPr>
        <w:t>ng</w:t>
      </w:r>
      <w:proofErr w:type="spellEnd"/>
      <w:r w:rsidRPr="00D27A53">
        <w:rPr>
          <w:sz w:val="24"/>
          <w:szCs w:val="24"/>
          <w:lang w:bidi="da-DK"/>
        </w:rPr>
        <w:t xml:space="preserve">/ml) efter flere doser af </w:t>
      </w:r>
      <w:proofErr w:type="spellStart"/>
      <w:r w:rsidRPr="00D27A53">
        <w:rPr>
          <w:sz w:val="24"/>
          <w:szCs w:val="24"/>
          <w:lang w:bidi="da-DK"/>
        </w:rPr>
        <w:t>Pylera</w:t>
      </w:r>
      <w:proofErr w:type="spellEnd"/>
      <w:r w:rsidRPr="00D27A53">
        <w:rPr>
          <w:sz w:val="24"/>
          <w:szCs w:val="24"/>
          <w:lang w:bidi="da-DK"/>
        </w:rPr>
        <w:t xml:space="preserve"> med </w:t>
      </w:r>
      <w:proofErr w:type="spellStart"/>
      <w:r w:rsidRPr="00D27A53">
        <w:rPr>
          <w:sz w:val="24"/>
          <w:szCs w:val="24"/>
          <w:lang w:bidi="da-DK"/>
        </w:rPr>
        <w:t>omeprazol</w:t>
      </w:r>
      <w:proofErr w:type="spellEnd"/>
      <w:r w:rsidRPr="00D27A53">
        <w:rPr>
          <w:sz w:val="24"/>
          <w:szCs w:val="24"/>
          <w:lang w:bidi="da-DK"/>
        </w:rPr>
        <w:t xml:space="preserve">. Patienten udviste ikke symptomer på </w:t>
      </w:r>
      <w:proofErr w:type="spellStart"/>
      <w:r w:rsidRPr="00D27A53">
        <w:rPr>
          <w:sz w:val="24"/>
          <w:szCs w:val="24"/>
          <w:lang w:bidi="da-DK"/>
        </w:rPr>
        <w:t>neurotoksicitet</w:t>
      </w:r>
      <w:proofErr w:type="spellEnd"/>
      <w:r w:rsidRPr="00D27A53">
        <w:rPr>
          <w:sz w:val="24"/>
          <w:szCs w:val="24"/>
          <w:lang w:bidi="da-DK"/>
        </w:rPr>
        <w:t xml:space="preserve"> under forsøget. Der er ingen kliniske tegn på, at kortvarig eksponering for </w:t>
      </w:r>
      <w:proofErr w:type="spellStart"/>
      <w:r w:rsidRPr="00D27A53">
        <w:rPr>
          <w:sz w:val="24"/>
          <w:szCs w:val="24"/>
          <w:lang w:bidi="da-DK"/>
        </w:rPr>
        <w:t>C</w:t>
      </w:r>
      <w:r w:rsidRPr="00D27A53">
        <w:rPr>
          <w:sz w:val="24"/>
          <w:szCs w:val="24"/>
          <w:vertAlign w:val="subscript"/>
          <w:lang w:bidi="da-DK"/>
        </w:rPr>
        <w:t>max</w:t>
      </w:r>
      <w:proofErr w:type="spellEnd"/>
      <w:r w:rsidRPr="00D27A53">
        <w:rPr>
          <w:sz w:val="24"/>
          <w:szCs w:val="24"/>
          <w:lang w:bidi="da-DK"/>
        </w:rPr>
        <w:t xml:space="preserve">-koncentrationer over 50 </w:t>
      </w:r>
      <w:proofErr w:type="spellStart"/>
      <w:r w:rsidRPr="00D27A53">
        <w:rPr>
          <w:sz w:val="24"/>
          <w:szCs w:val="24"/>
          <w:lang w:bidi="da-DK"/>
        </w:rPr>
        <w:t>ng</w:t>
      </w:r>
      <w:proofErr w:type="spellEnd"/>
      <w:r w:rsidRPr="00D27A53">
        <w:rPr>
          <w:sz w:val="24"/>
          <w:szCs w:val="24"/>
          <w:lang w:bidi="da-DK"/>
        </w:rPr>
        <w:t xml:space="preserve">/ml er forbundet med </w:t>
      </w:r>
      <w:proofErr w:type="spellStart"/>
      <w:r w:rsidRPr="00D27A53">
        <w:rPr>
          <w:sz w:val="24"/>
          <w:szCs w:val="24"/>
          <w:lang w:bidi="da-DK"/>
        </w:rPr>
        <w:t>neurotoksicitet</w:t>
      </w:r>
      <w:proofErr w:type="spellEnd"/>
      <w:r w:rsidRPr="00D27A53">
        <w:rPr>
          <w:sz w:val="24"/>
          <w:szCs w:val="24"/>
          <w:lang w:bidi="da-DK"/>
        </w:rPr>
        <w:t>.</w:t>
      </w:r>
    </w:p>
    <w:p w14:paraId="2AB60FA2" w14:textId="77777777" w:rsidR="00975327" w:rsidRDefault="00975327" w:rsidP="00695AC0">
      <w:pPr>
        <w:ind w:left="851"/>
        <w:rPr>
          <w:sz w:val="24"/>
          <w:szCs w:val="24"/>
          <w:lang w:bidi="da-DK"/>
        </w:rPr>
      </w:pPr>
    </w:p>
    <w:p w14:paraId="2402C8EE" w14:textId="29D0BF0E" w:rsidR="00D27A53" w:rsidRPr="00D27A53" w:rsidRDefault="00D27A53" w:rsidP="00695AC0">
      <w:pPr>
        <w:ind w:left="851"/>
        <w:rPr>
          <w:sz w:val="24"/>
          <w:szCs w:val="24"/>
          <w:lang w:bidi="da-DK"/>
        </w:rPr>
      </w:pPr>
      <w:r w:rsidRPr="00D27A53">
        <w:rPr>
          <w:sz w:val="24"/>
          <w:szCs w:val="24"/>
          <w:lang w:bidi="da-DK"/>
        </w:rPr>
        <w:t xml:space="preserve">Indflydelsen af nedsat nyre- og leverfunktion på eksponeringen for </w:t>
      </w:r>
      <w:proofErr w:type="spellStart"/>
      <w:r w:rsidRPr="00D27A53">
        <w:rPr>
          <w:sz w:val="24"/>
          <w:szCs w:val="24"/>
          <w:lang w:bidi="da-DK"/>
        </w:rPr>
        <w:t>Pylera</w:t>
      </w:r>
      <w:proofErr w:type="spellEnd"/>
      <w:r w:rsidRPr="00D27A53">
        <w:rPr>
          <w:sz w:val="24"/>
          <w:szCs w:val="24"/>
          <w:lang w:bidi="da-DK"/>
        </w:rPr>
        <w:t xml:space="preserve"> er ikke blevet vurderet, selvom eksponeringen for </w:t>
      </w:r>
      <w:proofErr w:type="spellStart"/>
      <w:r w:rsidRPr="00D27A53">
        <w:rPr>
          <w:sz w:val="24"/>
          <w:szCs w:val="24"/>
          <w:lang w:bidi="da-DK"/>
        </w:rPr>
        <w:t>metronidazol</w:t>
      </w:r>
      <w:proofErr w:type="spellEnd"/>
      <w:r w:rsidRPr="00D27A53">
        <w:rPr>
          <w:sz w:val="24"/>
          <w:szCs w:val="24"/>
          <w:lang w:bidi="da-DK"/>
        </w:rPr>
        <w:t xml:space="preserve"> og </w:t>
      </w:r>
      <w:proofErr w:type="spellStart"/>
      <w:r w:rsidRPr="00D27A53">
        <w:rPr>
          <w:sz w:val="24"/>
          <w:szCs w:val="24"/>
          <w:lang w:bidi="da-DK"/>
        </w:rPr>
        <w:t>tetracyklinhydrochlorid</w:t>
      </w:r>
      <w:proofErr w:type="spellEnd"/>
      <w:r w:rsidRPr="00D27A53">
        <w:rPr>
          <w:sz w:val="24"/>
          <w:szCs w:val="24"/>
          <w:lang w:bidi="da-DK"/>
        </w:rPr>
        <w:t xml:space="preserve"> er blevet undersøgt (se </w:t>
      </w:r>
      <w:r w:rsidR="0076324F">
        <w:rPr>
          <w:sz w:val="24"/>
          <w:szCs w:val="24"/>
          <w:lang w:bidi="da-DK"/>
        </w:rPr>
        <w:t>pkt.</w:t>
      </w:r>
      <w:r w:rsidRPr="00D27A53">
        <w:rPr>
          <w:sz w:val="24"/>
          <w:szCs w:val="24"/>
          <w:lang w:bidi="da-DK"/>
        </w:rPr>
        <w:t xml:space="preserve"> 4.2, 4.3, 4.4 og 4.8).</w:t>
      </w:r>
    </w:p>
    <w:p w14:paraId="2ABC5707" w14:textId="77777777" w:rsidR="009260DE" w:rsidRPr="00A27D30" w:rsidRDefault="009260DE" w:rsidP="009260DE">
      <w:pPr>
        <w:tabs>
          <w:tab w:val="left" w:pos="851"/>
        </w:tabs>
        <w:ind w:left="851"/>
        <w:rPr>
          <w:sz w:val="24"/>
          <w:szCs w:val="24"/>
        </w:rPr>
      </w:pPr>
    </w:p>
    <w:p w14:paraId="166361D7" w14:textId="77777777" w:rsidR="009260DE" w:rsidRPr="00A27D30" w:rsidRDefault="009260DE" w:rsidP="009260DE">
      <w:pPr>
        <w:tabs>
          <w:tab w:val="left" w:pos="851"/>
        </w:tabs>
        <w:ind w:left="851" w:hanging="851"/>
        <w:rPr>
          <w:b/>
          <w:sz w:val="24"/>
          <w:szCs w:val="24"/>
        </w:rPr>
      </w:pPr>
      <w:r w:rsidRPr="00A27D30">
        <w:rPr>
          <w:b/>
          <w:sz w:val="24"/>
          <w:szCs w:val="24"/>
        </w:rPr>
        <w:t>5.3</w:t>
      </w:r>
      <w:r w:rsidRPr="00A27D30">
        <w:rPr>
          <w:b/>
          <w:sz w:val="24"/>
          <w:szCs w:val="24"/>
        </w:rPr>
        <w:tab/>
      </w:r>
      <w:r w:rsidR="00BD7931" w:rsidRPr="00A27D30">
        <w:rPr>
          <w:b/>
          <w:sz w:val="24"/>
          <w:szCs w:val="24"/>
        </w:rPr>
        <w:t>Non-</w:t>
      </w:r>
      <w:r w:rsidRPr="00A27D30">
        <w:rPr>
          <w:b/>
          <w:sz w:val="24"/>
          <w:szCs w:val="24"/>
        </w:rPr>
        <w:t>kliniske sikkerhedsdata</w:t>
      </w:r>
    </w:p>
    <w:p w14:paraId="5630068C" w14:textId="77777777" w:rsidR="00D27A53" w:rsidRPr="00D27A53" w:rsidRDefault="00D27A53" w:rsidP="00695AC0">
      <w:pPr>
        <w:ind w:left="851"/>
        <w:rPr>
          <w:sz w:val="24"/>
          <w:szCs w:val="24"/>
        </w:rPr>
      </w:pPr>
      <w:r w:rsidRPr="00D27A53">
        <w:rPr>
          <w:sz w:val="24"/>
          <w:szCs w:val="24"/>
          <w:lang w:bidi="da-DK"/>
        </w:rPr>
        <w:t xml:space="preserve">Der er ikke udført nogen ikke-kliniske undersøgelser for at evaluere effekten af den kombinerede brug af </w:t>
      </w:r>
      <w:proofErr w:type="spellStart"/>
      <w:proofErr w:type="gramStart"/>
      <w:r w:rsidRPr="00D27A53">
        <w:rPr>
          <w:sz w:val="24"/>
          <w:szCs w:val="24"/>
          <w:lang w:bidi="da-DK"/>
        </w:rPr>
        <w:t>bismuthsubcitratkalium</w:t>
      </w:r>
      <w:proofErr w:type="spellEnd"/>
      <w:r w:rsidRPr="00D27A53">
        <w:rPr>
          <w:sz w:val="24"/>
          <w:szCs w:val="24"/>
          <w:lang w:bidi="da-DK"/>
        </w:rPr>
        <w:t xml:space="preserve"> ,</w:t>
      </w:r>
      <w:proofErr w:type="gramEnd"/>
      <w:r w:rsidRPr="00D27A53">
        <w:rPr>
          <w:sz w:val="24"/>
          <w:szCs w:val="24"/>
          <w:lang w:bidi="da-DK"/>
        </w:rPr>
        <w:t xml:space="preserve"> tetracyklin </w:t>
      </w:r>
      <w:proofErr w:type="spellStart"/>
      <w:r w:rsidRPr="00D27A53">
        <w:rPr>
          <w:sz w:val="24"/>
          <w:szCs w:val="24"/>
          <w:lang w:bidi="da-DK"/>
        </w:rPr>
        <w:t>hydrochlorid</w:t>
      </w:r>
      <w:proofErr w:type="spellEnd"/>
      <w:r w:rsidRPr="00D27A53">
        <w:rPr>
          <w:sz w:val="24"/>
          <w:szCs w:val="24"/>
          <w:lang w:bidi="da-DK"/>
        </w:rPr>
        <w:t xml:space="preserve"> og </w:t>
      </w:r>
      <w:proofErr w:type="spellStart"/>
      <w:r w:rsidRPr="00D27A53">
        <w:rPr>
          <w:sz w:val="24"/>
          <w:szCs w:val="24"/>
          <w:lang w:bidi="da-DK"/>
        </w:rPr>
        <w:t>metronidazol</w:t>
      </w:r>
      <w:proofErr w:type="spellEnd"/>
      <w:r w:rsidRPr="00D27A53">
        <w:rPr>
          <w:sz w:val="24"/>
          <w:szCs w:val="24"/>
          <w:lang w:bidi="da-DK"/>
        </w:rPr>
        <w:t>.</w:t>
      </w:r>
    </w:p>
    <w:p w14:paraId="0B780613" w14:textId="77777777" w:rsidR="00D27A53" w:rsidRPr="00D27A53" w:rsidRDefault="00D27A53" w:rsidP="00695AC0">
      <w:pPr>
        <w:ind w:left="851"/>
        <w:rPr>
          <w:sz w:val="24"/>
          <w:szCs w:val="24"/>
        </w:rPr>
      </w:pPr>
    </w:p>
    <w:p w14:paraId="168DB8E2" w14:textId="77777777" w:rsidR="00D27A53" w:rsidRPr="00D27A53" w:rsidRDefault="00D27A53" w:rsidP="00695AC0">
      <w:pPr>
        <w:ind w:left="851"/>
        <w:rPr>
          <w:sz w:val="24"/>
          <w:szCs w:val="24"/>
        </w:rPr>
      </w:pPr>
      <w:r w:rsidRPr="00D27A53">
        <w:rPr>
          <w:sz w:val="24"/>
          <w:szCs w:val="24"/>
          <w:lang w:bidi="da-DK"/>
        </w:rPr>
        <w:t xml:space="preserve">Ikke-kliniske data, hvor de er tilgængelige for kolloidt </w:t>
      </w:r>
      <w:proofErr w:type="spellStart"/>
      <w:r w:rsidRPr="00D27A53">
        <w:rPr>
          <w:sz w:val="24"/>
          <w:szCs w:val="24"/>
          <w:lang w:bidi="da-DK"/>
        </w:rPr>
        <w:t>bismuthsubcitrat</w:t>
      </w:r>
      <w:proofErr w:type="spellEnd"/>
      <w:r w:rsidRPr="00D27A53">
        <w:rPr>
          <w:sz w:val="24"/>
          <w:szCs w:val="24"/>
          <w:lang w:bidi="da-DK"/>
        </w:rPr>
        <w:t xml:space="preserve"> (kolloidt </w:t>
      </w:r>
      <w:proofErr w:type="spellStart"/>
      <w:r w:rsidRPr="00D27A53">
        <w:rPr>
          <w:sz w:val="24"/>
          <w:szCs w:val="24"/>
          <w:lang w:bidi="da-DK"/>
        </w:rPr>
        <w:t>bismuthsubcitrat</w:t>
      </w:r>
      <w:proofErr w:type="spellEnd"/>
      <w:r w:rsidRPr="00D27A53">
        <w:rPr>
          <w:sz w:val="24"/>
          <w:szCs w:val="24"/>
          <w:lang w:bidi="da-DK"/>
        </w:rPr>
        <w:t xml:space="preserve"> ligner </w:t>
      </w:r>
      <w:proofErr w:type="spellStart"/>
      <w:r w:rsidRPr="00D27A53">
        <w:rPr>
          <w:sz w:val="24"/>
          <w:szCs w:val="24"/>
          <w:lang w:bidi="da-DK"/>
        </w:rPr>
        <w:t>bismuthsubcitratkalium</w:t>
      </w:r>
      <w:proofErr w:type="spellEnd"/>
      <w:r w:rsidRPr="00D27A53">
        <w:rPr>
          <w:sz w:val="24"/>
          <w:szCs w:val="24"/>
          <w:lang w:bidi="da-DK"/>
        </w:rPr>
        <w:t xml:space="preserve"> med hensyn til fysisk-kemiske, strukturelle, biologiske (MIC </w:t>
      </w:r>
      <w:r w:rsidRPr="00D27A53">
        <w:rPr>
          <w:i/>
          <w:sz w:val="24"/>
          <w:szCs w:val="24"/>
          <w:lang w:bidi="da-DK"/>
        </w:rPr>
        <w:t xml:space="preserve">in </w:t>
      </w:r>
      <w:proofErr w:type="spellStart"/>
      <w:r w:rsidRPr="00D27A53">
        <w:rPr>
          <w:i/>
          <w:sz w:val="24"/>
          <w:szCs w:val="24"/>
          <w:lang w:bidi="da-DK"/>
        </w:rPr>
        <w:t>vitro</w:t>
      </w:r>
      <w:proofErr w:type="spellEnd"/>
      <w:r w:rsidRPr="00D27A53">
        <w:rPr>
          <w:i/>
          <w:sz w:val="24"/>
          <w:szCs w:val="24"/>
          <w:lang w:bidi="da-DK"/>
        </w:rPr>
        <w:t>-undersøgelse</w:t>
      </w:r>
      <w:r w:rsidRPr="00D27A53">
        <w:rPr>
          <w:sz w:val="24"/>
          <w:szCs w:val="24"/>
          <w:lang w:bidi="da-DK"/>
        </w:rPr>
        <w:t xml:space="preserve">) og </w:t>
      </w:r>
      <w:proofErr w:type="spellStart"/>
      <w:r w:rsidRPr="00D27A53">
        <w:rPr>
          <w:sz w:val="24"/>
          <w:szCs w:val="24"/>
          <w:lang w:bidi="da-DK"/>
        </w:rPr>
        <w:t>farmakokinetiske</w:t>
      </w:r>
      <w:proofErr w:type="spellEnd"/>
      <w:r w:rsidRPr="00D27A53">
        <w:rPr>
          <w:sz w:val="24"/>
          <w:szCs w:val="24"/>
          <w:lang w:bidi="da-DK"/>
        </w:rPr>
        <w:t xml:space="preserve"> egenskaber), afslører ingen specifik fare for mennesker baseret på undersøgelser af sikkerhedsfarmakologi, toksicitet ved gentagen dosering, genotoksicitet og reproduktions- og udviklingstoksicitet.</w:t>
      </w:r>
    </w:p>
    <w:p w14:paraId="1D4C0045" w14:textId="77777777" w:rsidR="00975327" w:rsidRDefault="00975327" w:rsidP="00695AC0">
      <w:pPr>
        <w:ind w:left="851"/>
        <w:rPr>
          <w:sz w:val="24"/>
          <w:szCs w:val="24"/>
          <w:lang w:bidi="da-DK"/>
        </w:rPr>
      </w:pPr>
    </w:p>
    <w:p w14:paraId="55FA6F7F" w14:textId="258292F1" w:rsidR="00D27A53" w:rsidRPr="00D27A53" w:rsidRDefault="00D27A53" w:rsidP="00695AC0">
      <w:pPr>
        <w:ind w:left="851"/>
        <w:rPr>
          <w:sz w:val="24"/>
          <w:szCs w:val="24"/>
        </w:rPr>
      </w:pPr>
      <w:r w:rsidRPr="00D27A53">
        <w:rPr>
          <w:sz w:val="24"/>
          <w:szCs w:val="24"/>
          <w:lang w:bidi="da-DK"/>
        </w:rPr>
        <w:t xml:space="preserve">Tilgængelige ikke-kliniske data for </w:t>
      </w:r>
      <w:proofErr w:type="spellStart"/>
      <w:r w:rsidRPr="00D27A53">
        <w:rPr>
          <w:sz w:val="24"/>
          <w:szCs w:val="24"/>
          <w:lang w:bidi="da-DK"/>
        </w:rPr>
        <w:t>tetracyclinhydrochlorid</w:t>
      </w:r>
      <w:proofErr w:type="spellEnd"/>
      <w:r w:rsidRPr="00D27A53">
        <w:rPr>
          <w:sz w:val="24"/>
          <w:szCs w:val="24"/>
          <w:lang w:bidi="da-DK"/>
        </w:rPr>
        <w:t xml:space="preserve"> afslører ingen specifik fare for mennesker baseret på undersøgelser af toksicitet ved gentagen dosering, genotoksicitet og kræftfremkaldende potentiale.</w:t>
      </w:r>
    </w:p>
    <w:p w14:paraId="7B044407" w14:textId="77777777" w:rsidR="00975327" w:rsidRDefault="00975327" w:rsidP="00695AC0">
      <w:pPr>
        <w:ind w:left="851"/>
        <w:rPr>
          <w:sz w:val="24"/>
          <w:szCs w:val="24"/>
          <w:lang w:bidi="da-DK"/>
        </w:rPr>
      </w:pPr>
    </w:p>
    <w:p w14:paraId="03943A3A" w14:textId="07B30CF2" w:rsidR="00D27A53" w:rsidRPr="00D27A53" w:rsidRDefault="00D27A53" w:rsidP="00695AC0">
      <w:pPr>
        <w:ind w:left="851"/>
        <w:rPr>
          <w:sz w:val="24"/>
          <w:szCs w:val="24"/>
        </w:rPr>
      </w:pPr>
      <w:r w:rsidRPr="00D27A53">
        <w:rPr>
          <w:sz w:val="24"/>
          <w:szCs w:val="24"/>
          <w:lang w:bidi="da-DK"/>
        </w:rPr>
        <w:t>Fertiliteten var nedsat hos hanrotter (effekter på spermatozoer og testikler). Resultater af dyreforsøg viser, at tetracyklin krydser moderkagen, findes i fostervæv og kan have toksiske virkninger på fosteret under udvikling (ofte relateret til forsinket skeletudvikling). Der er også set tegn på embryotoksicitet hos dyr, der blev behandlet tidligt i graviditeten. Tetracyklin udskilles i mælken hos diegivende rotter.</w:t>
      </w:r>
    </w:p>
    <w:p w14:paraId="688A6370" w14:textId="77777777" w:rsidR="00D27A53" w:rsidRPr="00D27A53" w:rsidRDefault="00D27A53" w:rsidP="00695AC0">
      <w:pPr>
        <w:ind w:left="851"/>
        <w:rPr>
          <w:sz w:val="24"/>
          <w:szCs w:val="24"/>
        </w:rPr>
      </w:pPr>
    </w:p>
    <w:p w14:paraId="2015AB83" w14:textId="77777777" w:rsidR="00D27A53" w:rsidRPr="00D27A53" w:rsidRDefault="00D27A53" w:rsidP="00695AC0">
      <w:pPr>
        <w:ind w:left="851"/>
        <w:rPr>
          <w:sz w:val="24"/>
          <w:szCs w:val="24"/>
        </w:rPr>
      </w:pPr>
      <w:r w:rsidRPr="00D27A53">
        <w:rPr>
          <w:sz w:val="24"/>
          <w:szCs w:val="24"/>
          <w:lang w:bidi="da-DK"/>
        </w:rPr>
        <w:t xml:space="preserve">Ikke-kliniske data, hvor de er tilgængelige, for </w:t>
      </w:r>
      <w:proofErr w:type="spellStart"/>
      <w:r w:rsidRPr="00D27A53">
        <w:rPr>
          <w:sz w:val="24"/>
          <w:szCs w:val="24"/>
          <w:lang w:bidi="da-DK"/>
        </w:rPr>
        <w:t>metronidazol</w:t>
      </w:r>
      <w:proofErr w:type="spellEnd"/>
      <w:r w:rsidRPr="00D27A53">
        <w:rPr>
          <w:sz w:val="24"/>
          <w:szCs w:val="24"/>
          <w:lang w:bidi="da-DK"/>
        </w:rPr>
        <w:t xml:space="preserve"> viser ingen særlig fare for mennesker baseret på undersøgelser af sikkerhedsfarmakologi, toksicitet ved gentagen dosering og genotoksicitet. </w:t>
      </w:r>
      <w:proofErr w:type="spellStart"/>
      <w:r w:rsidRPr="00D27A53">
        <w:rPr>
          <w:sz w:val="24"/>
          <w:szCs w:val="24"/>
          <w:lang w:bidi="da-DK"/>
        </w:rPr>
        <w:t>Metronidazol</w:t>
      </w:r>
      <w:proofErr w:type="spellEnd"/>
      <w:r w:rsidRPr="00D27A53">
        <w:rPr>
          <w:sz w:val="24"/>
          <w:szCs w:val="24"/>
          <w:lang w:bidi="da-DK"/>
        </w:rPr>
        <w:t xml:space="preserve"> har vist sig at være kræftfremkaldende hos mus og rotter. Fertiliteten var nedsat hos </w:t>
      </w:r>
      <w:proofErr w:type="spellStart"/>
      <w:r w:rsidRPr="00D27A53">
        <w:rPr>
          <w:sz w:val="24"/>
          <w:szCs w:val="24"/>
          <w:lang w:bidi="da-DK"/>
        </w:rPr>
        <w:t>hanmus</w:t>
      </w:r>
      <w:proofErr w:type="spellEnd"/>
      <w:r w:rsidRPr="00D27A53">
        <w:rPr>
          <w:sz w:val="24"/>
          <w:szCs w:val="24"/>
          <w:lang w:bidi="da-DK"/>
        </w:rPr>
        <w:t xml:space="preserve"> og rotter (effekter på sædceller og testikler). </w:t>
      </w:r>
      <w:proofErr w:type="spellStart"/>
      <w:r w:rsidRPr="00D27A53">
        <w:rPr>
          <w:sz w:val="24"/>
          <w:szCs w:val="24"/>
          <w:lang w:bidi="da-DK"/>
        </w:rPr>
        <w:t>Metronidazol</w:t>
      </w:r>
      <w:proofErr w:type="spellEnd"/>
      <w:r w:rsidRPr="00D27A53">
        <w:rPr>
          <w:sz w:val="24"/>
          <w:szCs w:val="24"/>
          <w:lang w:bidi="da-DK"/>
        </w:rPr>
        <w:t xml:space="preserve"> var ikke </w:t>
      </w:r>
      <w:proofErr w:type="spellStart"/>
      <w:r w:rsidRPr="00D27A53">
        <w:rPr>
          <w:sz w:val="24"/>
          <w:szCs w:val="24"/>
          <w:lang w:bidi="da-DK"/>
        </w:rPr>
        <w:t>teratogent</w:t>
      </w:r>
      <w:proofErr w:type="spellEnd"/>
      <w:r w:rsidRPr="00D27A53">
        <w:rPr>
          <w:sz w:val="24"/>
          <w:szCs w:val="24"/>
          <w:lang w:bidi="da-DK"/>
        </w:rPr>
        <w:t xml:space="preserve"> hos mus, rotter eller kaniner.</w:t>
      </w:r>
    </w:p>
    <w:p w14:paraId="52796D26" w14:textId="77777777" w:rsidR="009260DE" w:rsidRDefault="009260DE" w:rsidP="009260DE">
      <w:pPr>
        <w:tabs>
          <w:tab w:val="left" w:pos="851"/>
        </w:tabs>
        <w:ind w:left="851"/>
        <w:rPr>
          <w:sz w:val="24"/>
          <w:szCs w:val="24"/>
        </w:rPr>
      </w:pPr>
    </w:p>
    <w:p w14:paraId="7B040EE0" w14:textId="77777777" w:rsidR="00975327" w:rsidRPr="00A27D30" w:rsidRDefault="00975327" w:rsidP="009260DE">
      <w:pPr>
        <w:tabs>
          <w:tab w:val="left" w:pos="851"/>
        </w:tabs>
        <w:ind w:left="851"/>
        <w:rPr>
          <w:sz w:val="24"/>
          <w:szCs w:val="24"/>
        </w:rPr>
      </w:pPr>
    </w:p>
    <w:p w14:paraId="175D2F70" w14:textId="77777777" w:rsidR="009260DE" w:rsidRPr="00A27D30" w:rsidRDefault="009260DE" w:rsidP="009260DE">
      <w:pPr>
        <w:tabs>
          <w:tab w:val="left" w:pos="851"/>
        </w:tabs>
        <w:ind w:left="851" w:hanging="851"/>
        <w:rPr>
          <w:b/>
          <w:sz w:val="24"/>
          <w:szCs w:val="24"/>
        </w:rPr>
      </w:pPr>
      <w:r w:rsidRPr="00A27D30">
        <w:rPr>
          <w:b/>
          <w:sz w:val="24"/>
          <w:szCs w:val="24"/>
        </w:rPr>
        <w:t>6.</w:t>
      </w:r>
      <w:r w:rsidRPr="00A27D30">
        <w:rPr>
          <w:b/>
          <w:sz w:val="24"/>
          <w:szCs w:val="24"/>
        </w:rPr>
        <w:tab/>
        <w:t>FARMACEUTISKE OPLYSNINGER</w:t>
      </w:r>
    </w:p>
    <w:p w14:paraId="6CF18CFD" w14:textId="77777777" w:rsidR="009260DE" w:rsidRPr="00A27D30" w:rsidRDefault="009260DE" w:rsidP="009260DE">
      <w:pPr>
        <w:tabs>
          <w:tab w:val="left" w:pos="851"/>
        </w:tabs>
        <w:ind w:left="851"/>
        <w:rPr>
          <w:sz w:val="24"/>
          <w:szCs w:val="24"/>
        </w:rPr>
      </w:pPr>
    </w:p>
    <w:p w14:paraId="09BAB3AF" w14:textId="77777777" w:rsidR="009260DE" w:rsidRPr="00A27D30" w:rsidRDefault="009260DE" w:rsidP="009260DE">
      <w:pPr>
        <w:tabs>
          <w:tab w:val="left" w:pos="851"/>
        </w:tabs>
        <w:ind w:left="851" w:hanging="851"/>
        <w:rPr>
          <w:b/>
          <w:sz w:val="24"/>
          <w:szCs w:val="24"/>
        </w:rPr>
      </w:pPr>
      <w:r w:rsidRPr="00A27D30">
        <w:rPr>
          <w:b/>
          <w:sz w:val="24"/>
          <w:szCs w:val="24"/>
        </w:rPr>
        <w:t>6.1</w:t>
      </w:r>
      <w:r w:rsidRPr="00A27D30">
        <w:rPr>
          <w:b/>
          <w:sz w:val="24"/>
          <w:szCs w:val="24"/>
        </w:rPr>
        <w:tab/>
        <w:t>Hjælpestoffer</w:t>
      </w:r>
    </w:p>
    <w:p w14:paraId="5A95DB6C" w14:textId="77777777" w:rsidR="00E4442F" w:rsidRDefault="00D27A53" w:rsidP="00695AC0">
      <w:pPr>
        <w:ind w:left="851"/>
        <w:rPr>
          <w:sz w:val="24"/>
          <w:szCs w:val="24"/>
          <w:lang w:bidi="da-DK"/>
        </w:rPr>
      </w:pPr>
      <w:proofErr w:type="spellStart"/>
      <w:r w:rsidRPr="00D27A53">
        <w:rPr>
          <w:sz w:val="24"/>
          <w:szCs w:val="24"/>
          <w:lang w:bidi="da-DK"/>
        </w:rPr>
        <w:t>Magnesiumstearat</w:t>
      </w:r>
      <w:proofErr w:type="spellEnd"/>
      <w:r w:rsidRPr="00D27A53">
        <w:rPr>
          <w:sz w:val="24"/>
          <w:szCs w:val="24"/>
          <w:lang w:bidi="da-DK"/>
        </w:rPr>
        <w:t xml:space="preserve"> (E572) </w:t>
      </w:r>
    </w:p>
    <w:p w14:paraId="792D3F32" w14:textId="1BC7C9CF" w:rsidR="00D27A53" w:rsidRPr="00D27A53" w:rsidRDefault="00D27A53" w:rsidP="00695AC0">
      <w:pPr>
        <w:ind w:left="851"/>
        <w:rPr>
          <w:sz w:val="24"/>
          <w:szCs w:val="24"/>
        </w:rPr>
      </w:pPr>
      <w:proofErr w:type="spellStart"/>
      <w:r w:rsidRPr="00D27A53">
        <w:rPr>
          <w:sz w:val="24"/>
          <w:szCs w:val="24"/>
          <w:lang w:bidi="da-DK"/>
        </w:rPr>
        <w:t>Talcum</w:t>
      </w:r>
      <w:proofErr w:type="spellEnd"/>
      <w:r w:rsidRPr="00D27A53">
        <w:rPr>
          <w:sz w:val="24"/>
          <w:szCs w:val="24"/>
          <w:lang w:bidi="da-DK"/>
        </w:rPr>
        <w:t xml:space="preserve"> (E553b)</w:t>
      </w:r>
    </w:p>
    <w:p w14:paraId="57DE4F3C" w14:textId="77777777" w:rsidR="00D27A53" w:rsidRPr="00D27A53" w:rsidRDefault="00D27A53" w:rsidP="00695AC0">
      <w:pPr>
        <w:ind w:left="851"/>
        <w:rPr>
          <w:sz w:val="24"/>
          <w:szCs w:val="24"/>
        </w:rPr>
      </w:pPr>
      <w:proofErr w:type="spellStart"/>
      <w:r w:rsidRPr="00D27A53">
        <w:rPr>
          <w:sz w:val="24"/>
          <w:szCs w:val="24"/>
          <w:lang w:bidi="da-DK"/>
        </w:rPr>
        <w:t>Lactosemonohydrat</w:t>
      </w:r>
      <w:proofErr w:type="spellEnd"/>
    </w:p>
    <w:p w14:paraId="6A667287" w14:textId="77777777" w:rsidR="00975327" w:rsidRDefault="00975327" w:rsidP="00695AC0">
      <w:pPr>
        <w:ind w:left="851"/>
        <w:rPr>
          <w:sz w:val="24"/>
          <w:szCs w:val="24"/>
          <w:u w:val="single"/>
          <w:lang w:bidi="da-DK"/>
        </w:rPr>
      </w:pPr>
    </w:p>
    <w:p w14:paraId="06928432" w14:textId="65BBA2EE" w:rsidR="00D27A53" w:rsidRPr="00D27A53" w:rsidRDefault="00D27A53" w:rsidP="00695AC0">
      <w:pPr>
        <w:ind w:left="851"/>
        <w:rPr>
          <w:sz w:val="24"/>
          <w:szCs w:val="24"/>
          <w:u w:val="single"/>
        </w:rPr>
      </w:pPr>
      <w:r w:rsidRPr="00D27A53">
        <w:rPr>
          <w:sz w:val="24"/>
          <w:szCs w:val="24"/>
          <w:u w:val="single"/>
          <w:lang w:bidi="da-DK"/>
        </w:rPr>
        <w:t>Kapselskal:</w:t>
      </w:r>
    </w:p>
    <w:p w14:paraId="3DE62C02" w14:textId="77777777" w:rsidR="00D27A53" w:rsidRPr="00D27A53" w:rsidRDefault="00D27A53" w:rsidP="00695AC0">
      <w:pPr>
        <w:ind w:left="851"/>
        <w:rPr>
          <w:sz w:val="24"/>
          <w:szCs w:val="24"/>
          <w:lang w:bidi="da-DK"/>
        </w:rPr>
      </w:pPr>
      <w:r w:rsidRPr="00D27A53">
        <w:rPr>
          <w:sz w:val="24"/>
          <w:szCs w:val="24"/>
          <w:lang w:bidi="da-DK"/>
        </w:rPr>
        <w:t xml:space="preserve">Titandioxid (E171) </w:t>
      </w:r>
    </w:p>
    <w:p w14:paraId="42332B42" w14:textId="77777777" w:rsidR="00D27A53" w:rsidRPr="00D27A53" w:rsidRDefault="00D27A53" w:rsidP="00695AC0">
      <w:pPr>
        <w:ind w:left="851"/>
        <w:rPr>
          <w:sz w:val="24"/>
          <w:szCs w:val="24"/>
        </w:rPr>
      </w:pPr>
      <w:r w:rsidRPr="00D27A53">
        <w:rPr>
          <w:sz w:val="24"/>
          <w:szCs w:val="24"/>
          <w:lang w:bidi="da-DK"/>
        </w:rPr>
        <w:t>Gelatine</w:t>
      </w:r>
    </w:p>
    <w:p w14:paraId="1E8A1ED0" w14:textId="77777777" w:rsidR="00975327" w:rsidRDefault="00975327" w:rsidP="00695AC0">
      <w:pPr>
        <w:ind w:left="851"/>
        <w:rPr>
          <w:sz w:val="24"/>
          <w:szCs w:val="24"/>
          <w:u w:val="single"/>
          <w:lang w:bidi="da-DK"/>
        </w:rPr>
      </w:pPr>
    </w:p>
    <w:p w14:paraId="400F5759" w14:textId="77449EB9" w:rsidR="00D27A53" w:rsidRPr="00D27A53" w:rsidRDefault="00D27A53" w:rsidP="00695AC0">
      <w:pPr>
        <w:ind w:left="851"/>
        <w:rPr>
          <w:sz w:val="24"/>
          <w:szCs w:val="24"/>
          <w:u w:val="single"/>
        </w:rPr>
      </w:pPr>
      <w:r w:rsidRPr="00D27A53">
        <w:rPr>
          <w:sz w:val="24"/>
          <w:szCs w:val="24"/>
          <w:u w:val="single"/>
          <w:lang w:bidi="da-DK"/>
        </w:rPr>
        <w:t>Tryksværte:</w:t>
      </w:r>
    </w:p>
    <w:p w14:paraId="2796B90A" w14:textId="77777777" w:rsidR="00D27A53" w:rsidRPr="00D27A53" w:rsidRDefault="00D27A53" w:rsidP="00695AC0">
      <w:pPr>
        <w:ind w:left="851"/>
        <w:rPr>
          <w:sz w:val="24"/>
          <w:szCs w:val="24"/>
          <w:lang w:bidi="da-DK"/>
        </w:rPr>
      </w:pPr>
      <w:r w:rsidRPr="00D27A53">
        <w:rPr>
          <w:sz w:val="24"/>
          <w:szCs w:val="24"/>
          <w:lang w:bidi="da-DK"/>
        </w:rPr>
        <w:t xml:space="preserve">Rød jernoxid (E172) </w:t>
      </w:r>
    </w:p>
    <w:p w14:paraId="5C4587F4" w14:textId="77777777" w:rsidR="00D27A53" w:rsidRPr="00D27A53" w:rsidRDefault="00D27A53" w:rsidP="00695AC0">
      <w:pPr>
        <w:ind w:left="851"/>
        <w:rPr>
          <w:sz w:val="24"/>
          <w:szCs w:val="24"/>
        </w:rPr>
      </w:pPr>
      <w:proofErr w:type="spellStart"/>
      <w:r w:rsidRPr="00D27A53">
        <w:rPr>
          <w:sz w:val="24"/>
          <w:szCs w:val="24"/>
          <w:lang w:bidi="da-DK"/>
        </w:rPr>
        <w:t>Shellac</w:t>
      </w:r>
      <w:proofErr w:type="spellEnd"/>
    </w:p>
    <w:p w14:paraId="727D74E1" w14:textId="77777777" w:rsidR="00D27A53" w:rsidRPr="00D27A53" w:rsidRDefault="00D27A53" w:rsidP="00695AC0">
      <w:pPr>
        <w:ind w:left="851"/>
        <w:rPr>
          <w:sz w:val="24"/>
          <w:szCs w:val="24"/>
        </w:rPr>
      </w:pPr>
      <w:r w:rsidRPr="00D27A53">
        <w:rPr>
          <w:sz w:val="24"/>
          <w:szCs w:val="24"/>
          <w:lang w:bidi="da-DK"/>
        </w:rPr>
        <w:t>Propylenglycol</w:t>
      </w:r>
    </w:p>
    <w:p w14:paraId="46B9A169" w14:textId="77777777" w:rsidR="009260DE" w:rsidRPr="00A27D30" w:rsidRDefault="009260DE" w:rsidP="00695AC0">
      <w:pPr>
        <w:ind w:left="851"/>
        <w:rPr>
          <w:sz w:val="24"/>
          <w:szCs w:val="24"/>
        </w:rPr>
      </w:pPr>
    </w:p>
    <w:p w14:paraId="5A721A2D" w14:textId="77777777" w:rsidR="009260DE" w:rsidRPr="00A27D30" w:rsidRDefault="009260DE" w:rsidP="009260DE">
      <w:pPr>
        <w:tabs>
          <w:tab w:val="left" w:pos="851"/>
        </w:tabs>
        <w:ind w:left="851" w:hanging="851"/>
        <w:rPr>
          <w:b/>
          <w:sz w:val="24"/>
          <w:szCs w:val="24"/>
        </w:rPr>
      </w:pPr>
      <w:r w:rsidRPr="00A27D30">
        <w:rPr>
          <w:b/>
          <w:sz w:val="24"/>
          <w:szCs w:val="24"/>
        </w:rPr>
        <w:t>6.2</w:t>
      </w:r>
      <w:r w:rsidRPr="00A27D30">
        <w:rPr>
          <w:b/>
          <w:sz w:val="24"/>
          <w:szCs w:val="24"/>
        </w:rPr>
        <w:tab/>
        <w:t>Uforligeligheder</w:t>
      </w:r>
    </w:p>
    <w:p w14:paraId="576949A6" w14:textId="77777777" w:rsidR="00D27A53" w:rsidRPr="00D27A53" w:rsidRDefault="00D27A53" w:rsidP="00695AC0">
      <w:pPr>
        <w:ind w:left="851"/>
        <w:rPr>
          <w:sz w:val="24"/>
          <w:szCs w:val="24"/>
        </w:rPr>
      </w:pPr>
      <w:r w:rsidRPr="00D27A53">
        <w:rPr>
          <w:sz w:val="24"/>
          <w:szCs w:val="24"/>
          <w:lang w:bidi="da-DK"/>
        </w:rPr>
        <w:t>Ikke relevant.</w:t>
      </w:r>
    </w:p>
    <w:p w14:paraId="01D5363E" w14:textId="77777777" w:rsidR="009260DE" w:rsidRPr="00A27D30" w:rsidRDefault="009260DE" w:rsidP="009260DE">
      <w:pPr>
        <w:tabs>
          <w:tab w:val="left" w:pos="851"/>
        </w:tabs>
        <w:ind w:left="851"/>
        <w:rPr>
          <w:sz w:val="24"/>
          <w:szCs w:val="24"/>
        </w:rPr>
      </w:pPr>
    </w:p>
    <w:p w14:paraId="6B8E8DFC" w14:textId="77777777" w:rsidR="009260DE" w:rsidRPr="00A27D30" w:rsidRDefault="009260DE" w:rsidP="009260DE">
      <w:pPr>
        <w:tabs>
          <w:tab w:val="left" w:pos="851"/>
        </w:tabs>
        <w:ind w:left="851" w:hanging="851"/>
        <w:rPr>
          <w:b/>
          <w:sz w:val="24"/>
          <w:szCs w:val="24"/>
        </w:rPr>
      </w:pPr>
      <w:r w:rsidRPr="00A27D30">
        <w:rPr>
          <w:b/>
          <w:sz w:val="24"/>
          <w:szCs w:val="24"/>
        </w:rPr>
        <w:t>6.3</w:t>
      </w:r>
      <w:r w:rsidRPr="00A27D30">
        <w:rPr>
          <w:b/>
          <w:sz w:val="24"/>
          <w:szCs w:val="24"/>
        </w:rPr>
        <w:tab/>
        <w:t>Opbevaringstid</w:t>
      </w:r>
    </w:p>
    <w:p w14:paraId="20C311F8" w14:textId="77777777" w:rsidR="00D27A53" w:rsidRPr="00D27A53" w:rsidRDefault="00D27A53" w:rsidP="00695AC0">
      <w:pPr>
        <w:ind w:left="851"/>
        <w:rPr>
          <w:sz w:val="24"/>
          <w:szCs w:val="24"/>
        </w:rPr>
      </w:pPr>
      <w:r w:rsidRPr="00D27A53">
        <w:rPr>
          <w:sz w:val="24"/>
          <w:szCs w:val="24"/>
          <w:lang w:bidi="da-DK"/>
        </w:rPr>
        <w:t>3 år.</w:t>
      </w:r>
    </w:p>
    <w:p w14:paraId="6889C652" w14:textId="77777777" w:rsidR="009260DE" w:rsidRPr="00A27D30" w:rsidRDefault="009260DE" w:rsidP="009260DE">
      <w:pPr>
        <w:tabs>
          <w:tab w:val="left" w:pos="851"/>
        </w:tabs>
        <w:ind w:left="851"/>
        <w:rPr>
          <w:sz w:val="24"/>
          <w:szCs w:val="24"/>
        </w:rPr>
      </w:pPr>
    </w:p>
    <w:p w14:paraId="088A29FC" w14:textId="77777777" w:rsidR="009260DE" w:rsidRPr="00A27D30" w:rsidRDefault="009260DE" w:rsidP="009260DE">
      <w:pPr>
        <w:tabs>
          <w:tab w:val="left" w:pos="851"/>
        </w:tabs>
        <w:ind w:left="851" w:hanging="851"/>
        <w:rPr>
          <w:b/>
          <w:sz w:val="24"/>
          <w:szCs w:val="24"/>
        </w:rPr>
      </w:pPr>
      <w:r w:rsidRPr="00A27D30">
        <w:rPr>
          <w:b/>
          <w:sz w:val="24"/>
          <w:szCs w:val="24"/>
        </w:rPr>
        <w:t>6.4</w:t>
      </w:r>
      <w:r w:rsidRPr="00A27D30">
        <w:rPr>
          <w:b/>
          <w:sz w:val="24"/>
          <w:szCs w:val="24"/>
        </w:rPr>
        <w:tab/>
        <w:t>Særlige opbevaringsforhold</w:t>
      </w:r>
    </w:p>
    <w:p w14:paraId="5F744D0F" w14:textId="77777777" w:rsidR="00D27A53" w:rsidRPr="00D27A53" w:rsidRDefault="00D27A53" w:rsidP="00695AC0">
      <w:pPr>
        <w:ind w:left="851"/>
        <w:rPr>
          <w:sz w:val="24"/>
          <w:szCs w:val="24"/>
        </w:rPr>
      </w:pPr>
      <w:r w:rsidRPr="00D27A53">
        <w:rPr>
          <w:sz w:val="24"/>
          <w:szCs w:val="24"/>
          <w:lang w:bidi="da-DK"/>
        </w:rPr>
        <w:t>Dette lægemiddel kræver ingen særlige temperaturforhold ved opbevaring. Opbevares i originalemballagen for at beskytte mod lys og fugt.</w:t>
      </w:r>
    </w:p>
    <w:p w14:paraId="44C3AFC0" w14:textId="77777777" w:rsidR="009260DE" w:rsidRPr="00A27D30" w:rsidRDefault="009260DE" w:rsidP="009260DE">
      <w:pPr>
        <w:tabs>
          <w:tab w:val="left" w:pos="851"/>
        </w:tabs>
        <w:ind w:left="851"/>
        <w:rPr>
          <w:sz w:val="24"/>
          <w:szCs w:val="24"/>
        </w:rPr>
      </w:pPr>
    </w:p>
    <w:p w14:paraId="223A2DA5" w14:textId="77777777" w:rsidR="009260DE" w:rsidRPr="00A27D30" w:rsidRDefault="009260DE" w:rsidP="009260DE">
      <w:pPr>
        <w:tabs>
          <w:tab w:val="left" w:pos="851"/>
        </w:tabs>
        <w:ind w:left="851" w:hanging="851"/>
        <w:rPr>
          <w:b/>
          <w:sz w:val="24"/>
          <w:szCs w:val="24"/>
        </w:rPr>
      </w:pPr>
      <w:r w:rsidRPr="00A27D30">
        <w:rPr>
          <w:b/>
          <w:sz w:val="24"/>
          <w:szCs w:val="24"/>
        </w:rPr>
        <w:t>6.5</w:t>
      </w:r>
      <w:r w:rsidRPr="00A27D30">
        <w:rPr>
          <w:b/>
          <w:sz w:val="24"/>
          <w:szCs w:val="24"/>
        </w:rPr>
        <w:tab/>
        <w:t>Emballagetype og pakningsstørrelser</w:t>
      </w:r>
    </w:p>
    <w:p w14:paraId="5CF784F0" w14:textId="77777777" w:rsidR="0022230D" w:rsidRDefault="00D27A53" w:rsidP="00695AC0">
      <w:pPr>
        <w:ind w:left="851"/>
        <w:rPr>
          <w:sz w:val="24"/>
          <w:szCs w:val="24"/>
          <w:lang w:bidi="da-DK"/>
        </w:rPr>
      </w:pPr>
      <w:r w:rsidRPr="00D27A53">
        <w:rPr>
          <w:sz w:val="24"/>
          <w:szCs w:val="24"/>
          <w:lang w:bidi="da-DK"/>
        </w:rPr>
        <w:t>HDPE-flaske med børnesikret lukning, rayonspole og tørremiddel (</w:t>
      </w:r>
      <w:proofErr w:type="spellStart"/>
      <w:r w:rsidRPr="00D27A53">
        <w:rPr>
          <w:sz w:val="24"/>
          <w:szCs w:val="24"/>
          <w:lang w:bidi="da-DK"/>
        </w:rPr>
        <w:t>silicagel</w:t>
      </w:r>
      <w:proofErr w:type="spellEnd"/>
      <w:r w:rsidRPr="00D27A53">
        <w:rPr>
          <w:sz w:val="24"/>
          <w:szCs w:val="24"/>
          <w:lang w:bidi="da-DK"/>
        </w:rPr>
        <w:t xml:space="preserve">). </w:t>
      </w:r>
    </w:p>
    <w:p w14:paraId="392C0D7E" w14:textId="58129C00" w:rsidR="00D27A53" w:rsidRPr="00D27A53" w:rsidRDefault="00D27A53" w:rsidP="00695AC0">
      <w:pPr>
        <w:ind w:left="851"/>
        <w:rPr>
          <w:sz w:val="24"/>
          <w:szCs w:val="24"/>
          <w:lang w:bidi="da-DK"/>
        </w:rPr>
      </w:pPr>
      <w:r w:rsidRPr="00D27A53">
        <w:rPr>
          <w:sz w:val="24"/>
          <w:szCs w:val="24"/>
          <w:lang w:bidi="da-DK"/>
        </w:rPr>
        <w:t>Pakke med 120 kapsler.</w:t>
      </w:r>
    </w:p>
    <w:p w14:paraId="6A0E5CDC" w14:textId="77777777" w:rsidR="00D27A53" w:rsidRPr="00D27A53" w:rsidRDefault="00D27A53" w:rsidP="00695AC0">
      <w:pPr>
        <w:ind w:left="851"/>
        <w:rPr>
          <w:sz w:val="24"/>
          <w:szCs w:val="24"/>
        </w:rPr>
      </w:pPr>
    </w:p>
    <w:p w14:paraId="440D45B4" w14:textId="77777777" w:rsidR="00D27A53" w:rsidRPr="00D27A53" w:rsidRDefault="00D27A53" w:rsidP="00695AC0">
      <w:pPr>
        <w:ind w:left="851"/>
        <w:rPr>
          <w:sz w:val="24"/>
          <w:szCs w:val="24"/>
        </w:rPr>
      </w:pPr>
      <w:r w:rsidRPr="00D27A53">
        <w:rPr>
          <w:sz w:val="24"/>
          <w:szCs w:val="24"/>
        </w:rPr>
        <w:t>Ikke alle pakningsstørrelser er nødvendigvis markedsført.</w:t>
      </w:r>
    </w:p>
    <w:p w14:paraId="706173A5" w14:textId="77777777" w:rsidR="009260DE" w:rsidRPr="00A27D30" w:rsidRDefault="009260DE" w:rsidP="009260DE">
      <w:pPr>
        <w:tabs>
          <w:tab w:val="left" w:pos="851"/>
        </w:tabs>
        <w:ind w:left="851"/>
        <w:rPr>
          <w:sz w:val="24"/>
          <w:szCs w:val="24"/>
        </w:rPr>
      </w:pPr>
    </w:p>
    <w:p w14:paraId="659E832A" w14:textId="77777777" w:rsidR="009260DE" w:rsidRPr="00A27D30" w:rsidRDefault="009260DE" w:rsidP="009260DE">
      <w:pPr>
        <w:tabs>
          <w:tab w:val="left" w:pos="851"/>
        </w:tabs>
        <w:ind w:left="851" w:hanging="851"/>
        <w:rPr>
          <w:b/>
          <w:sz w:val="24"/>
          <w:szCs w:val="24"/>
        </w:rPr>
      </w:pPr>
      <w:r w:rsidRPr="00A27D30">
        <w:rPr>
          <w:b/>
          <w:sz w:val="24"/>
          <w:szCs w:val="24"/>
        </w:rPr>
        <w:t>6.6</w:t>
      </w:r>
      <w:r w:rsidRPr="00A27D30">
        <w:rPr>
          <w:b/>
          <w:sz w:val="24"/>
          <w:szCs w:val="24"/>
        </w:rPr>
        <w:tab/>
        <w:t xml:space="preserve">Regler for </w:t>
      </w:r>
      <w:r w:rsidR="00BD7931" w:rsidRPr="00A27D30">
        <w:rPr>
          <w:b/>
          <w:sz w:val="24"/>
          <w:szCs w:val="24"/>
        </w:rPr>
        <w:t>bortskaffelse</w:t>
      </w:r>
      <w:r w:rsidRPr="00A27D30">
        <w:rPr>
          <w:b/>
          <w:sz w:val="24"/>
          <w:szCs w:val="24"/>
        </w:rPr>
        <w:t xml:space="preserve"> og anden håndtering</w:t>
      </w:r>
    </w:p>
    <w:p w14:paraId="7105E459" w14:textId="77777777" w:rsidR="00695AC0" w:rsidRPr="00695AC0" w:rsidRDefault="00695AC0" w:rsidP="00695AC0">
      <w:pPr>
        <w:ind w:left="851"/>
        <w:rPr>
          <w:sz w:val="24"/>
          <w:szCs w:val="24"/>
        </w:rPr>
      </w:pPr>
      <w:r w:rsidRPr="00695AC0">
        <w:rPr>
          <w:sz w:val="24"/>
          <w:szCs w:val="24"/>
          <w:lang w:bidi="da-DK"/>
        </w:rPr>
        <w:t>Det anbefales, at medicin ikke bortskaffes via spildevand eller husholdningsaffald. Ethvert ubrugt lægemiddel eller affaldsmateriale skal bortskaffes i overensstemmelse med lokale krav. Disse foranstaltninger vil hjælpe med at beskytte miljøet.</w:t>
      </w:r>
    </w:p>
    <w:p w14:paraId="59AE2EB6" w14:textId="77777777" w:rsidR="009260DE" w:rsidRPr="00A27D30" w:rsidRDefault="009260DE" w:rsidP="000730CA">
      <w:pPr>
        <w:tabs>
          <w:tab w:val="left" w:pos="851"/>
        </w:tabs>
        <w:ind w:left="851"/>
        <w:rPr>
          <w:sz w:val="24"/>
          <w:szCs w:val="24"/>
        </w:rPr>
      </w:pPr>
    </w:p>
    <w:p w14:paraId="0A42F295" w14:textId="77777777" w:rsidR="009260DE" w:rsidRPr="00A27D30" w:rsidRDefault="009260DE" w:rsidP="009260DE">
      <w:pPr>
        <w:tabs>
          <w:tab w:val="left" w:pos="851"/>
        </w:tabs>
        <w:ind w:left="851" w:hanging="851"/>
        <w:rPr>
          <w:b/>
          <w:sz w:val="24"/>
          <w:szCs w:val="24"/>
        </w:rPr>
      </w:pPr>
      <w:r w:rsidRPr="00A27D30">
        <w:rPr>
          <w:b/>
          <w:sz w:val="24"/>
          <w:szCs w:val="24"/>
        </w:rPr>
        <w:t>7.</w:t>
      </w:r>
      <w:r w:rsidRPr="00A27D30">
        <w:rPr>
          <w:b/>
          <w:sz w:val="24"/>
          <w:szCs w:val="24"/>
        </w:rPr>
        <w:tab/>
        <w:t>INDEHAVER AF MARKEDSFØRINGSTILLADELSEN</w:t>
      </w:r>
    </w:p>
    <w:p w14:paraId="08512511" w14:textId="77777777" w:rsidR="00695AC0" w:rsidRPr="00E4442F" w:rsidRDefault="00695AC0" w:rsidP="00695AC0">
      <w:pPr>
        <w:ind w:left="851"/>
        <w:rPr>
          <w:sz w:val="24"/>
          <w:szCs w:val="24"/>
          <w:lang w:val="en-US"/>
        </w:rPr>
      </w:pPr>
      <w:r w:rsidRPr="00E4442F">
        <w:rPr>
          <w:sz w:val="24"/>
          <w:szCs w:val="24"/>
          <w:lang w:val="en-US" w:bidi="da-DK"/>
        </w:rPr>
        <w:t>LABORATOIRES JUVISE PHARMACEUTICALS</w:t>
      </w:r>
    </w:p>
    <w:p w14:paraId="19BF2B60" w14:textId="77777777" w:rsidR="00695AC0" w:rsidRPr="00E4442F" w:rsidRDefault="00695AC0" w:rsidP="00695AC0">
      <w:pPr>
        <w:ind w:left="851"/>
        <w:rPr>
          <w:sz w:val="24"/>
          <w:szCs w:val="24"/>
          <w:lang w:val="en-US" w:bidi="da-DK"/>
        </w:rPr>
      </w:pPr>
      <w:r w:rsidRPr="00E4442F">
        <w:rPr>
          <w:sz w:val="24"/>
          <w:szCs w:val="24"/>
          <w:lang w:val="en-US" w:bidi="da-DK"/>
        </w:rPr>
        <w:t xml:space="preserve">149 Boulevard Bataille de Stalingrad </w:t>
      </w:r>
    </w:p>
    <w:p w14:paraId="2C07AC9B" w14:textId="0233D6AC" w:rsidR="00695AC0" w:rsidRPr="00695AC0" w:rsidRDefault="00695AC0" w:rsidP="00695AC0">
      <w:pPr>
        <w:ind w:left="851"/>
        <w:rPr>
          <w:sz w:val="24"/>
          <w:szCs w:val="24"/>
        </w:rPr>
      </w:pPr>
      <w:r w:rsidRPr="00695AC0">
        <w:rPr>
          <w:sz w:val="24"/>
          <w:szCs w:val="24"/>
          <w:lang w:bidi="da-DK"/>
        </w:rPr>
        <w:t xml:space="preserve">69100 </w:t>
      </w:r>
      <w:proofErr w:type="spellStart"/>
      <w:r w:rsidRPr="00695AC0">
        <w:rPr>
          <w:sz w:val="24"/>
          <w:szCs w:val="24"/>
          <w:lang w:bidi="da-DK"/>
        </w:rPr>
        <w:t>Villeurbanne</w:t>
      </w:r>
      <w:proofErr w:type="spellEnd"/>
    </w:p>
    <w:p w14:paraId="3D758F53" w14:textId="77777777" w:rsidR="00695AC0" w:rsidRPr="00695AC0" w:rsidRDefault="00695AC0" w:rsidP="00695AC0">
      <w:pPr>
        <w:ind w:left="851"/>
        <w:rPr>
          <w:sz w:val="24"/>
          <w:szCs w:val="24"/>
          <w:lang w:bidi="da-DK"/>
        </w:rPr>
      </w:pPr>
      <w:r w:rsidRPr="00695AC0">
        <w:rPr>
          <w:sz w:val="24"/>
          <w:szCs w:val="24"/>
          <w:lang w:bidi="da-DK"/>
        </w:rPr>
        <w:t>Frankrig</w:t>
      </w:r>
    </w:p>
    <w:p w14:paraId="1C79CB16" w14:textId="77777777" w:rsidR="00641C65" w:rsidRPr="00A27D30" w:rsidRDefault="00641C65" w:rsidP="009260DE">
      <w:pPr>
        <w:tabs>
          <w:tab w:val="left" w:pos="851"/>
        </w:tabs>
        <w:ind w:left="851"/>
        <w:rPr>
          <w:sz w:val="24"/>
          <w:szCs w:val="24"/>
        </w:rPr>
      </w:pPr>
    </w:p>
    <w:p w14:paraId="0770C3B7" w14:textId="77777777" w:rsidR="009260DE" w:rsidRPr="00A27D30" w:rsidRDefault="009260DE" w:rsidP="009260DE">
      <w:pPr>
        <w:tabs>
          <w:tab w:val="left" w:pos="851"/>
        </w:tabs>
        <w:ind w:left="851" w:hanging="851"/>
        <w:rPr>
          <w:b/>
          <w:sz w:val="24"/>
          <w:szCs w:val="24"/>
        </w:rPr>
      </w:pPr>
      <w:r w:rsidRPr="00A27D30">
        <w:rPr>
          <w:b/>
          <w:sz w:val="24"/>
          <w:szCs w:val="24"/>
        </w:rPr>
        <w:t>8.</w:t>
      </w:r>
      <w:r w:rsidRPr="00A27D30">
        <w:rPr>
          <w:b/>
          <w:sz w:val="24"/>
          <w:szCs w:val="24"/>
        </w:rPr>
        <w:tab/>
        <w:t>MARKEDSFØRINGSTILLADELSESNUMMER (</w:t>
      </w:r>
      <w:r w:rsidR="00BF6243" w:rsidRPr="00A27D30">
        <w:rPr>
          <w:b/>
          <w:sz w:val="24"/>
          <w:szCs w:val="24"/>
        </w:rPr>
        <w:t>-</w:t>
      </w:r>
      <w:r w:rsidRPr="00A27D30">
        <w:rPr>
          <w:b/>
          <w:sz w:val="24"/>
          <w:szCs w:val="24"/>
        </w:rPr>
        <w:t>NUMRE)</w:t>
      </w:r>
    </w:p>
    <w:p w14:paraId="0C110A37" w14:textId="51F62784" w:rsidR="009260DE" w:rsidRPr="00A27D30" w:rsidRDefault="00695AC0" w:rsidP="009260DE">
      <w:pPr>
        <w:tabs>
          <w:tab w:val="left" w:pos="851"/>
        </w:tabs>
        <w:ind w:left="851"/>
        <w:rPr>
          <w:sz w:val="24"/>
          <w:szCs w:val="24"/>
        </w:rPr>
      </w:pPr>
      <w:r w:rsidRPr="00A27D30">
        <w:rPr>
          <w:sz w:val="24"/>
          <w:szCs w:val="24"/>
        </w:rPr>
        <w:t>74737</w:t>
      </w:r>
    </w:p>
    <w:p w14:paraId="04C1A571" w14:textId="420F942D" w:rsidR="00E4442F" w:rsidRDefault="00E4442F">
      <w:pPr>
        <w:rPr>
          <w:sz w:val="24"/>
          <w:szCs w:val="24"/>
        </w:rPr>
      </w:pPr>
      <w:r>
        <w:rPr>
          <w:sz w:val="24"/>
          <w:szCs w:val="24"/>
        </w:rPr>
        <w:br w:type="page"/>
      </w:r>
    </w:p>
    <w:p w14:paraId="6AB4694C" w14:textId="77777777" w:rsidR="009260DE" w:rsidRPr="00A27D30" w:rsidRDefault="009260DE" w:rsidP="009260DE">
      <w:pPr>
        <w:tabs>
          <w:tab w:val="left" w:pos="851"/>
        </w:tabs>
        <w:ind w:left="851"/>
        <w:jc w:val="both"/>
        <w:rPr>
          <w:sz w:val="24"/>
          <w:szCs w:val="24"/>
        </w:rPr>
      </w:pPr>
    </w:p>
    <w:p w14:paraId="13F4A224" w14:textId="77777777" w:rsidR="009260DE" w:rsidRPr="00A27D30" w:rsidRDefault="009260DE" w:rsidP="009260DE">
      <w:pPr>
        <w:tabs>
          <w:tab w:val="left" w:pos="851"/>
        </w:tabs>
        <w:ind w:left="851" w:hanging="851"/>
        <w:rPr>
          <w:b/>
          <w:sz w:val="24"/>
          <w:szCs w:val="24"/>
        </w:rPr>
      </w:pPr>
      <w:r w:rsidRPr="00A27D30">
        <w:rPr>
          <w:b/>
          <w:sz w:val="24"/>
          <w:szCs w:val="24"/>
        </w:rPr>
        <w:t>9.</w:t>
      </w:r>
      <w:r w:rsidRPr="00A27D30">
        <w:rPr>
          <w:b/>
          <w:sz w:val="24"/>
          <w:szCs w:val="24"/>
        </w:rPr>
        <w:tab/>
        <w:t>DATO FOR FØRSTE MARKEDSFØRINGSTILLADELSE</w:t>
      </w:r>
    </w:p>
    <w:p w14:paraId="2AFCFA7F" w14:textId="5F80EBB0" w:rsidR="009260DE" w:rsidRPr="00A27D30" w:rsidRDefault="00577019" w:rsidP="009260DE">
      <w:pPr>
        <w:tabs>
          <w:tab w:val="left" w:pos="851"/>
        </w:tabs>
        <w:ind w:left="851"/>
        <w:rPr>
          <w:sz w:val="24"/>
          <w:szCs w:val="24"/>
        </w:rPr>
      </w:pPr>
      <w:r>
        <w:rPr>
          <w:sz w:val="24"/>
          <w:szCs w:val="24"/>
        </w:rPr>
        <w:t>26. maj 2026</w:t>
      </w:r>
    </w:p>
    <w:p w14:paraId="4622B58D" w14:textId="77777777" w:rsidR="009260DE" w:rsidRPr="00A27D30" w:rsidRDefault="009260DE" w:rsidP="009260DE">
      <w:pPr>
        <w:tabs>
          <w:tab w:val="left" w:pos="851"/>
        </w:tabs>
        <w:ind w:left="851"/>
        <w:rPr>
          <w:sz w:val="24"/>
          <w:szCs w:val="24"/>
        </w:rPr>
      </w:pPr>
    </w:p>
    <w:p w14:paraId="3C9BACC7" w14:textId="77777777" w:rsidR="009260DE" w:rsidRPr="00A27D30" w:rsidRDefault="009260DE" w:rsidP="009260DE">
      <w:pPr>
        <w:tabs>
          <w:tab w:val="left" w:pos="851"/>
        </w:tabs>
        <w:ind w:left="851" w:hanging="851"/>
        <w:rPr>
          <w:b/>
          <w:sz w:val="24"/>
          <w:szCs w:val="24"/>
        </w:rPr>
      </w:pPr>
      <w:r w:rsidRPr="00A27D30">
        <w:rPr>
          <w:b/>
          <w:sz w:val="24"/>
          <w:szCs w:val="24"/>
        </w:rPr>
        <w:t>10.</w:t>
      </w:r>
      <w:r w:rsidRPr="00A27D30">
        <w:rPr>
          <w:b/>
          <w:sz w:val="24"/>
          <w:szCs w:val="24"/>
        </w:rPr>
        <w:tab/>
        <w:t>DATO FOR ÆNDRING AF TEKSTEN</w:t>
      </w:r>
    </w:p>
    <w:p w14:paraId="3B401DDE" w14:textId="127D9F28" w:rsidR="009260DE" w:rsidRPr="00A27D30" w:rsidRDefault="00695AC0" w:rsidP="009260DE">
      <w:pPr>
        <w:tabs>
          <w:tab w:val="left" w:pos="851"/>
        </w:tabs>
        <w:ind w:left="851"/>
        <w:rPr>
          <w:sz w:val="24"/>
          <w:szCs w:val="24"/>
        </w:rPr>
      </w:pPr>
      <w:r w:rsidRPr="00A27D30">
        <w:rPr>
          <w:sz w:val="24"/>
          <w:szCs w:val="24"/>
        </w:rPr>
        <w:t>-</w:t>
      </w:r>
    </w:p>
    <w:sectPr w:rsidR="009260DE" w:rsidRPr="00A27D30"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A062" w14:textId="77777777" w:rsidR="004C4DDE" w:rsidRDefault="004C4DDE">
      <w:r>
        <w:separator/>
      </w:r>
    </w:p>
  </w:endnote>
  <w:endnote w:type="continuationSeparator" w:id="0">
    <w:p w14:paraId="5065681B" w14:textId="77777777" w:rsidR="004C4DDE" w:rsidRDefault="004C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913F" w14:textId="77777777" w:rsidR="000259B9" w:rsidRDefault="000259B9">
    <w:pPr>
      <w:pStyle w:val="Sidefod"/>
      <w:pBdr>
        <w:bottom w:val="single" w:sz="6" w:space="1" w:color="auto"/>
      </w:pBdr>
    </w:pPr>
  </w:p>
  <w:p w14:paraId="6075C273" w14:textId="77777777" w:rsidR="000259B9" w:rsidRDefault="000259B9" w:rsidP="00C42586">
    <w:pPr>
      <w:pStyle w:val="Sidefod"/>
      <w:tabs>
        <w:tab w:val="clear" w:pos="4819"/>
        <w:tab w:val="left" w:pos="8505"/>
      </w:tabs>
      <w:rPr>
        <w:i/>
        <w:sz w:val="18"/>
        <w:szCs w:val="18"/>
      </w:rPr>
    </w:pPr>
  </w:p>
  <w:p w14:paraId="20B1A832" w14:textId="13E5443B"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AA14F3">
      <w:rPr>
        <w:i/>
        <w:noProof/>
        <w:sz w:val="18"/>
        <w:szCs w:val="18"/>
      </w:rPr>
      <w:t>Pylera, hårde kapsler 140+125+125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BB025" w14:textId="77777777" w:rsidR="004C4DDE" w:rsidRDefault="004C4DDE">
      <w:r>
        <w:separator/>
      </w:r>
    </w:p>
  </w:footnote>
  <w:footnote w:type="continuationSeparator" w:id="0">
    <w:p w14:paraId="114A41CD" w14:textId="77777777" w:rsidR="004C4DDE" w:rsidRDefault="004C4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8BA"/>
    <w:multiLevelType w:val="hybridMultilevel"/>
    <w:tmpl w:val="198EA6D6"/>
    <w:lvl w:ilvl="0" w:tplc="04060019">
      <w:start w:val="1"/>
      <w:numFmt w:val="lowerLetter"/>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1" w15:restartNumberingAfterBreak="0">
    <w:nsid w:val="08B941F0"/>
    <w:multiLevelType w:val="hybridMultilevel"/>
    <w:tmpl w:val="AB2C6A24"/>
    <w:lvl w:ilvl="0" w:tplc="5DF031AC">
      <w:numFmt w:val="bullet"/>
      <w:lvlText w:val="•"/>
      <w:lvlJc w:val="left"/>
      <w:pPr>
        <w:ind w:left="715" w:hanging="420"/>
      </w:pPr>
      <w:rPr>
        <w:rFonts w:ascii="Times New Roman" w:eastAsia="Times New Roman" w:hAnsi="Times New Roman" w:cs="Times New Roman" w:hint="default"/>
        <w:b w:val="0"/>
        <w:bCs w:val="0"/>
        <w:i w:val="0"/>
        <w:iCs w:val="0"/>
        <w:spacing w:val="0"/>
        <w:w w:val="130"/>
        <w:sz w:val="22"/>
        <w:szCs w:val="22"/>
        <w:lang w:val="en-US" w:eastAsia="en-US" w:bidi="ar-SA"/>
      </w:rPr>
    </w:lvl>
    <w:lvl w:ilvl="1" w:tplc="DCE6FA8A">
      <w:numFmt w:val="bullet"/>
      <w:lvlText w:val="•"/>
      <w:lvlJc w:val="left"/>
      <w:pPr>
        <w:ind w:left="1613" w:hanging="420"/>
      </w:pPr>
      <w:rPr>
        <w:lang w:val="en-US" w:eastAsia="en-US" w:bidi="ar-SA"/>
      </w:rPr>
    </w:lvl>
    <w:lvl w:ilvl="2" w:tplc="17E4E042">
      <w:numFmt w:val="bullet"/>
      <w:lvlText w:val="•"/>
      <w:lvlJc w:val="left"/>
      <w:pPr>
        <w:ind w:left="2506" w:hanging="420"/>
      </w:pPr>
      <w:rPr>
        <w:lang w:val="en-US" w:eastAsia="en-US" w:bidi="ar-SA"/>
      </w:rPr>
    </w:lvl>
    <w:lvl w:ilvl="3" w:tplc="085850B2">
      <w:numFmt w:val="bullet"/>
      <w:lvlText w:val="•"/>
      <w:lvlJc w:val="left"/>
      <w:pPr>
        <w:ind w:left="3400" w:hanging="420"/>
      </w:pPr>
      <w:rPr>
        <w:lang w:val="en-US" w:eastAsia="en-US" w:bidi="ar-SA"/>
      </w:rPr>
    </w:lvl>
    <w:lvl w:ilvl="4" w:tplc="56DA400C">
      <w:numFmt w:val="bullet"/>
      <w:lvlText w:val="•"/>
      <w:lvlJc w:val="left"/>
      <w:pPr>
        <w:ind w:left="4293" w:hanging="420"/>
      </w:pPr>
      <w:rPr>
        <w:lang w:val="en-US" w:eastAsia="en-US" w:bidi="ar-SA"/>
      </w:rPr>
    </w:lvl>
    <w:lvl w:ilvl="5" w:tplc="7DEC2EEC">
      <w:numFmt w:val="bullet"/>
      <w:lvlText w:val="•"/>
      <w:lvlJc w:val="left"/>
      <w:pPr>
        <w:ind w:left="5187" w:hanging="420"/>
      </w:pPr>
      <w:rPr>
        <w:lang w:val="en-US" w:eastAsia="en-US" w:bidi="ar-SA"/>
      </w:rPr>
    </w:lvl>
    <w:lvl w:ilvl="6" w:tplc="61AC973A">
      <w:numFmt w:val="bullet"/>
      <w:lvlText w:val="•"/>
      <w:lvlJc w:val="left"/>
      <w:pPr>
        <w:ind w:left="6080" w:hanging="420"/>
      </w:pPr>
      <w:rPr>
        <w:lang w:val="en-US" w:eastAsia="en-US" w:bidi="ar-SA"/>
      </w:rPr>
    </w:lvl>
    <w:lvl w:ilvl="7" w:tplc="F1B40A42">
      <w:numFmt w:val="bullet"/>
      <w:lvlText w:val="•"/>
      <w:lvlJc w:val="left"/>
      <w:pPr>
        <w:ind w:left="6974" w:hanging="420"/>
      </w:pPr>
      <w:rPr>
        <w:lang w:val="en-US" w:eastAsia="en-US" w:bidi="ar-SA"/>
      </w:rPr>
    </w:lvl>
    <w:lvl w:ilvl="8" w:tplc="F822E93A">
      <w:numFmt w:val="bullet"/>
      <w:lvlText w:val="•"/>
      <w:lvlJc w:val="left"/>
      <w:pPr>
        <w:ind w:left="7867" w:hanging="420"/>
      </w:pPr>
      <w:rPr>
        <w:lang w:val="en-US" w:eastAsia="en-US" w:bidi="ar-SA"/>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4D184F86"/>
    <w:multiLevelType w:val="hybridMultilevel"/>
    <w:tmpl w:val="FED6F89C"/>
    <w:lvl w:ilvl="0" w:tplc="185E4086">
      <w:numFmt w:val="bullet"/>
      <w:lvlText w:val="•"/>
      <w:lvlJc w:val="left"/>
      <w:pPr>
        <w:ind w:left="852" w:hanging="392"/>
      </w:pPr>
      <w:rPr>
        <w:rFonts w:ascii="Times New Roman" w:eastAsia="Times New Roman" w:hAnsi="Times New Roman" w:cs="Times New Roman" w:hint="default"/>
        <w:b w:val="0"/>
        <w:bCs w:val="0"/>
        <w:i w:val="0"/>
        <w:iCs w:val="0"/>
        <w:spacing w:val="0"/>
        <w:w w:val="130"/>
        <w:sz w:val="22"/>
        <w:szCs w:val="22"/>
        <w:lang w:val="en-US" w:eastAsia="en-US" w:bidi="ar-SA"/>
      </w:rPr>
    </w:lvl>
    <w:lvl w:ilvl="1" w:tplc="E72E7760">
      <w:numFmt w:val="bullet"/>
      <w:lvlText w:val="•"/>
      <w:lvlJc w:val="left"/>
      <w:pPr>
        <w:ind w:left="1739" w:hanging="392"/>
      </w:pPr>
      <w:rPr>
        <w:lang w:val="en-US" w:eastAsia="en-US" w:bidi="ar-SA"/>
      </w:rPr>
    </w:lvl>
    <w:lvl w:ilvl="2" w:tplc="3A820F2E">
      <w:numFmt w:val="bullet"/>
      <w:lvlText w:val="•"/>
      <w:lvlJc w:val="left"/>
      <w:pPr>
        <w:ind w:left="2618" w:hanging="392"/>
      </w:pPr>
      <w:rPr>
        <w:lang w:val="en-US" w:eastAsia="en-US" w:bidi="ar-SA"/>
      </w:rPr>
    </w:lvl>
    <w:lvl w:ilvl="3" w:tplc="9CB0B266">
      <w:numFmt w:val="bullet"/>
      <w:lvlText w:val="•"/>
      <w:lvlJc w:val="left"/>
      <w:pPr>
        <w:ind w:left="3498" w:hanging="392"/>
      </w:pPr>
      <w:rPr>
        <w:lang w:val="en-US" w:eastAsia="en-US" w:bidi="ar-SA"/>
      </w:rPr>
    </w:lvl>
    <w:lvl w:ilvl="4" w:tplc="65C6C1CA">
      <w:numFmt w:val="bullet"/>
      <w:lvlText w:val="•"/>
      <w:lvlJc w:val="left"/>
      <w:pPr>
        <w:ind w:left="4377" w:hanging="392"/>
      </w:pPr>
      <w:rPr>
        <w:lang w:val="en-US" w:eastAsia="en-US" w:bidi="ar-SA"/>
      </w:rPr>
    </w:lvl>
    <w:lvl w:ilvl="5" w:tplc="FD3A4DF4">
      <w:numFmt w:val="bullet"/>
      <w:lvlText w:val="•"/>
      <w:lvlJc w:val="left"/>
      <w:pPr>
        <w:ind w:left="5257" w:hanging="392"/>
      </w:pPr>
      <w:rPr>
        <w:lang w:val="en-US" w:eastAsia="en-US" w:bidi="ar-SA"/>
      </w:rPr>
    </w:lvl>
    <w:lvl w:ilvl="6" w:tplc="EBC0B8BC">
      <w:numFmt w:val="bullet"/>
      <w:lvlText w:val="•"/>
      <w:lvlJc w:val="left"/>
      <w:pPr>
        <w:ind w:left="6136" w:hanging="392"/>
      </w:pPr>
      <w:rPr>
        <w:lang w:val="en-US" w:eastAsia="en-US" w:bidi="ar-SA"/>
      </w:rPr>
    </w:lvl>
    <w:lvl w:ilvl="7" w:tplc="84C0520E">
      <w:numFmt w:val="bullet"/>
      <w:lvlText w:val="•"/>
      <w:lvlJc w:val="left"/>
      <w:pPr>
        <w:ind w:left="7016" w:hanging="392"/>
      </w:pPr>
      <w:rPr>
        <w:lang w:val="en-US" w:eastAsia="en-US" w:bidi="ar-SA"/>
      </w:rPr>
    </w:lvl>
    <w:lvl w:ilvl="8" w:tplc="47B2F524">
      <w:numFmt w:val="bullet"/>
      <w:lvlText w:val="•"/>
      <w:lvlJc w:val="left"/>
      <w:pPr>
        <w:ind w:left="7895" w:hanging="392"/>
      </w:pPr>
      <w:rPr>
        <w:lang w:val="en-US" w:eastAsia="en-US" w:bidi="ar-SA"/>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62424594"/>
    <w:multiLevelType w:val="multilevel"/>
    <w:tmpl w:val="F41C8D98"/>
    <w:lvl w:ilvl="0">
      <w:start w:val="1"/>
      <w:numFmt w:val="decimal"/>
      <w:lvlText w:val="%1."/>
      <w:lvlJc w:val="left"/>
      <w:pPr>
        <w:ind w:left="847" w:hanging="562"/>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847" w:hanging="680"/>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852" w:hanging="562"/>
      </w:pPr>
      <w:rPr>
        <w:rFonts w:ascii="Times New Roman" w:eastAsia="Times New Roman" w:hAnsi="Times New Roman" w:cs="Times New Roman" w:hint="default"/>
        <w:b w:val="0"/>
        <w:bCs w:val="0"/>
        <w:i w:val="0"/>
        <w:iCs w:val="0"/>
        <w:spacing w:val="0"/>
        <w:w w:val="130"/>
        <w:sz w:val="22"/>
        <w:szCs w:val="22"/>
        <w:lang w:val="en-US" w:eastAsia="en-US" w:bidi="ar-SA"/>
      </w:rPr>
    </w:lvl>
    <w:lvl w:ilvl="3">
      <w:numFmt w:val="bullet"/>
      <w:lvlText w:val="•"/>
      <w:lvlJc w:val="left"/>
      <w:pPr>
        <w:ind w:left="2814" w:hanging="562"/>
      </w:pPr>
      <w:rPr>
        <w:lang w:val="en-US" w:eastAsia="en-US" w:bidi="ar-SA"/>
      </w:rPr>
    </w:lvl>
    <w:lvl w:ilvl="4">
      <w:numFmt w:val="bullet"/>
      <w:lvlText w:val="•"/>
      <w:lvlJc w:val="left"/>
      <w:pPr>
        <w:ind w:left="3791" w:hanging="562"/>
      </w:pPr>
      <w:rPr>
        <w:lang w:val="en-US" w:eastAsia="en-US" w:bidi="ar-SA"/>
      </w:rPr>
    </w:lvl>
    <w:lvl w:ilvl="5">
      <w:numFmt w:val="bullet"/>
      <w:lvlText w:val="•"/>
      <w:lvlJc w:val="left"/>
      <w:pPr>
        <w:ind w:left="4768" w:hanging="562"/>
      </w:pPr>
      <w:rPr>
        <w:lang w:val="en-US" w:eastAsia="en-US" w:bidi="ar-SA"/>
      </w:rPr>
    </w:lvl>
    <w:lvl w:ilvl="6">
      <w:numFmt w:val="bullet"/>
      <w:lvlText w:val="•"/>
      <w:lvlJc w:val="left"/>
      <w:pPr>
        <w:ind w:left="5746" w:hanging="562"/>
      </w:pPr>
      <w:rPr>
        <w:lang w:val="en-US" w:eastAsia="en-US" w:bidi="ar-SA"/>
      </w:rPr>
    </w:lvl>
    <w:lvl w:ilvl="7">
      <w:numFmt w:val="bullet"/>
      <w:lvlText w:val="•"/>
      <w:lvlJc w:val="left"/>
      <w:pPr>
        <w:ind w:left="6723" w:hanging="562"/>
      </w:pPr>
      <w:rPr>
        <w:lang w:val="en-US" w:eastAsia="en-US" w:bidi="ar-SA"/>
      </w:rPr>
    </w:lvl>
    <w:lvl w:ilvl="8">
      <w:numFmt w:val="bullet"/>
      <w:lvlText w:val="•"/>
      <w:lvlJc w:val="left"/>
      <w:pPr>
        <w:ind w:left="7700" w:hanging="562"/>
      </w:pPr>
      <w:rPr>
        <w:lang w:val="en-US" w:eastAsia="en-US" w:bidi="ar-SA"/>
      </w:rPr>
    </w:lvl>
  </w:abstractNum>
  <w:abstractNum w:abstractNumId="9" w15:restartNumberingAfterBreak="0">
    <w:nsid w:val="64E90913"/>
    <w:multiLevelType w:val="hybridMultilevel"/>
    <w:tmpl w:val="1FA8B926"/>
    <w:lvl w:ilvl="0" w:tplc="04060019">
      <w:start w:val="1"/>
      <w:numFmt w:val="lowerLetter"/>
      <w:lvlText w:val="%1."/>
      <w:lvlJc w:val="left"/>
      <w:pPr>
        <w:ind w:left="376" w:hanging="209"/>
      </w:pPr>
      <w:rPr>
        <w:rFonts w:hint="default"/>
        <w:b w:val="0"/>
        <w:bCs w:val="0"/>
        <w:i w:val="0"/>
        <w:iCs w:val="0"/>
        <w:spacing w:val="0"/>
        <w:w w:val="84"/>
        <w:sz w:val="24"/>
        <w:szCs w:val="24"/>
        <w:u w:val="single" w:color="000000"/>
        <w:lang w:val="en-US" w:eastAsia="en-US" w:bidi="ar-SA"/>
      </w:rPr>
    </w:lvl>
    <w:lvl w:ilvl="1" w:tplc="D4B6F15E">
      <w:numFmt w:val="bullet"/>
      <w:lvlText w:val="•"/>
      <w:lvlJc w:val="left"/>
      <w:pPr>
        <w:ind w:left="1307" w:hanging="209"/>
      </w:pPr>
      <w:rPr>
        <w:lang w:val="en-US" w:eastAsia="en-US" w:bidi="ar-SA"/>
      </w:rPr>
    </w:lvl>
    <w:lvl w:ilvl="2" w:tplc="626E8A54">
      <w:numFmt w:val="bullet"/>
      <w:lvlText w:val="•"/>
      <w:lvlJc w:val="left"/>
      <w:pPr>
        <w:ind w:left="2234" w:hanging="209"/>
      </w:pPr>
      <w:rPr>
        <w:lang w:val="en-US" w:eastAsia="en-US" w:bidi="ar-SA"/>
      </w:rPr>
    </w:lvl>
    <w:lvl w:ilvl="3" w:tplc="5EAC41FE">
      <w:numFmt w:val="bullet"/>
      <w:lvlText w:val="•"/>
      <w:lvlJc w:val="left"/>
      <w:pPr>
        <w:ind w:left="3162" w:hanging="209"/>
      </w:pPr>
      <w:rPr>
        <w:lang w:val="en-US" w:eastAsia="en-US" w:bidi="ar-SA"/>
      </w:rPr>
    </w:lvl>
    <w:lvl w:ilvl="4" w:tplc="36442AEE">
      <w:numFmt w:val="bullet"/>
      <w:lvlText w:val="•"/>
      <w:lvlJc w:val="left"/>
      <w:pPr>
        <w:ind w:left="4089" w:hanging="209"/>
      </w:pPr>
      <w:rPr>
        <w:lang w:val="en-US" w:eastAsia="en-US" w:bidi="ar-SA"/>
      </w:rPr>
    </w:lvl>
    <w:lvl w:ilvl="5" w:tplc="61743C1C">
      <w:numFmt w:val="bullet"/>
      <w:lvlText w:val="•"/>
      <w:lvlJc w:val="left"/>
      <w:pPr>
        <w:ind w:left="5017" w:hanging="209"/>
      </w:pPr>
      <w:rPr>
        <w:lang w:val="en-US" w:eastAsia="en-US" w:bidi="ar-SA"/>
      </w:rPr>
    </w:lvl>
    <w:lvl w:ilvl="6" w:tplc="67048A6A">
      <w:numFmt w:val="bullet"/>
      <w:lvlText w:val="•"/>
      <w:lvlJc w:val="left"/>
      <w:pPr>
        <w:ind w:left="5944" w:hanging="209"/>
      </w:pPr>
      <w:rPr>
        <w:lang w:val="en-US" w:eastAsia="en-US" w:bidi="ar-SA"/>
      </w:rPr>
    </w:lvl>
    <w:lvl w:ilvl="7" w:tplc="7BF49D8A">
      <w:numFmt w:val="bullet"/>
      <w:lvlText w:val="•"/>
      <w:lvlJc w:val="left"/>
      <w:pPr>
        <w:ind w:left="6872" w:hanging="209"/>
      </w:pPr>
      <w:rPr>
        <w:lang w:val="en-US" w:eastAsia="en-US" w:bidi="ar-SA"/>
      </w:rPr>
    </w:lvl>
    <w:lvl w:ilvl="8" w:tplc="1CA08876">
      <w:numFmt w:val="bullet"/>
      <w:lvlText w:val="•"/>
      <w:lvlJc w:val="left"/>
      <w:pPr>
        <w:ind w:left="7799" w:hanging="209"/>
      </w:pPr>
      <w:rPr>
        <w:lang w:val="en-US" w:eastAsia="en-US" w:bidi="ar-SA"/>
      </w:rPr>
    </w:lvl>
  </w:abstractNum>
  <w:num w:numId="1" w16cid:durableId="6493314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342497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929073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3684365">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885928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876496">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816489665">
    <w:abstractNumId w:val="9"/>
  </w:num>
  <w:num w:numId="8" w16cid:durableId="413429268">
    <w:abstractNumId w:val="1"/>
  </w:num>
  <w:num w:numId="9" w16cid:durableId="1423599717">
    <w:abstractNumId w:val="6"/>
  </w:num>
  <w:num w:numId="10" w16cid:durableId="2144151891">
    <w:abstractNumId w:val="9"/>
  </w:num>
  <w:num w:numId="11" w16cid:durableId="630481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DE"/>
    <w:rsid w:val="000259B9"/>
    <w:rsid w:val="00041491"/>
    <w:rsid w:val="00050D16"/>
    <w:rsid w:val="000730CA"/>
    <w:rsid w:val="00074F2A"/>
    <w:rsid w:val="0007736B"/>
    <w:rsid w:val="000A1CA8"/>
    <w:rsid w:val="000A466B"/>
    <w:rsid w:val="000B058C"/>
    <w:rsid w:val="000D68B0"/>
    <w:rsid w:val="000E4EE6"/>
    <w:rsid w:val="001454E2"/>
    <w:rsid w:val="00206CE8"/>
    <w:rsid w:val="0021526C"/>
    <w:rsid w:val="0022230D"/>
    <w:rsid w:val="00283A2B"/>
    <w:rsid w:val="002B30AD"/>
    <w:rsid w:val="002C1EC0"/>
    <w:rsid w:val="002C2C01"/>
    <w:rsid w:val="002D099E"/>
    <w:rsid w:val="003A29AE"/>
    <w:rsid w:val="003A32D7"/>
    <w:rsid w:val="003B4074"/>
    <w:rsid w:val="003C769A"/>
    <w:rsid w:val="003D3A90"/>
    <w:rsid w:val="003F1838"/>
    <w:rsid w:val="004251C1"/>
    <w:rsid w:val="0045746C"/>
    <w:rsid w:val="0049104B"/>
    <w:rsid w:val="004C4DDE"/>
    <w:rsid w:val="004E3B12"/>
    <w:rsid w:val="00532310"/>
    <w:rsid w:val="00565F0F"/>
    <w:rsid w:val="00577019"/>
    <w:rsid w:val="00594A86"/>
    <w:rsid w:val="00596D86"/>
    <w:rsid w:val="00637F5A"/>
    <w:rsid w:val="00641C65"/>
    <w:rsid w:val="006560B1"/>
    <w:rsid w:val="006756DD"/>
    <w:rsid w:val="00695AC0"/>
    <w:rsid w:val="0071241E"/>
    <w:rsid w:val="00737275"/>
    <w:rsid w:val="00740EEC"/>
    <w:rsid w:val="0076324F"/>
    <w:rsid w:val="0078011A"/>
    <w:rsid w:val="00782AF4"/>
    <w:rsid w:val="00790EE7"/>
    <w:rsid w:val="007B6649"/>
    <w:rsid w:val="0082576E"/>
    <w:rsid w:val="0089346F"/>
    <w:rsid w:val="00907F75"/>
    <w:rsid w:val="009260DE"/>
    <w:rsid w:val="0093258A"/>
    <w:rsid w:val="00975327"/>
    <w:rsid w:val="009C7BA3"/>
    <w:rsid w:val="009D1F5A"/>
    <w:rsid w:val="00A10294"/>
    <w:rsid w:val="00A27D30"/>
    <w:rsid w:val="00AA14F3"/>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27A53"/>
    <w:rsid w:val="00D34D98"/>
    <w:rsid w:val="00D366CF"/>
    <w:rsid w:val="00D93992"/>
    <w:rsid w:val="00DD59C6"/>
    <w:rsid w:val="00E108AA"/>
    <w:rsid w:val="00E3749A"/>
    <w:rsid w:val="00E4442F"/>
    <w:rsid w:val="00E7437F"/>
    <w:rsid w:val="00E865B8"/>
    <w:rsid w:val="00EC0B9B"/>
    <w:rsid w:val="00ED5E9F"/>
    <w:rsid w:val="00F45BEB"/>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711B8"/>
  <w15:chartTrackingRefBased/>
  <w15:docId w15:val="{596B1501-0076-445D-9D13-8CD6008A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D27A53"/>
    <w:rPr>
      <w:color w:val="0563C1" w:themeColor="hyperlink"/>
      <w:u w:val="single"/>
    </w:rPr>
  </w:style>
  <w:style w:type="character" w:styleId="Ulstomtale">
    <w:name w:val="Unresolved Mention"/>
    <w:basedOn w:val="Standardskrifttypeiafsnit"/>
    <w:uiPriority w:val="99"/>
    <w:semiHidden/>
    <w:unhideWhenUsed/>
    <w:rsid w:val="00D27A53"/>
    <w:rPr>
      <w:color w:val="605E5C"/>
      <w:shd w:val="clear" w:color="auto" w:fill="E1DFDD"/>
    </w:rPr>
  </w:style>
  <w:style w:type="paragraph" w:styleId="Listeafsnit">
    <w:name w:val="List Paragraph"/>
    <w:basedOn w:val="Normal"/>
    <w:uiPriority w:val="34"/>
    <w:qFormat/>
    <w:rsid w:val="00A27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156">
      <w:bodyDiv w:val="1"/>
      <w:marLeft w:val="0"/>
      <w:marRight w:val="0"/>
      <w:marTop w:val="0"/>
      <w:marBottom w:val="0"/>
      <w:divBdr>
        <w:top w:val="none" w:sz="0" w:space="0" w:color="auto"/>
        <w:left w:val="none" w:sz="0" w:space="0" w:color="auto"/>
        <w:bottom w:val="none" w:sz="0" w:space="0" w:color="auto"/>
        <w:right w:val="none" w:sz="0" w:space="0" w:color="auto"/>
      </w:divBdr>
    </w:div>
    <w:div w:id="5702472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7864954">
      <w:bodyDiv w:val="1"/>
      <w:marLeft w:val="0"/>
      <w:marRight w:val="0"/>
      <w:marTop w:val="0"/>
      <w:marBottom w:val="0"/>
      <w:divBdr>
        <w:top w:val="none" w:sz="0" w:space="0" w:color="auto"/>
        <w:left w:val="none" w:sz="0" w:space="0" w:color="auto"/>
        <w:bottom w:val="none" w:sz="0" w:space="0" w:color="auto"/>
        <w:right w:val="none" w:sz="0" w:space="0" w:color="auto"/>
      </w:divBdr>
    </w:div>
    <w:div w:id="249972584">
      <w:bodyDiv w:val="1"/>
      <w:marLeft w:val="0"/>
      <w:marRight w:val="0"/>
      <w:marTop w:val="0"/>
      <w:marBottom w:val="0"/>
      <w:divBdr>
        <w:top w:val="none" w:sz="0" w:space="0" w:color="auto"/>
        <w:left w:val="none" w:sz="0" w:space="0" w:color="auto"/>
        <w:bottom w:val="none" w:sz="0" w:space="0" w:color="auto"/>
        <w:right w:val="none" w:sz="0" w:space="0" w:color="auto"/>
      </w:divBdr>
    </w:div>
    <w:div w:id="258637056">
      <w:bodyDiv w:val="1"/>
      <w:marLeft w:val="0"/>
      <w:marRight w:val="0"/>
      <w:marTop w:val="0"/>
      <w:marBottom w:val="0"/>
      <w:divBdr>
        <w:top w:val="none" w:sz="0" w:space="0" w:color="auto"/>
        <w:left w:val="none" w:sz="0" w:space="0" w:color="auto"/>
        <w:bottom w:val="none" w:sz="0" w:space="0" w:color="auto"/>
        <w:right w:val="none" w:sz="0" w:space="0" w:color="auto"/>
      </w:divBdr>
    </w:div>
    <w:div w:id="329866411">
      <w:bodyDiv w:val="1"/>
      <w:marLeft w:val="0"/>
      <w:marRight w:val="0"/>
      <w:marTop w:val="0"/>
      <w:marBottom w:val="0"/>
      <w:divBdr>
        <w:top w:val="none" w:sz="0" w:space="0" w:color="auto"/>
        <w:left w:val="none" w:sz="0" w:space="0" w:color="auto"/>
        <w:bottom w:val="none" w:sz="0" w:space="0" w:color="auto"/>
        <w:right w:val="none" w:sz="0" w:space="0" w:color="auto"/>
      </w:divBdr>
    </w:div>
    <w:div w:id="339620261">
      <w:bodyDiv w:val="1"/>
      <w:marLeft w:val="0"/>
      <w:marRight w:val="0"/>
      <w:marTop w:val="0"/>
      <w:marBottom w:val="0"/>
      <w:divBdr>
        <w:top w:val="none" w:sz="0" w:space="0" w:color="auto"/>
        <w:left w:val="none" w:sz="0" w:space="0" w:color="auto"/>
        <w:bottom w:val="none" w:sz="0" w:space="0" w:color="auto"/>
        <w:right w:val="none" w:sz="0" w:space="0" w:color="auto"/>
      </w:divBdr>
    </w:div>
    <w:div w:id="383942215">
      <w:bodyDiv w:val="1"/>
      <w:marLeft w:val="0"/>
      <w:marRight w:val="0"/>
      <w:marTop w:val="0"/>
      <w:marBottom w:val="0"/>
      <w:divBdr>
        <w:top w:val="none" w:sz="0" w:space="0" w:color="auto"/>
        <w:left w:val="none" w:sz="0" w:space="0" w:color="auto"/>
        <w:bottom w:val="none" w:sz="0" w:space="0" w:color="auto"/>
        <w:right w:val="none" w:sz="0" w:space="0" w:color="auto"/>
      </w:divBdr>
    </w:div>
    <w:div w:id="420491920">
      <w:bodyDiv w:val="1"/>
      <w:marLeft w:val="0"/>
      <w:marRight w:val="0"/>
      <w:marTop w:val="0"/>
      <w:marBottom w:val="0"/>
      <w:divBdr>
        <w:top w:val="none" w:sz="0" w:space="0" w:color="auto"/>
        <w:left w:val="none" w:sz="0" w:space="0" w:color="auto"/>
        <w:bottom w:val="none" w:sz="0" w:space="0" w:color="auto"/>
        <w:right w:val="none" w:sz="0" w:space="0" w:color="auto"/>
      </w:divBdr>
    </w:div>
    <w:div w:id="430201401">
      <w:bodyDiv w:val="1"/>
      <w:marLeft w:val="0"/>
      <w:marRight w:val="0"/>
      <w:marTop w:val="0"/>
      <w:marBottom w:val="0"/>
      <w:divBdr>
        <w:top w:val="none" w:sz="0" w:space="0" w:color="auto"/>
        <w:left w:val="none" w:sz="0" w:space="0" w:color="auto"/>
        <w:bottom w:val="none" w:sz="0" w:space="0" w:color="auto"/>
        <w:right w:val="none" w:sz="0" w:space="0" w:color="auto"/>
      </w:divBdr>
    </w:div>
    <w:div w:id="444423727">
      <w:bodyDiv w:val="1"/>
      <w:marLeft w:val="0"/>
      <w:marRight w:val="0"/>
      <w:marTop w:val="0"/>
      <w:marBottom w:val="0"/>
      <w:divBdr>
        <w:top w:val="none" w:sz="0" w:space="0" w:color="auto"/>
        <w:left w:val="none" w:sz="0" w:space="0" w:color="auto"/>
        <w:bottom w:val="none" w:sz="0" w:space="0" w:color="auto"/>
        <w:right w:val="none" w:sz="0" w:space="0" w:color="auto"/>
      </w:divBdr>
    </w:div>
    <w:div w:id="456334047">
      <w:bodyDiv w:val="1"/>
      <w:marLeft w:val="0"/>
      <w:marRight w:val="0"/>
      <w:marTop w:val="0"/>
      <w:marBottom w:val="0"/>
      <w:divBdr>
        <w:top w:val="none" w:sz="0" w:space="0" w:color="auto"/>
        <w:left w:val="none" w:sz="0" w:space="0" w:color="auto"/>
        <w:bottom w:val="none" w:sz="0" w:space="0" w:color="auto"/>
        <w:right w:val="none" w:sz="0" w:space="0" w:color="auto"/>
      </w:divBdr>
    </w:div>
    <w:div w:id="590549131">
      <w:bodyDiv w:val="1"/>
      <w:marLeft w:val="0"/>
      <w:marRight w:val="0"/>
      <w:marTop w:val="0"/>
      <w:marBottom w:val="0"/>
      <w:divBdr>
        <w:top w:val="none" w:sz="0" w:space="0" w:color="auto"/>
        <w:left w:val="none" w:sz="0" w:space="0" w:color="auto"/>
        <w:bottom w:val="none" w:sz="0" w:space="0" w:color="auto"/>
        <w:right w:val="none" w:sz="0" w:space="0" w:color="auto"/>
      </w:divBdr>
    </w:div>
    <w:div w:id="690840163">
      <w:bodyDiv w:val="1"/>
      <w:marLeft w:val="0"/>
      <w:marRight w:val="0"/>
      <w:marTop w:val="0"/>
      <w:marBottom w:val="0"/>
      <w:divBdr>
        <w:top w:val="none" w:sz="0" w:space="0" w:color="auto"/>
        <w:left w:val="none" w:sz="0" w:space="0" w:color="auto"/>
        <w:bottom w:val="none" w:sz="0" w:space="0" w:color="auto"/>
        <w:right w:val="none" w:sz="0" w:space="0" w:color="auto"/>
      </w:divBdr>
    </w:div>
    <w:div w:id="758020132">
      <w:bodyDiv w:val="1"/>
      <w:marLeft w:val="0"/>
      <w:marRight w:val="0"/>
      <w:marTop w:val="0"/>
      <w:marBottom w:val="0"/>
      <w:divBdr>
        <w:top w:val="none" w:sz="0" w:space="0" w:color="auto"/>
        <w:left w:val="none" w:sz="0" w:space="0" w:color="auto"/>
        <w:bottom w:val="none" w:sz="0" w:space="0" w:color="auto"/>
        <w:right w:val="none" w:sz="0" w:space="0" w:color="auto"/>
      </w:divBdr>
    </w:div>
    <w:div w:id="926420514">
      <w:bodyDiv w:val="1"/>
      <w:marLeft w:val="0"/>
      <w:marRight w:val="0"/>
      <w:marTop w:val="0"/>
      <w:marBottom w:val="0"/>
      <w:divBdr>
        <w:top w:val="none" w:sz="0" w:space="0" w:color="auto"/>
        <w:left w:val="none" w:sz="0" w:space="0" w:color="auto"/>
        <w:bottom w:val="none" w:sz="0" w:space="0" w:color="auto"/>
        <w:right w:val="none" w:sz="0" w:space="0" w:color="auto"/>
      </w:divBdr>
    </w:div>
    <w:div w:id="950235521">
      <w:bodyDiv w:val="1"/>
      <w:marLeft w:val="0"/>
      <w:marRight w:val="0"/>
      <w:marTop w:val="0"/>
      <w:marBottom w:val="0"/>
      <w:divBdr>
        <w:top w:val="none" w:sz="0" w:space="0" w:color="auto"/>
        <w:left w:val="none" w:sz="0" w:space="0" w:color="auto"/>
        <w:bottom w:val="none" w:sz="0" w:space="0" w:color="auto"/>
        <w:right w:val="none" w:sz="0" w:space="0" w:color="auto"/>
      </w:divBdr>
    </w:div>
    <w:div w:id="1008795930">
      <w:bodyDiv w:val="1"/>
      <w:marLeft w:val="0"/>
      <w:marRight w:val="0"/>
      <w:marTop w:val="0"/>
      <w:marBottom w:val="0"/>
      <w:divBdr>
        <w:top w:val="none" w:sz="0" w:space="0" w:color="auto"/>
        <w:left w:val="none" w:sz="0" w:space="0" w:color="auto"/>
        <w:bottom w:val="none" w:sz="0" w:space="0" w:color="auto"/>
        <w:right w:val="none" w:sz="0" w:space="0" w:color="auto"/>
      </w:divBdr>
    </w:div>
    <w:div w:id="1017850841">
      <w:bodyDiv w:val="1"/>
      <w:marLeft w:val="0"/>
      <w:marRight w:val="0"/>
      <w:marTop w:val="0"/>
      <w:marBottom w:val="0"/>
      <w:divBdr>
        <w:top w:val="none" w:sz="0" w:space="0" w:color="auto"/>
        <w:left w:val="none" w:sz="0" w:space="0" w:color="auto"/>
        <w:bottom w:val="none" w:sz="0" w:space="0" w:color="auto"/>
        <w:right w:val="none" w:sz="0" w:space="0" w:color="auto"/>
      </w:divBdr>
    </w:div>
    <w:div w:id="1070226485">
      <w:bodyDiv w:val="1"/>
      <w:marLeft w:val="0"/>
      <w:marRight w:val="0"/>
      <w:marTop w:val="0"/>
      <w:marBottom w:val="0"/>
      <w:divBdr>
        <w:top w:val="none" w:sz="0" w:space="0" w:color="auto"/>
        <w:left w:val="none" w:sz="0" w:space="0" w:color="auto"/>
        <w:bottom w:val="none" w:sz="0" w:space="0" w:color="auto"/>
        <w:right w:val="none" w:sz="0" w:space="0" w:color="auto"/>
      </w:divBdr>
    </w:div>
    <w:div w:id="1133521189">
      <w:bodyDiv w:val="1"/>
      <w:marLeft w:val="0"/>
      <w:marRight w:val="0"/>
      <w:marTop w:val="0"/>
      <w:marBottom w:val="0"/>
      <w:divBdr>
        <w:top w:val="none" w:sz="0" w:space="0" w:color="auto"/>
        <w:left w:val="none" w:sz="0" w:space="0" w:color="auto"/>
        <w:bottom w:val="none" w:sz="0" w:space="0" w:color="auto"/>
        <w:right w:val="none" w:sz="0" w:space="0" w:color="auto"/>
      </w:divBdr>
    </w:div>
    <w:div w:id="1180122246">
      <w:bodyDiv w:val="1"/>
      <w:marLeft w:val="0"/>
      <w:marRight w:val="0"/>
      <w:marTop w:val="0"/>
      <w:marBottom w:val="0"/>
      <w:divBdr>
        <w:top w:val="none" w:sz="0" w:space="0" w:color="auto"/>
        <w:left w:val="none" w:sz="0" w:space="0" w:color="auto"/>
        <w:bottom w:val="none" w:sz="0" w:space="0" w:color="auto"/>
        <w:right w:val="none" w:sz="0" w:space="0" w:color="auto"/>
      </w:divBdr>
    </w:div>
    <w:div w:id="1193034297">
      <w:bodyDiv w:val="1"/>
      <w:marLeft w:val="0"/>
      <w:marRight w:val="0"/>
      <w:marTop w:val="0"/>
      <w:marBottom w:val="0"/>
      <w:divBdr>
        <w:top w:val="none" w:sz="0" w:space="0" w:color="auto"/>
        <w:left w:val="none" w:sz="0" w:space="0" w:color="auto"/>
        <w:bottom w:val="none" w:sz="0" w:space="0" w:color="auto"/>
        <w:right w:val="none" w:sz="0" w:space="0" w:color="auto"/>
      </w:divBdr>
    </w:div>
    <w:div w:id="1266424133">
      <w:bodyDiv w:val="1"/>
      <w:marLeft w:val="0"/>
      <w:marRight w:val="0"/>
      <w:marTop w:val="0"/>
      <w:marBottom w:val="0"/>
      <w:divBdr>
        <w:top w:val="none" w:sz="0" w:space="0" w:color="auto"/>
        <w:left w:val="none" w:sz="0" w:space="0" w:color="auto"/>
        <w:bottom w:val="none" w:sz="0" w:space="0" w:color="auto"/>
        <w:right w:val="none" w:sz="0" w:space="0" w:color="auto"/>
      </w:divBdr>
    </w:div>
    <w:div w:id="1342658234">
      <w:bodyDiv w:val="1"/>
      <w:marLeft w:val="0"/>
      <w:marRight w:val="0"/>
      <w:marTop w:val="0"/>
      <w:marBottom w:val="0"/>
      <w:divBdr>
        <w:top w:val="none" w:sz="0" w:space="0" w:color="auto"/>
        <w:left w:val="none" w:sz="0" w:space="0" w:color="auto"/>
        <w:bottom w:val="none" w:sz="0" w:space="0" w:color="auto"/>
        <w:right w:val="none" w:sz="0" w:space="0" w:color="auto"/>
      </w:divBdr>
    </w:div>
    <w:div w:id="1399747462">
      <w:bodyDiv w:val="1"/>
      <w:marLeft w:val="0"/>
      <w:marRight w:val="0"/>
      <w:marTop w:val="0"/>
      <w:marBottom w:val="0"/>
      <w:divBdr>
        <w:top w:val="none" w:sz="0" w:space="0" w:color="auto"/>
        <w:left w:val="none" w:sz="0" w:space="0" w:color="auto"/>
        <w:bottom w:val="none" w:sz="0" w:space="0" w:color="auto"/>
        <w:right w:val="none" w:sz="0" w:space="0" w:color="auto"/>
      </w:divBdr>
    </w:div>
    <w:div w:id="1466587051">
      <w:bodyDiv w:val="1"/>
      <w:marLeft w:val="0"/>
      <w:marRight w:val="0"/>
      <w:marTop w:val="0"/>
      <w:marBottom w:val="0"/>
      <w:divBdr>
        <w:top w:val="none" w:sz="0" w:space="0" w:color="auto"/>
        <w:left w:val="none" w:sz="0" w:space="0" w:color="auto"/>
        <w:bottom w:val="none" w:sz="0" w:space="0" w:color="auto"/>
        <w:right w:val="none" w:sz="0" w:space="0" w:color="auto"/>
      </w:divBdr>
    </w:div>
    <w:div w:id="1497068232">
      <w:bodyDiv w:val="1"/>
      <w:marLeft w:val="0"/>
      <w:marRight w:val="0"/>
      <w:marTop w:val="0"/>
      <w:marBottom w:val="0"/>
      <w:divBdr>
        <w:top w:val="none" w:sz="0" w:space="0" w:color="auto"/>
        <w:left w:val="none" w:sz="0" w:space="0" w:color="auto"/>
        <w:bottom w:val="none" w:sz="0" w:space="0" w:color="auto"/>
        <w:right w:val="none" w:sz="0" w:space="0" w:color="auto"/>
      </w:divBdr>
    </w:div>
    <w:div w:id="1568031498">
      <w:bodyDiv w:val="1"/>
      <w:marLeft w:val="0"/>
      <w:marRight w:val="0"/>
      <w:marTop w:val="0"/>
      <w:marBottom w:val="0"/>
      <w:divBdr>
        <w:top w:val="none" w:sz="0" w:space="0" w:color="auto"/>
        <w:left w:val="none" w:sz="0" w:space="0" w:color="auto"/>
        <w:bottom w:val="none" w:sz="0" w:space="0" w:color="auto"/>
        <w:right w:val="none" w:sz="0" w:space="0" w:color="auto"/>
      </w:divBdr>
    </w:div>
    <w:div w:id="1579755238">
      <w:bodyDiv w:val="1"/>
      <w:marLeft w:val="0"/>
      <w:marRight w:val="0"/>
      <w:marTop w:val="0"/>
      <w:marBottom w:val="0"/>
      <w:divBdr>
        <w:top w:val="none" w:sz="0" w:space="0" w:color="auto"/>
        <w:left w:val="none" w:sz="0" w:space="0" w:color="auto"/>
        <w:bottom w:val="none" w:sz="0" w:space="0" w:color="auto"/>
        <w:right w:val="none" w:sz="0" w:space="0" w:color="auto"/>
      </w:divBdr>
    </w:div>
    <w:div w:id="1584221458">
      <w:bodyDiv w:val="1"/>
      <w:marLeft w:val="0"/>
      <w:marRight w:val="0"/>
      <w:marTop w:val="0"/>
      <w:marBottom w:val="0"/>
      <w:divBdr>
        <w:top w:val="none" w:sz="0" w:space="0" w:color="auto"/>
        <w:left w:val="none" w:sz="0" w:space="0" w:color="auto"/>
        <w:bottom w:val="none" w:sz="0" w:space="0" w:color="auto"/>
        <w:right w:val="none" w:sz="0" w:space="0" w:color="auto"/>
      </w:divBdr>
    </w:div>
    <w:div w:id="1620456540">
      <w:bodyDiv w:val="1"/>
      <w:marLeft w:val="0"/>
      <w:marRight w:val="0"/>
      <w:marTop w:val="0"/>
      <w:marBottom w:val="0"/>
      <w:divBdr>
        <w:top w:val="none" w:sz="0" w:space="0" w:color="auto"/>
        <w:left w:val="none" w:sz="0" w:space="0" w:color="auto"/>
        <w:bottom w:val="none" w:sz="0" w:space="0" w:color="auto"/>
        <w:right w:val="none" w:sz="0" w:space="0" w:color="auto"/>
      </w:divBdr>
    </w:div>
    <w:div w:id="1675453194">
      <w:bodyDiv w:val="1"/>
      <w:marLeft w:val="0"/>
      <w:marRight w:val="0"/>
      <w:marTop w:val="0"/>
      <w:marBottom w:val="0"/>
      <w:divBdr>
        <w:top w:val="none" w:sz="0" w:space="0" w:color="auto"/>
        <w:left w:val="none" w:sz="0" w:space="0" w:color="auto"/>
        <w:bottom w:val="none" w:sz="0" w:space="0" w:color="auto"/>
        <w:right w:val="none" w:sz="0" w:space="0" w:color="auto"/>
      </w:divBdr>
    </w:div>
    <w:div w:id="1782332632">
      <w:bodyDiv w:val="1"/>
      <w:marLeft w:val="0"/>
      <w:marRight w:val="0"/>
      <w:marTop w:val="0"/>
      <w:marBottom w:val="0"/>
      <w:divBdr>
        <w:top w:val="none" w:sz="0" w:space="0" w:color="auto"/>
        <w:left w:val="none" w:sz="0" w:space="0" w:color="auto"/>
        <w:bottom w:val="none" w:sz="0" w:space="0" w:color="auto"/>
        <w:right w:val="none" w:sz="0" w:space="0" w:color="auto"/>
      </w:divBdr>
    </w:div>
    <w:div w:id="1795099094">
      <w:bodyDiv w:val="1"/>
      <w:marLeft w:val="0"/>
      <w:marRight w:val="0"/>
      <w:marTop w:val="0"/>
      <w:marBottom w:val="0"/>
      <w:divBdr>
        <w:top w:val="none" w:sz="0" w:space="0" w:color="auto"/>
        <w:left w:val="none" w:sz="0" w:space="0" w:color="auto"/>
        <w:bottom w:val="none" w:sz="0" w:space="0" w:color="auto"/>
        <w:right w:val="none" w:sz="0" w:space="0" w:color="auto"/>
      </w:divBdr>
    </w:div>
    <w:div w:id="1812556801">
      <w:bodyDiv w:val="1"/>
      <w:marLeft w:val="0"/>
      <w:marRight w:val="0"/>
      <w:marTop w:val="0"/>
      <w:marBottom w:val="0"/>
      <w:divBdr>
        <w:top w:val="none" w:sz="0" w:space="0" w:color="auto"/>
        <w:left w:val="none" w:sz="0" w:space="0" w:color="auto"/>
        <w:bottom w:val="none" w:sz="0" w:space="0" w:color="auto"/>
        <w:right w:val="none" w:sz="0" w:space="0" w:color="auto"/>
      </w:divBdr>
    </w:div>
    <w:div w:id="1847088938">
      <w:bodyDiv w:val="1"/>
      <w:marLeft w:val="0"/>
      <w:marRight w:val="0"/>
      <w:marTop w:val="0"/>
      <w:marBottom w:val="0"/>
      <w:divBdr>
        <w:top w:val="none" w:sz="0" w:space="0" w:color="auto"/>
        <w:left w:val="none" w:sz="0" w:space="0" w:color="auto"/>
        <w:bottom w:val="none" w:sz="0" w:space="0" w:color="auto"/>
        <w:right w:val="none" w:sz="0" w:space="0" w:color="auto"/>
      </w:divBdr>
    </w:div>
    <w:div w:id="1947274096">
      <w:bodyDiv w:val="1"/>
      <w:marLeft w:val="0"/>
      <w:marRight w:val="0"/>
      <w:marTop w:val="0"/>
      <w:marBottom w:val="0"/>
      <w:divBdr>
        <w:top w:val="none" w:sz="0" w:space="0" w:color="auto"/>
        <w:left w:val="none" w:sz="0" w:space="0" w:color="auto"/>
        <w:bottom w:val="none" w:sz="0" w:space="0" w:color="auto"/>
        <w:right w:val="none" w:sz="0" w:space="0" w:color="auto"/>
      </w:divBdr>
    </w:div>
    <w:div w:id="1961689127">
      <w:bodyDiv w:val="1"/>
      <w:marLeft w:val="0"/>
      <w:marRight w:val="0"/>
      <w:marTop w:val="0"/>
      <w:marBottom w:val="0"/>
      <w:divBdr>
        <w:top w:val="none" w:sz="0" w:space="0" w:color="auto"/>
        <w:left w:val="none" w:sz="0" w:space="0" w:color="auto"/>
        <w:bottom w:val="none" w:sz="0" w:space="0" w:color="auto"/>
        <w:right w:val="none" w:sz="0" w:space="0" w:color="auto"/>
      </w:divBdr>
    </w:div>
    <w:div w:id="1992522031">
      <w:bodyDiv w:val="1"/>
      <w:marLeft w:val="0"/>
      <w:marRight w:val="0"/>
      <w:marTop w:val="0"/>
      <w:marBottom w:val="0"/>
      <w:divBdr>
        <w:top w:val="none" w:sz="0" w:space="0" w:color="auto"/>
        <w:left w:val="none" w:sz="0" w:space="0" w:color="auto"/>
        <w:bottom w:val="none" w:sz="0" w:space="0" w:color="auto"/>
        <w:right w:val="none" w:sz="0" w:space="0" w:color="auto"/>
      </w:divBdr>
    </w:div>
    <w:div w:id="2022006119">
      <w:bodyDiv w:val="1"/>
      <w:marLeft w:val="0"/>
      <w:marRight w:val="0"/>
      <w:marTop w:val="0"/>
      <w:marBottom w:val="0"/>
      <w:divBdr>
        <w:top w:val="none" w:sz="0" w:space="0" w:color="auto"/>
        <w:left w:val="none" w:sz="0" w:space="0" w:color="auto"/>
        <w:bottom w:val="none" w:sz="0" w:space="0" w:color="auto"/>
        <w:right w:val="none" w:sz="0" w:space="0" w:color="auto"/>
      </w:divBdr>
    </w:div>
    <w:div w:id="2036803317">
      <w:bodyDiv w:val="1"/>
      <w:marLeft w:val="0"/>
      <w:marRight w:val="0"/>
      <w:marTop w:val="0"/>
      <w:marBottom w:val="0"/>
      <w:divBdr>
        <w:top w:val="none" w:sz="0" w:space="0" w:color="auto"/>
        <w:left w:val="none" w:sz="0" w:space="0" w:color="auto"/>
        <w:bottom w:val="none" w:sz="0" w:space="0" w:color="auto"/>
        <w:right w:val="none" w:sz="0" w:space="0" w:color="auto"/>
      </w:divBdr>
    </w:div>
    <w:div w:id="2061325432">
      <w:bodyDiv w:val="1"/>
      <w:marLeft w:val="0"/>
      <w:marRight w:val="0"/>
      <w:marTop w:val="0"/>
      <w:marBottom w:val="0"/>
      <w:divBdr>
        <w:top w:val="none" w:sz="0" w:space="0" w:color="auto"/>
        <w:left w:val="none" w:sz="0" w:space="0" w:color="auto"/>
        <w:bottom w:val="none" w:sz="0" w:space="0" w:color="auto"/>
        <w:right w:val="none" w:sz="0" w:space="0" w:color="auto"/>
      </w:divBdr>
    </w:div>
    <w:div w:id="209165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ldenbivirkning.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3F7B2-1E35-4411-A7BF-17C6FF62F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skabelon.dotx</Template>
  <TotalTime>72</TotalTime>
  <Pages>18</Pages>
  <Words>5193</Words>
  <Characters>34587</Characters>
  <Application>Microsoft Office Word</Application>
  <DocSecurity>0</DocSecurity>
  <Lines>288</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2025091152, MT</dc:description>
  <cp:lastModifiedBy>Gitte Jørgensen</cp:lastModifiedBy>
  <cp:revision>9</cp:revision>
  <cp:lastPrinted>2012-08-22T08:53:00Z</cp:lastPrinted>
  <dcterms:created xsi:type="dcterms:W3CDTF">2026-05-22T13:06:00Z</dcterms:created>
  <dcterms:modified xsi:type="dcterms:W3CDTF">2026-05-26T10:18:00Z</dcterms:modified>
</cp:coreProperties>
</file>